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01E8" w14:textId="77777777" w:rsidR="00524DBE" w:rsidRPr="006F40FB" w:rsidRDefault="00904AA8" w:rsidP="006F40FB">
      <w:pPr>
        <w:pStyle w:val="berschrift1"/>
        <w:rPr>
          <w:sz w:val="22"/>
          <w:szCs w:val="22"/>
          <w:highlight w:val="cyan"/>
          <w:lang w:eastAsia="en-US"/>
        </w:rPr>
      </w:pPr>
      <w:r w:rsidRPr="00904AA8">
        <w:t xml:space="preserve">RoodMicrotec </w:t>
      </w:r>
      <w:r>
        <w:t>rapporteert</w:t>
      </w:r>
      <w:r w:rsidRPr="00904AA8">
        <w:t xml:space="preserve"> positief nettoresultaat over de eerste helft van 2019</w:t>
      </w:r>
    </w:p>
    <w:p w14:paraId="0D3DF2BB" w14:textId="77777777" w:rsidR="00904AA8" w:rsidRPr="00904AA8" w:rsidRDefault="00904AA8" w:rsidP="00904AA8">
      <w:pPr>
        <w:pStyle w:val="Listenabsatz"/>
        <w:numPr>
          <w:ilvl w:val="0"/>
          <w:numId w:val="8"/>
        </w:numPr>
        <w:spacing w:after="200"/>
        <w:jc w:val="both"/>
        <w:rPr>
          <w:b/>
          <w:lang w:val="nl-NL"/>
        </w:rPr>
      </w:pPr>
      <w:r w:rsidRPr="00904AA8">
        <w:rPr>
          <w:b/>
          <w:lang w:val="nl-NL"/>
        </w:rPr>
        <w:t>- Positief nettoresultaat in het eerste halfjaar van 2019</w:t>
      </w:r>
      <w:r>
        <w:rPr>
          <w:b/>
          <w:lang w:val="nl-NL"/>
        </w:rPr>
        <w:t>.</w:t>
      </w:r>
    </w:p>
    <w:p w14:paraId="1C95B46C" w14:textId="77777777" w:rsidR="00904AA8" w:rsidRPr="00904AA8" w:rsidRDefault="00904AA8" w:rsidP="00904AA8">
      <w:pPr>
        <w:pStyle w:val="Listenabsatz"/>
        <w:numPr>
          <w:ilvl w:val="0"/>
          <w:numId w:val="8"/>
        </w:numPr>
        <w:spacing w:after="200"/>
        <w:jc w:val="both"/>
        <w:rPr>
          <w:b/>
          <w:lang w:val="nl-NL"/>
        </w:rPr>
      </w:pPr>
      <w:r w:rsidRPr="00904AA8">
        <w:rPr>
          <w:b/>
          <w:lang w:val="nl-NL"/>
        </w:rPr>
        <w:t>- Omzet van EUR 6,4 miljoen met aanzienlijke groei in Supply Chain Management</w:t>
      </w:r>
      <w:r>
        <w:rPr>
          <w:b/>
          <w:lang w:val="nl-NL"/>
        </w:rPr>
        <w:t>.</w:t>
      </w:r>
    </w:p>
    <w:p w14:paraId="36374776" w14:textId="77777777" w:rsidR="00904AA8" w:rsidRPr="00904AA8" w:rsidRDefault="00904AA8" w:rsidP="00904AA8">
      <w:pPr>
        <w:pStyle w:val="Listenabsatz"/>
        <w:numPr>
          <w:ilvl w:val="0"/>
          <w:numId w:val="8"/>
        </w:numPr>
        <w:spacing w:after="200"/>
        <w:jc w:val="both"/>
        <w:rPr>
          <w:b/>
          <w:lang w:val="nl-NL"/>
        </w:rPr>
      </w:pPr>
      <w:r w:rsidRPr="00904AA8">
        <w:rPr>
          <w:b/>
          <w:lang w:val="nl-NL"/>
        </w:rPr>
        <w:t xml:space="preserve">- De </w:t>
      </w:r>
      <w:r>
        <w:rPr>
          <w:b/>
          <w:lang w:val="nl-NL"/>
        </w:rPr>
        <w:t>book-to-bill rate</w:t>
      </w:r>
      <w:r w:rsidRPr="00904AA8">
        <w:rPr>
          <w:b/>
          <w:lang w:val="nl-NL"/>
        </w:rPr>
        <w:t xml:space="preserve"> wordt constant op een niveau boven één gehouden.</w:t>
      </w:r>
    </w:p>
    <w:p w14:paraId="01BD4480" w14:textId="5D709D93" w:rsidR="00904AA8" w:rsidRPr="00904AA8" w:rsidRDefault="00904AA8" w:rsidP="00904AA8">
      <w:pPr>
        <w:jc w:val="both"/>
        <w:rPr>
          <w:lang w:val="nl-NL"/>
        </w:rPr>
      </w:pPr>
      <w:r w:rsidRPr="00904AA8">
        <w:rPr>
          <w:b/>
          <w:lang w:val="nl-NL"/>
        </w:rPr>
        <w:t>Deventer, 1 augustus 2019</w:t>
      </w:r>
      <w:r w:rsidRPr="00904AA8">
        <w:rPr>
          <w:lang w:val="nl-NL"/>
        </w:rPr>
        <w:t xml:space="preserve"> - </w:t>
      </w:r>
      <w:r w:rsidRPr="00263997">
        <w:rPr>
          <w:color w:val="BA0C2F"/>
          <w:lang w:val="nl-NL"/>
        </w:rPr>
        <w:t>Rood</w:t>
      </w:r>
      <w:r w:rsidRPr="00904AA8">
        <w:rPr>
          <w:lang w:val="nl-NL"/>
        </w:rPr>
        <w:t>Microtec N.V., de toonaangevende onafhankelijke onderneming op het gebied van</w:t>
      </w:r>
      <w:r w:rsidR="00B7604B">
        <w:rPr>
          <w:lang w:val="nl-NL"/>
        </w:rPr>
        <w:t xml:space="preserve"> productie en levering van</w:t>
      </w:r>
      <w:r w:rsidRPr="00904AA8">
        <w:rPr>
          <w:lang w:val="nl-NL"/>
        </w:rPr>
        <w:t xml:space="preserve"> halfgeleider</w:t>
      </w:r>
      <w:r w:rsidR="00B7604B">
        <w:rPr>
          <w:lang w:val="nl-NL"/>
        </w:rPr>
        <w:t>componenten, alsmede</w:t>
      </w:r>
      <w:r w:rsidRPr="00904AA8">
        <w:rPr>
          <w:lang w:val="nl-NL"/>
        </w:rPr>
        <w:t xml:space="preserve">  ondersteunende </w:t>
      </w:r>
      <w:r w:rsidR="00B7604B">
        <w:rPr>
          <w:lang w:val="nl-NL"/>
        </w:rPr>
        <w:t>kwaliteits</w:t>
      </w:r>
      <w:r w:rsidRPr="00904AA8">
        <w:rPr>
          <w:lang w:val="nl-NL"/>
        </w:rPr>
        <w:t xml:space="preserve">diensten, heeft vandaag haar </w:t>
      </w:r>
      <w:r w:rsidR="008717AB" w:rsidRPr="008717AB">
        <w:rPr>
          <w:lang w:val="nl-NL"/>
        </w:rPr>
        <w:t xml:space="preserve">niet-geauditeerde </w:t>
      </w:r>
      <w:r w:rsidRPr="00904AA8">
        <w:rPr>
          <w:lang w:val="nl-NL"/>
        </w:rPr>
        <w:t>tussentijds</w:t>
      </w:r>
      <w:r w:rsidR="00B7604B">
        <w:rPr>
          <w:lang w:val="nl-NL"/>
        </w:rPr>
        <w:t>e</w:t>
      </w:r>
      <w:r w:rsidRPr="00904AA8">
        <w:rPr>
          <w:lang w:val="nl-NL"/>
        </w:rPr>
        <w:t xml:space="preserve"> verslag voor het eerste halfjaar, eindigend op 30 juni 2019, bekendgemaakt. Het bedrijf rapporteert een positief nettoresultaat van EUR 5.000 ondanks de dalende omzet en de zwakke marktsituatie. De brutowinstmarge blijft op een consistent hoog niveau van 79%, wat in lijn is met de verwachtingen als gevolg van de toenemende activiteiten op het gebied van supply chain management. De sterkste leidende indicator voor de toekomstige groei van de activiteiten, de book-to-bill ratio, is stabiel op meer dan één. De omzet over de eerste helft van 2019 bedroeg EUR 6,4 miljoen, 7% lager dan in de eerste helft van 2018, met een stijging van 12% </w:t>
      </w:r>
      <w:r w:rsidR="00B7604B">
        <w:rPr>
          <w:lang w:val="nl-NL"/>
        </w:rPr>
        <w:t xml:space="preserve">in het tweede kwartaal, </w:t>
      </w:r>
      <w:r w:rsidRPr="00904AA8">
        <w:rPr>
          <w:lang w:val="nl-NL"/>
        </w:rPr>
        <w:t>ten opzichte van het eerste kwartaal van 2019. Supply Chain Management laat een omzetstijging zien, die bemoedigend is en</w:t>
      </w:r>
      <w:r w:rsidR="00B7604B">
        <w:rPr>
          <w:lang w:val="nl-NL"/>
        </w:rPr>
        <w:t xml:space="preserve"> toont aan</w:t>
      </w:r>
      <w:r w:rsidRPr="00904AA8">
        <w:rPr>
          <w:lang w:val="nl-NL"/>
        </w:rPr>
        <w:t xml:space="preserve"> dat de algehele strategie van de onderneming vruchten afwerpt - ook onder moeilijke marktomstandigheden. Test Operations handhaaft een constant niveau en de daling van de Qualification &amp; Failure Analysis is voornamelijk te wijten aan de door de klant geïnitieerde geleidelijke stopzetting van </w:t>
      </w:r>
      <w:r w:rsidR="00E5585C">
        <w:rPr>
          <w:lang w:val="nl-NL"/>
        </w:rPr>
        <w:t xml:space="preserve">Burn-in </w:t>
      </w:r>
      <w:r w:rsidR="00BE0D67">
        <w:rPr>
          <w:lang w:val="nl-NL"/>
        </w:rPr>
        <w:t>activiteiten</w:t>
      </w:r>
      <w:r w:rsidRPr="00904AA8">
        <w:rPr>
          <w:lang w:val="nl-NL"/>
        </w:rPr>
        <w:t>.</w:t>
      </w:r>
    </w:p>
    <w:p w14:paraId="54F992AE" w14:textId="0C0C5F40" w:rsidR="00904AA8" w:rsidRPr="00904AA8" w:rsidRDefault="00904AA8" w:rsidP="00904AA8">
      <w:pPr>
        <w:jc w:val="both"/>
        <w:rPr>
          <w:lang w:val="nl-NL"/>
        </w:rPr>
      </w:pPr>
      <w:r w:rsidRPr="00904AA8">
        <w:rPr>
          <w:i/>
          <w:lang w:val="nl-NL"/>
        </w:rPr>
        <w:t xml:space="preserve">"We zijn blij met onze prestaties tot nu toe en zijn er trots op dat we een positief nettoresultaat voor de eerste helft van 2019 kunnen rapporteren, ook al is de marktsituatie uitdagend. Dit toont aan dat de strategie van </w:t>
      </w:r>
      <w:r w:rsidRPr="00263997">
        <w:rPr>
          <w:i/>
          <w:color w:val="BA0C2F"/>
          <w:lang w:val="nl-NL"/>
        </w:rPr>
        <w:t>Rood</w:t>
      </w:r>
      <w:r w:rsidRPr="00904AA8">
        <w:rPr>
          <w:i/>
          <w:lang w:val="nl-NL"/>
        </w:rPr>
        <w:t>Microtec en de betrokkenheid van onze medewerkers de drijvende kracht blijft achter de toekomstige groei van het bedrijf</w:t>
      </w:r>
      <w:r w:rsidR="00E5585C">
        <w:rPr>
          <w:i/>
          <w:lang w:val="nl-NL"/>
        </w:rPr>
        <w:t>.</w:t>
      </w:r>
      <w:r w:rsidRPr="00904AA8">
        <w:rPr>
          <w:i/>
          <w:lang w:val="nl-NL"/>
        </w:rPr>
        <w:t>"</w:t>
      </w:r>
      <w:r w:rsidRPr="00904AA8">
        <w:rPr>
          <w:lang w:val="nl-NL"/>
        </w:rPr>
        <w:t xml:space="preserve">, </w:t>
      </w:r>
      <w:r w:rsidR="00E5585C">
        <w:rPr>
          <w:lang w:val="nl-NL"/>
        </w:rPr>
        <w:t>aldus</w:t>
      </w:r>
      <w:r w:rsidRPr="00904AA8">
        <w:rPr>
          <w:lang w:val="nl-NL"/>
        </w:rPr>
        <w:t xml:space="preserve"> Martin Sallenhag, CEO van </w:t>
      </w:r>
      <w:r w:rsidRPr="00263997">
        <w:rPr>
          <w:color w:val="BA0C2F"/>
          <w:lang w:val="nl-NL"/>
        </w:rPr>
        <w:t>Rood</w:t>
      </w:r>
      <w:r w:rsidRPr="00904AA8">
        <w:rPr>
          <w:lang w:val="nl-NL"/>
        </w:rPr>
        <w:t xml:space="preserve">Microtec. </w:t>
      </w:r>
    </w:p>
    <w:p w14:paraId="057CEF30" w14:textId="77777777" w:rsidR="00BA12AF" w:rsidRPr="003B587A" w:rsidRDefault="00BA12AF" w:rsidP="00904AA8">
      <w:pPr>
        <w:spacing w:before="240"/>
        <w:rPr>
          <w:rFonts w:asciiTheme="minorHAnsi" w:hAnsiTheme="minorHAnsi" w:cstheme="minorHAnsi"/>
          <w:b/>
          <w:color w:val="B71234"/>
        </w:rPr>
      </w:pPr>
      <w:proofErr w:type="spellStart"/>
      <w:r w:rsidRPr="003B587A">
        <w:rPr>
          <w:rFonts w:asciiTheme="minorHAnsi" w:hAnsiTheme="minorHAnsi"/>
          <w:b/>
          <w:color w:val="B71234"/>
        </w:rPr>
        <w:t>Samenvatting</w:t>
      </w:r>
      <w:proofErr w:type="spellEnd"/>
      <w:r w:rsidRPr="003B587A">
        <w:rPr>
          <w:rFonts w:asciiTheme="minorHAnsi" w:hAnsiTheme="minorHAnsi"/>
          <w:b/>
          <w:color w:val="B71234"/>
        </w:rPr>
        <w:t xml:space="preserve"> </w:t>
      </w:r>
      <w:proofErr w:type="spellStart"/>
      <w:r w:rsidRPr="003B587A">
        <w:rPr>
          <w:rFonts w:asciiTheme="minorHAnsi" w:hAnsiTheme="minorHAnsi"/>
          <w:b/>
          <w:color w:val="B71234"/>
        </w:rPr>
        <w:t>eerste</w:t>
      </w:r>
      <w:proofErr w:type="spellEnd"/>
      <w:r w:rsidRPr="003B587A">
        <w:rPr>
          <w:rFonts w:asciiTheme="minorHAnsi" w:hAnsiTheme="minorHAnsi"/>
          <w:b/>
          <w:color w:val="B71234"/>
        </w:rPr>
        <w:t xml:space="preserve"> </w:t>
      </w:r>
      <w:proofErr w:type="spellStart"/>
      <w:r w:rsidRPr="003B587A">
        <w:rPr>
          <w:rFonts w:asciiTheme="minorHAnsi" w:hAnsiTheme="minorHAnsi"/>
          <w:b/>
          <w:color w:val="B71234"/>
        </w:rPr>
        <w:t>halfjaar</w:t>
      </w:r>
      <w:proofErr w:type="spellEnd"/>
      <w:r w:rsidRPr="003B587A">
        <w:rPr>
          <w:rFonts w:asciiTheme="minorHAnsi" w:hAnsiTheme="minorHAnsi"/>
          <w:b/>
          <w:color w:val="B71234"/>
        </w:rPr>
        <w:t xml:space="preserve"> 201</w:t>
      </w:r>
      <w:r w:rsidR="003B587A" w:rsidRPr="003B587A">
        <w:rPr>
          <w:rFonts w:asciiTheme="minorHAnsi" w:hAnsiTheme="minorHAnsi"/>
          <w:b/>
          <w:color w:val="B71234"/>
        </w:rPr>
        <w:t>9</w:t>
      </w:r>
      <w:r w:rsidRPr="003B587A">
        <w:rPr>
          <w:rFonts w:asciiTheme="minorHAnsi" w:hAnsiTheme="minorHAnsi"/>
          <w:b/>
          <w:color w:val="B71234"/>
        </w:rPr>
        <w:t xml:space="preserve"> </w:t>
      </w:r>
    </w:p>
    <w:tbl>
      <w:tblPr>
        <w:tblW w:w="8865" w:type="dxa"/>
        <w:tblInd w:w="108" w:type="dxa"/>
        <w:tblLook w:val="04A0" w:firstRow="1" w:lastRow="0" w:firstColumn="1" w:lastColumn="0" w:noHBand="0" w:noVBand="1"/>
      </w:tblPr>
      <w:tblGrid>
        <w:gridCol w:w="3578"/>
        <w:gridCol w:w="311"/>
        <w:gridCol w:w="2513"/>
        <w:gridCol w:w="75"/>
        <w:gridCol w:w="1652"/>
        <w:gridCol w:w="275"/>
        <w:gridCol w:w="178"/>
        <w:gridCol w:w="283"/>
      </w:tblGrid>
      <w:tr w:rsidR="003B587A" w:rsidRPr="00BA12AF" w14:paraId="30410D25" w14:textId="77777777" w:rsidTr="00904AA8">
        <w:trPr>
          <w:trHeight w:val="216"/>
        </w:trPr>
        <w:tc>
          <w:tcPr>
            <w:tcW w:w="3889" w:type="dxa"/>
            <w:gridSpan w:val="2"/>
            <w:tcBorders>
              <w:top w:val="nil"/>
              <w:left w:val="nil"/>
              <w:bottom w:val="single" w:sz="8" w:space="0" w:color="auto"/>
              <w:right w:val="nil"/>
            </w:tcBorders>
            <w:hideMark/>
          </w:tcPr>
          <w:p w14:paraId="24F0C3FB" w14:textId="77777777" w:rsidR="003B587A" w:rsidRPr="003B587A" w:rsidRDefault="003B587A" w:rsidP="003B587A">
            <w:pPr>
              <w:spacing w:after="0" w:line="240" w:lineRule="auto"/>
              <w:rPr>
                <w:rFonts w:cstheme="minorHAnsi"/>
                <w:b/>
                <w:bCs/>
                <w:color w:val="000000"/>
              </w:rPr>
            </w:pPr>
            <w:r w:rsidRPr="003B587A">
              <w:rPr>
                <w:b/>
                <w:color w:val="000000"/>
              </w:rPr>
              <w:t>(x EUR 1.000)</w:t>
            </w:r>
          </w:p>
        </w:tc>
        <w:tc>
          <w:tcPr>
            <w:tcW w:w="2588" w:type="dxa"/>
            <w:gridSpan w:val="2"/>
            <w:tcBorders>
              <w:top w:val="nil"/>
              <w:left w:val="nil"/>
              <w:bottom w:val="single" w:sz="8" w:space="0" w:color="auto"/>
              <w:right w:val="nil"/>
            </w:tcBorders>
            <w:hideMark/>
          </w:tcPr>
          <w:p w14:paraId="439B28DC" w14:textId="77777777" w:rsidR="003B587A" w:rsidRPr="003B587A" w:rsidRDefault="003B587A" w:rsidP="003B587A">
            <w:pPr>
              <w:spacing w:after="0" w:line="240" w:lineRule="auto"/>
              <w:ind w:right="-68"/>
              <w:jc w:val="right"/>
              <w:rPr>
                <w:rFonts w:cstheme="minorHAnsi"/>
                <w:b/>
                <w:bCs/>
              </w:rPr>
            </w:pPr>
            <w:proofErr w:type="spellStart"/>
            <w:r>
              <w:rPr>
                <w:b/>
              </w:rPr>
              <w:t>Niet</w:t>
            </w:r>
            <w:proofErr w:type="spellEnd"/>
            <w:r>
              <w:rPr>
                <w:b/>
              </w:rPr>
              <w:t xml:space="preserve"> </w:t>
            </w:r>
            <w:proofErr w:type="spellStart"/>
            <w:r>
              <w:rPr>
                <w:b/>
              </w:rPr>
              <w:t>gecontroleerd</w:t>
            </w:r>
            <w:proofErr w:type="spellEnd"/>
            <w:r>
              <w:rPr>
                <w:b/>
              </w:rPr>
              <w:br/>
              <w:t>HY1 2019</w:t>
            </w:r>
          </w:p>
        </w:tc>
        <w:tc>
          <w:tcPr>
            <w:tcW w:w="2105" w:type="dxa"/>
            <w:gridSpan w:val="3"/>
            <w:tcBorders>
              <w:top w:val="nil"/>
              <w:left w:val="nil"/>
              <w:bottom w:val="single" w:sz="8" w:space="0" w:color="auto"/>
              <w:right w:val="nil"/>
            </w:tcBorders>
          </w:tcPr>
          <w:p w14:paraId="327B4E00" w14:textId="77777777" w:rsidR="003B587A" w:rsidRPr="003B587A" w:rsidRDefault="003B587A" w:rsidP="003B587A">
            <w:pPr>
              <w:spacing w:after="0" w:line="240" w:lineRule="auto"/>
              <w:ind w:right="-48"/>
              <w:jc w:val="right"/>
              <w:rPr>
                <w:b/>
              </w:rPr>
            </w:pPr>
            <w:proofErr w:type="spellStart"/>
            <w:r w:rsidRPr="003B587A">
              <w:rPr>
                <w:b/>
              </w:rPr>
              <w:t>Niet</w:t>
            </w:r>
            <w:proofErr w:type="spellEnd"/>
            <w:r w:rsidRPr="003B587A">
              <w:rPr>
                <w:b/>
              </w:rPr>
              <w:t xml:space="preserve"> </w:t>
            </w:r>
            <w:proofErr w:type="spellStart"/>
            <w:r w:rsidRPr="003B587A">
              <w:rPr>
                <w:b/>
              </w:rPr>
              <w:t>gecontroleerd</w:t>
            </w:r>
            <w:proofErr w:type="spellEnd"/>
            <w:r w:rsidRPr="003B587A">
              <w:rPr>
                <w:b/>
              </w:rPr>
              <w:br/>
              <w:t>HY1 2018</w:t>
            </w:r>
          </w:p>
        </w:tc>
        <w:tc>
          <w:tcPr>
            <w:tcW w:w="283" w:type="dxa"/>
            <w:tcBorders>
              <w:top w:val="nil"/>
              <w:left w:val="nil"/>
              <w:bottom w:val="single" w:sz="8" w:space="0" w:color="auto"/>
              <w:right w:val="nil"/>
            </w:tcBorders>
          </w:tcPr>
          <w:p w14:paraId="3F6C13D1" w14:textId="77777777" w:rsidR="003B587A" w:rsidRPr="003B587A" w:rsidRDefault="003B587A" w:rsidP="003B587A">
            <w:pPr>
              <w:spacing w:after="0" w:line="240" w:lineRule="auto"/>
              <w:ind w:right="-48"/>
              <w:rPr>
                <w:rFonts w:cstheme="minorHAnsi"/>
                <w:b/>
                <w:lang w:val="en-US"/>
              </w:rPr>
            </w:pPr>
          </w:p>
        </w:tc>
      </w:tr>
      <w:tr w:rsidR="00904AA8" w:rsidRPr="00A069CF" w14:paraId="22A4AA7A" w14:textId="77777777" w:rsidTr="00904AA8">
        <w:trPr>
          <w:gridAfter w:val="2"/>
          <w:wAfter w:w="461" w:type="dxa"/>
          <w:trHeight w:val="264"/>
        </w:trPr>
        <w:tc>
          <w:tcPr>
            <w:tcW w:w="3578" w:type="dxa"/>
            <w:tcBorders>
              <w:top w:val="nil"/>
              <w:left w:val="nil"/>
              <w:bottom w:val="nil"/>
              <w:right w:val="nil"/>
            </w:tcBorders>
            <w:vAlign w:val="center"/>
            <w:hideMark/>
          </w:tcPr>
          <w:p w14:paraId="4AA22493" w14:textId="77777777" w:rsidR="00904AA8" w:rsidRPr="00E020D4" w:rsidRDefault="00904AA8" w:rsidP="00904AA8">
            <w:pPr>
              <w:spacing w:after="0"/>
              <w:rPr>
                <w:rFonts w:cstheme="minorHAnsi"/>
                <w:b/>
                <w:bCs/>
                <w:color w:val="000000"/>
                <w:lang w:val="en-US"/>
              </w:rPr>
            </w:pPr>
            <w:proofErr w:type="spellStart"/>
            <w:r w:rsidRPr="003B587A">
              <w:rPr>
                <w:b/>
                <w:color w:val="000000"/>
              </w:rPr>
              <w:t>Netto-omzet</w:t>
            </w:r>
            <w:proofErr w:type="spellEnd"/>
          </w:p>
        </w:tc>
        <w:tc>
          <w:tcPr>
            <w:tcW w:w="2824" w:type="dxa"/>
            <w:gridSpan w:val="2"/>
            <w:tcBorders>
              <w:top w:val="nil"/>
              <w:left w:val="nil"/>
              <w:bottom w:val="nil"/>
              <w:right w:val="nil"/>
            </w:tcBorders>
            <w:vAlign w:val="center"/>
          </w:tcPr>
          <w:p w14:paraId="4961F6F7"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6</w:t>
            </w:r>
            <w:r>
              <w:rPr>
                <w:rFonts w:cstheme="minorHAnsi"/>
                <w:b/>
                <w:bCs/>
                <w:lang w:val="en-US"/>
              </w:rPr>
              <w:t>.</w:t>
            </w:r>
            <w:r w:rsidRPr="00E020D4">
              <w:rPr>
                <w:rFonts w:cstheme="minorHAnsi"/>
                <w:b/>
                <w:bCs/>
                <w:lang w:val="en-US"/>
              </w:rPr>
              <w:t>393</w:t>
            </w:r>
          </w:p>
        </w:tc>
        <w:tc>
          <w:tcPr>
            <w:tcW w:w="1727" w:type="dxa"/>
            <w:gridSpan w:val="2"/>
            <w:tcBorders>
              <w:top w:val="nil"/>
              <w:left w:val="nil"/>
              <w:bottom w:val="nil"/>
              <w:right w:val="nil"/>
            </w:tcBorders>
            <w:vAlign w:val="center"/>
          </w:tcPr>
          <w:p w14:paraId="4E4C3A38"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6</w:t>
            </w:r>
            <w:r>
              <w:rPr>
                <w:rFonts w:cstheme="minorHAnsi"/>
                <w:b/>
                <w:bCs/>
                <w:lang w:val="en-US"/>
              </w:rPr>
              <w:t>.</w:t>
            </w:r>
            <w:r w:rsidRPr="00E020D4">
              <w:rPr>
                <w:rFonts w:cstheme="minorHAnsi"/>
                <w:b/>
                <w:bCs/>
                <w:lang w:val="en-US"/>
              </w:rPr>
              <w:t>843</w:t>
            </w:r>
          </w:p>
        </w:tc>
        <w:tc>
          <w:tcPr>
            <w:tcW w:w="275" w:type="dxa"/>
            <w:tcBorders>
              <w:top w:val="nil"/>
              <w:left w:val="nil"/>
              <w:bottom w:val="nil"/>
              <w:right w:val="nil"/>
            </w:tcBorders>
          </w:tcPr>
          <w:p w14:paraId="5D62640A" w14:textId="77777777" w:rsidR="00904AA8" w:rsidRPr="00E020D4" w:rsidRDefault="00904AA8" w:rsidP="00904AA8">
            <w:pPr>
              <w:spacing w:after="0"/>
              <w:ind w:right="-68"/>
              <w:jc w:val="right"/>
              <w:rPr>
                <w:rFonts w:cstheme="minorHAnsi"/>
                <w:b/>
                <w:bCs/>
                <w:lang w:val="en-US"/>
              </w:rPr>
            </w:pPr>
          </w:p>
        </w:tc>
      </w:tr>
      <w:tr w:rsidR="00904AA8" w:rsidRPr="00A069CF" w14:paraId="3078F5C5" w14:textId="77777777" w:rsidTr="00904AA8">
        <w:trPr>
          <w:gridAfter w:val="2"/>
          <w:wAfter w:w="461" w:type="dxa"/>
          <w:trHeight w:val="264"/>
        </w:trPr>
        <w:tc>
          <w:tcPr>
            <w:tcW w:w="3578" w:type="dxa"/>
            <w:tcBorders>
              <w:top w:val="nil"/>
              <w:left w:val="nil"/>
              <w:bottom w:val="nil"/>
              <w:right w:val="nil"/>
            </w:tcBorders>
            <w:vAlign w:val="center"/>
            <w:hideMark/>
          </w:tcPr>
          <w:p w14:paraId="222CD1CE" w14:textId="77777777" w:rsidR="00904AA8" w:rsidRPr="00E020D4" w:rsidRDefault="00904AA8" w:rsidP="00904AA8">
            <w:pPr>
              <w:spacing w:after="0"/>
              <w:rPr>
                <w:rFonts w:cstheme="minorHAnsi"/>
                <w:b/>
                <w:bCs/>
                <w:color w:val="000000"/>
                <w:lang w:val="en-US"/>
              </w:rPr>
            </w:pPr>
            <w:proofErr w:type="spellStart"/>
            <w:r w:rsidRPr="00904AA8">
              <w:rPr>
                <w:b/>
                <w:color w:val="000000"/>
              </w:rPr>
              <w:t>Brutomarge</w:t>
            </w:r>
            <w:proofErr w:type="spellEnd"/>
          </w:p>
        </w:tc>
        <w:tc>
          <w:tcPr>
            <w:tcW w:w="2824" w:type="dxa"/>
            <w:gridSpan w:val="2"/>
            <w:tcBorders>
              <w:top w:val="nil"/>
              <w:left w:val="nil"/>
              <w:bottom w:val="nil"/>
              <w:right w:val="nil"/>
            </w:tcBorders>
            <w:vAlign w:val="center"/>
          </w:tcPr>
          <w:p w14:paraId="2C798A41" w14:textId="77777777" w:rsidR="00904AA8" w:rsidRPr="00E020D4" w:rsidRDefault="00904AA8" w:rsidP="00904AA8">
            <w:pPr>
              <w:spacing w:after="0"/>
              <w:ind w:right="-68"/>
              <w:jc w:val="right"/>
              <w:rPr>
                <w:rFonts w:cstheme="minorHAnsi"/>
                <w:b/>
                <w:bCs/>
                <w:lang w:val="en-US"/>
              </w:rPr>
            </w:pPr>
            <w:r>
              <w:rPr>
                <w:rFonts w:cstheme="minorHAnsi"/>
                <w:b/>
                <w:bCs/>
                <w:lang w:val="en-US"/>
              </w:rPr>
              <w:t>5.049</w:t>
            </w:r>
          </w:p>
        </w:tc>
        <w:tc>
          <w:tcPr>
            <w:tcW w:w="1727" w:type="dxa"/>
            <w:gridSpan w:val="2"/>
            <w:tcBorders>
              <w:top w:val="nil"/>
              <w:left w:val="nil"/>
              <w:bottom w:val="nil"/>
              <w:right w:val="nil"/>
            </w:tcBorders>
            <w:vAlign w:val="center"/>
          </w:tcPr>
          <w:p w14:paraId="4DB99EDA"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5</w:t>
            </w:r>
            <w:r>
              <w:rPr>
                <w:rFonts w:cstheme="minorHAnsi"/>
                <w:b/>
                <w:bCs/>
                <w:lang w:val="en-US"/>
              </w:rPr>
              <w:t>.</w:t>
            </w:r>
            <w:r w:rsidRPr="00E020D4">
              <w:rPr>
                <w:rFonts w:cstheme="minorHAnsi"/>
                <w:b/>
                <w:bCs/>
                <w:lang w:val="en-US"/>
              </w:rPr>
              <w:t>686</w:t>
            </w:r>
          </w:p>
        </w:tc>
        <w:tc>
          <w:tcPr>
            <w:tcW w:w="275" w:type="dxa"/>
            <w:tcBorders>
              <w:top w:val="nil"/>
              <w:left w:val="nil"/>
              <w:bottom w:val="nil"/>
              <w:right w:val="nil"/>
            </w:tcBorders>
          </w:tcPr>
          <w:p w14:paraId="650FF6B9" w14:textId="77777777" w:rsidR="00904AA8" w:rsidRPr="00E020D4" w:rsidRDefault="00904AA8" w:rsidP="00904AA8">
            <w:pPr>
              <w:spacing w:after="0"/>
              <w:ind w:right="-68"/>
              <w:jc w:val="right"/>
              <w:rPr>
                <w:rFonts w:cstheme="minorHAnsi"/>
                <w:b/>
                <w:bCs/>
                <w:lang w:val="en-US"/>
              </w:rPr>
            </w:pPr>
          </w:p>
        </w:tc>
      </w:tr>
      <w:tr w:rsidR="00904AA8" w:rsidRPr="00A069CF" w14:paraId="41AA6438" w14:textId="77777777" w:rsidTr="00904AA8">
        <w:trPr>
          <w:gridAfter w:val="2"/>
          <w:wAfter w:w="461" w:type="dxa"/>
          <w:trHeight w:val="264"/>
        </w:trPr>
        <w:tc>
          <w:tcPr>
            <w:tcW w:w="3578" w:type="dxa"/>
            <w:tcBorders>
              <w:top w:val="nil"/>
              <w:left w:val="nil"/>
              <w:bottom w:val="nil"/>
              <w:right w:val="nil"/>
            </w:tcBorders>
            <w:vAlign w:val="center"/>
            <w:hideMark/>
          </w:tcPr>
          <w:p w14:paraId="2B7942E3" w14:textId="77777777" w:rsidR="00904AA8" w:rsidRPr="00E020D4" w:rsidRDefault="00904AA8" w:rsidP="00904AA8">
            <w:pPr>
              <w:spacing w:after="0"/>
              <w:rPr>
                <w:rFonts w:cstheme="minorHAnsi"/>
                <w:i/>
                <w:iCs/>
                <w:color w:val="000000"/>
                <w:lang w:val="en-US"/>
              </w:rPr>
            </w:pPr>
            <w:r w:rsidRPr="00904AA8">
              <w:rPr>
                <w:i/>
                <w:color w:val="000000"/>
                <w:lang w:val="nl-NL"/>
              </w:rPr>
              <w:t>Brutomarge van netto-omzet</w:t>
            </w:r>
          </w:p>
        </w:tc>
        <w:tc>
          <w:tcPr>
            <w:tcW w:w="2824" w:type="dxa"/>
            <w:gridSpan w:val="2"/>
            <w:tcBorders>
              <w:top w:val="nil"/>
              <w:left w:val="nil"/>
              <w:bottom w:val="nil"/>
              <w:right w:val="nil"/>
            </w:tcBorders>
            <w:vAlign w:val="center"/>
          </w:tcPr>
          <w:p w14:paraId="6607BA68" w14:textId="77777777" w:rsidR="00904AA8" w:rsidRPr="00E020D4" w:rsidRDefault="00904AA8" w:rsidP="00904AA8">
            <w:pPr>
              <w:spacing w:after="0"/>
              <w:ind w:right="-68"/>
              <w:jc w:val="right"/>
              <w:rPr>
                <w:rFonts w:cstheme="minorHAnsi"/>
                <w:i/>
                <w:lang w:val="en-US"/>
              </w:rPr>
            </w:pPr>
            <w:r w:rsidRPr="00E020D4">
              <w:rPr>
                <w:rFonts w:cstheme="minorHAnsi"/>
                <w:i/>
                <w:lang w:val="en-US"/>
              </w:rPr>
              <w:t>79%</w:t>
            </w:r>
          </w:p>
        </w:tc>
        <w:tc>
          <w:tcPr>
            <w:tcW w:w="1727" w:type="dxa"/>
            <w:gridSpan w:val="2"/>
            <w:tcBorders>
              <w:top w:val="nil"/>
              <w:left w:val="nil"/>
              <w:bottom w:val="nil"/>
              <w:right w:val="nil"/>
            </w:tcBorders>
            <w:vAlign w:val="center"/>
          </w:tcPr>
          <w:p w14:paraId="51870D9C" w14:textId="77777777" w:rsidR="00904AA8" w:rsidRPr="00E020D4" w:rsidRDefault="00904AA8" w:rsidP="00904AA8">
            <w:pPr>
              <w:spacing w:after="0"/>
              <w:ind w:right="-68"/>
              <w:jc w:val="right"/>
              <w:rPr>
                <w:rFonts w:cstheme="minorHAnsi"/>
                <w:i/>
                <w:lang w:val="en-US"/>
              </w:rPr>
            </w:pPr>
            <w:r w:rsidRPr="00E020D4">
              <w:rPr>
                <w:rFonts w:cstheme="minorHAnsi"/>
                <w:i/>
                <w:lang w:val="en-US"/>
              </w:rPr>
              <w:t>83%</w:t>
            </w:r>
          </w:p>
        </w:tc>
        <w:tc>
          <w:tcPr>
            <w:tcW w:w="275" w:type="dxa"/>
            <w:tcBorders>
              <w:top w:val="nil"/>
              <w:left w:val="nil"/>
              <w:bottom w:val="nil"/>
              <w:right w:val="nil"/>
            </w:tcBorders>
          </w:tcPr>
          <w:p w14:paraId="4521EDBE" w14:textId="77777777" w:rsidR="00904AA8" w:rsidRPr="00E020D4" w:rsidRDefault="00904AA8" w:rsidP="00904AA8">
            <w:pPr>
              <w:spacing w:after="0"/>
              <w:ind w:right="-68"/>
              <w:jc w:val="right"/>
              <w:rPr>
                <w:rFonts w:cstheme="minorHAnsi"/>
                <w:i/>
                <w:lang w:val="en-US"/>
              </w:rPr>
            </w:pPr>
          </w:p>
        </w:tc>
      </w:tr>
      <w:tr w:rsidR="00904AA8" w:rsidRPr="00A069CF" w14:paraId="63CF7425" w14:textId="77777777" w:rsidTr="00904AA8">
        <w:trPr>
          <w:gridAfter w:val="2"/>
          <w:wAfter w:w="461" w:type="dxa"/>
          <w:trHeight w:val="264"/>
        </w:trPr>
        <w:tc>
          <w:tcPr>
            <w:tcW w:w="3578" w:type="dxa"/>
            <w:tcBorders>
              <w:top w:val="nil"/>
              <w:left w:val="nil"/>
              <w:bottom w:val="nil"/>
              <w:right w:val="nil"/>
            </w:tcBorders>
            <w:vAlign w:val="center"/>
            <w:hideMark/>
          </w:tcPr>
          <w:p w14:paraId="40D39C26" w14:textId="77777777" w:rsidR="00904AA8" w:rsidRPr="00E020D4" w:rsidRDefault="00904AA8" w:rsidP="00904AA8">
            <w:pPr>
              <w:spacing w:after="0"/>
              <w:rPr>
                <w:rFonts w:cstheme="minorHAnsi"/>
                <w:b/>
                <w:bCs/>
                <w:color w:val="000000"/>
                <w:lang w:val="en-US"/>
              </w:rPr>
            </w:pPr>
            <w:r w:rsidRPr="00E020D4">
              <w:rPr>
                <w:rFonts w:cstheme="minorHAnsi"/>
                <w:b/>
                <w:color w:val="000000"/>
                <w:lang w:val="en-US"/>
              </w:rPr>
              <w:t>EBITDA</w:t>
            </w:r>
          </w:p>
        </w:tc>
        <w:tc>
          <w:tcPr>
            <w:tcW w:w="2824" w:type="dxa"/>
            <w:gridSpan w:val="2"/>
            <w:tcBorders>
              <w:top w:val="nil"/>
              <w:left w:val="nil"/>
              <w:bottom w:val="nil"/>
              <w:right w:val="nil"/>
            </w:tcBorders>
            <w:vAlign w:val="center"/>
          </w:tcPr>
          <w:p w14:paraId="111A358D"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807</w:t>
            </w:r>
          </w:p>
        </w:tc>
        <w:tc>
          <w:tcPr>
            <w:tcW w:w="1727" w:type="dxa"/>
            <w:gridSpan w:val="2"/>
            <w:tcBorders>
              <w:top w:val="nil"/>
              <w:left w:val="nil"/>
              <w:bottom w:val="nil"/>
              <w:right w:val="nil"/>
            </w:tcBorders>
            <w:vAlign w:val="center"/>
          </w:tcPr>
          <w:p w14:paraId="35850A3C"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913</w:t>
            </w:r>
          </w:p>
        </w:tc>
        <w:tc>
          <w:tcPr>
            <w:tcW w:w="275" w:type="dxa"/>
            <w:tcBorders>
              <w:top w:val="nil"/>
              <w:left w:val="nil"/>
              <w:bottom w:val="nil"/>
              <w:right w:val="nil"/>
            </w:tcBorders>
          </w:tcPr>
          <w:p w14:paraId="4BE6797C" w14:textId="77777777" w:rsidR="00904AA8" w:rsidRPr="00E020D4" w:rsidRDefault="00904AA8" w:rsidP="00904AA8">
            <w:pPr>
              <w:spacing w:after="0"/>
              <w:ind w:right="-68"/>
              <w:jc w:val="right"/>
              <w:rPr>
                <w:rFonts w:cstheme="minorHAnsi"/>
                <w:b/>
                <w:bCs/>
                <w:lang w:val="en-US"/>
              </w:rPr>
            </w:pPr>
          </w:p>
        </w:tc>
      </w:tr>
      <w:tr w:rsidR="00904AA8" w:rsidRPr="00A069CF" w14:paraId="77AED8DA" w14:textId="77777777" w:rsidTr="00904AA8">
        <w:trPr>
          <w:gridAfter w:val="2"/>
          <w:wAfter w:w="461" w:type="dxa"/>
          <w:trHeight w:val="264"/>
        </w:trPr>
        <w:tc>
          <w:tcPr>
            <w:tcW w:w="3578" w:type="dxa"/>
            <w:tcBorders>
              <w:top w:val="nil"/>
              <w:left w:val="nil"/>
              <w:bottom w:val="nil"/>
              <w:right w:val="nil"/>
            </w:tcBorders>
            <w:vAlign w:val="center"/>
            <w:hideMark/>
          </w:tcPr>
          <w:p w14:paraId="28A79113" w14:textId="77777777" w:rsidR="00904AA8" w:rsidRPr="00904AA8" w:rsidRDefault="00904AA8" w:rsidP="00904AA8">
            <w:pPr>
              <w:spacing w:after="0"/>
              <w:rPr>
                <w:rFonts w:cstheme="minorHAnsi"/>
                <w:i/>
                <w:iCs/>
                <w:color w:val="000000"/>
                <w:lang w:val="nl-NL"/>
              </w:rPr>
            </w:pPr>
            <w:r w:rsidRPr="00904AA8">
              <w:rPr>
                <w:i/>
                <w:color w:val="000000"/>
                <w:lang w:val="nl-NL"/>
              </w:rPr>
              <w:t>EBITDA als % van netto-omzet</w:t>
            </w:r>
          </w:p>
        </w:tc>
        <w:tc>
          <w:tcPr>
            <w:tcW w:w="2824" w:type="dxa"/>
            <w:gridSpan w:val="2"/>
            <w:tcBorders>
              <w:top w:val="nil"/>
              <w:left w:val="nil"/>
              <w:bottom w:val="nil"/>
              <w:right w:val="nil"/>
            </w:tcBorders>
            <w:vAlign w:val="center"/>
          </w:tcPr>
          <w:p w14:paraId="3F755361" w14:textId="77777777" w:rsidR="00904AA8" w:rsidRPr="00E020D4" w:rsidRDefault="00904AA8" w:rsidP="00904AA8">
            <w:pPr>
              <w:spacing w:after="0"/>
              <w:ind w:right="-68"/>
              <w:jc w:val="right"/>
              <w:rPr>
                <w:rFonts w:cstheme="minorHAnsi"/>
                <w:i/>
                <w:lang w:val="en-US"/>
              </w:rPr>
            </w:pPr>
            <w:r w:rsidRPr="00E020D4">
              <w:rPr>
                <w:rFonts w:cstheme="minorHAnsi"/>
                <w:i/>
                <w:lang w:val="en-US"/>
              </w:rPr>
              <w:t>13%</w:t>
            </w:r>
          </w:p>
        </w:tc>
        <w:tc>
          <w:tcPr>
            <w:tcW w:w="1727" w:type="dxa"/>
            <w:gridSpan w:val="2"/>
            <w:tcBorders>
              <w:top w:val="nil"/>
              <w:left w:val="nil"/>
              <w:bottom w:val="nil"/>
              <w:right w:val="nil"/>
            </w:tcBorders>
            <w:vAlign w:val="center"/>
          </w:tcPr>
          <w:p w14:paraId="130C830A" w14:textId="77777777" w:rsidR="00904AA8" w:rsidRPr="00E020D4" w:rsidRDefault="00904AA8" w:rsidP="00904AA8">
            <w:pPr>
              <w:spacing w:after="0"/>
              <w:ind w:right="-68"/>
              <w:jc w:val="right"/>
              <w:rPr>
                <w:rFonts w:cstheme="minorHAnsi"/>
                <w:i/>
                <w:lang w:val="en-US"/>
              </w:rPr>
            </w:pPr>
            <w:r w:rsidRPr="00E020D4">
              <w:rPr>
                <w:rFonts w:cstheme="minorHAnsi"/>
                <w:i/>
                <w:lang w:val="en-US"/>
              </w:rPr>
              <w:t>13%</w:t>
            </w:r>
          </w:p>
        </w:tc>
        <w:tc>
          <w:tcPr>
            <w:tcW w:w="275" w:type="dxa"/>
            <w:tcBorders>
              <w:top w:val="nil"/>
              <w:left w:val="nil"/>
              <w:bottom w:val="nil"/>
              <w:right w:val="nil"/>
            </w:tcBorders>
          </w:tcPr>
          <w:p w14:paraId="620BBF18" w14:textId="77777777" w:rsidR="00904AA8" w:rsidRPr="00E020D4" w:rsidRDefault="00904AA8" w:rsidP="00904AA8">
            <w:pPr>
              <w:spacing w:after="0"/>
              <w:ind w:right="-68"/>
              <w:jc w:val="right"/>
              <w:rPr>
                <w:rFonts w:cstheme="minorHAnsi"/>
                <w:i/>
                <w:lang w:val="en-US"/>
              </w:rPr>
            </w:pPr>
          </w:p>
        </w:tc>
      </w:tr>
      <w:tr w:rsidR="00904AA8" w:rsidRPr="00A069CF" w14:paraId="7D708E6B" w14:textId="77777777" w:rsidTr="00904AA8">
        <w:trPr>
          <w:gridAfter w:val="2"/>
          <w:wAfter w:w="461" w:type="dxa"/>
          <w:trHeight w:val="264"/>
        </w:trPr>
        <w:tc>
          <w:tcPr>
            <w:tcW w:w="3578" w:type="dxa"/>
            <w:tcBorders>
              <w:top w:val="nil"/>
              <w:left w:val="nil"/>
              <w:bottom w:val="nil"/>
              <w:right w:val="nil"/>
            </w:tcBorders>
            <w:vAlign w:val="center"/>
            <w:hideMark/>
          </w:tcPr>
          <w:p w14:paraId="09C21AEF" w14:textId="77777777" w:rsidR="00904AA8" w:rsidRPr="00E020D4" w:rsidRDefault="00904AA8" w:rsidP="00904AA8">
            <w:pPr>
              <w:spacing w:after="0"/>
              <w:rPr>
                <w:rFonts w:cstheme="minorHAnsi"/>
                <w:b/>
                <w:bCs/>
                <w:color w:val="000000"/>
                <w:lang w:val="en-US"/>
              </w:rPr>
            </w:pPr>
            <w:r w:rsidRPr="00E020D4">
              <w:rPr>
                <w:rFonts w:cstheme="minorHAnsi"/>
                <w:b/>
                <w:color w:val="000000"/>
                <w:lang w:val="en-US"/>
              </w:rPr>
              <w:t>EBIT</w:t>
            </w:r>
          </w:p>
        </w:tc>
        <w:tc>
          <w:tcPr>
            <w:tcW w:w="2824" w:type="dxa"/>
            <w:gridSpan w:val="2"/>
            <w:tcBorders>
              <w:top w:val="nil"/>
              <w:left w:val="nil"/>
              <w:bottom w:val="nil"/>
              <w:right w:val="nil"/>
            </w:tcBorders>
            <w:vAlign w:val="center"/>
          </w:tcPr>
          <w:p w14:paraId="7690007D" w14:textId="77777777" w:rsidR="00904AA8" w:rsidRPr="00E020D4" w:rsidRDefault="00904AA8" w:rsidP="00904AA8">
            <w:pPr>
              <w:spacing w:after="0"/>
              <w:ind w:right="-68"/>
              <w:jc w:val="right"/>
              <w:rPr>
                <w:rFonts w:cstheme="minorHAnsi"/>
                <w:b/>
                <w:lang w:val="en-US"/>
              </w:rPr>
            </w:pPr>
            <w:r>
              <w:rPr>
                <w:rFonts w:cstheme="minorHAnsi"/>
                <w:b/>
                <w:lang w:val="en-US"/>
              </w:rPr>
              <w:t>108</w:t>
            </w:r>
          </w:p>
        </w:tc>
        <w:tc>
          <w:tcPr>
            <w:tcW w:w="1727" w:type="dxa"/>
            <w:gridSpan w:val="2"/>
            <w:tcBorders>
              <w:top w:val="nil"/>
              <w:left w:val="nil"/>
              <w:bottom w:val="nil"/>
              <w:right w:val="nil"/>
            </w:tcBorders>
            <w:vAlign w:val="center"/>
          </w:tcPr>
          <w:p w14:paraId="0D6FA80F" w14:textId="77777777" w:rsidR="00904AA8" w:rsidRPr="00E020D4" w:rsidRDefault="00904AA8" w:rsidP="00904AA8">
            <w:pPr>
              <w:spacing w:after="0"/>
              <w:ind w:right="-68"/>
              <w:jc w:val="right"/>
              <w:rPr>
                <w:rFonts w:cstheme="minorHAnsi"/>
                <w:b/>
                <w:lang w:val="en-US"/>
              </w:rPr>
            </w:pPr>
            <w:r w:rsidRPr="00E020D4">
              <w:rPr>
                <w:rFonts w:cstheme="minorHAnsi"/>
                <w:b/>
                <w:lang w:val="en-US"/>
              </w:rPr>
              <w:t>398</w:t>
            </w:r>
          </w:p>
        </w:tc>
        <w:tc>
          <w:tcPr>
            <w:tcW w:w="275" w:type="dxa"/>
            <w:tcBorders>
              <w:top w:val="nil"/>
              <w:left w:val="nil"/>
              <w:bottom w:val="nil"/>
              <w:right w:val="nil"/>
            </w:tcBorders>
          </w:tcPr>
          <w:p w14:paraId="0F8F099D" w14:textId="77777777" w:rsidR="00904AA8" w:rsidRPr="00E020D4" w:rsidRDefault="00904AA8" w:rsidP="00904AA8">
            <w:pPr>
              <w:spacing w:after="0"/>
              <w:ind w:right="-68"/>
              <w:jc w:val="right"/>
              <w:rPr>
                <w:rFonts w:cstheme="minorHAnsi"/>
                <w:b/>
                <w:lang w:val="en-US"/>
              </w:rPr>
            </w:pPr>
          </w:p>
        </w:tc>
      </w:tr>
      <w:tr w:rsidR="00904AA8" w:rsidRPr="00A069CF" w14:paraId="54FA87F1" w14:textId="77777777" w:rsidTr="00904AA8">
        <w:trPr>
          <w:gridAfter w:val="2"/>
          <w:wAfter w:w="461" w:type="dxa"/>
          <w:trHeight w:val="264"/>
        </w:trPr>
        <w:tc>
          <w:tcPr>
            <w:tcW w:w="3578" w:type="dxa"/>
            <w:tcBorders>
              <w:top w:val="nil"/>
              <w:left w:val="nil"/>
              <w:bottom w:val="nil"/>
              <w:right w:val="nil"/>
            </w:tcBorders>
            <w:vAlign w:val="center"/>
            <w:hideMark/>
          </w:tcPr>
          <w:p w14:paraId="62149C86" w14:textId="77777777" w:rsidR="00904AA8" w:rsidRPr="00904AA8" w:rsidRDefault="00904AA8" w:rsidP="00904AA8">
            <w:pPr>
              <w:spacing w:after="0"/>
              <w:rPr>
                <w:rFonts w:cstheme="minorHAnsi"/>
                <w:i/>
                <w:iCs/>
                <w:color w:val="000000"/>
                <w:lang w:val="nl-NL"/>
              </w:rPr>
            </w:pPr>
            <w:r w:rsidRPr="00904AA8">
              <w:rPr>
                <w:i/>
                <w:color w:val="000000"/>
                <w:lang w:val="nl-NL"/>
              </w:rPr>
              <w:t>EBIT als % van netto-omzet</w:t>
            </w:r>
          </w:p>
        </w:tc>
        <w:tc>
          <w:tcPr>
            <w:tcW w:w="2824" w:type="dxa"/>
            <w:gridSpan w:val="2"/>
            <w:tcBorders>
              <w:top w:val="nil"/>
              <w:left w:val="nil"/>
              <w:bottom w:val="nil"/>
              <w:right w:val="nil"/>
            </w:tcBorders>
            <w:vAlign w:val="center"/>
          </w:tcPr>
          <w:p w14:paraId="4BC5B20C" w14:textId="77777777" w:rsidR="00904AA8" w:rsidRPr="00E020D4" w:rsidRDefault="00904AA8" w:rsidP="00904AA8">
            <w:pPr>
              <w:spacing w:after="0"/>
              <w:ind w:right="-68"/>
              <w:jc w:val="right"/>
              <w:rPr>
                <w:rFonts w:cstheme="minorHAnsi"/>
                <w:i/>
                <w:lang w:val="en-US"/>
              </w:rPr>
            </w:pPr>
            <w:r w:rsidRPr="00E020D4">
              <w:rPr>
                <w:rFonts w:cstheme="minorHAnsi"/>
                <w:i/>
                <w:lang w:val="en-US"/>
              </w:rPr>
              <w:t>2%</w:t>
            </w:r>
          </w:p>
        </w:tc>
        <w:tc>
          <w:tcPr>
            <w:tcW w:w="1727" w:type="dxa"/>
            <w:gridSpan w:val="2"/>
            <w:tcBorders>
              <w:top w:val="nil"/>
              <w:left w:val="nil"/>
              <w:bottom w:val="nil"/>
              <w:right w:val="nil"/>
            </w:tcBorders>
            <w:vAlign w:val="center"/>
          </w:tcPr>
          <w:p w14:paraId="7A4C4960" w14:textId="77777777" w:rsidR="00904AA8" w:rsidRPr="00E020D4" w:rsidRDefault="00904AA8" w:rsidP="00904AA8">
            <w:pPr>
              <w:spacing w:after="0"/>
              <w:ind w:right="-68"/>
              <w:jc w:val="right"/>
              <w:rPr>
                <w:rFonts w:cstheme="minorHAnsi"/>
                <w:i/>
                <w:lang w:val="en-US"/>
              </w:rPr>
            </w:pPr>
            <w:r w:rsidRPr="00E020D4">
              <w:rPr>
                <w:rFonts w:cstheme="minorHAnsi"/>
                <w:i/>
                <w:lang w:val="en-US"/>
              </w:rPr>
              <w:t>6%</w:t>
            </w:r>
          </w:p>
        </w:tc>
        <w:tc>
          <w:tcPr>
            <w:tcW w:w="275" w:type="dxa"/>
            <w:tcBorders>
              <w:top w:val="nil"/>
              <w:left w:val="nil"/>
              <w:bottom w:val="nil"/>
              <w:right w:val="nil"/>
            </w:tcBorders>
          </w:tcPr>
          <w:p w14:paraId="5BA7F1F7" w14:textId="77777777" w:rsidR="00904AA8" w:rsidRPr="00E020D4" w:rsidRDefault="00904AA8" w:rsidP="00904AA8">
            <w:pPr>
              <w:spacing w:after="0"/>
              <w:ind w:right="-68"/>
              <w:jc w:val="right"/>
              <w:rPr>
                <w:rFonts w:cstheme="minorHAnsi"/>
                <w:i/>
                <w:lang w:val="en-US"/>
              </w:rPr>
            </w:pPr>
          </w:p>
        </w:tc>
      </w:tr>
      <w:tr w:rsidR="00904AA8" w:rsidRPr="00A069CF" w14:paraId="4D46497E" w14:textId="77777777" w:rsidTr="00904AA8">
        <w:trPr>
          <w:gridAfter w:val="2"/>
          <w:wAfter w:w="461" w:type="dxa"/>
          <w:trHeight w:val="264"/>
        </w:trPr>
        <w:tc>
          <w:tcPr>
            <w:tcW w:w="3578" w:type="dxa"/>
            <w:tcBorders>
              <w:top w:val="nil"/>
              <w:left w:val="nil"/>
              <w:bottom w:val="nil"/>
              <w:right w:val="nil"/>
            </w:tcBorders>
            <w:vAlign w:val="center"/>
            <w:hideMark/>
          </w:tcPr>
          <w:p w14:paraId="2A3E0204" w14:textId="77777777" w:rsidR="00904AA8" w:rsidRPr="00E020D4" w:rsidRDefault="00904AA8" w:rsidP="00904AA8">
            <w:pPr>
              <w:spacing w:after="0"/>
              <w:rPr>
                <w:rFonts w:cstheme="minorHAnsi"/>
                <w:b/>
                <w:bCs/>
                <w:color w:val="000000"/>
                <w:lang w:val="en-US"/>
              </w:rPr>
            </w:pPr>
            <w:proofErr w:type="spellStart"/>
            <w:r w:rsidRPr="00904AA8">
              <w:rPr>
                <w:b/>
                <w:color w:val="000000"/>
              </w:rPr>
              <w:t>Nettoresultaat</w:t>
            </w:r>
            <w:proofErr w:type="spellEnd"/>
          </w:p>
        </w:tc>
        <w:tc>
          <w:tcPr>
            <w:tcW w:w="2824" w:type="dxa"/>
            <w:gridSpan w:val="2"/>
            <w:tcBorders>
              <w:top w:val="nil"/>
              <w:left w:val="nil"/>
              <w:bottom w:val="nil"/>
              <w:right w:val="nil"/>
            </w:tcBorders>
            <w:vAlign w:val="center"/>
          </w:tcPr>
          <w:p w14:paraId="27E028A6"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5</w:t>
            </w:r>
          </w:p>
        </w:tc>
        <w:tc>
          <w:tcPr>
            <w:tcW w:w="1727" w:type="dxa"/>
            <w:gridSpan w:val="2"/>
            <w:tcBorders>
              <w:top w:val="nil"/>
              <w:left w:val="nil"/>
              <w:bottom w:val="nil"/>
              <w:right w:val="nil"/>
            </w:tcBorders>
            <w:vAlign w:val="center"/>
          </w:tcPr>
          <w:p w14:paraId="5D842FEF" w14:textId="77777777" w:rsidR="00904AA8" w:rsidRPr="00E020D4" w:rsidRDefault="00904AA8" w:rsidP="00904AA8">
            <w:pPr>
              <w:spacing w:after="0"/>
              <w:ind w:right="-68"/>
              <w:jc w:val="right"/>
              <w:rPr>
                <w:rFonts w:cstheme="minorHAnsi"/>
                <w:b/>
                <w:bCs/>
                <w:lang w:val="en-US"/>
              </w:rPr>
            </w:pPr>
            <w:r w:rsidRPr="00E020D4">
              <w:rPr>
                <w:rFonts w:cstheme="minorHAnsi"/>
                <w:b/>
                <w:bCs/>
                <w:lang w:val="en-US"/>
              </w:rPr>
              <w:t>276</w:t>
            </w:r>
          </w:p>
        </w:tc>
        <w:tc>
          <w:tcPr>
            <w:tcW w:w="275" w:type="dxa"/>
            <w:tcBorders>
              <w:top w:val="nil"/>
              <w:left w:val="nil"/>
              <w:bottom w:val="nil"/>
              <w:right w:val="nil"/>
            </w:tcBorders>
          </w:tcPr>
          <w:p w14:paraId="332FD68A" w14:textId="77777777" w:rsidR="00904AA8" w:rsidRPr="00E020D4" w:rsidRDefault="00904AA8" w:rsidP="00904AA8">
            <w:pPr>
              <w:spacing w:after="0"/>
              <w:ind w:right="-68"/>
              <w:jc w:val="right"/>
              <w:rPr>
                <w:rFonts w:cstheme="minorHAnsi"/>
                <w:b/>
                <w:bCs/>
                <w:lang w:val="en-US"/>
              </w:rPr>
            </w:pPr>
          </w:p>
        </w:tc>
      </w:tr>
      <w:tr w:rsidR="00904AA8" w:rsidRPr="00A069CF" w14:paraId="15D1E121" w14:textId="77777777" w:rsidTr="00904AA8">
        <w:trPr>
          <w:gridAfter w:val="2"/>
          <w:wAfter w:w="461" w:type="dxa"/>
          <w:trHeight w:val="138"/>
        </w:trPr>
        <w:tc>
          <w:tcPr>
            <w:tcW w:w="3578" w:type="dxa"/>
            <w:tcBorders>
              <w:top w:val="nil"/>
              <w:left w:val="nil"/>
              <w:bottom w:val="nil"/>
              <w:right w:val="nil"/>
            </w:tcBorders>
            <w:vAlign w:val="center"/>
            <w:hideMark/>
          </w:tcPr>
          <w:p w14:paraId="1C7E4D0E" w14:textId="77777777" w:rsidR="00904AA8" w:rsidRPr="00904AA8" w:rsidRDefault="00904AA8" w:rsidP="002065E0">
            <w:pPr>
              <w:spacing w:line="240" w:lineRule="auto"/>
              <w:rPr>
                <w:rFonts w:cstheme="minorHAnsi"/>
                <w:i/>
                <w:iCs/>
                <w:color w:val="000000"/>
                <w:lang w:val="nl-NL"/>
              </w:rPr>
            </w:pPr>
            <w:r w:rsidRPr="00904AA8">
              <w:rPr>
                <w:i/>
                <w:color w:val="000000"/>
                <w:lang w:val="nl-NL"/>
              </w:rPr>
              <w:t>Nettoresultaat als % van netto-omzet</w:t>
            </w:r>
          </w:p>
        </w:tc>
        <w:tc>
          <w:tcPr>
            <w:tcW w:w="2824" w:type="dxa"/>
            <w:gridSpan w:val="2"/>
            <w:tcBorders>
              <w:top w:val="nil"/>
              <w:left w:val="nil"/>
              <w:bottom w:val="nil"/>
              <w:right w:val="nil"/>
            </w:tcBorders>
            <w:vAlign w:val="center"/>
          </w:tcPr>
          <w:p w14:paraId="345EC33D" w14:textId="77777777" w:rsidR="00904AA8" w:rsidRPr="00E020D4" w:rsidRDefault="00904AA8" w:rsidP="002065E0">
            <w:pPr>
              <w:spacing w:line="240" w:lineRule="auto"/>
              <w:ind w:right="-68"/>
              <w:jc w:val="right"/>
              <w:rPr>
                <w:rFonts w:cstheme="minorHAnsi"/>
                <w:i/>
                <w:lang w:val="en-US"/>
              </w:rPr>
            </w:pPr>
            <w:r w:rsidRPr="00E020D4">
              <w:rPr>
                <w:rFonts w:cstheme="minorHAnsi"/>
                <w:i/>
                <w:lang w:val="en-US"/>
              </w:rPr>
              <w:t>0%</w:t>
            </w:r>
          </w:p>
        </w:tc>
        <w:tc>
          <w:tcPr>
            <w:tcW w:w="1727" w:type="dxa"/>
            <w:gridSpan w:val="2"/>
            <w:tcBorders>
              <w:top w:val="nil"/>
              <w:left w:val="nil"/>
              <w:bottom w:val="nil"/>
              <w:right w:val="nil"/>
            </w:tcBorders>
            <w:vAlign w:val="center"/>
          </w:tcPr>
          <w:p w14:paraId="3274DAFF" w14:textId="77777777" w:rsidR="00904AA8" w:rsidRPr="00E020D4" w:rsidRDefault="00904AA8" w:rsidP="002065E0">
            <w:pPr>
              <w:spacing w:line="240" w:lineRule="auto"/>
              <w:ind w:right="-68"/>
              <w:jc w:val="right"/>
              <w:rPr>
                <w:rFonts w:cstheme="minorHAnsi"/>
                <w:i/>
                <w:lang w:val="en-US"/>
              </w:rPr>
            </w:pPr>
            <w:r w:rsidRPr="00E020D4">
              <w:rPr>
                <w:rFonts w:cstheme="minorHAnsi"/>
                <w:i/>
                <w:lang w:val="en-US"/>
              </w:rPr>
              <w:t>4%</w:t>
            </w:r>
          </w:p>
        </w:tc>
        <w:tc>
          <w:tcPr>
            <w:tcW w:w="275" w:type="dxa"/>
            <w:tcBorders>
              <w:top w:val="nil"/>
              <w:left w:val="nil"/>
              <w:bottom w:val="nil"/>
              <w:right w:val="nil"/>
            </w:tcBorders>
          </w:tcPr>
          <w:p w14:paraId="48022853" w14:textId="77777777" w:rsidR="00904AA8" w:rsidRPr="00E020D4" w:rsidRDefault="00904AA8" w:rsidP="002065E0">
            <w:pPr>
              <w:spacing w:line="240" w:lineRule="auto"/>
              <w:ind w:right="-68"/>
              <w:jc w:val="right"/>
              <w:rPr>
                <w:rFonts w:cstheme="minorHAnsi"/>
                <w:i/>
                <w:lang w:val="en-US"/>
              </w:rPr>
            </w:pPr>
          </w:p>
        </w:tc>
      </w:tr>
    </w:tbl>
    <w:p w14:paraId="05AC8139" w14:textId="5B2B7115" w:rsidR="00263997" w:rsidRPr="008717AB" w:rsidRDefault="00263997" w:rsidP="00263997">
      <w:pPr>
        <w:jc w:val="both"/>
        <w:rPr>
          <w:lang w:val="nl-NL"/>
        </w:rPr>
      </w:pPr>
      <w:r w:rsidRPr="008717AB">
        <w:rPr>
          <w:lang w:val="nl-NL"/>
        </w:rPr>
        <w:lastRenderedPageBreak/>
        <w:t xml:space="preserve">Tijdens de jaarlijkse algemene vergadering van aandeelhouders van 23 mei 2019 kondigde </w:t>
      </w:r>
      <w:r w:rsidRPr="008717AB">
        <w:rPr>
          <w:color w:val="BA0C2F"/>
          <w:lang w:val="nl-NL"/>
        </w:rPr>
        <w:t>Rood</w:t>
      </w:r>
      <w:r w:rsidRPr="008717AB">
        <w:rPr>
          <w:lang w:val="nl-NL"/>
        </w:rPr>
        <w:t xml:space="preserve">Microtec aan dat de huidige </w:t>
      </w:r>
      <w:r w:rsidR="00BE0D67">
        <w:rPr>
          <w:lang w:val="nl-NL"/>
        </w:rPr>
        <w:t>accountant</w:t>
      </w:r>
      <w:r w:rsidRPr="008717AB">
        <w:rPr>
          <w:lang w:val="nl-NL"/>
        </w:rPr>
        <w:t xml:space="preserve"> Baker Tilly, besloten heeft om de controle van beursgenoteerde ondernemingen stop te zetten. </w:t>
      </w:r>
      <w:r w:rsidR="008717AB" w:rsidRPr="008717AB">
        <w:rPr>
          <w:lang w:val="nl-NL"/>
        </w:rPr>
        <w:t xml:space="preserve">De zoektocht naar een nieuwe </w:t>
      </w:r>
      <w:r w:rsidR="00BE0D67">
        <w:rPr>
          <w:lang w:val="nl-NL"/>
        </w:rPr>
        <w:t xml:space="preserve">accountant </w:t>
      </w:r>
      <w:r w:rsidR="008717AB" w:rsidRPr="008717AB">
        <w:rPr>
          <w:lang w:val="nl-NL"/>
        </w:rPr>
        <w:t>is in volle gang.</w:t>
      </w:r>
      <w:r w:rsidR="008717AB">
        <w:rPr>
          <w:lang w:val="nl-NL"/>
        </w:rPr>
        <w:t xml:space="preserve"> </w:t>
      </w:r>
      <w:r w:rsidRPr="008717AB">
        <w:rPr>
          <w:lang w:val="nl-NL"/>
        </w:rPr>
        <w:t xml:space="preserve">Vanwege het beperkte aantal accountantskantoren met een </w:t>
      </w:r>
      <w:r w:rsidR="00BE0D67">
        <w:rPr>
          <w:lang w:val="nl-NL"/>
        </w:rPr>
        <w:t xml:space="preserve">OOB </w:t>
      </w:r>
      <w:r w:rsidRPr="008717AB">
        <w:rPr>
          <w:lang w:val="nl-NL"/>
        </w:rPr>
        <w:t xml:space="preserve">vergunning, ervaren wij dat het voor een kleine beursgenoteerde onderneming </w:t>
      </w:r>
      <w:r w:rsidR="00BE0D67">
        <w:rPr>
          <w:lang w:val="nl-NL"/>
        </w:rPr>
        <w:t>zo</w:t>
      </w:r>
      <w:r w:rsidRPr="008717AB">
        <w:rPr>
          <w:lang w:val="nl-NL"/>
        </w:rPr>
        <w:t xml:space="preserve">als </w:t>
      </w:r>
      <w:r w:rsidRPr="008717AB">
        <w:rPr>
          <w:color w:val="BA0C2F"/>
          <w:lang w:val="nl-NL"/>
        </w:rPr>
        <w:t>Rood</w:t>
      </w:r>
      <w:r w:rsidRPr="008717AB">
        <w:rPr>
          <w:lang w:val="nl-NL"/>
        </w:rPr>
        <w:t>Microtec een uitdaging is om een accountantskantoor te vinden dat bereid is om de controleopdracht voor een nieuwe klant te aanvaarden, zeker wanneer deze tot april 2020 moet zijn afgerond.</w:t>
      </w:r>
    </w:p>
    <w:p w14:paraId="45E60E85" w14:textId="77777777" w:rsidR="00BA12AF" w:rsidRPr="00263997" w:rsidRDefault="00BA12AF" w:rsidP="00263997">
      <w:pPr>
        <w:spacing w:before="240" w:after="0"/>
        <w:rPr>
          <w:rFonts w:asciiTheme="minorHAnsi" w:hAnsiTheme="minorHAnsi"/>
          <w:b/>
          <w:color w:val="B71234"/>
          <w:lang w:val="nl-NL"/>
        </w:rPr>
      </w:pPr>
      <w:r w:rsidRPr="00263997">
        <w:rPr>
          <w:rFonts w:asciiTheme="minorHAnsi" w:hAnsiTheme="minorHAnsi"/>
          <w:b/>
          <w:color w:val="B71234"/>
          <w:lang w:val="nl-NL"/>
        </w:rPr>
        <w:t>Conference call</w:t>
      </w:r>
    </w:p>
    <w:p w14:paraId="25C7E19B" w14:textId="77777777" w:rsidR="00263997" w:rsidRDefault="00BA12AF" w:rsidP="00BA12AF">
      <w:pPr>
        <w:spacing w:after="0"/>
        <w:jc w:val="both"/>
        <w:rPr>
          <w:lang w:val="nl-NL"/>
        </w:rPr>
      </w:pPr>
      <w:r w:rsidRPr="003B587A">
        <w:rPr>
          <w:lang w:val="nl-NL"/>
        </w:rPr>
        <w:t xml:space="preserve">U wordt uitgenodigd om deel te nemen aan </w:t>
      </w:r>
      <w:r w:rsidRPr="003B587A">
        <w:rPr>
          <w:color w:val="BA0C2F"/>
          <w:lang w:val="nl-NL"/>
        </w:rPr>
        <w:t>Rood</w:t>
      </w:r>
      <w:r w:rsidRPr="003B587A">
        <w:rPr>
          <w:lang w:val="nl-NL"/>
        </w:rPr>
        <w:t>Microtecs conference</w:t>
      </w:r>
      <w:r w:rsidR="00263997">
        <w:rPr>
          <w:lang w:val="nl-NL"/>
        </w:rPr>
        <w:t xml:space="preserve"> call voor pers en analisten op</w:t>
      </w:r>
    </w:p>
    <w:p w14:paraId="0026B042" w14:textId="77777777" w:rsidR="00263997" w:rsidRDefault="003B587A" w:rsidP="00263997">
      <w:pPr>
        <w:spacing w:after="0"/>
        <w:jc w:val="center"/>
        <w:rPr>
          <w:lang w:val="nl-NL"/>
        </w:rPr>
      </w:pPr>
      <w:r>
        <w:rPr>
          <w:b/>
          <w:lang w:val="nl-NL"/>
        </w:rPr>
        <w:t>donderdag 1</w:t>
      </w:r>
      <w:r w:rsidR="00BA12AF" w:rsidRPr="003B587A">
        <w:rPr>
          <w:b/>
          <w:lang w:val="nl-NL"/>
        </w:rPr>
        <w:t> augustus 201</w:t>
      </w:r>
      <w:r>
        <w:rPr>
          <w:b/>
          <w:lang w:val="nl-NL"/>
        </w:rPr>
        <w:t>9</w:t>
      </w:r>
      <w:r w:rsidR="00BA12AF" w:rsidRPr="003B587A">
        <w:rPr>
          <w:b/>
          <w:lang w:val="nl-NL"/>
        </w:rPr>
        <w:t xml:space="preserve"> om 9:30 uur</w:t>
      </w:r>
      <w:r w:rsidR="00263997">
        <w:rPr>
          <w:lang w:val="nl-NL"/>
        </w:rPr>
        <w:t>.</w:t>
      </w:r>
    </w:p>
    <w:p w14:paraId="67448940" w14:textId="77777777" w:rsidR="00BA12AF" w:rsidRPr="003B587A" w:rsidRDefault="00BA12AF" w:rsidP="00BA12AF">
      <w:pPr>
        <w:spacing w:after="0"/>
        <w:jc w:val="both"/>
        <w:rPr>
          <w:lang w:val="nl-NL"/>
        </w:rPr>
      </w:pPr>
      <w:r w:rsidRPr="003B587A">
        <w:rPr>
          <w:lang w:val="nl-NL"/>
        </w:rPr>
        <w:t>De directie zal daarin het halfjaarbericht 201</w:t>
      </w:r>
      <w:r w:rsidR="003B587A">
        <w:rPr>
          <w:lang w:val="nl-NL"/>
        </w:rPr>
        <w:t>9</w:t>
      </w:r>
      <w:r w:rsidRPr="003B587A">
        <w:rPr>
          <w:lang w:val="nl-NL"/>
        </w:rPr>
        <w:t xml:space="preserve"> in detail bespreken en uw vragen beantwoorden.</w:t>
      </w:r>
    </w:p>
    <w:p w14:paraId="155AD2E1" w14:textId="77777777" w:rsidR="00C92DE2" w:rsidRDefault="00C92DE2" w:rsidP="00BA12AF">
      <w:pPr>
        <w:spacing w:after="0"/>
        <w:jc w:val="both"/>
        <w:rPr>
          <w:lang w:val="nl-NL"/>
        </w:rPr>
      </w:pPr>
    </w:p>
    <w:p w14:paraId="4B523BB6" w14:textId="14D047AF" w:rsidR="00BA12AF" w:rsidRPr="003B587A" w:rsidRDefault="00BA12AF" w:rsidP="00BA12AF">
      <w:pPr>
        <w:spacing w:after="0"/>
        <w:jc w:val="both"/>
        <w:rPr>
          <w:lang w:val="nl-NL"/>
        </w:rPr>
      </w:pPr>
      <w:r w:rsidRPr="003B587A">
        <w:rPr>
          <w:lang w:val="nl-NL"/>
        </w:rPr>
        <w:t>Het inbelnummer voor de call is:</w:t>
      </w:r>
      <w:r w:rsidRPr="003B587A">
        <w:rPr>
          <w:lang w:val="nl-NL"/>
        </w:rPr>
        <w:tab/>
        <w:t xml:space="preserve"> </w:t>
      </w:r>
      <w:r w:rsidRPr="003B587A">
        <w:rPr>
          <w:b/>
          <w:lang w:val="nl-NL"/>
        </w:rPr>
        <w:t>+31 (0)20 531 5850</w:t>
      </w:r>
      <w:r w:rsidRPr="003B587A">
        <w:rPr>
          <w:lang w:val="nl-NL"/>
        </w:rPr>
        <w:t xml:space="preserve"> (via operator)</w:t>
      </w:r>
    </w:p>
    <w:p w14:paraId="2CC986B7" w14:textId="77777777" w:rsidR="003B587A" w:rsidRPr="00263997" w:rsidRDefault="003B587A" w:rsidP="00263997">
      <w:pPr>
        <w:spacing w:before="240" w:after="0"/>
        <w:rPr>
          <w:rFonts w:asciiTheme="minorHAnsi" w:hAnsiTheme="minorHAnsi"/>
          <w:b/>
          <w:color w:val="B71234"/>
          <w:lang w:val="nl-NL"/>
        </w:rPr>
      </w:pPr>
      <w:r w:rsidRPr="00263997">
        <w:rPr>
          <w:rFonts w:asciiTheme="minorHAnsi" w:hAnsiTheme="minorHAnsi"/>
          <w:b/>
          <w:color w:val="B71234"/>
          <w:lang w:val="nl-NL"/>
        </w:rPr>
        <w:t>Financiële agenda</w:t>
      </w:r>
    </w:p>
    <w:tbl>
      <w:tblPr>
        <w:tblW w:w="9604" w:type="dxa"/>
        <w:tblInd w:w="2" w:type="dxa"/>
        <w:tblLook w:val="00A0" w:firstRow="1" w:lastRow="0" w:firstColumn="1" w:lastColumn="0" w:noHBand="0" w:noVBand="0"/>
      </w:tblPr>
      <w:tblGrid>
        <w:gridCol w:w="2800"/>
        <w:gridCol w:w="6804"/>
      </w:tblGrid>
      <w:tr w:rsidR="003B587A" w:rsidRPr="00263997" w14:paraId="12F0F816" w14:textId="77777777" w:rsidTr="003B587A">
        <w:trPr>
          <w:trHeight w:val="292"/>
        </w:trPr>
        <w:tc>
          <w:tcPr>
            <w:tcW w:w="2800" w:type="dxa"/>
            <w:hideMark/>
          </w:tcPr>
          <w:p w14:paraId="4A41ECE7" w14:textId="77777777" w:rsidR="003B587A" w:rsidRPr="00263997" w:rsidRDefault="003B587A">
            <w:pPr>
              <w:spacing w:after="0"/>
              <w:jc w:val="both"/>
              <w:rPr>
                <w:rFonts w:cs="Calibri"/>
                <w:lang w:val="nl-NL"/>
              </w:rPr>
            </w:pPr>
            <w:r w:rsidRPr="00263997">
              <w:rPr>
                <w:rFonts w:cs="Calibri"/>
                <w:lang w:val="nl-NL"/>
              </w:rPr>
              <w:t>01 augustus 2019</w:t>
            </w:r>
          </w:p>
        </w:tc>
        <w:tc>
          <w:tcPr>
            <w:tcW w:w="6804" w:type="dxa"/>
            <w:hideMark/>
          </w:tcPr>
          <w:p w14:paraId="5E2A2C43" w14:textId="77777777" w:rsidR="003B587A" w:rsidRPr="00263997" w:rsidRDefault="003B587A">
            <w:pPr>
              <w:spacing w:after="0"/>
              <w:jc w:val="both"/>
              <w:rPr>
                <w:rFonts w:cs="Calibri"/>
                <w:lang w:val="nl-NL"/>
              </w:rPr>
            </w:pPr>
            <w:r w:rsidRPr="00263997">
              <w:rPr>
                <w:rFonts w:cs="Calibri"/>
                <w:lang w:val="nl-NL"/>
              </w:rPr>
              <w:t>Conference call voor pers en analisten</w:t>
            </w:r>
          </w:p>
        </w:tc>
      </w:tr>
      <w:tr w:rsidR="003B587A" w:rsidRPr="00263997" w14:paraId="6E077D2E" w14:textId="77777777" w:rsidTr="003B587A">
        <w:trPr>
          <w:trHeight w:val="292"/>
        </w:trPr>
        <w:tc>
          <w:tcPr>
            <w:tcW w:w="2800" w:type="dxa"/>
            <w:hideMark/>
          </w:tcPr>
          <w:p w14:paraId="416A0D21" w14:textId="77777777" w:rsidR="003B587A" w:rsidRPr="00263997" w:rsidRDefault="003B587A">
            <w:pPr>
              <w:spacing w:after="0"/>
              <w:jc w:val="both"/>
              <w:rPr>
                <w:rFonts w:cs="Calibri"/>
                <w:lang w:val="nl-NL"/>
              </w:rPr>
            </w:pPr>
            <w:r w:rsidRPr="00263997">
              <w:rPr>
                <w:rFonts w:cs="Calibri"/>
                <w:lang w:val="nl-NL"/>
              </w:rPr>
              <w:t>17 october 2019</w:t>
            </w:r>
          </w:p>
        </w:tc>
        <w:tc>
          <w:tcPr>
            <w:tcW w:w="6804" w:type="dxa"/>
            <w:hideMark/>
          </w:tcPr>
          <w:p w14:paraId="1C867A1D" w14:textId="77777777" w:rsidR="003B587A" w:rsidRPr="00263997" w:rsidRDefault="003B587A">
            <w:pPr>
              <w:spacing w:after="0"/>
              <w:jc w:val="both"/>
              <w:rPr>
                <w:rFonts w:cs="Calibri"/>
                <w:lang w:val="nl-NL"/>
              </w:rPr>
            </w:pPr>
            <w:r w:rsidRPr="00263997">
              <w:rPr>
                <w:rFonts w:cs="Calibri"/>
                <w:lang w:val="nl-NL"/>
              </w:rPr>
              <w:t>Trading update kwartaal 3-2019</w:t>
            </w:r>
          </w:p>
        </w:tc>
      </w:tr>
      <w:tr w:rsidR="003B587A" w:rsidRPr="00263997" w14:paraId="3A457DC0" w14:textId="77777777" w:rsidTr="003B587A">
        <w:trPr>
          <w:trHeight w:val="292"/>
        </w:trPr>
        <w:tc>
          <w:tcPr>
            <w:tcW w:w="2800" w:type="dxa"/>
            <w:hideMark/>
          </w:tcPr>
          <w:p w14:paraId="305A34F7" w14:textId="77777777" w:rsidR="003B587A" w:rsidRPr="00263997" w:rsidRDefault="003B587A">
            <w:pPr>
              <w:spacing w:after="0"/>
              <w:jc w:val="both"/>
              <w:rPr>
                <w:rFonts w:cs="Calibri"/>
                <w:lang w:val="nl-NL"/>
              </w:rPr>
            </w:pPr>
            <w:r w:rsidRPr="00263997">
              <w:rPr>
                <w:rFonts w:cs="Calibri"/>
                <w:lang w:val="nl-NL"/>
              </w:rPr>
              <w:t>23 januari 2020</w:t>
            </w:r>
            <w:r w:rsidR="00263997">
              <w:rPr>
                <w:rFonts w:cs="Calibri"/>
                <w:lang w:val="nl-NL"/>
              </w:rPr>
              <w:t xml:space="preserve"> -</w:t>
            </w:r>
          </w:p>
        </w:tc>
        <w:tc>
          <w:tcPr>
            <w:tcW w:w="6804" w:type="dxa"/>
            <w:hideMark/>
          </w:tcPr>
          <w:p w14:paraId="0FAEA6E6" w14:textId="77777777" w:rsidR="003B587A" w:rsidRPr="00263997" w:rsidRDefault="003B587A">
            <w:pPr>
              <w:spacing w:after="0"/>
              <w:jc w:val="both"/>
              <w:rPr>
                <w:rFonts w:cs="Calibri"/>
                <w:lang w:val="nl-NL"/>
              </w:rPr>
            </w:pPr>
            <w:r w:rsidRPr="00263997">
              <w:rPr>
                <w:rFonts w:cs="Calibri"/>
                <w:lang w:val="nl-NL"/>
              </w:rPr>
              <w:t>Publicatie (voorlopige) omzet 2019</w:t>
            </w:r>
          </w:p>
        </w:tc>
      </w:tr>
      <w:tr w:rsidR="003B587A" w:rsidRPr="00263997" w14:paraId="31769588" w14:textId="77777777" w:rsidTr="003B587A">
        <w:trPr>
          <w:trHeight w:val="292"/>
        </w:trPr>
        <w:tc>
          <w:tcPr>
            <w:tcW w:w="2800" w:type="dxa"/>
            <w:hideMark/>
          </w:tcPr>
          <w:p w14:paraId="16F6116F" w14:textId="77777777" w:rsidR="003B587A" w:rsidRPr="00263997" w:rsidRDefault="003B587A">
            <w:pPr>
              <w:spacing w:after="0"/>
              <w:jc w:val="both"/>
              <w:rPr>
                <w:rFonts w:cs="Calibri"/>
                <w:lang w:val="nl-NL"/>
              </w:rPr>
            </w:pPr>
            <w:r w:rsidRPr="00263997">
              <w:rPr>
                <w:rFonts w:cs="Calibri"/>
                <w:lang w:val="nl-NL"/>
              </w:rPr>
              <w:t>12 maart 2020</w:t>
            </w:r>
          </w:p>
        </w:tc>
        <w:tc>
          <w:tcPr>
            <w:tcW w:w="6804" w:type="dxa"/>
            <w:hideMark/>
          </w:tcPr>
          <w:p w14:paraId="79078B44" w14:textId="77777777" w:rsidR="003B587A" w:rsidRPr="00263997" w:rsidRDefault="003B587A">
            <w:pPr>
              <w:spacing w:after="0"/>
              <w:jc w:val="both"/>
              <w:rPr>
                <w:rFonts w:cs="Calibri"/>
                <w:lang w:val="nl-NL"/>
              </w:rPr>
            </w:pPr>
            <w:r w:rsidRPr="00263997">
              <w:rPr>
                <w:rFonts w:cs="Calibri"/>
                <w:lang w:val="nl-NL"/>
              </w:rPr>
              <w:t>Publicatie (voorlopige) jaarcijfers 2019</w:t>
            </w:r>
          </w:p>
        </w:tc>
      </w:tr>
      <w:tr w:rsidR="003B587A" w:rsidRPr="00263997" w14:paraId="487C0DA6" w14:textId="77777777" w:rsidTr="003B587A">
        <w:trPr>
          <w:trHeight w:val="292"/>
        </w:trPr>
        <w:tc>
          <w:tcPr>
            <w:tcW w:w="2800" w:type="dxa"/>
            <w:hideMark/>
          </w:tcPr>
          <w:p w14:paraId="2D53568D" w14:textId="77777777" w:rsidR="003B587A" w:rsidRPr="00263997" w:rsidRDefault="003B587A">
            <w:pPr>
              <w:spacing w:after="0"/>
              <w:jc w:val="both"/>
              <w:rPr>
                <w:rFonts w:cs="Calibri"/>
                <w:lang w:val="nl-NL"/>
              </w:rPr>
            </w:pPr>
            <w:r w:rsidRPr="00263997">
              <w:rPr>
                <w:rFonts w:cs="Calibri"/>
                <w:lang w:val="nl-NL"/>
              </w:rPr>
              <w:t>12 maart 2020</w:t>
            </w:r>
          </w:p>
        </w:tc>
        <w:tc>
          <w:tcPr>
            <w:tcW w:w="6804" w:type="dxa"/>
            <w:hideMark/>
          </w:tcPr>
          <w:p w14:paraId="712C3862" w14:textId="77777777" w:rsidR="003B587A" w:rsidRPr="00263997" w:rsidRDefault="003B587A">
            <w:pPr>
              <w:spacing w:after="0"/>
              <w:jc w:val="both"/>
              <w:rPr>
                <w:rFonts w:cs="Calibri"/>
                <w:lang w:val="nl-NL"/>
              </w:rPr>
            </w:pPr>
            <w:r w:rsidRPr="00263997">
              <w:rPr>
                <w:rFonts w:cs="Calibri"/>
                <w:lang w:val="nl-NL"/>
              </w:rPr>
              <w:t>Conference call voor pers en analisten</w:t>
            </w:r>
          </w:p>
        </w:tc>
      </w:tr>
      <w:tr w:rsidR="003B587A" w:rsidRPr="00263997" w14:paraId="2D032C55" w14:textId="77777777" w:rsidTr="003B587A">
        <w:trPr>
          <w:trHeight w:val="292"/>
        </w:trPr>
        <w:tc>
          <w:tcPr>
            <w:tcW w:w="2800" w:type="dxa"/>
            <w:hideMark/>
          </w:tcPr>
          <w:p w14:paraId="5A24717E" w14:textId="77777777" w:rsidR="003B587A" w:rsidRPr="00263997" w:rsidRDefault="003B587A">
            <w:pPr>
              <w:spacing w:after="0"/>
              <w:jc w:val="both"/>
              <w:rPr>
                <w:rFonts w:cs="Calibri"/>
                <w:lang w:val="nl-NL"/>
              </w:rPr>
            </w:pPr>
            <w:r w:rsidRPr="00263997">
              <w:rPr>
                <w:rFonts w:cs="Calibri"/>
                <w:lang w:val="nl-NL"/>
              </w:rPr>
              <w:t>09 april 2020</w:t>
            </w:r>
          </w:p>
        </w:tc>
        <w:tc>
          <w:tcPr>
            <w:tcW w:w="6804" w:type="dxa"/>
            <w:hideMark/>
          </w:tcPr>
          <w:p w14:paraId="4322E6F5" w14:textId="77777777" w:rsidR="003B587A" w:rsidRPr="00263997" w:rsidRDefault="003B587A">
            <w:pPr>
              <w:spacing w:after="0"/>
              <w:jc w:val="both"/>
              <w:rPr>
                <w:rFonts w:cs="Calibri"/>
                <w:lang w:val="nl-NL"/>
              </w:rPr>
            </w:pPr>
            <w:r w:rsidRPr="00263997">
              <w:rPr>
                <w:rFonts w:cs="Calibri"/>
                <w:lang w:val="nl-NL"/>
              </w:rPr>
              <w:t>Publicatie jaarverslag 2019</w:t>
            </w:r>
          </w:p>
        </w:tc>
      </w:tr>
      <w:tr w:rsidR="003B587A" w:rsidRPr="00263997" w14:paraId="0505FA65" w14:textId="77777777" w:rsidTr="003B587A">
        <w:trPr>
          <w:trHeight w:val="292"/>
        </w:trPr>
        <w:tc>
          <w:tcPr>
            <w:tcW w:w="2800" w:type="dxa"/>
            <w:hideMark/>
          </w:tcPr>
          <w:p w14:paraId="6DC87EDC" w14:textId="77777777" w:rsidR="003B587A" w:rsidRPr="00263997" w:rsidRDefault="003B587A">
            <w:pPr>
              <w:spacing w:after="0"/>
              <w:jc w:val="both"/>
              <w:rPr>
                <w:rFonts w:cs="Calibri"/>
                <w:lang w:val="nl-NL"/>
              </w:rPr>
            </w:pPr>
            <w:r w:rsidRPr="00263997">
              <w:rPr>
                <w:rFonts w:cs="Calibri"/>
                <w:lang w:val="nl-NL"/>
              </w:rPr>
              <w:t>09 april 2020</w:t>
            </w:r>
          </w:p>
        </w:tc>
        <w:tc>
          <w:tcPr>
            <w:tcW w:w="6804" w:type="dxa"/>
            <w:hideMark/>
          </w:tcPr>
          <w:p w14:paraId="3FB7B0CA" w14:textId="77777777" w:rsidR="003B587A" w:rsidRPr="00263997" w:rsidRDefault="003B587A">
            <w:pPr>
              <w:spacing w:after="0"/>
              <w:jc w:val="both"/>
              <w:rPr>
                <w:rFonts w:cs="Calibri"/>
                <w:lang w:val="nl-NL"/>
              </w:rPr>
            </w:pPr>
            <w:r w:rsidRPr="00263997">
              <w:rPr>
                <w:rFonts w:cs="Calibri"/>
                <w:lang w:val="nl-NL"/>
              </w:rPr>
              <w:t>Trading update kwartaal 1-2020</w:t>
            </w:r>
          </w:p>
        </w:tc>
      </w:tr>
      <w:tr w:rsidR="003B587A" w:rsidRPr="00263997" w14:paraId="4E4BF758" w14:textId="77777777" w:rsidTr="003B587A">
        <w:trPr>
          <w:trHeight w:val="292"/>
        </w:trPr>
        <w:tc>
          <w:tcPr>
            <w:tcW w:w="2800" w:type="dxa"/>
            <w:hideMark/>
          </w:tcPr>
          <w:p w14:paraId="5163B355" w14:textId="77777777" w:rsidR="003B587A" w:rsidRPr="00263997" w:rsidRDefault="003B587A">
            <w:pPr>
              <w:spacing w:after="0"/>
              <w:jc w:val="both"/>
              <w:rPr>
                <w:rFonts w:cs="Calibri"/>
                <w:lang w:val="nl-NL"/>
              </w:rPr>
            </w:pPr>
            <w:r w:rsidRPr="00263997">
              <w:rPr>
                <w:rFonts w:cs="Calibri"/>
                <w:lang w:val="nl-NL"/>
              </w:rPr>
              <w:t>28 mei 2020</w:t>
            </w:r>
          </w:p>
        </w:tc>
        <w:tc>
          <w:tcPr>
            <w:tcW w:w="6804" w:type="dxa"/>
            <w:hideMark/>
          </w:tcPr>
          <w:p w14:paraId="78E39805" w14:textId="77777777" w:rsidR="003B587A" w:rsidRPr="00263997" w:rsidRDefault="003B587A">
            <w:pPr>
              <w:spacing w:after="0"/>
              <w:jc w:val="both"/>
              <w:rPr>
                <w:rFonts w:cs="Calibri"/>
                <w:lang w:val="nl-NL"/>
              </w:rPr>
            </w:pPr>
            <w:r w:rsidRPr="00263997">
              <w:rPr>
                <w:rFonts w:cs="Calibri"/>
                <w:lang w:val="nl-NL"/>
              </w:rPr>
              <w:t>Algemene vergadering van aandeelhouders</w:t>
            </w:r>
          </w:p>
        </w:tc>
      </w:tr>
      <w:tr w:rsidR="003B587A" w:rsidRPr="00263997" w14:paraId="1E69FDA8" w14:textId="77777777" w:rsidTr="003B587A">
        <w:trPr>
          <w:trHeight w:val="292"/>
        </w:trPr>
        <w:tc>
          <w:tcPr>
            <w:tcW w:w="2800" w:type="dxa"/>
            <w:hideMark/>
          </w:tcPr>
          <w:p w14:paraId="535CCACD" w14:textId="77777777" w:rsidR="003B587A" w:rsidRPr="00263997" w:rsidRDefault="003B587A">
            <w:pPr>
              <w:spacing w:after="0"/>
              <w:jc w:val="both"/>
              <w:rPr>
                <w:rFonts w:cs="Calibri"/>
                <w:lang w:val="nl-NL"/>
              </w:rPr>
            </w:pPr>
            <w:r w:rsidRPr="00263997">
              <w:rPr>
                <w:rFonts w:cs="Calibri"/>
                <w:lang w:val="nl-NL"/>
              </w:rPr>
              <w:t>29 mei 2020</w:t>
            </w:r>
          </w:p>
        </w:tc>
        <w:tc>
          <w:tcPr>
            <w:tcW w:w="6804" w:type="dxa"/>
            <w:hideMark/>
          </w:tcPr>
          <w:p w14:paraId="29DD0087" w14:textId="77777777" w:rsidR="003B587A" w:rsidRPr="00263997" w:rsidRDefault="003B587A">
            <w:pPr>
              <w:spacing w:after="0"/>
              <w:jc w:val="both"/>
              <w:rPr>
                <w:rFonts w:cs="Calibri"/>
                <w:lang w:val="nl-NL"/>
              </w:rPr>
            </w:pPr>
            <w:r w:rsidRPr="00263997">
              <w:rPr>
                <w:rFonts w:cs="Calibri"/>
                <w:lang w:val="nl-NL"/>
              </w:rPr>
              <w:t>Algemene vergadering van obligatiehouders</w:t>
            </w:r>
          </w:p>
        </w:tc>
      </w:tr>
      <w:tr w:rsidR="003B587A" w:rsidRPr="00263997" w14:paraId="1E6D1529" w14:textId="77777777" w:rsidTr="003B587A">
        <w:trPr>
          <w:trHeight w:val="292"/>
        </w:trPr>
        <w:tc>
          <w:tcPr>
            <w:tcW w:w="2800" w:type="dxa"/>
            <w:hideMark/>
          </w:tcPr>
          <w:p w14:paraId="6334DBDD" w14:textId="77777777" w:rsidR="003B587A" w:rsidRPr="00263997" w:rsidRDefault="003B587A">
            <w:pPr>
              <w:spacing w:after="0"/>
              <w:jc w:val="both"/>
              <w:rPr>
                <w:rFonts w:cs="Calibri"/>
                <w:lang w:val="nl-NL"/>
              </w:rPr>
            </w:pPr>
            <w:r w:rsidRPr="00263997">
              <w:rPr>
                <w:rFonts w:cs="Calibri"/>
                <w:lang w:val="nl-NL"/>
              </w:rPr>
              <w:t>30 juli 2020</w:t>
            </w:r>
          </w:p>
        </w:tc>
        <w:tc>
          <w:tcPr>
            <w:tcW w:w="6804" w:type="dxa"/>
            <w:hideMark/>
          </w:tcPr>
          <w:p w14:paraId="7DE39236" w14:textId="77777777" w:rsidR="003B587A" w:rsidRPr="00263997" w:rsidRDefault="003B587A">
            <w:pPr>
              <w:spacing w:after="0"/>
              <w:jc w:val="both"/>
              <w:rPr>
                <w:rFonts w:cs="Calibri"/>
                <w:lang w:val="nl-NL"/>
              </w:rPr>
            </w:pPr>
            <w:r w:rsidRPr="00263997">
              <w:rPr>
                <w:rFonts w:cs="Calibri"/>
                <w:lang w:val="nl-NL"/>
              </w:rPr>
              <w:t>Publicatie halfjaarbericht 2020</w:t>
            </w:r>
          </w:p>
        </w:tc>
      </w:tr>
      <w:tr w:rsidR="003B587A" w:rsidRPr="00263997" w14:paraId="17FCD638" w14:textId="77777777" w:rsidTr="003B587A">
        <w:trPr>
          <w:trHeight w:val="292"/>
        </w:trPr>
        <w:tc>
          <w:tcPr>
            <w:tcW w:w="2800" w:type="dxa"/>
            <w:hideMark/>
          </w:tcPr>
          <w:p w14:paraId="59D17CF7" w14:textId="77777777" w:rsidR="003B587A" w:rsidRPr="00263997" w:rsidRDefault="003B587A">
            <w:pPr>
              <w:spacing w:after="0"/>
              <w:jc w:val="both"/>
              <w:rPr>
                <w:rFonts w:cs="Calibri"/>
                <w:lang w:val="nl-NL"/>
              </w:rPr>
            </w:pPr>
            <w:r w:rsidRPr="00263997">
              <w:rPr>
                <w:rFonts w:cs="Calibri"/>
                <w:lang w:val="nl-NL"/>
              </w:rPr>
              <w:t>30 juli 2020</w:t>
            </w:r>
          </w:p>
        </w:tc>
        <w:tc>
          <w:tcPr>
            <w:tcW w:w="6804" w:type="dxa"/>
            <w:hideMark/>
          </w:tcPr>
          <w:p w14:paraId="54B3FCFA" w14:textId="77777777" w:rsidR="003B587A" w:rsidRPr="00263997" w:rsidRDefault="003B587A">
            <w:pPr>
              <w:spacing w:after="0"/>
              <w:jc w:val="both"/>
              <w:rPr>
                <w:rFonts w:cs="Calibri"/>
                <w:lang w:val="nl-NL"/>
              </w:rPr>
            </w:pPr>
            <w:r w:rsidRPr="00263997">
              <w:rPr>
                <w:rFonts w:cs="Calibri"/>
                <w:lang w:val="nl-NL"/>
              </w:rPr>
              <w:t>Conference call voor pers en analisten</w:t>
            </w:r>
          </w:p>
        </w:tc>
      </w:tr>
      <w:tr w:rsidR="003B587A" w:rsidRPr="00263997" w14:paraId="0A29A177" w14:textId="77777777" w:rsidTr="003B587A">
        <w:trPr>
          <w:trHeight w:val="292"/>
        </w:trPr>
        <w:tc>
          <w:tcPr>
            <w:tcW w:w="2800" w:type="dxa"/>
            <w:hideMark/>
          </w:tcPr>
          <w:p w14:paraId="59B2DC30" w14:textId="77777777" w:rsidR="003B587A" w:rsidRPr="00263997" w:rsidRDefault="003B587A">
            <w:pPr>
              <w:spacing w:after="0"/>
              <w:jc w:val="both"/>
              <w:rPr>
                <w:rFonts w:cs="Calibri"/>
                <w:lang w:val="nl-NL"/>
              </w:rPr>
            </w:pPr>
            <w:r w:rsidRPr="00263997">
              <w:rPr>
                <w:rFonts w:cs="Calibri"/>
                <w:lang w:val="nl-NL"/>
              </w:rPr>
              <w:t>15 october 2020</w:t>
            </w:r>
          </w:p>
        </w:tc>
        <w:tc>
          <w:tcPr>
            <w:tcW w:w="6804" w:type="dxa"/>
            <w:hideMark/>
          </w:tcPr>
          <w:p w14:paraId="3DB5FFF8" w14:textId="77777777" w:rsidR="003B587A" w:rsidRPr="00263997" w:rsidRDefault="003B587A">
            <w:pPr>
              <w:spacing w:after="0"/>
              <w:jc w:val="both"/>
              <w:rPr>
                <w:rFonts w:cs="Calibri"/>
                <w:lang w:val="nl-NL"/>
              </w:rPr>
            </w:pPr>
            <w:r w:rsidRPr="00263997">
              <w:rPr>
                <w:rFonts w:cs="Calibri"/>
                <w:lang w:val="nl-NL"/>
              </w:rPr>
              <w:t>Trading update kwartaal 3-2020</w:t>
            </w:r>
          </w:p>
        </w:tc>
      </w:tr>
    </w:tbl>
    <w:p w14:paraId="7A2419EF" w14:textId="77777777" w:rsidR="00BA12AF" w:rsidRPr="00263997" w:rsidRDefault="00BA12AF" w:rsidP="00263997">
      <w:pPr>
        <w:spacing w:before="240" w:after="0"/>
        <w:rPr>
          <w:rFonts w:asciiTheme="minorHAnsi" w:hAnsiTheme="minorHAnsi"/>
          <w:b/>
          <w:color w:val="B71234"/>
          <w:lang w:val="nl-NL"/>
        </w:rPr>
      </w:pPr>
      <w:r w:rsidRPr="00263997">
        <w:rPr>
          <w:rFonts w:asciiTheme="minorHAnsi" w:hAnsiTheme="minorHAnsi"/>
          <w:b/>
          <w:color w:val="B71234"/>
          <w:lang w:val="nl-NL"/>
        </w:rPr>
        <w:t>Over RoodMicrotec</w:t>
      </w:r>
    </w:p>
    <w:p w14:paraId="5603DF82" w14:textId="77777777" w:rsidR="00BA12AF" w:rsidRPr="006C7B74" w:rsidRDefault="00BA12AF" w:rsidP="00BA12AF">
      <w:pPr>
        <w:tabs>
          <w:tab w:val="left" w:pos="9922"/>
        </w:tabs>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Pr>
          <w:lang w:val="nl-NL"/>
        </w:rPr>
        <w:t xml:space="preserve">rancier van halfgeleiders </w:t>
      </w:r>
      <w:r w:rsidRPr="006C7B74">
        <w:rPr>
          <w:lang w:val="nl-NL"/>
        </w:rPr>
        <w:t xml:space="preserve">en </w:t>
      </w:r>
      <w:r>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 xml:space="preserve">Microtec heeft haar hoofdkantoor in </w:t>
      </w:r>
      <w:r>
        <w:rPr>
          <w:lang w:val="nl-NL"/>
        </w:rPr>
        <w:t>Deventer</w:t>
      </w:r>
      <w:r w:rsidRPr="006C7B74">
        <w:rPr>
          <w:lang w:val="nl-NL"/>
        </w:rPr>
        <w:t>, met operationele vestigingen in Nördlingen en Stuttgart in Duitsland.</w:t>
      </w:r>
    </w:p>
    <w:p w14:paraId="6DA25777" w14:textId="77777777" w:rsidR="00BA12AF" w:rsidRDefault="00BA12AF" w:rsidP="00BA12AF">
      <w:pPr>
        <w:tabs>
          <w:tab w:val="left" w:pos="9922"/>
        </w:tabs>
        <w:spacing w:after="0"/>
        <w:jc w:val="both"/>
        <w:rPr>
          <w:rStyle w:val="Hyperlink"/>
          <w:rFonts w:asciiTheme="minorHAnsi" w:hAnsiTheme="minorHAnsi"/>
          <w:szCs w:val="20"/>
          <w:lang w:val="nl-NL"/>
        </w:rPr>
      </w:pPr>
      <w:r w:rsidRPr="006C7B74">
        <w:rPr>
          <w:rFonts w:asciiTheme="minorHAnsi" w:hAnsiTheme="minorHAnsi"/>
          <w:szCs w:val="20"/>
          <w:lang w:val="nl-NL"/>
        </w:rPr>
        <w:t xml:space="preserve">Meer informatie is te vinden op </w:t>
      </w:r>
      <w:r w:rsidR="00C92DE2">
        <w:fldChar w:fldCharType="begin"/>
      </w:r>
      <w:r w:rsidR="00C92DE2" w:rsidRPr="00C92DE2">
        <w:rPr>
          <w:lang w:val="nl-NL"/>
        </w:rPr>
        <w:instrText xml:space="preserve"> HYPERLINK "https://www.roodmicrotec.com" </w:instrText>
      </w:r>
      <w:r w:rsidR="00C92DE2">
        <w:fldChar w:fldCharType="separate"/>
      </w:r>
      <w:r w:rsidRPr="006C7B74">
        <w:rPr>
          <w:rStyle w:val="Hyperlink"/>
          <w:rFonts w:asciiTheme="minorHAnsi" w:hAnsiTheme="minorHAnsi"/>
          <w:szCs w:val="20"/>
          <w:lang w:val="nl-NL"/>
        </w:rPr>
        <w:t>https://www.roodmicrotec.com</w:t>
      </w:r>
      <w:r w:rsidR="00C92DE2">
        <w:rPr>
          <w:rStyle w:val="Hyperlink"/>
          <w:rFonts w:asciiTheme="minorHAnsi" w:hAnsiTheme="minorHAnsi"/>
          <w:szCs w:val="20"/>
          <w:lang w:val="nl-NL"/>
        </w:rPr>
        <w:fldChar w:fldCharType="end"/>
      </w:r>
    </w:p>
    <w:p w14:paraId="080256E3" w14:textId="77777777" w:rsidR="00BA12AF" w:rsidRPr="00263997" w:rsidRDefault="00BA12AF" w:rsidP="00263997">
      <w:pPr>
        <w:spacing w:before="240" w:after="0"/>
        <w:rPr>
          <w:rFonts w:asciiTheme="minorHAnsi" w:hAnsiTheme="minorHAnsi"/>
          <w:b/>
          <w:color w:val="B71234"/>
          <w:lang w:val="nl-NL"/>
        </w:rPr>
      </w:pPr>
      <w:r w:rsidRPr="00263997">
        <w:rPr>
          <w:rFonts w:asciiTheme="minorHAnsi" w:hAnsiTheme="minorHAnsi"/>
          <w:b/>
          <w:color w:val="B71234"/>
          <w:lang w:val="nl-NL"/>
        </w:rPr>
        <w:t>Voor nadere informatie:</w:t>
      </w:r>
    </w:p>
    <w:p w14:paraId="5CCBF03F" w14:textId="77777777" w:rsidR="00BA12AF" w:rsidRPr="006C7B74" w:rsidRDefault="00BA12AF" w:rsidP="00BA12AF">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Arvid Ladega - CFO</w:t>
      </w:r>
    </w:p>
    <w:p w14:paraId="5EB32182" w14:textId="4E9A200B" w:rsidR="00C92DE2" w:rsidRPr="00C92DE2" w:rsidRDefault="00BA12AF" w:rsidP="00BA12AF">
      <w:pPr>
        <w:tabs>
          <w:tab w:val="left" w:pos="2977"/>
          <w:tab w:val="left" w:pos="7371"/>
          <w:tab w:val="left" w:pos="9922"/>
        </w:tabs>
        <w:spacing w:after="0"/>
        <w:jc w:val="both"/>
        <w:rPr>
          <w:rFonts w:asciiTheme="minorHAnsi" w:hAnsiTheme="minorHAnsi"/>
          <w:color w:val="000000"/>
          <w:szCs w:val="20"/>
          <w:lang w:val="de-DE"/>
        </w:rPr>
      </w:pPr>
      <w:proofErr w:type="spellStart"/>
      <w:r w:rsidRPr="00C92DE2">
        <w:rPr>
          <w:rFonts w:asciiTheme="minorHAnsi" w:hAnsiTheme="minorHAnsi"/>
          <w:color w:val="000000"/>
          <w:szCs w:val="20"/>
          <w:lang w:val="de-DE"/>
        </w:rPr>
        <w:t>Telefoon</w:t>
      </w:r>
      <w:proofErr w:type="spellEnd"/>
      <w:r w:rsidRPr="00C92DE2">
        <w:rPr>
          <w:rFonts w:asciiTheme="minorHAnsi" w:hAnsiTheme="minorHAnsi"/>
          <w:color w:val="000000"/>
          <w:szCs w:val="20"/>
          <w:lang w:val="de-DE"/>
        </w:rPr>
        <w:t xml:space="preserve">: </w:t>
      </w:r>
      <w:bookmarkStart w:id="0" w:name="_Hlk8636411"/>
      <w:r w:rsidRPr="00C92DE2">
        <w:rPr>
          <w:rFonts w:asciiTheme="minorHAnsi" w:hAnsiTheme="minorHAnsi"/>
          <w:color w:val="000000"/>
          <w:szCs w:val="20"/>
          <w:lang w:val="de-DE"/>
        </w:rPr>
        <w:t>+31 570 745623</w:t>
      </w:r>
      <w:bookmarkEnd w:id="0"/>
      <w:r w:rsidRPr="00C92DE2">
        <w:rPr>
          <w:rFonts w:asciiTheme="minorHAnsi" w:hAnsiTheme="minorHAnsi"/>
          <w:color w:val="000000"/>
          <w:szCs w:val="20"/>
          <w:lang w:val="de-DE"/>
        </w:rPr>
        <w:tab/>
      </w:r>
      <w:bookmarkStart w:id="1" w:name="_GoBack"/>
      <w:bookmarkEnd w:id="1"/>
      <w:proofErr w:type="spellStart"/>
      <w:r w:rsidRPr="00C92DE2">
        <w:rPr>
          <w:rFonts w:asciiTheme="minorHAnsi" w:hAnsiTheme="minorHAnsi"/>
          <w:color w:val="000000"/>
          <w:szCs w:val="20"/>
          <w:lang w:val="de-DE"/>
        </w:rPr>
        <w:t>E-mail</w:t>
      </w:r>
      <w:proofErr w:type="spellEnd"/>
      <w:r w:rsidRPr="00C92DE2">
        <w:rPr>
          <w:rFonts w:asciiTheme="minorHAnsi" w:hAnsiTheme="minorHAnsi"/>
          <w:color w:val="000000"/>
          <w:szCs w:val="20"/>
          <w:lang w:val="de-DE"/>
        </w:rPr>
        <w:t xml:space="preserve">: </w:t>
      </w:r>
      <w:hyperlink r:id="rId11" w:history="1">
        <w:r w:rsidRPr="00C92DE2">
          <w:rPr>
            <w:rStyle w:val="Hyperlink"/>
            <w:rFonts w:asciiTheme="minorHAnsi" w:hAnsiTheme="minorHAnsi"/>
            <w:szCs w:val="20"/>
            <w:lang w:val="de-DE"/>
          </w:rPr>
          <w:t>investor-relations@roodmicrotec.com</w:t>
        </w:r>
      </w:hyperlink>
      <w:r w:rsidRPr="00C92DE2">
        <w:rPr>
          <w:rFonts w:asciiTheme="minorHAnsi" w:hAnsiTheme="minorHAnsi"/>
          <w:szCs w:val="20"/>
          <w:lang w:val="de-DE"/>
        </w:rPr>
        <w:tab/>
      </w:r>
      <w:r w:rsidRPr="00C92DE2">
        <w:rPr>
          <w:rFonts w:asciiTheme="minorHAnsi" w:hAnsiTheme="minorHAnsi"/>
          <w:color w:val="000000"/>
          <w:szCs w:val="20"/>
          <w:lang w:val="de-DE"/>
        </w:rPr>
        <w:t xml:space="preserve">Web: </w:t>
      </w:r>
      <w:hyperlink r:id="rId12" w:history="1">
        <w:r w:rsidR="00C92DE2" w:rsidRPr="00C95D63">
          <w:rPr>
            <w:rStyle w:val="Hyperlink"/>
            <w:rFonts w:asciiTheme="minorHAnsi" w:hAnsiTheme="minorHAnsi"/>
            <w:szCs w:val="20"/>
            <w:lang w:val="de-DE"/>
          </w:rPr>
          <w:t>www.roodmicrotec.com</w:t>
        </w:r>
      </w:hyperlink>
      <w:r w:rsidR="00C92DE2">
        <w:rPr>
          <w:rFonts w:asciiTheme="minorHAnsi" w:hAnsiTheme="minorHAnsi"/>
          <w:color w:val="000000"/>
          <w:szCs w:val="20"/>
          <w:lang w:val="de-DE"/>
        </w:rPr>
        <w:t xml:space="preserve"> </w:t>
      </w:r>
    </w:p>
    <w:p w14:paraId="3D732468" w14:textId="77777777" w:rsidR="00BA12AF" w:rsidRPr="00C92DE2" w:rsidRDefault="00BA12AF" w:rsidP="00BA12AF">
      <w:pPr>
        <w:tabs>
          <w:tab w:val="left" w:pos="9922"/>
        </w:tabs>
        <w:jc w:val="both"/>
        <w:rPr>
          <w:lang w:val="de-DE"/>
        </w:rPr>
      </w:pPr>
    </w:p>
    <w:p w14:paraId="054881E7" w14:textId="77777777" w:rsidR="00BA12AF" w:rsidRPr="006C7B74" w:rsidRDefault="00BA12AF" w:rsidP="00BA12AF">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14:paraId="49AC1F68" w14:textId="77777777" w:rsidR="00BA12AF" w:rsidRDefault="00BA12AF" w:rsidP="00BA12AF">
      <w:pPr>
        <w:tabs>
          <w:tab w:val="left" w:pos="9922"/>
        </w:tabs>
        <w:spacing w:before="120" w:after="0"/>
        <w:jc w:val="both"/>
        <w:rPr>
          <w:rFonts w:asciiTheme="minorHAnsi" w:hAnsi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6C7B74">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sectPr w:rsidR="00BA12AF" w:rsidSect="00C633D6">
      <w:footerReference w:type="default" r:id="rId13"/>
      <w:headerReference w:type="first" r:id="rId14"/>
      <w:footerReference w:type="first" r:id="rId15"/>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D391D" w14:textId="77777777" w:rsidR="00F41857" w:rsidRDefault="00F41857" w:rsidP="00487DE4">
      <w:pPr>
        <w:spacing w:after="0" w:line="240" w:lineRule="auto"/>
      </w:pPr>
      <w:r>
        <w:separator/>
      </w:r>
    </w:p>
  </w:endnote>
  <w:endnote w:type="continuationSeparator" w:id="0">
    <w:p w14:paraId="4942E570" w14:textId="77777777" w:rsidR="00F41857" w:rsidRDefault="00F41857"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F511"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14:anchorId="000529BB" wp14:editId="611E9EEF">
              <wp:simplePos x="0" y="0"/>
              <wp:positionH relativeFrom="column">
                <wp:posOffset>-149860</wp:posOffset>
              </wp:positionH>
              <wp:positionV relativeFrom="paragraph">
                <wp:posOffset>23656</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6157" w14:textId="60E2C3A1" w:rsidR="008752AB" w:rsidRPr="008752AB" w:rsidRDefault="003B587A" w:rsidP="008752AB">
                          <w:pPr>
                            <w:tabs>
                              <w:tab w:val="center" w:pos="5387"/>
                              <w:tab w:val="right" w:pos="10065"/>
                            </w:tabs>
                            <w:ind w:left="142" w:right="487"/>
                            <w:rPr>
                              <w:color w:val="FFFFFF"/>
                              <w:lang w:val="nl-NL"/>
                            </w:rPr>
                          </w:pPr>
                          <w:r>
                            <w:rPr>
                              <w:color w:val="FFFFFF"/>
                              <w:lang w:val="nl-NL"/>
                            </w:rPr>
                            <w:t>Halfjaar</w:t>
                          </w:r>
                          <w:r w:rsidR="006F40FB">
                            <w:rPr>
                              <w:color w:val="FFFFFF"/>
                              <w:lang w:val="nl-NL"/>
                            </w:rPr>
                            <w:t>cijfers</w:t>
                          </w:r>
                          <w:r>
                            <w:rPr>
                              <w:color w:val="FFFFFF"/>
                              <w:lang w:val="nl-NL"/>
                            </w:rPr>
                            <w:t xml:space="preserve"> 2019 (niet gecontroleerd)</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C92DE2">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301E240B"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0529BB" id="_x0000_t202" coordsize="21600,21600" o:spt="202" path="m,l,21600r21600,l21600,xe">
              <v:stroke joinstyle="miter"/>
              <v:path gradientshapeok="t" o:connecttype="rect"/>
            </v:shapetype>
            <v:shape id="Textfeld 14" o:spid="_x0000_s1026" type="#_x0000_t202" style="position:absolute;left:0;text-align:left;margin-left:-11.8pt;margin-top:1.8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QI3ML&#10;3wAAAAkBAAAPAAAAZHJzL2Rvd25yZXYueG1sTI/BTsMwEETvSPyDtZW4tXYbFGgap6oQnJAQaThw&#10;dOJtYjVeh9htw9/jnuhxdkYzb/PtZHt2xtEbRxKWCwEMqXHaUCvhq3qbPwPzQZFWvSOU8IsetsX9&#10;Xa4y7S5U4nkfWhZLyGdKQhfCkHHumw6t8gs3IEXv4EarQpRjy/WoLrHc9nwlRMqtMhQXOjXgS4fN&#10;cX+yEnbfVL6an4/6szyUpqrWgt7To5QPs2m3ARZwCv9huOJHdCgiU+1OpD3rJcxXSRqjEpInYFdf&#10;JOkjsDoe1kvgRc5vPyj+AAAA//8DAFBLAQItABQABgAIAAAAIQC2gziS/gAAAOEBAAATAAAAAAAA&#10;AAAAAAAAAAAAAABbQ29udGVudF9UeXBlc10ueG1sUEsBAi0AFAAGAAgAAAAhADj9If/WAAAAlAEA&#10;AAsAAAAAAAAAAAAAAAAALwEAAF9yZWxzLy5yZWxzUEsBAi0AFAAGAAgAAAAhAJ6woHSzAgAAqwUA&#10;AA4AAAAAAAAAAAAAAAAALgIAAGRycy9lMm9Eb2MueG1sUEsBAi0AFAAGAAgAAAAhABAjcwvfAAAA&#10;CQEAAA8AAAAAAAAAAAAAAAAADQUAAGRycy9kb3ducmV2LnhtbFBLBQYAAAAABAAEAPMAAAAZBgAA&#10;AAA=&#10;" filled="f" stroked="f">
              <v:textbox inset="0,0,0,0">
                <w:txbxContent>
                  <w:p w14:paraId="62B76157" w14:textId="60E2C3A1" w:rsidR="008752AB" w:rsidRPr="008752AB" w:rsidRDefault="003B587A" w:rsidP="008752AB">
                    <w:pPr>
                      <w:tabs>
                        <w:tab w:val="center" w:pos="5387"/>
                        <w:tab w:val="right" w:pos="10065"/>
                      </w:tabs>
                      <w:ind w:left="142" w:right="487"/>
                      <w:rPr>
                        <w:color w:val="FFFFFF"/>
                        <w:lang w:val="nl-NL"/>
                      </w:rPr>
                    </w:pPr>
                    <w:r>
                      <w:rPr>
                        <w:color w:val="FFFFFF"/>
                        <w:lang w:val="nl-NL"/>
                      </w:rPr>
                      <w:t>Halfjaar</w:t>
                    </w:r>
                    <w:r w:rsidR="006F40FB">
                      <w:rPr>
                        <w:color w:val="FFFFFF"/>
                        <w:lang w:val="nl-NL"/>
                      </w:rPr>
                      <w:t>cijfers</w:t>
                    </w:r>
                    <w:r>
                      <w:rPr>
                        <w:color w:val="FFFFFF"/>
                        <w:lang w:val="nl-NL"/>
                      </w:rPr>
                      <w:t xml:space="preserve"> 2019 (niet gecontroleerd)</w:t>
                    </w:r>
                    <w:r w:rsidR="008752AB" w:rsidRPr="008752AB">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C92DE2">
                      <w:rPr>
                        <w:noProof/>
                        <w:color w:val="FFFFFF"/>
                        <w:lang w:val="nl-NL"/>
                      </w:rPr>
                      <w:t>2</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301E240B"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6EC412E9" wp14:editId="73166569">
          <wp:extent cx="6819072" cy="285750"/>
          <wp:effectExtent l="0" t="0" r="0" b="0"/>
          <wp:docPr id="18"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FBDAE" w14:textId="77777777" w:rsidR="008752AB" w:rsidRDefault="008752AB" w:rsidP="008752AB">
    <w:pPr>
      <w:pStyle w:val="Fuzeile"/>
      <w:tabs>
        <w:tab w:val="clear" w:pos="9072"/>
      </w:tabs>
      <w:ind w:left="-284"/>
    </w:pPr>
    <w:r>
      <w:rPr>
        <w:noProof/>
        <w:lang w:val="de-DE" w:eastAsia="de-DE"/>
      </w:rPr>
      <mc:AlternateContent>
        <mc:Choice Requires="wps">
          <w:drawing>
            <wp:anchor distT="0" distB="0" distL="114300" distR="114300" simplePos="0" relativeHeight="251658240" behindDoc="0" locked="0" layoutInCell="1" allowOverlap="1" wp14:anchorId="2ABE77D7" wp14:editId="68083D0F">
              <wp:simplePos x="0" y="0"/>
              <wp:positionH relativeFrom="column">
                <wp:posOffset>-149860</wp:posOffset>
              </wp:positionH>
              <wp:positionV relativeFrom="paragraph">
                <wp:posOffset>23656</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C715A" w14:textId="7F2A4CC6" w:rsidR="008752AB" w:rsidRPr="008752AB" w:rsidRDefault="003B587A" w:rsidP="008752AB">
                          <w:pPr>
                            <w:tabs>
                              <w:tab w:val="center" w:pos="5387"/>
                              <w:tab w:val="right" w:pos="10065"/>
                            </w:tabs>
                            <w:ind w:left="142" w:right="487"/>
                            <w:rPr>
                              <w:color w:val="FFFFFF"/>
                              <w:lang w:val="nl-NL"/>
                            </w:rPr>
                          </w:pPr>
                          <w:r>
                            <w:rPr>
                              <w:color w:val="FFFFFF"/>
                              <w:lang w:val="nl-NL"/>
                            </w:rPr>
                            <w:t>Halfjaar</w:t>
                          </w:r>
                          <w:r w:rsidR="006F40FB">
                            <w:rPr>
                              <w:color w:val="FFFFFF"/>
                              <w:lang w:val="nl-NL"/>
                            </w:rPr>
                            <w:t>cijfers</w:t>
                          </w:r>
                          <w:r>
                            <w:rPr>
                              <w:color w:val="FFFFFF"/>
                              <w:lang w:val="nl-NL"/>
                            </w:rPr>
                            <w:t xml:space="preserve"> 2019 (niet gecontroleerd)</w:t>
                          </w:r>
                          <w:r w:rsidR="007A6960">
                            <w:rPr>
                              <w:color w:val="FFFFFF"/>
                              <w:lang w:val="nl-NL"/>
                            </w:rPr>
                            <w:t xml:space="preserve"> </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C92DE2">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5A854B8E"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BE77D7" id="_x0000_t202" coordsize="21600,21600" o:spt="202" path="m,l,21600r21600,l21600,xe">
              <v:stroke joinstyle="miter"/>
              <v:path gradientshapeok="t" o:connecttype="rect"/>
            </v:shapetype>
            <v:shape id="Textfeld 13" o:spid="_x0000_s1029" type="#_x0000_t202" style="position:absolute;left:0;text-align:left;margin-left:-11.8pt;margin-top:1.8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AjcwvfAAAACQEAAA8AAABkcnMvZG93bnJldi54bWxMj8FOwzAQRO9I/IO1lbi1dhsUaBqnqhCc&#10;kBBpOHB04m1iNV6H2G3D3+Oe6HF2RjNv8+1ke3bG0RtHEpYLAQypcdpQK+Greps/A/NBkVa9I5Tw&#10;ix62xf1drjLtLlTieR9aFkvIZ0pCF8KQce6bDq3yCzcgRe/gRqtClGPL9agusdz2fCVEyq0yFBc6&#10;NeBLh81xf7ISdt9Uvpqfj/qzPJSmqtaC3tOjlA+zabcBFnAK/2G44kd0KCJT7U6kPeslzFdJGqMS&#10;kidgV18k6SOwOh7WS+BFzm8/KP4AAAD//wMAUEsBAi0AFAAGAAgAAAAhALaDOJL+AAAA4QEAABMA&#10;AAAAAAAAAAAAAAAAAAAAAFtDb250ZW50X1R5cGVzXS54bWxQSwECLQAUAAYACAAAACEAOP0h/9YA&#10;AACUAQAACwAAAAAAAAAAAAAAAAAvAQAAX3JlbHMvLnJlbHNQSwECLQAUAAYACAAAACEAbgQc87gC&#10;AACyBQAADgAAAAAAAAAAAAAAAAAuAgAAZHJzL2Uyb0RvYy54bWxQSwECLQAUAAYACAAAACEAECNz&#10;C98AAAAJAQAADwAAAAAAAAAAAAAAAAASBQAAZHJzL2Rvd25yZXYueG1sUEsFBgAAAAAEAAQA8wAA&#10;AB4GAAAAAA==&#10;" filled="f" stroked="f">
              <v:textbox inset="0,0,0,0">
                <w:txbxContent>
                  <w:p w14:paraId="08AC715A" w14:textId="7F2A4CC6" w:rsidR="008752AB" w:rsidRPr="008752AB" w:rsidRDefault="003B587A" w:rsidP="008752AB">
                    <w:pPr>
                      <w:tabs>
                        <w:tab w:val="center" w:pos="5387"/>
                        <w:tab w:val="right" w:pos="10065"/>
                      </w:tabs>
                      <w:ind w:left="142" w:right="487"/>
                      <w:rPr>
                        <w:color w:val="FFFFFF"/>
                        <w:lang w:val="nl-NL"/>
                      </w:rPr>
                    </w:pPr>
                    <w:r>
                      <w:rPr>
                        <w:color w:val="FFFFFF"/>
                        <w:lang w:val="nl-NL"/>
                      </w:rPr>
                      <w:t>Halfjaar</w:t>
                    </w:r>
                    <w:r w:rsidR="006F40FB">
                      <w:rPr>
                        <w:color w:val="FFFFFF"/>
                        <w:lang w:val="nl-NL"/>
                      </w:rPr>
                      <w:t>cijfers</w:t>
                    </w:r>
                    <w:r>
                      <w:rPr>
                        <w:color w:val="FFFFFF"/>
                        <w:lang w:val="nl-NL"/>
                      </w:rPr>
                      <w:t xml:space="preserve"> 2019 (niet gecontroleerd)</w:t>
                    </w:r>
                    <w:r w:rsidR="007A6960">
                      <w:rPr>
                        <w:color w:val="FFFFFF"/>
                        <w:lang w:val="nl-NL"/>
                      </w:rPr>
                      <w:t xml:space="preserve"> </w:t>
                    </w:r>
                    <w:r w:rsidR="004A1500">
                      <w:rPr>
                        <w:color w:val="FFFFFF"/>
                        <w:lang w:val="nl-NL"/>
                      </w:rPr>
                      <w:tab/>
                    </w:r>
                    <w:r w:rsidR="008752AB" w:rsidRPr="00364EF1">
                      <w:rPr>
                        <w:color w:val="FFFFFF"/>
                      </w:rPr>
                      <w:fldChar w:fldCharType="begin"/>
                    </w:r>
                    <w:r w:rsidR="008752AB" w:rsidRPr="008752AB">
                      <w:rPr>
                        <w:color w:val="FFFFFF"/>
                        <w:lang w:val="nl-NL"/>
                      </w:rPr>
                      <w:instrText xml:space="preserve"> PAGE   \* MERGEFORMAT </w:instrText>
                    </w:r>
                    <w:r w:rsidR="008752AB" w:rsidRPr="00364EF1">
                      <w:rPr>
                        <w:color w:val="FFFFFF"/>
                      </w:rPr>
                      <w:fldChar w:fldCharType="separate"/>
                    </w:r>
                    <w:r w:rsidR="00C92DE2">
                      <w:rPr>
                        <w:noProof/>
                        <w:color w:val="FFFFFF"/>
                        <w:lang w:val="nl-NL"/>
                      </w:rPr>
                      <w:t>1</w:t>
                    </w:r>
                    <w:r w:rsidR="008752AB" w:rsidRPr="00364EF1">
                      <w:rPr>
                        <w:color w:val="FFFFFF"/>
                      </w:rPr>
                      <w:fldChar w:fldCharType="end"/>
                    </w:r>
                    <w:r w:rsidR="008752AB" w:rsidRPr="008752AB">
                      <w:rPr>
                        <w:color w:val="FFFFFF"/>
                        <w:lang w:val="nl-NL"/>
                      </w:rPr>
                      <w:tab/>
                      <w:t>RoodMicrotec P</w:t>
                    </w:r>
                    <w:r w:rsidR="008752AB">
                      <w:rPr>
                        <w:color w:val="FFFFFF"/>
                        <w:lang w:val="nl-NL"/>
                      </w:rPr>
                      <w:t>ersbericht</w:t>
                    </w:r>
                  </w:p>
                  <w:p w14:paraId="5A854B8E"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F1B4D01" wp14:editId="7565F00F">
          <wp:extent cx="6819072" cy="285750"/>
          <wp:effectExtent l="0" t="0" r="0" b="0"/>
          <wp:docPr id="21"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DC43A" w14:textId="77777777" w:rsidR="00F41857" w:rsidRDefault="00F41857" w:rsidP="00487DE4">
      <w:pPr>
        <w:spacing w:after="0" w:line="240" w:lineRule="auto"/>
      </w:pPr>
      <w:r>
        <w:separator/>
      </w:r>
    </w:p>
  </w:footnote>
  <w:footnote w:type="continuationSeparator" w:id="0">
    <w:p w14:paraId="30696319" w14:textId="77777777" w:rsidR="00F41857" w:rsidRDefault="00F41857"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154B" w14:textId="77777777" w:rsidR="004D3DF8" w:rsidRDefault="00A018E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14:anchorId="3D3D5538" wp14:editId="74FB2AB8">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20B21" w14:textId="77777777" w:rsidR="004D3DF8" w:rsidRPr="00AF1EB0" w:rsidRDefault="004D3DF8" w:rsidP="006A787C">
                          <w:pPr>
                            <w:spacing w:after="0" w:line="240" w:lineRule="auto"/>
                            <w:rPr>
                              <w:sz w:val="18"/>
                              <w:szCs w:val="18"/>
                            </w:rPr>
                          </w:pPr>
                          <w:r w:rsidRPr="00AF1EB0">
                            <w:rPr>
                              <w:sz w:val="18"/>
                              <w:szCs w:val="18"/>
                            </w:rPr>
                            <w:t>Martin Sallenhag, CEO</w:t>
                          </w:r>
                        </w:p>
                        <w:p w14:paraId="0461F790" w14:textId="77777777" w:rsidR="004D3DF8" w:rsidRPr="00AF1EB0" w:rsidRDefault="004D3DF8" w:rsidP="006A787C">
                          <w:pPr>
                            <w:spacing w:after="0" w:line="240" w:lineRule="auto"/>
                            <w:rPr>
                              <w:sz w:val="18"/>
                              <w:szCs w:val="18"/>
                            </w:rPr>
                          </w:pPr>
                          <w:r w:rsidRPr="00AF1EB0">
                            <w:rPr>
                              <w:sz w:val="18"/>
                              <w:szCs w:val="18"/>
                            </w:rPr>
                            <w:t>Arvid Ladega, CFO</w:t>
                          </w:r>
                        </w:p>
                        <w:p w14:paraId="3D630B7B" w14:textId="77777777" w:rsidR="004D3DF8" w:rsidRPr="00AF1EB0" w:rsidRDefault="004D3DF8" w:rsidP="006A787C">
                          <w:pPr>
                            <w:spacing w:after="0" w:line="240" w:lineRule="auto"/>
                            <w:rPr>
                              <w:sz w:val="18"/>
                              <w:szCs w:val="18"/>
                            </w:rPr>
                          </w:pPr>
                        </w:p>
                        <w:p w14:paraId="1BBC420E" w14:textId="77777777"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14:paraId="203EDACB" w14:textId="77777777"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14:paraId="265C7111" w14:textId="77777777"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14:paraId="436A726A" w14:textId="77777777" w:rsidR="004D3DF8" w:rsidRPr="00AF1EB0" w:rsidRDefault="004D3DF8" w:rsidP="006A787C">
                          <w:pPr>
                            <w:spacing w:after="0" w:line="240" w:lineRule="auto"/>
                            <w:rPr>
                              <w:rFonts w:asciiTheme="minorHAnsi" w:hAnsiTheme="minorHAnsi" w:cstheme="minorHAnsi"/>
                              <w:b/>
                              <w:sz w:val="18"/>
                              <w:szCs w:val="18"/>
                              <w:lang w:val="nl-NL"/>
                            </w:rPr>
                          </w:pPr>
                        </w:p>
                        <w:p w14:paraId="65B43328" w14:textId="77777777"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2"/>
                        <w:p w14:paraId="4D1B7FE4"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r w:rsidR="00C92DE2">
                            <w:fldChar w:fldCharType="begin"/>
                          </w:r>
                          <w:r w:rsidR="00C92DE2">
                            <w:instrText xml:space="preserve"> HYPERLINK "mailto:investor-relations@roodmicrotec.com" \h </w:instrText>
                          </w:r>
                          <w:r w:rsidR="00C92DE2">
                            <w:fldChar w:fldCharType="separate"/>
                          </w:r>
                          <w:r w:rsidRPr="00AF1EB0">
                            <w:rPr>
                              <w:rFonts w:asciiTheme="minorHAnsi" w:eastAsia="Arial" w:hAnsiTheme="minorHAnsi" w:cstheme="minorHAnsi"/>
                              <w:color w:val="231F20"/>
                              <w:sz w:val="18"/>
                              <w:szCs w:val="18"/>
                              <w:lang w:val="nl-NL"/>
                            </w:rPr>
                            <w:t>investor-relations@roodmicrotec.com</w:t>
                          </w:r>
                          <w:r w:rsidR="00C92DE2">
                            <w:rPr>
                              <w:rFonts w:asciiTheme="minorHAnsi" w:eastAsia="Arial" w:hAnsiTheme="minorHAnsi" w:cstheme="minorHAnsi"/>
                              <w:color w:val="231F20"/>
                              <w:sz w:val="18"/>
                              <w:szCs w:val="18"/>
                              <w:lang w:val="nl-NL"/>
                            </w:rPr>
                            <w:fldChar w:fldCharType="end"/>
                          </w:r>
                        </w:p>
                        <w:p w14:paraId="3306190F" w14:textId="77777777"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4D3DF8" w:rsidRPr="00AF1EB0" w:rsidRDefault="004D3DF8" w:rsidP="006A787C">
                    <w:pPr>
                      <w:spacing w:after="0" w:line="240" w:lineRule="auto"/>
                      <w:rPr>
                        <w:sz w:val="18"/>
                        <w:szCs w:val="18"/>
                      </w:rPr>
                    </w:pPr>
                    <w:r w:rsidRPr="00AF1EB0">
                      <w:rPr>
                        <w:sz w:val="18"/>
                        <w:szCs w:val="18"/>
                      </w:rPr>
                      <w:t>Martin Sallenhag, CEO</w:t>
                    </w:r>
                  </w:p>
                  <w:p w:rsidR="004D3DF8" w:rsidRPr="00AF1EB0" w:rsidRDefault="004D3DF8" w:rsidP="006A787C">
                    <w:pPr>
                      <w:spacing w:after="0" w:line="240" w:lineRule="auto"/>
                      <w:rPr>
                        <w:sz w:val="18"/>
                        <w:szCs w:val="18"/>
                      </w:rPr>
                    </w:pPr>
                    <w:r w:rsidRPr="00AF1EB0">
                      <w:rPr>
                        <w:sz w:val="18"/>
                        <w:szCs w:val="18"/>
                      </w:rPr>
                      <w:t>Arvid Ladega, CFO</w:t>
                    </w:r>
                  </w:p>
                  <w:p w:rsidR="004D3DF8" w:rsidRPr="00AF1EB0" w:rsidRDefault="004D3DF8" w:rsidP="006A787C">
                    <w:pPr>
                      <w:spacing w:after="0" w:line="240" w:lineRule="auto"/>
                      <w:rPr>
                        <w:sz w:val="18"/>
                        <w:szCs w:val="18"/>
                      </w:rPr>
                    </w:pPr>
                  </w:p>
                  <w:p w:rsidR="004D3DF8" w:rsidRPr="0063344F" w:rsidRDefault="004D3DF8" w:rsidP="006A787C">
                    <w:pPr>
                      <w:spacing w:after="0" w:line="240" w:lineRule="auto"/>
                      <w:rPr>
                        <w:b/>
                        <w:sz w:val="18"/>
                        <w:szCs w:val="18"/>
                        <w:lang w:val="nl-NL"/>
                      </w:rPr>
                    </w:pPr>
                    <w:r w:rsidRPr="0063344F">
                      <w:rPr>
                        <w:b/>
                        <w:color w:val="BA0C2F"/>
                        <w:sz w:val="18"/>
                        <w:szCs w:val="18"/>
                        <w:lang w:val="nl-NL"/>
                      </w:rPr>
                      <w:t>Rood</w:t>
                    </w:r>
                    <w:r w:rsidRPr="0063344F">
                      <w:rPr>
                        <w:b/>
                        <w:sz w:val="18"/>
                        <w:szCs w:val="18"/>
                        <w:lang w:val="nl-NL"/>
                      </w:rPr>
                      <w:t>Microtec N.V.</w:t>
                    </w:r>
                  </w:p>
                  <w:p w:rsidR="004D3DF8" w:rsidRPr="00AF1EB0" w:rsidRDefault="00DC45C9" w:rsidP="006A787C">
                    <w:pPr>
                      <w:spacing w:after="0" w:line="240" w:lineRule="auto"/>
                      <w:rPr>
                        <w:sz w:val="18"/>
                        <w:szCs w:val="18"/>
                        <w:highlight w:val="yellow"/>
                        <w:lang w:val="nl-NL"/>
                      </w:rPr>
                    </w:pPr>
                    <w:r w:rsidRPr="00AF1EB0">
                      <w:rPr>
                        <w:sz w:val="18"/>
                        <w:szCs w:val="18"/>
                        <w:lang w:val="nl-NL"/>
                      </w:rPr>
                      <w:t>Zutphenseweg 29 D1</w:t>
                    </w:r>
                  </w:p>
                  <w:p w:rsidR="004D3DF8" w:rsidRPr="00AF1EB0" w:rsidRDefault="004D3DF8" w:rsidP="006A787C">
                    <w:pPr>
                      <w:spacing w:after="0" w:line="240" w:lineRule="auto"/>
                      <w:rPr>
                        <w:sz w:val="18"/>
                        <w:szCs w:val="18"/>
                        <w:lang w:val="nl-NL"/>
                      </w:rPr>
                    </w:pPr>
                    <w:r w:rsidRPr="00AF1EB0">
                      <w:rPr>
                        <w:sz w:val="18"/>
                        <w:szCs w:val="18"/>
                        <w:lang w:val="nl-NL"/>
                      </w:rPr>
                      <w:t>NL-</w:t>
                    </w:r>
                    <w:r w:rsidR="00DC45C9" w:rsidRPr="00AF1EB0">
                      <w:rPr>
                        <w:sz w:val="18"/>
                        <w:szCs w:val="18"/>
                        <w:lang w:val="nl-NL"/>
                      </w:rPr>
                      <w:t>7418 AH Deventer</w:t>
                    </w:r>
                  </w:p>
                  <w:p w:rsidR="004D3DF8" w:rsidRPr="00AF1EB0" w:rsidRDefault="004D3DF8" w:rsidP="006A787C">
                    <w:pPr>
                      <w:spacing w:after="0" w:line="240" w:lineRule="auto"/>
                      <w:rPr>
                        <w:rFonts w:asciiTheme="minorHAnsi" w:hAnsiTheme="minorHAnsi" w:cstheme="minorHAnsi"/>
                        <w:b/>
                        <w:sz w:val="18"/>
                        <w:szCs w:val="18"/>
                        <w:lang w:val="nl-NL"/>
                      </w:rPr>
                    </w:pPr>
                  </w:p>
                  <w:p w:rsidR="004D3DF8" w:rsidRPr="00AF1EB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bookmarkStart w:id="21" w:name="_Hlk8636455"/>
                    <w:r w:rsidRPr="00AF1EB0">
                      <w:rPr>
                        <w:rFonts w:asciiTheme="minorHAnsi" w:eastAsia="Arial" w:hAnsiTheme="minorHAnsi" w:cstheme="minorHAnsi"/>
                        <w:b/>
                        <w:color w:val="231F20"/>
                        <w:sz w:val="18"/>
                        <w:szCs w:val="18"/>
                        <w:lang w:val="nl-NL"/>
                      </w:rPr>
                      <w:t xml:space="preserve">+31 </w:t>
                    </w:r>
                    <w:r w:rsidR="00FE3A21" w:rsidRPr="00AF1EB0">
                      <w:rPr>
                        <w:rFonts w:asciiTheme="minorHAnsi" w:hAnsiTheme="minorHAnsi" w:cstheme="minorHAnsi"/>
                        <w:b/>
                        <w:color w:val="000000"/>
                        <w:sz w:val="18"/>
                        <w:szCs w:val="18"/>
                        <w:lang w:eastAsia="de-DE"/>
                      </w:rPr>
                      <w:t>570 745623</w:t>
                    </w:r>
                  </w:p>
                  <w:bookmarkEnd w:id="21"/>
                  <w:p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t>@</w:t>
                    </w:r>
                    <w:r w:rsidRPr="00AF1EB0">
                      <w:rPr>
                        <w:rFonts w:asciiTheme="minorHAnsi" w:eastAsia="Arial" w:hAnsiTheme="minorHAnsi" w:cstheme="minorHAnsi"/>
                        <w:color w:val="231F20"/>
                        <w:sz w:val="18"/>
                        <w:szCs w:val="18"/>
                        <w:lang w:val="nl-NL"/>
                      </w:rPr>
                      <w:tab/>
                    </w:r>
                    <w:hyperlink r:id="rId2">
                      <w:r w:rsidRPr="00AF1EB0">
                        <w:rPr>
                          <w:rFonts w:asciiTheme="minorHAnsi" w:eastAsia="Arial" w:hAnsiTheme="minorHAnsi" w:cstheme="minorHAnsi"/>
                          <w:color w:val="231F20"/>
                          <w:sz w:val="18"/>
                          <w:szCs w:val="18"/>
                          <w:lang w:val="nl-NL"/>
                        </w:rPr>
                        <w:t>investor-relations@roodmicrotec.com</w:t>
                      </w:r>
                    </w:hyperlink>
                  </w:p>
                  <w:p w:rsidR="004D3DF8" w:rsidRPr="00AF1EB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AF1EB0">
                      <w:rPr>
                        <w:rFonts w:asciiTheme="minorHAnsi" w:eastAsia="Arial" w:hAnsiTheme="minorHAnsi" w:cstheme="minorHAnsi"/>
                        <w:color w:val="231F20"/>
                        <w:sz w:val="18"/>
                        <w:szCs w:val="18"/>
                        <w:lang w:val="nl-NL"/>
                      </w:rPr>
                      <w:sym w:font="Webdings" w:char="F0FC"/>
                    </w:r>
                    <w:r w:rsidRPr="00AF1EB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14:anchorId="62A2CBD4" wp14:editId="1A726EF1">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6ED9C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3316CEBF" wp14:editId="0D063BE6">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19" name="Grafik 19"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14:anchorId="4334971C" wp14:editId="5395DB9F">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54874" w14:textId="77777777"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BA12AF">
                            <w:rPr>
                              <w:rFonts w:asciiTheme="minorHAnsi" w:hAnsiTheme="minorHAnsi" w:cstheme="minorHAnsi"/>
                              <w:color w:val="FFFFFF" w:themeColor="background1"/>
                            </w:rPr>
                            <w:t xml:space="preserve">01 </w:t>
                          </w:r>
                          <w:proofErr w:type="spellStart"/>
                          <w:r w:rsidR="00BA12AF">
                            <w:rPr>
                              <w:rFonts w:asciiTheme="minorHAnsi" w:hAnsiTheme="minorHAnsi" w:cstheme="minorHAnsi"/>
                              <w:color w:val="FFFFFF" w:themeColor="background1"/>
                            </w:rPr>
                            <w:t>augustus</w:t>
                          </w:r>
                          <w:proofErr w:type="spellEnd"/>
                          <w:r w:rsidR="00BA12AF">
                            <w:rPr>
                              <w:rFonts w:asciiTheme="minorHAnsi" w:hAnsiTheme="minorHAnsi" w:cstheme="minorHAnsi"/>
                              <w:color w:val="FFFFFF" w:themeColor="background1"/>
                            </w:rPr>
                            <w:t xml:space="preserve"> </w:t>
                          </w:r>
                          <w:r w:rsidR="004D3DF8" w:rsidRPr="009D767A">
                            <w:rPr>
                              <w:rFonts w:asciiTheme="minorHAnsi" w:hAnsiTheme="minorHAnsi" w:cstheme="minorHAnsi"/>
                              <w:color w:val="FFFFFF" w:themeColor="background1"/>
                            </w:rPr>
                            <w:t>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D08284"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4D3DF8" w:rsidRPr="00E878A9" w:rsidRDefault="00DC45C9" w:rsidP="00F33608">
                    <w:pPr>
                      <w:tabs>
                        <w:tab w:val="right" w:pos="10206"/>
                      </w:tabs>
                      <w:rPr>
                        <w:rFonts w:asciiTheme="minorHAnsi" w:hAnsiTheme="minorHAnsi" w:cstheme="minorHAnsi"/>
                        <w:color w:val="FFFFFF" w:themeColor="background1"/>
                        <w:sz w:val="32"/>
                        <w:szCs w:val="32"/>
                      </w:rPr>
                    </w:pPr>
                    <w:r w:rsidRPr="00DC45C9">
                      <w:rPr>
                        <w:rFonts w:asciiTheme="minorHAnsi" w:hAnsiTheme="minorHAnsi" w:cstheme="minorHAnsi"/>
                        <w:color w:val="FFFFFF" w:themeColor="background1"/>
                      </w:rPr>
                      <w:t>Deventer</w:t>
                    </w:r>
                    <w:r w:rsidR="004D3DF8" w:rsidRPr="00DC45C9">
                      <w:rPr>
                        <w:rFonts w:asciiTheme="minorHAnsi" w:hAnsiTheme="minorHAnsi" w:cstheme="minorHAnsi"/>
                        <w:color w:val="FFFFFF" w:themeColor="background1"/>
                      </w:rPr>
                      <w:t xml:space="preserve"> –</w:t>
                    </w:r>
                    <w:r w:rsidR="004D3DF8">
                      <w:rPr>
                        <w:rFonts w:asciiTheme="minorHAnsi" w:hAnsiTheme="minorHAnsi" w:cstheme="minorHAnsi"/>
                        <w:color w:val="FFFFFF" w:themeColor="background1"/>
                      </w:rPr>
                      <w:t xml:space="preserve"> </w:t>
                    </w:r>
                    <w:r w:rsidR="00BA12AF">
                      <w:rPr>
                        <w:rFonts w:asciiTheme="minorHAnsi" w:hAnsiTheme="minorHAnsi" w:cstheme="minorHAnsi"/>
                        <w:color w:val="FFFFFF" w:themeColor="background1"/>
                      </w:rPr>
                      <w:t xml:space="preserve">01 augustus </w:t>
                    </w:r>
                    <w:r w:rsidR="004D3DF8" w:rsidRPr="009D767A">
                      <w:rPr>
                        <w:rFonts w:asciiTheme="minorHAnsi" w:hAnsiTheme="minorHAnsi" w:cstheme="minorHAnsi"/>
                        <w:color w:val="FFFFFF" w:themeColor="background1"/>
                      </w:rPr>
                      <w:t>201</w:t>
                    </w:r>
                    <w:r w:rsidR="00B0167C">
                      <w:rPr>
                        <w:rFonts w:asciiTheme="minorHAnsi" w:hAnsiTheme="minorHAnsi" w:cstheme="minorHAnsi"/>
                        <w:color w:val="FFFFFF" w:themeColor="background1"/>
                      </w:rPr>
                      <w:t>9</w:t>
                    </w:r>
                    <w:r w:rsidR="004D3DF8" w:rsidRPr="00E878A9">
                      <w:rPr>
                        <w:color w:val="FFFFFF" w:themeColor="background1"/>
                      </w:rPr>
                      <w:tab/>
                    </w:r>
                    <w:r w:rsidR="004D3DF8">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3717436C" wp14:editId="128245DA">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20"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E20F49"/>
    <w:multiLevelType w:val="hybridMultilevel"/>
    <w:tmpl w:val="2FC2A956"/>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AF"/>
    <w:rsid w:val="0005578B"/>
    <w:rsid w:val="0005609E"/>
    <w:rsid w:val="000C5259"/>
    <w:rsid w:val="000D2A43"/>
    <w:rsid w:val="00111359"/>
    <w:rsid w:val="00114AA3"/>
    <w:rsid w:val="0012187D"/>
    <w:rsid w:val="00161C05"/>
    <w:rsid w:val="001649FA"/>
    <w:rsid w:val="00183C72"/>
    <w:rsid w:val="00186B6E"/>
    <w:rsid w:val="001F3216"/>
    <w:rsid w:val="002558F4"/>
    <w:rsid w:val="00263997"/>
    <w:rsid w:val="0027201E"/>
    <w:rsid w:val="00292DA1"/>
    <w:rsid w:val="002A0D07"/>
    <w:rsid w:val="002D5E7D"/>
    <w:rsid w:val="003279A8"/>
    <w:rsid w:val="0034702E"/>
    <w:rsid w:val="0036342D"/>
    <w:rsid w:val="00391D49"/>
    <w:rsid w:val="0039346A"/>
    <w:rsid w:val="003A6DC1"/>
    <w:rsid w:val="003B587A"/>
    <w:rsid w:val="003D5390"/>
    <w:rsid w:val="003E05F9"/>
    <w:rsid w:val="003E75B5"/>
    <w:rsid w:val="003F5ABC"/>
    <w:rsid w:val="004152A2"/>
    <w:rsid w:val="00427C8B"/>
    <w:rsid w:val="00433089"/>
    <w:rsid w:val="00433D92"/>
    <w:rsid w:val="0047010F"/>
    <w:rsid w:val="00471E81"/>
    <w:rsid w:val="004806D2"/>
    <w:rsid w:val="004859C0"/>
    <w:rsid w:val="00487DE4"/>
    <w:rsid w:val="004A1500"/>
    <w:rsid w:val="004D3DF8"/>
    <w:rsid w:val="00524DBE"/>
    <w:rsid w:val="00532194"/>
    <w:rsid w:val="00544921"/>
    <w:rsid w:val="00546072"/>
    <w:rsid w:val="005A69F3"/>
    <w:rsid w:val="005F1A67"/>
    <w:rsid w:val="0063344F"/>
    <w:rsid w:val="00657E90"/>
    <w:rsid w:val="006A787C"/>
    <w:rsid w:val="006B0E21"/>
    <w:rsid w:val="006B777C"/>
    <w:rsid w:val="006C7B74"/>
    <w:rsid w:val="006D7E75"/>
    <w:rsid w:val="006F282F"/>
    <w:rsid w:val="006F40FB"/>
    <w:rsid w:val="006F609D"/>
    <w:rsid w:val="007011AD"/>
    <w:rsid w:val="00724377"/>
    <w:rsid w:val="00732161"/>
    <w:rsid w:val="00736E04"/>
    <w:rsid w:val="00737837"/>
    <w:rsid w:val="00753238"/>
    <w:rsid w:val="007647B4"/>
    <w:rsid w:val="0076690A"/>
    <w:rsid w:val="00774401"/>
    <w:rsid w:val="007815CD"/>
    <w:rsid w:val="007834C3"/>
    <w:rsid w:val="007A6960"/>
    <w:rsid w:val="007B1FC8"/>
    <w:rsid w:val="007B640C"/>
    <w:rsid w:val="008025FE"/>
    <w:rsid w:val="008717AB"/>
    <w:rsid w:val="008740C8"/>
    <w:rsid w:val="008752AB"/>
    <w:rsid w:val="00881D9A"/>
    <w:rsid w:val="008B038E"/>
    <w:rsid w:val="008C58D8"/>
    <w:rsid w:val="00904AA8"/>
    <w:rsid w:val="00915ACD"/>
    <w:rsid w:val="00995683"/>
    <w:rsid w:val="009A5E0D"/>
    <w:rsid w:val="009B4F9B"/>
    <w:rsid w:val="009C32BB"/>
    <w:rsid w:val="009D1998"/>
    <w:rsid w:val="009D767A"/>
    <w:rsid w:val="009E7F64"/>
    <w:rsid w:val="009F5CE6"/>
    <w:rsid w:val="009F65A4"/>
    <w:rsid w:val="00A018EE"/>
    <w:rsid w:val="00A11F7B"/>
    <w:rsid w:val="00A35003"/>
    <w:rsid w:val="00A41C22"/>
    <w:rsid w:val="00A42A35"/>
    <w:rsid w:val="00AA1FD7"/>
    <w:rsid w:val="00AF1EB0"/>
    <w:rsid w:val="00B0167C"/>
    <w:rsid w:val="00B1173A"/>
    <w:rsid w:val="00B12DF5"/>
    <w:rsid w:val="00B30686"/>
    <w:rsid w:val="00B30C8F"/>
    <w:rsid w:val="00B4568A"/>
    <w:rsid w:val="00B46E29"/>
    <w:rsid w:val="00B471CF"/>
    <w:rsid w:val="00B50948"/>
    <w:rsid w:val="00B7604B"/>
    <w:rsid w:val="00BA12AF"/>
    <w:rsid w:val="00BE0D67"/>
    <w:rsid w:val="00BF7D94"/>
    <w:rsid w:val="00C309CD"/>
    <w:rsid w:val="00C31BD5"/>
    <w:rsid w:val="00C32FBA"/>
    <w:rsid w:val="00C60B78"/>
    <w:rsid w:val="00C633D6"/>
    <w:rsid w:val="00C76754"/>
    <w:rsid w:val="00C92DE2"/>
    <w:rsid w:val="00CE5A75"/>
    <w:rsid w:val="00D0762F"/>
    <w:rsid w:val="00D33937"/>
    <w:rsid w:val="00D830CD"/>
    <w:rsid w:val="00DC1818"/>
    <w:rsid w:val="00DC42C9"/>
    <w:rsid w:val="00DC45C9"/>
    <w:rsid w:val="00DC5312"/>
    <w:rsid w:val="00DD3676"/>
    <w:rsid w:val="00DE3384"/>
    <w:rsid w:val="00E5585C"/>
    <w:rsid w:val="00E73190"/>
    <w:rsid w:val="00E90550"/>
    <w:rsid w:val="00E91EF8"/>
    <w:rsid w:val="00EC6F27"/>
    <w:rsid w:val="00F15FE0"/>
    <w:rsid w:val="00F33608"/>
    <w:rsid w:val="00F41857"/>
    <w:rsid w:val="00F43AE5"/>
    <w:rsid w:val="00F45F6A"/>
    <w:rsid w:val="00F720E2"/>
    <w:rsid w:val="00FA460A"/>
    <w:rsid w:val="00FA5473"/>
    <w:rsid w:val="00FB2BA3"/>
    <w:rsid w:val="00FE1548"/>
    <w:rsid w:val="00FE37D4"/>
    <w:rsid w:val="00FE3A21"/>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D97A77"/>
  <w15:docId w15:val="{BE04570E-3BA8-4BB0-892F-576B8533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6F40FB"/>
    <w:pPr>
      <w:keepNext/>
      <w:keepLines/>
      <w:tabs>
        <w:tab w:val="left" w:pos="10063"/>
      </w:tabs>
      <w:spacing w:before="240" w:after="360"/>
      <w:ind w:right="284"/>
      <w:jc w:val="both"/>
      <w:outlineLvl w:val="0"/>
    </w:pPr>
    <w:rPr>
      <w:rFonts w:eastAsiaTheme="majorEastAsia" w:cstheme="majorBidi"/>
      <w:b/>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6F40FB"/>
    <w:rPr>
      <w:rFonts w:eastAsiaTheme="majorEastAsia" w:cstheme="majorBidi"/>
      <w:b/>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341325119">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615991252">
      <w:bodyDiv w:val="1"/>
      <w:marLeft w:val="0"/>
      <w:marRight w:val="0"/>
      <w:marTop w:val="0"/>
      <w:marBottom w:val="0"/>
      <w:divBdr>
        <w:top w:val="none" w:sz="0" w:space="0" w:color="auto"/>
        <w:left w:val="none" w:sz="0" w:space="0" w:color="auto"/>
        <w:bottom w:val="none" w:sz="0" w:space="0" w:color="auto"/>
        <w:right w:val="none" w:sz="0" w:space="0" w:color="auto"/>
      </w:divBdr>
    </w:div>
    <w:div w:id="885528625">
      <w:bodyDiv w:val="1"/>
      <w:marLeft w:val="0"/>
      <w:marRight w:val="0"/>
      <w:marTop w:val="0"/>
      <w:marBottom w:val="0"/>
      <w:divBdr>
        <w:top w:val="none" w:sz="0" w:space="0" w:color="auto"/>
        <w:left w:val="none" w:sz="0" w:space="0" w:color="auto"/>
        <w:bottom w:val="none" w:sz="0" w:space="0" w:color="auto"/>
        <w:right w:val="none" w:sz="0" w:space="0" w:color="auto"/>
      </w:divBdr>
    </w:div>
    <w:div w:id="960842871">
      <w:bodyDiv w:val="1"/>
      <w:marLeft w:val="0"/>
      <w:marRight w:val="0"/>
      <w:marTop w:val="0"/>
      <w:marBottom w:val="0"/>
      <w:divBdr>
        <w:top w:val="none" w:sz="0" w:space="0" w:color="auto"/>
        <w:left w:val="none" w:sz="0" w:space="0" w:color="auto"/>
        <w:bottom w:val="none" w:sz="0" w:space="0" w:color="auto"/>
        <w:right w:val="none" w:sz="0" w:space="0" w:color="auto"/>
      </w:divBdr>
    </w:div>
    <w:div w:id="1024359071">
      <w:bodyDiv w:val="1"/>
      <w:marLeft w:val="0"/>
      <w:marRight w:val="0"/>
      <w:marTop w:val="0"/>
      <w:marBottom w:val="0"/>
      <w:divBdr>
        <w:top w:val="none" w:sz="0" w:space="0" w:color="auto"/>
        <w:left w:val="none" w:sz="0" w:space="0" w:color="auto"/>
        <w:bottom w:val="none" w:sz="0" w:space="0" w:color="auto"/>
        <w:right w:val="none" w:sz="0" w:space="0" w:color="auto"/>
      </w:divBdr>
    </w:div>
    <w:div w:id="1044519399">
      <w:bodyDiv w:val="1"/>
      <w:marLeft w:val="0"/>
      <w:marRight w:val="0"/>
      <w:marTop w:val="0"/>
      <w:marBottom w:val="0"/>
      <w:divBdr>
        <w:top w:val="none" w:sz="0" w:space="0" w:color="auto"/>
        <w:left w:val="none" w:sz="0" w:space="0" w:color="auto"/>
        <w:bottom w:val="none" w:sz="0" w:space="0" w:color="auto"/>
        <w:right w:val="none" w:sz="0" w:space="0" w:color="auto"/>
      </w:divBdr>
    </w:div>
    <w:div w:id="1287153238">
      <w:bodyDiv w:val="1"/>
      <w:marLeft w:val="0"/>
      <w:marRight w:val="0"/>
      <w:marTop w:val="0"/>
      <w:marBottom w:val="0"/>
      <w:divBdr>
        <w:top w:val="none" w:sz="0" w:space="0" w:color="auto"/>
        <w:left w:val="none" w:sz="0" w:space="0" w:color="auto"/>
        <w:bottom w:val="none" w:sz="0" w:space="0" w:color="auto"/>
        <w:right w:val="none" w:sz="0" w:space="0" w:color="auto"/>
      </w:divBdr>
    </w:div>
    <w:div w:id="1464695950">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733">
      <w:bodyDiv w:val="1"/>
      <w:marLeft w:val="0"/>
      <w:marRight w:val="0"/>
      <w:marTop w:val="0"/>
      <w:marBottom w:val="0"/>
      <w:divBdr>
        <w:top w:val="none" w:sz="0" w:space="0" w:color="auto"/>
        <w:left w:val="none" w:sz="0" w:space="0" w:color="auto"/>
        <w:bottom w:val="none" w:sz="0" w:space="0" w:color="auto"/>
        <w:right w:val="none" w:sz="0" w:space="0" w:color="auto"/>
      </w:divBdr>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 w:id="1813516540">
      <w:bodyDiv w:val="1"/>
      <w:marLeft w:val="0"/>
      <w:marRight w:val="0"/>
      <w:marTop w:val="0"/>
      <w:marBottom w:val="0"/>
      <w:divBdr>
        <w:top w:val="none" w:sz="0" w:space="0" w:color="auto"/>
        <w:left w:val="none" w:sz="0" w:space="0" w:color="auto"/>
        <w:bottom w:val="none" w:sz="0" w:space="0" w:color="auto"/>
        <w:right w:val="none" w:sz="0" w:space="0" w:color="auto"/>
      </w:divBdr>
    </w:div>
    <w:div w:id="2075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odmicrote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relations@roodmicrotec.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NL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0ED25C1DD3574CAAC310657B66F754" ma:contentTypeVersion="8" ma:contentTypeDescription="Create a new document." ma:contentTypeScope="" ma:versionID="e7030c8dbce3a9e08a5bdbcb51e08256">
  <xsd:schema xmlns:xsd="http://www.w3.org/2001/XMLSchema" xmlns:xs="http://www.w3.org/2001/XMLSchema" xmlns:p="http://schemas.microsoft.com/office/2006/metadata/properties" xmlns:ns3="1d2cf901-31f4-48bd-a28f-150fa5923046" targetNamespace="http://schemas.microsoft.com/office/2006/metadata/properties" ma:root="true" ma:fieldsID="ee432c9761dcd4d56a8d87161b1c9cfe" ns3:_="">
    <xsd:import namespace="1d2cf901-31f4-48bd-a28f-150fa59230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f901-31f4-48bd-a28f-150fa5923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BB5FE-0078-456F-9B44-3D4035CA55B1}">
  <ds:schemaRefs>
    <ds:schemaRef ds:uri="http://schemas.microsoft.com/sharepoint/v3/contenttype/forms"/>
  </ds:schemaRefs>
</ds:datastoreItem>
</file>

<file path=customXml/itemProps2.xml><?xml version="1.0" encoding="utf-8"?>
<ds:datastoreItem xmlns:ds="http://schemas.openxmlformats.org/officeDocument/2006/customXml" ds:itemID="{B3D3B834-C006-4316-AE7A-637816B8C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f901-31f4-48bd-a28f-150fa592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EA85A-71CA-4934-BD88-9A00E5B21DB3}">
  <ds:schemaRefs>
    <ds:schemaRef ds:uri="http://purl.org/dc/elements/1.1/"/>
    <ds:schemaRef ds:uri="http://schemas.microsoft.com/office/2006/metadata/properties"/>
    <ds:schemaRef ds:uri="http://purl.org/dc/terms/"/>
    <ds:schemaRef ds:uri="http://schemas.microsoft.com/office/2006/documentManagement/types"/>
    <ds:schemaRef ds:uri="1d2cf901-31f4-48bd-a28f-150fa5923046"/>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77122F0-0CCB-4B5B-99D9-152CD021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05_NL_PR_Vorlage.dotx</Template>
  <TotalTime>0</TotalTime>
  <Pages>2</Pages>
  <Words>797</Words>
  <Characters>5024</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Irmgard Bayerle</dc:creator>
  <cp:lastModifiedBy>Irmgard Bayerle</cp:lastModifiedBy>
  <cp:revision>2</cp:revision>
  <cp:lastPrinted>2019-07-31T12:52:00Z</cp:lastPrinted>
  <dcterms:created xsi:type="dcterms:W3CDTF">2019-07-31T13:52:00Z</dcterms:created>
  <dcterms:modified xsi:type="dcterms:W3CDTF">2019-07-31T13:52:00Z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0x010100E20ED25C1DD3574CAAC310657B66F754</vt:lpwstr>
  </property>
</Properties>
</file>