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72F" w:rsidRPr="006314A4" w:rsidRDefault="00BF372F" w:rsidP="00BF372F">
      <w:pPr>
        <w:pStyle w:val="berschrift1"/>
      </w:pPr>
      <w:proofErr w:type="spellStart"/>
      <w:r w:rsidRPr="006314A4">
        <w:rPr>
          <w:color w:val="C00000"/>
        </w:rPr>
        <w:t>Rood</w:t>
      </w:r>
      <w:r>
        <w:t>Microtec</w:t>
      </w:r>
      <w:proofErr w:type="spellEnd"/>
      <w:r w:rsidRPr="006314A4">
        <w:t xml:space="preserve"> </w:t>
      </w:r>
      <w:r>
        <w:t xml:space="preserve">announces revenue update for FY2019 </w:t>
      </w:r>
    </w:p>
    <w:p w:rsidR="00BF372F" w:rsidRPr="00BF372F" w:rsidRDefault="00CA6EC6" w:rsidP="00BF372F">
      <w:pPr>
        <w:jc w:val="both"/>
        <w:rPr>
          <w:sz w:val="22"/>
          <w:lang w:val="en-GB"/>
        </w:rPr>
      </w:pPr>
      <w:r w:rsidRPr="00CA6EC6">
        <w:rPr>
          <w:b/>
          <w:noProof/>
          <w:sz w:val="22"/>
          <w:lang w:val="en-US"/>
        </w:rPr>
        <w:t>Deventer</w:t>
      </w:r>
      <w:r w:rsidR="003C0D40" w:rsidRPr="00CA6EC6">
        <w:rPr>
          <w:b/>
          <w:noProof/>
          <w:sz w:val="22"/>
          <w:lang w:val="en-US"/>
        </w:rPr>
        <w:t xml:space="preserve">, </w:t>
      </w:r>
      <w:r w:rsidR="00031780">
        <w:rPr>
          <w:b/>
          <w:noProof/>
          <w:sz w:val="22"/>
          <w:lang w:val="en-US"/>
        </w:rPr>
        <w:t>26</w:t>
      </w:r>
      <w:r w:rsidR="00031780" w:rsidRPr="00031780">
        <w:rPr>
          <w:b/>
          <w:noProof/>
          <w:sz w:val="22"/>
          <w:vertAlign w:val="superscript"/>
          <w:lang w:val="en-US"/>
        </w:rPr>
        <w:t>th</w:t>
      </w:r>
      <w:r w:rsidR="00031780">
        <w:rPr>
          <w:b/>
          <w:noProof/>
          <w:sz w:val="22"/>
          <w:lang w:val="en-US"/>
        </w:rPr>
        <w:t xml:space="preserve"> November</w:t>
      </w:r>
      <w:r w:rsidR="003C0D40" w:rsidRPr="00CA6EC6">
        <w:rPr>
          <w:b/>
          <w:noProof/>
          <w:sz w:val="22"/>
          <w:lang w:val="en-US"/>
        </w:rPr>
        <w:t xml:space="preserve"> 2019 –</w:t>
      </w:r>
      <w:r w:rsidR="003C0D40" w:rsidRPr="00CA6EC6">
        <w:rPr>
          <w:noProof/>
          <w:sz w:val="22"/>
          <w:lang w:val="en-US"/>
        </w:rPr>
        <w:t xml:space="preserve"> </w:t>
      </w:r>
      <w:r w:rsidR="003C0D40" w:rsidRPr="00BF372F">
        <w:rPr>
          <w:noProof/>
          <w:color w:val="BA0C2F"/>
          <w:sz w:val="22"/>
          <w:lang w:val="en-US"/>
        </w:rPr>
        <w:t>Rood</w:t>
      </w:r>
      <w:r w:rsidR="003C0D40" w:rsidRPr="00CA6EC6">
        <w:rPr>
          <w:noProof/>
          <w:sz w:val="22"/>
          <w:lang w:val="en-US"/>
        </w:rPr>
        <w:t xml:space="preserve">Microtec N.V., </w:t>
      </w:r>
      <w:r w:rsidR="000B0D4F" w:rsidRPr="00CA6EC6">
        <w:rPr>
          <w:noProof/>
          <w:sz w:val="22"/>
          <w:lang w:val="en-US"/>
        </w:rPr>
        <w:t>a</w:t>
      </w:r>
      <w:r w:rsidR="003C0D40" w:rsidRPr="00CA6EC6">
        <w:rPr>
          <w:noProof/>
          <w:sz w:val="22"/>
          <w:lang w:val="en-US"/>
        </w:rPr>
        <w:t xml:space="preserve"> leading independent company for semiconductors supply and quality services, </w:t>
      </w:r>
      <w:r w:rsidR="00BF372F" w:rsidRPr="00BF372F">
        <w:rPr>
          <w:sz w:val="22"/>
          <w:lang w:val="en-GB"/>
        </w:rPr>
        <w:t xml:space="preserve">is expecting the revenue for the full-year 2019 to be in line with the full-year 2018. This is outperforming the semiconductor industry in Europe, predicted at a decline of 6.1% year-on-year for 2019 according to WSTS (World Semiconductor Trade Statistics), due to the weak global market situation. The steady book-to-bill ratio above one is showing confidence that the revenue will grow even if the market situation is continuing to be tight. </w:t>
      </w:r>
    </w:p>
    <w:p w:rsidR="00BF372F" w:rsidRPr="00BF372F" w:rsidRDefault="00BF372F" w:rsidP="00BF372F">
      <w:pPr>
        <w:jc w:val="both"/>
        <w:rPr>
          <w:sz w:val="22"/>
          <w:lang w:val="en-GB"/>
        </w:rPr>
      </w:pPr>
      <w:r w:rsidRPr="00BF372F">
        <w:rPr>
          <w:i/>
          <w:sz w:val="22"/>
          <w:lang w:val="en-GB"/>
        </w:rPr>
        <w:t xml:space="preserve">“Despite the cancellation of one big SCM project by our client’s customer, as reported earlier in the year, in combination with the weak global semiconductor market conditions, </w:t>
      </w:r>
      <w:proofErr w:type="spellStart"/>
      <w:r w:rsidRPr="00BF372F">
        <w:rPr>
          <w:i/>
          <w:color w:val="C00000"/>
          <w:sz w:val="22"/>
          <w:lang w:val="en-GB"/>
        </w:rPr>
        <w:t>Rood</w:t>
      </w:r>
      <w:r w:rsidRPr="00BF372F">
        <w:rPr>
          <w:i/>
          <w:sz w:val="22"/>
          <w:lang w:val="en-GB"/>
        </w:rPr>
        <w:t>Microtec</w:t>
      </w:r>
      <w:proofErr w:type="spellEnd"/>
      <w:r w:rsidRPr="00BF372F">
        <w:rPr>
          <w:i/>
          <w:sz w:val="22"/>
          <w:lang w:val="en-GB"/>
        </w:rPr>
        <w:t xml:space="preserve"> is still able to maintain a high level of revenue for the full-year 2019”,</w:t>
      </w:r>
      <w:r w:rsidRPr="00BF372F">
        <w:rPr>
          <w:sz w:val="22"/>
          <w:lang w:val="en-GB"/>
        </w:rPr>
        <w:t xml:space="preserve"> says Martin </w:t>
      </w:r>
      <w:proofErr w:type="spellStart"/>
      <w:r w:rsidRPr="00BF372F">
        <w:rPr>
          <w:sz w:val="22"/>
          <w:lang w:val="en-GB"/>
        </w:rPr>
        <w:t>Sallenhag</w:t>
      </w:r>
      <w:proofErr w:type="spellEnd"/>
      <w:r w:rsidRPr="00BF372F">
        <w:rPr>
          <w:sz w:val="22"/>
          <w:lang w:val="en-GB"/>
        </w:rPr>
        <w:t xml:space="preserve">, CEO of </w:t>
      </w:r>
      <w:proofErr w:type="spellStart"/>
      <w:r w:rsidRPr="00BF372F">
        <w:rPr>
          <w:color w:val="C00000"/>
          <w:sz w:val="22"/>
          <w:lang w:val="en-GB"/>
        </w:rPr>
        <w:t>Rood</w:t>
      </w:r>
      <w:r w:rsidRPr="00BF372F">
        <w:rPr>
          <w:sz w:val="22"/>
          <w:lang w:val="en-GB"/>
        </w:rPr>
        <w:t>Microtec</w:t>
      </w:r>
      <w:proofErr w:type="spellEnd"/>
      <w:r w:rsidRPr="00BF372F">
        <w:rPr>
          <w:sz w:val="22"/>
          <w:lang w:val="en-GB"/>
        </w:rPr>
        <w:t xml:space="preserve">. </w:t>
      </w:r>
      <w:r w:rsidRPr="00BF372F">
        <w:rPr>
          <w:i/>
          <w:sz w:val="22"/>
          <w:lang w:val="en-GB"/>
        </w:rPr>
        <w:t xml:space="preserve">“The outlook for the coming years is positive thanks to the good order intake and the right customer mix.” </w:t>
      </w:r>
    </w:p>
    <w:p w:rsidR="00BF372F" w:rsidRPr="00BF372F" w:rsidRDefault="00BF372F" w:rsidP="00BF372F">
      <w:pPr>
        <w:jc w:val="both"/>
        <w:rPr>
          <w:sz w:val="22"/>
          <w:lang w:val="en-US"/>
        </w:rPr>
      </w:pPr>
    </w:p>
    <w:p w:rsidR="00BF372F" w:rsidRPr="00BF372F" w:rsidRDefault="00BF372F" w:rsidP="00BF372F">
      <w:pPr>
        <w:jc w:val="both"/>
        <w:rPr>
          <w:rFonts w:asciiTheme="minorHAnsi" w:hAnsiTheme="minorHAnsi" w:cstheme="minorHAnsi"/>
          <w:b/>
          <w:color w:val="BA0C2F"/>
          <w:sz w:val="22"/>
          <w:lang w:val="en-US"/>
        </w:rPr>
      </w:pPr>
      <w:r w:rsidRPr="00BF372F">
        <w:rPr>
          <w:rFonts w:asciiTheme="minorHAnsi" w:hAnsiTheme="minorHAnsi" w:cstheme="minorHAnsi"/>
          <w:b/>
          <w:color w:val="BA0C2F"/>
          <w:sz w:val="22"/>
          <w:lang w:val="en-US"/>
        </w:rPr>
        <w:t>Outlook</w:t>
      </w:r>
    </w:p>
    <w:p w:rsidR="00BF372F" w:rsidRPr="00BF372F" w:rsidRDefault="00BF372F" w:rsidP="00BF372F">
      <w:pPr>
        <w:jc w:val="both"/>
        <w:rPr>
          <w:sz w:val="22"/>
          <w:lang w:val="en-GB"/>
        </w:rPr>
      </w:pPr>
      <w:r w:rsidRPr="00BF372F">
        <w:rPr>
          <w:sz w:val="22"/>
          <w:lang w:val="en-GB"/>
        </w:rPr>
        <w:t xml:space="preserve">Based on several new engagements as well as an increasing number of ASIC supply chain projects in the pipeline, </w:t>
      </w:r>
      <w:proofErr w:type="spellStart"/>
      <w:r w:rsidRPr="00BF372F">
        <w:rPr>
          <w:color w:val="C00000"/>
          <w:sz w:val="22"/>
          <w:lang w:val="en-GB"/>
        </w:rPr>
        <w:t>Rood</w:t>
      </w:r>
      <w:r w:rsidRPr="00BF372F">
        <w:rPr>
          <w:sz w:val="22"/>
          <w:lang w:val="en-GB"/>
        </w:rPr>
        <w:t>Microtec</w:t>
      </w:r>
      <w:proofErr w:type="spellEnd"/>
      <w:r w:rsidRPr="00BF372F">
        <w:rPr>
          <w:sz w:val="22"/>
          <w:lang w:val="en-GB"/>
        </w:rPr>
        <w:t xml:space="preserve"> expects an organic revenue growth rate in the range of 8 to 12% per year with yearly improving positive net results. </w:t>
      </w:r>
    </w:p>
    <w:p w:rsidR="00BF372F" w:rsidRPr="00BF372F" w:rsidRDefault="00BF372F" w:rsidP="00BF372F">
      <w:pPr>
        <w:jc w:val="both"/>
        <w:rPr>
          <w:sz w:val="22"/>
          <w:lang w:val="en-US"/>
        </w:rPr>
      </w:pPr>
    </w:p>
    <w:p w:rsidR="00BF372F" w:rsidRPr="00BF372F" w:rsidRDefault="00BF372F" w:rsidP="00BF372F">
      <w:pPr>
        <w:jc w:val="both"/>
        <w:rPr>
          <w:rFonts w:asciiTheme="minorHAnsi" w:hAnsiTheme="minorHAnsi" w:cstheme="minorHAnsi"/>
          <w:b/>
          <w:color w:val="BA0C2F"/>
          <w:sz w:val="22"/>
          <w:lang w:val="en-US"/>
        </w:rPr>
      </w:pPr>
      <w:r w:rsidRPr="00BF372F">
        <w:rPr>
          <w:rFonts w:asciiTheme="minorHAnsi" w:hAnsiTheme="minorHAnsi" w:cstheme="minorHAnsi"/>
          <w:b/>
          <w:color w:val="BA0C2F"/>
          <w:sz w:val="22"/>
          <w:lang w:val="en-US"/>
        </w:rPr>
        <w:t>Extraordinary General Meeting of Shareholders</w:t>
      </w:r>
    </w:p>
    <w:p w:rsidR="00BF372F" w:rsidRPr="00BF372F" w:rsidRDefault="00DF4C62" w:rsidP="00BF372F">
      <w:pPr>
        <w:jc w:val="both"/>
        <w:rPr>
          <w:sz w:val="22"/>
          <w:lang w:val="en-GB"/>
        </w:rPr>
      </w:pPr>
      <w:r>
        <w:rPr>
          <w:sz w:val="22"/>
          <w:lang w:val="en-GB"/>
        </w:rPr>
        <w:t>This afternoon at 13.00 CE</w:t>
      </w:r>
      <w:r w:rsidR="00BF372F" w:rsidRPr="00BF372F">
        <w:rPr>
          <w:sz w:val="22"/>
          <w:lang w:val="en-GB"/>
        </w:rPr>
        <w:t xml:space="preserve">T an EGM will be held at the Amsterdam Stock Exchange (Euronext) at </w:t>
      </w:r>
      <w:proofErr w:type="spellStart"/>
      <w:r w:rsidR="00BF372F" w:rsidRPr="00BF372F">
        <w:rPr>
          <w:sz w:val="22"/>
          <w:lang w:val="en-GB"/>
        </w:rPr>
        <w:t>Beursplein</w:t>
      </w:r>
      <w:proofErr w:type="spellEnd"/>
      <w:r w:rsidR="00BF372F" w:rsidRPr="00BF372F">
        <w:rPr>
          <w:sz w:val="22"/>
          <w:lang w:val="en-GB"/>
        </w:rPr>
        <w:t xml:space="preserve"> 5 in Amsterdam, in which a vote will be taken on the proposal to grant the engagement for the audit of the </w:t>
      </w:r>
      <w:proofErr w:type="spellStart"/>
      <w:r w:rsidR="00BF372F" w:rsidRPr="00BF372F">
        <w:rPr>
          <w:color w:val="C00000"/>
          <w:sz w:val="22"/>
          <w:lang w:val="en-GB"/>
        </w:rPr>
        <w:t>Rood</w:t>
      </w:r>
      <w:r w:rsidR="00BF372F" w:rsidRPr="00BF372F">
        <w:rPr>
          <w:sz w:val="22"/>
          <w:lang w:val="en-GB"/>
        </w:rPr>
        <w:t>Microtec</w:t>
      </w:r>
      <w:proofErr w:type="spellEnd"/>
      <w:r w:rsidR="00BF372F" w:rsidRPr="00BF372F">
        <w:rPr>
          <w:sz w:val="22"/>
          <w:lang w:val="en-GB"/>
        </w:rPr>
        <w:t xml:space="preserve"> N.V. financial statements for the financial years 2019, 2020, 2021 and 2022 to KPMG Accountants</w:t>
      </w:r>
      <w:r w:rsidR="00F04368">
        <w:rPr>
          <w:sz w:val="22"/>
          <w:lang w:val="en-GB"/>
        </w:rPr>
        <w:t> </w:t>
      </w:r>
      <w:r w:rsidR="00BF372F" w:rsidRPr="00BF372F">
        <w:rPr>
          <w:sz w:val="22"/>
          <w:lang w:val="en-GB"/>
        </w:rPr>
        <w:t xml:space="preserve"> N.V. Furthermore, the Company’s Management Board will give a business update that corresponds with the abovementioned outlook.</w:t>
      </w:r>
    </w:p>
    <w:p w:rsidR="00B463D7" w:rsidRDefault="00B463D7" w:rsidP="00B463D7">
      <w:pPr>
        <w:spacing w:after="0"/>
        <w:jc w:val="both"/>
        <w:rPr>
          <w:rFonts w:asciiTheme="minorHAnsi" w:hAnsiTheme="minorHAnsi" w:cstheme="minorHAnsi"/>
          <w:szCs w:val="20"/>
          <w:lang w:val="en-GB"/>
        </w:rPr>
      </w:pPr>
    </w:p>
    <w:p w:rsidR="00082050" w:rsidRDefault="00082050">
      <w:pPr>
        <w:spacing w:after="0" w:line="240" w:lineRule="auto"/>
        <w:rPr>
          <w:rFonts w:asciiTheme="minorHAnsi" w:hAnsiTheme="minorHAnsi" w:cstheme="minorHAnsi"/>
          <w:b/>
          <w:color w:val="BA0C2F"/>
          <w:sz w:val="22"/>
          <w:lang w:val="en-US"/>
        </w:rPr>
      </w:pPr>
      <w:r>
        <w:rPr>
          <w:rFonts w:asciiTheme="minorHAnsi" w:hAnsiTheme="minorHAnsi" w:cstheme="minorHAnsi"/>
          <w:b/>
          <w:color w:val="BA0C2F"/>
          <w:sz w:val="22"/>
          <w:lang w:val="en-US"/>
        </w:rPr>
        <w:br w:type="page"/>
      </w:r>
    </w:p>
    <w:p w:rsidR="00082050" w:rsidRPr="00082050" w:rsidRDefault="00082050" w:rsidP="00082050">
      <w:pPr>
        <w:jc w:val="both"/>
        <w:rPr>
          <w:rFonts w:asciiTheme="minorHAnsi" w:hAnsiTheme="minorHAnsi" w:cstheme="minorHAnsi"/>
          <w:b/>
          <w:color w:val="BA0C2F"/>
          <w:sz w:val="22"/>
          <w:lang w:val="en-US"/>
        </w:rPr>
      </w:pPr>
      <w:r w:rsidRPr="00082050">
        <w:rPr>
          <w:rFonts w:asciiTheme="minorHAnsi" w:hAnsiTheme="minorHAnsi" w:cstheme="minorHAnsi"/>
          <w:b/>
          <w:color w:val="BA0C2F"/>
          <w:sz w:val="22"/>
          <w:lang w:val="en-US"/>
        </w:rPr>
        <w:lastRenderedPageBreak/>
        <w:t>Financial agenda</w:t>
      </w:r>
    </w:p>
    <w:tbl>
      <w:tblPr>
        <w:tblW w:w="9604" w:type="dxa"/>
        <w:tblInd w:w="2" w:type="dxa"/>
        <w:tblLook w:val="00A0" w:firstRow="1" w:lastRow="0" w:firstColumn="1" w:lastColumn="0" w:noHBand="0" w:noVBand="0"/>
      </w:tblPr>
      <w:tblGrid>
        <w:gridCol w:w="2800"/>
        <w:gridCol w:w="6804"/>
      </w:tblGrid>
      <w:tr w:rsidR="00082050" w:rsidRPr="00082050" w:rsidTr="009F43E3">
        <w:trPr>
          <w:trHeight w:val="284"/>
        </w:trPr>
        <w:tc>
          <w:tcPr>
            <w:tcW w:w="2800" w:type="dxa"/>
          </w:tcPr>
          <w:p w:rsidR="00082050" w:rsidRPr="00082050" w:rsidRDefault="00D5633E" w:rsidP="00D5633E">
            <w:pPr>
              <w:spacing w:after="0"/>
              <w:rPr>
                <w:rFonts w:cs="Verdana"/>
                <w:sz w:val="22"/>
              </w:rPr>
            </w:pPr>
            <w:r w:rsidRPr="00082050">
              <w:rPr>
                <w:sz w:val="22"/>
              </w:rPr>
              <w:t>23</w:t>
            </w:r>
            <w:r w:rsidRPr="00082050">
              <w:rPr>
                <w:sz w:val="22"/>
                <w:vertAlign w:val="superscript"/>
              </w:rPr>
              <w:t>rd</w:t>
            </w:r>
            <w:r w:rsidRPr="00082050">
              <w:rPr>
                <w:sz w:val="22"/>
              </w:rPr>
              <w:t xml:space="preserve"> </w:t>
            </w:r>
            <w:proofErr w:type="spellStart"/>
            <w:r w:rsidR="00082050" w:rsidRPr="00082050">
              <w:rPr>
                <w:sz w:val="22"/>
              </w:rPr>
              <w:t>January</w:t>
            </w:r>
            <w:proofErr w:type="spellEnd"/>
            <w:r w:rsidR="00082050" w:rsidRPr="00082050">
              <w:rPr>
                <w:sz w:val="22"/>
              </w:rPr>
              <w:t xml:space="preserve"> 2020</w:t>
            </w:r>
          </w:p>
        </w:tc>
        <w:tc>
          <w:tcPr>
            <w:tcW w:w="6804" w:type="dxa"/>
          </w:tcPr>
          <w:p w:rsidR="00082050" w:rsidRPr="00082050" w:rsidRDefault="00082050" w:rsidP="00082050">
            <w:pPr>
              <w:spacing w:after="0"/>
              <w:rPr>
                <w:rFonts w:cs="Verdana"/>
                <w:sz w:val="22"/>
              </w:rPr>
            </w:pPr>
            <w:proofErr w:type="spellStart"/>
            <w:r w:rsidRPr="00082050">
              <w:rPr>
                <w:sz w:val="22"/>
              </w:rPr>
              <w:t>Publication</w:t>
            </w:r>
            <w:proofErr w:type="spellEnd"/>
            <w:r w:rsidRPr="00082050">
              <w:rPr>
                <w:sz w:val="22"/>
              </w:rPr>
              <w:t xml:space="preserve"> (</w:t>
            </w:r>
            <w:proofErr w:type="spellStart"/>
            <w:r w:rsidRPr="00082050">
              <w:rPr>
                <w:sz w:val="22"/>
              </w:rPr>
              <w:t>preliminary</w:t>
            </w:r>
            <w:proofErr w:type="spellEnd"/>
            <w:r w:rsidRPr="00082050">
              <w:rPr>
                <w:sz w:val="22"/>
              </w:rPr>
              <w:t xml:space="preserve">) </w:t>
            </w:r>
            <w:proofErr w:type="spellStart"/>
            <w:r w:rsidRPr="00082050">
              <w:rPr>
                <w:sz w:val="22"/>
              </w:rPr>
              <w:t>annual</w:t>
            </w:r>
            <w:proofErr w:type="spellEnd"/>
            <w:r w:rsidRPr="00082050">
              <w:rPr>
                <w:sz w:val="22"/>
              </w:rPr>
              <w:t xml:space="preserve"> </w:t>
            </w:r>
            <w:proofErr w:type="spellStart"/>
            <w:r w:rsidRPr="00082050">
              <w:rPr>
                <w:sz w:val="22"/>
              </w:rPr>
              <w:t>revenue</w:t>
            </w:r>
            <w:proofErr w:type="spellEnd"/>
            <w:r w:rsidRPr="00082050">
              <w:rPr>
                <w:sz w:val="22"/>
              </w:rPr>
              <w:t xml:space="preserve"> 2019</w:t>
            </w:r>
          </w:p>
        </w:tc>
      </w:tr>
      <w:tr w:rsidR="00082050" w:rsidRPr="00082050" w:rsidTr="009F43E3">
        <w:trPr>
          <w:trHeight w:val="284"/>
        </w:trPr>
        <w:tc>
          <w:tcPr>
            <w:tcW w:w="2800" w:type="dxa"/>
          </w:tcPr>
          <w:p w:rsidR="00082050" w:rsidRPr="00082050" w:rsidRDefault="00082050" w:rsidP="00082050">
            <w:pPr>
              <w:spacing w:after="0"/>
              <w:rPr>
                <w:sz w:val="22"/>
              </w:rPr>
            </w:pPr>
            <w:r w:rsidRPr="00082050">
              <w:rPr>
                <w:sz w:val="22"/>
              </w:rPr>
              <w:t>16</w:t>
            </w:r>
            <w:r w:rsidRPr="00082050">
              <w:rPr>
                <w:sz w:val="22"/>
                <w:vertAlign w:val="superscript"/>
              </w:rPr>
              <w:t>th</w:t>
            </w:r>
            <w:r w:rsidR="00D5633E" w:rsidRPr="00082050">
              <w:rPr>
                <w:sz w:val="22"/>
              </w:rPr>
              <w:t xml:space="preserve"> </w:t>
            </w:r>
            <w:r w:rsidR="00D5633E" w:rsidRPr="00082050">
              <w:rPr>
                <w:sz w:val="22"/>
              </w:rPr>
              <w:t>April</w:t>
            </w:r>
            <w:r w:rsidRPr="00082050">
              <w:rPr>
                <w:sz w:val="22"/>
              </w:rPr>
              <w:t xml:space="preserve"> 2020</w:t>
            </w:r>
          </w:p>
        </w:tc>
        <w:tc>
          <w:tcPr>
            <w:tcW w:w="6804" w:type="dxa"/>
          </w:tcPr>
          <w:p w:rsidR="00082050" w:rsidRPr="00082050" w:rsidRDefault="00082050" w:rsidP="00082050">
            <w:pPr>
              <w:spacing w:after="0"/>
              <w:rPr>
                <w:rFonts w:cs="Verdana"/>
                <w:sz w:val="22"/>
              </w:rPr>
            </w:pPr>
            <w:r w:rsidRPr="00082050">
              <w:rPr>
                <w:sz w:val="22"/>
              </w:rPr>
              <w:t xml:space="preserve">Trading update </w:t>
            </w:r>
            <w:proofErr w:type="spellStart"/>
            <w:r w:rsidRPr="00082050">
              <w:rPr>
                <w:sz w:val="22"/>
              </w:rPr>
              <w:t>quarter</w:t>
            </w:r>
            <w:proofErr w:type="spellEnd"/>
            <w:r w:rsidRPr="00082050">
              <w:rPr>
                <w:sz w:val="22"/>
              </w:rPr>
              <w:t xml:space="preserve"> 1-2020</w:t>
            </w:r>
          </w:p>
        </w:tc>
      </w:tr>
      <w:tr w:rsidR="00082050" w:rsidRPr="00082050" w:rsidTr="009F43E3">
        <w:trPr>
          <w:trHeight w:val="284"/>
        </w:trPr>
        <w:tc>
          <w:tcPr>
            <w:tcW w:w="2800" w:type="dxa"/>
          </w:tcPr>
          <w:p w:rsidR="00082050" w:rsidRPr="00082050" w:rsidRDefault="00082050" w:rsidP="00082050">
            <w:pPr>
              <w:spacing w:after="0"/>
              <w:rPr>
                <w:rFonts w:cs="Verdana"/>
                <w:sz w:val="22"/>
              </w:rPr>
            </w:pPr>
            <w:r w:rsidRPr="00082050">
              <w:rPr>
                <w:sz w:val="22"/>
              </w:rPr>
              <w:t>30</w:t>
            </w:r>
            <w:r w:rsidRPr="00082050">
              <w:rPr>
                <w:sz w:val="22"/>
                <w:vertAlign w:val="superscript"/>
              </w:rPr>
              <w:t>th</w:t>
            </w:r>
            <w:r w:rsidR="00D5633E" w:rsidRPr="00082050">
              <w:rPr>
                <w:sz w:val="22"/>
              </w:rPr>
              <w:t xml:space="preserve"> </w:t>
            </w:r>
            <w:r w:rsidR="00D5633E" w:rsidRPr="00082050">
              <w:rPr>
                <w:sz w:val="22"/>
              </w:rPr>
              <w:t>April</w:t>
            </w:r>
            <w:r w:rsidRPr="00082050">
              <w:rPr>
                <w:sz w:val="22"/>
              </w:rPr>
              <w:t xml:space="preserve"> 2020</w:t>
            </w:r>
          </w:p>
        </w:tc>
        <w:tc>
          <w:tcPr>
            <w:tcW w:w="6804" w:type="dxa"/>
          </w:tcPr>
          <w:p w:rsidR="00082050" w:rsidRPr="00082050" w:rsidRDefault="00082050" w:rsidP="00082050">
            <w:pPr>
              <w:spacing w:after="0"/>
              <w:rPr>
                <w:rFonts w:cs="Verdana"/>
                <w:sz w:val="22"/>
              </w:rPr>
            </w:pPr>
            <w:proofErr w:type="spellStart"/>
            <w:r w:rsidRPr="00082050">
              <w:rPr>
                <w:sz w:val="22"/>
              </w:rPr>
              <w:t>Publication</w:t>
            </w:r>
            <w:proofErr w:type="spellEnd"/>
            <w:r w:rsidRPr="00082050">
              <w:rPr>
                <w:sz w:val="22"/>
              </w:rPr>
              <w:t xml:space="preserve"> </w:t>
            </w:r>
            <w:proofErr w:type="spellStart"/>
            <w:r w:rsidRPr="00082050">
              <w:rPr>
                <w:sz w:val="22"/>
              </w:rPr>
              <w:t>annual</w:t>
            </w:r>
            <w:proofErr w:type="spellEnd"/>
            <w:r w:rsidRPr="00082050">
              <w:rPr>
                <w:sz w:val="22"/>
              </w:rPr>
              <w:t xml:space="preserve"> </w:t>
            </w:r>
            <w:proofErr w:type="spellStart"/>
            <w:r w:rsidRPr="00082050">
              <w:rPr>
                <w:sz w:val="22"/>
              </w:rPr>
              <w:t>report</w:t>
            </w:r>
            <w:proofErr w:type="spellEnd"/>
            <w:r w:rsidRPr="00082050">
              <w:rPr>
                <w:sz w:val="22"/>
              </w:rPr>
              <w:t xml:space="preserve"> 2019</w:t>
            </w:r>
          </w:p>
        </w:tc>
      </w:tr>
      <w:tr w:rsidR="00082050" w:rsidRPr="00D5633E" w:rsidTr="009F43E3">
        <w:trPr>
          <w:trHeight w:val="284"/>
        </w:trPr>
        <w:tc>
          <w:tcPr>
            <w:tcW w:w="2800" w:type="dxa"/>
          </w:tcPr>
          <w:p w:rsidR="00082050" w:rsidRPr="00082050" w:rsidRDefault="00082050" w:rsidP="00D5633E">
            <w:pPr>
              <w:spacing w:after="0"/>
              <w:rPr>
                <w:rFonts w:cs="Verdana"/>
                <w:sz w:val="22"/>
              </w:rPr>
            </w:pPr>
            <w:r w:rsidRPr="00082050">
              <w:rPr>
                <w:sz w:val="22"/>
              </w:rPr>
              <w:t>30</w:t>
            </w:r>
            <w:r w:rsidRPr="00082050">
              <w:rPr>
                <w:sz w:val="22"/>
                <w:vertAlign w:val="superscript"/>
              </w:rPr>
              <w:t>th</w:t>
            </w:r>
            <w:r w:rsidR="00D5633E" w:rsidRPr="00082050">
              <w:rPr>
                <w:sz w:val="22"/>
              </w:rPr>
              <w:t xml:space="preserve"> </w:t>
            </w:r>
            <w:r w:rsidR="00D5633E" w:rsidRPr="00082050">
              <w:rPr>
                <w:sz w:val="22"/>
              </w:rPr>
              <w:t>April</w:t>
            </w:r>
            <w:r w:rsidRPr="00082050">
              <w:rPr>
                <w:sz w:val="22"/>
              </w:rPr>
              <w:t xml:space="preserve"> 2020</w:t>
            </w:r>
          </w:p>
        </w:tc>
        <w:tc>
          <w:tcPr>
            <w:tcW w:w="6804" w:type="dxa"/>
          </w:tcPr>
          <w:p w:rsidR="00082050" w:rsidRPr="00082050" w:rsidRDefault="00082050" w:rsidP="00082050">
            <w:pPr>
              <w:spacing w:after="0"/>
              <w:rPr>
                <w:rFonts w:cs="Verdana"/>
                <w:sz w:val="22"/>
                <w:lang w:val="en-US"/>
              </w:rPr>
            </w:pPr>
            <w:r w:rsidRPr="00082050">
              <w:rPr>
                <w:sz w:val="22"/>
                <w:lang w:val="en-US"/>
              </w:rPr>
              <w:t>Conference call for press and analysts</w:t>
            </w:r>
          </w:p>
        </w:tc>
      </w:tr>
      <w:tr w:rsidR="00082050" w:rsidRPr="00D5633E" w:rsidTr="009F43E3">
        <w:trPr>
          <w:trHeight w:val="284"/>
        </w:trPr>
        <w:tc>
          <w:tcPr>
            <w:tcW w:w="2800" w:type="dxa"/>
          </w:tcPr>
          <w:p w:rsidR="00082050" w:rsidRPr="00082050" w:rsidRDefault="00082050" w:rsidP="00D5633E">
            <w:pPr>
              <w:spacing w:after="0"/>
              <w:rPr>
                <w:sz w:val="22"/>
              </w:rPr>
            </w:pPr>
            <w:r w:rsidRPr="00082050">
              <w:rPr>
                <w:sz w:val="22"/>
              </w:rPr>
              <w:t>18</w:t>
            </w:r>
            <w:r w:rsidRPr="00082050">
              <w:rPr>
                <w:sz w:val="22"/>
                <w:vertAlign w:val="superscript"/>
              </w:rPr>
              <w:t>th</w:t>
            </w:r>
            <w:r w:rsidR="00D5633E" w:rsidRPr="00082050">
              <w:rPr>
                <w:sz w:val="22"/>
              </w:rPr>
              <w:t xml:space="preserve"> </w:t>
            </w:r>
            <w:r w:rsidR="00D5633E" w:rsidRPr="00082050">
              <w:rPr>
                <w:sz w:val="22"/>
              </w:rPr>
              <w:t>June</w:t>
            </w:r>
            <w:r w:rsidRPr="00082050">
              <w:rPr>
                <w:sz w:val="22"/>
              </w:rPr>
              <w:t xml:space="preserve"> 2020</w:t>
            </w:r>
          </w:p>
        </w:tc>
        <w:tc>
          <w:tcPr>
            <w:tcW w:w="6804" w:type="dxa"/>
          </w:tcPr>
          <w:p w:rsidR="00082050" w:rsidRPr="00082050" w:rsidRDefault="00082050" w:rsidP="00082050">
            <w:pPr>
              <w:spacing w:after="0"/>
              <w:rPr>
                <w:rFonts w:cs="Verdana"/>
                <w:sz w:val="22"/>
                <w:lang w:val="en-US"/>
              </w:rPr>
            </w:pPr>
            <w:r w:rsidRPr="00082050">
              <w:rPr>
                <w:sz w:val="22"/>
                <w:lang w:val="en-US"/>
              </w:rPr>
              <w:t>Annual general meeting of shareholders</w:t>
            </w:r>
          </w:p>
        </w:tc>
      </w:tr>
      <w:tr w:rsidR="00082050" w:rsidRPr="00082050" w:rsidTr="009F43E3">
        <w:trPr>
          <w:trHeight w:val="284"/>
        </w:trPr>
        <w:tc>
          <w:tcPr>
            <w:tcW w:w="2800" w:type="dxa"/>
          </w:tcPr>
          <w:p w:rsidR="00082050" w:rsidRPr="00082050" w:rsidRDefault="00082050" w:rsidP="00D5633E">
            <w:pPr>
              <w:spacing w:after="0"/>
              <w:rPr>
                <w:rFonts w:cs="Verdana"/>
                <w:sz w:val="22"/>
              </w:rPr>
            </w:pPr>
            <w:r w:rsidRPr="00082050">
              <w:rPr>
                <w:sz w:val="22"/>
              </w:rPr>
              <w:t>19</w:t>
            </w:r>
            <w:r w:rsidRPr="00082050">
              <w:rPr>
                <w:sz w:val="22"/>
                <w:vertAlign w:val="superscript"/>
              </w:rPr>
              <w:t>th</w:t>
            </w:r>
            <w:r w:rsidR="00D5633E" w:rsidRPr="00082050">
              <w:rPr>
                <w:sz w:val="22"/>
              </w:rPr>
              <w:t xml:space="preserve"> </w:t>
            </w:r>
            <w:r w:rsidR="00D5633E" w:rsidRPr="00082050">
              <w:rPr>
                <w:sz w:val="22"/>
              </w:rPr>
              <w:t>June</w:t>
            </w:r>
            <w:r w:rsidRPr="00082050">
              <w:rPr>
                <w:sz w:val="22"/>
              </w:rPr>
              <w:t xml:space="preserve"> 2020</w:t>
            </w:r>
          </w:p>
        </w:tc>
        <w:tc>
          <w:tcPr>
            <w:tcW w:w="6804" w:type="dxa"/>
          </w:tcPr>
          <w:p w:rsidR="00082050" w:rsidRPr="00082050" w:rsidRDefault="00082050" w:rsidP="00082050">
            <w:pPr>
              <w:spacing w:after="0"/>
              <w:rPr>
                <w:rFonts w:cs="Verdana"/>
                <w:sz w:val="22"/>
              </w:rPr>
            </w:pPr>
            <w:r w:rsidRPr="00082050">
              <w:rPr>
                <w:sz w:val="22"/>
              </w:rPr>
              <w:t xml:space="preserve">Annual </w:t>
            </w:r>
            <w:proofErr w:type="spellStart"/>
            <w:r w:rsidRPr="00082050">
              <w:rPr>
                <w:sz w:val="22"/>
              </w:rPr>
              <w:t>bondholders</w:t>
            </w:r>
            <w:proofErr w:type="spellEnd"/>
            <w:r w:rsidRPr="00082050">
              <w:rPr>
                <w:sz w:val="22"/>
              </w:rPr>
              <w:t xml:space="preserve"> </w:t>
            </w:r>
            <w:proofErr w:type="spellStart"/>
            <w:r w:rsidRPr="00082050">
              <w:rPr>
                <w:sz w:val="22"/>
              </w:rPr>
              <w:t>meeting</w:t>
            </w:r>
            <w:proofErr w:type="spellEnd"/>
            <w:r w:rsidRPr="00082050">
              <w:rPr>
                <w:sz w:val="22"/>
              </w:rPr>
              <w:t xml:space="preserve"> </w:t>
            </w:r>
          </w:p>
        </w:tc>
      </w:tr>
      <w:tr w:rsidR="00082050" w:rsidRPr="00082050" w:rsidTr="009F43E3">
        <w:trPr>
          <w:trHeight w:val="287"/>
        </w:trPr>
        <w:tc>
          <w:tcPr>
            <w:tcW w:w="2800" w:type="dxa"/>
          </w:tcPr>
          <w:p w:rsidR="00082050" w:rsidRPr="00082050" w:rsidRDefault="00082050" w:rsidP="00082050">
            <w:pPr>
              <w:spacing w:after="0"/>
              <w:rPr>
                <w:rFonts w:cs="Verdana"/>
                <w:sz w:val="22"/>
              </w:rPr>
            </w:pPr>
            <w:r w:rsidRPr="00082050">
              <w:rPr>
                <w:sz w:val="22"/>
              </w:rPr>
              <w:t>30</w:t>
            </w:r>
            <w:r w:rsidRPr="00082050">
              <w:rPr>
                <w:sz w:val="22"/>
                <w:vertAlign w:val="superscript"/>
              </w:rPr>
              <w:t>th</w:t>
            </w:r>
            <w:r w:rsidR="00D5633E" w:rsidRPr="00082050">
              <w:rPr>
                <w:sz w:val="22"/>
              </w:rPr>
              <w:t xml:space="preserve"> </w:t>
            </w:r>
            <w:proofErr w:type="spellStart"/>
            <w:r w:rsidR="00D5633E" w:rsidRPr="00082050">
              <w:rPr>
                <w:sz w:val="22"/>
              </w:rPr>
              <w:t>July</w:t>
            </w:r>
            <w:proofErr w:type="spellEnd"/>
            <w:r w:rsidRPr="00082050">
              <w:rPr>
                <w:sz w:val="22"/>
              </w:rPr>
              <w:t xml:space="preserve"> 2020</w:t>
            </w:r>
          </w:p>
        </w:tc>
        <w:tc>
          <w:tcPr>
            <w:tcW w:w="6804" w:type="dxa"/>
          </w:tcPr>
          <w:p w:rsidR="00082050" w:rsidRPr="00082050" w:rsidRDefault="00082050" w:rsidP="00082050">
            <w:pPr>
              <w:spacing w:after="0"/>
              <w:rPr>
                <w:rFonts w:cs="Verdana"/>
                <w:sz w:val="22"/>
              </w:rPr>
            </w:pPr>
            <w:proofErr w:type="spellStart"/>
            <w:r w:rsidRPr="00082050">
              <w:rPr>
                <w:sz w:val="22"/>
              </w:rPr>
              <w:t>Publication</w:t>
            </w:r>
            <w:proofErr w:type="spellEnd"/>
            <w:r w:rsidRPr="00082050">
              <w:rPr>
                <w:sz w:val="22"/>
              </w:rPr>
              <w:t xml:space="preserve"> </w:t>
            </w:r>
            <w:proofErr w:type="spellStart"/>
            <w:r w:rsidRPr="00082050">
              <w:rPr>
                <w:sz w:val="22"/>
              </w:rPr>
              <w:t>interim</w:t>
            </w:r>
            <w:proofErr w:type="spellEnd"/>
            <w:r w:rsidRPr="00082050">
              <w:rPr>
                <w:sz w:val="22"/>
              </w:rPr>
              <w:t xml:space="preserve"> </w:t>
            </w:r>
            <w:proofErr w:type="spellStart"/>
            <w:r w:rsidRPr="00082050">
              <w:rPr>
                <w:sz w:val="22"/>
              </w:rPr>
              <w:t>report</w:t>
            </w:r>
            <w:proofErr w:type="spellEnd"/>
            <w:r w:rsidRPr="00082050">
              <w:rPr>
                <w:sz w:val="22"/>
              </w:rPr>
              <w:t xml:space="preserve"> 2020</w:t>
            </w:r>
          </w:p>
        </w:tc>
      </w:tr>
      <w:tr w:rsidR="00082050" w:rsidRPr="00D5633E" w:rsidTr="009F43E3">
        <w:trPr>
          <w:trHeight w:val="284"/>
        </w:trPr>
        <w:tc>
          <w:tcPr>
            <w:tcW w:w="2800" w:type="dxa"/>
          </w:tcPr>
          <w:p w:rsidR="00082050" w:rsidRPr="00082050" w:rsidRDefault="00082050" w:rsidP="00D5633E">
            <w:pPr>
              <w:spacing w:after="0"/>
              <w:rPr>
                <w:rFonts w:cs="Verdana"/>
                <w:sz w:val="22"/>
              </w:rPr>
            </w:pPr>
            <w:r w:rsidRPr="00082050">
              <w:rPr>
                <w:sz w:val="22"/>
              </w:rPr>
              <w:t>30</w:t>
            </w:r>
            <w:r w:rsidRPr="00082050">
              <w:rPr>
                <w:sz w:val="22"/>
                <w:vertAlign w:val="superscript"/>
              </w:rPr>
              <w:t>th</w:t>
            </w:r>
            <w:r w:rsidR="00D5633E" w:rsidRPr="00082050">
              <w:rPr>
                <w:sz w:val="22"/>
              </w:rPr>
              <w:t xml:space="preserve"> </w:t>
            </w:r>
            <w:proofErr w:type="spellStart"/>
            <w:r w:rsidR="00D5633E" w:rsidRPr="00082050">
              <w:rPr>
                <w:sz w:val="22"/>
              </w:rPr>
              <w:t>July</w:t>
            </w:r>
            <w:proofErr w:type="spellEnd"/>
            <w:r w:rsidRPr="00082050">
              <w:rPr>
                <w:sz w:val="22"/>
              </w:rPr>
              <w:t xml:space="preserve"> 2020</w:t>
            </w:r>
          </w:p>
        </w:tc>
        <w:tc>
          <w:tcPr>
            <w:tcW w:w="6804" w:type="dxa"/>
          </w:tcPr>
          <w:p w:rsidR="00082050" w:rsidRPr="00082050" w:rsidRDefault="00082050" w:rsidP="00082050">
            <w:pPr>
              <w:spacing w:after="0"/>
              <w:rPr>
                <w:rFonts w:cs="Verdana"/>
                <w:sz w:val="22"/>
                <w:lang w:val="en-US"/>
              </w:rPr>
            </w:pPr>
            <w:r w:rsidRPr="00082050">
              <w:rPr>
                <w:sz w:val="22"/>
                <w:lang w:val="en-US"/>
              </w:rPr>
              <w:t>Conference call for press and analysts</w:t>
            </w:r>
          </w:p>
        </w:tc>
      </w:tr>
      <w:tr w:rsidR="00082050" w:rsidRPr="00082050" w:rsidTr="009F43E3">
        <w:trPr>
          <w:trHeight w:val="292"/>
        </w:trPr>
        <w:tc>
          <w:tcPr>
            <w:tcW w:w="2800" w:type="dxa"/>
          </w:tcPr>
          <w:p w:rsidR="00082050" w:rsidRPr="00082050" w:rsidRDefault="00082050" w:rsidP="00D5633E">
            <w:pPr>
              <w:rPr>
                <w:rFonts w:cs="Verdana"/>
                <w:sz w:val="22"/>
              </w:rPr>
            </w:pPr>
            <w:r w:rsidRPr="00082050">
              <w:rPr>
                <w:sz w:val="22"/>
              </w:rPr>
              <w:t>15</w:t>
            </w:r>
            <w:r w:rsidRPr="00082050">
              <w:rPr>
                <w:sz w:val="22"/>
                <w:vertAlign w:val="superscript"/>
              </w:rPr>
              <w:t>th</w:t>
            </w:r>
            <w:r w:rsidR="00D5633E" w:rsidRPr="00082050">
              <w:rPr>
                <w:sz w:val="22"/>
              </w:rPr>
              <w:t xml:space="preserve"> </w:t>
            </w:r>
            <w:proofErr w:type="spellStart"/>
            <w:r w:rsidR="00D5633E" w:rsidRPr="00082050">
              <w:rPr>
                <w:sz w:val="22"/>
              </w:rPr>
              <w:t>October</w:t>
            </w:r>
            <w:bookmarkStart w:id="0" w:name="_GoBack"/>
            <w:bookmarkEnd w:id="0"/>
            <w:proofErr w:type="spellEnd"/>
            <w:r w:rsidRPr="00082050">
              <w:rPr>
                <w:sz w:val="22"/>
              </w:rPr>
              <w:t xml:space="preserve"> 2020</w:t>
            </w:r>
          </w:p>
        </w:tc>
        <w:tc>
          <w:tcPr>
            <w:tcW w:w="6804" w:type="dxa"/>
          </w:tcPr>
          <w:p w:rsidR="00082050" w:rsidRPr="00082050" w:rsidRDefault="00082050" w:rsidP="00082050">
            <w:pPr>
              <w:rPr>
                <w:rFonts w:cs="Verdana"/>
                <w:sz w:val="22"/>
              </w:rPr>
            </w:pPr>
            <w:r w:rsidRPr="00082050">
              <w:rPr>
                <w:sz w:val="22"/>
              </w:rPr>
              <w:t xml:space="preserve">Trading update </w:t>
            </w:r>
            <w:proofErr w:type="spellStart"/>
            <w:r w:rsidRPr="00082050">
              <w:rPr>
                <w:sz w:val="22"/>
              </w:rPr>
              <w:t>quarter</w:t>
            </w:r>
            <w:proofErr w:type="spellEnd"/>
            <w:r w:rsidRPr="00082050">
              <w:rPr>
                <w:sz w:val="22"/>
              </w:rPr>
              <w:t xml:space="preserve"> 3-2020</w:t>
            </w:r>
          </w:p>
        </w:tc>
      </w:tr>
    </w:tbl>
    <w:p w:rsidR="00082050" w:rsidRPr="00BF372F" w:rsidRDefault="00082050" w:rsidP="00B463D7">
      <w:pPr>
        <w:spacing w:after="0"/>
        <w:jc w:val="both"/>
        <w:rPr>
          <w:rFonts w:asciiTheme="minorHAnsi" w:hAnsiTheme="minorHAnsi" w:cstheme="minorHAnsi"/>
          <w:szCs w:val="20"/>
          <w:lang w:val="en-GB"/>
        </w:rPr>
      </w:pPr>
    </w:p>
    <w:p w:rsidR="00ED2F6E" w:rsidRPr="00CA6EC6" w:rsidRDefault="00ED2F6E" w:rsidP="00B463D7">
      <w:pPr>
        <w:spacing w:before="240"/>
        <w:jc w:val="both"/>
        <w:rPr>
          <w:b/>
          <w:color w:val="BA0C2F"/>
          <w:sz w:val="22"/>
          <w:lang w:val="en-US"/>
        </w:rPr>
      </w:pPr>
      <w:r w:rsidRPr="00CA6EC6">
        <w:rPr>
          <w:b/>
          <w:color w:val="BA0C2F"/>
          <w:sz w:val="22"/>
          <w:lang w:val="en-US"/>
        </w:rPr>
        <w:t xml:space="preserve">About </w:t>
      </w:r>
      <w:proofErr w:type="spellStart"/>
      <w:r w:rsidRPr="00CA6EC6">
        <w:rPr>
          <w:b/>
          <w:color w:val="BA0C2F"/>
          <w:sz w:val="22"/>
          <w:lang w:val="en-US"/>
        </w:rPr>
        <w:t>RoodMicrotec</w:t>
      </w:r>
      <w:proofErr w:type="spellEnd"/>
    </w:p>
    <w:p w:rsidR="00ED2F6E" w:rsidRPr="00CA6EC6" w:rsidRDefault="00ED2F6E" w:rsidP="002F6F94">
      <w:pPr>
        <w:jc w:val="both"/>
        <w:rPr>
          <w:sz w:val="22"/>
          <w:lang w:val="en-US"/>
        </w:rPr>
      </w:pP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w:t>
      </w:r>
      <w:r w:rsidR="0071753C" w:rsidRPr="00CA6EC6">
        <w:rPr>
          <w:sz w:val="22"/>
          <w:lang w:val="en-US"/>
        </w:rPr>
        <w:t>years</w:t>
      </w:r>
      <w:r w:rsidRPr="00CA6EC6">
        <w:rPr>
          <w:sz w:val="22"/>
          <w:lang w:val="en-US"/>
        </w:rPr>
        <w:t xml:space="preserve"> </w:t>
      </w:r>
      <w:r w:rsidR="00A16172" w:rsidRPr="00CA6EC6">
        <w:rPr>
          <w:sz w:val="22"/>
          <w:lang w:val="en-US"/>
        </w:rPr>
        <w:t xml:space="preserve">of </w:t>
      </w:r>
      <w:r w:rsidRPr="00CA6EC6">
        <w:rPr>
          <w:sz w:val="22"/>
          <w:lang w:val="en-US"/>
        </w:rPr>
        <w:t xml:space="preserve">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well-established as a highly valued partner </w:t>
      </w:r>
      <w:r w:rsidR="00A16172" w:rsidRPr="00CA6EC6">
        <w:rPr>
          <w:sz w:val="22"/>
          <w:lang w:val="en-US"/>
        </w:rPr>
        <w:t>for</w:t>
      </w:r>
      <w:r w:rsidRPr="00CA6EC6">
        <w:rPr>
          <w:sz w:val="22"/>
          <w:lang w:val="en-US"/>
        </w:rPr>
        <w:t xml:space="preserve"> many companies worldwide. The company provides full-turnkey ASIC services for complex microchips that are customized to handle specific applications for individual customers. In cooperation with strong partners,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CA6EC6">
        <w:rPr>
          <w:color w:val="BA0C2F"/>
          <w:sz w:val="22"/>
          <w:lang w:val="en-US"/>
        </w:rPr>
        <w:t>Rood</w:t>
      </w:r>
      <w:r w:rsidRPr="00CA6EC6">
        <w:rPr>
          <w:sz w:val="22"/>
          <w:lang w:val="en-US"/>
        </w:rPr>
        <w:t>Microtec’s</w:t>
      </w:r>
      <w:proofErr w:type="spellEnd"/>
      <w:r w:rsidRPr="00CA6EC6">
        <w:rPr>
          <w:sz w:val="22"/>
          <w:lang w:val="en-US"/>
        </w:rPr>
        <w:t xml:space="preserve"> headquarter is located in </w:t>
      </w:r>
      <w:r w:rsidR="00902043">
        <w:rPr>
          <w:sz w:val="22"/>
          <w:lang w:val="en-US"/>
        </w:rPr>
        <w:t>Deventer</w:t>
      </w:r>
      <w:r w:rsidRPr="00CA6EC6">
        <w:rPr>
          <w:sz w:val="22"/>
          <w:lang w:val="en-US"/>
        </w:rPr>
        <w:t xml:space="preserve">, Netherlands, with operational units in </w:t>
      </w:r>
      <w:proofErr w:type="spellStart"/>
      <w:r w:rsidRPr="00CA6EC6">
        <w:rPr>
          <w:sz w:val="22"/>
          <w:lang w:val="en-US"/>
        </w:rPr>
        <w:t>Nördlingen</w:t>
      </w:r>
      <w:proofErr w:type="spellEnd"/>
      <w:r w:rsidRPr="00CA6EC6">
        <w:rPr>
          <w:sz w:val="22"/>
          <w:lang w:val="en-US"/>
        </w:rPr>
        <w:t xml:space="preserve"> and Stuttgart, Germany.</w:t>
      </w:r>
    </w:p>
    <w:p w:rsidR="00ED2F6E" w:rsidRPr="00CA6EC6" w:rsidRDefault="00ED2F6E" w:rsidP="002F6F94">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8" w:history="1">
        <w:r w:rsidRPr="00CA6EC6">
          <w:rPr>
            <w:rFonts w:asciiTheme="minorHAnsi" w:hAnsiTheme="minorHAnsi" w:cstheme="minorHAnsi"/>
            <w:color w:val="0000FF"/>
            <w:sz w:val="22"/>
            <w:szCs w:val="20"/>
            <w:u w:val="single"/>
            <w:lang w:val="en-US"/>
          </w:rPr>
          <w:t>https://www.roodmicrotec.com</w:t>
        </w:r>
      </w:hyperlink>
    </w:p>
    <w:p w:rsidR="00ED2F6E" w:rsidRPr="00CA6EC6" w:rsidRDefault="00ED2F6E" w:rsidP="002F6F94">
      <w:pPr>
        <w:jc w:val="both"/>
        <w:rPr>
          <w:sz w:val="22"/>
          <w:lang w:val="en-US"/>
        </w:rPr>
      </w:pPr>
    </w:p>
    <w:p w:rsidR="00ED2F6E" w:rsidRPr="00CA6EC6" w:rsidRDefault="00ED2F6E" w:rsidP="002F6F94">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t>Further information</w:t>
      </w:r>
    </w:p>
    <w:p w:rsidR="00ED2F6E" w:rsidRPr="00CA6EC6" w:rsidRDefault="00ED2F6E" w:rsidP="002F6F94">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CA6EC6">
        <w:rPr>
          <w:rFonts w:asciiTheme="minorHAnsi" w:eastAsia="Times New Roman" w:hAnsiTheme="minorHAnsi" w:cstheme="minorHAnsi"/>
          <w:sz w:val="22"/>
          <w:szCs w:val="20"/>
          <w:lang w:val="en-US" w:eastAsia="en-GB" w:bidi="en-GB"/>
        </w:rPr>
        <w:t xml:space="preserve">Martin </w:t>
      </w:r>
      <w:proofErr w:type="spellStart"/>
      <w:r w:rsidRPr="00CA6EC6">
        <w:rPr>
          <w:rFonts w:asciiTheme="minorHAnsi" w:eastAsia="Times New Roman" w:hAnsiTheme="minorHAnsi" w:cstheme="minorHAnsi"/>
          <w:sz w:val="22"/>
          <w:szCs w:val="20"/>
          <w:lang w:val="en-US" w:eastAsia="en-GB" w:bidi="en-GB"/>
        </w:rPr>
        <w:t>Sallenhag</w:t>
      </w:r>
      <w:proofErr w:type="spellEnd"/>
      <w:r w:rsidRPr="00CA6EC6">
        <w:rPr>
          <w:rFonts w:asciiTheme="minorHAnsi" w:eastAsia="Times New Roman" w:hAnsiTheme="minorHAnsi" w:cstheme="minorHAnsi"/>
          <w:sz w:val="22"/>
          <w:szCs w:val="20"/>
          <w:lang w:val="en-US" w:eastAsia="en-GB" w:bidi="en-GB"/>
        </w:rPr>
        <w:t xml:space="preserve"> - CEO, </w:t>
      </w:r>
      <w:proofErr w:type="spellStart"/>
      <w:r w:rsidRPr="00CA6EC6">
        <w:rPr>
          <w:rFonts w:asciiTheme="minorHAnsi" w:eastAsia="Times New Roman" w:hAnsiTheme="minorHAnsi" w:cstheme="minorHAnsi"/>
          <w:sz w:val="22"/>
          <w:szCs w:val="20"/>
          <w:lang w:val="en-US" w:eastAsia="en-GB" w:bidi="en-GB"/>
        </w:rPr>
        <w:t>Arvid</w:t>
      </w:r>
      <w:proofErr w:type="spellEnd"/>
      <w:r w:rsidRPr="00CA6EC6">
        <w:rPr>
          <w:rFonts w:asciiTheme="minorHAnsi" w:eastAsia="Times New Roman" w:hAnsiTheme="minorHAnsi" w:cstheme="minorHAnsi"/>
          <w:sz w:val="22"/>
          <w:szCs w:val="20"/>
          <w:lang w:val="en-US" w:eastAsia="en-GB" w:bidi="en-GB"/>
        </w:rPr>
        <w:t xml:space="preserve"> </w:t>
      </w:r>
      <w:proofErr w:type="spellStart"/>
      <w:r w:rsidRPr="00CA6EC6">
        <w:rPr>
          <w:rFonts w:asciiTheme="minorHAnsi" w:eastAsia="Times New Roman" w:hAnsiTheme="minorHAnsi" w:cstheme="minorHAnsi"/>
          <w:sz w:val="22"/>
          <w:szCs w:val="20"/>
          <w:lang w:val="en-US" w:eastAsia="en-GB" w:bidi="en-GB"/>
        </w:rPr>
        <w:t>Ladega</w:t>
      </w:r>
      <w:proofErr w:type="spellEnd"/>
      <w:r w:rsidRPr="00CA6EC6">
        <w:rPr>
          <w:rFonts w:asciiTheme="minorHAnsi" w:eastAsia="Times New Roman" w:hAnsiTheme="minorHAnsi" w:cstheme="minorHAnsi"/>
          <w:sz w:val="22"/>
          <w:szCs w:val="20"/>
          <w:lang w:val="en-US" w:eastAsia="en-GB" w:bidi="en-GB"/>
        </w:rPr>
        <w:t xml:space="preserve"> - CFO</w:t>
      </w:r>
    </w:p>
    <w:p w:rsidR="00ED2F6E" w:rsidRPr="00CA6EC6" w:rsidRDefault="00ED2F6E" w:rsidP="002F6F94">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00AC1277"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9"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0" w:history="1">
        <w:r w:rsidRPr="00CA6EC6">
          <w:rPr>
            <w:rFonts w:asciiTheme="minorHAnsi" w:eastAsia="MS ????" w:hAnsiTheme="minorHAnsi" w:cstheme="minorHAnsi"/>
            <w:color w:val="0000FF"/>
            <w:sz w:val="22"/>
            <w:szCs w:val="20"/>
            <w:u w:val="single"/>
            <w:lang w:val="en-US" w:eastAsia="en-GB" w:bidi="en-GB"/>
          </w:rPr>
          <w:t>www.roodmicrotec.com</w:t>
        </w:r>
      </w:hyperlink>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spacing w:after="0"/>
        <w:ind w:right="-1"/>
        <w:jc w:val="both"/>
        <w:rPr>
          <w:i/>
          <w:sz w:val="18"/>
          <w:szCs w:val="18"/>
          <w:lang w:val="en-US"/>
        </w:rPr>
      </w:pPr>
      <w:r w:rsidRPr="00CA6EC6">
        <w:rPr>
          <w:i/>
          <w:sz w:val="18"/>
          <w:szCs w:val="18"/>
          <w:lang w:val="en-US"/>
        </w:rPr>
        <w:t>This press release is published in English, Dutch and German. In case of conflict between these versions the English version shall prevail.</w:t>
      </w:r>
    </w:p>
    <w:sectPr w:rsidR="00ED2F6E" w:rsidRPr="00CA6EC6"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6D4" w:rsidRDefault="00E716D4" w:rsidP="00487DE4">
      <w:pPr>
        <w:spacing w:after="0" w:line="240" w:lineRule="auto"/>
      </w:pPr>
      <w:r>
        <w:separator/>
      </w:r>
    </w:p>
  </w:endnote>
  <w:endnote w:type="continuationSeparator" w:id="0">
    <w:p w:rsidR="00E716D4" w:rsidRDefault="00E716D4"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E716D4" w:rsidP="0010326C">
                          <w:pPr>
                            <w:tabs>
                              <w:tab w:val="center" w:pos="5387"/>
                              <w:tab w:val="right" w:pos="10065"/>
                            </w:tabs>
                            <w:ind w:left="142" w:right="487"/>
                            <w:rPr>
                              <w:color w:val="FFFFFF"/>
                              <w:sz w:val="22"/>
                              <w:lang w:val="en-GB"/>
                            </w:rPr>
                          </w:pPr>
                          <w:r>
                            <w:rPr>
                              <w:color w:val="FFFFFF"/>
                              <w:sz w:val="22"/>
                              <w:lang w:val="en-GB"/>
                            </w:rPr>
                            <w:t>Revenue Update FY2019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D5633E">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364EF1" w:rsidRDefault="00E716D4" w:rsidP="0010326C">
                    <w:pPr>
                      <w:tabs>
                        <w:tab w:val="center" w:pos="5387"/>
                        <w:tab w:val="right" w:pos="10065"/>
                      </w:tabs>
                      <w:ind w:left="142" w:right="487"/>
                      <w:rPr>
                        <w:color w:val="FFFFFF"/>
                        <w:sz w:val="22"/>
                        <w:lang w:val="en-GB"/>
                      </w:rPr>
                    </w:pPr>
                    <w:r>
                      <w:rPr>
                        <w:color w:val="FFFFFF"/>
                        <w:sz w:val="22"/>
                        <w:lang w:val="en-GB"/>
                      </w:rPr>
                      <w:t>Revenue Update FY2019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D5633E">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E716D4" w:rsidP="0010326C">
                          <w:pPr>
                            <w:tabs>
                              <w:tab w:val="center" w:pos="5387"/>
                              <w:tab w:val="right" w:pos="10065"/>
                            </w:tabs>
                            <w:ind w:left="142" w:right="487"/>
                            <w:rPr>
                              <w:color w:val="FFFFFF"/>
                              <w:sz w:val="22"/>
                              <w:lang w:val="en-GB"/>
                            </w:rPr>
                          </w:pPr>
                          <w:r>
                            <w:rPr>
                              <w:color w:val="FFFFFF"/>
                              <w:sz w:val="22"/>
                              <w:lang w:val="en-GB"/>
                            </w:rPr>
                            <w:t>Revenue Update FY2019</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D5633E">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364EF1" w:rsidRDefault="00E716D4" w:rsidP="0010326C">
                    <w:pPr>
                      <w:tabs>
                        <w:tab w:val="center" w:pos="5387"/>
                        <w:tab w:val="right" w:pos="10065"/>
                      </w:tabs>
                      <w:ind w:left="142" w:right="487"/>
                      <w:rPr>
                        <w:color w:val="FFFFFF"/>
                        <w:sz w:val="22"/>
                        <w:lang w:val="en-GB"/>
                      </w:rPr>
                    </w:pPr>
                    <w:r>
                      <w:rPr>
                        <w:color w:val="FFFFFF"/>
                        <w:sz w:val="22"/>
                        <w:lang w:val="en-GB"/>
                      </w:rPr>
                      <w:t>Revenue Update FY2019</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D5633E">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6D4" w:rsidRDefault="00E716D4" w:rsidP="00487DE4">
      <w:pPr>
        <w:spacing w:after="0" w:line="240" w:lineRule="auto"/>
      </w:pPr>
      <w:r>
        <w:separator/>
      </w:r>
    </w:p>
  </w:footnote>
  <w:footnote w:type="continuationSeparator" w:id="0">
    <w:p w:rsidR="00E716D4" w:rsidRDefault="00E716D4"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92F7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E716D4">
                            <w:rPr>
                              <w:rFonts w:asciiTheme="minorHAnsi" w:hAnsiTheme="minorHAnsi" w:cstheme="minorHAnsi"/>
                              <w:color w:val="FFFFFF" w:themeColor="background1"/>
                            </w:rPr>
                            <w:t>26</w:t>
                          </w:r>
                          <w:r w:rsidR="00E716D4" w:rsidRPr="00031780">
                            <w:rPr>
                              <w:rFonts w:asciiTheme="minorHAnsi" w:hAnsiTheme="minorHAnsi" w:cstheme="minorHAnsi"/>
                              <w:color w:val="FFFFFF" w:themeColor="background1"/>
                              <w:vertAlign w:val="superscript"/>
                            </w:rPr>
                            <w:t>th</w:t>
                          </w:r>
                          <w:r w:rsidR="00E716D4">
                            <w:rPr>
                              <w:rFonts w:asciiTheme="minorHAnsi" w:hAnsiTheme="minorHAnsi" w:cstheme="minorHAnsi"/>
                              <w:color w:val="FFFFFF" w:themeColor="background1"/>
                            </w:rPr>
                            <w:t xml:space="preserve"> November</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E716D4">
                      <w:rPr>
                        <w:rFonts w:asciiTheme="minorHAnsi" w:hAnsiTheme="minorHAnsi" w:cstheme="minorHAnsi"/>
                        <w:color w:val="FFFFFF" w:themeColor="background1"/>
                      </w:rPr>
                      <w:t>26</w:t>
                    </w:r>
                    <w:r w:rsidR="00E716D4" w:rsidRPr="00031780">
                      <w:rPr>
                        <w:rFonts w:asciiTheme="minorHAnsi" w:hAnsiTheme="minorHAnsi" w:cstheme="minorHAnsi"/>
                        <w:color w:val="FFFFFF" w:themeColor="background1"/>
                        <w:vertAlign w:val="superscript"/>
                      </w:rPr>
                      <w:t>th</w:t>
                    </w:r>
                    <w:r w:rsidR="00E716D4">
                      <w:rPr>
                        <w:rFonts w:asciiTheme="minorHAnsi" w:hAnsiTheme="minorHAnsi" w:cstheme="minorHAnsi"/>
                        <w:color w:val="FFFFFF" w:themeColor="background1"/>
                      </w:rPr>
                      <w:t xml:space="preserve"> November</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4"/>
    <w:rsid w:val="00007E34"/>
    <w:rsid w:val="00031780"/>
    <w:rsid w:val="0005578B"/>
    <w:rsid w:val="00081B13"/>
    <w:rsid w:val="00082050"/>
    <w:rsid w:val="00085AB2"/>
    <w:rsid w:val="000B0D4F"/>
    <w:rsid w:val="000D2F4C"/>
    <w:rsid w:val="000D401D"/>
    <w:rsid w:val="0010326C"/>
    <w:rsid w:val="00125004"/>
    <w:rsid w:val="001526FA"/>
    <w:rsid w:val="00161C05"/>
    <w:rsid w:val="001649FA"/>
    <w:rsid w:val="001716F3"/>
    <w:rsid w:val="00186B6E"/>
    <w:rsid w:val="001E59C7"/>
    <w:rsid w:val="001F3216"/>
    <w:rsid w:val="00245BA2"/>
    <w:rsid w:val="00250BD1"/>
    <w:rsid w:val="00251CF6"/>
    <w:rsid w:val="0026344A"/>
    <w:rsid w:val="00267948"/>
    <w:rsid w:val="0027201E"/>
    <w:rsid w:val="002A0D07"/>
    <w:rsid w:val="002A1474"/>
    <w:rsid w:val="002C636E"/>
    <w:rsid w:val="002D5E7D"/>
    <w:rsid w:val="002F6F94"/>
    <w:rsid w:val="00300A2B"/>
    <w:rsid w:val="00324634"/>
    <w:rsid w:val="003279A8"/>
    <w:rsid w:val="0036342D"/>
    <w:rsid w:val="00364EF1"/>
    <w:rsid w:val="00391D49"/>
    <w:rsid w:val="00397AFE"/>
    <w:rsid w:val="003A6DC1"/>
    <w:rsid w:val="003C0D40"/>
    <w:rsid w:val="003D5390"/>
    <w:rsid w:val="003E75B5"/>
    <w:rsid w:val="004152A2"/>
    <w:rsid w:val="004270A7"/>
    <w:rsid w:val="00427C8B"/>
    <w:rsid w:val="004679E7"/>
    <w:rsid w:val="0047010F"/>
    <w:rsid w:val="00487DE4"/>
    <w:rsid w:val="00532194"/>
    <w:rsid w:val="00546072"/>
    <w:rsid w:val="005A69F3"/>
    <w:rsid w:val="005C5BC6"/>
    <w:rsid w:val="00657E90"/>
    <w:rsid w:val="00661C7F"/>
    <w:rsid w:val="006A25EF"/>
    <w:rsid w:val="006A787C"/>
    <w:rsid w:val="006B35C8"/>
    <w:rsid w:val="006B777C"/>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43EF7"/>
    <w:rsid w:val="0086120B"/>
    <w:rsid w:val="00881D9A"/>
    <w:rsid w:val="00902043"/>
    <w:rsid w:val="00911192"/>
    <w:rsid w:val="0099617D"/>
    <w:rsid w:val="009B4F9B"/>
    <w:rsid w:val="009C32BB"/>
    <w:rsid w:val="009C6004"/>
    <w:rsid w:val="009D401A"/>
    <w:rsid w:val="009D767A"/>
    <w:rsid w:val="009E7F64"/>
    <w:rsid w:val="00A16172"/>
    <w:rsid w:val="00A36D83"/>
    <w:rsid w:val="00A42A35"/>
    <w:rsid w:val="00A45E36"/>
    <w:rsid w:val="00A73C34"/>
    <w:rsid w:val="00A75EC9"/>
    <w:rsid w:val="00A7770C"/>
    <w:rsid w:val="00AC1277"/>
    <w:rsid w:val="00AE320D"/>
    <w:rsid w:val="00B1173A"/>
    <w:rsid w:val="00B12DF5"/>
    <w:rsid w:val="00B30686"/>
    <w:rsid w:val="00B32080"/>
    <w:rsid w:val="00B463D7"/>
    <w:rsid w:val="00B50948"/>
    <w:rsid w:val="00BD3D96"/>
    <w:rsid w:val="00BD3E7E"/>
    <w:rsid w:val="00BF372F"/>
    <w:rsid w:val="00BF44D9"/>
    <w:rsid w:val="00BF7D94"/>
    <w:rsid w:val="00C309CD"/>
    <w:rsid w:val="00C32FBA"/>
    <w:rsid w:val="00C35A81"/>
    <w:rsid w:val="00C60B78"/>
    <w:rsid w:val="00C76754"/>
    <w:rsid w:val="00C90E5F"/>
    <w:rsid w:val="00CA5E60"/>
    <w:rsid w:val="00CA6EC6"/>
    <w:rsid w:val="00D228BA"/>
    <w:rsid w:val="00D42171"/>
    <w:rsid w:val="00D5633E"/>
    <w:rsid w:val="00D66737"/>
    <w:rsid w:val="00D7465A"/>
    <w:rsid w:val="00DC05A8"/>
    <w:rsid w:val="00DC1818"/>
    <w:rsid w:val="00DD3676"/>
    <w:rsid w:val="00DE3384"/>
    <w:rsid w:val="00DF4C62"/>
    <w:rsid w:val="00E074E7"/>
    <w:rsid w:val="00E315E5"/>
    <w:rsid w:val="00E57E27"/>
    <w:rsid w:val="00E716D4"/>
    <w:rsid w:val="00E73190"/>
    <w:rsid w:val="00E8473E"/>
    <w:rsid w:val="00E90550"/>
    <w:rsid w:val="00EC015E"/>
    <w:rsid w:val="00ED2F6E"/>
    <w:rsid w:val="00EE38BE"/>
    <w:rsid w:val="00F04368"/>
    <w:rsid w:val="00F15FE0"/>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E18C6"/>
  <w15:docId w15:val="{28F72DCD-4F3E-4A81-BBDC-2BDF79BF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9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9F81D-1ADC-41AB-B75D-266A0A51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09_E_PR_Vorlage.dotx</Template>
  <TotalTime>0</TotalTime>
  <Pages>2</Pages>
  <Words>521</Words>
  <Characters>3287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6</cp:revision>
  <cp:lastPrinted>2019-05-22T07:15:00Z</cp:lastPrinted>
  <dcterms:created xsi:type="dcterms:W3CDTF">2019-11-15T07:20:00Z</dcterms:created>
  <dcterms:modified xsi:type="dcterms:W3CDTF">2019-11-25T07:34:00Z</dcterms:modified>
</cp:coreProperties>
</file>