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6F23" w14:textId="49FF3A53" w:rsidR="00482CC9" w:rsidRDefault="00482CC9" w:rsidP="00CE05D6">
      <w:pPr>
        <w:jc w:val="center"/>
        <w:rPr>
          <w:b/>
          <w:bCs/>
          <w:sz w:val="30"/>
          <w:szCs w:val="30"/>
        </w:rPr>
      </w:pPr>
      <w:r w:rsidRPr="00482CC9">
        <w:rPr>
          <w:b/>
          <w:bCs/>
          <w:noProof/>
          <w:sz w:val="30"/>
          <w:szCs w:val="30"/>
        </w:rPr>
        <w:drawing>
          <wp:inline distT="0" distB="0" distL="0" distR="0" wp14:anchorId="04F31EEA" wp14:editId="7DF5B51F">
            <wp:extent cx="1799480" cy="999711"/>
            <wp:effectExtent l="0" t="0" r="0" b="0"/>
            <wp:docPr id="7" name="Picture 4" descr="Logo, company name&#10;&#10;Description automatically generated">
              <a:extLst xmlns:a="http://schemas.openxmlformats.org/drawingml/2006/main">
                <a:ext uri="{FF2B5EF4-FFF2-40B4-BE49-F238E27FC236}">
                  <a16:creationId xmlns:a16="http://schemas.microsoft.com/office/drawing/2014/main" id="{3687A7FA-EBDD-4F20-9860-EE3A29D4DC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3687A7FA-EBDD-4F20-9860-EE3A29D4DC5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480" cy="999711"/>
                    </a:xfrm>
                    <a:prstGeom prst="rect">
                      <a:avLst/>
                    </a:prstGeom>
                  </pic:spPr>
                </pic:pic>
              </a:graphicData>
            </a:graphic>
          </wp:inline>
        </w:drawing>
      </w:r>
    </w:p>
    <w:p w14:paraId="6157D7CC" w14:textId="3B360083" w:rsidR="00DC4945" w:rsidRPr="002A47FC" w:rsidRDefault="00D83346" w:rsidP="00CE05D6">
      <w:pPr>
        <w:jc w:val="center"/>
        <w:rPr>
          <w:sz w:val="30"/>
          <w:szCs w:val="30"/>
        </w:rPr>
      </w:pPr>
      <w:r w:rsidRPr="002A47FC">
        <w:rPr>
          <w:b/>
          <w:bCs/>
          <w:sz w:val="30"/>
          <w:szCs w:val="30"/>
        </w:rPr>
        <w:t xml:space="preserve">Universal Music Group N.V. Reports Financial Results for the </w:t>
      </w:r>
      <w:r w:rsidR="00FE6A47">
        <w:rPr>
          <w:b/>
          <w:bCs/>
          <w:sz w:val="30"/>
          <w:szCs w:val="30"/>
        </w:rPr>
        <w:t>Third</w:t>
      </w:r>
      <w:r w:rsidR="00FB2E75" w:rsidRPr="002A47FC">
        <w:rPr>
          <w:b/>
          <w:bCs/>
          <w:sz w:val="30"/>
          <w:szCs w:val="30"/>
        </w:rPr>
        <w:t xml:space="preserve"> </w:t>
      </w:r>
      <w:r w:rsidRPr="002A47FC">
        <w:rPr>
          <w:b/>
          <w:bCs/>
          <w:sz w:val="30"/>
          <w:szCs w:val="30"/>
        </w:rPr>
        <w:t>Quarter</w:t>
      </w:r>
      <w:r w:rsidR="0005365D">
        <w:rPr>
          <w:b/>
          <w:bCs/>
          <w:sz w:val="30"/>
          <w:szCs w:val="30"/>
        </w:rPr>
        <w:t xml:space="preserve"> and Nine Months</w:t>
      </w:r>
      <w:r w:rsidRPr="002A47FC">
        <w:rPr>
          <w:b/>
          <w:bCs/>
          <w:sz w:val="30"/>
          <w:szCs w:val="30"/>
        </w:rPr>
        <w:t xml:space="preserve"> Ended </w:t>
      </w:r>
      <w:r w:rsidR="00FE6A47">
        <w:rPr>
          <w:b/>
          <w:bCs/>
          <w:sz w:val="30"/>
          <w:szCs w:val="30"/>
        </w:rPr>
        <w:t>September 30</w:t>
      </w:r>
      <w:r w:rsidRPr="002A47FC">
        <w:rPr>
          <w:b/>
          <w:bCs/>
          <w:sz w:val="30"/>
          <w:szCs w:val="30"/>
        </w:rPr>
        <w:t>, 202</w:t>
      </w:r>
      <w:r w:rsidR="00FB2E75">
        <w:rPr>
          <w:b/>
          <w:bCs/>
          <w:sz w:val="30"/>
          <w:szCs w:val="30"/>
        </w:rPr>
        <w:t>2</w:t>
      </w:r>
    </w:p>
    <w:p w14:paraId="46CFB78A" w14:textId="0DBA3EEC" w:rsidR="00237E7A" w:rsidRDefault="00FB3668" w:rsidP="00C826DD">
      <w:pPr>
        <w:pStyle w:val="RFtitre3"/>
        <w:numPr>
          <w:ilvl w:val="0"/>
          <w:numId w:val="0"/>
        </w:numPr>
        <w:spacing w:after="120"/>
        <w:ind w:left="578" w:hanging="578"/>
        <w:rPr>
          <w:rFonts w:asciiTheme="minorHAnsi" w:hAnsiTheme="minorHAnsi" w:cstheme="minorHAnsi"/>
          <w:sz w:val="22"/>
          <w:szCs w:val="22"/>
          <w:lang w:val="en-GB"/>
        </w:rPr>
      </w:pPr>
      <w:r w:rsidRPr="00FB3668">
        <w:rPr>
          <w:rFonts w:asciiTheme="minorHAnsi" w:hAnsiTheme="minorHAnsi" w:cstheme="minorHAnsi"/>
          <w:sz w:val="22"/>
          <w:szCs w:val="22"/>
          <w:lang w:val="en-GB"/>
        </w:rPr>
        <w:t xml:space="preserve">Summary </w:t>
      </w:r>
      <w:r w:rsidR="0060430D">
        <w:rPr>
          <w:rFonts w:asciiTheme="minorHAnsi" w:hAnsiTheme="minorHAnsi" w:cstheme="minorHAnsi"/>
          <w:sz w:val="22"/>
          <w:szCs w:val="22"/>
          <w:lang w:val="en-GB"/>
        </w:rPr>
        <w:t>Q</w:t>
      </w:r>
      <w:r w:rsidR="00FE6A47">
        <w:rPr>
          <w:rFonts w:asciiTheme="minorHAnsi" w:hAnsiTheme="minorHAnsi" w:cstheme="minorHAnsi"/>
          <w:sz w:val="22"/>
          <w:szCs w:val="22"/>
          <w:lang w:val="en-GB"/>
        </w:rPr>
        <w:t>3</w:t>
      </w:r>
      <w:r w:rsidRPr="00FB3668">
        <w:rPr>
          <w:rFonts w:asciiTheme="minorHAnsi" w:hAnsiTheme="minorHAnsi" w:cstheme="minorHAnsi"/>
          <w:sz w:val="22"/>
          <w:szCs w:val="22"/>
          <w:lang w:val="en-GB"/>
        </w:rPr>
        <w:t xml:space="preserve"> Results</w:t>
      </w:r>
      <w:r w:rsidR="005D6259">
        <w:rPr>
          <w:rStyle w:val="FootnoteReference"/>
          <w:rFonts w:asciiTheme="minorHAnsi" w:hAnsiTheme="minorHAnsi" w:cstheme="minorHAnsi"/>
          <w:sz w:val="22"/>
          <w:szCs w:val="22"/>
          <w:lang w:val="en-GB"/>
        </w:rPr>
        <w:footnoteReference w:id="2"/>
      </w:r>
    </w:p>
    <w:p w14:paraId="0B631829" w14:textId="63CAB442" w:rsidR="00FB3668" w:rsidRPr="002A47FC" w:rsidRDefault="00FB3668" w:rsidP="00FB3668">
      <w:pPr>
        <w:pStyle w:val="ListParagraph"/>
        <w:numPr>
          <w:ilvl w:val="0"/>
          <w:numId w:val="1"/>
        </w:numPr>
        <w:rPr>
          <w:rFonts w:cstheme="minorHAnsi"/>
        </w:rPr>
      </w:pPr>
      <w:r w:rsidRPr="002A47FC">
        <w:rPr>
          <w:rFonts w:cstheme="minorHAnsi"/>
        </w:rPr>
        <w:t xml:space="preserve">Revenue </w:t>
      </w:r>
      <w:r w:rsidR="00BC26D8" w:rsidRPr="002A47FC">
        <w:rPr>
          <w:rFonts w:cstheme="minorHAnsi"/>
          <w:lang w:val="en-US"/>
        </w:rPr>
        <w:t>of €</w:t>
      </w:r>
      <w:r w:rsidR="0068033D">
        <w:rPr>
          <w:rFonts w:cstheme="minorHAnsi"/>
          <w:lang w:val="en-US"/>
        </w:rPr>
        <w:t>2,664</w:t>
      </w:r>
      <w:r w:rsidR="00BC26D8" w:rsidRPr="002A47FC">
        <w:rPr>
          <w:rFonts w:cstheme="minorHAnsi"/>
          <w:lang w:val="en-US"/>
        </w:rPr>
        <w:t xml:space="preserve"> million</w:t>
      </w:r>
      <w:r w:rsidR="009F638B">
        <w:rPr>
          <w:rFonts w:cstheme="minorHAnsi"/>
        </w:rPr>
        <w:t xml:space="preserve"> </w:t>
      </w:r>
      <w:r w:rsidR="00680EAD">
        <w:rPr>
          <w:rFonts w:cstheme="minorHAnsi"/>
          <w:lang w:val="en-US"/>
        </w:rPr>
        <w:t>increase</w:t>
      </w:r>
      <w:r w:rsidR="009F638B">
        <w:rPr>
          <w:rFonts w:cstheme="minorHAnsi"/>
          <w:lang w:val="en-US"/>
        </w:rPr>
        <w:t>d</w:t>
      </w:r>
      <w:r w:rsidR="00680EAD">
        <w:rPr>
          <w:rFonts w:cstheme="minorHAnsi"/>
          <w:lang w:val="en-US"/>
        </w:rPr>
        <w:t xml:space="preserve"> </w:t>
      </w:r>
      <w:r w:rsidR="0068033D">
        <w:rPr>
          <w:rFonts w:cstheme="minorHAnsi"/>
        </w:rPr>
        <w:t>13.3</w:t>
      </w:r>
      <w:r w:rsidRPr="002A47FC">
        <w:rPr>
          <w:rFonts w:cstheme="minorHAnsi"/>
        </w:rPr>
        <w:t xml:space="preserve">% year-over-year in constant currency driven by growth across </w:t>
      </w:r>
      <w:r>
        <w:rPr>
          <w:rFonts w:cstheme="minorHAnsi"/>
        </w:rPr>
        <w:t>all segments</w:t>
      </w:r>
      <w:r w:rsidR="000F228A">
        <w:rPr>
          <w:rFonts w:cstheme="minorHAnsi"/>
        </w:rPr>
        <w:t>.</w:t>
      </w:r>
    </w:p>
    <w:p w14:paraId="73A29277" w14:textId="28FC66CC" w:rsidR="00FB3668" w:rsidRDefault="00FB3668" w:rsidP="00FB3668">
      <w:pPr>
        <w:pStyle w:val="ListParagraph"/>
        <w:numPr>
          <w:ilvl w:val="0"/>
          <w:numId w:val="1"/>
        </w:numPr>
        <w:rPr>
          <w:rFonts w:cstheme="minorHAnsi"/>
        </w:rPr>
      </w:pPr>
      <w:r w:rsidRPr="002A47FC">
        <w:rPr>
          <w:rFonts w:cstheme="minorHAnsi"/>
        </w:rPr>
        <w:t>Recorded Music revenue grew</w:t>
      </w:r>
      <w:r w:rsidR="0068033D">
        <w:rPr>
          <w:rFonts w:cstheme="minorHAnsi"/>
        </w:rPr>
        <w:t xml:space="preserve"> 10.1%</w:t>
      </w:r>
      <w:r w:rsidRPr="002A47FC">
        <w:rPr>
          <w:rFonts w:cstheme="minorHAnsi"/>
        </w:rPr>
        <w:t xml:space="preserve"> year-over-year in constant currency</w:t>
      </w:r>
      <w:r w:rsidR="00CB16EF">
        <w:rPr>
          <w:rFonts w:cstheme="minorHAnsi"/>
        </w:rPr>
        <w:t xml:space="preserve">, </w:t>
      </w:r>
      <w:r w:rsidR="005F74C4">
        <w:rPr>
          <w:rFonts w:cstheme="minorHAnsi"/>
        </w:rPr>
        <w:t xml:space="preserve">Music </w:t>
      </w:r>
      <w:r w:rsidR="00D53F5D">
        <w:rPr>
          <w:rFonts w:cstheme="minorHAnsi"/>
        </w:rPr>
        <w:t>Pub</w:t>
      </w:r>
      <w:r w:rsidR="005F74C4">
        <w:rPr>
          <w:rFonts w:cstheme="minorHAnsi"/>
        </w:rPr>
        <w:t>lishing revenue grew</w:t>
      </w:r>
      <w:r w:rsidR="0068033D">
        <w:rPr>
          <w:rFonts w:cstheme="minorHAnsi"/>
        </w:rPr>
        <w:t xml:space="preserve"> </w:t>
      </w:r>
      <w:r w:rsidR="00684A5D">
        <w:rPr>
          <w:rFonts w:cstheme="minorHAnsi"/>
        </w:rPr>
        <w:t>6.9</w:t>
      </w:r>
      <w:r w:rsidR="0068033D">
        <w:rPr>
          <w:rFonts w:cstheme="minorHAnsi"/>
        </w:rPr>
        <w:t>%</w:t>
      </w:r>
      <w:r w:rsidR="00D53F5D" w:rsidRPr="00D53F5D">
        <w:rPr>
          <w:rFonts w:cstheme="minorHAnsi"/>
        </w:rPr>
        <w:t xml:space="preserve"> </w:t>
      </w:r>
      <w:r w:rsidR="00D53F5D" w:rsidRPr="002A47FC">
        <w:rPr>
          <w:rFonts w:cstheme="minorHAnsi"/>
        </w:rPr>
        <w:t>year-over-year in constant currency</w:t>
      </w:r>
      <w:r w:rsidR="00D53F5D">
        <w:rPr>
          <w:rFonts w:cstheme="minorHAnsi"/>
        </w:rPr>
        <w:t xml:space="preserve"> and Merchandising </w:t>
      </w:r>
      <w:r w:rsidR="00F24863">
        <w:rPr>
          <w:rFonts w:cstheme="minorHAnsi"/>
        </w:rPr>
        <w:t xml:space="preserve">and Other </w:t>
      </w:r>
      <w:r w:rsidR="00D53F5D">
        <w:rPr>
          <w:rFonts w:cstheme="minorHAnsi"/>
        </w:rPr>
        <w:t>revenue grew</w:t>
      </w:r>
      <w:r w:rsidR="0068033D">
        <w:rPr>
          <w:rFonts w:cstheme="minorHAnsi"/>
        </w:rPr>
        <w:t xml:space="preserve"> 101.1</w:t>
      </w:r>
      <w:r w:rsidR="00D53F5D">
        <w:rPr>
          <w:rFonts w:cstheme="minorHAnsi"/>
        </w:rPr>
        <w:t xml:space="preserve">% </w:t>
      </w:r>
      <w:r w:rsidR="00D53F5D" w:rsidRPr="002A47FC">
        <w:rPr>
          <w:rFonts w:cstheme="minorHAnsi"/>
        </w:rPr>
        <w:t>year-over-</w:t>
      </w:r>
      <w:r w:rsidR="00D53F5D" w:rsidRPr="00AF1268">
        <w:rPr>
          <w:rFonts w:cstheme="minorHAnsi"/>
        </w:rPr>
        <w:t>year in constant currency</w:t>
      </w:r>
      <w:r w:rsidR="007B0248" w:rsidRPr="00AF1268">
        <w:rPr>
          <w:rFonts w:cstheme="minorHAnsi"/>
        </w:rPr>
        <w:t>.</w:t>
      </w:r>
    </w:p>
    <w:p w14:paraId="42E11C94" w14:textId="5A11CB75" w:rsidR="002715C9" w:rsidRPr="00AF1268" w:rsidRDefault="002715C9" w:rsidP="00FB3668">
      <w:pPr>
        <w:pStyle w:val="ListParagraph"/>
        <w:numPr>
          <w:ilvl w:val="0"/>
          <w:numId w:val="1"/>
        </w:numPr>
        <w:rPr>
          <w:rFonts w:cstheme="minorHAnsi"/>
        </w:rPr>
      </w:pPr>
      <w:r w:rsidRPr="002715C9">
        <w:rPr>
          <w:rFonts w:cstheme="minorHAnsi"/>
        </w:rPr>
        <w:t xml:space="preserve">Top sellers for the quarter included BTS, BLACKPINK, Ado, INI and </w:t>
      </w:r>
      <w:r w:rsidR="009D486A">
        <w:rPr>
          <w:rFonts w:cstheme="minorHAnsi"/>
        </w:rPr>
        <w:t>Morgan Wallen</w:t>
      </w:r>
      <w:r>
        <w:rPr>
          <w:rFonts w:cstheme="minorHAnsi"/>
        </w:rPr>
        <w:t>.</w:t>
      </w:r>
    </w:p>
    <w:p w14:paraId="46A29F8D" w14:textId="11960CE6" w:rsidR="00FB3668" w:rsidRDefault="00FB3668" w:rsidP="00DB28EA">
      <w:pPr>
        <w:pStyle w:val="ListParagraph"/>
        <w:numPr>
          <w:ilvl w:val="0"/>
          <w:numId w:val="1"/>
        </w:numPr>
        <w:rPr>
          <w:rFonts w:cstheme="minorHAnsi"/>
        </w:rPr>
      </w:pPr>
      <w:r w:rsidRPr="00AF1268">
        <w:rPr>
          <w:rFonts w:cstheme="minorHAnsi"/>
        </w:rPr>
        <w:t>Adjusted EBITDA increased</w:t>
      </w:r>
      <w:r w:rsidR="0068033D" w:rsidRPr="00AF1268">
        <w:rPr>
          <w:rFonts w:cstheme="minorHAnsi"/>
        </w:rPr>
        <w:t xml:space="preserve"> 9.</w:t>
      </w:r>
      <w:r w:rsidR="00B22342" w:rsidRPr="00FD32BE">
        <w:rPr>
          <w:rFonts w:cstheme="minorHAnsi"/>
        </w:rPr>
        <w:t>1</w:t>
      </w:r>
      <w:r w:rsidR="0068033D" w:rsidRPr="00AF1268">
        <w:rPr>
          <w:rFonts w:cstheme="minorHAnsi"/>
        </w:rPr>
        <w:t>%</w:t>
      </w:r>
      <w:r w:rsidRPr="00DB28EA">
        <w:rPr>
          <w:rFonts w:cstheme="minorHAnsi"/>
        </w:rPr>
        <w:t xml:space="preserve"> year-over-year </w:t>
      </w:r>
      <w:r w:rsidRPr="00DB28EA">
        <w:rPr>
          <w:rFonts w:cstheme="minorHAnsi"/>
          <w:lang w:val="en-US"/>
        </w:rPr>
        <w:t xml:space="preserve">in constant currency </w:t>
      </w:r>
      <w:r w:rsidRPr="00DB28EA">
        <w:rPr>
          <w:rFonts w:cstheme="minorHAnsi"/>
        </w:rPr>
        <w:t>driven by the revenue growth</w:t>
      </w:r>
      <w:r w:rsidR="000F228A">
        <w:rPr>
          <w:rFonts w:cstheme="minorHAnsi"/>
        </w:rPr>
        <w:t>.</w:t>
      </w:r>
    </w:p>
    <w:p w14:paraId="29CEFF13" w14:textId="116A193C" w:rsidR="00C465DF" w:rsidRPr="00EA2EBF" w:rsidRDefault="00C465DF" w:rsidP="00C465DF">
      <w:pPr>
        <w:pStyle w:val="RFtitre3"/>
        <w:numPr>
          <w:ilvl w:val="0"/>
          <w:numId w:val="0"/>
        </w:numPr>
        <w:spacing w:after="120"/>
        <w:ind w:left="578" w:hanging="578"/>
        <w:rPr>
          <w:rFonts w:asciiTheme="minorHAnsi" w:hAnsiTheme="minorHAnsi" w:cstheme="minorHAnsi"/>
          <w:sz w:val="22"/>
          <w:szCs w:val="22"/>
          <w:lang w:val="en-GB"/>
        </w:rPr>
      </w:pPr>
      <w:r w:rsidRPr="00EA2EBF">
        <w:rPr>
          <w:rFonts w:asciiTheme="minorHAnsi" w:hAnsiTheme="minorHAnsi" w:cstheme="minorHAnsi"/>
          <w:sz w:val="22"/>
          <w:szCs w:val="22"/>
          <w:lang w:val="en-GB"/>
        </w:rPr>
        <w:t xml:space="preserve">Summary </w:t>
      </w:r>
      <w:r>
        <w:rPr>
          <w:rFonts w:asciiTheme="minorHAnsi" w:hAnsiTheme="minorHAnsi" w:cstheme="minorHAnsi"/>
          <w:sz w:val="22"/>
          <w:szCs w:val="22"/>
          <w:lang w:val="en-GB"/>
        </w:rPr>
        <w:t xml:space="preserve">YTD </w:t>
      </w:r>
      <w:r w:rsidRPr="00EA2EBF">
        <w:rPr>
          <w:rFonts w:asciiTheme="minorHAnsi" w:hAnsiTheme="minorHAnsi" w:cstheme="minorHAnsi"/>
          <w:sz w:val="22"/>
          <w:szCs w:val="22"/>
          <w:lang w:val="en-GB"/>
        </w:rPr>
        <w:t>Results</w:t>
      </w:r>
    </w:p>
    <w:p w14:paraId="26FBDAC6" w14:textId="1D7ABE2B" w:rsidR="00C465DF" w:rsidRPr="00EA2EBF" w:rsidRDefault="00C465DF" w:rsidP="00DE4EEB">
      <w:pPr>
        <w:pStyle w:val="ListParagraph"/>
        <w:numPr>
          <w:ilvl w:val="0"/>
          <w:numId w:val="46"/>
        </w:numPr>
        <w:rPr>
          <w:lang w:eastAsia="fr-FR"/>
        </w:rPr>
      </w:pPr>
      <w:r w:rsidRPr="00EA2EBF">
        <w:rPr>
          <w:lang w:eastAsia="fr-FR"/>
        </w:rPr>
        <w:t>Revenue of €</w:t>
      </w:r>
      <w:r>
        <w:rPr>
          <w:lang w:eastAsia="fr-FR"/>
        </w:rPr>
        <w:t>7,398</w:t>
      </w:r>
      <w:r w:rsidRPr="00EA2EBF">
        <w:rPr>
          <w:lang w:eastAsia="fr-FR"/>
        </w:rPr>
        <w:t xml:space="preserve"> million</w:t>
      </w:r>
      <w:r w:rsidR="007F0F6B" w:rsidRPr="00D26681">
        <w:rPr>
          <w:rFonts w:cstheme="minorHAnsi"/>
          <w:lang w:val="en-US"/>
        </w:rPr>
        <w:t xml:space="preserve"> increase</w:t>
      </w:r>
      <w:r w:rsidR="009F638B" w:rsidRPr="00D26681">
        <w:rPr>
          <w:rFonts w:cstheme="minorHAnsi"/>
          <w:lang w:val="en-US"/>
        </w:rPr>
        <w:t xml:space="preserve">d </w:t>
      </w:r>
      <w:r>
        <w:rPr>
          <w:lang w:eastAsia="fr-FR"/>
        </w:rPr>
        <w:t>15.6</w:t>
      </w:r>
      <w:r w:rsidRPr="00EA2EBF">
        <w:rPr>
          <w:lang w:eastAsia="fr-FR"/>
        </w:rPr>
        <w:t>% year-over-year in constant currency</w:t>
      </w:r>
      <w:r w:rsidR="00D26681">
        <w:rPr>
          <w:lang w:eastAsia="fr-FR"/>
        </w:rPr>
        <w:t xml:space="preserve"> </w:t>
      </w:r>
      <w:r w:rsidR="00285DF7">
        <w:rPr>
          <w:lang w:eastAsia="fr-FR"/>
        </w:rPr>
        <w:t>with</w:t>
      </w:r>
      <w:r w:rsidRPr="00EA2EBF">
        <w:rPr>
          <w:lang w:eastAsia="fr-FR"/>
        </w:rPr>
        <w:t xml:space="preserve"> strong growth across all segments.</w:t>
      </w:r>
    </w:p>
    <w:p w14:paraId="270494DB" w14:textId="77777777" w:rsidR="00C465DF" w:rsidRPr="00EA2EBF" w:rsidRDefault="00C465DF" w:rsidP="00C465DF">
      <w:pPr>
        <w:pStyle w:val="ListParagraph"/>
        <w:numPr>
          <w:ilvl w:val="0"/>
          <w:numId w:val="46"/>
        </w:numPr>
        <w:rPr>
          <w:rFonts w:cstheme="minorHAnsi"/>
        </w:rPr>
      </w:pPr>
      <w:r w:rsidRPr="00EA2EBF">
        <w:rPr>
          <w:rFonts w:cstheme="minorHAnsi"/>
        </w:rPr>
        <w:t xml:space="preserve">Recorded Music revenue grew </w:t>
      </w:r>
      <w:r>
        <w:rPr>
          <w:rFonts w:cstheme="minorHAnsi"/>
        </w:rPr>
        <w:t>10.1</w:t>
      </w:r>
      <w:r w:rsidRPr="00EA2EBF">
        <w:rPr>
          <w:rFonts w:cstheme="minorHAnsi"/>
        </w:rPr>
        <w:t xml:space="preserve">% year-over-year in constant currency, Music Publishing revenue grew </w:t>
      </w:r>
      <w:r>
        <w:rPr>
          <w:rFonts w:cstheme="minorHAnsi"/>
        </w:rPr>
        <w:t>28.2</w:t>
      </w:r>
      <w:r w:rsidRPr="00EA2EBF">
        <w:rPr>
          <w:rFonts w:cstheme="minorHAnsi"/>
        </w:rPr>
        <w:t xml:space="preserve">% year-over-year in constant currency and Merchandising and Other revenue grew </w:t>
      </w:r>
      <w:r>
        <w:rPr>
          <w:rFonts w:cstheme="minorHAnsi"/>
        </w:rPr>
        <w:t>80</w:t>
      </w:r>
      <w:r w:rsidRPr="00EA2EBF">
        <w:rPr>
          <w:rFonts w:cstheme="minorHAnsi"/>
        </w:rPr>
        <w:t>.6% year-over-year in constant currency.</w:t>
      </w:r>
    </w:p>
    <w:p w14:paraId="75CF4E80" w14:textId="77777777" w:rsidR="00C465DF" w:rsidRPr="00EA2EBF" w:rsidRDefault="00C465DF" w:rsidP="00C465DF">
      <w:pPr>
        <w:pStyle w:val="ListParagraph"/>
        <w:numPr>
          <w:ilvl w:val="0"/>
          <w:numId w:val="46"/>
        </w:numPr>
        <w:rPr>
          <w:lang w:eastAsia="fr-FR"/>
        </w:rPr>
      </w:pPr>
      <w:r w:rsidRPr="00EA2EBF">
        <w:rPr>
          <w:lang w:eastAsia="fr-FR"/>
        </w:rPr>
        <w:t xml:space="preserve">Adjusted EBITDA increased </w:t>
      </w:r>
      <w:r>
        <w:rPr>
          <w:lang w:eastAsia="fr-FR"/>
        </w:rPr>
        <w:t>10.2</w:t>
      </w:r>
      <w:r w:rsidRPr="00EA2EBF">
        <w:rPr>
          <w:lang w:eastAsia="fr-FR"/>
        </w:rPr>
        <w:t>% year-over-year in constant currency driven by the revenue</w:t>
      </w:r>
    </w:p>
    <w:p w14:paraId="2D038681" w14:textId="77777777" w:rsidR="00C465DF" w:rsidRDefault="00C465DF" w:rsidP="00C465DF">
      <w:pPr>
        <w:pStyle w:val="ListParagraph"/>
        <w:rPr>
          <w:lang w:eastAsia="fr-FR"/>
        </w:rPr>
      </w:pPr>
      <w:r w:rsidRPr="00EA2EBF">
        <w:rPr>
          <w:lang w:eastAsia="fr-FR"/>
        </w:rPr>
        <w:t>growth</w:t>
      </w:r>
      <w:r w:rsidRPr="00EA2EBF">
        <w:rPr>
          <w:rFonts w:cstheme="minorHAnsi"/>
          <w:lang w:val="en-US"/>
        </w:rPr>
        <w:t>.</w:t>
      </w:r>
    </w:p>
    <w:p w14:paraId="5C4EDF5C" w14:textId="4170F911" w:rsidR="00D83346" w:rsidRPr="002A47FC" w:rsidRDefault="00D83346" w:rsidP="00CE05D6">
      <w:pPr>
        <w:spacing w:after="0"/>
        <w:rPr>
          <w:rFonts w:cstheme="minorHAnsi"/>
        </w:rPr>
      </w:pPr>
      <w:r w:rsidRPr="002A47FC">
        <w:rPr>
          <w:rFonts w:cstheme="minorHAnsi"/>
          <w:b/>
          <w:bCs/>
        </w:rPr>
        <w:t xml:space="preserve">Hilversum, The Netherlands, </w:t>
      </w:r>
      <w:r w:rsidR="002F6656">
        <w:rPr>
          <w:rFonts w:cstheme="minorHAnsi"/>
          <w:b/>
          <w:bCs/>
        </w:rPr>
        <w:t>October</w:t>
      </w:r>
      <w:r w:rsidR="00715DED">
        <w:rPr>
          <w:rFonts w:cstheme="minorHAnsi"/>
          <w:b/>
          <w:bCs/>
        </w:rPr>
        <w:t xml:space="preserve"> 27,</w:t>
      </w:r>
      <w:r w:rsidRPr="002A47FC">
        <w:rPr>
          <w:rFonts w:cstheme="minorHAnsi"/>
          <w:b/>
          <w:bCs/>
        </w:rPr>
        <w:t xml:space="preserve"> 2022</w:t>
      </w:r>
      <w:r w:rsidRPr="002A47FC">
        <w:rPr>
          <w:rFonts w:cstheme="minorHAnsi"/>
        </w:rPr>
        <w:t xml:space="preserve"> -- Universal Music Group N.V. (“UMG” or “the</w:t>
      </w:r>
    </w:p>
    <w:p w14:paraId="1EE1069F" w14:textId="328AEF88" w:rsidR="00FA16B5" w:rsidRPr="002A47FC" w:rsidRDefault="00D83346" w:rsidP="00CE05D6">
      <w:pPr>
        <w:spacing w:after="0"/>
        <w:rPr>
          <w:rFonts w:cstheme="minorHAnsi"/>
        </w:rPr>
      </w:pPr>
      <w:r w:rsidRPr="002A47FC">
        <w:rPr>
          <w:rFonts w:cstheme="minorHAnsi"/>
        </w:rPr>
        <w:t xml:space="preserve">Company”) today announced its financial results for the </w:t>
      </w:r>
      <w:r w:rsidR="00FE6A47">
        <w:rPr>
          <w:rFonts w:cstheme="minorHAnsi"/>
        </w:rPr>
        <w:t>third</w:t>
      </w:r>
      <w:r w:rsidR="0060430D" w:rsidRPr="002A47FC">
        <w:rPr>
          <w:rFonts w:cstheme="minorHAnsi"/>
        </w:rPr>
        <w:t xml:space="preserve"> </w:t>
      </w:r>
      <w:r w:rsidRPr="002A47FC">
        <w:rPr>
          <w:rFonts w:cstheme="minorHAnsi"/>
        </w:rPr>
        <w:t xml:space="preserve">quarter </w:t>
      </w:r>
      <w:r w:rsidR="00715DED">
        <w:rPr>
          <w:rFonts w:cstheme="minorHAnsi"/>
        </w:rPr>
        <w:t xml:space="preserve">and nine months </w:t>
      </w:r>
      <w:r w:rsidRPr="002A47FC">
        <w:rPr>
          <w:rFonts w:cstheme="minorHAnsi"/>
        </w:rPr>
        <w:t xml:space="preserve">ended </w:t>
      </w:r>
      <w:r w:rsidR="00CE1330">
        <w:rPr>
          <w:rFonts w:cstheme="minorHAnsi"/>
        </w:rPr>
        <w:t>September 30</w:t>
      </w:r>
      <w:r w:rsidRPr="002A47FC">
        <w:rPr>
          <w:rFonts w:cstheme="minorHAnsi"/>
        </w:rPr>
        <w:t>, 202</w:t>
      </w:r>
      <w:r w:rsidR="0060430D">
        <w:rPr>
          <w:rFonts w:cstheme="minorHAnsi"/>
        </w:rPr>
        <w:t>2</w:t>
      </w:r>
      <w:r w:rsidRPr="002A47FC">
        <w:rPr>
          <w:rFonts w:cstheme="minorHAnsi"/>
        </w:rPr>
        <w:t>.</w:t>
      </w:r>
    </w:p>
    <w:p w14:paraId="4445F926" w14:textId="77777777" w:rsidR="0016521C" w:rsidRPr="002A47FC" w:rsidRDefault="0016521C" w:rsidP="00FA16B5">
      <w:pPr>
        <w:spacing w:after="0"/>
        <w:rPr>
          <w:rFonts w:cstheme="minorHAnsi"/>
        </w:rPr>
      </w:pPr>
    </w:p>
    <w:p w14:paraId="6825390A" w14:textId="739D72ED" w:rsidR="00E76447" w:rsidRPr="00E76447" w:rsidRDefault="00043639" w:rsidP="00E76447">
      <w:pPr>
        <w:spacing w:after="0"/>
        <w:rPr>
          <w:rFonts w:cstheme="minorHAnsi"/>
        </w:rPr>
      </w:pPr>
      <w:r w:rsidRPr="00043639">
        <w:rPr>
          <w:rFonts w:cstheme="minorHAnsi"/>
        </w:rPr>
        <w:t>“More than ever, we are delivering a diverse and growing range of business and creative opportunities to our recording artists and songwriters,” said Sir Lucian Grainge, UMG’s Chairman and CEO.  “Through our innovation, global reach, and unique understanding of the evolution of the market, we are continually improving the monetization of music and music-related content, generating high-quality revenue and recurring income from more sources than ever before.”</w:t>
      </w:r>
      <w:r w:rsidR="00CE58B8">
        <w:rPr>
          <w:rFonts w:cstheme="minorHAnsi"/>
        </w:rPr>
        <w:br/>
      </w:r>
    </w:p>
    <w:p w14:paraId="0818689C" w14:textId="1FA22998" w:rsidR="00CE1330" w:rsidRPr="004250C7" w:rsidRDefault="00E76447" w:rsidP="00CE1330">
      <w:pPr>
        <w:spacing w:after="0"/>
        <w:rPr>
          <w:rFonts w:cstheme="minorHAnsi"/>
          <w:color w:val="A6A6A6" w:themeColor="background1" w:themeShade="A6"/>
        </w:rPr>
      </w:pPr>
      <w:r w:rsidRPr="00E76447">
        <w:rPr>
          <w:rFonts w:cstheme="minorHAnsi"/>
        </w:rPr>
        <w:t xml:space="preserve">Boyd Muir, UMG’s EVP, CFO and President of Operations, said, “Our vision of success is about maximizing the long-term value of the business. That requires not only growing revenues but also growing a broad diversity of revenue streams that help drive greater absolute EBITDA and </w:t>
      </w:r>
      <w:r w:rsidR="000E46B2">
        <w:rPr>
          <w:rFonts w:cstheme="minorHAnsi"/>
        </w:rPr>
        <w:t>greater value for shareholders</w:t>
      </w:r>
      <w:r w:rsidRPr="00E76447">
        <w:rPr>
          <w:rFonts w:cstheme="minorHAnsi"/>
        </w:rPr>
        <w:t>.</w:t>
      </w:r>
      <w:r w:rsidR="000E46B2">
        <w:rPr>
          <w:rFonts w:cstheme="minorHAnsi"/>
        </w:rPr>
        <w:t>”</w:t>
      </w:r>
      <w:r w:rsidRPr="00E76447">
        <w:rPr>
          <w:rFonts w:cstheme="minorHAnsi"/>
        </w:rPr>
        <w:t xml:space="preserve"> </w:t>
      </w:r>
    </w:p>
    <w:p w14:paraId="1997FB1D" w14:textId="100B197F" w:rsidR="00B93858" w:rsidRDefault="00CE1330" w:rsidP="003C0DD5">
      <w:pPr>
        <w:pStyle w:val="RFtitre3"/>
        <w:numPr>
          <w:ilvl w:val="0"/>
          <w:numId w:val="0"/>
        </w:numPr>
        <w:spacing w:after="120"/>
        <w:ind w:left="578" w:hanging="578"/>
        <w:rPr>
          <w:rFonts w:asciiTheme="minorHAnsi" w:hAnsiTheme="minorHAnsi" w:cstheme="minorHAnsi"/>
          <w:sz w:val="22"/>
          <w:szCs w:val="22"/>
          <w:lang w:val="en-GB"/>
        </w:rPr>
      </w:pPr>
      <w:r>
        <w:rPr>
          <w:rFonts w:asciiTheme="minorHAnsi" w:hAnsiTheme="minorHAnsi" w:cstheme="minorHAnsi"/>
          <w:sz w:val="22"/>
          <w:szCs w:val="22"/>
          <w:lang w:val="en-GB"/>
        </w:rPr>
        <w:lastRenderedPageBreak/>
        <w:t>U</w:t>
      </w:r>
      <w:r w:rsidR="00D83346" w:rsidRPr="00C826DD">
        <w:rPr>
          <w:rFonts w:asciiTheme="minorHAnsi" w:hAnsiTheme="minorHAnsi" w:cstheme="minorHAnsi"/>
          <w:sz w:val="22"/>
          <w:szCs w:val="22"/>
          <w:lang w:val="en-GB"/>
        </w:rPr>
        <w:t>MG Results</w:t>
      </w:r>
    </w:p>
    <w:p w14:paraId="1886C90C" w14:textId="21AD3571" w:rsidR="00413611" w:rsidRPr="00FD32BE" w:rsidRDefault="00A75B1C" w:rsidP="00FD32BE">
      <w:r>
        <w:rPr>
          <w:noProof/>
        </w:rPr>
        <w:drawing>
          <wp:inline distT="0" distB="0" distL="0" distR="0" wp14:anchorId="002B9EE4" wp14:editId="4108AE1B">
            <wp:extent cx="6172200" cy="125666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3930" cy="1261087"/>
                    </a:xfrm>
                    <a:prstGeom prst="rect">
                      <a:avLst/>
                    </a:prstGeom>
                  </pic:spPr>
                </pic:pic>
              </a:graphicData>
            </a:graphic>
          </wp:inline>
        </w:drawing>
      </w:r>
    </w:p>
    <w:p w14:paraId="76D51B1F" w14:textId="46F120A5" w:rsidR="007E78F8" w:rsidRDefault="00D83346" w:rsidP="00DC4945">
      <w:pPr>
        <w:rPr>
          <w:rFonts w:cstheme="minorHAnsi"/>
          <w:i/>
          <w:iCs/>
          <w:sz w:val="18"/>
          <w:szCs w:val="18"/>
        </w:rPr>
      </w:pPr>
      <w:r w:rsidRPr="00893DEC">
        <w:rPr>
          <w:rFonts w:cstheme="minorHAnsi"/>
          <w:i/>
          <w:iCs/>
          <w:sz w:val="18"/>
          <w:szCs w:val="18"/>
        </w:rPr>
        <w:t>Note: % YoY indicates % change year-over-year; % const. indicates % change year-over-year adjusted for constant currency.</w:t>
      </w:r>
      <w:r w:rsidR="00CA7EA7">
        <w:rPr>
          <w:rFonts w:cstheme="minorHAnsi"/>
          <w:i/>
          <w:iCs/>
          <w:sz w:val="18"/>
          <w:szCs w:val="18"/>
        </w:rPr>
        <w:t xml:space="preserve">  Constant currency </w:t>
      </w:r>
      <w:r w:rsidR="002107B8">
        <w:rPr>
          <w:rFonts w:cstheme="minorHAnsi"/>
          <w:i/>
          <w:iCs/>
          <w:sz w:val="18"/>
          <w:szCs w:val="18"/>
        </w:rPr>
        <w:t xml:space="preserve">change is calculated by taking </w:t>
      </w:r>
      <w:r w:rsidR="00BC4587">
        <w:rPr>
          <w:rFonts w:cstheme="minorHAnsi"/>
          <w:i/>
          <w:iCs/>
          <w:sz w:val="18"/>
          <w:szCs w:val="18"/>
        </w:rPr>
        <w:t>current year results and comparing against prior year results restated at current</w:t>
      </w:r>
      <w:r w:rsidR="00834E38">
        <w:rPr>
          <w:rFonts w:cstheme="minorHAnsi"/>
          <w:i/>
          <w:iCs/>
          <w:sz w:val="18"/>
          <w:szCs w:val="18"/>
        </w:rPr>
        <w:t xml:space="preserve"> year</w:t>
      </w:r>
      <w:r w:rsidR="00BC4587">
        <w:rPr>
          <w:rFonts w:cstheme="minorHAnsi"/>
          <w:i/>
          <w:iCs/>
          <w:sz w:val="18"/>
          <w:szCs w:val="18"/>
        </w:rPr>
        <w:t xml:space="preserve"> rates.</w:t>
      </w:r>
    </w:p>
    <w:p w14:paraId="56DB825E" w14:textId="75853303" w:rsidR="00D4388F" w:rsidRPr="002A47FC" w:rsidRDefault="00D4388F" w:rsidP="00DC4945">
      <w:pPr>
        <w:rPr>
          <w:rFonts w:cstheme="minorHAnsi"/>
          <w:b/>
          <w:bCs/>
          <w:u w:val="single"/>
        </w:rPr>
      </w:pPr>
      <w:r w:rsidRPr="00675AC5">
        <w:rPr>
          <w:rFonts w:cstheme="minorHAnsi"/>
          <w:b/>
          <w:bCs/>
          <w:u w:val="single"/>
        </w:rPr>
        <w:t>Q</w:t>
      </w:r>
      <w:r w:rsidR="00CE1330">
        <w:rPr>
          <w:rFonts w:cstheme="minorHAnsi"/>
          <w:b/>
          <w:bCs/>
          <w:u w:val="single"/>
        </w:rPr>
        <w:t>3</w:t>
      </w:r>
      <w:r w:rsidRPr="00675AC5">
        <w:rPr>
          <w:rFonts w:cstheme="minorHAnsi"/>
          <w:b/>
          <w:bCs/>
          <w:u w:val="single"/>
        </w:rPr>
        <w:t xml:space="preserve"> 202</w:t>
      </w:r>
      <w:r w:rsidR="007B1331">
        <w:rPr>
          <w:rFonts w:cstheme="minorHAnsi"/>
          <w:b/>
          <w:bCs/>
          <w:u w:val="single"/>
        </w:rPr>
        <w:t>2</w:t>
      </w:r>
      <w:r w:rsidRPr="00675AC5">
        <w:rPr>
          <w:rFonts w:cstheme="minorHAnsi"/>
          <w:b/>
          <w:bCs/>
          <w:u w:val="single"/>
        </w:rPr>
        <w:t xml:space="preserve"> </w:t>
      </w:r>
      <w:r w:rsidR="00CE1330">
        <w:rPr>
          <w:rFonts w:cstheme="minorHAnsi"/>
          <w:b/>
          <w:bCs/>
          <w:u w:val="single"/>
        </w:rPr>
        <w:t>Results</w:t>
      </w:r>
    </w:p>
    <w:p w14:paraId="1594980B" w14:textId="4D355521" w:rsidR="002C4B09" w:rsidRDefault="000A052A" w:rsidP="000A052A">
      <w:pPr>
        <w:rPr>
          <w:rFonts w:cstheme="minorHAnsi"/>
        </w:rPr>
      </w:pPr>
      <w:r w:rsidRPr="002A47FC">
        <w:rPr>
          <w:rFonts w:cstheme="minorHAnsi"/>
        </w:rPr>
        <w:t>Revenue for the</w:t>
      </w:r>
      <w:r w:rsidR="00CE1330">
        <w:rPr>
          <w:rFonts w:cstheme="minorHAnsi"/>
        </w:rPr>
        <w:t xml:space="preserve"> third</w:t>
      </w:r>
      <w:r w:rsidR="001D727B" w:rsidRPr="002A47FC">
        <w:rPr>
          <w:rFonts w:cstheme="minorHAnsi"/>
        </w:rPr>
        <w:t xml:space="preserve"> </w:t>
      </w:r>
      <w:r w:rsidRPr="002A47FC">
        <w:rPr>
          <w:rFonts w:cstheme="minorHAnsi"/>
        </w:rPr>
        <w:t>quarter of 202</w:t>
      </w:r>
      <w:r w:rsidR="001D727B">
        <w:rPr>
          <w:rFonts w:cstheme="minorHAnsi"/>
        </w:rPr>
        <w:t>2</w:t>
      </w:r>
      <w:r w:rsidRPr="002A47FC">
        <w:rPr>
          <w:rFonts w:cstheme="minorHAnsi"/>
        </w:rPr>
        <w:t xml:space="preserve"> was €</w:t>
      </w:r>
      <w:r w:rsidR="0068033D">
        <w:rPr>
          <w:rFonts w:cstheme="minorHAnsi"/>
        </w:rPr>
        <w:t>2,664</w:t>
      </w:r>
      <w:r w:rsidR="001D727B" w:rsidRPr="002A47FC">
        <w:rPr>
          <w:rFonts w:cstheme="minorHAnsi"/>
        </w:rPr>
        <w:t xml:space="preserve"> </w:t>
      </w:r>
      <w:r w:rsidRPr="002A47FC">
        <w:rPr>
          <w:rFonts w:cstheme="minorHAnsi"/>
        </w:rPr>
        <w:t xml:space="preserve">million, </w:t>
      </w:r>
      <w:r w:rsidR="009F063F" w:rsidRPr="002A47FC">
        <w:rPr>
          <w:rFonts w:cstheme="minorHAnsi"/>
        </w:rPr>
        <w:t>an increase</w:t>
      </w:r>
      <w:r w:rsidR="0068033D">
        <w:rPr>
          <w:rFonts w:cstheme="minorHAnsi"/>
        </w:rPr>
        <w:t xml:space="preserve"> of 23.7</w:t>
      </w:r>
      <w:r w:rsidRPr="002A47FC">
        <w:rPr>
          <w:rFonts w:cstheme="minorHAnsi"/>
        </w:rPr>
        <w:t xml:space="preserve">% </w:t>
      </w:r>
      <w:r w:rsidR="009F063F" w:rsidRPr="002A47FC">
        <w:rPr>
          <w:rFonts w:cstheme="minorHAnsi"/>
        </w:rPr>
        <w:t>year-over-year</w:t>
      </w:r>
      <w:r w:rsidRPr="002A47FC">
        <w:rPr>
          <w:rFonts w:cstheme="minorHAnsi"/>
        </w:rPr>
        <w:t xml:space="preserve">, </w:t>
      </w:r>
      <w:r w:rsidR="00E27E2A">
        <w:rPr>
          <w:rFonts w:cstheme="minorHAnsi"/>
        </w:rPr>
        <w:t>or</w:t>
      </w:r>
      <w:r w:rsidRPr="002A47FC">
        <w:rPr>
          <w:rFonts w:cstheme="minorHAnsi"/>
        </w:rPr>
        <w:t xml:space="preserve"> </w:t>
      </w:r>
      <w:r w:rsidR="0068033D">
        <w:rPr>
          <w:rFonts w:cstheme="minorHAnsi"/>
        </w:rPr>
        <w:t>13.3</w:t>
      </w:r>
      <w:r w:rsidRPr="002A47FC">
        <w:rPr>
          <w:rFonts w:cstheme="minorHAnsi"/>
        </w:rPr>
        <w:t xml:space="preserve">% in constant currency. </w:t>
      </w:r>
      <w:r w:rsidR="001054B4" w:rsidRPr="001054B4">
        <w:rPr>
          <w:rFonts w:cstheme="minorHAnsi"/>
        </w:rPr>
        <w:t>Revenue includes a €7</w:t>
      </w:r>
      <w:r w:rsidR="00A02B72">
        <w:rPr>
          <w:rFonts w:cstheme="minorHAnsi"/>
        </w:rPr>
        <w:t>1</w:t>
      </w:r>
      <w:r w:rsidR="001054B4" w:rsidRPr="001054B4">
        <w:rPr>
          <w:rFonts w:cstheme="minorHAnsi"/>
        </w:rPr>
        <w:t xml:space="preserve"> million </w:t>
      </w:r>
      <w:r w:rsidR="003867BA">
        <w:rPr>
          <w:rFonts w:cstheme="minorHAnsi"/>
        </w:rPr>
        <w:t xml:space="preserve">benefit in </w:t>
      </w:r>
      <w:r w:rsidR="007E4170">
        <w:rPr>
          <w:rFonts w:cstheme="minorHAnsi"/>
        </w:rPr>
        <w:t xml:space="preserve">Recorded Music </w:t>
      </w:r>
      <w:r w:rsidR="001054B4" w:rsidRPr="001054B4">
        <w:rPr>
          <w:rFonts w:cstheme="minorHAnsi"/>
        </w:rPr>
        <w:t xml:space="preserve">from </w:t>
      </w:r>
      <w:r w:rsidR="005B2520">
        <w:rPr>
          <w:rFonts w:cstheme="minorHAnsi"/>
        </w:rPr>
        <w:t>the settlement of a</w:t>
      </w:r>
      <w:r w:rsidR="001054B4" w:rsidRPr="001054B4">
        <w:rPr>
          <w:rFonts w:cstheme="minorHAnsi"/>
        </w:rPr>
        <w:t xml:space="preserve"> copyright infringement lawsuit with </w:t>
      </w:r>
      <w:r w:rsidR="0058037D">
        <w:rPr>
          <w:rFonts w:cstheme="minorHAnsi"/>
        </w:rPr>
        <w:t>an internet service provider</w:t>
      </w:r>
      <w:r w:rsidR="006A2436">
        <w:rPr>
          <w:rFonts w:cstheme="minorHAnsi"/>
        </w:rPr>
        <w:t xml:space="preserve"> </w:t>
      </w:r>
      <w:r w:rsidR="00E53A4B">
        <w:rPr>
          <w:rFonts w:cstheme="minorHAnsi"/>
        </w:rPr>
        <w:t xml:space="preserve">(the </w:t>
      </w:r>
      <w:r w:rsidR="006A2436">
        <w:rPr>
          <w:rFonts w:cstheme="minorHAnsi"/>
        </w:rPr>
        <w:t>“</w:t>
      </w:r>
      <w:r w:rsidR="00E53A4B">
        <w:rPr>
          <w:rFonts w:cstheme="minorHAnsi"/>
        </w:rPr>
        <w:t>Legal Settlement”)</w:t>
      </w:r>
      <w:r w:rsidR="005931C5">
        <w:rPr>
          <w:rFonts w:cstheme="minorHAnsi"/>
        </w:rPr>
        <w:t>, a</w:t>
      </w:r>
      <w:r w:rsidR="00956A41">
        <w:rPr>
          <w:rFonts w:cstheme="minorHAnsi"/>
        </w:rPr>
        <w:t xml:space="preserve">s well as </w:t>
      </w:r>
      <w:r w:rsidR="005931C5">
        <w:rPr>
          <w:rFonts w:cstheme="minorHAnsi"/>
        </w:rPr>
        <w:t xml:space="preserve">a </w:t>
      </w:r>
      <w:r w:rsidR="00A11E80" w:rsidRPr="001054B4">
        <w:rPr>
          <w:rFonts w:cstheme="minorHAnsi"/>
        </w:rPr>
        <w:t>€</w:t>
      </w:r>
      <w:r w:rsidR="00A11E80">
        <w:rPr>
          <w:rFonts w:cstheme="minorHAnsi"/>
        </w:rPr>
        <w:t xml:space="preserve">21 million </w:t>
      </w:r>
      <w:r w:rsidR="008860C0">
        <w:rPr>
          <w:rFonts w:cstheme="minorHAnsi"/>
        </w:rPr>
        <w:t xml:space="preserve">negative impact </w:t>
      </w:r>
      <w:r w:rsidR="00E57908">
        <w:rPr>
          <w:rFonts w:cstheme="minorHAnsi"/>
        </w:rPr>
        <w:t xml:space="preserve">in Music Publishing </w:t>
      </w:r>
      <w:r w:rsidR="008860C0">
        <w:rPr>
          <w:rFonts w:cstheme="minorHAnsi"/>
        </w:rPr>
        <w:t xml:space="preserve">from </w:t>
      </w:r>
      <w:r w:rsidR="002C4B09">
        <w:rPr>
          <w:rFonts w:cstheme="minorHAnsi"/>
        </w:rPr>
        <w:t xml:space="preserve">a </w:t>
      </w:r>
      <w:r w:rsidR="002E2510">
        <w:rPr>
          <w:rFonts w:cstheme="minorHAnsi"/>
        </w:rPr>
        <w:t xml:space="preserve">previously announced </w:t>
      </w:r>
      <w:r w:rsidR="002C4B09">
        <w:t>c</w:t>
      </w:r>
      <w:r w:rsidR="00E53A4B">
        <w:t xml:space="preserve">hange in </w:t>
      </w:r>
      <w:r w:rsidR="002C4B09">
        <w:t>a</w:t>
      </w:r>
      <w:r w:rsidR="00E53A4B">
        <w:t>ccounting</w:t>
      </w:r>
      <w:r w:rsidR="00F921B9">
        <w:t xml:space="preserve"> policy</w:t>
      </w:r>
      <w:r w:rsidR="00AD0DA4">
        <w:rPr>
          <w:rFonts w:cstheme="minorHAnsi"/>
        </w:rPr>
        <w:t xml:space="preserve">.  </w:t>
      </w:r>
    </w:p>
    <w:p w14:paraId="2CDD1B1D" w14:textId="2B225E59" w:rsidR="002C4B09" w:rsidRDefault="00277F72" w:rsidP="000A052A">
      <w:pPr>
        <w:rPr>
          <w:rFonts w:cstheme="minorHAnsi"/>
        </w:rPr>
      </w:pPr>
      <w:r>
        <w:rPr>
          <w:rFonts w:cstheme="minorHAnsi"/>
          <w:lang w:val="en-US"/>
        </w:rPr>
        <w:t>A</w:t>
      </w:r>
      <w:r w:rsidRPr="00E712FB">
        <w:rPr>
          <w:rFonts w:cstheme="minorHAnsi"/>
          <w:lang w:val="en-US"/>
        </w:rPr>
        <w:t xml:space="preserve">s disclosed in the UMG Annual Consolidated Financial Statements for </w:t>
      </w:r>
      <w:r>
        <w:rPr>
          <w:rFonts w:cstheme="minorHAnsi"/>
          <w:lang w:val="en-US"/>
        </w:rPr>
        <w:t xml:space="preserve">the year ended December 31, </w:t>
      </w:r>
      <w:r w:rsidRPr="00E712FB">
        <w:rPr>
          <w:rFonts w:cstheme="minorHAnsi"/>
          <w:lang w:val="en-US"/>
        </w:rPr>
        <w:t>2021, UMG adjusted its accounting policy in relation to certain revenues that are collected through societies</w:t>
      </w:r>
      <w:r>
        <w:rPr>
          <w:rFonts w:cstheme="minorHAnsi"/>
          <w:lang w:val="en-US"/>
        </w:rPr>
        <w:t xml:space="preserve"> (the “Change in Society Accounting”)</w:t>
      </w:r>
      <w:r w:rsidRPr="00E712FB">
        <w:rPr>
          <w:rFonts w:cstheme="minorHAnsi"/>
          <w:lang w:val="en-US"/>
        </w:rPr>
        <w:t>.  In prior years, these revenues were recogni</w:t>
      </w:r>
      <w:r w:rsidR="00715DED">
        <w:rPr>
          <w:rFonts w:cstheme="minorHAnsi"/>
          <w:lang w:val="en-US"/>
        </w:rPr>
        <w:t>z</w:t>
      </w:r>
      <w:r w:rsidRPr="00E712FB">
        <w:rPr>
          <w:rFonts w:cstheme="minorHAnsi"/>
          <w:lang w:val="en-US"/>
        </w:rPr>
        <w:t>ed when the relevant collection society notified UMG of the usage by the end customer and collectability was assured. Recognition of that revenue is now based on an accrual for the best available estimate of when the usage occurs and the amount of consideration which is probable to be collected. This has affected the timing of the recognition of certain revenues across financial reporting quarters</w:t>
      </w:r>
      <w:r w:rsidR="003D6AEC">
        <w:rPr>
          <w:rFonts w:cstheme="minorHAnsi"/>
          <w:lang w:val="en-US"/>
        </w:rPr>
        <w:t xml:space="preserve">.  </w:t>
      </w:r>
    </w:p>
    <w:p w14:paraId="2732180D" w14:textId="761D48CD" w:rsidR="000A052A" w:rsidRDefault="001054B4" w:rsidP="000A052A">
      <w:pPr>
        <w:rPr>
          <w:rFonts w:cstheme="minorHAnsi"/>
        </w:rPr>
      </w:pPr>
      <w:r w:rsidRPr="001054B4">
        <w:rPr>
          <w:rFonts w:cstheme="minorHAnsi"/>
        </w:rPr>
        <w:t>UMG’s Recorded Music, Music Publishing and Merchandising and Other segments all contributed to the revenue growth</w:t>
      </w:r>
      <w:r w:rsidR="000D07DF">
        <w:rPr>
          <w:rFonts w:cstheme="minorHAnsi"/>
        </w:rPr>
        <w:t xml:space="preserve"> in the quarter</w:t>
      </w:r>
      <w:r w:rsidRPr="001054B4">
        <w:rPr>
          <w:rFonts w:cstheme="minorHAnsi"/>
        </w:rPr>
        <w:t>, as discussed further below.</w:t>
      </w:r>
    </w:p>
    <w:p w14:paraId="6D4B1EA4" w14:textId="28C0B055" w:rsidR="008803DB" w:rsidRPr="00AF1268" w:rsidRDefault="000A052A" w:rsidP="00DC4945">
      <w:pPr>
        <w:rPr>
          <w:rFonts w:cstheme="minorHAnsi"/>
        </w:rPr>
      </w:pPr>
      <w:bookmarkStart w:id="0" w:name="_Hlk97161683"/>
      <w:r w:rsidRPr="002A47FC">
        <w:rPr>
          <w:rFonts w:cstheme="minorHAnsi"/>
        </w:rPr>
        <w:t xml:space="preserve">EBITDA for the quarter </w:t>
      </w:r>
      <w:r w:rsidR="00747E9B">
        <w:rPr>
          <w:rFonts w:cstheme="minorHAnsi"/>
        </w:rPr>
        <w:t>grew</w:t>
      </w:r>
      <w:r w:rsidR="0068033D">
        <w:rPr>
          <w:rFonts w:cstheme="minorHAnsi"/>
        </w:rPr>
        <w:t xml:space="preserve"> 26.5</w:t>
      </w:r>
      <w:r w:rsidRPr="002A47FC">
        <w:rPr>
          <w:rFonts w:cstheme="minorHAnsi"/>
        </w:rPr>
        <w:t>% year-over-year</w:t>
      </w:r>
      <w:r w:rsidR="00C65F2B" w:rsidRPr="002A47FC">
        <w:rPr>
          <w:rFonts w:cstheme="minorHAnsi"/>
        </w:rPr>
        <w:t xml:space="preserve">, </w:t>
      </w:r>
      <w:r w:rsidR="002D48E3">
        <w:rPr>
          <w:rFonts w:cstheme="minorHAnsi"/>
        </w:rPr>
        <w:t>or</w:t>
      </w:r>
      <w:r w:rsidR="002D48E3" w:rsidRPr="002A47FC">
        <w:rPr>
          <w:rFonts w:cstheme="minorHAnsi"/>
        </w:rPr>
        <w:t xml:space="preserve"> </w:t>
      </w:r>
      <w:r w:rsidR="0068033D">
        <w:rPr>
          <w:rFonts w:cstheme="minorHAnsi"/>
        </w:rPr>
        <w:t>15.4</w:t>
      </w:r>
      <w:r w:rsidR="00C65F2B" w:rsidRPr="002A47FC">
        <w:rPr>
          <w:rFonts w:cstheme="minorHAnsi"/>
        </w:rPr>
        <w:t>% in constant currency,</w:t>
      </w:r>
      <w:r w:rsidRPr="002A47FC">
        <w:rPr>
          <w:rFonts w:cstheme="minorHAnsi"/>
        </w:rPr>
        <w:t xml:space="preserve"> to €</w:t>
      </w:r>
      <w:r w:rsidR="0068033D">
        <w:rPr>
          <w:rFonts w:cstheme="minorHAnsi"/>
        </w:rPr>
        <w:t>539</w:t>
      </w:r>
      <w:r w:rsidR="004B2C6C" w:rsidRPr="002A47FC">
        <w:rPr>
          <w:rFonts w:cstheme="minorHAnsi"/>
        </w:rPr>
        <w:t xml:space="preserve"> </w:t>
      </w:r>
      <w:r w:rsidRPr="002A47FC">
        <w:rPr>
          <w:rFonts w:cstheme="minorHAnsi"/>
        </w:rPr>
        <w:t>million</w:t>
      </w:r>
      <w:r w:rsidR="00CE410A">
        <w:rPr>
          <w:rFonts w:cstheme="minorHAnsi"/>
        </w:rPr>
        <w:t xml:space="preserve">, driven by </w:t>
      </w:r>
      <w:r w:rsidR="00D26681">
        <w:rPr>
          <w:rFonts w:cstheme="minorHAnsi"/>
        </w:rPr>
        <w:t xml:space="preserve">the </w:t>
      </w:r>
      <w:r w:rsidR="00660782">
        <w:rPr>
          <w:rFonts w:cstheme="minorHAnsi"/>
        </w:rPr>
        <w:t>revenue growth</w:t>
      </w:r>
      <w:r w:rsidR="00554FC0">
        <w:rPr>
          <w:rFonts w:cstheme="minorHAnsi"/>
        </w:rPr>
        <w:t xml:space="preserve"> and </w:t>
      </w:r>
      <w:r w:rsidR="009624DA">
        <w:rPr>
          <w:rFonts w:cstheme="minorHAnsi"/>
        </w:rPr>
        <w:t>the Legal Settlement</w:t>
      </w:r>
      <w:r w:rsidRPr="002A47FC">
        <w:rPr>
          <w:rFonts w:cstheme="minorHAnsi"/>
        </w:rPr>
        <w:t>. EBITDA margin was</w:t>
      </w:r>
      <w:r w:rsidR="00626FF2" w:rsidRPr="002A47FC">
        <w:rPr>
          <w:rFonts w:cstheme="minorHAnsi"/>
        </w:rPr>
        <w:t xml:space="preserve"> </w:t>
      </w:r>
      <w:r w:rsidR="0068033D">
        <w:rPr>
          <w:rFonts w:cstheme="minorHAnsi"/>
        </w:rPr>
        <w:t>20.2</w:t>
      </w:r>
      <w:r w:rsidRPr="002A47FC">
        <w:rPr>
          <w:rFonts w:cstheme="minorHAnsi"/>
        </w:rPr>
        <w:t>%, compared to</w:t>
      </w:r>
      <w:r w:rsidR="00CE1330">
        <w:rPr>
          <w:rFonts w:cstheme="minorHAnsi"/>
        </w:rPr>
        <w:t xml:space="preserve"> 19</w:t>
      </w:r>
      <w:r w:rsidRPr="002A47FC">
        <w:rPr>
          <w:rFonts w:cstheme="minorHAnsi"/>
        </w:rPr>
        <w:t>.</w:t>
      </w:r>
      <w:r w:rsidR="004B2C6C">
        <w:rPr>
          <w:rFonts w:cstheme="minorHAnsi"/>
        </w:rPr>
        <w:t>8</w:t>
      </w:r>
      <w:r w:rsidRPr="002A47FC">
        <w:rPr>
          <w:rFonts w:cstheme="minorHAnsi"/>
        </w:rPr>
        <w:t xml:space="preserve">% in the </w:t>
      </w:r>
      <w:r w:rsidR="00CE1330">
        <w:rPr>
          <w:rFonts w:cstheme="minorHAnsi"/>
        </w:rPr>
        <w:t xml:space="preserve">third </w:t>
      </w:r>
      <w:r w:rsidRPr="002A47FC">
        <w:rPr>
          <w:rFonts w:cstheme="minorHAnsi"/>
        </w:rPr>
        <w:t>quarter of 202</w:t>
      </w:r>
      <w:r w:rsidR="004B2C6C">
        <w:rPr>
          <w:rFonts w:cstheme="minorHAnsi"/>
        </w:rPr>
        <w:t>1</w:t>
      </w:r>
      <w:r w:rsidRPr="002A47FC">
        <w:rPr>
          <w:rFonts w:cstheme="minorHAnsi"/>
        </w:rPr>
        <w:t xml:space="preserve">. </w:t>
      </w:r>
      <w:r w:rsidR="00660782" w:rsidRPr="002A47FC">
        <w:rPr>
          <w:rFonts w:cstheme="minorHAnsi"/>
        </w:rPr>
        <w:t xml:space="preserve">EBITDA and EBITDA margin were impacted by share-based compensation </w:t>
      </w:r>
      <w:r w:rsidR="00660782">
        <w:rPr>
          <w:rFonts w:cstheme="minorHAnsi"/>
        </w:rPr>
        <w:t xml:space="preserve">of </w:t>
      </w:r>
      <w:r w:rsidR="00660782" w:rsidRPr="00B6565D">
        <w:rPr>
          <w:rFonts w:cstheme="minorHAnsi"/>
        </w:rPr>
        <w:t>€</w:t>
      </w:r>
      <w:r w:rsidR="00660782">
        <w:rPr>
          <w:rFonts w:cstheme="minorHAnsi"/>
        </w:rPr>
        <w:t>14</w:t>
      </w:r>
      <w:r w:rsidR="00660782" w:rsidRPr="00B6565D">
        <w:rPr>
          <w:rFonts w:cstheme="minorHAnsi"/>
        </w:rPr>
        <w:t xml:space="preserve"> million </w:t>
      </w:r>
      <w:r w:rsidR="00660782" w:rsidRPr="002A47FC">
        <w:rPr>
          <w:rFonts w:cstheme="minorHAnsi"/>
        </w:rPr>
        <w:t xml:space="preserve">during </w:t>
      </w:r>
      <w:r w:rsidR="00900874">
        <w:rPr>
          <w:rFonts w:cstheme="minorHAnsi"/>
        </w:rPr>
        <w:t xml:space="preserve">the third quarter of </w:t>
      </w:r>
      <w:r w:rsidR="00660782">
        <w:rPr>
          <w:rFonts w:cstheme="minorHAnsi"/>
        </w:rPr>
        <w:t xml:space="preserve">2022, and by </w:t>
      </w:r>
      <w:r w:rsidR="00660782" w:rsidRPr="00B6565D">
        <w:rPr>
          <w:rFonts w:cstheme="minorHAnsi"/>
        </w:rPr>
        <w:t>€</w:t>
      </w:r>
      <w:r w:rsidR="00660782">
        <w:rPr>
          <w:rFonts w:cstheme="minorHAnsi"/>
        </w:rPr>
        <w:t>20</w:t>
      </w:r>
      <w:r w:rsidR="00660782" w:rsidRPr="00B6565D">
        <w:rPr>
          <w:rFonts w:cstheme="minorHAnsi"/>
        </w:rPr>
        <w:t xml:space="preserve"> million</w:t>
      </w:r>
      <w:r w:rsidR="00660782">
        <w:rPr>
          <w:rFonts w:cstheme="minorHAnsi"/>
        </w:rPr>
        <w:t xml:space="preserve"> of share-based </w:t>
      </w:r>
      <w:r w:rsidR="00660782" w:rsidRPr="00AF1268">
        <w:rPr>
          <w:rFonts w:cstheme="minorHAnsi"/>
        </w:rPr>
        <w:t xml:space="preserve">compensation as well as €15 million of expenses related to UMG’s listing on Euronext Amsterdam during </w:t>
      </w:r>
      <w:r w:rsidR="00900874">
        <w:rPr>
          <w:rFonts w:cstheme="minorHAnsi"/>
        </w:rPr>
        <w:t>the third quarter of</w:t>
      </w:r>
      <w:r w:rsidR="00900874" w:rsidRPr="00AF1268">
        <w:rPr>
          <w:rFonts w:cstheme="minorHAnsi"/>
        </w:rPr>
        <w:t xml:space="preserve"> </w:t>
      </w:r>
      <w:r w:rsidR="00660782" w:rsidRPr="00AF1268">
        <w:rPr>
          <w:rFonts w:cstheme="minorHAnsi"/>
        </w:rPr>
        <w:t xml:space="preserve">2021. </w:t>
      </w:r>
      <w:r w:rsidRPr="00AF1268">
        <w:rPr>
          <w:rFonts w:cstheme="minorHAnsi"/>
        </w:rPr>
        <w:t xml:space="preserve">Excluding </w:t>
      </w:r>
      <w:r w:rsidR="00D263E4" w:rsidRPr="00AF1268">
        <w:rPr>
          <w:rFonts w:cstheme="minorHAnsi"/>
        </w:rPr>
        <w:t>these</w:t>
      </w:r>
      <w:r w:rsidR="004B2C6C" w:rsidRPr="00AF1268">
        <w:rPr>
          <w:rFonts w:cstheme="minorHAnsi"/>
        </w:rPr>
        <w:t xml:space="preserve"> </w:t>
      </w:r>
      <w:r w:rsidRPr="00AF1268">
        <w:rPr>
          <w:rFonts w:cstheme="minorHAnsi"/>
        </w:rPr>
        <w:t>item</w:t>
      </w:r>
      <w:r w:rsidR="00D263E4" w:rsidRPr="00AF1268">
        <w:rPr>
          <w:rFonts w:cstheme="minorHAnsi"/>
        </w:rPr>
        <w:t>s</w:t>
      </w:r>
      <w:r w:rsidRPr="00AF1268">
        <w:rPr>
          <w:rFonts w:cstheme="minorHAnsi"/>
        </w:rPr>
        <w:t>, Adjusted EBITDA for the quarter was €</w:t>
      </w:r>
      <w:r w:rsidR="0068033D" w:rsidRPr="00AF1268">
        <w:rPr>
          <w:rFonts w:cstheme="minorHAnsi"/>
          <w:lang w:val="en-US"/>
        </w:rPr>
        <w:t>553</w:t>
      </w:r>
      <w:r w:rsidR="00B023A7" w:rsidRPr="00AF1268">
        <w:rPr>
          <w:rFonts w:cstheme="minorHAnsi"/>
        </w:rPr>
        <w:t xml:space="preserve"> </w:t>
      </w:r>
      <w:r w:rsidRPr="00AF1268">
        <w:rPr>
          <w:rFonts w:cstheme="minorHAnsi"/>
        </w:rPr>
        <w:t>million, up</w:t>
      </w:r>
      <w:r w:rsidR="0068033D" w:rsidRPr="00AF1268">
        <w:rPr>
          <w:rFonts w:cstheme="minorHAnsi"/>
        </w:rPr>
        <w:t xml:space="preserve"> 20.0</w:t>
      </w:r>
      <w:r w:rsidRPr="00AF1268">
        <w:rPr>
          <w:rFonts w:cstheme="minorHAnsi"/>
        </w:rPr>
        <w:t>% year-over-year</w:t>
      </w:r>
      <w:r w:rsidR="00C65F2B" w:rsidRPr="00AF1268">
        <w:rPr>
          <w:rFonts w:cstheme="minorHAnsi"/>
          <w:lang w:val="en-US"/>
        </w:rPr>
        <w:t xml:space="preserve">, </w:t>
      </w:r>
      <w:r w:rsidR="00E307AF" w:rsidRPr="00AF1268">
        <w:rPr>
          <w:rFonts w:cstheme="minorHAnsi"/>
          <w:lang w:val="en-US"/>
        </w:rPr>
        <w:t xml:space="preserve">or </w:t>
      </w:r>
      <w:r w:rsidR="0068033D" w:rsidRPr="00AF1268">
        <w:rPr>
          <w:rFonts w:cstheme="minorHAnsi"/>
          <w:lang w:val="en-US"/>
        </w:rPr>
        <w:t>9.</w:t>
      </w:r>
      <w:r w:rsidR="00413611" w:rsidRPr="00FD32BE">
        <w:rPr>
          <w:rFonts w:cstheme="minorHAnsi"/>
          <w:lang w:val="en-US"/>
        </w:rPr>
        <w:t>1</w:t>
      </w:r>
      <w:r w:rsidR="00C65F2B" w:rsidRPr="00AF1268">
        <w:rPr>
          <w:rFonts w:cstheme="minorHAnsi"/>
          <w:lang w:val="en-US"/>
        </w:rPr>
        <w:t>% in constant currency,</w:t>
      </w:r>
      <w:r w:rsidRPr="00AF1268">
        <w:rPr>
          <w:rFonts w:cstheme="minorHAnsi"/>
        </w:rPr>
        <w:t xml:space="preserve"> driven by </w:t>
      </w:r>
      <w:r w:rsidR="00660782" w:rsidRPr="00AF1268">
        <w:rPr>
          <w:rFonts w:cstheme="minorHAnsi"/>
        </w:rPr>
        <w:t>the revenue growth</w:t>
      </w:r>
      <w:r w:rsidR="007F71A1">
        <w:rPr>
          <w:rFonts w:cstheme="minorHAnsi"/>
        </w:rPr>
        <w:t xml:space="preserve"> and the Legal Settlement</w:t>
      </w:r>
      <w:r w:rsidR="00C65F2B" w:rsidRPr="00AF1268">
        <w:rPr>
          <w:rFonts w:cstheme="minorHAnsi"/>
          <w:lang w:val="en-US"/>
        </w:rPr>
        <w:t xml:space="preserve">.  </w:t>
      </w:r>
      <w:bookmarkStart w:id="1" w:name="_Hlk101973199"/>
      <w:r w:rsidR="00076F96" w:rsidRPr="00AF1268">
        <w:rPr>
          <w:rFonts w:cstheme="minorHAnsi"/>
          <w:lang w:val="en-US"/>
        </w:rPr>
        <w:t xml:space="preserve">Adjusted </w:t>
      </w:r>
      <w:r w:rsidR="00076F96" w:rsidRPr="00AF1268">
        <w:rPr>
          <w:rFonts w:cstheme="minorHAnsi"/>
        </w:rPr>
        <w:t xml:space="preserve">EBITDA margin was </w:t>
      </w:r>
      <w:r w:rsidR="0068033D" w:rsidRPr="00AF1268">
        <w:rPr>
          <w:rFonts w:cstheme="minorHAnsi"/>
        </w:rPr>
        <w:t>20.8</w:t>
      </w:r>
      <w:r w:rsidR="00076F96" w:rsidRPr="00AF1268">
        <w:rPr>
          <w:rFonts w:cstheme="minorHAnsi"/>
        </w:rPr>
        <w:t>%, compared to 21.</w:t>
      </w:r>
      <w:r w:rsidR="00B023A7" w:rsidRPr="00AF1268">
        <w:rPr>
          <w:rFonts w:cstheme="minorHAnsi"/>
        </w:rPr>
        <w:t>4</w:t>
      </w:r>
      <w:r w:rsidR="00076F96" w:rsidRPr="00AF1268">
        <w:rPr>
          <w:rFonts w:cstheme="minorHAnsi"/>
        </w:rPr>
        <w:t xml:space="preserve">% in the </w:t>
      </w:r>
      <w:r w:rsidR="00B023A7" w:rsidRPr="00AF1268">
        <w:rPr>
          <w:rFonts w:cstheme="minorHAnsi"/>
        </w:rPr>
        <w:t>third</w:t>
      </w:r>
      <w:r w:rsidR="00076F96" w:rsidRPr="00AF1268">
        <w:rPr>
          <w:rFonts w:cstheme="minorHAnsi"/>
        </w:rPr>
        <w:t xml:space="preserve"> quarter of 2021.  </w:t>
      </w:r>
      <w:bookmarkEnd w:id="1"/>
    </w:p>
    <w:p w14:paraId="5F2E66A5" w14:textId="2E828957" w:rsidR="00BB6A71" w:rsidRDefault="0039080F" w:rsidP="00DC4945">
      <w:r w:rsidRPr="002A47FC">
        <w:rPr>
          <w:rFonts w:cstheme="minorHAnsi"/>
          <w:lang w:val="en-US"/>
        </w:rPr>
        <w:t>EBITDA and Adjusted EBITDA</w:t>
      </w:r>
      <w:r>
        <w:rPr>
          <w:rFonts w:cstheme="minorHAnsi"/>
          <w:lang w:val="en-US"/>
        </w:rPr>
        <w:t xml:space="preserve"> in the third quarter of 2022 include</w:t>
      </w:r>
      <w:r w:rsidR="00BE1BD8">
        <w:rPr>
          <w:rFonts w:cstheme="minorHAnsi"/>
          <w:lang w:val="en-US"/>
        </w:rPr>
        <w:t>d</w:t>
      </w:r>
      <w:r>
        <w:rPr>
          <w:rFonts w:cstheme="minorHAnsi"/>
          <w:lang w:val="en-US"/>
        </w:rPr>
        <w:t xml:space="preserve"> a </w:t>
      </w:r>
      <w:r w:rsidR="00660782" w:rsidRPr="00AF1268">
        <w:t xml:space="preserve">€52 million </w:t>
      </w:r>
      <w:r>
        <w:t>benefit from the Legal Settlement</w:t>
      </w:r>
      <w:r w:rsidR="003D5FD6">
        <w:t xml:space="preserve">, partially offset by the negative </w:t>
      </w:r>
      <w:r w:rsidR="003D5FD6" w:rsidRPr="00AF1268">
        <w:t>€</w:t>
      </w:r>
      <w:r w:rsidR="003D5FD6">
        <w:t>7</w:t>
      </w:r>
      <w:r w:rsidR="003D5FD6" w:rsidRPr="00AF1268">
        <w:t xml:space="preserve"> million </w:t>
      </w:r>
      <w:r w:rsidR="003D5FD6">
        <w:t xml:space="preserve">impact from the Change in Society </w:t>
      </w:r>
      <w:r w:rsidR="00656348">
        <w:t>Accounting</w:t>
      </w:r>
      <w:r w:rsidR="00660782" w:rsidRPr="00AF1268">
        <w:t>.</w:t>
      </w:r>
      <w:r w:rsidR="00FC0B1A">
        <w:t xml:space="preserve">  </w:t>
      </w:r>
    </w:p>
    <w:p w14:paraId="3ADA109F" w14:textId="3040907B" w:rsidR="001E2096" w:rsidRDefault="00BE1BD8">
      <w:pPr>
        <w:rPr>
          <w:rFonts w:cstheme="minorHAnsi"/>
        </w:rPr>
      </w:pPr>
      <w:r w:rsidRPr="002A47FC">
        <w:rPr>
          <w:rFonts w:cstheme="minorHAnsi"/>
          <w:lang w:val="en-US"/>
        </w:rPr>
        <w:t xml:space="preserve">EBITDA and </w:t>
      </w:r>
      <w:r w:rsidR="00582E08" w:rsidRPr="00582E08">
        <w:rPr>
          <w:rFonts w:cstheme="minorHAnsi"/>
        </w:rPr>
        <w:t xml:space="preserve">Adjusted EBITDA </w:t>
      </w:r>
      <w:r w:rsidR="003C4A62">
        <w:rPr>
          <w:rFonts w:cstheme="minorHAnsi"/>
        </w:rPr>
        <w:t>were</w:t>
      </w:r>
      <w:r w:rsidR="003312D4">
        <w:rPr>
          <w:rFonts w:cstheme="minorHAnsi"/>
        </w:rPr>
        <w:t xml:space="preserve"> </w:t>
      </w:r>
      <w:r>
        <w:rPr>
          <w:rFonts w:cstheme="minorHAnsi"/>
        </w:rPr>
        <w:t xml:space="preserve">also </w:t>
      </w:r>
      <w:r w:rsidR="00245C25">
        <w:rPr>
          <w:rFonts w:cstheme="minorHAnsi"/>
        </w:rPr>
        <w:t>impacted</w:t>
      </w:r>
      <w:r w:rsidR="003312D4">
        <w:rPr>
          <w:rFonts w:cstheme="minorHAnsi"/>
        </w:rPr>
        <w:t xml:space="preserve"> by </w:t>
      </w:r>
      <w:r w:rsidR="003C4A62">
        <w:rPr>
          <w:rFonts w:cstheme="minorHAnsi"/>
        </w:rPr>
        <w:t xml:space="preserve">the timing of </w:t>
      </w:r>
      <w:r w:rsidR="00A13D28">
        <w:rPr>
          <w:rFonts w:cstheme="minorHAnsi"/>
        </w:rPr>
        <w:t xml:space="preserve">certain </w:t>
      </w:r>
      <w:r w:rsidR="007D6B3C">
        <w:rPr>
          <w:rFonts w:cstheme="minorHAnsi"/>
        </w:rPr>
        <w:t>A&amp;R</w:t>
      </w:r>
      <w:r w:rsidR="00A13D28">
        <w:rPr>
          <w:rFonts w:cstheme="minorHAnsi"/>
        </w:rPr>
        <w:t xml:space="preserve"> expenses</w:t>
      </w:r>
      <w:r w:rsidR="002D3CA0">
        <w:rPr>
          <w:rFonts w:cstheme="minorHAnsi"/>
        </w:rPr>
        <w:t>,</w:t>
      </w:r>
      <w:r w:rsidR="00A13D28">
        <w:rPr>
          <w:rFonts w:cstheme="minorHAnsi"/>
        </w:rPr>
        <w:t xml:space="preserve"> </w:t>
      </w:r>
      <w:r w:rsidR="00E535F8">
        <w:rPr>
          <w:rFonts w:cstheme="minorHAnsi"/>
        </w:rPr>
        <w:t xml:space="preserve">which </w:t>
      </w:r>
      <w:r w:rsidR="002D3CA0">
        <w:rPr>
          <w:rFonts w:cstheme="minorHAnsi"/>
        </w:rPr>
        <w:t>increased</w:t>
      </w:r>
      <w:r w:rsidR="00E535F8">
        <w:rPr>
          <w:rFonts w:cstheme="minorHAnsi"/>
        </w:rPr>
        <w:t xml:space="preserve"> in the quarter but remain down </w:t>
      </w:r>
      <w:r w:rsidR="00036F14">
        <w:rPr>
          <w:rFonts w:cstheme="minorHAnsi"/>
        </w:rPr>
        <w:t>year-to-date</w:t>
      </w:r>
      <w:r w:rsidR="00245C25">
        <w:rPr>
          <w:rFonts w:cstheme="minorHAnsi"/>
        </w:rPr>
        <w:t xml:space="preserve">, </w:t>
      </w:r>
      <w:r w:rsidR="00EF1765">
        <w:rPr>
          <w:rFonts w:cstheme="minorHAnsi"/>
        </w:rPr>
        <w:t>and</w:t>
      </w:r>
      <w:r w:rsidR="0091063E">
        <w:rPr>
          <w:rFonts w:cstheme="minorHAnsi"/>
        </w:rPr>
        <w:t xml:space="preserve"> </w:t>
      </w:r>
      <w:r w:rsidR="00A13D28">
        <w:rPr>
          <w:rFonts w:cstheme="minorHAnsi"/>
        </w:rPr>
        <w:t xml:space="preserve">by </w:t>
      </w:r>
      <w:r w:rsidR="0091063E">
        <w:rPr>
          <w:rFonts w:cstheme="minorHAnsi"/>
        </w:rPr>
        <w:t>revenu</w:t>
      </w:r>
      <w:r w:rsidR="00582E08" w:rsidRPr="00582E08">
        <w:rPr>
          <w:rFonts w:cstheme="minorHAnsi"/>
        </w:rPr>
        <w:t>e mix</w:t>
      </w:r>
      <w:r w:rsidR="00CB31C0">
        <w:rPr>
          <w:rFonts w:cstheme="minorHAnsi"/>
        </w:rPr>
        <w:t>,</w:t>
      </w:r>
      <w:r w:rsidR="00582E08" w:rsidRPr="00582E08">
        <w:rPr>
          <w:rFonts w:cstheme="minorHAnsi"/>
        </w:rPr>
        <w:t xml:space="preserve"> as revenues were more heavily weighted towards Merchandising and Other revenues, which carry a significantly lower EBITDA margin than </w:t>
      </w:r>
      <w:r w:rsidR="00255D85">
        <w:rPr>
          <w:rFonts w:cstheme="minorHAnsi"/>
        </w:rPr>
        <w:t xml:space="preserve">the Company’s </w:t>
      </w:r>
      <w:r w:rsidR="00582E08" w:rsidRPr="00582E08">
        <w:rPr>
          <w:rFonts w:cstheme="minorHAnsi"/>
        </w:rPr>
        <w:t xml:space="preserve">other revenues. </w:t>
      </w:r>
      <w:r w:rsidR="007C2864">
        <w:rPr>
          <w:rFonts w:cstheme="minorHAnsi"/>
        </w:rPr>
        <w:t xml:space="preserve"> </w:t>
      </w:r>
      <w:r w:rsidR="009F0676">
        <w:rPr>
          <w:rFonts w:cstheme="minorHAnsi"/>
        </w:rPr>
        <w:t>Excluding the</w:t>
      </w:r>
      <w:r w:rsidR="00B2179F">
        <w:rPr>
          <w:rFonts w:cstheme="minorHAnsi"/>
        </w:rPr>
        <w:t xml:space="preserve">se items, Adjusted EBITDA margin </w:t>
      </w:r>
      <w:r w:rsidR="007F2B92">
        <w:rPr>
          <w:rFonts w:cstheme="minorHAnsi"/>
        </w:rPr>
        <w:t>was flat versus the prior-year quarter</w:t>
      </w:r>
      <w:r w:rsidR="00B2179F">
        <w:rPr>
          <w:rFonts w:cstheme="minorHAnsi"/>
        </w:rPr>
        <w:t>.</w:t>
      </w:r>
    </w:p>
    <w:p w14:paraId="50601649" w14:textId="77777777" w:rsidR="00CD36C9" w:rsidRDefault="00CD36C9" w:rsidP="00D36487">
      <w:pPr>
        <w:rPr>
          <w:rFonts w:cstheme="minorHAnsi"/>
          <w:b/>
          <w:bCs/>
          <w:u w:val="single"/>
          <w:lang w:val="en-US"/>
        </w:rPr>
      </w:pPr>
    </w:p>
    <w:p w14:paraId="4D1735B9" w14:textId="77777777" w:rsidR="00240EEE" w:rsidRDefault="00240EEE" w:rsidP="00D36487">
      <w:pPr>
        <w:rPr>
          <w:rFonts w:cstheme="minorHAnsi"/>
          <w:b/>
          <w:bCs/>
          <w:u w:val="single"/>
          <w:lang w:val="en-US"/>
        </w:rPr>
      </w:pPr>
    </w:p>
    <w:p w14:paraId="5ACC531F" w14:textId="5179EA1D" w:rsidR="00D36487" w:rsidRPr="00356435" w:rsidRDefault="00D36487" w:rsidP="00D36487">
      <w:pPr>
        <w:rPr>
          <w:rFonts w:cstheme="minorHAnsi"/>
          <w:b/>
          <w:bCs/>
          <w:u w:val="single"/>
          <w:lang w:val="en-US"/>
        </w:rPr>
      </w:pPr>
      <w:r w:rsidRPr="00356435">
        <w:rPr>
          <w:rFonts w:cstheme="minorHAnsi"/>
          <w:b/>
          <w:bCs/>
          <w:u w:val="single"/>
          <w:lang w:val="en-US"/>
        </w:rPr>
        <w:lastRenderedPageBreak/>
        <w:t xml:space="preserve">YTD </w:t>
      </w:r>
      <w:r w:rsidR="00C539E2">
        <w:rPr>
          <w:rFonts w:cstheme="minorHAnsi"/>
          <w:b/>
          <w:bCs/>
          <w:u w:val="single"/>
          <w:lang w:val="en-US"/>
        </w:rPr>
        <w:t xml:space="preserve">2022 </w:t>
      </w:r>
      <w:r w:rsidRPr="00356435">
        <w:rPr>
          <w:rFonts w:cstheme="minorHAnsi"/>
          <w:b/>
          <w:bCs/>
          <w:u w:val="single"/>
          <w:lang w:val="en-US"/>
        </w:rPr>
        <w:t>Results</w:t>
      </w:r>
    </w:p>
    <w:p w14:paraId="6B9DA62C" w14:textId="132FCC65" w:rsidR="00D36487" w:rsidRPr="00442A06" w:rsidRDefault="00D36487" w:rsidP="00D36487">
      <w:pPr>
        <w:rPr>
          <w:rFonts w:cstheme="minorHAnsi"/>
        </w:rPr>
      </w:pPr>
      <w:r w:rsidRPr="00442A06">
        <w:rPr>
          <w:rFonts w:cstheme="minorHAnsi"/>
        </w:rPr>
        <w:t>In the nine</w:t>
      </w:r>
      <w:r w:rsidR="00493689">
        <w:rPr>
          <w:rFonts w:cstheme="minorHAnsi"/>
        </w:rPr>
        <w:t xml:space="preserve"> </w:t>
      </w:r>
      <w:r w:rsidRPr="00442A06">
        <w:rPr>
          <w:rFonts w:cstheme="minorHAnsi"/>
        </w:rPr>
        <w:t>months ended September 30, 2022, UMG’s revenues of €7,398 million increased by 23.6%, or 15.6% in constant currency, compared to the nine</w:t>
      </w:r>
      <w:r w:rsidR="00D26681">
        <w:rPr>
          <w:rFonts w:cstheme="minorHAnsi"/>
        </w:rPr>
        <w:t xml:space="preserve"> </w:t>
      </w:r>
      <w:r w:rsidRPr="00442A06">
        <w:rPr>
          <w:rFonts w:cstheme="minorHAnsi"/>
        </w:rPr>
        <w:t>months ended September 30, 2021. This increase was driven by double-digit improvements across all segments, as discussed further below.</w:t>
      </w:r>
    </w:p>
    <w:p w14:paraId="050F68DA" w14:textId="7CA63EBB" w:rsidR="00080E3A" w:rsidRDefault="00017314" w:rsidP="00D36487">
      <w:pPr>
        <w:rPr>
          <w:rFonts w:cstheme="minorHAnsi"/>
        </w:rPr>
      </w:pPr>
      <w:r>
        <w:rPr>
          <w:rFonts w:cstheme="minorHAnsi"/>
        </w:rPr>
        <w:t>R</w:t>
      </w:r>
      <w:r w:rsidR="00080E3A">
        <w:rPr>
          <w:rFonts w:cstheme="minorHAnsi"/>
        </w:rPr>
        <w:t>evenue for the nine</w:t>
      </w:r>
      <w:r w:rsidR="00493689">
        <w:rPr>
          <w:rFonts w:cstheme="minorHAnsi"/>
        </w:rPr>
        <w:t xml:space="preserve"> </w:t>
      </w:r>
      <w:r w:rsidR="00080E3A">
        <w:rPr>
          <w:rFonts w:cstheme="minorHAnsi"/>
        </w:rPr>
        <w:t>months end</w:t>
      </w:r>
      <w:r w:rsidR="00BE1A65">
        <w:rPr>
          <w:rFonts w:cstheme="minorHAnsi"/>
        </w:rPr>
        <w:t>ed</w:t>
      </w:r>
      <w:r w:rsidR="00080E3A">
        <w:rPr>
          <w:rFonts w:cstheme="minorHAnsi"/>
        </w:rPr>
        <w:t xml:space="preserve"> </w:t>
      </w:r>
      <w:r w:rsidRPr="00442A06">
        <w:rPr>
          <w:rFonts w:cstheme="minorHAnsi"/>
        </w:rPr>
        <w:t xml:space="preserve">September 30, </w:t>
      </w:r>
      <w:proofErr w:type="gramStart"/>
      <w:r w:rsidRPr="00442A06">
        <w:rPr>
          <w:rFonts w:cstheme="minorHAnsi"/>
        </w:rPr>
        <w:t>2022</w:t>
      </w:r>
      <w:proofErr w:type="gramEnd"/>
      <w:r>
        <w:rPr>
          <w:rFonts w:cstheme="minorHAnsi"/>
        </w:rPr>
        <w:t xml:space="preserve"> includes </w:t>
      </w:r>
      <w:r w:rsidR="00297454">
        <w:rPr>
          <w:rFonts w:cstheme="minorHAnsi"/>
        </w:rPr>
        <w:t xml:space="preserve">a </w:t>
      </w:r>
      <w:r w:rsidR="006A152E" w:rsidRPr="00442A06">
        <w:rPr>
          <w:rFonts w:cstheme="minorHAnsi"/>
        </w:rPr>
        <w:t>€</w:t>
      </w:r>
      <w:r w:rsidR="00297454">
        <w:rPr>
          <w:rFonts w:cstheme="minorHAnsi"/>
        </w:rPr>
        <w:t>123</w:t>
      </w:r>
      <w:r w:rsidR="00A15337">
        <w:rPr>
          <w:rFonts w:cstheme="minorHAnsi"/>
        </w:rPr>
        <w:t xml:space="preserve"> </w:t>
      </w:r>
      <w:r w:rsidR="00297454">
        <w:rPr>
          <w:rFonts w:cstheme="minorHAnsi"/>
        </w:rPr>
        <w:t>m</w:t>
      </w:r>
      <w:r w:rsidR="00A15337">
        <w:rPr>
          <w:rFonts w:cstheme="minorHAnsi"/>
        </w:rPr>
        <w:t>illion</w:t>
      </w:r>
      <w:r w:rsidR="00297454">
        <w:rPr>
          <w:rFonts w:cstheme="minorHAnsi"/>
        </w:rPr>
        <w:t xml:space="preserve"> benefit from the Change in Society Accounting, </w:t>
      </w:r>
      <w:r w:rsidR="000A7876">
        <w:rPr>
          <w:rFonts w:cstheme="minorHAnsi"/>
        </w:rPr>
        <w:t>and</w:t>
      </w:r>
      <w:r w:rsidR="00297454">
        <w:rPr>
          <w:rFonts w:cstheme="minorHAnsi"/>
        </w:rPr>
        <w:t xml:space="preserve"> </w:t>
      </w:r>
      <w:r w:rsidR="000A7876">
        <w:rPr>
          <w:rFonts w:cstheme="minorHAnsi"/>
        </w:rPr>
        <w:t xml:space="preserve">a </w:t>
      </w:r>
      <w:r w:rsidR="006A152E" w:rsidRPr="00442A06">
        <w:rPr>
          <w:rFonts w:cstheme="minorHAnsi"/>
        </w:rPr>
        <w:t>€</w:t>
      </w:r>
      <w:r w:rsidR="000A7876">
        <w:rPr>
          <w:rFonts w:cstheme="minorHAnsi"/>
        </w:rPr>
        <w:t>71</w:t>
      </w:r>
      <w:r w:rsidR="00A15337">
        <w:rPr>
          <w:rFonts w:cstheme="minorHAnsi"/>
        </w:rPr>
        <w:t xml:space="preserve"> </w:t>
      </w:r>
      <w:r w:rsidR="000A7876">
        <w:rPr>
          <w:rFonts w:cstheme="minorHAnsi"/>
        </w:rPr>
        <w:t>m</w:t>
      </w:r>
      <w:r w:rsidR="00A15337">
        <w:rPr>
          <w:rFonts w:cstheme="minorHAnsi"/>
        </w:rPr>
        <w:t>illion</w:t>
      </w:r>
      <w:r w:rsidR="000A7876">
        <w:rPr>
          <w:rFonts w:cstheme="minorHAnsi"/>
        </w:rPr>
        <w:t xml:space="preserve"> benefit from the </w:t>
      </w:r>
      <w:r w:rsidR="00877E61">
        <w:rPr>
          <w:rFonts w:cstheme="minorHAnsi"/>
        </w:rPr>
        <w:t>L</w:t>
      </w:r>
      <w:r w:rsidR="000A7876">
        <w:rPr>
          <w:rFonts w:cstheme="minorHAnsi"/>
        </w:rPr>
        <w:t xml:space="preserve">egal </w:t>
      </w:r>
      <w:r w:rsidR="00877E61">
        <w:rPr>
          <w:rFonts w:cstheme="minorHAnsi"/>
        </w:rPr>
        <w:t>S</w:t>
      </w:r>
      <w:r w:rsidR="000A7876">
        <w:rPr>
          <w:rFonts w:cstheme="minorHAnsi"/>
        </w:rPr>
        <w:t>ettlement</w:t>
      </w:r>
      <w:r w:rsidR="00715B96">
        <w:rPr>
          <w:rFonts w:cstheme="minorHAnsi"/>
        </w:rPr>
        <w:t>, both discussed above.  Revenue for the nine</w:t>
      </w:r>
      <w:r w:rsidR="001E719F">
        <w:rPr>
          <w:rFonts w:cstheme="minorHAnsi"/>
        </w:rPr>
        <w:t xml:space="preserve"> </w:t>
      </w:r>
      <w:r w:rsidR="00715B96">
        <w:rPr>
          <w:rFonts w:cstheme="minorHAnsi"/>
        </w:rPr>
        <w:t>months end</w:t>
      </w:r>
      <w:r w:rsidR="000B12A2">
        <w:rPr>
          <w:rFonts w:cstheme="minorHAnsi"/>
        </w:rPr>
        <w:t>ed</w:t>
      </w:r>
      <w:r w:rsidR="00715B96">
        <w:rPr>
          <w:rFonts w:cstheme="minorHAnsi"/>
        </w:rPr>
        <w:t xml:space="preserve"> </w:t>
      </w:r>
      <w:r w:rsidR="00715B96" w:rsidRPr="00442A06">
        <w:rPr>
          <w:rFonts w:cstheme="minorHAnsi"/>
        </w:rPr>
        <w:t xml:space="preserve">September 30, </w:t>
      </w:r>
      <w:proofErr w:type="gramStart"/>
      <w:r w:rsidR="00715B96" w:rsidRPr="00442A06">
        <w:rPr>
          <w:rFonts w:cstheme="minorHAnsi"/>
        </w:rPr>
        <w:t>202</w:t>
      </w:r>
      <w:r w:rsidR="00715B96">
        <w:rPr>
          <w:rFonts w:cstheme="minorHAnsi"/>
        </w:rPr>
        <w:t>1</w:t>
      </w:r>
      <w:proofErr w:type="gramEnd"/>
      <w:r w:rsidR="00715B96">
        <w:rPr>
          <w:rFonts w:cstheme="minorHAnsi"/>
        </w:rPr>
        <w:t xml:space="preserve"> included a </w:t>
      </w:r>
      <w:r w:rsidR="00A15337" w:rsidRPr="00442A06">
        <w:rPr>
          <w:rFonts w:cstheme="minorHAnsi"/>
        </w:rPr>
        <w:t>€</w:t>
      </w:r>
      <w:r w:rsidR="00A15337">
        <w:rPr>
          <w:rFonts w:cstheme="minorHAnsi"/>
        </w:rPr>
        <w:t xml:space="preserve">41 million </w:t>
      </w:r>
      <w:r w:rsidR="00715B96">
        <w:rPr>
          <w:rFonts w:cstheme="minorHAnsi"/>
        </w:rPr>
        <w:t xml:space="preserve">benefit from </w:t>
      </w:r>
      <w:r w:rsidR="002D6E9F">
        <w:rPr>
          <w:rFonts w:cstheme="minorHAnsi"/>
        </w:rPr>
        <w:t xml:space="preserve">a catch up </w:t>
      </w:r>
      <w:r w:rsidR="00CE1F8C">
        <w:rPr>
          <w:rFonts w:cstheme="minorHAnsi"/>
        </w:rPr>
        <w:t>payment from a digital service provider</w:t>
      </w:r>
      <w:r w:rsidR="00501D98">
        <w:rPr>
          <w:rFonts w:cstheme="minorHAnsi"/>
        </w:rPr>
        <w:t xml:space="preserve"> “</w:t>
      </w:r>
      <w:r w:rsidR="00501D98" w:rsidRPr="00501D98">
        <w:rPr>
          <w:rFonts w:cstheme="minorHAnsi"/>
        </w:rPr>
        <w:t>DSP Catch-Up Payment</w:t>
      </w:r>
      <w:r w:rsidR="00C868DD">
        <w:rPr>
          <w:rFonts w:cstheme="minorHAnsi"/>
        </w:rPr>
        <w:t>”</w:t>
      </w:r>
      <w:r w:rsidR="00CE1F8C">
        <w:rPr>
          <w:rFonts w:cstheme="minorHAnsi"/>
        </w:rPr>
        <w:t xml:space="preserve">, previously disclosed and booked in Q2 2021.  Excluding these items, revenue increased </w:t>
      </w:r>
      <w:r w:rsidR="00785D71">
        <w:rPr>
          <w:rFonts w:cstheme="minorHAnsi"/>
        </w:rPr>
        <w:t>21.2%</w:t>
      </w:r>
      <w:r w:rsidR="00F672EF">
        <w:rPr>
          <w:rFonts w:cstheme="minorHAnsi"/>
        </w:rPr>
        <w:t xml:space="preserve"> year-over-year</w:t>
      </w:r>
      <w:r w:rsidR="00785D71">
        <w:rPr>
          <w:rFonts w:cstheme="minorHAnsi"/>
        </w:rPr>
        <w:t>, or 13.3% in constant currency.</w:t>
      </w:r>
    </w:p>
    <w:p w14:paraId="19FCE4FE" w14:textId="62E2049A" w:rsidR="00D36487" w:rsidRPr="00442A06" w:rsidRDefault="00126329" w:rsidP="00D36487">
      <w:pPr>
        <w:rPr>
          <w:rFonts w:cstheme="minorHAnsi"/>
          <w:lang w:val="en-US"/>
        </w:rPr>
      </w:pPr>
      <w:r>
        <w:rPr>
          <w:rFonts w:cstheme="minorHAnsi"/>
        </w:rPr>
        <w:t xml:space="preserve">For the </w:t>
      </w:r>
      <w:r w:rsidR="00BE1A65">
        <w:rPr>
          <w:rFonts w:cstheme="minorHAnsi"/>
        </w:rPr>
        <w:t xml:space="preserve">nine months ended </w:t>
      </w:r>
      <w:r w:rsidR="00BE1A65" w:rsidRPr="00442A06">
        <w:rPr>
          <w:rFonts w:cstheme="minorHAnsi"/>
        </w:rPr>
        <w:t>September 30, 2022</w:t>
      </w:r>
      <w:r>
        <w:rPr>
          <w:rFonts w:cstheme="minorHAnsi"/>
        </w:rPr>
        <w:t>,</w:t>
      </w:r>
      <w:r w:rsidR="00BE1A65">
        <w:rPr>
          <w:rFonts w:cstheme="minorHAnsi"/>
        </w:rPr>
        <w:t xml:space="preserve"> </w:t>
      </w:r>
      <w:r>
        <w:rPr>
          <w:rFonts w:cstheme="minorHAnsi"/>
        </w:rPr>
        <w:t xml:space="preserve">EBITDA </w:t>
      </w:r>
      <w:r w:rsidR="00ED17B9">
        <w:rPr>
          <w:rFonts w:cstheme="minorHAnsi"/>
        </w:rPr>
        <w:t xml:space="preserve">of </w:t>
      </w:r>
      <w:r w:rsidR="00ED17B9" w:rsidRPr="00442A06">
        <w:rPr>
          <w:rFonts w:cstheme="minorHAnsi"/>
        </w:rPr>
        <w:t>€1,</w:t>
      </w:r>
      <w:r w:rsidR="00ED17B9">
        <w:rPr>
          <w:rFonts w:cstheme="minorHAnsi"/>
        </w:rPr>
        <w:t xml:space="preserve">499 million </w:t>
      </w:r>
      <w:r w:rsidR="00D5498E">
        <w:rPr>
          <w:rFonts w:cstheme="minorHAnsi"/>
        </w:rPr>
        <w:t>grew 2</w:t>
      </w:r>
      <w:r w:rsidR="00D976A2">
        <w:rPr>
          <w:rFonts w:cstheme="minorHAnsi"/>
        </w:rPr>
        <w:t>0</w:t>
      </w:r>
      <w:r w:rsidR="00D5498E">
        <w:rPr>
          <w:rFonts w:cstheme="minorHAnsi"/>
        </w:rPr>
        <w:t xml:space="preserve">.1% year-over-year, or </w:t>
      </w:r>
      <w:r w:rsidR="00D976A2">
        <w:rPr>
          <w:rFonts w:cstheme="minorHAnsi"/>
        </w:rPr>
        <w:t>12.6%</w:t>
      </w:r>
      <w:r w:rsidR="00D92917">
        <w:rPr>
          <w:rFonts w:cstheme="minorHAnsi"/>
        </w:rPr>
        <w:t xml:space="preserve"> </w:t>
      </w:r>
      <w:r w:rsidR="00D92917" w:rsidRPr="00442A06">
        <w:rPr>
          <w:rFonts w:cstheme="minorHAnsi"/>
        </w:rPr>
        <w:t>in constant currency</w:t>
      </w:r>
      <w:r w:rsidR="00E7447D">
        <w:rPr>
          <w:rFonts w:cstheme="minorHAnsi"/>
        </w:rPr>
        <w:t xml:space="preserve">, and EBITDA </w:t>
      </w:r>
      <w:r w:rsidR="001E719F">
        <w:rPr>
          <w:rFonts w:cstheme="minorHAnsi"/>
        </w:rPr>
        <w:t>m</w:t>
      </w:r>
      <w:r w:rsidR="00E7447D">
        <w:rPr>
          <w:rFonts w:cstheme="minorHAnsi"/>
        </w:rPr>
        <w:t xml:space="preserve">argin was 20.3% </w:t>
      </w:r>
      <w:r w:rsidR="00D26681">
        <w:rPr>
          <w:rFonts w:cstheme="minorHAnsi"/>
        </w:rPr>
        <w:t xml:space="preserve">compared to </w:t>
      </w:r>
      <w:r w:rsidR="00E7447D">
        <w:rPr>
          <w:rFonts w:cstheme="minorHAnsi"/>
        </w:rPr>
        <w:t>20.9% in the prior year</w:t>
      </w:r>
      <w:r w:rsidR="003C766C">
        <w:rPr>
          <w:rFonts w:cstheme="minorHAnsi"/>
        </w:rPr>
        <w:t xml:space="preserve"> period</w:t>
      </w:r>
      <w:r w:rsidR="00D976A2">
        <w:rPr>
          <w:rFonts w:cstheme="minorHAnsi"/>
        </w:rPr>
        <w:t xml:space="preserve">.  </w:t>
      </w:r>
      <w:r w:rsidR="00D36487" w:rsidRPr="00442A06">
        <w:rPr>
          <w:rFonts w:cstheme="minorHAnsi"/>
        </w:rPr>
        <w:t>EBITDA and EBITDA margin were impacted by share-based compensation of €16 million during the nine</w:t>
      </w:r>
      <w:r w:rsidR="001E719F">
        <w:rPr>
          <w:rFonts w:cstheme="minorHAnsi"/>
        </w:rPr>
        <w:t xml:space="preserve"> </w:t>
      </w:r>
      <w:r w:rsidR="00D36487" w:rsidRPr="00442A06">
        <w:rPr>
          <w:rFonts w:cstheme="minorHAnsi"/>
        </w:rPr>
        <w:t xml:space="preserve">months </w:t>
      </w:r>
      <w:r w:rsidR="00A85110">
        <w:rPr>
          <w:rFonts w:cstheme="minorHAnsi"/>
        </w:rPr>
        <w:t>through</w:t>
      </w:r>
      <w:r w:rsidR="00A85110" w:rsidRPr="00442A06">
        <w:rPr>
          <w:rFonts w:cstheme="minorHAnsi"/>
        </w:rPr>
        <w:t xml:space="preserve"> </w:t>
      </w:r>
      <w:r w:rsidR="00D36487" w:rsidRPr="00442A06">
        <w:rPr>
          <w:rFonts w:cstheme="minorHAnsi"/>
        </w:rPr>
        <w:t xml:space="preserve">Q3 2022, and by €20 million of share-based compensation as well as €18 million of expenses related to UMG’s listing on Euronext Amsterdam during the nine months </w:t>
      </w:r>
      <w:r w:rsidR="00A85110">
        <w:rPr>
          <w:rFonts w:cstheme="minorHAnsi"/>
        </w:rPr>
        <w:t>through</w:t>
      </w:r>
      <w:r w:rsidR="00A85110" w:rsidRPr="00442A06">
        <w:rPr>
          <w:rFonts w:cstheme="minorHAnsi"/>
        </w:rPr>
        <w:t xml:space="preserve"> </w:t>
      </w:r>
      <w:r w:rsidR="00D36487" w:rsidRPr="00442A06">
        <w:rPr>
          <w:rFonts w:cstheme="minorHAnsi"/>
        </w:rPr>
        <w:t>Q3 2021.</w:t>
      </w:r>
      <w:r w:rsidR="005A5A08">
        <w:rPr>
          <w:rFonts w:cstheme="minorHAnsi"/>
        </w:rPr>
        <w:t xml:space="preserve">  </w:t>
      </w:r>
      <w:r w:rsidR="00D36487" w:rsidRPr="00442A06">
        <w:rPr>
          <w:rFonts w:cstheme="minorHAnsi"/>
        </w:rPr>
        <w:t>Excluding these amounts, Adjusted EBITDA for the nine</w:t>
      </w:r>
      <w:r w:rsidR="001E719F">
        <w:rPr>
          <w:rFonts w:cstheme="minorHAnsi"/>
        </w:rPr>
        <w:t xml:space="preserve"> </w:t>
      </w:r>
      <w:r w:rsidR="00D36487" w:rsidRPr="00442A06">
        <w:rPr>
          <w:rFonts w:cstheme="minorHAnsi"/>
        </w:rPr>
        <w:t xml:space="preserve">months </w:t>
      </w:r>
      <w:r w:rsidR="00A17963">
        <w:rPr>
          <w:rFonts w:cstheme="minorHAnsi"/>
        </w:rPr>
        <w:t>through</w:t>
      </w:r>
      <w:r w:rsidR="00A17963" w:rsidRPr="00442A06">
        <w:rPr>
          <w:rFonts w:cstheme="minorHAnsi"/>
        </w:rPr>
        <w:t xml:space="preserve"> </w:t>
      </w:r>
      <w:r w:rsidR="00D36487" w:rsidRPr="00442A06">
        <w:rPr>
          <w:rFonts w:cstheme="minorHAnsi"/>
        </w:rPr>
        <w:t xml:space="preserve">Q3 2022 was €1,515 million, up 17.8% compared to </w:t>
      </w:r>
      <w:r w:rsidR="008545C5">
        <w:rPr>
          <w:rFonts w:cstheme="minorHAnsi"/>
        </w:rPr>
        <w:t xml:space="preserve">the comparable period in </w:t>
      </w:r>
      <w:r w:rsidR="00D36487" w:rsidRPr="00442A06">
        <w:rPr>
          <w:rFonts w:cstheme="minorHAnsi"/>
        </w:rPr>
        <w:t xml:space="preserve">2021, or </w:t>
      </w:r>
      <w:r w:rsidR="00DF4836">
        <w:rPr>
          <w:rFonts w:cstheme="minorHAnsi"/>
        </w:rPr>
        <w:t xml:space="preserve">up </w:t>
      </w:r>
      <w:r w:rsidR="00D36487" w:rsidRPr="00442A06">
        <w:rPr>
          <w:rFonts w:cstheme="minorHAnsi"/>
        </w:rPr>
        <w:t xml:space="preserve">10.2% in constant currency, driven by </w:t>
      </w:r>
      <w:r w:rsidR="00830BB4">
        <w:rPr>
          <w:rFonts w:cstheme="minorHAnsi"/>
        </w:rPr>
        <w:t xml:space="preserve">the </w:t>
      </w:r>
      <w:r w:rsidR="00D36487" w:rsidRPr="00442A06">
        <w:rPr>
          <w:rFonts w:cstheme="minorHAnsi"/>
        </w:rPr>
        <w:t>revenue growth. Adjusted EBITDA margin contracted 1.0pp year-over-year to 20.5%.</w:t>
      </w:r>
    </w:p>
    <w:p w14:paraId="1F04A130" w14:textId="13D76516" w:rsidR="00D36487" w:rsidRDefault="00D36487" w:rsidP="00D36487">
      <w:pPr>
        <w:rPr>
          <w:rFonts w:cstheme="minorHAnsi"/>
          <w:lang w:val="en-US"/>
        </w:rPr>
      </w:pPr>
      <w:r w:rsidRPr="00910424">
        <w:rPr>
          <w:rFonts w:cstheme="minorHAnsi"/>
          <w:lang w:val="en-US"/>
        </w:rPr>
        <w:t xml:space="preserve">EBITDA and Adjusted EBITDA for the nine months </w:t>
      </w:r>
      <w:r w:rsidR="006415E1">
        <w:rPr>
          <w:rFonts w:cstheme="minorHAnsi"/>
          <w:lang w:val="en-US"/>
        </w:rPr>
        <w:t>through</w:t>
      </w:r>
      <w:r w:rsidR="006415E1" w:rsidRPr="00910424">
        <w:rPr>
          <w:rFonts w:cstheme="minorHAnsi"/>
          <w:lang w:val="en-US"/>
        </w:rPr>
        <w:t xml:space="preserve"> </w:t>
      </w:r>
      <w:r w:rsidRPr="00910424">
        <w:rPr>
          <w:rFonts w:cstheme="minorHAnsi"/>
          <w:lang w:val="en-US"/>
        </w:rPr>
        <w:t xml:space="preserve">Q3 2022 benefitted from the Change in Society Accounting </w:t>
      </w:r>
      <w:r w:rsidR="003E4BAC">
        <w:rPr>
          <w:rFonts w:cstheme="minorHAnsi"/>
          <w:lang w:val="en-US"/>
        </w:rPr>
        <w:t>(</w:t>
      </w:r>
      <w:r w:rsidR="003E4BAC" w:rsidRPr="00910424">
        <w:rPr>
          <w:rFonts w:cstheme="minorHAnsi"/>
          <w:lang w:val="en-US"/>
        </w:rPr>
        <w:t>€</w:t>
      </w:r>
      <w:r w:rsidR="006415E1">
        <w:rPr>
          <w:rFonts w:cstheme="minorHAnsi"/>
          <w:lang w:val="en-US"/>
        </w:rPr>
        <w:t>27</w:t>
      </w:r>
      <w:r w:rsidR="003E4BAC">
        <w:rPr>
          <w:rFonts w:cstheme="minorHAnsi"/>
          <w:lang w:val="en-US"/>
        </w:rPr>
        <w:t xml:space="preserve"> million) </w:t>
      </w:r>
      <w:r w:rsidRPr="00910424">
        <w:rPr>
          <w:rFonts w:cstheme="minorHAnsi"/>
          <w:lang w:val="en-US"/>
        </w:rPr>
        <w:t xml:space="preserve">and the </w:t>
      </w:r>
      <w:r w:rsidR="003E4BAC">
        <w:t>L</w:t>
      </w:r>
      <w:r w:rsidRPr="00910424">
        <w:t xml:space="preserve">egal </w:t>
      </w:r>
      <w:r w:rsidR="003E4BAC">
        <w:t>S</w:t>
      </w:r>
      <w:r w:rsidRPr="00910424">
        <w:t xml:space="preserve">ettlement </w:t>
      </w:r>
      <w:r w:rsidR="003E4BAC">
        <w:rPr>
          <w:rFonts w:cstheme="minorHAnsi"/>
          <w:lang w:val="en-US"/>
        </w:rPr>
        <w:t>(</w:t>
      </w:r>
      <w:r w:rsidR="003E4BAC" w:rsidRPr="00910424">
        <w:rPr>
          <w:rFonts w:cstheme="minorHAnsi"/>
          <w:lang w:val="en-US"/>
        </w:rPr>
        <w:t>€</w:t>
      </w:r>
      <w:r w:rsidR="006415E1">
        <w:rPr>
          <w:rFonts w:cstheme="minorHAnsi"/>
          <w:lang w:val="en-US"/>
        </w:rPr>
        <w:t>52</w:t>
      </w:r>
      <w:r w:rsidR="003E4BAC">
        <w:rPr>
          <w:rFonts w:cstheme="minorHAnsi"/>
          <w:lang w:val="en-US"/>
        </w:rPr>
        <w:t xml:space="preserve"> million)</w:t>
      </w:r>
      <w:r w:rsidRPr="00910424">
        <w:rPr>
          <w:rFonts w:cstheme="minorHAnsi"/>
          <w:lang w:val="en-US"/>
        </w:rPr>
        <w:t xml:space="preserve">.  </w:t>
      </w:r>
      <w:r w:rsidR="00910424" w:rsidRPr="006A7FD6">
        <w:rPr>
          <w:rFonts w:cstheme="minorHAnsi"/>
          <w:lang w:val="en-US"/>
        </w:rPr>
        <w:t>EBITDA and Adjusted EBITDA for the nine months ended Q3 202</w:t>
      </w:r>
      <w:r w:rsidR="002E30A3" w:rsidRPr="006A7FD6">
        <w:rPr>
          <w:rFonts w:cstheme="minorHAnsi"/>
          <w:lang w:val="en-US"/>
        </w:rPr>
        <w:t>1</w:t>
      </w:r>
      <w:r w:rsidR="00910424" w:rsidRPr="006A7FD6">
        <w:rPr>
          <w:rFonts w:cstheme="minorHAnsi"/>
          <w:lang w:val="en-US"/>
        </w:rPr>
        <w:t xml:space="preserve"> benefitted from the DSP Catch-</w:t>
      </w:r>
      <w:r w:rsidR="00501D98" w:rsidRPr="006A7FD6">
        <w:rPr>
          <w:rFonts w:cstheme="minorHAnsi"/>
          <w:lang w:val="en-US"/>
        </w:rPr>
        <w:t>U</w:t>
      </w:r>
      <w:r w:rsidR="00910424" w:rsidRPr="006A7FD6">
        <w:rPr>
          <w:rFonts w:cstheme="minorHAnsi"/>
          <w:lang w:val="en-US"/>
        </w:rPr>
        <w:t>p Payment</w:t>
      </w:r>
      <w:r w:rsidR="0007592C">
        <w:t xml:space="preserve"> (</w:t>
      </w:r>
      <w:r w:rsidR="00F25410" w:rsidRPr="00442A06">
        <w:rPr>
          <w:rFonts w:cstheme="minorHAnsi"/>
        </w:rPr>
        <w:t>€</w:t>
      </w:r>
      <w:r w:rsidR="00F25410">
        <w:rPr>
          <w:rFonts w:cstheme="minorHAnsi"/>
        </w:rPr>
        <w:t>26 million)</w:t>
      </w:r>
      <w:r w:rsidR="00910424" w:rsidRPr="006A7FD6">
        <w:rPr>
          <w:rFonts w:cstheme="minorHAnsi"/>
          <w:lang w:val="en-US"/>
        </w:rPr>
        <w:t xml:space="preserve">, </w:t>
      </w:r>
      <w:r w:rsidR="002E30A3" w:rsidRPr="006A7FD6">
        <w:rPr>
          <w:rFonts w:cstheme="minorHAnsi"/>
          <w:lang w:val="en-US"/>
        </w:rPr>
        <w:t xml:space="preserve">as well as </w:t>
      </w:r>
      <w:r w:rsidR="00830BB4">
        <w:rPr>
          <w:rFonts w:cstheme="minorHAnsi"/>
          <w:lang w:val="en-US"/>
        </w:rPr>
        <w:t xml:space="preserve">from </w:t>
      </w:r>
      <w:r w:rsidR="002E30A3" w:rsidRPr="006A7FD6">
        <w:rPr>
          <w:rFonts w:cstheme="minorHAnsi"/>
          <w:lang w:val="en-US"/>
        </w:rPr>
        <w:t xml:space="preserve">a previously disclosed </w:t>
      </w:r>
      <w:r w:rsidR="00F55CFE" w:rsidRPr="00F55CFE">
        <w:rPr>
          <w:rFonts w:cstheme="minorHAnsi"/>
          <w:lang w:val="en-US"/>
        </w:rPr>
        <w:t>recovery of an advance provision and release of historic royalties (the “Exceptional Recovery and Release”</w:t>
      </w:r>
      <w:r w:rsidR="00EF1B38">
        <w:rPr>
          <w:rFonts w:cstheme="minorHAnsi"/>
          <w:lang w:val="en-US"/>
        </w:rPr>
        <w:t xml:space="preserve">, </w:t>
      </w:r>
      <w:r w:rsidR="00EF1B38" w:rsidRPr="00194E8D">
        <w:rPr>
          <w:rFonts w:cstheme="minorHAnsi"/>
          <w:lang w:val="en-US"/>
        </w:rPr>
        <w:t>€20</w:t>
      </w:r>
      <w:r w:rsidR="00EF1B38">
        <w:rPr>
          <w:rFonts w:cstheme="minorHAnsi"/>
          <w:lang w:val="en-US"/>
        </w:rPr>
        <w:t xml:space="preserve"> </w:t>
      </w:r>
      <w:r w:rsidR="00EF1B38" w:rsidRPr="00194E8D">
        <w:rPr>
          <w:rFonts w:cstheme="minorHAnsi"/>
          <w:lang w:val="en-US"/>
        </w:rPr>
        <w:t>m</w:t>
      </w:r>
      <w:r w:rsidR="00EF1B38">
        <w:rPr>
          <w:rFonts w:cstheme="minorHAnsi"/>
          <w:lang w:val="en-US"/>
        </w:rPr>
        <w:t>illion</w:t>
      </w:r>
      <w:r w:rsidR="00F55CFE" w:rsidRPr="00F55CFE">
        <w:rPr>
          <w:rFonts w:cstheme="minorHAnsi"/>
          <w:lang w:val="en-US"/>
        </w:rPr>
        <w:t>) in the first quarter of 2021</w:t>
      </w:r>
      <w:r w:rsidR="00501D98">
        <w:rPr>
          <w:rFonts w:cstheme="minorHAnsi"/>
          <w:lang w:val="en-US"/>
        </w:rPr>
        <w:t xml:space="preserve">.  </w:t>
      </w:r>
      <w:r w:rsidRPr="006A7FD6">
        <w:rPr>
          <w:rFonts w:cstheme="minorHAnsi"/>
          <w:lang w:val="en-US"/>
        </w:rPr>
        <w:t xml:space="preserve">Excluding these items, Adjusted EBITDA </w:t>
      </w:r>
      <w:r w:rsidR="00C50104" w:rsidRPr="006A7FD6">
        <w:rPr>
          <w:rFonts w:cstheme="minorHAnsi"/>
          <w:lang w:val="en-US"/>
        </w:rPr>
        <w:t xml:space="preserve">grew </w:t>
      </w:r>
      <w:r w:rsidR="009758F0" w:rsidRPr="006A7FD6">
        <w:rPr>
          <w:rFonts w:cstheme="minorHAnsi"/>
          <w:lang w:val="en-US"/>
        </w:rPr>
        <w:t>15.8%</w:t>
      </w:r>
      <w:r w:rsidR="001E719F">
        <w:rPr>
          <w:rFonts w:cstheme="minorHAnsi"/>
          <w:lang w:val="en-US"/>
        </w:rPr>
        <w:t xml:space="preserve"> year-over-year</w:t>
      </w:r>
      <w:r w:rsidR="009758F0" w:rsidRPr="006A7FD6">
        <w:rPr>
          <w:rFonts w:cstheme="minorHAnsi"/>
          <w:lang w:val="en-US"/>
        </w:rPr>
        <w:t>, or 8.0% in constant currency</w:t>
      </w:r>
      <w:r w:rsidR="008106C5" w:rsidRPr="006A7FD6">
        <w:rPr>
          <w:rFonts w:cstheme="minorHAnsi"/>
          <w:lang w:val="en-US"/>
        </w:rPr>
        <w:t>, and</w:t>
      </w:r>
      <w:r w:rsidR="009758F0" w:rsidRPr="006A7FD6">
        <w:rPr>
          <w:rFonts w:cstheme="minorHAnsi"/>
          <w:lang w:val="en-US"/>
        </w:rPr>
        <w:t xml:space="preserve"> Adjusted EBITDA </w:t>
      </w:r>
      <w:r w:rsidRPr="006A7FD6">
        <w:rPr>
          <w:rFonts w:cstheme="minorHAnsi"/>
          <w:lang w:val="en-US"/>
        </w:rPr>
        <w:t xml:space="preserve">margin </w:t>
      </w:r>
      <w:r w:rsidRPr="006A7FD6">
        <w:rPr>
          <w:rFonts w:cstheme="minorHAnsi"/>
        </w:rPr>
        <w:t xml:space="preserve">was 19.9%, compared to 20.9% </w:t>
      </w:r>
      <w:r w:rsidRPr="006A7FD6">
        <w:rPr>
          <w:rFonts w:cstheme="minorHAnsi"/>
          <w:lang w:val="en-US"/>
        </w:rPr>
        <w:t xml:space="preserve">for the nine months ended </w:t>
      </w:r>
      <w:r w:rsidRPr="006A7FD6">
        <w:rPr>
          <w:rFonts w:cstheme="minorHAnsi"/>
        </w:rPr>
        <w:t xml:space="preserve">Q3 2021.  The </w:t>
      </w:r>
      <w:r w:rsidR="00E225DC">
        <w:rPr>
          <w:rFonts w:cstheme="minorHAnsi"/>
        </w:rPr>
        <w:t xml:space="preserve">contraction in </w:t>
      </w:r>
      <w:r w:rsidRPr="006A7FD6">
        <w:rPr>
          <w:rFonts w:cstheme="minorHAnsi"/>
          <w:lang w:val="en-US"/>
        </w:rPr>
        <w:t xml:space="preserve">Adjusted EBITDA margin was driven by revenue mix, as revenues were more heavily weighted towards </w:t>
      </w:r>
      <w:proofErr w:type="gramStart"/>
      <w:r w:rsidRPr="006A7FD6">
        <w:rPr>
          <w:rFonts w:cstheme="minorHAnsi"/>
          <w:lang w:val="en-US"/>
        </w:rPr>
        <w:t>lower-margin</w:t>
      </w:r>
      <w:proofErr w:type="gramEnd"/>
      <w:r w:rsidRPr="006A7FD6">
        <w:rPr>
          <w:rFonts w:cstheme="minorHAnsi"/>
          <w:lang w:val="en-US"/>
        </w:rPr>
        <w:t xml:space="preserve"> </w:t>
      </w:r>
      <w:r w:rsidR="001E719F">
        <w:rPr>
          <w:rFonts w:cstheme="minorHAnsi"/>
          <w:lang w:val="en-US"/>
        </w:rPr>
        <w:t>M</w:t>
      </w:r>
      <w:r w:rsidRPr="006A7FD6">
        <w:rPr>
          <w:rFonts w:cstheme="minorHAnsi"/>
          <w:lang w:val="en-US"/>
        </w:rPr>
        <w:t>erchandising revenues in the first nine months of 2022.</w:t>
      </w:r>
      <w:r w:rsidR="00166CC9">
        <w:rPr>
          <w:rFonts w:cstheme="minorHAnsi"/>
          <w:lang w:val="en-US"/>
        </w:rPr>
        <w:t xml:space="preserve"> </w:t>
      </w:r>
    </w:p>
    <w:bookmarkEnd w:id="0"/>
    <w:p w14:paraId="13A6770D" w14:textId="5F90A047" w:rsidR="00DC4945" w:rsidRDefault="00D4388F" w:rsidP="0070676B">
      <w:pPr>
        <w:pStyle w:val="RFtitre3"/>
        <w:numPr>
          <w:ilvl w:val="0"/>
          <w:numId w:val="0"/>
        </w:numPr>
        <w:spacing w:after="120"/>
        <w:rPr>
          <w:rFonts w:asciiTheme="minorHAnsi" w:hAnsiTheme="minorHAnsi" w:cstheme="minorHAnsi"/>
          <w:sz w:val="22"/>
          <w:szCs w:val="22"/>
          <w:lang w:val="en-GB"/>
        </w:rPr>
      </w:pPr>
      <w:r w:rsidRPr="00C826DD">
        <w:rPr>
          <w:rFonts w:asciiTheme="minorHAnsi" w:hAnsiTheme="minorHAnsi" w:cstheme="minorHAnsi"/>
          <w:sz w:val="22"/>
          <w:szCs w:val="22"/>
          <w:lang w:val="en-GB"/>
        </w:rPr>
        <w:t>Recorded Music</w:t>
      </w:r>
    </w:p>
    <w:p w14:paraId="4A61A26D" w14:textId="5C02E022" w:rsidR="00273C15" w:rsidRPr="00F00503" w:rsidRDefault="000D2769" w:rsidP="00C138BD">
      <w:r>
        <w:rPr>
          <w:noProof/>
        </w:rPr>
        <w:drawing>
          <wp:inline distT="0" distB="0" distL="0" distR="0" wp14:anchorId="7901B5ED" wp14:editId="5A0E7EC0">
            <wp:extent cx="5925820" cy="139026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68"/>
                    <a:stretch/>
                  </pic:blipFill>
                  <pic:spPr bwMode="auto">
                    <a:xfrm>
                      <a:off x="0" y="0"/>
                      <a:ext cx="5925820" cy="1390261"/>
                    </a:xfrm>
                    <a:prstGeom prst="rect">
                      <a:avLst/>
                    </a:prstGeom>
                    <a:ln>
                      <a:noFill/>
                    </a:ln>
                    <a:extLst>
                      <a:ext uri="{53640926-AAD7-44D8-BBD7-CCE9431645EC}">
                        <a14:shadowObscured xmlns:a14="http://schemas.microsoft.com/office/drawing/2010/main"/>
                      </a:ext>
                    </a:extLst>
                  </pic:spPr>
                </pic:pic>
              </a:graphicData>
            </a:graphic>
          </wp:inline>
        </w:drawing>
      </w:r>
    </w:p>
    <w:p w14:paraId="677121F2" w14:textId="2CD22492" w:rsidR="00F1223C" w:rsidRPr="00893DEC" w:rsidRDefault="00F1223C" w:rsidP="00F1223C">
      <w:pPr>
        <w:rPr>
          <w:rFonts w:cstheme="minorHAnsi"/>
          <w:i/>
          <w:iCs/>
          <w:sz w:val="18"/>
          <w:szCs w:val="18"/>
        </w:rPr>
      </w:pPr>
      <w:r w:rsidRPr="00893DEC">
        <w:rPr>
          <w:rFonts w:cstheme="minorHAnsi"/>
          <w:i/>
          <w:iCs/>
          <w:sz w:val="18"/>
          <w:szCs w:val="18"/>
        </w:rPr>
        <w:t>Note: % YoY indicates % change year-over-year; % const. indicates % change year-over-year adjusted for constant currency.</w:t>
      </w:r>
    </w:p>
    <w:p w14:paraId="41AEFC94" w14:textId="2FA9828D" w:rsidR="00D4388F" w:rsidRPr="002A47FC" w:rsidRDefault="00D4388F">
      <w:pPr>
        <w:rPr>
          <w:rFonts w:cstheme="minorHAnsi"/>
          <w:b/>
          <w:bCs/>
          <w:u w:val="single"/>
          <w:lang w:val="en-US"/>
        </w:rPr>
      </w:pPr>
      <w:r w:rsidRPr="002A47FC">
        <w:rPr>
          <w:rFonts w:cstheme="minorHAnsi"/>
          <w:b/>
          <w:bCs/>
          <w:u w:val="single"/>
          <w:lang w:val="en-US"/>
        </w:rPr>
        <w:t>Q</w:t>
      </w:r>
      <w:r w:rsidR="00DE7D7C">
        <w:rPr>
          <w:rFonts w:cstheme="minorHAnsi"/>
          <w:b/>
          <w:bCs/>
          <w:u w:val="single"/>
          <w:lang w:val="en-US"/>
        </w:rPr>
        <w:t>3</w:t>
      </w:r>
      <w:r w:rsidRPr="002A47FC">
        <w:rPr>
          <w:rFonts w:cstheme="minorHAnsi"/>
          <w:b/>
          <w:bCs/>
          <w:u w:val="single"/>
          <w:lang w:val="en-US"/>
        </w:rPr>
        <w:t xml:space="preserve"> 202</w:t>
      </w:r>
      <w:r w:rsidR="007B1331">
        <w:rPr>
          <w:rFonts w:cstheme="minorHAnsi"/>
          <w:b/>
          <w:bCs/>
          <w:u w:val="single"/>
          <w:lang w:val="en-US"/>
        </w:rPr>
        <w:t>2</w:t>
      </w:r>
      <w:r w:rsidR="00DE7D7C">
        <w:rPr>
          <w:rFonts w:cstheme="minorHAnsi"/>
          <w:b/>
          <w:bCs/>
          <w:u w:val="single"/>
          <w:lang w:val="en-US"/>
        </w:rPr>
        <w:t xml:space="preserve"> Results</w:t>
      </w:r>
    </w:p>
    <w:p w14:paraId="0246B1C7" w14:textId="14C80709" w:rsidR="00314580" w:rsidRDefault="00D4388F">
      <w:pPr>
        <w:rPr>
          <w:rFonts w:cstheme="minorHAnsi"/>
          <w:lang w:val="en-US"/>
        </w:rPr>
      </w:pPr>
      <w:r w:rsidRPr="002A47FC">
        <w:rPr>
          <w:rFonts w:cstheme="minorHAnsi"/>
          <w:lang w:val="en-US"/>
        </w:rPr>
        <w:t>Recorded Music revenue</w:t>
      </w:r>
      <w:r w:rsidR="00FA0724" w:rsidRPr="002A47FC">
        <w:rPr>
          <w:rFonts w:cstheme="minorHAnsi"/>
          <w:lang w:val="en-US"/>
        </w:rPr>
        <w:t>s</w:t>
      </w:r>
      <w:r w:rsidRPr="002A47FC">
        <w:rPr>
          <w:rFonts w:cstheme="minorHAnsi"/>
          <w:lang w:val="en-US"/>
        </w:rPr>
        <w:t xml:space="preserve"> for the </w:t>
      </w:r>
      <w:r w:rsidR="00DE7D7C">
        <w:rPr>
          <w:rFonts w:cstheme="minorHAnsi"/>
          <w:lang w:val="en-US"/>
        </w:rPr>
        <w:t xml:space="preserve">third </w:t>
      </w:r>
      <w:r w:rsidRPr="002A47FC">
        <w:rPr>
          <w:rFonts w:cstheme="minorHAnsi"/>
          <w:lang w:val="en-US"/>
        </w:rPr>
        <w:t>quarter of 202</w:t>
      </w:r>
      <w:r w:rsidR="00062F03">
        <w:rPr>
          <w:rFonts w:cstheme="minorHAnsi"/>
          <w:lang w:val="en-US"/>
        </w:rPr>
        <w:t>2</w:t>
      </w:r>
      <w:r w:rsidRPr="002A47FC">
        <w:rPr>
          <w:rFonts w:cstheme="minorHAnsi"/>
          <w:lang w:val="en-US"/>
        </w:rPr>
        <w:t xml:space="preserve"> w</w:t>
      </w:r>
      <w:r w:rsidR="00FA0724" w:rsidRPr="002A47FC">
        <w:rPr>
          <w:rFonts w:cstheme="minorHAnsi"/>
          <w:lang w:val="en-US"/>
        </w:rPr>
        <w:t>ere</w:t>
      </w:r>
      <w:r w:rsidRPr="002A47FC">
        <w:rPr>
          <w:rFonts w:cstheme="minorHAnsi"/>
          <w:lang w:val="en-US"/>
        </w:rPr>
        <w:t xml:space="preserve"> €</w:t>
      </w:r>
      <w:r w:rsidR="009B1F01">
        <w:rPr>
          <w:rFonts w:cstheme="minorHAnsi"/>
          <w:lang w:val="en-US"/>
        </w:rPr>
        <w:t>2,060</w:t>
      </w:r>
      <w:r w:rsidR="00062F03" w:rsidRPr="002A47FC">
        <w:rPr>
          <w:rFonts w:cstheme="minorHAnsi"/>
          <w:lang w:val="en-US"/>
        </w:rPr>
        <w:t xml:space="preserve"> </w:t>
      </w:r>
      <w:r w:rsidRPr="002A47FC">
        <w:rPr>
          <w:rFonts w:cstheme="minorHAnsi"/>
          <w:lang w:val="en-US"/>
        </w:rPr>
        <w:t>million, up</w:t>
      </w:r>
      <w:r w:rsidR="009B1F01">
        <w:rPr>
          <w:rFonts w:cstheme="minorHAnsi"/>
          <w:lang w:val="en-US"/>
        </w:rPr>
        <w:t xml:space="preserve"> 20.4</w:t>
      </w:r>
      <w:r w:rsidRPr="002A47FC">
        <w:rPr>
          <w:rFonts w:cstheme="minorHAnsi"/>
          <w:lang w:val="en-US"/>
        </w:rPr>
        <w:t xml:space="preserve">% compared to the </w:t>
      </w:r>
      <w:r w:rsidR="00DE7D7C">
        <w:rPr>
          <w:rFonts w:cstheme="minorHAnsi"/>
          <w:lang w:val="en-US"/>
        </w:rPr>
        <w:t>third</w:t>
      </w:r>
      <w:r w:rsidRPr="002A47FC">
        <w:rPr>
          <w:rFonts w:cstheme="minorHAnsi"/>
          <w:lang w:val="en-US"/>
        </w:rPr>
        <w:t xml:space="preserve"> quarter of 202</w:t>
      </w:r>
      <w:r w:rsidR="00F92E5A">
        <w:rPr>
          <w:rFonts w:cstheme="minorHAnsi"/>
          <w:lang w:val="en-US"/>
        </w:rPr>
        <w:t>1</w:t>
      </w:r>
      <w:r w:rsidRPr="002A47FC">
        <w:rPr>
          <w:rFonts w:cstheme="minorHAnsi"/>
          <w:lang w:val="en-US"/>
        </w:rPr>
        <w:t xml:space="preserve">, </w:t>
      </w:r>
      <w:r w:rsidR="00C63A98">
        <w:rPr>
          <w:rFonts w:cstheme="minorHAnsi"/>
          <w:lang w:val="en-US"/>
        </w:rPr>
        <w:t>or</w:t>
      </w:r>
      <w:r w:rsidRPr="002A47FC">
        <w:rPr>
          <w:rFonts w:cstheme="minorHAnsi"/>
          <w:lang w:val="en-US"/>
        </w:rPr>
        <w:t xml:space="preserve"> </w:t>
      </w:r>
      <w:r w:rsidR="009B1F01">
        <w:rPr>
          <w:rFonts w:cstheme="minorHAnsi"/>
          <w:lang w:val="en-US"/>
        </w:rPr>
        <w:t>10.1</w:t>
      </w:r>
      <w:r w:rsidRPr="002A47FC">
        <w:rPr>
          <w:rFonts w:cstheme="minorHAnsi"/>
          <w:lang w:val="en-US"/>
        </w:rPr>
        <w:t xml:space="preserve">% </w:t>
      </w:r>
      <w:r w:rsidR="00155297" w:rsidRPr="002A47FC">
        <w:rPr>
          <w:rFonts w:cstheme="minorHAnsi"/>
          <w:lang w:val="en-US"/>
        </w:rPr>
        <w:t>in</w:t>
      </w:r>
      <w:r w:rsidRPr="002A47FC">
        <w:rPr>
          <w:rFonts w:cstheme="minorHAnsi"/>
          <w:lang w:val="en-US"/>
        </w:rPr>
        <w:t xml:space="preserve"> constant currency.</w:t>
      </w:r>
      <w:r w:rsidR="009E0148">
        <w:rPr>
          <w:lang w:val="en-US"/>
        </w:rPr>
        <w:t xml:space="preserve"> </w:t>
      </w:r>
      <w:r w:rsidRPr="002A47FC">
        <w:rPr>
          <w:rFonts w:cstheme="minorHAnsi"/>
          <w:lang w:val="en-US"/>
        </w:rPr>
        <w:t>Subscription and streaming revenue grew</w:t>
      </w:r>
      <w:r w:rsidR="009B1F01">
        <w:rPr>
          <w:rFonts w:cstheme="minorHAnsi"/>
          <w:lang w:val="en-US"/>
        </w:rPr>
        <w:t xml:space="preserve"> 19.6</w:t>
      </w:r>
      <w:r w:rsidRPr="002A47FC">
        <w:rPr>
          <w:rFonts w:cstheme="minorHAnsi"/>
          <w:lang w:val="en-US"/>
        </w:rPr>
        <w:t>%</w:t>
      </w:r>
      <w:r w:rsidR="00FE2969">
        <w:rPr>
          <w:rFonts w:cstheme="minorHAnsi"/>
          <w:lang w:val="en-US"/>
        </w:rPr>
        <w:t xml:space="preserve"> </w:t>
      </w:r>
      <w:r w:rsidR="00FE2969" w:rsidRPr="00FE2969">
        <w:rPr>
          <w:rFonts w:cstheme="minorHAnsi"/>
          <w:lang w:val="en-US"/>
        </w:rPr>
        <w:t>year-over-year</w:t>
      </w:r>
      <w:r w:rsidRPr="002A47FC">
        <w:rPr>
          <w:rFonts w:cstheme="minorHAnsi"/>
          <w:lang w:val="en-US"/>
        </w:rPr>
        <w:t xml:space="preserve">, or </w:t>
      </w:r>
      <w:r w:rsidR="009B1F01">
        <w:rPr>
          <w:rFonts w:cstheme="minorHAnsi"/>
          <w:lang w:val="en-US"/>
        </w:rPr>
        <w:t>7.7</w:t>
      </w:r>
      <w:r w:rsidRPr="002A47FC">
        <w:rPr>
          <w:rFonts w:cstheme="minorHAnsi"/>
          <w:lang w:val="en-US"/>
        </w:rPr>
        <w:t xml:space="preserve">% in constant currency, </w:t>
      </w:r>
      <w:r w:rsidR="00A75027">
        <w:rPr>
          <w:rFonts w:cstheme="minorHAnsi"/>
          <w:lang w:val="en-US"/>
        </w:rPr>
        <w:t>with</w:t>
      </w:r>
      <w:r w:rsidR="00A75027" w:rsidRPr="002A47FC">
        <w:rPr>
          <w:rFonts w:cstheme="minorHAnsi"/>
          <w:lang w:val="en-US"/>
        </w:rPr>
        <w:t xml:space="preserve"> </w:t>
      </w:r>
      <w:r w:rsidR="00EF311E">
        <w:rPr>
          <w:rFonts w:cstheme="minorHAnsi"/>
          <w:lang w:val="en-US"/>
        </w:rPr>
        <w:t xml:space="preserve">subscription revenue </w:t>
      </w:r>
      <w:r w:rsidR="002D2888">
        <w:rPr>
          <w:rFonts w:cstheme="minorHAnsi"/>
          <w:lang w:val="en-US"/>
        </w:rPr>
        <w:t>up</w:t>
      </w:r>
      <w:r w:rsidR="00DE7D7C">
        <w:rPr>
          <w:rFonts w:cstheme="minorHAnsi"/>
          <w:lang w:val="en-US"/>
        </w:rPr>
        <w:t xml:space="preserve"> </w:t>
      </w:r>
      <w:r w:rsidR="008C6D71">
        <w:rPr>
          <w:rFonts w:cstheme="minorHAnsi"/>
          <w:lang w:val="en-US"/>
        </w:rPr>
        <w:t>20.1</w:t>
      </w:r>
      <w:r w:rsidR="002D2888">
        <w:rPr>
          <w:rFonts w:cstheme="minorHAnsi"/>
          <w:lang w:val="en-US"/>
        </w:rPr>
        <w:t>%</w:t>
      </w:r>
      <w:r w:rsidR="00405B51">
        <w:rPr>
          <w:rFonts w:cstheme="minorHAnsi"/>
          <w:lang w:val="en-US"/>
        </w:rPr>
        <w:t xml:space="preserve"> year-over-year</w:t>
      </w:r>
      <w:r w:rsidR="002D2888">
        <w:rPr>
          <w:rFonts w:cstheme="minorHAnsi"/>
          <w:lang w:val="en-US"/>
        </w:rPr>
        <w:t xml:space="preserve">, or </w:t>
      </w:r>
      <w:r w:rsidR="00203911">
        <w:rPr>
          <w:rFonts w:cstheme="minorHAnsi"/>
          <w:lang w:val="en-US"/>
        </w:rPr>
        <w:t>8.7</w:t>
      </w:r>
      <w:r w:rsidR="002D2888">
        <w:rPr>
          <w:rFonts w:cstheme="minorHAnsi"/>
          <w:lang w:val="en-US"/>
        </w:rPr>
        <w:t xml:space="preserve">% in constant currency, </w:t>
      </w:r>
      <w:r w:rsidR="0058628D" w:rsidRPr="00953FB6">
        <w:rPr>
          <w:rFonts w:cstheme="minorHAnsi"/>
          <w:lang w:val="en-US"/>
        </w:rPr>
        <w:t xml:space="preserve">driven by </w:t>
      </w:r>
      <w:r w:rsidR="0058628D">
        <w:rPr>
          <w:rFonts w:cstheme="minorHAnsi"/>
          <w:lang w:val="en-US"/>
        </w:rPr>
        <w:t xml:space="preserve">the continued </w:t>
      </w:r>
      <w:r w:rsidR="0058628D" w:rsidRPr="00953FB6">
        <w:rPr>
          <w:rFonts w:cstheme="minorHAnsi"/>
          <w:lang w:val="en-US"/>
        </w:rPr>
        <w:t xml:space="preserve">healthy growth in music </w:t>
      </w:r>
      <w:r w:rsidR="001346EF">
        <w:rPr>
          <w:rFonts w:cstheme="minorHAnsi"/>
          <w:lang w:val="en-US"/>
        </w:rPr>
        <w:t>subscribers</w:t>
      </w:r>
      <w:r w:rsidR="00CB567D">
        <w:rPr>
          <w:rFonts w:cstheme="minorHAnsi"/>
          <w:lang w:val="en-US"/>
        </w:rPr>
        <w:t>.  A</w:t>
      </w:r>
      <w:r w:rsidR="00EC1FD4">
        <w:rPr>
          <w:rFonts w:cstheme="minorHAnsi"/>
          <w:lang w:val="en-US"/>
        </w:rPr>
        <w:t xml:space="preserve">d-supported streaming revenue </w:t>
      </w:r>
      <w:r w:rsidR="00CB567D">
        <w:rPr>
          <w:rFonts w:cstheme="minorHAnsi"/>
          <w:lang w:val="en-US"/>
        </w:rPr>
        <w:t xml:space="preserve">grew </w:t>
      </w:r>
      <w:r w:rsidR="009B1F01">
        <w:rPr>
          <w:rFonts w:cstheme="minorHAnsi"/>
          <w:lang w:val="en-US"/>
        </w:rPr>
        <w:t>18.</w:t>
      </w:r>
      <w:r w:rsidR="007B7B2E">
        <w:rPr>
          <w:rFonts w:cstheme="minorHAnsi"/>
          <w:lang w:val="en-US"/>
        </w:rPr>
        <w:t>3</w:t>
      </w:r>
      <w:r w:rsidR="002D2888">
        <w:rPr>
          <w:rFonts w:cstheme="minorHAnsi"/>
          <w:lang w:val="en-US"/>
        </w:rPr>
        <w:t>%</w:t>
      </w:r>
      <w:r w:rsidR="00405B51">
        <w:rPr>
          <w:rFonts w:cstheme="minorHAnsi"/>
          <w:lang w:val="en-US"/>
        </w:rPr>
        <w:t xml:space="preserve"> year-over-year</w:t>
      </w:r>
      <w:r w:rsidR="002D2888">
        <w:rPr>
          <w:rFonts w:cstheme="minorHAnsi"/>
          <w:lang w:val="en-US"/>
        </w:rPr>
        <w:t xml:space="preserve">, or </w:t>
      </w:r>
      <w:r w:rsidR="009B1F01">
        <w:rPr>
          <w:rFonts w:cstheme="minorHAnsi"/>
          <w:lang w:val="en-US"/>
        </w:rPr>
        <w:t>5.2</w:t>
      </w:r>
      <w:r w:rsidR="002D2888">
        <w:rPr>
          <w:rFonts w:cstheme="minorHAnsi"/>
          <w:lang w:val="en-US"/>
        </w:rPr>
        <w:t>% in constant currency</w:t>
      </w:r>
      <w:r w:rsidR="001346EF">
        <w:rPr>
          <w:rFonts w:cstheme="minorHAnsi"/>
          <w:lang w:val="en-US"/>
        </w:rPr>
        <w:t>, reflecting</w:t>
      </w:r>
      <w:r w:rsidR="00BF3985" w:rsidRPr="00953FB6">
        <w:rPr>
          <w:rFonts w:cstheme="minorHAnsi"/>
          <w:lang w:val="en-US"/>
        </w:rPr>
        <w:t xml:space="preserve"> </w:t>
      </w:r>
      <w:r w:rsidR="001353C7" w:rsidRPr="00953FB6">
        <w:rPr>
          <w:rFonts w:cstheme="minorHAnsi"/>
          <w:lang w:val="en-US"/>
        </w:rPr>
        <w:t xml:space="preserve">ongoing </w:t>
      </w:r>
      <w:r w:rsidR="00FD2915" w:rsidRPr="00953FB6">
        <w:rPr>
          <w:rFonts w:cstheme="minorHAnsi"/>
          <w:lang w:val="en-US"/>
        </w:rPr>
        <w:lastRenderedPageBreak/>
        <w:t>improvement</w:t>
      </w:r>
      <w:r w:rsidR="00194B8A" w:rsidRPr="00953FB6">
        <w:rPr>
          <w:rFonts w:cstheme="minorHAnsi"/>
          <w:lang w:val="en-US"/>
        </w:rPr>
        <w:t xml:space="preserve"> in ad-based</w:t>
      </w:r>
      <w:r w:rsidR="00EA6EB9" w:rsidRPr="00953FB6">
        <w:rPr>
          <w:rFonts w:cstheme="minorHAnsi"/>
          <w:lang w:val="en-US"/>
        </w:rPr>
        <w:t xml:space="preserve"> </w:t>
      </w:r>
      <w:r w:rsidR="00770312" w:rsidRPr="00953FB6">
        <w:rPr>
          <w:rFonts w:cstheme="minorHAnsi"/>
          <w:lang w:val="en-US"/>
        </w:rPr>
        <w:t>monetization</w:t>
      </w:r>
      <w:r w:rsidR="00307078">
        <w:rPr>
          <w:rFonts w:cstheme="minorHAnsi"/>
          <w:lang w:val="en-US"/>
        </w:rPr>
        <w:t>,</w:t>
      </w:r>
      <w:r w:rsidR="006A567D" w:rsidRPr="00953FB6">
        <w:rPr>
          <w:rFonts w:cstheme="minorHAnsi"/>
          <w:lang w:val="en-US"/>
        </w:rPr>
        <w:t xml:space="preserve"> </w:t>
      </w:r>
      <w:r w:rsidR="003907DB" w:rsidRPr="00953FB6">
        <w:rPr>
          <w:rFonts w:cstheme="minorHAnsi"/>
          <w:lang w:val="en-US"/>
        </w:rPr>
        <w:t xml:space="preserve">despite </w:t>
      </w:r>
      <w:r w:rsidR="00702906" w:rsidRPr="00953FB6">
        <w:rPr>
          <w:rFonts w:cstheme="minorHAnsi"/>
          <w:lang w:val="en-US"/>
        </w:rPr>
        <w:t>industry-</w:t>
      </w:r>
      <w:r w:rsidR="00307078">
        <w:rPr>
          <w:rFonts w:cstheme="minorHAnsi"/>
          <w:lang w:val="en-US"/>
        </w:rPr>
        <w:t>wide ad</w:t>
      </w:r>
      <w:r w:rsidR="0019181A">
        <w:rPr>
          <w:rFonts w:cstheme="minorHAnsi"/>
          <w:lang w:val="en-US"/>
        </w:rPr>
        <w:t>-</w:t>
      </w:r>
      <w:r w:rsidR="00307078">
        <w:rPr>
          <w:rFonts w:cstheme="minorHAnsi"/>
          <w:lang w:val="en-US"/>
        </w:rPr>
        <w:t>market</w:t>
      </w:r>
      <w:r w:rsidR="00307078" w:rsidRPr="00953FB6">
        <w:rPr>
          <w:rFonts w:cstheme="minorHAnsi"/>
          <w:lang w:val="en-US"/>
        </w:rPr>
        <w:t xml:space="preserve"> </w:t>
      </w:r>
      <w:r w:rsidR="00E26D4B" w:rsidRPr="00953FB6">
        <w:rPr>
          <w:rFonts w:cstheme="minorHAnsi"/>
          <w:lang w:val="en-US"/>
        </w:rPr>
        <w:t xml:space="preserve">pressure </w:t>
      </w:r>
      <w:proofErr w:type="gramStart"/>
      <w:r w:rsidR="00702043" w:rsidRPr="00953FB6">
        <w:rPr>
          <w:rFonts w:cstheme="minorHAnsi"/>
          <w:lang w:val="en-US"/>
        </w:rPr>
        <w:t>as a result of</w:t>
      </w:r>
      <w:proofErr w:type="gramEnd"/>
      <w:r w:rsidR="00702043" w:rsidRPr="00953FB6">
        <w:rPr>
          <w:rFonts w:cstheme="minorHAnsi"/>
          <w:lang w:val="en-US"/>
        </w:rPr>
        <w:t xml:space="preserve"> </w:t>
      </w:r>
      <w:r w:rsidR="003D3044">
        <w:rPr>
          <w:rFonts w:cstheme="minorHAnsi"/>
          <w:lang w:val="en-US"/>
        </w:rPr>
        <w:t>the</w:t>
      </w:r>
      <w:r w:rsidR="003D3044" w:rsidRPr="00953FB6">
        <w:rPr>
          <w:rFonts w:cstheme="minorHAnsi"/>
          <w:lang w:val="en-US"/>
        </w:rPr>
        <w:t xml:space="preserve"> </w:t>
      </w:r>
      <w:r w:rsidR="00702043" w:rsidRPr="00953FB6">
        <w:rPr>
          <w:rFonts w:cstheme="minorHAnsi"/>
          <w:lang w:val="en-US"/>
        </w:rPr>
        <w:t xml:space="preserve">uncertain </w:t>
      </w:r>
      <w:r w:rsidR="005F25B0" w:rsidRPr="00953FB6">
        <w:rPr>
          <w:rFonts w:cstheme="minorHAnsi"/>
          <w:lang w:val="en-US"/>
        </w:rPr>
        <w:t xml:space="preserve">macro-economic </w:t>
      </w:r>
      <w:r w:rsidR="00702906" w:rsidRPr="00953FB6">
        <w:rPr>
          <w:rFonts w:cstheme="minorHAnsi"/>
          <w:lang w:val="en-US"/>
        </w:rPr>
        <w:t>environment</w:t>
      </w:r>
      <w:r w:rsidR="0043303F" w:rsidRPr="00953FB6">
        <w:rPr>
          <w:rFonts w:cstheme="minorHAnsi"/>
          <w:lang w:val="en-US"/>
        </w:rPr>
        <w:t>.</w:t>
      </w:r>
      <w:r w:rsidR="0061180A" w:rsidRPr="00953FB6">
        <w:rPr>
          <w:rFonts w:cstheme="minorHAnsi"/>
          <w:lang w:val="en-US"/>
        </w:rPr>
        <w:t xml:space="preserve">  </w:t>
      </w:r>
      <w:r w:rsidRPr="009562A4">
        <w:rPr>
          <w:rFonts w:cstheme="minorHAnsi"/>
          <w:lang w:val="en-US"/>
        </w:rPr>
        <w:t xml:space="preserve">Physical </w:t>
      </w:r>
      <w:r w:rsidR="00D31F19" w:rsidRPr="000227D4">
        <w:rPr>
          <w:rFonts w:cstheme="minorHAnsi"/>
          <w:lang w:val="en-US"/>
        </w:rPr>
        <w:t xml:space="preserve">revenue </w:t>
      </w:r>
      <w:r w:rsidR="00DE7D7C">
        <w:rPr>
          <w:rFonts w:cstheme="minorHAnsi"/>
          <w:lang w:val="en-US"/>
        </w:rPr>
        <w:t>dec</w:t>
      </w:r>
      <w:r w:rsidR="00064350">
        <w:rPr>
          <w:rFonts w:cstheme="minorHAnsi"/>
          <w:lang w:val="en-US"/>
        </w:rPr>
        <w:t xml:space="preserve">lined </w:t>
      </w:r>
      <w:r w:rsidR="009B1F01">
        <w:rPr>
          <w:rFonts w:cstheme="minorHAnsi"/>
          <w:lang w:val="en-US"/>
        </w:rPr>
        <w:t>5.7</w:t>
      </w:r>
      <w:r w:rsidRPr="00824977">
        <w:rPr>
          <w:rFonts w:cstheme="minorHAnsi"/>
          <w:lang w:val="en-US"/>
        </w:rPr>
        <w:t>%</w:t>
      </w:r>
      <w:r w:rsidR="00FE2969" w:rsidRPr="00A42508">
        <w:rPr>
          <w:rFonts w:cstheme="minorHAnsi"/>
          <w:lang w:val="en-US"/>
        </w:rPr>
        <w:t xml:space="preserve"> </w:t>
      </w:r>
      <w:r w:rsidR="00FE2969" w:rsidRPr="00527A71">
        <w:rPr>
          <w:rFonts w:cstheme="minorHAnsi"/>
          <w:lang w:val="en-US"/>
        </w:rPr>
        <w:t>year-over-year</w:t>
      </w:r>
      <w:r w:rsidRPr="00C62AAF">
        <w:rPr>
          <w:rFonts w:cstheme="minorHAnsi"/>
          <w:lang w:val="en-US"/>
        </w:rPr>
        <w:t>, or</w:t>
      </w:r>
      <w:r w:rsidR="00DE7D7C">
        <w:rPr>
          <w:rFonts w:cstheme="minorHAnsi"/>
          <w:lang w:val="en-US"/>
        </w:rPr>
        <w:t xml:space="preserve"> </w:t>
      </w:r>
      <w:r w:rsidR="009B1F01">
        <w:rPr>
          <w:rFonts w:cstheme="minorHAnsi"/>
          <w:lang w:val="en-US"/>
        </w:rPr>
        <w:t>9.6</w:t>
      </w:r>
      <w:r w:rsidRPr="00C62AAF">
        <w:rPr>
          <w:rFonts w:cstheme="minorHAnsi"/>
          <w:lang w:val="en-US"/>
        </w:rPr>
        <w:t xml:space="preserve">% in constant currency, </w:t>
      </w:r>
      <w:r w:rsidR="004111CB" w:rsidRPr="004111CB">
        <w:rPr>
          <w:rFonts w:cstheme="minorHAnsi"/>
          <w:lang w:val="en-US"/>
        </w:rPr>
        <w:t xml:space="preserve">driven by the industry transition to digital consumption and a difficult comparison against strong physical sellers in the prior-year quarter. </w:t>
      </w:r>
      <w:r w:rsidR="00BE3A52">
        <w:rPr>
          <w:rFonts w:cstheme="minorHAnsi"/>
          <w:lang w:val="en-US"/>
        </w:rPr>
        <w:t>Downloads and other</w:t>
      </w:r>
      <w:r w:rsidRPr="002A47FC">
        <w:rPr>
          <w:rFonts w:cstheme="minorHAnsi"/>
          <w:lang w:val="en-US"/>
        </w:rPr>
        <w:t xml:space="preserve"> </w:t>
      </w:r>
      <w:r w:rsidR="008975ED">
        <w:rPr>
          <w:rFonts w:cstheme="minorHAnsi"/>
          <w:lang w:val="en-US"/>
        </w:rPr>
        <w:t xml:space="preserve">digital </w:t>
      </w:r>
      <w:r w:rsidRPr="002A47FC">
        <w:rPr>
          <w:rFonts w:cstheme="minorHAnsi"/>
          <w:lang w:val="en-US"/>
        </w:rPr>
        <w:t>revenue</w:t>
      </w:r>
      <w:r w:rsidR="00935956" w:rsidRPr="002A47FC">
        <w:rPr>
          <w:rFonts w:cstheme="minorHAnsi"/>
          <w:lang w:val="en-US"/>
        </w:rPr>
        <w:t xml:space="preserve"> were </w:t>
      </w:r>
      <w:r w:rsidR="00DE7D7C">
        <w:rPr>
          <w:rFonts w:cstheme="minorHAnsi"/>
          <w:lang w:val="en-US"/>
        </w:rPr>
        <w:t>up</w:t>
      </w:r>
      <w:r w:rsidR="009B1F01">
        <w:rPr>
          <w:rFonts w:cstheme="minorHAnsi"/>
          <w:lang w:val="en-US"/>
        </w:rPr>
        <w:t xml:space="preserve"> 67.</w:t>
      </w:r>
      <w:r w:rsidR="007B7B2E">
        <w:rPr>
          <w:rFonts w:cstheme="minorHAnsi"/>
          <w:lang w:val="en-US"/>
        </w:rPr>
        <w:t>1</w:t>
      </w:r>
      <w:r w:rsidR="00D01488">
        <w:rPr>
          <w:rFonts w:cstheme="minorHAnsi"/>
          <w:lang w:val="en-US"/>
        </w:rPr>
        <w:t>%</w:t>
      </w:r>
      <w:r w:rsidR="00405B51">
        <w:rPr>
          <w:rFonts w:cstheme="minorHAnsi"/>
          <w:lang w:val="en-US"/>
        </w:rPr>
        <w:t xml:space="preserve"> year-over-year</w:t>
      </w:r>
      <w:r w:rsidR="00D01488">
        <w:rPr>
          <w:rFonts w:cstheme="minorHAnsi"/>
          <w:lang w:val="en-US"/>
        </w:rPr>
        <w:t xml:space="preserve">, or </w:t>
      </w:r>
      <w:r w:rsidR="009B1F01">
        <w:rPr>
          <w:rFonts w:cstheme="minorHAnsi"/>
          <w:lang w:val="en-US"/>
        </w:rPr>
        <w:t>55.</w:t>
      </w:r>
      <w:r w:rsidR="000D2769">
        <w:rPr>
          <w:rFonts w:cstheme="minorHAnsi"/>
          <w:lang w:val="en-US"/>
        </w:rPr>
        <w:t>7</w:t>
      </w:r>
      <w:r w:rsidR="00D01488">
        <w:rPr>
          <w:rFonts w:cstheme="minorHAnsi"/>
          <w:lang w:val="en-US"/>
        </w:rPr>
        <w:t>% in constant currency</w:t>
      </w:r>
      <w:r w:rsidR="00203911">
        <w:rPr>
          <w:rFonts w:cstheme="minorHAnsi"/>
        </w:rPr>
        <w:t xml:space="preserve"> due to the</w:t>
      </w:r>
      <w:r w:rsidR="00C27C5F">
        <w:rPr>
          <w:rFonts w:cstheme="minorHAnsi"/>
        </w:rPr>
        <w:t xml:space="preserve"> </w:t>
      </w:r>
      <w:r w:rsidR="00471E3C">
        <w:rPr>
          <w:rFonts w:cstheme="minorHAnsi"/>
        </w:rPr>
        <w:t>L</w:t>
      </w:r>
      <w:r w:rsidR="008D4BA6">
        <w:rPr>
          <w:rFonts w:cstheme="minorHAnsi"/>
        </w:rPr>
        <w:t xml:space="preserve">egal </w:t>
      </w:r>
      <w:r w:rsidR="00471E3C">
        <w:rPr>
          <w:rFonts w:cstheme="minorHAnsi"/>
        </w:rPr>
        <w:t>S</w:t>
      </w:r>
      <w:r w:rsidR="008D4BA6">
        <w:rPr>
          <w:rFonts w:cstheme="minorHAnsi"/>
        </w:rPr>
        <w:t>ettlement</w:t>
      </w:r>
      <w:r w:rsidR="00DE7D7C">
        <w:rPr>
          <w:rFonts w:cstheme="minorHAnsi"/>
        </w:rPr>
        <w:t xml:space="preserve">. </w:t>
      </w:r>
      <w:r w:rsidRPr="00847C00">
        <w:rPr>
          <w:rFonts w:cstheme="minorHAnsi"/>
          <w:lang w:val="en-US"/>
        </w:rPr>
        <w:t xml:space="preserve">License and </w:t>
      </w:r>
      <w:r w:rsidR="000B12A2">
        <w:rPr>
          <w:rFonts w:cstheme="minorHAnsi"/>
          <w:lang w:val="en-US"/>
        </w:rPr>
        <w:t>o</w:t>
      </w:r>
      <w:r w:rsidRPr="00847C00">
        <w:rPr>
          <w:rFonts w:cstheme="minorHAnsi"/>
          <w:lang w:val="en-US"/>
        </w:rPr>
        <w:t xml:space="preserve">ther revenue improved </w:t>
      </w:r>
      <w:r w:rsidR="009B1F01">
        <w:rPr>
          <w:rFonts w:cstheme="minorHAnsi"/>
          <w:lang w:val="en-US"/>
        </w:rPr>
        <w:t>40.4</w:t>
      </w:r>
      <w:r w:rsidRPr="00F824D3">
        <w:rPr>
          <w:rFonts w:cstheme="minorHAnsi"/>
          <w:lang w:val="en-US"/>
        </w:rPr>
        <w:t>%</w:t>
      </w:r>
      <w:r w:rsidR="00FE2969" w:rsidRPr="00824977">
        <w:rPr>
          <w:rFonts w:cstheme="minorHAnsi"/>
          <w:lang w:val="en-US"/>
        </w:rPr>
        <w:t xml:space="preserve"> </w:t>
      </w:r>
      <w:r w:rsidR="00FE2969" w:rsidRPr="00A42508">
        <w:rPr>
          <w:rFonts w:cstheme="minorHAnsi"/>
          <w:lang w:val="en-US"/>
        </w:rPr>
        <w:t>year-over-year</w:t>
      </w:r>
      <w:r w:rsidR="00F70A2B" w:rsidRPr="00527A71">
        <w:rPr>
          <w:rFonts w:cstheme="minorHAnsi"/>
          <w:lang w:val="en-US"/>
        </w:rPr>
        <w:t xml:space="preserve">, or </w:t>
      </w:r>
      <w:r w:rsidR="009B1F01">
        <w:rPr>
          <w:rFonts w:cstheme="minorHAnsi"/>
          <w:lang w:val="en-US"/>
        </w:rPr>
        <w:t>30.2</w:t>
      </w:r>
      <w:r w:rsidR="00713459" w:rsidRPr="00C62AAF">
        <w:rPr>
          <w:rFonts w:cstheme="minorHAnsi"/>
          <w:lang w:val="en-US"/>
        </w:rPr>
        <w:t xml:space="preserve">% </w:t>
      </w:r>
      <w:r w:rsidR="000F2E46" w:rsidRPr="00C62AAF">
        <w:rPr>
          <w:rFonts w:cstheme="minorHAnsi"/>
          <w:lang w:val="en-US"/>
        </w:rPr>
        <w:t>in</w:t>
      </w:r>
      <w:r w:rsidR="00713459" w:rsidRPr="00D03CED">
        <w:rPr>
          <w:rFonts w:cstheme="minorHAnsi"/>
          <w:lang w:val="en-US"/>
        </w:rPr>
        <w:t xml:space="preserve"> constant currency</w:t>
      </w:r>
      <w:r w:rsidRPr="00C738A6">
        <w:rPr>
          <w:rFonts w:cstheme="minorHAnsi"/>
          <w:lang w:val="en-US"/>
        </w:rPr>
        <w:t xml:space="preserve">, </w:t>
      </w:r>
      <w:r w:rsidR="00F45F77">
        <w:rPr>
          <w:rFonts w:cstheme="minorHAnsi"/>
          <w:lang w:val="en-US"/>
        </w:rPr>
        <w:t>driven by</w:t>
      </w:r>
      <w:r w:rsidRPr="00AC1F18">
        <w:rPr>
          <w:rFonts w:cstheme="minorHAnsi"/>
          <w:lang w:val="en-US"/>
        </w:rPr>
        <w:t xml:space="preserve"> </w:t>
      </w:r>
      <w:r w:rsidR="00A645D8" w:rsidRPr="00A645D8">
        <w:rPr>
          <w:rFonts w:cstheme="minorHAnsi"/>
          <w:lang w:val="en-US"/>
        </w:rPr>
        <w:t xml:space="preserve">the strong recovery in live touring, where </w:t>
      </w:r>
      <w:r w:rsidR="00002F1A">
        <w:rPr>
          <w:rFonts w:cstheme="minorHAnsi"/>
          <w:lang w:val="en-US"/>
        </w:rPr>
        <w:t>the Company</w:t>
      </w:r>
      <w:r w:rsidR="00002F1A" w:rsidRPr="00A645D8">
        <w:rPr>
          <w:rFonts w:cstheme="minorHAnsi"/>
          <w:lang w:val="en-US"/>
        </w:rPr>
        <w:t xml:space="preserve"> </w:t>
      </w:r>
      <w:r w:rsidR="00A645D8" w:rsidRPr="00A645D8">
        <w:rPr>
          <w:rFonts w:cstheme="minorHAnsi"/>
          <w:lang w:val="en-US"/>
        </w:rPr>
        <w:t>participate</w:t>
      </w:r>
      <w:r w:rsidR="00002F1A">
        <w:rPr>
          <w:rFonts w:cstheme="minorHAnsi"/>
          <w:lang w:val="en-US"/>
        </w:rPr>
        <w:t>s</w:t>
      </w:r>
      <w:r w:rsidR="00A645D8" w:rsidRPr="00A645D8">
        <w:rPr>
          <w:rFonts w:cstheme="minorHAnsi"/>
          <w:lang w:val="en-US"/>
        </w:rPr>
        <w:t xml:space="preserve"> in certain markets</w:t>
      </w:r>
      <w:r w:rsidR="000227D4" w:rsidRPr="00E80E43">
        <w:rPr>
          <w:rFonts w:cstheme="minorHAnsi"/>
          <w:lang w:val="en-US"/>
        </w:rPr>
        <w:t xml:space="preserve">.  </w:t>
      </w:r>
      <w:r w:rsidR="009A1D47" w:rsidRPr="00E80E43">
        <w:rPr>
          <w:rFonts w:cstheme="minorHAnsi"/>
          <w:lang w:val="en-US"/>
        </w:rPr>
        <w:t>Top sellers</w:t>
      </w:r>
      <w:r w:rsidR="009A1D47" w:rsidRPr="009A1D47">
        <w:rPr>
          <w:rFonts w:cstheme="minorHAnsi"/>
          <w:lang w:val="en-US"/>
        </w:rPr>
        <w:t xml:space="preserve"> for the quarter included </w:t>
      </w:r>
      <w:r w:rsidR="00203911">
        <w:rPr>
          <w:rFonts w:cstheme="minorHAnsi"/>
        </w:rPr>
        <w:t>BTS, B</w:t>
      </w:r>
      <w:r w:rsidR="008D4BA6">
        <w:rPr>
          <w:rFonts w:cstheme="minorHAnsi"/>
        </w:rPr>
        <w:t>LACKPINK</w:t>
      </w:r>
      <w:r w:rsidR="00203911">
        <w:rPr>
          <w:rFonts w:cstheme="minorHAnsi"/>
        </w:rPr>
        <w:t>, Ado, I</w:t>
      </w:r>
      <w:r w:rsidR="00C27C5F">
        <w:rPr>
          <w:rFonts w:cstheme="minorHAnsi"/>
        </w:rPr>
        <w:t>NI</w:t>
      </w:r>
      <w:r w:rsidR="00203911">
        <w:rPr>
          <w:rFonts w:cstheme="minorHAnsi"/>
        </w:rPr>
        <w:t xml:space="preserve"> and </w:t>
      </w:r>
      <w:r w:rsidR="003A4A84">
        <w:rPr>
          <w:rFonts w:cstheme="minorHAnsi"/>
        </w:rPr>
        <w:t>Morgan Wallen</w:t>
      </w:r>
      <w:r w:rsidR="009A1D47" w:rsidRPr="009A1D47">
        <w:rPr>
          <w:rFonts w:cstheme="minorHAnsi"/>
          <w:lang w:val="en-US"/>
        </w:rPr>
        <w:t xml:space="preserve">, while top sellers in the prior-year quarter included </w:t>
      </w:r>
      <w:r w:rsidR="00203911">
        <w:rPr>
          <w:rFonts w:cstheme="minorHAnsi"/>
          <w:lang w:val="en-US"/>
        </w:rPr>
        <w:t xml:space="preserve">Olivia Rodrigo, BTS, </w:t>
      </w:r>
      <w:r w:rsidR="00DE7D7C">
        <w:rPr>
          <w:rFonts w:cstheme="minorHAnsi"/>
          <w:lang w:val="en-US"/>
        </w:rPr>
        <w:t xml:space="preserve">Billie </w:t>
      </w:r>
      <w:proofErr w:type="spellStart"/>
      <w:r w:rsidR="00DE7D7C">
        <w:rPr>
          <w:rFonts w:cstheme="minorHAnsi"/>
          <w:lang w:val="en-US"/>
        </w:rPr>
        <w:t>Eilish</w:t>
      </w:r>
      <w:proofErr w:type="spellEnd"/>
      <w:r w:rsidR="00DE7D7C">
        <w:rPr>
          <w:rFonts w:cstheme="minorHAnsi"/>
          <w:lang w:val="en-US"/>
        </w:rPr>
        <w:t xml:space="preserve">, </w:t>
      </w:r>
      <w:proofErr w:type="gramStart"/>
      <w:r w:rsidR="00203911">
        <w:rPr>
          <w:rFonts w:cstheme="minorHAnsi"/>
          <w:lang w:val="en-US"/>
        </w:rPr>
        <w:t>Drake</w:t>
      </w:r>
      <w:proofErr w:type="gramEnd"/>
      <w:r w:rsidR="00203911">
        <w:rPr>
          <w:rFonts w:cstheme="minorHAnsi"/>
          <w:lang w:val="en-US"/>
        </w:rPr>
        <w:t xml:space="preserve"> and </w:t>
      </w:r>
      <w:r w:rsidR="00DE7D7C">
        <w:rPr>
          <w:rFonts w:cstheme="minorHAnsi"/>
          <w:lang w:val="en-US"/>
        </w:rPr>
        <w:t>King &amp; Prince</w:t>
      </w:r>
      <w:r w:rsidR="00203911">
        <w:rPr>
          <w:rFonts w:cstheme="minorHAnsi"/>
          <w:lang w:val="en-US"/>
        </w:rPr>
        <w:t>.</w:t>
      </w:r>
    </w:p>
    <w:p w14:paraId="149E6540" w14:textId="77D15918" w:rsidR="00C8142A" w:rsidRPr="00150FE2" w:rsidRDefault="00C8142A" w:rsidP="00C8142A">
      <w:pPr>
        <w:rPr>
          <w:b/>
          <w:bCs/>
          <w:u w:val="single"/>
          <w:lang w:val="en-US"/>
        </w:rPr>
      </w:pPr>
      <w:r w:rsidRPr="00150FE2">
        <w:rPr>
          <w:b/>
          <w:bCs/>
          <w:u w:val="single"/>
          <w:lang w:val="en-US"/>
        </w:rPr>
        <w:t>YTD 2022 Results</w:t>
      </w:r>
    </w:p>
    <w:p w14:paraId="1B9EF97B" w14:textId="58C297F8" w:rsidR="00C8142A" w:rsidRPr="00150FE2" w:rsidRDefault="00C8142A" w:rsidP="00C8142A">
      <w:pPr>
        <w:rPr>
          <w:lang w:val="en-US"/>
        </w:rPr>
      </w:pPr>
      <w:r w:rsidRPr="00150FE2">
        <w:rPr>
          <w:lang w:val="en-US"/>
        </w:rPr>
        <w:t xml:space="preserve">In the nine months </w:t>
      </w:r>
      <w:r w:rsidR="00315ADE">
        <w:rPr>
          <w:lang w:val="en-US"/>
        </w:rPr>
        <w:t>through Q</w:t>
      </w:r>
      <w:r w:rsidR="00830BB4">
        <w:rPr>
          <w:lang w:val="en-US"/>
        </w:rPr>
        <w:t>3</w:t>
      </w:r>
      <w:r w:rsidRPr="00150FE2">
        <w:rPr>
          <w:lang w:val="en-US"/>
        </w:rPr>
        <w:t xml:space="preserve"> 2022, Recorded Music revenues were €5,703 million, up 17.6% </w:t>
      </w:r>
      <w:r w:rsidR="0067534F">
        <w:rPr>
          <w:lang w:val="en-US"/>
        </w:rPr>
        <w:t>year-over-year</w:t>
      </w:r>
      <w:r w:rsidRPr="00150FE2">
        <w:rPr>
          <w:lang w:val="en-US"/>
        </w:rPr>
        <w:t xml:space="preserve">, or 10.1% in constant currency. Subscription revenue of €2,856 million grew 17.6% year-over-year, or 9.5% in constant currency. </w:t>
      </w:r>
      <w:r w:rsidRPr="00150FE2">
        <w:rPr>
          <w:rFonts w:cstheme="minorHAnsi"/>
          <w:lang w:val="en-US"/>
        </w:rPr>
        <w:t>Subscription revenue in the first nine months of 2021 benefited from the DSP Catch-Up Payment.  Excluding this item, subscription revenue grew 19.6% year-over-year, or 11.</w:t>
      </w:r>
      <w:r w:rsidR="00160D2B" w:rsidRPr="00150FE2">
        <w:rPr>
          <w:rFonts w:cstheme="minorHAnsi"/>
          <w:lang w:val="en-US"/>
        </w:rPr>
        <w:t>3</w:t>
      </w:r>
      <w:r w:rsidRPr="00150FE2">
        <w:rPr>
          <w:rFonts w:cstheme="minorHAnsi"/>
          <w:lang w:val="en-US"/>
        </w:rPr>
        <w:t xml:space="preserve">% in constant currency.  </w:t>
      </w:r>
      <w:r w:rsidRPr="00150FE2">
        <w:rPr>
          <w:lang w:val="en-US"/>
        </w:rPr>
        <w:t>Ad-supported streaming revenue of €1,020 million grew 22.4% year-over-year, or 12.6% in constant currency.</w:t>
      </w:r>
    </w:p>
    <w:p w14:paraId="3CD5A41F" w14:textId="3C4CEBAC" w:rsidR="00C8142A" w:rsidRDefault="00C8142A" w:rsidP="00C8142A">
      <w:pPr>
        <w:rPr>
          <w:lang w:val="en-US"/>
        </w:rPr>
      </w:pPr>
      <w:r w:rsidRPr="001335C1">
        <w:rPr>
          <w:lang w:val="en-US"/>
        </w:rPr>
        <w:t xml:space="preserve">Physical revenue grew 8.2% year-over-year, or 4.6% in constant currency, driven </w:t>
      </w:r>
      <w:r w:rsidRPr="001335C1">
        <w:rPr>
          <w:rFonts w:cstheme="minorHAnsi"/>
          <w:lang w:val="en-US"/>
        </w:rPr>
        <w:t>by strong vinyl demand as well as continued CD sales, particularly from BTS and King &amp; Prince</w:t>
      </w:r>
      <w:r w:rsidRPr="001335C1">
        <w:rPr>
          <w:lang w:val="en-US"/>
        </w:rPr>
        <w:t xml:space="preserve">. </w:t>
      </w:r>
      <w:r w:rsidRPr="00C45FC6">
        <w:rPr>
          <w:lang w:val="en-US"/>
        </w:rPr>
        <w:t>Downloads and other digital revenue increased 1</w:t>
      </w:r>
      <w:r w:rsidR="000D2769">
        <w:rPr>
          <w:lang w:val="en-US"/>
        </w:rPr>
        <w:t>7.0</w:t>
      </w:r>
      <w:r w:rsidRPr="00C45FC6">
        <w:rPr>
          <w:lang w:val="en-US"/>
        </w:rPr>
        <w:t xml:space="preserve">% year-over-year, or 9.1% in constant currency, due to the </w:t>
      </w:r>
      <w:r w:rsidR="008B1D20">
        <w:rPr>
          <w:lang w:val="en-US"/>
        </w:rPr>
        <w:t>L</w:t>
      </w:r>
      <w:r w:rsidRPr="00C45FC6">
        <w:rPr>
          <w:lang w:val="en-US"/>
        </w:rPr>
        <w:t xml:space="preserve">egal </w:t>
      </w:r>
      <w:r w:rsidR="008B1D20">
        <w:rPr>
          <w:lang w:val="en-US"/>
        </w:rPr>
        <w:t>S</w:t>
      </w:r>
      <w:r w:rsidRPr="00C45FC6">
        <w:rPr>
          <w:lang w:val="en-US"/>
        </w:rPr>
        <w:t xml:space="preserve">ettlement. </w:t>
      </w:r>
      <w:r w:rsidRPr="00273343">
        <w:rPr>
          <w:lang w:val="en-US"/>
        </w:rPr>
        <w:t xml:space="preserve">License and </w:t>
      </w:r>
      <w:r w:rsidR="00830BB4">
        <w:rPr>
          <w:lang w:val="en-US"/>
        </w:rPr>
        <w:t>o</w:t>
      </w:r>
      <w:r w:rsidRPr="00273343">
        <w:rPr>
          <w:lang w:val="en-US"/>
        </w:rPr>
        <w:t xml:space="preserve">ther revenue improved 23.0% year-over-year, or 16.3% in constant currency </w:t>
      </w:r>
      <w:proofErr w:type="gramStart"/>
      <w:r w:rsidRPr="00143869">
        <w:rPr>
          <w:rFonts w:cstheme="minorHAnsi"/>
          <w:lang w:val="en-US"/>
        </w:rPr>
        <w:t>as a result of</w:t>
      </w:r>
      <w:proofErr w:type="gramEnd"/>
      <w:r w:rsidRPr="00143869">
        <w:rPr>
          <w:rFonts w:cstheme="minorHAnsi"/>
          <w:lang w:val="en-US"/>
        </w:rPr>
        <w:t xml:space="preserve"> improvements in </w:t>
      </w:r>
      <w:proofErr w:type="spellStart"/>
      <w:r w:rsidRPr="00143869">
        <w:rPr>
          <w:rFonts w:cstheme="minorHAnsi"/>
          <w:lang w:val="en-US"/>
        </w:rPr>
        <w:t>synchronisation</w:t>
      </w:r>
      <w:proofErr w:type="spellEnd"/>
      <w:r w:rsidRPr="00143869">
        <w:rPr>
          <w:rFonts w:cstheme="minorHAnsi"/>
          <w:lang w:val="en-US"/>
        </w:rPr>
        <w:t>, live and brand deals</w:t>
      </w:r>
      <w:r w:rsidRPr="00143869">
        <w:rPr>
          <w:lang w:val="en-US"/>
        </w:rPr>
        <w:t xml:space="preserve">. Top sellers included </w:t>
      </w:r>
      <w:r w:rsidRPr="00143869">
        <w:t xml:space="preserve">BTS, the Encanto soundtrack, Olivia Rodrigo, Morgan Wallen and The </w:t>
      </w:r>
      <w:proofErr w:type="spellStart"/>
      <w:r w:rsidRPr="00143869">
        <w:t>Weeknd</w:t>
      </w:r>
      <w:proofErr w:type="spellEnd"/>
      <w:r w:rsidRPr="00143869">
        <w:t xml:space="preserve"> </w:t>
      </w:r>
      <w:r w:rsidRPr="00143869">
        <w:rPr>
          <w:lang w:val="en-US"/>
        </w:rPr>
        <w:t xml:space="preserve">while top sellers in </w:t>
      </w:r>
      <w:r w:rsidR="00DB2D26">
        <w:rPr>
          <w:lang w:val="en-US"/>
        </w:rPr>
        <w:t>the prior year</w:t>
      </w:r>
      <w:r w:rsidRPr="00143869">
        <w:rPr>
          <w:lang w:val="en-US"/>
        </w:rPr>
        <w:t xml:space="preserve"> included </w:t>
      </w:r>
      <w:r w:rsidRPr="00143869">
        <w:t xml:space="preserve">Olivia Rodrigo, BTS, Justin Bieber, The </w:t>
      </w:r>
      <w:proofErr w:type="spellStart"/>
      <w:r w:rsidRPr="00143869">
        <w:t>Weeknd</w:t>
      </w:r>
      <w:proofErr w:type="spellEnd"/>
      <w:r w:rsidRPr="00143869">
        <w:t xml:space="preserve"> and Morgan Wallen</w:t>
      </w:r>
      <w:r w:rsidRPr="00143869">
        <w:rPr>
          <w:lang w:val="en-US"/>
        </w:rPr>
        <w:t>.</w:t>
      </w:r>
    </w:p>
    <w:p w14:paraId="0B38433B" w14:textId="051E62FC" w:rsidR="00D4388F" w:rsidRPr="00C826DD" w:rsidRDefault="00D4388F" w:rsidP="00C826DD">
      <w:pPr>
        <w:pStyle w:val="RFtitre3"/>
        <w:numPr>
          <w:ilvl w:val="0"/>
          <w:numId w:val="0"/>
        </w:numPr>
        <w:spacing w:after="120"/>
        <w:ind w:left="578" w:hanging="578"/>
        <w:rPr>
          <w:rFonts w:cstheme="minorHAnsi"/>
          <w:b w:val="0"/>
          <w:lang w:val="en-GB"/>
        </w:rPr>
      </w:pPr>
      <w:r w:rsidRPr="00C826DD">
        <w:rPr>
          <w:rFonts w:asciiTheme="minorHAnsi" w:hAnsiTheme="minorHAnsi" w:cstheme="minorHAnsi"/>
          <w:sz w:val="22"/>
          <w:szCs w:val="22"/>
          <w:lang w:val="en-GB"/>
        </w:rPr>
        <w:t>Music Publishing</w:t>
      </w:r>
    </w:p>
    <w:p w14:paraId="20576D62" w14:textId="4023C08B" w:rsidR="00D4388F" w:rsidRPr="003E6929" w:rsidRDefault="000D2769" w:rsidP="00D4388F">
      <w:pPr>
        <w:rPr>
          <w:rFonts w:cstheme="minorHAnsi"/>
          <w:lang w:val="en-US"/>
        </w:rPr>
      </w:pPr>
      <w:r w:rsidRPr="0016182E">
        <w:rPr>
          <w:noProof/>
        </w:rPr>
        <w:drawing>
          <wp:inline distT="0" distB="0" distL="0" distR="0" wp14:anchorId="1DBBABAC" wp14:editId="412EE0EB">
            <wp:extent cx="5925820" cy="159361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5820" cy="1593613"/>
                    </a:xfrm>
                    <a:prstGeom prst="rect">
                      <a:avLst/>
                    </a:prstGeom>
                  </pic:spPr>
                </pic:pic>
              </a:graphicData>
            </a:graphic>
          </wp:inline>
        </w:drawing>
      </w:r>
    </w:p>
    <w:p w14:paraId="52FA1148" w14:textId="77777777" w:rsidR="00F1223C" w:rsidRPr="00893DEC" w:rsidRDefault="00F1223C" w:rsidP="00F1223C">
      <w:pPr>
        <w:rPr>
          <w:rFonts w:cstheme="minorHAnsi"/>
          <w:i/>
          <w:iCs/>
          <w:sz w:val="18"/>
          <w:szCs w:val="18"/>
        </w:rPr>
      </w:pPr>
      <w:r w:rsidRPr="00893DEC">
        <w:rPr>
          <w:rFonts w:cstheme="minorHAnsi"/>
          <w:i/>
          <w:iCs/>
          <w:sz w:val="18"/>
          <w:szCs w:val="18"/>
        </w:rPr>
        <w:t>Note: % YoY indicates % change year-over-year; % const. indicates % change year-over-year adjusted for constant currency.</w:t>
      </w:r>
    </w:p>
    <w:p w14:paraId="659F18B7" w14:textId="3AC70B7A" w:rsidR="00D4388F" w:rsidRPr="002A47FC" w:rsidRDefault="00D4388F" w:rsidP="00D4388F">
      <w:pPr>
        <w:rPr>
          <w:rFonts w:cstheme="minorHAnsi"/>
          <w:b/>
          <w:bCs/>
          <w:u w:val="single"/>
          <w:lang w:val="en-US"/>
        </w:rPr>
      </w:pPr>
      <w:r w:rsidRPr="002A47FC">
        <w:rPr>
          <w:rFonts w:cstheme="minorHAnsi"/>
          <w:b/>
          <w:bCs/>
          <w:u w:val="single"/>
          <w:lang w:val="en-US"/>
        </w:rPr>
        <w:t>Q</w:t>
      </w:r>
      <w:r w:rsidR="0038393F">
        <w:rPr>
          <w:rFonts w:cstheme="minorHAnsi"/>
          <w:b/>
          <w:bCs/>
          <w:u w:val="single"/>
          <w:lang w:val="en-US"/>
        </w:rPr>
        <w:t>3</w:t>
      </w:r>
      <w:r w:rsidRPr="002A47FC">
        <w:rPr>
          <w:rFonts w:cstheme="minorHAnsi"/>
          <w:b/>
          <w:bCs/>
          <w:u w:val="single"/>
          <w:lang w:val="en-US"/>
        </w:rPr>
        <w:t xml:space="preserve"> 202</w:t>
      </w:r>
      <w:r w:rsidR="007B1331">
        <w:rPr>
          <w:rFonts w:cstheme="minorHAnsi"/>
          <w:b/>
          <w:bCs/>
          <w:u w:val="single"/>
          <w:lang w:val="en-US"/>
        </w:rPr>
        <w:t>2</w:t>
      </w:r>
      <w:r w:rsidR="0038393F">
        <w:rPr>
          <w:rFonts w:cstheme="minorHAnsi"/>
          <w:b/>
          <w:bCs/>
          <w:u w:val="single"/>
          <w:lang w:val="en-US"/>
        </w:rPr>
        <w:t xml:space="preserve"> Results</w:t>
      </w:r>
    </w:p>
    <w:p w14:paraId="5AD3CA14" w14:textId="41E9BA98" w:rsidR="00F00503" w:rsidRDefault="00D4388F" w:rsidP="00D4388F">
      <w:pPr>
        <w:rPr>
          <w:rFonts w:cstheme="minorHAnsi"/>
          <w:lang w:val="en-US"/>
        </w:rPr>
      </w:pPr>
      <w:r w:rsidRPr="002A47FC">
        <w:rPr>
          <w:rFonts w:cstheme="minorHAnsi"/>
          <w:lang w:val="en-US"/>
        </w:rPr>
        <w:t>Music Publishing revenue amounted to €</w:t>
      </w:r>
      <w:r w:rsidR="006459F8">
        <w:rPr>
          <w:rFonts w:cstheme="minorHAnsi"/>
          <w:lang w:val="en-US"/>
        </w:rPr>
        <w:t>418</w:t>
      </w:r>
      <w:r w:rsidR="006C342E" w:rsidRPr="002A47FC">
        <w:rPr>
          <w:rFonts w:cstheme="minorHAnsi"/>
          <w:lang w:val="en-US"/>
        </w:rPr>
        <w:t xml:space="preserve"> </w:t>
      </w:r>
      <w:r w:rsidRPr="002A47FC">
        <w:rPr>
          <w:rFonts w:cstheme="minorHAnsi"/>
          <w:lang w:val="en-US"/>
        </w:rPr>
        <w:t xml:space="preserve">million in the </w:t>
      </w:r>
      <w:r w:rsidR="0038393F">
        <w:rPr>
          <w:rFonts w:cstheme="minorHAnsi"/>
          <w:lang w:val="en-US"/>
        </w:rPr>
        <w:t>third</w:t>
      </w:r>
      <w:r w:rsidR="00F77177">
        <w:rPr>
          <w:rFonts w:cstheme="minorHAnsi"/>
          <w:lang w:val="en-US"/>
        </w:rPr>
        <w:t xml:space="preserve"> </w:t>
      </w:r>
      <w:r w:rsidRPr="002A47FC">
        <w:rPr>
          <w:rFonts w:cstheme="minorHAnsi"/>
          <w:lang w:val="en-US"/>
        </w:rPr>
        <w:t>quarter of 202</w:t>
      </w:r>
      <w:r w:rsidR="00F028FC">
        <w:rPr>
          <w:rFonts w:cstheme="minorHAnsi"/>
          <w:lang w:val="en-US"/>
        </w:rPr>
        <w:t>2</w:t>
      </w:r>
      <w:r w:rsidRPr="002A47FC">
        <w:rPr>
          <w:rFonts w:cstheme="minorHAnsi"/>
          <w:lang w:val="en-US"/>
        </w:rPr>
        <w:t xml:space="preserve">, up </w:t>
      </w:r>
      <w:r w:rsidR="006459F8">
        <w:rPr>
          <w:rFonts w:cstheme="minorHAnsi"/>
          <w:lang w:val="en-US"/>
        </w:rPr>
        <w:t>15.</w:t>
      </w:r>
      <w:r w:rsidR="001401E6">
        <w:rPr>
          <w:rFonts w:cstheme="minorHAnsi"/>
          <w:lang w:val="en-US"/>
        </w:rPr>
        <w:t>2</w:t>
      </w:r>
      <w:r w:rsidRPr="002A47FC">
        <w:rPr>
          <w:rFonts w:cstheme="minorHAnsi"/>
          <w:lang w:val="en-US"/>
        </w:rPr>
        <w:t>% year</w:t>
      </w:r>
      <w:r w:rsidR="004F617A" w:rsidRPr="002A47FC">
        <w:rPr>
          <w:rFonts w:cstheme="minorHAnsi"/>
          <w:lang w:val="en-US"/>
        </w:rPr>
        <w:t>-</w:t>
      </w:r>
      <w:r w:rsidRPr="002A47FC">
        <w:rPr>
          <w:rFonts w:cstheme="minorHAnsi"/>
          <w:lang w:val="en-US"/>
        </w:rPr>
        <w:t xml:space="preserve">over-year, or </w:t>
      </w:r>
      <w:r w:rsidR="006459F8">
        <w:rPr>
          <w:rFonts w:cstheme="minorHAnsi"/>
          <w:lang w:val="en-US"/>
        </w:rPr>
        <w:t>6.9</w:t>
      </w:r>
      <w:r w:rsidRPr="002A47FC">
        <w:rPr>
          <w:rFonts w:cstheme="minorHAnsi"/>
          <w:lang w:val="en-US"/>
        </w:rPr>
        <w:t>% in constant currency</w:t>
      </w:r>
      <w:r w:rsidR="005148D5">
        <w:rPr>
          <w:rFonts w:cstheme="minorHAnsi"/>
          <w:lang w:val="en-US"/>
        </w:rPr>
        <w:t xml:space="preserve">, </w:t>
      </w:r>
      <w:r w:rsidR="005148D5">
        <w:rPr>
          <w:rFonts w:cstheme="minorHAnsi"/>
        </w:rPr>
        <w:t xml:space="preserve">despite a </w:t>
      </w:r>
      <w:r w:rsidR="005148D5" w:rsidRPr="002A47FC">
        <w:rPr>
          <w:rFonts w:cstheme="minorHAnsi"/>
          <w:lang w:val="en-US"/>
        </w:rPr>
        <w:t>€</w:t>
      </w:r>
      <w:r w:rsidR="005148D5">
        <w:rPr>
          <w:rFonts w:cstheme="minorHAnsi"/>
          <w:lang w:val="en-US"/>
        </w:rPr>
        <w:t>21</w:t>
      </w:r>
      <w:r w:rsidR="005148D5">
        <w:rPr>
          <w:rFonts w:cstheme="minorHAnsi"/>
        </w:rPr>
        <w:t xml:space="preserve"> million negative impact in the quarter from the </w:t>
      </w:r>
      <w:r w:rsidR="005148D5" w:rsidRPr="009F0F9E">
        <w:rPr>
          <w:rFonts w:cstheme="minorHAnsi"/>
          <w:lang w:val="en-US"/>
        </w:rPr>
        <w:t>Change in Society Accounting</w:t>
      </w:r>
      <w:r w:rsidR="005148D5">
        <w:rPr>
          <w:rFonts w:cstheme="minorHAnsi"/>
          <w:lang w:val="en-US"/>
        </w:rPr>
        <w:t xml:space="preserve"> discussed above</w:t>
      </w:r>
      <w:r w:rsidRPr="002A47FC">
        <w:rPr>
          <w:rFonts w:cstheme="minorHAnsi"/>
          <w:lang w:val="en-US"/>
        </w:rPr>
        <w:t xml:space="preserve">. </w:t>
      </w:r>
      <w:r w:rsidR="009874DC">
        <w:rPr>
          <w:rFonts w:cstheme="minorHAnsi"/>
          <w:lang w:val="en-US"/>
        </w:rPr>
        <w:t xml:space="preserve"> </w:t>
      </w:r>
      <w:r w:rsidR="00620BBF">
        <w:rPr>
          <w:rFonts w:cstheme="minorHAnsi"/>
        </w:rPr>
        <w:t xml:space="preserve">Excluding the </w:t>
      </w:r>
      <w:r w:rsidR="00620BBF" w:rsidRPr="009F0F9E">
        <w:rPr>
          <w:rFonts w:cstheme="minorHAnsi"/>
          <w:lang w:val="en-US"/>
        </w:rPr>
        <w:t>Change in Society Accounting</w:t>
      </w:r>
      <w:r w:rsidR="00620BBF">
        <w:rPr>
          <w:rFonts w:cstheme="minorHAnsi"/>
          <w:lang w:val="en-US"/>
        </w:rPr>
        <w:t xml:space="preserve">, </w:t>
      </w:r>
      <w:r w:rsidR="00620BBF" w:rsidRPr="002A47FC">
        <w:rPr>
          <w:rFonts w:cstheme="minorHAnsi"/>
          <w:lang w:val="en-US"/>
        </w:rPr>
        <w:t xml:space="preserve">Music Publishing revenue </w:t>
      </w:r>
      <w:r w:rsidR="00620BBF">
        <w:rPr>
          <w:rFonts w:cstheme="minorHAnsi"/>
          <w:lang w:val="en-US"/>
        </w:rPr>
        <w:t>was</w:t>
      </w:r>
      <w:r w:rsidR="00620BBF" w:rsidRPr="002A47FC">
        <w:rPr>
          <w:rFonts w:cstheme="minorHAnsi"/>
          <w:lang w:val="en-US"/>
        </w:rPr>
        <w:t xml:space="preserve"> up </w:t>
      </w:r>
      <w:r w:rsidR="00620BBF">
        <w:rPr>
          <w:rFonts w:cstheme="minorHAnsi"/>
          <w:lang w:val="en-US"/>
        </w:rPr>
        <w:t>2</w:t>
      </w:r>
      <w:r w:rsidR="00B61E47">
        <w:rPr>
          <w:rFonts w:cstheme="minorHAnsi"/>
          <w:lang w:val="en-US"/>
        </w:rPr>
        <w:t>0.9</w:t>
      </w:r>
      <w:r w:rsidR="00620BBF" w:rsidRPr="002A47FC">
        <w:rPr>
          <w:rFonts w:cstheme="minorHAnsi"/>
          <w:lang w:val="en-US"/>
        </w:rPr>
        <w:t xml:space="preserve">% year-over-year, or </w:t>
      </w:r>
      <w:r w:rsidR="00B61E47">
        <w:rPr>
          <w:rFonts w:cstheme="minorHAnsi"/>
          <w:lang w:val="en-US"/>
        </w:rPr>
        <w:t>12.3</w:t>
      </w:r>
      <w:r w:rsidR="00620BBF" w:rsidRPr="002A47FC">
        <w:rPr>
          <w:rFonts w:cstheme="minorHAnsi"/>
          <w:lang w:val="en-US"/>
        </w:rPr>
        <w:t>% in constant currency.</w:t>
      </w:r>
    </w:p>
    <w:p w14:paraId="4C786765" w14:textId="74DFC841" w:rsidR="00D4388F" w:rsidRDefault="00982096" w:rsidP="00D4388F">
      <w:pPr>
        <w:rPr>
          <w:rFonts w:cstheme="minorHAnsi"/>
        </w:rPr>
      </w:pPr>
      <w:r>
        <w:rPr>
          <w:rFonts w:cstheme="minorHAnsi"/>
          <w:lang w:val="en-US"/>
        </w:rPr>
        <w:t xml:space="preserve">Within </w:t>
      </w:r>
      <w:r w:rsidR="009549F9">
        <w:rPr>
          <w:rFonts w:cstheme="minorHAnsi"/>
          <w:lang w:val="en-US"/>
        </w:rPr>
        <w:t>Music P</w:t>
      </w:r>
      <w:r>
        <w:rPr>
          <w:rFonts w:cstheme="minorHAnsi"/>
          <w:lang w:val="en-US"/>
        </w:rPr>
        <w:t xml:space="preserve">ublishing, </w:t>
      </w:r>
      <w:r w:rsidR="00F86C9D">
        <w:rPr>
          <w:rFonts w:cstheme="minorHAnsi"/>
          <w:lang w:val="en-US"/>
        </w:rPr>
        <w:t>d</w:t>
      </w:r>
      <w:r>
        <w:rPr>
          <w:rFonts w:cstheme="minorHAnsi"/>
          <w:lang w:val="en-US"/>
        </w:rPr>
        <w:t>igital revenue grew</w:t>
      </w:r>
      <w:r w:rsidR="006459F8">
        <w:rPr>
          <w:rFonts w:cstheme="minorHAnsi"/>
          <w:lang w:val="en-US"/>
        </w:rPr>
        <w:t xml:space="preserve"> 27.2</w:t>
      </w:r>
      <w:r>
        <w:rPr>
          <w:rFonts w:cstheme="minorHAnsi"/>
          <w:lang w:val="en-US"/>
        </w:rPr>
        <w:t>%</w:t>
      </w:r>
      <w:r w:rsidR="00D85A1F">
        <w:rPr>
          <w:rFonts w:cstheme="minorHAnsi"/>
          <w:lang w:val="en-US"/>
        </w:rPr>
        <w:t xml:space="preserve"> year-over-year</w:t>
      </w:r>
      <w:r>
        <w:rPr>
          <w:rFonts w:cstheme="minorHAnsi"/>
          <w:lang w:val="en-US"/>
        </w:rPr>
        <w:t xml:space="preserve">, or </w:t>
      </w:r>
      <w:r w:rsidR="006459F8">
        <w:rPr>
          <w:rFonts w:cstheme="minorHAnsi"/>
          <w:lang w:val="en-US"/>
        </w:rPr>
        <w:t>17.0</w:t>
      </w:r>
      <w:r>
        <w:rPr>
          <w:rFonts w:cstheme="minorHAnsi"/>
          <w:lang w:val="en-US"/>
        </w:rPr>
        <w:t>% in constant currency</w:t>
      </w:r>
      <w:r w:rsidR="00F86C9D">
        <w:rPr>
          <w:rFonts w:cstheme="minorHAnsi"/>
          <w:lang w:val="en-US"/>
        </w:rPr>
        <w:t xml:space="preserve">, </w:t>
      </w:r>
      <w:r w:rsidR="00AC6696">
        <w:rPr>
          <w:rFonts w:cstheme="minorHAnsi"/>
          <w:lang w:val="en-US"/>
        </w:rPr>
        <w:t xml:space="preserve">reflecting the continued growth of streaming and subscription, partially offset by the </w:t>
      </w:r>
      <w:r w:rsidR="00283310">
        <w:rPr>
          <w:rFonts w:cstheme="minorHAnsi"/>
          <w:lang w:val="en-US"/>
        </w:rPr>
        <w:t>C</w:t>
      </w:r>
      <w:r w:rsidR="00AC6696">
        <w:rPr>
          <w:rFonts w:cstheme="minorHAnsi"/>
          <w:lang w:val="en-US"/>
        </w:rPr>
        <w:t xml:space="preserve">hange in </w:t>
      </w:r>
      <w:r w:rsidR="00283310">
        <w:rPr>
          <w:rFonts w:cstheme="minorHAnsi"/>
          <w:lang w:val="en-US"/>
        </w:rPr>
        <w:t>Society A</w:t>
      </w:r>
      <w:r w:rsidR="00AC6696">
        <w:rPr>
          <w:rFonts w:cstheme="minorHAnsi"/>
          <w:lang w:val="en-US"/>
        </w:rPr>
        <w:t>ccounting</w:t>
      </w:r>
      <w:r w:rsidR="005D1570">
        <w:rPr>
          <w:rFonts w:cstheme="minorHAnsi"/>
          <w:lang w:val="en-US"/>
        </w:rPr>
        <w:t>.  P</w:t>
      </w:r>
      <w:r w:rsidR="00F86C9D">
        <w:rPr>
          <w:rFonts w:cstheme="minorHAnsi"/>
          <w:lang w:val="en-US"/>
        </w:rPr>
        <w:t>erformance revenue grew</w:t>
      </w:r>
      <w:r w:rsidR="006459F8">
        <w:rPr>
          <w:rFonts w:cstheme="minorHAnsi"/>
          <w:lang w:val="en-US"/>
        </w:rPr>
        <w:t xml:space="preserve"> 1.</w:t>
      </w:r>
      <w:r w:rsidR="006F560A">
        <w:rPr>
          <w:rFonts w:cstheme="minorHAnsi"/>
          <w:lang w:val="en-US"/>
        </w:rPr>
        <w:t>1</w:t>
      </w:r>
      <w:r w:rsidR="006459F8">
        <w:rPr>
          <w:rFonts w:cstheme="minorHAnsi"/>
          <w:lang w:val="en-US"/>
        </w:rPr>
        <w:t>%</w:t>
      </w:r>
      <w:r w:rsidR="004C65B0">
        <w:rPr>
          <w:rFonts w:cstheme="minorHAnsi"/>
          <w:lang w:val="en-US"/>
        </w:rPr>
        <w:t xml:space="preserve"> year-</w:t>
      </w:r>
      <w:r w:rsidR="008B045C">
        <w:rPr>
          <w:rFonts w:cstheme="minorHAnsi"/>
          <w:lang w:val="en-US"/>
        </w:rPr>
        <w:t>over-year</w:t>
      </w:r>
      <w:r w:rsidR="00D1534B">
        <w:rPr>
          <w:rFonts w:cstheme="minorHAnsi"/>
          <w:lang w:val="en-US"/>
        </w:rPr>
        <w:t>,</w:t>
      </w:r>
      <w:r w:rsidR="008B045C">
        <w:rPr>
          <w:rFonts w:cstheme="minorHAnsi"/>
          <w:lang w:val="en-US"/>
        </w:rPr>
        <w:t xml:space="preserve"> but</w:t>
      </w:r>
      <w:r w:rsidR="006459F8">
        <w:rPr>
          <w:rFonts w:cstheme="minorHAnsi"/>
          <w:lang w:val="en-US"/>
        </w:rPr>
        <w:t xml:space="preserve"> fell 4.2</w:t>
      </w:r>
      <w:r w:rsidR="00F86C9D">
        <w:rPr>
          <w:rFonts w:cstheme="minorHAnsi"/>
          <w:lang w:val="en-US"/>
        </w:rPr>
        <w:t xml:space="preserve">% in constant currency, </w:t>
      </w:r>
      <w:r w:rsidR="00866E1A">
        <w:rPr>
          <w:rFonts w:cstheme="minorHAnsi"/>
          <w:lang w:val="en-US"/>
        </w:rPr>
        <w:t>reflec</w:t>
      </w:r>
      <w:r w:rsidR="006A53AD">
        <w:rPr>
          <w:rFonts w:cstheme="minorHAnsi"/>
          <w:lang w:val="en-US"/>
        </w:rPr>
        <w:t xml:space="preserve">ting the </w:t>
      </w:r>
      <w:r w:rsidR="00283310">
        <w:rPr>
          <w:rFonts w:cstheme="minorHAnsi"/>
          <w:lang w:val="en-US"/>
        </w:rPr>
        <w:t>Change in Society Accounting</w:t>
      </w:r>
      <w:r w:rsidR="005D1570">
        <w:rPr>
          <w:rFonts w:cstheme="minorHAnsi"/>
          <w:lang w:val="en-US"/>
        </w:rPr>
        <w:t xml:space="preserve">.  </w:t>
      </w:r>
      <w:proofErr w:type="spellStart"/>
      <w:r w:rsidR="005D1570">
        <w:rPr>
          <w:rFonts w:cstheme="minorHAnsi"/>
          <w:lang w:val="en-US"/>
        </w:rPr>
        <w:t>Synchroni</w:t>
      </w:r>
      <w:r w:rsidR="00457FB6">
        <w:rPr>
          <w:rFonts w:cstheme="minorHAnsi"/>
          <w:lang w:val="en-US"/>
        </w:rPr>
        <w:t>s</w:t>
      </w:r>
      <w:r w:rsidR="005D1570">
        <w:rPr>
          <w:rFonts w:cstheme="minorHAnsi"/>
          <w:lang w:val="en-US"/>
        </w:rPr>
        <w:t>ation</w:t>
      </w:r>
      <w:proofErr w:type="spellEnd"/>
      <w:r w:rsidR="005D1570">
        <w:rPr>
          <w:rFonts w:cstheme="minorHAnsi"/>
          <w:lang w:val="en-US"/>
        </w:rPr>
        <w:t xml:space="preserve"> revenue </w:t>
      </w:r>
      <w:r w:rsidR="006459F8">
        <w:rPr>
          <w:rFonts w:cstheme="minorHAnsi"/>
          <w:lang w:val="en-US"/>
        </w:rPr>
        <w:t>improved</w:t>
      </w:r>
      <w:r w:rsidR="0038393F">
        <w:rPr>
          <w:rFonts w:cstheme="minorHAnsi"/>
          <w:lang w:val="en-US"/>
        </w:rPr>
        <w:t xml:space="preserve"> </w:t>
      </w:r>
      <w:r w:rsidR="006459F8">
        <w:rPr>
          <w:rFonts w:cstheme="minorHAnsi"/>
          <w:lang w:val="en-US"/>
        </w:rPr>
        <w:t>18.8</w:t>
      </w:r>
      <w:r w:rsidR="00457FB6">
        <w:rPr>
          <w:rFonts w:cstheme="minorHAnsi"/>
          <w:lang w:val="en-US"/>
        </w:rPr>
        <w:t>%</w:t>
      </w:r>
      <w:r w:rsidR="004C65B0">
        <w:rPr>
          <w:rFonts w:cstheme="minorHAnsi"/>
          <w:lang w:val="en-US"/>
        </w:rPr>
        <w:t xml:space="preserve"> year-over-year</w:t>
      </w:r>
      <w:r w:rsidR="00457FB6">
        <w:rPr>
          <w:rFonts w:cstheme="minorHAnsi"/>
          <w:lang w:val="en-US"/>
        </w:rPr>
        <w:t xml:space="preserve">, </w:t>
      </w:r>
      <w:r w:rsidR="00457FB6">
        <w:rPr>
          <w:rFonts w:cstheme="minorHAnsi"/>
          <w:lang w:val="en-US"/>
        </w:rPr>
        <w:lastRenderedPageBreak/>
        <w:t xml:space="preserve">or </w:t>
      </w:r>
      <w:r w:rsidR="006459F8">
        <w:rPr>
          <w:rFonts w:cstheme="minorHAnsi"/>
          <w:lang w:val="en-US"/>
        </w:rPr>
        <w:t>7.5</w:t>
      </w:r>
      <w:r w:rsidR="00457FB6">
        <w:rPr>
          <w:rFonts w:cstheme="minorHAnsi"/>
          <w:lang w:val="en-US"/>
        </w:rPr>
        <w:t xml:space="preserve">% in constant currency, </w:t>
      </w:r>
      <w:proofErr w:type="gramStart"/>
      <w:r w:rsidR="007D2226" w:rsidRPr="007D2226">
        <w:rPr>
          <w:rFonts w:cstheme="minorHAnsi"/>
        </w:rPr>
        <w:t>as a result of</w:t>
      </w:r>
      <w:proofErr w:type="gramEnd"/>
      <w:r w:rsidR="007D2226" w:rsidRPr="007D2226">
        <w:rPr>
          <w:rFonts w:cstheme="minorHAnsi"/>
        </w:rPr>
        <w:t xml:space="preserve"> increased income from advertising and film</w:t>
      </w:r>
      <w:r w:rsidR="00457FB6">
        <w:rPr>
          <w:rFonts w:cstheme="minorHAnsi"/>
          <w:lang w:val="en-US"/>
        </w:rPr>
        <w:t xml:space="preserve">.  </w:t>
      </w:r>
      <w:r w:rsidR="00240B32">
        <w:rPr>
          <w:rFonts w:cstheme="minorHAnsi"/>
          <w:lang w:val="en-US"/>
        </w:rPr>
        <w:t xml:space="preserve">Mechanical revenue </w:t>
      </w:r>
      <w:r w:rsidR="006459F8">
        <w:rPr>
          <w:rFonts w:cstheme="minorHAnsi"/>
          <w:lang w:val="en-US"/>
        </w:rPr>
        <w:t>fell 19.4</w:t>
      </w:r>
      <w:r w:rsidR="00240B32">
        <w:rPr>
          <w:rFonts w:cstheme="minorHAnsi"/>
          <w:lang w:val="en-US"/>
        </w:rPr>
        <w:t>%</w:t>
      </w:r>
      <w:r w:rsidR="004C65B0">
        <w:rPr>
          <w:rFonts w:cstheme="minorHAnsi"/>
          <w:lang w:val="en-US"/>
        </w:rPr>
        <w:t xml:space="preserve"> year-over-year</w:t>
      </w:r>
      <w:r w:rsidR="00240B32">
        <w:rPr>
          <w:rFonts w:cstheme="minorHAnsi"/>
          <w:lang w:val="en-US"/>
        </w:rPr>
        <w:t xml:space="preserve">, or </w:t>
      </w:r>
      <w:r w:rsidR="006459F8">
        <w:rPr>
          <w:rFonts w:cstheme="minorHAnsi"/>
          <w:lang w:val="en-US"/>
        </w:rPr>
        <w:t>21.9</w:t>
      </w:r>
      <w:r w:rsidR="00240B32">
        <w:rPr>
          <w:rFonts w:cstheme="minorHAnsi"/>
          <w:lang w:val="en-US"/>
        </w:rPr>
        <w:t xml:space="preserve">% in constant currency, </w:t>
      </w:r>
      <w:r w:rsidR="007452C1" w:rsidRPr="007452C1">
        <w:rPr>
          <w:rFonts w:cstheme="minorHAnsi"/>
          <w:lang w:val="en-US"/>
        </w:rPr>
        <w:t xml:space="preserve">driven by </w:t>
      </w:r>
      <w:r w:rsidR="007452C1">
        <w:rPr>
          <w:rFonts w:cstheme="minorHAnsi"/>
          <w:lang w:val="en-US"/>
        </w:rPr>
        <w:t>a</w:t>
      </w:r>
      <w:r w:rsidR="007452C1" w:rsidRPr="007452C1">
        <w:rPr>
          <w:rFonts w:cstheme="minorHAnsi"/>
          <w:lang w:val="en-US"/>
        </w:rPr>
        <w:t xml:space="preserve"> </w:t>
      </w:r>
      <w:r w:rsidR="007452C1">
        <w:rPr>
          <w:rFonts w:cstheme="minorHAnsi"/>
          <w:lang w:val="en-US"/>
        </w:rPr>
        <w:t>decline</w:t>
      </w:r>
      <w:r w:rsidR="007452C1" w:rsidRPr="007452C1">
        <w:rPr>
          <w:rFonts w:cstheme="minorHAnsi"/>
          <w:lang w:val="en-US"/>
        </w:rPr>
        <w:t xml:space="preserve"> in industry-wide physical sales, as well as the </w:t>
      </w:r>
      <w:r w:rsidR="00A45215">
        <w:rPr>
          <w:rFonts w:cstheme="minorHAnsi"/>
          <w:lang w:val="en-US"/>
        </w:rPr>
        <w:t>Change in Society Accounting</w:t>
      </w:r>
      <w:r w:rsidR="0038393F">
        <w:rPr>
          <w:rFonts w:cstheme="minorHAnsi"/>
        </w:rPr>
        <w:t>.</w:t>
      </w:r>
    </w:p>
    <w:p w14:paraId="38A6BF03" w14:textId="4812642B" w:rsidR="007B79A2" w:rsidRPr="00143869" w:rsidRDefault="007B79A2" w:rsidP="007B79A2">
      <w:pPr>
        <w:rPr>
          <w:b/>
          <w:bCs/>
          <w:u w:val="single"/>
          <w:lang w:val="en-US"/>
        </w:rPr>
      </w:pPr>
      <w:r w:rsidRPr="00143869">
        <w:rPr>
          <w:b/>
          <w:bCs/>
          <w:u w:val="single"/>
          <w:lang w:val="en-US"/>
        </w:rPr>
        <w:t>YTD 2022 Results</w:t>
      </w:r>
    </w:p>
    <w:p w14:paraId="6FFABACA" w14:textId="2045FA2B" w:rsidR="007B79A2" w:rsidRPr="001D0CE6" w:rsidRDefault="007B79A2" w:rsidP="007B79A2">
      <w:pPr>
        <w:rPr>
          <w:highlight w:val="yellow"/>
          <w:lang w:val="en-US"/>
        </w:rPr>
      </w:pPr>
      <w:r w:rsidRPr="00C6321D">
        <w:rPr>
          <w:lang w:val="en-US"/>
        </w:rPr>
        <w:t>Music Publishing revenue amounted to €1,269 million, up 36.9% year-over-year, or 28.2% in constant currency</w:t>
      </w:r>
      <w:r w:rsidR="00A75F7B">
        <w:rPr>
          <w:lang w:val="en-US"/>
        </w:rPr>
        <w:t xml:space="preserve"> and</w:t>
      </w:r>
      <w:r w:rsidRPr="003D5224">
        <w:rPr>
          <w:lang w:val="en-US"/>
        </w:rPr>
        <w:t xml:space="preserve"> </w:t>
      </w:r>
      <w:r w:rsidR="00A75F7B">
        <w:rPr>
          <w:lang w:val="en-US"/>
        </w:rPr>
        <w:t>include</w:t>
      </w:r>
      <w:r w:rsidR="007C5228">
        <w:rPr>
          <w:lang w:val="en-US"/>
        </w:rPr>
        <w:t>d</w:t>
      </w:r>
      <w:r w:rsidR="007C2B9D">
        <w:rPr>
          <w:lang w:val="en-US"/>
        </w:rPr>
        <w:t xml:space="preserve"> a </w:t>
      </w:r>
      <w:r w:rsidR="007C2B9D" w:rsidRPr="00442A06">
        <w:rPr>
          <w:rFonts w:cstheme="minorHAnsi"/>
        </w:rPr>
        <w:t>€</w:t>
      </w:r>
      <w:r w:rsidR="007C2B9D">
        <w:rPr>
          <w:rFonts w:cstheme="minorHAnsi"/>
        </w:rPr>
        <w:t xml:space="preserve">123 </w:t>
      </w:r>
      <w:r w:rsidR="00A75F7B">
        <w:rPr>
          <w:rFonts w:cstheme="minorHAnsi"/>
        </w:rPr>
        <w:t xml:space="preserve">million </w:t>
      </w:r>
      <w:r w:rsidRPr="003D5224">
        <w:rPr>
          <w:lang w:val="en-US"/>
        </w:rPr>
        <w:t xml:space="preserve">benefit from the Change in Society Accounting discussed above. Excluding </w:t>
      </w:r>
      <w:r w:rsidR="00A75F7B" w:rsidRPr="003D5224">
        <w:rPr>
          <w:lang w:val="en-US"/>
        </w:rPr>
        <w:t>the Change in Society Accounting</w:t>
      </w:r>
      <w:r w:rsidRPr="003D5224">
        <w:rPr>
          <w:lang w:val="en-US"/>
        </w:rPr>
        <w:t>, Music Publishing revenue grew 23.</w:t>
      </w:r>
      <w:r w:rsidR="003D5224" w:rsidRPr="003D5224">
        <w:rPr>
          <w:lang w:val="en-US"/>
        </w:rPr>
        <w:t>6</w:t>
      </w:r>
      <w:r w:rsidRPr="003D5224">
        <w:rPr>
          <w:lang w:val="en-US"/>
        </w:rPr>
        <w:t>% year-over-year, or 15.</w:t>
      </w:r>
      <w:r w:rsidR="003D5224" w:rsidRPr="003D5224">
        <w:rPr>
          <w:lang w:val="en-US"/>
        </w:rPr>
        <w:t>8</w:t>
      </w:r>
      <w:r w:rsidRPr="003D5224">
        <w:rPr>
          <w:lang w:val="en-US"/>
        </w:rPr>
        <w:t xml:space="preserve">% in constant currency, </w:t>
      </w:r>
      <w:proofErr w:type="gramStart"/>
      <w:r w:rsidRPr="003D5224">
        <w:rPr>
          <w:lang w:val="en-US"/>
        </w:rPr>
        <w:t>as a result of</w:t>
      </w:r>
      <w:proofErr w:type="gramEnd"/>
      <w:r w:rsidRPr="003D5224">
        <w:rPr>
          <w:lang w:val="en-US"/>
        </w:rPr>
        <w:t xml:space="preserve"> organic growth trends and initial contributions from catalogue acquisitions made in prior years.</w:t>
      </w:r>
    </w:p>
    <w:p w14:paraId="42685C39" w14:textId="5837DDA2" w:rsidR="007B79A2" w:rsidRDefault="007B79A2" w:rsidP="00D4388F">
      <w:pPr>
        <w:rPr>
          <w:rFonts w:cstheme="minorHAnsi"/>
        </w:rPr>
      </w:pPr>
      <w:r w:rsidRPr="003E1867">
        <w:rPr>
          <w:lang w:val="en-US"/>
        </w:rPr>
        <w:t>Within Music Publishing, digital revenue grew 65.5% year-over-year</w:t>
      </w:r>
      <w:r w:rsidR="00DC6D3D">
        <w:rPr>
          <w:lang w:val="en-US"/>
        </w:rPr>
        <w:t>,</w:t>
      </w:r>
      <w:r w:rsidRPr="003E1867">
        <w:rPr>
          <w:lang w:val="en-US"/>
        </w:rPr>
        <w:t xml:space="preserve"> or 53.9% in constant currency, reflecting the Change in Society Accounting, as well as </w:t>
      </w:r>
      <w:r w:rsidRPr="003E1867">
        <w:rPr>
          <w:rFonts w:cstheme="minorHAnsi"/>
          <w:lang w:val="en-US"/>
        </w:rPr>
        <w:t xml:space="preserve">continued </w:t>
      </w:r>
      <w:r w:rsidR="009C3188" w:rsidRPr="003E1867">
        <w:rPr>
          <w:rFonts w:cstheme="minorHAnsi"/>
          <w:lang w:val="en-US"/>
        </w:rPr>
        <w:t xml:space="preserve">healthy </w:t>
      </w:r>
      <w:r w:rsidRPr="003E1867">
        <w:rPr>
          <w:rFonts w:cstheme="minorHAnsi"/>
          <w:lang w:val="en-US"/>
        </w:rPr>
        <w:t xml:space="preserve">growth </w:t>
      </w:r>
      <w:r w:rsidR="006C0F1F" w:rsidRPr="003E1867">
        <w:rPr>
          <w:rFonts w:cstheme="minorHAnsi"/>
          <w:lang w:val="en-US"/>
        </w:rPr>
        <w:t>in</w:t>
      </w:r>
      <w:r w:rsidRPr="003E1867">
        <w:rPr>
          <w:rFonts w:cstheme="minorHAnsi"/>
          <w:lang w:val="en-US"/>
        </w:rPr>
        <w:t xml:space="preserve"> streaming and subscription</w:t>
      </w:r>
      <w:r w:rsidRPr="003E1867">
        <w:rPr>
          <w:lang w:val="en-US"/>
        </w:rPr>
        <w:t xml:space="preserve">. </w:t>
      </w:r>
      <w:r w:rsidR="0016006A">
        <w:rPr>
          <w:lang w:val="en-US"/>
        </w:rPr>
        <w:t xml:space="preserve"> </w:t>
      </w:r>
      <w:proofErr w:type="spellStart"/>
      <w:r w:rsidRPr="003E1867">
        <w:rPr>
          <w:lang w:val="en-US"/>
        </w:rPr>
        <w:t>Synchronisation</w:t>
      </w:r>
      <w:proofErr w:type="spellEnd"/>
      <w:r w:rsidRPr="003E1867">
        <w:rPr>
          <w:lang w:val="en-US"/>
        </w:rPr>
        <w:t xml:space="preserve"> revenue grew 27.3% year-over-year, or 18.0% in constant currency, </w:t>
      </w:r>
      <w:proofErr w:type="gramStart"/>
      <w:r w:rsidRPr="003E1867">
        <w:rPr>
          <w:rFonts w:cstheme="minorHAnsi"/>
          <w:lang w:val="en-US"/>
        </w:rPr>
        <w:t>as a result of</w:t>
      </w:r>
      <w:proofErr w:type="gramEnd"/>
      <w:r w:rsidRPr="003E1867">
        <w:rPr>
          <w:rFonts w:cstheme="minorHAnsi"/>
          <w:lang w:val="en-US"/>
        </w:rPr>
        <w:t xml:space="preserve"> increased income from advertising, TV and </w:t>
      </w:r>
      <w:r w:rsidR="002A42A5">
        <w:rPr>
          <w:rFonts w:cstheme="minorHAnsi"/>
          <w:lang w:val="en-US"/>
        </w:rPr>
        <w:t>film</w:t>
      </w:r>
      <w:r w:rsidRPr="003E1867">
        <w:t>.</w:t>
      </w:r>
      <w:r w:rsidRPr="003E1867">
        <w:rPr>
          <w:lang w:val="en-US"/>
        </w:rPr>
        <w:t xml:space="preserve"> Performance revenue declined 0.9% year-over-year, or 6.4% in constant currency, reflecting the Change in Society Accounting.  Mechanical revenue grew 1.4% year-</w:t>
      </w:r>
      <w:proofErr w:type="gramStart"/>
      <w:r w:rsidRPr="003E1867">
        <w:rPr>
          <w:lang w:val="en-US"/>
        </w:rPr>
        <w:t>over-year</w:t>
      </w:r>
      <w:r w:rsidR="004B347D">
        <w:rPr>
          <w:lang w:val="en-US"/>
        </w:rPr>
        <w:t>,</w:t>
      </w:r>
      <w:r w:rsidRPr="003E1867">
        <w:rPr>
          <w:lang w:val="en-US"/>
        </w:rPr>
        <w:t xml:space="preserve"> but</w:t>
      </w:r>
      <w:proofErr w:type="gramEnd"/>
      <w:r w:rsidRPr="003E1867">
        <w:rPr>
          <w:lang w:val="en-US"/>
        </w:rPr>
        <w:t xml:space="preserve"> fell 1.4% in constant currency</w:t>
      </w:r>
      <w:r w:rsidR="002A42A5">
        <w:rPr>
          <w:lang w:val="en-US"/>
        </w:rPr>
        <w:t>.</w:t>
      </w:r>
    </w:p>
    <w:p w14:paraId="08005D28" w14:textId="417E561A" w:rsidR="005D42C7" w:rsidRPr="00C826DD" w:rsidRDefault="00FF04A4" w:rsidP="00C826DD">
      <w:pPr>
        <w:pStyle w:val="RFtitre3"/>
        <w:numPr>
          <w:ilvl w:val="0"/>
          <w:numId w:val="0"/>
        </w:numPr>
        <w:spacing w:after="120"/>
        <w:ind w:left="578" w:hanging="578"/>
        <w:rPr>
          <w:rFonts w:cstheme="minorHAnsi"/>
          <w:b w:val="0"/>
          <w:lang w:val="en-GB"/>
        </w:rPr>
      </w:pPr>
      <w:r w:rsidRPr="00C826DD">
        <w:rPr>
          <w:rFonts w:asciiTheme="minorHAnsi" w:hAnsiTheme="minorHAnsi" w:cstheme="minorHAnsi"/>
          <w:sz w:val="22"/>
          <w:szCs w:val="22"/>
          <w:lang w:val="en-GB"/>
        </w:rPr>
        <w:t>Merchandising</w:t>
      </w:r>
      <w:r w:rsidR="00AF7965" w:rsidRPr="00C826DD">
        <w:rPr>
          <w:rFonts w:asciiTheme="minorHAnsi" w:hAnsiTheme="minorHAnsi" w:cstheme="minorHAnsi"/>
          <w:sz w:val="22"/>
          <w:szCs w:val="22"/>
          <w:lang w:val="en-GB"/>
        </w:rPr>
        <w:t xml:space="preserve"> and Other</w:t>
      </w:r>
    </w:p>
    <w:p w14:paraId="3A847EC7" w14:textId="4FE0D177" w:rsidR="005D42C7" w:rsidRPr="003E6929" w:rsidRDefault="00AF7965" w:rsidP="00D4388F">
      <w:pPr>
        <w:rPr>
          <w:rFonts w:cstheme="minorHAnsi"/>
          <w:b/>
          <w:bCs/>
          <w:lang w:val="en-US"/>
        </w:rPr>
      </w:pPr>
      <w:r w:rsidRPr="00AF7965">
        <w:rPr>
          <w:noProof/>
        </w:rPr>
        <w:t xml:space="preserve"> </w:t>
      </w:r>
      <w:r w:rsidR="007B1331" w:rsidRPr="007B1331">
        <w:rPr>
          <w:noProof/>
        </w:rPr>
        <w:t xml:space="preserve"> </w:t>
      </w:r>
      <w:r w:rsidR="00524E20">
        <w:rPr>
          <w:noProof/>
        </w:rPr>
        <w:drawing>
          <wp:inline distT="0" distB="0" distL="0" distR="0" wp14:anchorId="30396E7F" wp14:editId="0A868BC7">
            <wp:extent cx="6067425" cy="7113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62" t="-6027"/>
                    <a:stretch/>
                  </pic:blipFill>
                  <pic:spPr bwMode="auto">
                    <a:xfrm>
                      <a:off x="0" y="0"/>
                      <a:ext cx="6124653" cy="718012"/>
                    </a:xfrm>
                    <a:prstGeom prst="rect">
                      <a:avLst/>
                    </a:prstGeom>
                    <a:ln>
                      <a:noFill/>
                    </a:ln>
                    <a:extLst>
                      <a:ext uri="{53640926-AAD7-44D8-BBD7-CCE9431645EC}">
                        <a14:shadowObscured xmlns:a14="http://schemas.microsoft.com/office/drawing/2010/main"/>
                      </a:ext>
                    </a:extLst>
                  </pic:spPr>
                </pic:pic>
              </a:graphicData>
            </a:graphic>
          </wp:inline>
        </w:drawing>
      </w:r>
    </w:p>
    <w:p w14:paraId="5E75E872" w14:textId="77777777" w:rsidR="00F1223C" w:rsidRPr="00893DEC" w:rsidRDefault="00F1223C" w:rsidP="00F1223C">
      <w:pPr>
        <w:rPr>
          <w:rFonts w:cstheme="minorHAnsi"/>
          <w:i/>
          <w:iCs/>
          <w:sz w:val="18"/>
          <w:szCs w:val="18"/>
        </w:rPr>
      </w:pPr>
      <w:r w:rsidRPr="00893DEC">
        <w:rPr>
          <w:rFonts w:cstheme="minorHAnsi"/>
          <w:i/>
          <w:iCs/>
          <w:sz w:val="18"/>
          <w:szCs w:val="18"/>
        </w:rPr>
        <w:t>Note: % YoY indicates % change year-over-year; % const. indicates % change year-over-year adjusted for constant currency.</w:t>
      </w:r>
    </w:p>
    <w:p w14:paraId="65E84D7D" w14:textId="2D1E0837" w:rsidR="005D42C7" w:rsidRPr="002A47FC" w:rsidRDefault="005D42C7" w:rsidP="00D4388F">
      <w:pPr>
        <w:rPr>
          <w:rFonts w:cstheme="minorHAnsi"/>
          <w:b/>
          <w:bCs/>
          <w:u w:val="single"/>
          <w:lang w:val="en-US"/>
        </w:rPr>
      </w:pPr>
      <w:r w:rsidRPr="002A47FC">
        <w:rPr>
          <w:rFonts w:cstheme="minorHAnsi"/>
          <w:b/>
          <w:bCs/>
          <w:u w:val="single"/>
          <w:lang w:val="en-US"/>
        </w:rPr>
        <w:t>Q</w:t>
      </w:r>
      <w:r w:rsidR="0038393F">
        <w:rPr>
          <w:rFonts w:cstheme="minorHAnsi"/>
          <w:b/>
          <w:bCs/>
          <w:u w:val="single"/>
          <w:lang w:val="en-US"/>
        </w:rPr>
        <w:t>3</w:t>
      </w:r>
      <w:r w:rsidRPr="002A47FC">
        <w:rPr>
          <w:rFonts w:cstheme="minorHAnsi"/>
          <w:b/>
          <w:bCs/>
          <w:u w:val="single"/>
          <w:lang w:val="en-US"/>
        </w:rPr>
        <w:t xml:space="preserve"> 202</w:t>
      </w:r>
      <w:r w:rsidR="007B1331">
        <w:rPr>
          <w:rFonts w:cstheme="minorHAnsi"/>
          <w:b/>
          <w:bCs/>
          <w:u w:val="single"/>
          <w:lang w:val="en-US"/>
        </w:rPr>
        <w:t>2</w:t>
      </w:r>
      <w:r w:rsidR="0038393F">
        <w:rPr>
          <w:rFonts w:cstheme="minorHAnsi"/>
          <w:b/>
          <w:bCs/>
          <w:u w:val="single"/>
          <w:lang w:val="en-US"/>
        </w:rPr>
        <w:t xml:space="preserve"> Results</w:t>
      </w:r>
      <w:r w:rsidR="00EC2FC1" w:rsidRPr="002A47FC">
        <w:rPr>
          <w:rFonts w:cstheme="minorHAnsi"/>
          <w:b/>
          <w:bCs/>
          <w:u w:val="single"/>
          <w:lang w:val="en-US"/>
        </w:rPr>
        <w:t xml:space="preserve"> </w:t>
      </w:r>
    </w:p>
    <w:p w14:paraId="1160DC62" w14:textId="2CCC815F" w:rsidR="004C66FC" w:rsidRDefault="005D42C7" w:rsidP="00010C78">
      <w:pPr>
        <w:rPr>
          <w:rFonts w:cstheme="minorHAnsi"/>
        </w:rPr>
      </w:pPr>
      <w:r w:rsidRPr="002A47FC">
        <w:rPr>
          <w:rFonts w:cstheme="minorHAnsi"/>
        </w:rPr>
        <w:t xml:space="preserve">Merchandising and Other revenue </w:t>
      </w:r>
      <w:r w:rsidR="004B347D">
        <w:rPr>
          <w:rFonts w:cstheme="minorHAnsi"/>
        </w:rPr>
        <w:t>of</w:t>
      </w:r>
      <w:r w:rsidRPr="002A47FC">
        <w:rPr>
          <w:rFonts w:cstheme="minorHAnsi"/>
        </w:rPr>
        <w:t xml:space="preserve"> €</w:t>
      </w:r>
      <w:r w:rsidR="00524E20">
        <w:rPr>
          <w:rFonts w:cstheme="minorHAnsi"/>
          <w:lang w:val="en-US"/>
        </w:rPr>
        <w:t>189</w:t>
      </w:r>
      <w:r w:rsidR="000B302C" w:rsidRPr="002A47FC">
        <w:rPr>
          <w:rFonts w:cstheme="minorHAnsi"/>
        </w:rPr>
        <w:t xml:space="preserve"> </w:t>
      </w:r>
      <w:r w:rsidRPr="002A47FC">
        <w:rPr>
          <w:rFonts w:cstheme="minorHAnsi"/>
        </w:rPr>
        <w:t>million</w:t>
      </w:r>
      <w:r w:rsidR="004B347D">
        <w:rPr>
          <w:rFonts w:cstheme="minorHAnsi"/>
        </w:rPr>
        <w:t xml:space="preserve"> was</w:t>
      </w:r>
      <w:r w:rsidRPr="002A47FC">
        <w:rPr>
          <w:rFonts w:cstheme="minorHAnsi"/>
        </w:rPr>
        <w:t xml:space="preserve"> up </w:t>
      </w:r>
      <w:r w:rsidR="00524E20">
        <w:rPr>
          <w:rFonts w:cstheme="minorHAnsi"/>
          <w:lang w:val="en-US"/>
        </w:rPr>
        <w:t>125</w:t>
      </w:r>
      <w:r w:rsidR="00C71AAB">
        <w:rPr>
          <w:rFonts w:cstheme="minorHAnsi"/>
          <w:lang w:val="en-US"/>
        </w:rPr>
        <w:t>.</w:t>
      </w:r>
      <w:r w:rsidR="00524E20">
        <w:rPr>
          <w:rFonts w:cstheme="minorHAnsi"/>
          <w:lang w:val="en-US"/>
        </w:rPr>
        <w:t>0</w:t>
      </w:r>
      <w:r w:rsidRPr="002A47FC">
        <w:rPr>
          <w:rFonts w:cstheme="minorHAnsi"/>
        </w:rPr>
        <w:t>%</w:t>
      </w:r>
      <w:r w:rsidR="0029408A">
        <w:rPr>
          <w:rFonts w:cstheme="minorHAnsi"/>
        </w:rPr>
        <w:t xml:space="preserve"> </w:t>
      </w:r>
      <w:r w:rsidR="0029408A" w:rsidRPr="0029408A">
        <w:rPr>
          <w:rFonts w:cstheme="minorHAnsi"/>
        </w:rPr>
        <w:t>year-over-year</w:t>
      </w:r>
      <w:r w:rsidR="00994BB4" w:rsidRPr="002A47FC">
        <w:rPr>
          <w:rFonts w:cstheme="minorHAnsi"/>
          <w:lang w:val="en-US"/>
        </w:rPr>
        <w:t xml:space="preserve">, or </w:t>
      </w:r>
      <w:r w:rsidR="00524E20">
        <w:rPr>
          <w:rFonts w:cstheme="minorHAnsi"/>
          <w:lang w:val="en-US"/>
        </w:rPr>
        <w:t>101.1</w:t>
      </w:r>
      <w:r w:rsidR="00994BB4" w:rsidRPr="002A47FC">
        <w:rPr>
          <w:rFonts w:cstheme="minorHAnsi"/>
          <w:lang w:val="en-US"/>
        </w:rPr>
        <w:t xml:space="preserve">% </w:t>
      </w:r>
      <w:r w:rsidR="00A026EE" w:rsidRPr="002A47FC">
        <w:rPr>
          <w:rFonts w:cstheme="minorHAnsi"/>
          <w:lang w:val="en-US"/>
        </w:rPr>
        <w:t>in</w:t>
      </w:r>
      <w:r w:rsidR="00994BB4" w:rsidRPr="002A47FC">
        <w:rPr>
          <w:rFonts w:cstheme="minorHAnsi"/>
          <w:lang w:val="en-US"/>
        </w:rPr>
        <w:t xml:space="preserve"> constant </w:t>
      </w:r>
      <w:r w:rsidRPr="002A47FC">
        <w:rPr>
          <w:rFonts w:cstheme="minorHAnsi"/>
        </w:rPr>
        <w:t>currency, as</w:t>
      </w:r>
      <w:r w:rsidR="00214A70" w:rsidRPr="000762EF">
        <w:rPr>
          <w:rFonts w:cstheme="minorHAnsi"/>
        </w:rPr>
        <w:t xml:space="preserve"> touring-related merchandising revenue</w:t>
      </w:r>
      <w:r w:rsidR="00214A70" w:rsidRPr="000762EF">
        <w:rPr>
          <w:rFonts w:cstheme="minorHAnsi"/>
          <w:lang w:val="en-US"/>
        </w:rPr>
        <w:t xml:space="preserve"> </w:t>
      </w:r>
      <w:r w:rsidR="00214A70" w:rsidRPr="000762EF">
        <w:rPr>
          <w:rFonts w:cstheme="minorHAnsi"/>
        </w:rPr>
        <w:t xml:space="preserve">rebounded following </w:t>
      </w:r>
      <w:r w:rsidR="00214A70" w:rsidRPr="000762EF">
        <w:rPr>
          <w:rFonts w:cstheme="minorHAnsi"/>
          <w:lang w:val="en-US"/>
        </w:rPr>
        <w:t>a COVID related slow-down in live touring in the prior year</w:t>
      </w:r>
      <w:r w:rsidR="00214A70">
        <w:rPr>
          <w:rFonts w:cstheme="minorHAnsi"/>
          <w:lang w:val="en-US"/>
        </w:rPr>
        <w:t xml:space="preserve"> period</w:t>
      </w:r>
      <w:r w:rsidRPr="002A47FC">
        <w:rPr>
          <w:rFonts w:cstheme="minorHAnsi"/>
        </w:rPr>
        <w:t>.</w:t>
      </w:r>
    </w:p>
    <w:p w14:paraId="4F15C90A" w14:textId="5B8A29FD" w:rsidR="001D0CE6" w:rsidRPr="00010C78" w:rsidRDefault="001D0CE6" w:rsidP="001D0CE6">
      <w:pPr>
        <w:rPr>
          <w:rFonts w:ascii="Calibri" w:eastAsia="Times New Roman" w:hAnsi="Calibri" w:cs="Calibri"/>
          <w:b/>
          <w:bCs/>
          <w:u w:val="single"/>
          <w:lang w:val="en-US"/>
        </w:rPr>
      </w:pPr>
      <w:r w:rsidRPr="00010C78">
        <w:rPr>
          <w:rFonts w:ascii="Calibri" w:eastAsia="Times New Roman" w:hAnsi="Calibri" w:cs="Calibri"/>
          <w:b/>
          <w:bCs/>
          <w:u w:val="single"/>
          <w:lang w:val="en-US"/>
        </w:rPr>
        <w:t>YTD 2022 Results</w:t>
      </w:r>
    </w:p>
    <w:p w14:paraId="06F70F62" w14:textId="7CF257EB" w:rsidR="001D0CE6" w:rsidRPr="008B64BE" w:rsidRDefault="001D0CE6" w:rsidP="001D0CE6">
      <w:pPr>
        <w:spacing w:line="254" w:lineRule="auto"/>
        <w:rPr>
          <w:rFonts w:cstheme="minorHAnsi"/>
        </w:rPr>
      </w:pPr>
      <w:r w:rsidRPr="00010C78">
        <w:rPr>
          <w:rFonts w:ascii="Calibri" w:eastAsia="Times New Roman" w:hAnsi="Calibri" w:cs="Calibri"/>
          <w:lang w:val="en-US"/>
        </w:rPr>
        <w:t xml:space="preserve">Merchandising and Other revenue </w:t>
      </w:r>
      <w:r w:rsidR="006D3592">
        <w:rPr>
          <w:rFonts w:ascii="Calibri" w:eastAsia="Times New Roman" w:hAnsi="Calibri" w:cs="Calibri"/>
          <w:lang w:val="en-US"/>
        </w:rPr>
        <w:t>of</w:t>
      </w:r>
      <w:r w:rsidRPr="00010C78">
        <w:rPr>
          <w:rFonts w:ascii="Calibri" w:eastAsia="Times New Roman" w:hAnsi="Calibri" w:cs="Calibri"/>
          <w:lang w:val="en-US"/>
        </w:rPr>
        <w:t xml:space="preserve"> €437 million</w:t>
      </w:r>
      <w:r w:rsidR="006D3592">
        <w:rPr>
          <w:rFonts w:ascii="Calibri" w:eastAsia="Times New Roman" w:hAnsi="Calibri" w:cs="Calibri"/>
          <w:lang w:val="en-US"/>
        </w:rPr>
        <w:t xml:space="preserve"> was</w:t>
      </w:r>
      <w:r w:rsidRPr="00010C78">
        <w:rPr>
          <w:rFonts w:ascii="Calibri" w:eastAsia="Times New Roman" w:hAnsi="Calibri" w:cs="Calibri"/>
          <w:lang w:val="en-US"/>
        </w:rPr>
        <w:t xml:space="preserve"> up 96.8% year-over-year, or 80.6% in constant currency, </w:t>
      </w:r>
      <w:r w:rsidRPr="00010C78">
        <w:rPr>
          <w:rFonts w:ascii="Calibri" w:eastAsia="Times New Roman" w:hAnsi="Calibri" w:cs="Calibri"/>
        </w:rPr>
        <w:t xml:space="preserve">as </w:t>
      </w:r>
      <w:r w:rsidRPr="00FA5983">
        <w:rPr>
          <w:rFonts w:cstheme="minorHAnsi"/>
        </w:rPr>
        <w:t>touring-related merchandising revenue</w:t>
      </w:r>
      <w:r w:rsidRPr="00FA5983">
        <w:rPr>
          <w:rFonts w:cstheme="minorHAnsi"/>
          <w:lang w:val="en-US"/>
        </w:rPr>
        <w:t xml:space="preserve"> </w:t>
      </w:r>
      <w:r w:rsidRPr="00FA5983">
        <w:rPr>
          <w:rFonts w:cstheme="minorHAnsi"/>
        </w:rPr>
        <w:t xml:space="preserve">rebounded following </w:t>
      </w:r>
      <w:r w:rsidRPr="00FA5983">
        <w:rPr>
          <w:rFonts w:cstheme="minorHAnsi"/>
          <w:lang w:val="en-US"/>
        </w:rPr>
        <w:t xml:space="preserve">a COVID related slow-down in </w:t>
      </w:r>
      <w:r w:rsidRPr="002A42A5">
        <w:rPr>
          <w:rFonts w:cstheme="minorHAnsi"/>
          <w:lang w:val="en-US"/>
        </w:rPr>
        <w:t>live touring in the prior year</w:t>
      </w:r>
      <w:r w:rsidRPr="006D3592">
        <w:rPr>
          <w:rFonts w:cstheme="minorHAnsi"/>
          <w:lang w:val="en-US"/>
        </w:rPr>
        <w:t xml:space="preserve"> period</w:t>
      </w:r>
      <w:r w:rsidRPr="008B64BE">
        <w:rPr>
          <w:rFonts w:ascii="Calibri" w:eastAsia="Times New Roman" w:hAnsi="Calibri" w:cs="Calibri"/>
        </w:rPr>
        <w:t>.</w:t>
      </w:r>
    </w:p>
    <w:p w14:paraId="1050C2AB" w14:textId="56EB798B" w:rsidR="00355207" w:rsidRPr="008B64BE" w:rsidRDefault="00355207" w:rsidP="00893DEC">
      <w:pPr>
        <w:pStyle w:val="RFtitre3"/>
        <w:numPr>
          <w:ilvl w:val="0"/>
          <w:numId w:val="0"/>
        </w:numPr>
        <w:spacing w:after="120"/>
        <w:ind w:left="578" w:hanging="578"/>
        <w:rPr>
          <w:rFonts w:asciiTheme="minorHAnsi" w:hAnsiTheme="minorHAnsi" w:cstheme="minorHAnsi"/>
          <w:color w:val="auto"/>
          <w:sz w:val="22"/>
          <w:szCs w:val="22"/>
          <w:lang w:val="en-GB"/>
        </w:rPr>
      </w:pPr>
      <w:r w:rsidRPr="008B64BE">
        <w:rPr>
          <w:rFonts w:asciiTheme="minorHAnsi" w:hAnsiTheme="minorHAnsi" w:cstheme="minorHAnsi"/>
          <w:color w:val="auto"/>
          <w:sz w:val="22"/>
          <w:szCs w:val="22"/>
          <w:lang w:val="en-GB"/>
        </w:rPr>
        <w:t>Conference Call Details</w:t>
      </w:r>
    </w:p>
    <w:p w14:paraId="0548C822" w14:textId="28D95AF1" w:rsidR="00355207" w:rsidRPr="008B64BE" w:rsidRDefault="00355207" w:rsidP="00355207">
      <w:pPr>
        <w:rPr>
          <w:rFonts w:cstheme="minorHAnsi"/>
        </w:rPr>
      </w:pPr>
      <w:r w:rsidRPr="008B64BE">
        <w:rPr>
          <w:rFonts w:cstheme="minorHAnsi"/>
        </w:rPr>
        <w:t xml:space="preserve">The Company will host a conference call to discuss these results on </w:t>
      </w:r>
      <w:r w:rsidR="006D3592">
        <w:rPr>
          <w:rFonts w:cstheme="minorHAnsi"/>
        </w:rPr>
        <w:t>October</w:t>
      </w:r>
      <w:r w:rsidR="007C5228">
        <w:rPr>
          <w:rFonts w:cstheme="minorHAnsi"/>
        </w:rPr>
        <w:t xml:space="preserve"> 27,</w:t>
      </w:r>
      <w:r w:rsidRPr="008B64BE">
        <w:rPr>
          <w:rFonts w:cstheme="minorHAnsi"/>
        </w:rPr>
        <w:t xml:space="preserve"> </w:t>
      </w:r>
      <w:proofErr w:type="gramStart"/>
      <w:r w:rsidRPr="008B64BE">
        <w:rPr>
          <w:rFonts w:cstheme="minorHAnsi"/>
        </w:rPr>
        <w:t>202</w:t>
      </w:r>
      <w:r w:rsidR="00155DBA" w:rsidRPr="008B64BE">
        <w:rPr>
          <w:rFonts w:cstheme="minorHAnsi"/>
        </w:rPr>
        <w:t>2</w:t>
      </w:r>
      <w:proofErr w:type="gramEnd"/>
      <w:r w:rsidRPr="008B64BE">
        <w:rPr>
          <w:rFonts w:cstheme="minorHAnsi"/>
        </w:rPr>
        <w:t xml:space="preserve"> at </w:t>
      </w:r>
      <w:r w:rsidR="006D3592">
        <w:rPr>
          <w:rFonts w:cstheme="minorHAnsi"/>
        </w:rPr>
        <w:t>6:15PM</w:t>
      </w:r>
      <w:r w:rsidRPr="008B64BE">
        <w:rPr>
          <w:rFonts w:cstheme="minorHAnsi"/>
        </w:rPr>
        <w:t xml:space="preserve"> CET. A link to the live audio webcast will be available on </w:t>
      </w:r>
      <w:hyperlink r:id="rId16" w:tgtFrame="_blank" w:history="1">
        <w:r w:rsidRPr="008B64BE">
          <w:rPr>
            <w:rFonts w:cstheme="minorHAnsi"/>
          </w:rPr>
          <w:t>investors.universalmusic.com</w:t>
        </w:r>
      </w:hyperlink>
      <w:r w:rsidRPr="008B64BE">
        <w:rPr>
          <w:rFonts w:cstheme="minorHAnsi"/>
        </w:rPr>
        <w:t> and a link to the replay will be available after the call.</w:t>
      </w:r>
    </w:p>
    <w:p w14:paraId="543261B2" w14:textId="584EED72" w:rsidR="00355207" w:rsidRPr="008B64BE" w:rsidRDefault="00355207" w:rsidP="00355207">
      <w:pPr>
        <w:rPr>
          <w:rFonts w:cstheme="minorHAnsi"/>
        </w:rPr>
      </w:pPr>
      <w:r w:rsidRPr="008B64BE">
        <w:rPr>
          <w:rFonts w:cstheme="minorHAnsi"/>
        </w:rPr>
        <w:t>While listeners may use the webcast, a dial-in telephone number is required for investors and analysts to ask questions.  Investors and analysts interested in asking questions can pre-register for a dial-in line at </w:t>
      </w:r>
      <w:hyperlink r:id="rId17" w:tgtFrame="_blank" w:history="1">
        <w:r w:rsidRPr="008B64BE">
          <w:rPr>
            <w:rFonts w:cstheme="minorHAnsi"/>
          </w:rPr>
          <w:t>investors.universalmusic.com</w:t>
        </w:r>
      </w:hyperlink>
      <w:r w:rsidRPr="008B64BE">
        <w:rPr>
          <w:rFonts w:cstheme="minorHAnsi"/>
        </w:rPr>
        <w:t> under the "Financial Reports" tab.</w:t>
      </w:r>
    </w:p>
    <w:p w14:paraId="23E3012A" w14:textId="77777777" w:rsidR="003873B2" w:rsidRPr="008B64BE" w:rsidRDefault="003873B2" w:rsidP="00893DEC">
      <w:pPr>
        <w:pStyle w:val="RFtitre3"/>
        <w:numPr>
          <w:ilvl w:val="0"/>
          <w:numId w:val="0"/>
        </w:numPr>
        <w:spacing w:after="120"/>
        <w:ind w:left="578" w:hanging="578"/>
        <w:rPr>
          <w:rFonts w:asciiTheme="minorHAnsi" w:hAnsiTheme="minorHAnsi" w:cstheme="minorHAnsi"/>
          <w:color w:val="auto"/>
          <w:sz w:val="22"/>
          <w:szCs w:val="22"/>
          <w:lang w:val="en-GB"/>
        </w:rPr>
      </w:pPr>
      <w:r w:rsidRPr="008B64BE">
        <w:rPr>
          <w:rFonts w:asciiTheme="minorHAnsi" w:hAnsiTheme="minorHAnsi" w:cstheme="minorHAnsi"/>
          <w:color w:val="auto"/>
          <w:sz w:val="22"/>
          <w:szCs w:val="22"/>
          <w:lang w:val="en-GB"/>
        </w:rPr>
        <w:t>Cautionary Notice</w:t>
      </w:r>
    </w:p>
    <w:p w14:paraId="56B07CC7" w14:textId="358290D0" w:rsidR="003873B2" w:rsidRPr="008B64BE" w:rsidRDefault="003873B2" w:rsidP="003873B2">
      <w:pPr>
        <w:rPr>
          <w:rFonts w:cstheme="minorHAnsi"/>
        </w:rPr>
      </w:pPr>
      <w:r w:rsidRPr="008B64BE">
        <w:rPr>
          <w:rFonts w:cstheme="minorHAnsi"/>
        </w:rPr>
        <w:t>This press release is published by Universal Music Group N.V. and contains inside information within the meaning of article 7(1) of Regulation (EU) No</w:t>
      </w:r>
      <w:r w:rsidR="007C5228">
        <w:rPr>
          <w:rFonts w:cstheme="minorHAnsi"/>
        </w:rPr>
        <w:t>.</w:t>
      </w:r>
      <w:r w:rsidRPr="008B64BE">
        <w:rPr>
          <w:rFonts w:cstheme="minorHAnsi"/>
        </w:rPr>
        <w:t xml:space="preserve"> 596/2014 (Market Abuse Regulation).</w:t>
      </w:r>
    </w:p>
    <w:p w14:paraId="5118287F" w14:textId="77777777" w:rsidR="00103E03" w:rsidRPr="008B64BE" w:rsidRDefault="00103E03" w:rsidP="00103E03">
      <w:pPr>
        <w:pStyle w:val="RFtitre3"/>
        <w:numPr>
          <w:ilvl w:val="0"/>
          <w:numId w:val="0"/>
        </w:numPr>
        <w:spacing w:after="120"/>
        <w:ind w:left="578" w:hanging="578"/>
        <w:rPr>
          <w:rFonts w:asciiTheme="minorHAnsi" w:hAnsiTheme="minorHAnsi" w:cstheme="minorHAnsi"/>
          <w:color w:val="auto"/>
          <w:sz w:val="22"/>
          <w:szCs w:val="22"/>
          <w:lang w:val="en-GB"/>
        </w:rPr>
      </w:pPr>
      <w:r w:rsidRPr="008B64BE">
        <w:rPr>
          <w:rFonts w:asciiTheme="minorHAnsi" w:hAnsiTheme="minorHAnsi" w:cstheme="minorHAnsi"/>
          <w:color w:val="auto"/>
          <w:sz w:val="22"/>
          <w:szCs w:val="22"/>
          <w:lang w:val="en-GB"/>
        </w:rPr>
        <w:lastRenderedPageBreak/>
        <w:t>Forward-looking statements</w:t>
      </w:r>
    </w:p>
    <w:p w14:paraId="26D67ECF" w14:textId="1FDF27EC" w:rsidR="00103E03" w:rsidRPr="008B64BE" w:rsidRDefault="00103E03" w:rsidP="00103E03">
      <w:pPr>
        <w:autoSpaceDE w:val="0"/>
        <w:autoSpaceDN w:val="0"/>
        <w:adjustRightInd w:val="0"/>
        <w:spacing w:after="0"/>
        <w:rPr>
          <w:rFonts w:cstheme="minorHAnsi"/>
          <w:b/>
          <w:bCs/>
          <w:u w:val="single"/>
          <w:lang w:val="en-US"/>
        </w:rPr>
      </w:pPr>
      <w:r w:rsidRPr="008B64BE">
        <w:rPr>
          <w:rFonts w:cstheme="minorHAnsi"/>
          <w:iCs/>
        </w:rPr>
        <w:t xml:space="preserve">This press release may contain statements that constitute forward-looking statements with respect to UMG’s financial condition, results of operations, business, </w:t>
      </w:r>
      <w:proofErr w:type="gramStart"/>
      <w:r w:rsidRPr="008B64BE">
        <w:rPr>
          <w:rFonts w:cstheme="minorHAnsi"/>
          <w:iCs/>
        </w:rPr>
        <w:t>strategy</w:t>
      </w:r>
      <w:proofErr w:type="gramEnd"/>
      <w:r w:rsidRPr="008B64BE">
        <w:rPr>
          <w:rFonts w:cstheme="minorHAnsi"/>
          <w:iCs/>
        </w:rPr>
        <w:t xml:space="preserve"> and plans. Such forward-looking statements may be identified by the use of words such as ‘profit forecast’, ‘expect’, ‘estimate’, ‘project’, ‘anticipate’, ‘should’, ‘intend’, ‘plan’, ‘probability’, ‘risk’, ‘target’, ‘goal’, ‘objective’, ‘will’, ‘endeavour’, ‘optimistic’, ‘</w:t>
      </w:r>
      <w:proofErr w:type="gramStart"/>
      <w:r w:rsidRPr="008B64BE">
        <w:rPr>
          <w:rFonts w:cstheme="minorHAnsi"/>
          <w:iCs/>
        </w:rPr>
        <w:t>prospects’</w:t>
      </w:r>
      <w:proofErr w:type="gramEnd"/>
      <w:r w:rsidRPr="008B64BE">
        <w:rPr>
          <w:rFonts w:cstheme="minorHAnsi"/>
          <w:iCs/>
        </w:rPr>
        <w:t xml:space="preserve"> and similar expressions or variations on such expressions. Although UMG believes that such forward-looking statements are based on reasonable assumptions, they are not guarantees of future performance. Actual results may differ materially from such forward-looking statements as a result of a number of risks and uncertainties, many of which are related to factors that are outside UMG’s control, including, but not limited to, UMG’s inability to compete successfully and to identify, attract, sign and retain successful recording artists and songwriters, failure of streaming and subscription adoption or revenue to grow or to grow less rapidly than anticipated, UMG’s reliance on digital service providers, UMG’s inability to execute its business strategy, the global nature of UMG’s operations, UMG’s inability to protect its intellectual property and against piracy, UMG’s inability to attract and retain key personnel, changes in laws and regulations and the other risks that </w:t>
      </w:r>
      <w:r w:rsidR="004C65B0" w:rsidRPr="008B64BE">
        <w:rPr>
          <w:rFonts w:cstheme="minorHAnsi"/>
          <w:iCs/>
        </w:rPr>
        <w:t xml:space="preserve">have </w:t>
      </w:r>
      <w:r w:rsidRPr="008B64BE">
        <w:rPr>
          <w:rFonts w:cstheme="minorHAnsi"/>
          <w:iCs/>
        </w:rPr>
        <w:t>be</w:t>
      </w:r>
      <w:r w:rsidR="004C65B0" w:rsidRPr="008B64BE">
        <w:rPr>
          <w:rFonts w:cstheme="minorHAnsi"/>
          <w:iCs/>
        </w:rPr>
        <w:t>en</w:t>
      </w:r>
      <w:r w:rsidRPr="008B64BE">
        <w:rPr>
          <w:rFonts w:cstheme="minorHAnsi"/>
          <w:iCs/>
        </w:rPr>
        <w:t xml:space="preserve"> described in </w:t>
      </w:r>
      <w:r w:rsidR="004C65B0" w:rsidRPr="008B64BE">
        <w:rPr>
          <w:rFonts w:cstheme="minorHAnsi"/>
          <w:iCs/>
        </w:rPr>
        <w:t xml:space="preserve">UMG’s </w:t>
      </w:r>
      <w:r w:rsidR="00405B51" w:rsidRPr="008B64BE">
        <w:rPr>
          <w:rFonts w:cstheme="minorHAnsi"/>
          <w:iCs/>
        </w:rPr>
        <w:t xml:space="preserve">2021 </w:t>
      </w:r>
      <w:r w:rsidRPr="008B64BE">
        <w:rPr>
          <w:rFonts w:cstheme="minorHAnsi"/>
          <w:iCs/>
        </w:rPr>
        <w:t xml:space="preserve">annual report. Accordingly, UMG cautions readers against placing undue reliance on such forward-looking statements. Such forward-looking statements are made as of the date of this press release. UMG disclaims any intention or obligation to provide, update or revise any such forward-looking statements, whether </w:t>
      </w:r>
      <w:proofErr w:type="gramStart"/>
      <w:r w:rsidRPr="008B64BE">
        <w:rPr>
          <w:rFonts w:cstheme="minorHAnsi"/>
          <w:iCs/>
        </w:rPr>
        <w:t>as a result of</w:t>
      </w:r>
      <w:proofErr w:type="gramEnd"/>
      <w:r w:rsidRPr="008B64BE">
        <w:rPr>
          <w:rFonts w:cstheme="minorHAnsi"/>
          <w:iCs/>
        </w:rPr>
        <w:t xml:space="preserve"> new information, future events or otherwise.</w:t>
      </w:r>
    </w:p>
    <w:p w14:paraId="1FBB36F4" w14:textId="77777777" w:rsidR="00AB2DDD" w:rsidRPr="008B64BE" w:rsidRDefault="00196545" w:rsidP="00893DEC">
      <w:pPr>
        <w:pStyle w:val="RFtitre3"/>
        <w:numPr>
          <w:ilvl w:val="0"/>
          <w:numId w:val="0"/>
        </w:numPr>
        <w:spacing w:after="120"/>
        <w:ind w:left="578" w:hanging="578"/>
        <w:rPr>
          <w:rFonts w:asciiTheme="minorHAnsi" w:hAnsiTheme="minorHAnsi" w:cstheme="minorHAnsi"/>
          <w:color w:val="auto"/>
          <w:sz w:val="22"/>
          <w:szCs w:val="22"/>
          <w:lang w:val="en-GB"/>
        </w:rPr>
      </w:pPr>
      <w:r w:rsidRPr="008B64BE">
        <w:rPr>
          <w:rFonts w:asciiTheme="minorHAnsi" w:hAnsiTheme="minorHAnsi" w:cstheme="minorHAnsi"/>
          <w:color w:val="auto"/>
          <w:sz w:val="22"/>
          <w:szCs w:val="22"/>
          <w:lang w:val="en-GB"/>
        </w:rPr>
        <w:t>Alternative Performance Indicators</w:t>
      </w:r>
    </w:p>
    <w:p w14:paraId="78B0CBC8" w14:textId="02E52CA9" w:rsidR="00196545" w:rsidRPr="008B64BE" w:rsidRDefault="00196545" w:rsidP="00196545">
      <w:pPr>
        <w:rPr>
          <w:rFonts w:cstheme="minorHAnsi"/>
        </w:rPr>
      </w:pPr>
      <w:r w:rsidRPr="008B64BE">
        <w:rPr>
          <w:rFonts w:cstheme="minorHAnsi"/>
        </w:rPr>
        <w:t xml:space="preserve">This press release includes certain alternative performance indicators which are not defined in </w:t>
      </w:r>
      <w:r w:rsidR="00C2561A" w:rsidRPr="008B64BE">
        <w:rPr>
          <w:rFonts w:cstheme="minorHAnsi"/>
        </w:rPr>
        <w:t>IFRS</w:t>
      </w:r>
      <w:r w:rsidRPr="008B64BE">
        <w:rPr>
          <w:rFonts w:cstheme="minorHAnsi"/>
        </w:rPr>
        <w:t xml:space="preserve"> issued by the International Accounting Standards Board as endorsed by the EU. The descriptions of these alternative performance indicators </w:t>
      </w:r>
      <w:r w:rsidR="00C2561A" w:rsidRPr="008B64BE">
        <w:rPr>
          <w:rFonts w:cstheme="minorHAnsi"/>
        </w:rPr>
        <w:t xml:space="preserve">and reconciliations of non-IFRS to IFRS measures </w:t>
      </w:r>
      <w:r w:rsidRPr="008B64BE">
        <w:rPr>
          <w:rFonts w:cstheme="minorHAnsi"/>
        </w:rPr>
        <w:t>are included in the Appendix to this press release.</w:t>
      </w:r>
    </w:p>
    <w:p w14:paraId="3186B769" w14:textId="77777777" w:rsidR="00196545" w:rsidRPr="008B64BE" w:rsidRDefault="00196545" w:rsidP="00196545">
      <w:pPr>
        <w:pStyle w:val="RFtitre3"/>
        <w:numPr>
          <w:ilvl w:val="0"/>
          <w:numId w:val="0"/>
        </w:numPr>
        <w:spacing w:after="120"/>
        <w:ind w:left="578" w:hanging="578"/>
        <w:rPr>
          <w:rFonts w:asciiTheme="minorHAnsi" w:hAnsiTheme="minorHAnsi" w:cstheme="minorHAnsi"/>
          <w:color w:val="auto"/>
          <w:sz w:val="22"/>
          <w:szCs w:val="22"/>
          <w:lang w:val="en-GB"/>
        </w:rPr>
      </w:pPr>
      <w:r w:rsidRPr="008B64BE">
        <w:rPr>
          <w:rFonts w:asciiTheme="minorHAnsi" w:hAnsiTheme="minorHAnsi" w:cstheme="minorHAnsi"/>
          <w:color w:val="auto"/>
          <w:sz w:val="22"/>
          <w:szCs w:val="22"/>
          <w:lang w:val="en-GB"/>
        </w:rPr>
        <w:t>About Universal Music Group</w:t>
      </w:r>
    </w:p>
    <w:p w14:paraId="18370573" w14:textId="77777777" w:rsidR="00196545" w:rsidRPr="008B64BE" w:rsidRDefault="00196545" w:rsidP="00196545">
      <w:pPr>
        <w:rPr>
          <w:rFonts w:cstheme="minorHAnsi"/>
        </w:rPr>
      </w:pPr>
      <w:r w:rsidRPr="008B64BE">
        <w:rPr>
          <w:rFonts w:cstheme="minorHAnsi"/>
        </w:rPr>
        <w:t xml:space="preserve">At Universal Music Group (EURONEXT: UMG), we exist to shape culture through the power of artistry. UMG is the world leader in music-based entertainment, with a broad array of businesses engaged in recorded music, music publishing, merchandising and </w:t>
      </w:r>
      <w:proofErr w:type="spellStart"/>
      <w:r w:rsidRPr="008B64BE">
        <w:rPr>
          <w:rFonts w:cstheme="minorHAnsi"/>
        </w:rPr>
        <w:t>audiovisual</w:t>
      </w:r>
      <w:proofErr w:type="spellEnd"/>
      <w:r w:rsidRPr="008B64BE">
        <w:rPr>
          <w:rFonts w:cstheme="minorHAnsi"/>
        </w:rPr>
        <w:t xml:space="preserve"> content. Featuring the most comprehensive catalogue of recordings and songs across every musical genre, UMG identifies and develops artists and produces and distributes the most critically acclaimed and commercially successful music in the world. Committed to artistry, innovation and entrepreneurship, UMG fosters the development of services, </w:t>
      </w:r>
      <w:proofErr w:type="gramStart"/>
      <w:r w:rsidRPr="008B64BE">
        <w:rPr>
          <w:rFonts w:cstheme="minorHAnsi"/>
        </w:rPr>
        <w:t>platforms</w:t>
      </w:r>
      <w:proofErr w:type="gramEnd"/>
      <w:r w:rsidRPr="008B64BE">
        <w:rPr>
          <w:rFonts w:cstheme="minorHAnsi"/>
        </w:rPr>
        <w:t xml:space="preserve"> and business models in order to broaden artistic and commercial opportunities for our artists and create new experiences for fans. For more information on Universal Music Group N.V. visit </w:t>
      </w:r>
      <w:hyperlink r:id="rId18" w:tgtFrame="_blank" w:history="1">
        <w:r w:rsidRPr="008B64BE">
          <w:rPr>
            <w:rFonts w:cstheme="minorHAnsi"/>
          </w:rPr>
          <w:t>www.universalmusic.com</w:t>
        </w:r>
      </w:hyperlink>
    </w:p>
    <w:p w14:paraId="5A56C6C1" w14:textId="77777777" w:rsidR="00AB7AFB" w:rsidRPr="008B64BE" w:rsidRDefault="00AB7AFB" w:rsidP="00893DEC">
      <w:pPr>
        <w:pStyle w:val="RFtitre3"/>
        <w:numPr>
          <w:ilvl w:val="0"/>
          <w:numId w:val="0"/>
        </w:numPr>
        <w:spacing w:after="120"/>
        <w:ind w:left="578" w:hanging="578"/>
        <w:rPr>
          <w:rFonts w:asciiTheme="minorHAnsi" w:hAnsiTheme="minorHAnsi" w:cstheme="minorHAnsi"/>
          <w:color w:val="auto"/>
          <w:sz w:val="22"/>
          <w:szCs w:val="22"/>
          <w:lang w:val="en-GB"/>
        </w:rPr>
      </w:pPr>
      <w:r w:rsidRPr="008B64BE">
        <w:rPr>
          <w:rFonts w:asciiTheme="minorHAnsi" w:hAnsiTheme="minorHAnsi" w:cstheme="minorHAnsi"/>
          <w:color w:val="auto"/>
          <w:sz w:val="22"/>
          <w:szCs w:val="22"/>
          <w:lang w:val="en-GB"/>
        </w:rPr>
        <w:t>Contacts</w:t>
      </w:r>
    </w:p>
    <w:p w14:paraId="4E13CCD4" w14:textId="77777777" w:rsidR="00AB7AFB" w:rsidRPr="008B64BE" w:rsidRDefault="00AB7AFB" w:rsidP="00AB7AFB">
      <w:pPr>
        <w:spacing w:after="0"/>
        <w:rPr>
          <w:rFonts w:cstheme="minorHAnsi"/>
          <w:b/>
          <w:bCs/>
        </w:rPr>
      </w:pPr>
      <w:r w:rsidRPr="008B64BE">
        <w:rPr>
          <w:rFonts w:cstheme="minorHAnsi"/>
          <w:b/>
          <w:bCs/>
        </w:rPr>
        <w:t xml:space="preserve">Media </w:t>
      </w:r>
    </w:p>
    <w:p w14:paraId="68A5BE60" w14:textId="77777777" w:rsidR="00AB7AFB" w:rsidRPr="008B64BE" w:rsidRDefault="00AB7AFB" w:rsidP="00AB7AFB">
      <w:pPr>
        <w:spacing w:after="0"/>
        <w:rPr>
          <w:rFonts w:cstheme="minorHAnsi"/>
        </w:rPr>
      </w:pPr>
      <w:r w:rsidRPr="008B64BE">
        <w:rPr>
          <w:rFonts w:cstheme="minorHAnsi"/>
        </w:rPr>
        <w:t xml:space="preserve">James Murtagh-Hopkins - </w:t>
      </w:r>
      <w:hyperlink r:id="rId19" w:history="1">
        <w:r w:rsidRPr="008B64BE">
          <w:rPr>
            <w:rStyle w:val="Hyperlink"/>
            <w:rFonts w:cstheme="minorHAnsi"/>
            <w:color w:val="auto"/>
          </w:rPr>
          <w:t>communicationsnl@umusic.com</w:t>
        </w:r>
      </w:hyperlink>
    </w:p>
    <w:p w14:paraId="39854F27" w14:textId="77777777" w:rsidR="00AB7AFB" w:rsidRPr="008B64BE" w:rsidRDefault="00AB7AFB" w:rsidP="00AB7AFB">
      <w:pPr>
        <w:spacing w:after="0"/>
        <w:rPr>
          <w:rFonts w:cstheme="minorHAnsi"/>
          <w:b/>
          <w:bCs/>
        </w:rPr>
      </w:pPr>
    </w:p>
    <w:p w14:paraId="4A3A62AF" w14:textId="77777777" w:rsidR="00AB7AFB" w:rsidRPr="008B64BE" w:rsidRDefault="00AB7AFB" w:rsidP="00AB7AFB">
      <w:pPr>
        <w:spacing w:after="0"/>
        <w:rPr>
          <w:rFonts w:cstheme="minorHAnsi"/>
          <w:b/>
          <w:bCs/>
          <w:lang w:val="nl-NL"/>
        </w:rPr>
      </w:pPr>
      <w:r w:rsidRPr="008B64BE">
        <w:rPr>
          <w:rFonts w:cstheme="minorHAnsi"/>
          <w:b/>
          <w:bCs/>
          <w:lang w:val="nl-NL"/>
        </w:rPr>
        <w:t>Investors</w:t>
      </w:r>
    </w:p>
    <w:p w14:paraId="3CE8B368" w14:textId="77777777" w:rsidR="00AB7AFB" w:rsidRPr="008B64BE" w:rsidRDefault="00AB7AFB" w:rsidP="00AB7AFB">
      <w:pPr>
        <w:spacing w:after="0"/>
        <w:rPr>
          <w:rFonts w:cstheme="minorHAnsi"/>
          <w:lang w:val="nl-NL"/>
        </w:rPr>
      </w:pPr>
      <w:r w:rsidRPr="008B64BE">
        <w:rPr>
          <w:rFonts w:cstheme="minorHAnsi"/>
          <w:lang w:val="nl-NL"/>
        </w:rPr>
        <w:t xml:space="preserve">Erika Begun - </w:t>
      </w:r>
      <w:hyperlink r:id="rId20" w:history="1">
        <w:r w:rsidRPr="008B64BE">
          <w:rPr>
            <w:rStyle w:val="Hyperlink"/>
            <w:rFonts w:cstheme="minorHAnsi"/>
            <w:color w:val="auto"/>
            <w:lang w:val="nl-NL"/>
          </w:rPr>
          <w:t>investorrelations@umusic.com</w:t>
        </w:r>
      </w:hyperlink>
    </w:p>
    <w:p w14:paraId="185D3711" w14:textId="77777777" w:rsidR="00F50CBB" w:rsidRDefault="00F50CBB" w:rsidP="00BB2722">
      <w:pPr>
        <w:spacing w:after="0"/>
        <w:rPr>
          <w:rFonts w:cstheme="minorHAnsi"/>
          <w:b/>
          <w:bCs/>
        </w:rPr>
      </w:pPr>
    </w:p>
    <w:p w14:paraId="30281B15" w14:textId="77777777" w:rsidR="00F50CBB" w:rsidRDefault="00F50CBB" w:rsidP="00BB2722">
      <w:pPr>
        <w:spacing w:after="0"/>
        <w:rPr>
          <w:rFonts w:cstheme="minorHAnsi"/>
          <w:b/>
          <w:bCs/>
        </w:rPr>
      </w:pPr>
    </w:p>
    <w:p w14:paraId="5C40D0C9" w14:textId="77777777" w:rsidR="00F50CBB" w:rsidRDefault="00F50CBB" w:rsidP="00BB2722">
      <w:pPr>
        <w:spacing w:after="0"/>
        <w:rPr>
          <w:rFonts w:cstheme="minorHAnsi"/>
          <w:b/>
          <w:bCs/>
        </w:rPr>
      </w:pPr>
    </w:p>
    <w:p w14:paraId="57A7BC92" w14:textId="77777777" w:rsidR="00F50CBB" w:rsidRDefault="00F50CBB" w:rsidP="00BB2722">
      <w:pPr>
        <w:spacing w:after="0"/>
        <w:rPr>
          <w:rFonts w:cstheme="minorHAnsi"/>
          <w:b/>
          <w:bCs/>
        </w:rPr>
      </w:pPr>
    </w:p>
    <w:p w14:paraId="6AB6C33F" w14:textId="3D96A794" w:rsidR="00BB2722" w:rsidRPr="006D3592" w:rsidRDefault="00BB2722" w:rsidP="00BB2722">
      <w:pPr>
        <w:spacing w:after="0"/>
        <w:rPr>
          <w:rFonts w:cstheme="minorHAnsi"/>
          <w:b/>
          <w:bCs/>
        </w:rPr>
      </w:pPr>
      <w:r w:rsidRPr="002A42A5">
        <w:rPr>
          <w:rFonts w:cstheme="minorHAnsi"/>
          <w:b/>
          <w:bCs/>
        </w:rPr>
        <w:lastRenderedPageBreak/>
        <w:t>Appendix</w:t>
      </w:r>
    </w:p>
    <w:p w14:paraId="25385E93" w14:textId="77777777" w:rsidR="00924D0D" w:rsidRPr="008B64BE" w:rsidRDefault="00924D0D" w:rsidP="00BB2722">
      <w:pPr>
        <w:spacing w:after="0"/>
        <w:rPr>
          <w:rFonts w:cstheme="minorHAnsi"/>
          <w:b/>
          <w:bCs/>
        </w:rPr>
      </w:pPr>
    </w:p>
    <w:p w14:paraId="793B158D" w14:textId="670A6368" w:rsidR="00BB2722" w:rsidRPr="002A42A5" w:rsidRDefault="00C26329" w:rsidP="00BB2722">
      <w:pPr>
        <w:rPr>
          <w:lang w:eastAsia="fr-FR"/>
        </w:rPr>
      </w:pPr>
      <w:r w:rsidRPr="007E5254">
        <w:rPr>
          <w:noProof/>
        </w:rPr>
        <w:drawing>
          <wp:inline distT="0" distB="0" distL="0" distR="0" wp14:anchorId="627D84D6" wp14:editId="3027712B">
            <wp:extent cx="5925820" cy="1377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25820" cy="1377315"/>
                    </a:xfrm>
                    <a:prstGeom prst="rect">
                      <a:avLst/>
                    </a:prstGeom>
                  </pic:spPr>
                </pic:pic>
              </a:graphicData>
            </a:graphic>
          </wp:inline>
        </w:drawing>
      </w:r>
    </w:p>
    <w:p w14:paraId="34FC516A" w14:textId="77777777" w:rsidR="005D3959" w:rsidRPr="008B64BE" w:rsidRDefault="005D3959" w:rsidP="005D3959">
      <w:pPr>
        <w:pStyle w:val="RFtitre3"/>
        <w:numPr>
          <w:ilvl w:val="0"/>
          <w:numId w:val="0"/>
        </w:numPr>
        <w:spacing w:after="120"/>
        <w:ind w:left="578" w:hanging="578"/>
        <w:rPr>
          <w:rFonts w:cstheme="minorHAnsi"/>
          <w:b w:val="0"/>
          <w:color w:val="auto"/>
          <w:lang w:val="en-GB"/>
        </w:rPr>
      </w:pPr>
      <w:r w:rsidRPr="008B64BE">
        <w:rPr>
          <w:rFonts w:asciiTheme="minorHAnsi" w:hAnsiTheme="minorHAnsi" w:cstheme="minorHAnsi"/>
          <w:color w:val="auto"/>
          <w:sz w:val="22"/>
          <w:szCs w:val="22"/>
          <w:lang w:val="en-GB"/>
        </w:rPr>
        <w:t>DEFINITIONS</w:t>
      </w:r>
    </w:p>
    <w:p w14:paraId="4ECC3064" w14:textId="5B2A631F" w:rsidR="005D3959" w:rsidRPr="008B64BE" w:rsidRDefault="005D3959" w:rsidP="005D3959">
      <w:pPr>
        <w:spacing w:before="80"/>
        <w:rPr>
          <w:rFonts w:cstheme="minorHAnsi"/>
          <w:i/>
        </w:rPr>
      </w:pPr>
      <w:r w:rsidRPr="008B64BE">
        <w:rPr>
          <w:rFonts w:cstheme="minorHAnsi"/>
        </w:rPr>
        <w:t xml:space="preserve">In this press release, UMG presents certain financial measures when discussing UMG’s performance that are not measures of financial performance or liquidity under IFRS (“non-IFRS”). These non-IFRS measures (also known as alternative performance </w:t>
      </w:r>
      <w:r w:rsidRPr="009D5B9C">
        <w:rPr>
          <w:rFonts w:cstheme="minorHAnsi"/>
        </w:rPr>
        <w:t>measures</w:t>
      </w:r>
      <w:r w:rsidR="009D5B9C">
        <w:rPr>
          <w:rFonts w:cstheme="minorHAnsi"/>
        </w:rPr>
        <w:t xml:space="preserve"> or indicators</w:t>
      </w:r>
      <w:r w:rsidRPr="008B64BE">
        <w:rPr>
          <w:rFonts w:cstheme="minorHAnsi"/>
        </w:rPr>
        <w:t xml:space="preserve">) are presented because management considers them important supplemental measures of UMG’s performance and believes that they are widely used in the industry in which UMG operates as a means of evaluating a company’s operating performance and liquidity. UMG believes that an understanding of its sales performance, profitability, financial </w:t>
      </w:r>
      <w:proofErr w:type="gramStart"/>
      <w:r w:rsidRPr="008B64BE">
        <w:rPr>
          <w:rFonts w:cstheme="minorHAnsi"/>
        </w:rPr>
        <w:t>strength</w:t>
      </w:r>
      <w:proofErr w:type="gramEnd"/>
      <w:r w:rsidRPr="008B64BE">
        <w:rPr>
          <w:rFonts w:cstheme="minorHAnsi"/>
        </w:rPr>
        <w:t xml:space="preserve"> and funding requirements is enhanced by reporting the following non-IFRS measures. All non-IFRS measures should be considered in addition to, and not as a substitute for, other IFRS measures of operating and financial performance as described in this press release. In addition, it should be noted that other companies may have definitions and calculations for these non-IFRS measures that differ from those used by UMG, thereby affecting comparability.</w:t>
      </w:r>
    </w:p>
    <w:p w14:paraId="02E99A7B" w14:textId="77777777" w:rsidR="005D3959" w:rsidRPr="008B64BE" w:rsidRDefault="005D3959" w:rsidP="005D3959">
      <w:pPr>
        <w:keepNext/>
        <w:spacing w:after="0"/>
        <w:rPr>
          <w:rFonts w:cstheme="minorHAnsi"/>
          <w:b/>
          <w:bCs/>
          <w:iCs/>
        </w:rPr>
      </w:pPr>
      <w:r w:rsidRPr="008B64BE">
        <w:rPr>
          <w:rFonts w:cstheme="minorHAnsi"/>
          <w:b/>
          <w:bCs/>
          <w:iCs/>
        </w:rPr>
        <w:t>EBITDA and EBITDA margin</w:t>
      </w:r>
    </w:p>
    <w:p w14:paraId="56D80566" w14:textId="77777777" w:rsidR="005D3959" w:rsidRPr="008B64BE" w:rsidRDefault="005D3959" w:rsidP="005D3959">
      <w:pPr>
        <w:jc w:val="both"/>
        <w:rPr>
          <w:lang w:eastAsia="fr-FR"/>
        </w:rPr>
      </w:pPr>
      <w:r w:rsidRPr="008B64BE">
        <w:t xml:space="preserve">UMG </w:t>
      </w:r>
      <w:r w:rsidRPr="008B64BE">
        <w:rPr>
          <w:lang w:eastAsia="fr-FR"/>
        </w:rPr>
        <w:t xml:space="preserve">considers EBITDA and EBITDA margin, non-IFRS measures, to be relevant measures to assess the performance of its operating segments as reported in the segment data. It enables </w:t>
      </w:r>
      <w:r w:rsidRPr="008B64BE">
        <w:t xml:space="preserve">UMG </w:t>
      </w:r>
      <w:r w:rsidRPr="008B64BE">
        <w:rPr>
          <w:lang w:eastAsia="fr-FR"/>
        </w:rPr>
        <w:t>to compare the operating performance of operating segments regardless of whether their performance is driven by the operating segment’s organic growth or by acquisitions. EBITDA margin is EBITDA divided by revenue. To calculate EBITDA, the accounting impact of the following items is excluded from the income from Operating Profit:</w:t>
      </w:r>
    </w:p>
    <w:p w14:paraId="3853F40C" w14:textId="77777777" w:rsidR="005D3959" w:rsidRPr="008B64BE" w:rsidRDefault="005D3959" w:rsidP="005D3959">
      <w:pPr>
        <w:numPr>
          <w:ilvl w:val="0"/>
          <w:numId w:val="22"/>
        </w:numPr>
        <w:jc w:val="both"/>
        <w:rPr>
          <w:lang w:eastAsia="fr-FR"/>
        </w:rPr>
      </w:pPr>
      <w:r w:rsidRPr="008B64BE">
        <w:rPr>
          <w:lang w:eastAsia="fr-FR"/>
        </w:rPr>
        <w:t xml:space="preserve">amortization of intangible </w:t>
      </w:r>
      <w:proofErr w:type="gramStart"/>
      <w:r w:rsidRPr="008B64BE">
        <w:rPr>
          <w:lang w:eastAsia="fr-FR"/>
        </w:rPr>
        <w:t>assets;</w:t>
      </w:r>
      <w:proofErr w:type="gramEnd"/>
    </w:p>
    <w:p w14:paraId="07C6409D" w14:textId="77777777" w:rsidR="005D3959" w:rsidRPr="008B64BE" w:rsidRDefault="005D3959" w:rsidP="005D3959">
      <w:pPr>
        <w:numPr>
          <w:ilvl w:val="0"/>
          <w:numId w:val="22"/>
        </w:numPr>
        <w:jc w:val="both"/>
        <w:rPr>
          <w:lang w:eastAsia="fr-FR"/>
        </w:rPr>
      </w:pPr>
      <w:r w:rsidRPr="008B64BE">
        <w:rPr>
          <w:lang w:eastAsia="fr-FR"/>
        </w:rPr>
        <w:t xml:space="preserve">impairment losses on goodwill and other </w:t>
      </w:r>
      <w:proofErr w:type="gramStart"/>
      <w:r w:rsidRPr="008B64BE">
        <w:rPr>
          <w:lang w:eastAsia="fr-FR"/>
        </w:rPr>
        <w:t>intangibles;</w:t>
      </w:r>
      <w:proofErr w:type="gramEnd"/>
      <w:r w:rsidRPr="008B64BE">
        <w:rPr>
          <w:lang w:eastAsia="fr-FR"/>
        </w:rPr>
        <w:t xml:space="preserve"> </w:t>
      </w:r>
    </w:p>
    <w:p w14:paraId="5BA968C0" w14:textId="77777777" w:rsidR="005D3959" w:rsidRPr="008B64BE" w:rsidRDefault="005D3959" w:rsidP="005D3959">
      <w:pPr>
        <w:numPr>
          <w:ilvl w:val="0"/>
          <w:numId w:val="22"/>
        </w:numPr>
        <w:jc w:val="both"/>
        <w:rPr>
          <w:lang w:eastAsia="fr-FR"/>
        </w:rPr>
      </w:pPr>
      <w:r w:rsidRPr="008B64BE">
        <w:rPr>
          <w:lang w:eastAsia="fr-FR"/>
        </w:rPr>
        <w:t>other income and expenses related to transactions with shareowners (except when directly recognized in equity</w:t>
      </w:r>
      <w:proofErr w:type="gramStart"/>
      <w:r w:rsidRPr="008B64BE">
        <w:rPr>
          <w:lang w:eastAsia="fr-FR"/>
        </w:rPr>
        <w:t>);</w:t>
      </w:r>
      <w:proofErr w:type="gramEnd"/>
    </w:p>
    <w:p w14:paraId="0D2483EA" w14:textId="77777777" w:rsidR="005D3959" w:rsidRPr="008B64BE" w:rsidRDefault="005D3959" w:rsidP="005D3959">
      <w:pPr>
        <w:numPr>
          <w:ilvl w:val="0"/>
          <w:numId w:val="22"/>
        </w:numPr>
        <w:jc w:val="both"/>
        <w:rPr>
          <w:lang w:eastAsia="fr-FR"/>
        </w:rPr>
      </w:pPr>
      <w:r w:rsidRPr="008B64BE">
        <w:rPr>
          <w:lang w:eastAsia="fr-FR"/>
        </w:rPr>
        <w:t>depreciation of tangible assets</w:t>
      </w:r>
      <w:r w:rsidRPr="008B64BE">
        <w:rPr>
          <w:rFonts w:cstheme="minorHAnsi"/>
        </w:rPr>
        <w:t xml:space="preserve"> including</w:t>
      </w:r>
      <w:r w:rsidRPr="008B64BE">
        <w:rPr>
          <w:lang w:eastAsia="fr-FR"/>
        </w:rPr>
        <w:t xml:space="preserve"> right of use </w:t>
      </w:r>
      <w:proofErr w:type="gramStart"/>
      <w:r w:rsidRPr="008B64BE">
        <w:rPr>
          <w:lang w:eastAsia="fr-FR"/>
        </w:rPr>
        <w:t>assets;</w:t>
      </w:r>
      <w:proofErr w:type="gramEnd"/>
    </w:p>
    <w:p w14:paraId="4CE56CA4" w14:textId="117C344F" w:rsidR="005D3959" w:rsidRPr="008B64BE" w:rsidRDefault="005D3959" w:rsidP="005D3959">
      <w:pPr>
        <w:numPr>
          <w:ilvl w:val="0"/>
          <w:numId w:val="22"/>
        </w:numPr>
        <w:jc w:val="both"/>
        <w:rPr>
          <w:lang w:eastAsia="fr-FR"/>
        </w:rPr>
      </w:pPr>
      <w:r w:rsidRPr="008B64BE">
        <w:rPr>
          <w:lang w:eastAsia="fr-FR"/>
        </w:rPr>
        <w:t>(gains)/losses on the sale of tangible assets, includ</w:t>
      </w:r>
      <w:r w:rsidR="0054446E" w:rsidRPr="008B64BE">
        <w:rPr>
          <w:lang w:eastAsia="fr-FR"/>
        </w:rPr>
        <w:t>ing</w:t>
      </w:r>
      <w:r w:rsidRPr="008B64BE">
        <w:rPr>
          <w:lang w:eastAsia="fr-FR"/>
        </w:rPr>
        <w:t xml:space="preserve"> right of use assets and intangible </w:t>
      </w:r>
      <w:proofErr w:type="gramStart"/>
      <w:r w:rsidRPr="008B64BE">
        <w:rPr>
          <w:lang w:eastAsia="fr-FR"/>
        </w:rPr>
        <w:t>assets;</w:t>
      </w:r>
      <w:proofErr w:type="gramEnd"/>
    </w:p>
    <w:p w14:paraId="1885B81B" w14:textId="77777777" w:rsidR="005D3959" w:rsidRPr="008B64BE" w:rsidRDefault="005D3959" w:rsidP="005D3959">
      <w:pPr>
        <w:numPr>
          <w:ilvl w:val="0"/>
          <w:numId w:val="22"/>
        </w:numPr>
        <w:jc w:val="both"/>
        <w:rPr>
          <w:lang w:eastAsia="fr-FR"/>
        </w:rPr>
      </w:pPr>
      <w:r w:rsidRPr="008B64BE">
        <w:rPr>
          <w:lang w:eastAsia="fr-FR"/>
        </w:rPr>
        <w:t xml:space="preserve">(income)/losses from equity </w:t>
      </w:r>
      <w:proofErr w:type="gramStart"/>
      <w:r w:rsidRPr="008B64BE">
        <w:rPr>
          <w:lang w:eastAsia="fr-FR"/>
        </w:rPr>
        <w:t>affiliates;</w:t>
      </w:r>
      <w:proofErr w:type="gramEnd"/>
    </w:p>
    <w:p w14:paraId="5CF4A632" w14:textId="77777777" w:rsidR="005D3959" w:rsidRPr="008B64BE" w:rsidRDefault="005D3959" w:rsidP="005D3959">
      <w:pPr>
        <w:numPr>
          <w:ilvl w:val="0"/>
          <w:numId w:val="22"/>
        </w:numPr>
        <w:jc w:val="both"/>
        <w:rPr>
          <w:lang w:eastAsia="fr-FR"/>
        </w:rPr>
      </w:pPr>
      <w:r w:rsidRPr="008B64BE">
        <w:rPr>
          <w:lang w:eastAsia="fr-FR"/>
        </w:rPr>
        <w:t xml:space="preserve">restructuring expenses; and </w:t>
      </w:r>
    </w:p>
    <w:p w14:paraId="3098A375" w14:textId="77777777" w:rsidR="005D3959" w:rsidRPr="008B64BE" w:rsidRDefault="005D3959" w:rsidP="005D3959">
      <w:pPr>
        <w:numPr>
          <w:ilvl w:val="0"/>
          <w:numId w:val="22"/>
        </w:numPr>
        <w:jc w:val="both"/>
        <w:rPr>
          <w:lang w:eastAsia="fr-FR"/>
        </w:rPr>
      </w:pPr>
      <w:r w:rsidRPr="008B64BE">
        <w:rPr>
          <w:lang w:eastAsia="fr-FR"/>
        </w:rPr>
        <w:t>other non-recurring items.</w:t>
      </w:r>
    </w:p>
    <w:p w14:paraId="6AC38A6E" w14:textId="77777777" w:rsidR="005D3959" w:rsidRPr="008B64BE" w:rsidRDefault="005D3959" w:rsidP="005D3959">
      <w:pPr>
        <w:tabs>
          <w:tab w:val="left" w:pos="9781"/>
        </w:tabs>
        <w:autoSpaceDE w:val="0"/>
        <w:autoSpaceDN w:val="0"/>
        <w:adjustRightInd w:val="0"/>
        <w:spacing w:after="0"/>
        <w:rPr>
          <w:rFonts w:cstheme="minorHAnsi"/>
          <w:iCs/>
        </w:rPr>
      </w:pPr>
    </w:p>
    <w:p w14:paraId="6AA29060" w14:textId="77777777" w:rsidR="005D3959" w:rsidRPr="008B64BE" w:rsidRDefault="005D3959" w:rsidP="005D3959">
      <w:pPr>
        <w:keepNext/>
        <w:spacing w:after="0"/>
        <w:rPr>
          <w:rFonts w:cstheme="minorHAnsi"/>
          <w:b/>
          <w:iCs/>
        </w:rPr>
      </w:pPr>
      <w:r w:rsidRPr="008B64BE">
        <w:rPr>
          <w:rFonts w:cstheme="minorHAnsi"/>
          <w:b/>
          <w:iCs/>
        </w:rPr>
        <w:lastRenderedPageBreak/>
        <w:t>Adjusted EBITDA and Adjusted EBITDA margin</w:t>
      </w:r>
    </w:p>
    <w:p w14:paraId="79899AB9" w14:textId="2813A3EA" w:rsidR="005D3959" w:rsidRPr="008B64BE" w:rsidRDefault="005D3959" w:rsidP="005D3959">
      <w:pPr>
        <w:keepNext/>
        <w:spacing w:after="0"/>
        <w:rPr>
          <w:rFonts w:cstheme="minorHAnsi"/>
          <w:iCs/>
        </w:rPr>
      </w:pPr>
      <w:r w:rsidRPr="008B64BE">
        <w:rPr>
          <w:rFonts w:cstheme="minorHAnsi"/>
          <w:bCs/>
          <w:iCs/>
        </w:rPr>
        <w:t>The difference between EBITDA and Adjusted EBITDA consists of share-based compensation expenses and certain one-time items that are deemed by management to be significant and incidental to normal business activity, including but not limited to professional fees and listing fees related to UMG’s listing on Euronext Amsterdam</w:t>
      </w:r>
      <w:r w:rsidR="001072B5" w:rsidRPr="008B64BE">
        <w:rPr>
          <w:rFonts w:cstheme="minorHAnsi"/>
          <w:bCs/>
          <w:iCs/>
        </w:rPr>
        <w:t xml:space="preserve">.  </w:t>
      </w:r>
      <w:r w:rsidRPr="008B64BE">
        <w:rPr>
          <w:rFonts w:cstheme="minorHAnsi"/>
          <w:bCs/>
          <w:iCs/>
        </w:rPr>
        <w:t>Adjusted EBITDA margin is Adjusted EBITDA divided by revenue.  UMG considers Adjusted EBITDA and Adjusted EBITDA margin, non-IFRS measures, to be relevant measures to assess performance of its operating activities excluding items that may be incidental to normal business activity</w:t>
      </w:r>
      <w:r w:rsidRPr="008B64BE">
        <w:rPr>
          <w:rFonts w:cstheme="minorHAnsi"/>
          <w:iCs/>
        </w:rPr>
        <w:t xml:space="preserve">. </w:t>
      </w:r>
    </w:p>
    <w:p w14:paraId="3E428B7D" w14:textId="2AE0D9F3" w:rsidR="00201F69" w:rsidRPr="002A47FC" w:rsidRDefault="00201F69" w:rsidP="00296F5A">
      <w:pPr>
        <w:rPr>
          <w:rFonts w:cstheme="minorHAnsi"/>
          <w:b/>
          <w:bCs/>
          <w:u w:val="single"/>
          <w:lang w:val="en-US"/>
        </w:rPr>
      </w:pPr>
    </w:p>
    <w:sectPr w:rsidR="00201F69" w:rsidRPr="002A47FC" w:rsidSect="00713886">
      <w:footerReference w:type="default" r:id="rId22"/>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A031" w14:textId="77777777" w:rsidR="00B22A96" w:rsidRDefault="00B22A96" w:rsidP="00CC6C91">
      <w:pPr>
        <w:spacing w:after="0" w:line="240" w:lineRule="auto"/>
      </w:pPr>
      <w:r>
        <w:separator/>
      </w:r>
    </w:p>
  </w:endnote>
  <w:endnote w:type="continuationSeparator" w:id="0">
    <w:p w14:paraId="3A669621" w14:textId="77777777" w:rsidR="00B22A96" w:rsidRDefault="00B22A96" w:rsidP="00CC6C91">
      <w:pPr>
        <w:spacing w:after="0" w:line="240" w:lineRule="auto"/>
      </w:pPr>
      <w:r>
        <w:continuationSeparator/>
      </w:r>
    </w:p>
  </w:endnote>
  <w:endnote w:type="continuationNotice" w:id="1">
    <w:p w14:paraId="17458DB9" w14:textId="77777777" w:rsidR="00B22A96" w:rsidRDefault="00B22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7 CondensedLight">
    <w:altName w:val="Calibri"/>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449497"/>
      <w:docPartObj>
        <w:docPartGallery w:val="Page Numbers (Bottom of Page)"/>
        <w:docPartUnique/>
      </w:docPartObj>
    </w:sdtPr>
    <w:sdtEndPr>
      <w:rPr>
        <w:noProof/>
      </w:rPr>
    </w:sdtEndPr>
    <w:sdtContent>
      <w:p w14:paraId="41A7A956" w14:textId="331F3770" w:rsidR="006B7EE0" w:rsidRDefault="006B7E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38C855" w14:textId="77777777" w:rsidR="006B7EE0" w:rsidRDefault="006B7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BC95" w14:textId="77777777" w:rsidR="00B22A96" w:rsidRDefault="00B22A96" w:rsidP="00CC6C91">
      <w:pPr>
        <w:spacing w:after="0" w:line="240" w:lineRule="auto"/>
      </w:pPr>
      <w:r>
        <w:separator/>
      </w:r>
    </w:p>
  </w:footnote>
  <w:footnote w:type="continuationSeparator" w:id="0">
    <w:p w14:paraId="5C1AF832" w14:textId="77777777" w:rsidR="00B22A96" w:rsidRDefault="00B22A96" w:rsidP="00CC6C91">
      <w:pPr>
        <w:spacing w:after="0" w:line="240" w:lineRule="auto"/>
      </w:pPr>
      <w:r>
        <w:continuationSeparator/>
      </w:r>
    </w:p>
  </w:footnote>
  <w:footnote w:type="continuationNotice" w:id="1">
    <w:p w14:paraId="3977E005" w14:textId="77777777" w:rsidR="00B22A96" w:rsidRDefault="00B22A96">
      <w:pPr>
        <w:spacing w:after="0" w:line="240" w:lineRule="auto"/>
      </w:pPr>
    </w:p>
  </w:footnote>
  <w:footnote w:id="2">
    <w:p w14:paraId="2068F962" w14:textId="22D8C4B0" w:rsidR="005D6259" w:rsidRPr="00893DEC" w:rsidRDefault="005D6259">
      <w:pPr>
        <w:pStyle w:val="FootnoteText"/>
        <w:rPr>
          <w:sz w:val="18"/>
          <w:szCs w:val="18"/>
          <w:lang w:val="en-US"/>
        </w:rPr>
      </w:pPr>
      <w:r w:rsidRPr="00893DEC">
        <w:rPr>
          <w:rStyle w:val="FootnoteReference"/>
          <w:sz w:val="18"/>
          <w:szCs w:val="18"/>
        </w:rPr>
        <w:footnoteRef/>
      </w:r>
      <w:r w:rsidRPr="00893DEC">
        <w:rPr>
          <w:sz w:val="18"/>
          <w:szCs w:val="18"/>
        </w:rPr>
        <w:t xml:space="preserve"> </w:t>
      </w:r>
      <w:r w:rsidR="00C618BF" w:rsidRPr="00893DEC">
        <w:rPr>
          <w:sz w:val="18"/>
          <w:szCs w:val="18"/>
        </w:rPr>
        <w:t xml:space="preserve">This press release includes certain alternative performance indicators which are not defined in the International Financial Reporting Standards </w:t>
      </w:r>
      <w:r w:rsidR="00C2561A">
        <w:rPr>
          <w:sz w:val="18"/>
          <w:szCs w:val="18"/>
        </w:rPr>
        <w:t xml:space="preserve">(“IFRS”) </w:t>
      </w:r>
      <w:r w:rsidR="00C618BF" w:rsidRPr="00893DEC">
        <w:rPr>
          <w:sz w:val="18"/>
          <w:szCs w:val="18"/>
        </w:rPr>
        <w:t xml:space="preserve">issued by the International Accounting Standards Board as endorsed by the EU. The descriptions of these alternative performance indicators </w:t>
      </w:r>
      <w:r w:rsidR="00C2561A">
        <w:rPr>
          <w:sz w:val="18"/>
          <w:szCs w:val="18"/>
        </w:rPr>
        <w:t xml:space="preserve">and reconciliations of non-IFRS to IFRS measures </w:t>
      </w:r>
      <w:r w:rsidR="00C618BF" w:rsidRPr="00893DEC">
        <w:rPr>
          <w:sz w:val="18"/>
          <w:szCs w:val="18"/>
        </w:rPr>
        <w:t>are included in the Appendix to this press release.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2D9"/>
    <w:multiLevelType w:val="hybridMultilevel"/>
    <w:tmpl w:val="3A682334"/>
    <w:lvl w:ilvl="0" w:tplc="E8328D74">
      <w:start w:val="1"/>
      <w:numFmt w:val="bullet"/>
      <w:lvlText w:val=""/>
      <w:lvlJc w:val="left"/>
      <w:pPr>
        <w:ind w:left="720" w:hanging="360"/>
      </w:pPr>
      <w:rPr>
        <w:rFonts w:ascii="Symbol" w:hAnsi="Symbol" w:hint="default"/>
        <w:color w:val="008080"/>
        <w:sz w:val="18"/>
      </w:rPr>
    </w:lvl>
    <w:lvl w:ilvl="1" w:tplc="242403AA" w:tentative="1">
      <w:start w:val="1"/>
      <w:numFmt w:val="bullet"/>
      <w:lvlText w:val="o"/>
      <w:lvlJc w:val="left"/>
      <w:pPr>
        <w:ind w:left="1440" w:hanging="360"/>
      </w:pPr>
      <w:rPr>
        <w:rFonts w:ascii="Courier New" w:hAnsi="Courier New" w:cs="Courier New" w:hint="default"/>
      </w:rPr>
    </w:lvl>
    <w:lvl w:ilvl="2" w:tplc="0DE68B34" w:tentative="1">
      <w:start w:val="1"/>
      <w:numFmt w:val="bullet"/>
      <w:lvlText w:val=""/>
      <w:lvlJc w:val="left"/>
      <w:pPr>
        <w:ind w:left="2160" w:hanging="360"/>
      </w:pPr>
      <w:rPr>
        <w:rFonts w:ascii="Wingdings" w:hAnsi="Wingdings" w:hint="default"/>
      </w:rPr>
    </w:lvl>
    <w:lvl w:ilvl="3" w:tplc="BE88FAB0" w:tentative="1">
      <w:start w:val="1"/>
      <w:numFmt w:val="bullet"/>
      <w:lvlText w:val=""/>
      <w:lvlJc w:val="left"/>
      <w:pPr>
        <w:ind w:left="2880" w:hanging="360"/>
      </w:pPr>
      <w:rPr>
        <w:rFonts w:ascii="Symbol" w:hAnsi="Symbol" w:hint="default"/>
      </w:rPr>
    </w:lvl>
    <w:lvl w:ilvl="4" w:tplc="D67ABD7A" w:tentative="1">
      <w:start w:val="1"/>
      <w:numFmt w:val="bullet"/>
      <w:lvlText w:val="o"/>
      <w:lvlJc w:val="left"/>
      <w:pPr>
        <w:ind w:left="3600" w:hanging="360"/>
      </w:pPr>
      <w:rPr>
        <w:rFonts w:ascii="Courier New" w:hAnsi="Courier New" w:cs="Courier New" w:hint="default"/>
      </w:rPr>
    </w:lvl>
    <w:lvl w:ilvl="5" w:tplc="80D4BF06" w:tentative="1">
      <w:start w:val="1"/>
      <w:numFmt w:val="bullet"/>
      <w:lvlText w:val=""/>
      <w:lvlJc w:val="left"/>
      <w:pPr>
        <w:ind w:left="4320" w:hanging="360"/>
      </w:pPr>
      <w:rPr>
        <w:rFonts w:ascii="Wingdings" w:hAnsi="Wingdings" w:hint="default"/>
      </w:rPr>
    </w:lvl>
    <w:lvl w:ilvl="6" w:tplc="E29C0928" w:tentative="1">
      <w:start w:val="1"/>
      <w:numFmt w:val="bullet"/>
      <w:lvlText w:val=""/>
      <w:lvlJc w:val="left"/>
      <w:pPr>
        <w:ind w:left="5040" w:hanging="360"/>
      </w:pPr>
      <w:rPr>
        <w:rFonts w:ascii="Symbol" w:hAnsi="Symbol" w:hint="default"/>
      </w:rPr>
    </w:lvl>
    <w:lvl w:ilvl="7" w:tplc="A55EA26E" w:tentative="1">
      <w:start w:val="1"/>
      <w:numFmt w:val="bullet"/>
      <w:lvlText w:val="o"/>
      <w:lvlJc w:val="left"/>
      <w:pPr>
        <w:ind w:left="5760" w:hanging="360"/>
      </w:pPr>
      <w:rPr>
        <w:rFonts w:ascii="Courier New" w:hAnsi="Courier New" w:cs="Courier New" w:hint="default"/>
      </w:rPr>
    </w:lvl>
    <w:lvl w:ilvl="8" w:tplc="E9424752" w:tentative="1">
      <w:start w:val="1"/>
      <w:numFmt w:val="bullet"/>
      <w:lvlText w:val=""/>
      <w:lvlJc w:val="left"/>
      <w:pPr>
        <w:ind w:left="6480" w:hanging="360"/>
      </w:pPr>
      <w:rPr>
        <w:rFonts w:ascii="Wingdings" w:hAnsi="Wingdings" w:hint="default"/>
      </w:rPr>
    </w:lvl>
  </w:abstractNum>
  <w:abstractNum w:abstractNumId="1" w15:restartNumberingAfterBreak="0">
    <w:nsid w:val="0CB230D6"/>
    <w:multiLevelType w:val="hybridMultilevel"/>
    <w:tmpl w:val="5C14C550"/>
    <w:lvl w:ilvl="0" w:tplc="2000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B31F13"/>
    <w:multiLevelType w:val="hybridMultilevel"/>
    <w:tmpl w:val="A25AD6FA"/>
    <w:lvl w:ilvl="0" w:tplc="92E28B44">
      <w:start w:val="1"/>
      <w:numFmt w:val="lowerRoman"/>
      <w:lvlText w:val="%1."/>
      <w:lvlJc w:val="right"/>
      <w:pPr>
        <w:ind w:left="720" w:hanging="360"/>
      </w:pPr>
      <w:rPr>
        <w:rFonts w:hint="default"/>
        <w:color w:val="0080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F53B3"/>
    <w:multiLevelType w:val="hybridMultilevel"/>
    <w:tmpl w:val="9E00FF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DD578D2"/>
    <w:multiLevelType w:val="hybridMultilevel"/>
    <w:tmpl w:val="C20CD112"/>
    <w:lvl w:ilvl="0" w:tplc="0809001B">
      <w:start w:val="1"/>
      <w:numFmt w:val="lowerRoman"/>
      <w:lvlText w:val="%1."/>
      <w:lvlJc w:val="right"/>
      <w:pPr>
        <w:ind w:left="720" w:hanging="360"/>
      </w:pPr>
      <w:rPr>
        <w:rFonts w:hint="default"/>
        <w:color w:val="0080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3402C9"/>
    <w:multiLevelType w:val="multilevel"/>
    <w:tmpl w:val="9794A1B8"/>
    <w:name w:val="Liste_RFE"/>
    <w:lvl w:ilvl="0">
      <w:start w:val="1"/>
      <w:numFmt w:val="decimal"/>
      <w:pStyle w:val="RFtitre1"/>
      <w:lvlText w:val="%1"/>
      <w:lvlJc w:val="left"/>
      <w:pPr>
        <w:tabs>
          <w:tab w:val="num" w:pos="578"/>
        </w:tabs>
        <w:ind w:left="578" w:hanging="578"/>
      </w:pPr>
      <w:rPr>
        <w:rFonts w:ascii="Univers 47 CondensedLight" w:hAnsi="Univers 47 CondensedLight" w:cs="Times New Roman" w:hint="default"/>
        <w:b/>
        <w:i w:val="0"/>
        <w:color w:val="008080"/>
        <w:sz w:val="46"/>
      </w:rPr>
    </w:lvl>
    <w:lvl w:ilvl="1">
      <w:start w:val="1"/>
      <w:numFmt w:val="decimal"/>
      <w:pStyle w:val="RFtitre2"/>
      <w:lvlText w:val="%1.%2"/>
      <w:lvlJc w:val="left"/>
      <w:pPr>
        <w:tabs>
          <w:tab w:val="num" w:pos="578"/>
        </w:tabs>
        <w:ind w:left="578" w:hanging="578"/>
      </w:pPr>
      <w:rPr>
        <w:rFonts w:ascii="Univers 47 CondensedLight" w:hAnsi="Univers 47 CondensedLight" w:cs="Times New Roman" w:hint="default"/>
        <w:b w:val="0"/>
        <w:i w:val="0"/>
        <w:color w:val="008080"/>
        <w:sz w:val="38"/>
      </w:rPr>
    </w:lvl>
    <w:lvl w:ilvl="2">
      <w:start w:val="1"/>
      <w:numFmt w:val="decimal"/>
      <w:pStyle w:val="RFtitre3"/>
      <w:isLgl/>
      <w:lvlText w:val="%1.%2.%3"/>
      <w:lvlJc w:val="left"/>
      <w:pPr>
        <w:tabs>
          <w:tab w:val="num" w:pos="578"/>
        </w:tabs>
        <w:ind w:left="578" w:hanging="578"/>
      </w:pPr>
      <w:rPr>
        <w:rFonts w:ascii="Univers 47 CondensedLight" w:hAnsi="Univers 47 CondensedLight" w:cs="Times New Roman" w:hint="default"/>
        <w:b/>
        <w:i w:val="0"/>
        <w:color w:val="008080"/>
        <w:sz w:val="20"/>
        <w:szCs w:val="20"/>
      </w:rPr>
    </w:lvl>
    <w:lvl w:ilvl="3">
      <w:start w:val="1"/>
      <w:numFmt w:val="decimal"/>
      <w:pStyle w:val="RFTitre4"/>
      <w:lvlText w:val="%1.%2.%3.%4"/>
      <w:lvlJc w:val="left"/>
      <w:pPr>
        <w:tabs>
          <w:tab w:val="num" w:pos="578"/>
        </w:tabs>
        <w:ind w:left="578" w:hanging="578"/>
      </w:pPr>
      <w:rPr>
        <w:rFonts w:ascii="Univers 47 CondensedLight" w:hAnsi="Univers 47 CondensedLight" w:cs="Times New Roman" w:hint="default"/>
        <w:b w:val="0"/>
        <w:bCs w:val="0"/>
        <w:i w:val="0"/>
        <w:iCs w:val="0"/>
        <w:caps w:val="0"/>
        <w:smallCaps w:val="0"/>
        <w:strike w:val="0"/>
        <w:dstrike w:val="0"/>
        <w:vanish w:val="0"/>
        <w:color w:val="808080"/>
        <w:spacing w:val="0"/>
        <w:kern w:val="0"/>
        <w:position w:val="0"/>
        <w:sz w:val="20"/>
        <w:u w:val="none"/>
        <w:vertAlign w:val="baseline"/>
      </w:rPr>
    </w:lvl>
    <w:lvl w:ilvl="4">
      <w:start w:val="1"/>
      <w:numFmt w:val="decimal"/>
      <w:lvlRestart w:val="0"/>
      <w:pStyle w:val="RFtitreannexe"/>
      <w:lvlText w:val="%5"/>
      <w:lvlJc w:val="left"/>
      <w:pPr>
        <w:tabs>
          <w:tab w:val="num" w:pos="567"/>
        </w:tabs>
        <w:ind w:left="567" w:hanging="567"/>
      </w:pPr>
      <w:rPr>
        <w:rFonts w:ascii="Univers 47 CondensedLight" w:hAnsi="Univers 47 CondensedLight" w:cs="Times New Roman" w:hint="default"/>
        <w:color w:val="008080"/>
        <w:sz w:val="38"/>
      </w:rPr>
    </w:lvl>
    <w:lvl w:ilvl="5">
      <w:start w:val="1"/>
      <w:numFmt w:val="decimal"/>
      <w:lvlRestart w:val="0"/>
      <w:pStyle w:val="EFtitre1"/>
      <w:lvlText w:val="Note %6"/>
      <w:lvlJc w:val="left"/>
      <w:pPr>
        <w:tabs>
          <w:tab w:val="num" w:pos="1418"/>
        </w:tabs>
        <w:ind w:left="1418" w:hanging="1418"/>
      </w:pPr>
      <w:rPr>
        <w:rFonts w:ascii="Univers 47 CondensedLight" w:hAnsi="Univers 47 CondensedLight" w:cs="Times New Roman" w:hint="default"/>
        <w:b/>
        <w:i w:val="0"/>
        <w:color w:val="008080"/>
        <w:sz w:val="32"/>
      </w:rPr>
    </w:lvl>
    <w:lvl w:ilvl="6">
      <w:start w:val="1"/>
      <w:numFmt w:val="decimal"/>
      <w:pStyle w:val="EFtitre2"/>
      <w:lvlText w:val="%6.%7"/>
      <w:lvlJc w:val="left"/>
      <w:pPr>
        <w:tabs>
          <w:tab w:val="num" w:pos="680"/>
        </w:tabs>
        <w:ind w:left="680" w:hanging="680"/>
      </w:pPr>
      <w:rPr>
        <w:rFonts w:ascii="Univers 47 CondensedLight" w:hAnsi="Univers 47 CondensedLight" w:cs="Times New Roman" w:hint="default"/>
        <w:b/>
        <w:i w:val="0"/>
        <w:color w:val="008080"/>
        <w:sz w:val="24"/>
      </w:rPr>
    </w:lvl>
    <w:lvl w:ilvl="7">
      <w:start w:val="1"/>
      <w:numFmt w:val="decimal"/>
      <w:pStyle w:val="EFtitre3"/>
      <w:lvlText w:val="%6.%7.%8"/>
      <w:lvlJc w:val="left"/>
      <w:pPr>
        <w:tabs>
          <w:tab w:val="num" w:pos="680"/>
        </w:tabs>
        <w:ind w:left="680" w:hanging="680"/>
      </w:pPr>
      <w:rPr>
        <w:rFonts w:ascii="Univers 47 CondensedLight" w:hAnsi="Univers 47 CondensedLight" w:cs="Times New Roman" w:hint="default"/>
        <w:b/>
        <w:i w:val="0"/>
        <w:color w:val="008080"/>
        <w:sz w:val="20"/>
      </w:rPr>
    </w:lvl>
    <w:lvl w:ilvl="8">
      <w:start w:val="1"/>
      <w:numFmt w:val="decimal"/>
      <w:pStyle w:val="EFtitre4"/>
      <w:lvlText w:val="%6.%7.%8.%9"/>
      <w:lvlJc w:val="left"/>
      <w:pPr>
        <w:tabs>
          <w:tab w:val="num" w:pos="680"/>
        </w:tabs>
        <w:ind w:left="680" w:hanging="680"/>
      </w:pPr>
      <w:rPr>
        <w:rFonts w:ascii="Univers 47 CondensedLight" w:hAnsi="Univers 47 CondensedLight" w:cs="Times New Roman" w:hint="default"/>
        <w:color w:val="008080"/>
        <w:sz w:val="20"/>
      </w:rPr>
    </w:lvl>
  </w:abstractNum>
  <w:abstractNum w:abstractNumId="6" w15:restartNumberingAfterBreak="0">
    <w:nsid w:val="320641C6"/>
    <w:multiLevelType w:val="hybridMultilevel"/>
    <w:tmpl w:val="35F4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A0AFB"/>
    <w:multiLevelType w:val="hybridMultilevel"/>
    <w:tmpl w:val="D990E3BE"/>
    <w:lvl w:ilvl="0" w:tplc="2000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563378"/>
    <w:multiLevelType w:val="hybridMultilevel"/>
    <w:tmpl w:val="72A8131A"/>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1A04A9E"/>
    <w:multiLevelType w:val="hybridMultilevel"/>
    <w:tmpl w:val="F1F2821E"/>
    <w:lvl w:ilvl="0" w:tplc="26562D8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34A108B"/>
    <w:multiLevelType w:val="hybridMultilevel"/>
    <w:tmpl w:val="ABAA2C22"/>
    <w:lvl w:ilvl="0" w:tplc="11508D28">
      <w:start w:val="1"/>
      <w:numFmt w:val="lowerRoman"/>
      <w:lvlText w:val="%1."/>
      <w:lvlJc w:val="right"/>
      <w:pPr>
        <w:ind w:left="720" w:hanging="360"/>
      </w:pPr>
      <w:rPr>
        <w:rFonts w:hint="default"/>
        <w:color w:val="0080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5A73C9"/>
    <w:multiLevelType w:val="hybridMultilevel"/>
    <w:tmpl w:val="79845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6ED179D"/>
    <w:multiLevelType w:val="hybridMultilevel"/>
    <w:tmpl w:val="DDE06BFE"/>
    <w:lvl w:ilvl="0" w:tplc="2B827FBA">
      <w:start w:val="1"/>
      <w:numFmt w:val="bullet"/>
      <w:lvlText w:val=""/>
      <w:lvlJc w:val="left"/>
      <w:pPr>
        <w:ind w:left="720" w:hanging="360"/>
      </w:pPr>
      <w:rPr>
        <w:rFonts w:ascii="Symbol" w:hAnsi="Symbol" w:hint="default"/>
        <w:color w:val="008080"/>
      </w:rPr>
    </w:lvl>
    <w:lvl w:ilvl="1" w:tplc="A768CDD0" w:tentative="1">
      <w:start w:val="1"/>
      <w:numFmt w:val="bullet"/>
      <w:lvlText w:val="o"/>
      <w:lvlJc w:val="left"/>
      <w:pPr>
        <w:ind w:left="1440" w:hanging="360"/>
      </w:pPr>
      <w:rPr>
        <w:rFonts w:ascii="Courier New" w:hAnsi="Courier New" w:cs="Courier New" w:hint="default"/>
      </w:rPr>
    </w:lvl>
    <w:lvl w:ilvl="2" w:tplc="32DC9988" w:tentative="1">
      <w:start w:val="1"/>
      <w:numFmt w:val="bullet"/>
      <w:lvlText w:val=""/>
      <w:lvlJc w:val="left"/>
      <w:pPr>
        <w:ind w:left="2160" w:hanging="360"/>
      </w:pPr>
      <w:rPr>
        <w:rFonts w:ascii="Wingdings" w:hAnsi="Wingdings" w:hint="default"/>
      </w:rPr>
    </w:lvl>
    <w:lvl w:ilvl="3" w:tplc="6FDE076E" w:tentative="1">
      <w:start w:val="1"/>
      <w:numFmt w:val="bullet"/>
      <w:lvlText w:val=""/>
      <w:lvlJc w:val="left"/>
      <w:pPr>
        <w:ind w:left="2880" w:hanging="360"/>
      </w:pPr>
      <w:rPr>
        <w:rFonts w:ascii="Symbol" w:hAnsi="Symbol" w:hint="default"/>
      </w:rPr>
    </w:lvl>
    <w:lvl w:ilvl="4" w:tplc="3FA61892" w:tentative="1">
      <w:start w:val="1"/>
      <w:numFmt w:val="bullet"/>
      <w:lvlText w:val="o"/>
      <w:lvlJc w:val="left"/>
      <w:pPr>
        <w:ind w:left="3600" w:hanging="360"/>
      </w:pPr>
      <w:rPr>
        <w:rFonts w:ascii="Courier New" w:hAnsi="Courier New" w:cs="Courier New" w:hint="default"/>
      </w:rPr>
    </w:lvl>
    <w:lvl w:ilvl="5" w:tplc="FDBA5A4E" w:tentative="1">
      <w:start w:val="1"/>
      <w:numFmt w:val="bullet"/>
      <w:lvlText w:val=""/>
      <w:lvlJc w:val="left"/>
      <w:pPr>
        <w:ind w:left="4320" w:hanging="360"/>
      </w:pPr>
      <w:rPr>
        <w:rFonts w:ascii="Wingdings" w:hAnsi="Wingdings" w:hint="default"/>
      </w:rPr>
    </w:lvl>
    <w:lvl w:ilvl="6" w:tplc="F3D4C70C" w:tentative="1">
      <w:start w:val="1"/>
      <w:numFmt w:val="bullet"/>
      <w:lvlText w:val=""/>
      <w:lvlJc w:val="left"/>
      <w:pPr>
        <w:ind w:left="5040" w:hanging="360"/>
      </w:pPr>
      <w:rPr>
        <w:rFonts w:ascii="Symbol" w:hAnsi="Symbol" w:hint="default"/>
      </w:rPr>
    </w:lvl>
    <w:lvl w:ilvl="7" w:tplc="BB1A7AAC" w:tentative="1">
      <w:start w:val="1"/>
      <w:numFmt w:val="bullet"/>
      <w:lvlText w:val="o"/>
      <w:lvlJc w:val="left"/>
      <w:pPr>
        <w:ind w:left="5760" w:hanging="360"/>
      </w:pPr>
      <w:rPr>
        <w:rFonts w:ascii="Courier New" w:hAnsi="Courier New" w:cs="Courier New" w:hint="default"/>
      </w:rPr>
    </w:lvl>
    <w:lvl w:ilvl="8" w:tplc="BF860ACC" w:tentative="1">
      <w:start w:val="1"/>
      <w:numFmt w:val="bullet"/>
      <w:lvlText w:val=""/>
      <w:lvlJc w:val="left"/>
      <w:pPr>
        <w:ind w:left="6480" w:hanging="360"/>
      </w:pPr>
      <w:rPr>
        <w:rFonts w:ascii="Wingdings" w:hAnsi="Wingdings" w:hint="default"/>
      </w:rPr>
    </w:lvl>
  </w:abstractNum>
  <w:abstractNum w:abstractNumId="13" w15:restartNumberingAfterBreak="0">
    <w:nsid w:val="571D4CF4"/>
    <w:multiLevelType w:val="hybridMultilevel"/>
    <w:tmpl w:val="FC3C20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B562D3E"/>
    <w:multiLevelType w:val="hybridMultilevel"/>
    <w:tmpl w:val="366C3736"/>
    <w:lvl w:ilvl="0" w:tplc="20000001">
      <w:start w:val="1"/>
      <w:numFmt w:val="bullet"/>
      <w:lvlText w:val=""/>
      <w:lvlJc w:val="left"/>
      <w:pPr>
        <w:ind w:left="720" w:hanging="360"/>
      </w:pPr>
      <w:rPr>
        <w:rFonts w:ascii="Symbol" w:hAnsi="Symbol" w:hint="default"/>
      </w:rPr>
    </w:lvl>
    <w:lvl w:ilvl="1" w:tplc="8D264E22">
      <w:numFmt w:val="bullet"/>
      <w:lvlText w:val="-"/>
      <w:lvlJc w:val="left"/>
      <w:pPr>
        <w:ind w:left="1845" w:hanging="765"/>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D7925D4"/>
    <w:multiLevelType w:val="hybridMultilevel"/>
    <w:tmpl w:val="D5FCA054"/>
    <w:lvl w:ilvl="0" w:tplc="77A801DC">
      <w:start w:val="1"/>
      <w:numFmt w:val="lowerRoman"/>
      <w:lvlText w:val="%1."/>
      <w:lvlJc w:val="right"/>
      <w:pPr>
        <w:ind w:left="720" w:hanging="360"/>
      </w:pPr>
      <w:rPr>
        <w:rFonts w:hint="default"/>
        <w:color w:val="0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667F11"/>
    <w:multiLevelType w:val="hybridMultilevel"/>
    <w:tmpl w:val="EB8E3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D76A6E"/>
    <w:multiLevelType w:val="hybridMultilevel"/>
    <w:tmpl w:val="B3900EC8"/>
    <w:lvl w:ilvl="0" w:tplc="5ECC4AF2">
      <w:start w:val="1"/>
      <w:numFmt w:val="bullet"/>
      <w:pStyle w:val="List"/>
      <w:lvlText w:val=""/>
      <w:lvlJc w:val="left"/>
      <w:pPr>
        <w:ind w:left="720" w:hanging="360"/>
      </w:pPr>
      <w:rPr>
        <w:rFonts w:ascii="Symbol" w:hAnsi="Symbol" w:hint="default"/>
        <w:color w:val="0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D76A7C"/>
    <w:multiLevelType w:val="hybridMultilevel"/>
    <w:tmpl w:val="CABAFD64"/>
    <w:lvl w:ilvl="0" w:tplc="A6AA5152">
      <w:start w:val="1"/>
      <w:numFmt w:val="lowerRoman"/>
      <w:lvlText w:val="%1."/>
      <w:lvlJc w:val="right"/>
      <w:pPr>
        <w:ind w:left="720" w:hanging="360"/>
      </w:pPr>
      <w:rPr>
        <w:rFonts w:cs="Times New Roman"/>
      </w:rPr>
    </w:lvl>
    <w:lvl w:ilvl="1" w:tplc="25301506">
      <w:start w:val="1"/>
      <w:numFmt w:val="lowerLetter"/>
      <w:lvlText w:val="%2."/>
      <w:lvlJc w:val="left"/>
      <w:pPr>
        <w:ind w:left="1440" w:hanging="360"/>
      </w:pPr>
      <w:rPr>
        <w:rFonts w:cs="Times New Roman"/>
      </w:rPr>
    </w:lvl>
    <w:lvl w:ilvl="2" w:tplc="EBAE3B18">
      <w:start w:val="1"/>
      <w:numFmt w:val="lowerRoman"/>
      <w:lvlText w:val="%3."/>
      <w:lvlJc w:val="right"/>
      <w:pPr>
        <w:ind w:left="2160" w:hanging="180"/>
      </w:pPr>
      <w:rPr>
        <w:rFonts w:cs="Times New Roman"/>
      </w:rPr>
    </w:lvl>
    <w:lvl w:ilvl="3" w:tplc="50FA0470">
      <w:start w:val="1"/>
      <w:numFmt w:val="decimal"/>
      <w:lvlText w:val="%4."/>
      <w:lvlJc w:val="left"/>
      <w:pPr>
        <w:ind w:left="2880" w:hanging="360"/>
      </w:pPr>
      <w:rPr>
        <w:rFonts w:cs="Times New Roman"/>
      </w:rPr>
    </w:lvl>
    <w:lvl w:ilvl="4" w:tplc="7B803C50">
      <w:start w:val="1"/>
      <w:numFmt w:val="lowerLetter"/>
      <w:lvlText w:val="%5."/>
      <w:lvlJc w:val="left"/>
      <w:pPr>
        <w:ind w:left="3600" w:hanging="360"/>
      </w:pPr>
      <w:rPr>
        <w:rFonts w:cs="Times New Roman"/>
      </w:rPr>
    </w:lvl>
    <w:lvl w:ilvl="5" w:tplc="5C28F308">
      <w:start w:val="1"/>
      <w:numFmt w:val="lowerRoman"/>
      <w:lvlText w:val="%6."/>
      <w:lvlJc w:val="right"/>
      <w:pPr>
        <w:ind w:left="4320" w:hanging="180"/>
      </w:pPr>
      <w:rPr>
        <w:rFonts w:cs="Times New Roman"/>
      </w:rPr>
    </w:lvl>
    <w:lvl w:ilvl="6" w:tplc="2BACAF66">
      <w:start w:val="1"/>
      <w:numFmt w:val="decimal"/>
      <w:lvlText w:val="%7."/>
      <w:lvlJc w:val="left"/>
      <w:pPr>
        <w:ind w:left="5040" w:hanging="360"/>
      </w:pPr>
      <w:rPr>
        <w:rFonts w:cs="Times New Roman"/>
      </w:rPr>
    </w:lvl>
    <w:lvl w:ilvl="7" w:tplc="86363F12">
      <w:start w:val="1"/>
      <w:numFmt w:val="lowerLetter"/>
      <w:lvlText w:val="%8."/>
      <w:lvlJc w:val="left"/>
      <w:pPr>
        <w:ind w:left="5760" w:hanging="360"/>
      </w:pPr>
      <w:rPr>
        <w:rFonts w:cs="Times New Roman"/>
      </w:rPr>
    </w:lvl>
    <w:lvl w:ilvl="8" w:tplc="1D220EFE">
      <w:start w:val="1"/>
      <w:numFmt w:val="lowerRoman"/>
      <w:lvlText w:val="%9."/>
      <w:lvlJc w:val="right"/>
      <w:pPr>
        <w:ind w:left="6480" w:hanging="180"/>
      </w:pPr>
      <w:rPr>
        <w:rFonts w:cs="Times New Roman"/>
      </w:rPr>
    </w:lvl>
  </w:abstractNum>
  <w:abstractNum w:abstractNumId="19" w15:restartNumberingAfterBreak="0">
    <w:nsid w:val="60F31C15"/>
    <w:multiLevelType w:val="hybridMultilevel"/>
    <w:tmpl w:val="F050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A6FAF"/>
    <w:multiLevelType w:val="hybridMultilevel"/>
    <w:tmpl w:val="96EEC25C"/>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58C030A"/>
    <w:multiLevelType w:val="hybridMultilevel"/>
    <w:tmpl w:val="B0DED41C"/>
    <w:lvl w:ilvl="0" w:tplc="9C62E25E">
      <w:start w:val="1"/>
      <w:numFmt w:val="lowerRoman"/>
      <w:lvlText w:val="%1."/>
      <w:lvlJc w:val="right"/>
      <w:pPr>
        <w:ind w:left="720" w:hanging="360"/>
      </w:pPr>
      <w:rPr>
        <w:rFonts w:hint="default"/>
        <w:color w:val="0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8F3429"/>
    <w:multiLevelType w:val="hybridMultilevel"/>
    <w:tmpl w:val="AB4C01BC"/>
    <w:lvl w:ilvl="0" w:tplc="78003A68">
      <w:start w:val="1"/>
      <w:numFmt w:val="lowerRoman"/>
      <w:lvlText w:val="%1."/>
      <w:lvlJc w:val="right"/>
      <w:pPr>
        <w:ind w:left="720" w:hanging="360"/>
      </w:pPr>
      <w:rPr>
        <w:rFonts w:hint="default"/>
        <w:color w:val="0080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13"/>
  </w:num>
  <w:num w:numId="5">
    <w:abstractNumId w:val="6"/>
  </w:num>
  <w:num w:numId="6">
    <w:abstractNumId w:val="1"/>
  </w:num>
  <w:num w:numId="7">
    <w:abstractNumId w:val="7"/>
  </w:num>
  <w:num w:numId="8">
    <w:abstractNumId w:val="5"/>
  </w:num>
  <w:num w:numId="9">
    <w:abstractNumId w:val="5"/>
  </w:num>
  <w:num w:numId="10">
    <w:abstractNumId w:val="5"/>
  </w:num>
  <w:num w:numId="11">
    <w:abstractNumId w:val="0"/>
  </w:num>
  <w:num w:numId="12">
    <w:abstractNumId w:val="12"/>
  </w:num>
  <w:num w:numId="13">
    <w:abstractNumId w:val="5"/>
  </w:num>
  <w:num w:numId="14">
    <w:abstractNumId w:val="5"/>
  </w:num>
  <w:num w:numId="15">
    <w:abstractNumId w:val="5"/>
  </w:num>
  <w:num w:numId="16">
    <w:abstractNumId w:val="17"/>
  </w:num>
  <w:num w:numId="17">
    <w:abstractNumId w:val="18"/>
  </w:num>
  <w:num w:numId="18">
    <w:abstractNumId w:val="19"/>
  </w:num>
  <w:num w:numId="19">
    <w:abstractNumId w:val="16"/>
  </w:num>
  <w:num w:numId="20">
    <w:abstractNumId w:val="8"/>
  </w:num>
  <w:num w:numId="21">
    <w:abstractNumId w:val="20"/>
  </w:num>
  <w:num w:numId="22">
    <w:abstractNumId w:val="4"/>
  </w:num>
  <w:num w:numId="23">
    <w:abstractNumId w:val="2"/>
  </w:num>
  <w:num w:numId="24">
    <w:abstractNumId w:val="15"/>
  </w:num>
  <w:num w:numId="25">
    <w:abstractNumId w:val="22"/>
  </w:num>
  <w:num w:numId="26">
    <w:abstractNumId w:val="10"/>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21"/>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0NDSwNDCztDSwNDNS0lEKTi0uzszPAykwqgUAABst7CwAAAA="/>
  </w:docVars>
  <w:rsids>
    <w:rsidRoot w:val="00DC4945"/>
    <w:rsid w:val="00000309"/>
    <w:rsid w:val="00002F1A"/>
    <w:rsid w:val="00003ED0"/>
    <w:rsid w:val="00007161"/>
    <w:rsid w:val="00010C78"/>
    <w:rsid w:val="00011613"/>
    <w:rsid w:val="000134A5"/>
    <w:rsid w:val="00016431"/>
    <w:rsid w:val="0001652C"/>
    <w:rsid w:val="000172EA"/>
    <w:rsid w:val="00017314"/>
    <w:rsid w:val="00020EAF"/>
    <w:rsid w:val="000227D4"/>
    <w:rsid w:val="00026513"/>
    <w:rsid w:val="00027345"/>
    <w:rsid w:val="000304DA"/>
    <w:rsid w:val="00034A3B"/>
    <w:rsid w:val="0003619C"/>
    <w:rsid w:val="00036333"/>
    <w:rsid w:val="000366F6"/>
    <w:rsid w:val="0003678E"/>
    <w:rsid w:val="00036F14"/>
    <w:rsid w:val="00037661"/>
    <w:rsid w:val="00041373"/>
    <w:rsid w:val="00041B9D"/>
    <w:rsid w:val="00042233"/>
    <w:rsid w:val="00043639"/>
    <w:rsid w:val="000441D5"/>
    <w:rsid w:val="00045A9D"/>
    <w:rsid w:val="0004619D"/>
    <w:rsid w:val="00051239"/>
    <w:rsid w:val="00051C8A"/>
    <w:rsid w:val="00053382"/>
    <w:rsid w:val="0005365D"/>
    <w:rsid w:val="00055827"/>
    <w:rsid w:val="00056D80"/>
    <w:rsid w:val="00057B52"/>
    <w:rsid w:val="000609E4"/>
    <w:rsid w:val="00061CC4"/>
    <w:rsid w:val="000620F8"/>
    <w:rsid w:val="00062432"/>
    <w:rsid w:val="00062F03"/>
    <w:rsid w:val="00063C37"/>
    <w:rsid w:val="0006407E"/>
    <w:rsid w:val="00064350"/>
    <w:rsid w:val="0006468A"/>
    <w:rsid w:val="00064878"/>
    <w:rsid w:val="00065DD7"/>
    <w:rsid w:val="00071D54"/>
    <w:rsid w:val="00074415"/>
    <w:rsid w:val="0007553C"/>
    <w:rsid w:val="0007592C"/>
    <w:rsid w:val="00075C10"/>
    <w:rsid w:val="000765E7"/>
    <w:rsid w:val="00076F96"/>
    <w:rsid w:val="00080E3A"/>
    <w:rsid w:val="0008122D"/>
    <w:rsid w:val="00081327"/>
    <w:rsid w:val="00081A03"/>
    <w:rsid w:val="0008283D"/>
    <w:rsid w:val="00082909"/>
    <w:rsid w:val="00082A96"/>
    <w:rsid w:val="0009543B"/>
    <w:rsid w:val="00096281"/>
    <w:rsid w:val="0009631C"/>
    <w:rsid w:val="000969ED"/>
    <w:rsid w:val="00096F6C"/>
    <w:rsid w:val="00097436"/>
    <w:rsid w:val="00097F37"/>
    <w:rsid w:val="000A0021"/>
    <w:rsid w:val="000A052A"/>
    <w:rsid w:val="000A064D"/>
    <w:rsid w:val="000A1459"/>
    <w:rsid w:val="000A17CF"/>
    <w:rsid w:val="000A266D"/>
    <w:rsid w:val="000A760D"/>
    <w:rsid w:val="000A7876"/>
    <w:rsid w:val="000B0E83"/>
    <w:rsid w:val="000B12A2"/>
    <w:rsid w:val="000B2DDD"/>
    <w:rsid w:val="000B302C"/>
    <w:rsid w:val="000B351B"/>
    <w:rsid w:val="000B58F9"/>
    <w:rsid w:val="000B63C7"/>
    <w:rsid w:val="000C2773"/>
    <w:rsid w:val="000C401A"/>
    <w:rsid w:val="000C4D3F"/>
    <w:rsid w:val="000C511C"/>
    <w:rsid w:val="000C5200"/>
    <w:rsid w:val="000C6D72"/>
    <w:rsid w:val="000D07DF"/>
    <w:rsid w:val="000D0893"/>
    <w:rsid w:val="000D2769"/>
    <w:rsid w:val="000D342A"/>
    <w:rsid w:val="000D3E8A"/>
    <w:rsid w:val="000D5D5A"/>
    <w:rsid w:val="000D63EF"/>
    <w:rsid w:val="000D72E2"/>
    <w:rsid w:val="000D78CE"/>
    <w:rsid w:val="000D7AAB"/>
    <w:rsid w:val="000D7E67"/>
    <w:rsid w:val="000E0B5A"/>
    <w:rsid w:val="000E0D7E"/>
    <w:rsid w:val="000E16B8"/>
    <w:rsid w:val="000E46B2"/>
    <w:rsid w:val="000E5544"/>
    <w:rsid w:val="000E5B52"/>
    <w:rsid w:val="000E6459"/>
    <w:rsid w:val="000F0627"/>
    <w:rsid w:val="000F228A"/>
    <w:rsid w:val="000F2E46"/>
    <w:rsid w:val="000F3F43"/>
    <w:rsid w:val="00100F36"/>
    <w:rsid w:val="00101810"/>
    <w:rsid w:val="00103E03"/>
    <w:rsid w:val="00104562"/>
    <w:rsid w:val="001054B4"/>
    <w:rsid w:val="001055D8"/>
    <w:rsid w:val="001072B5"/>
    <w:rsid w:val="00110E12"/>
    <w:rsid w:val="00111216"/>
    <w:rsid w:val="001133F8"/>
    <w:rsid w:val="00113E7C"/>
    <w:rsid w:val="00117B0D"/>
    <w:rsid w:val="001206F5"/>
    <w:rsid w:val="00124834"/>
    <w:rsid w:val="00125749"/>
    <w:rsid w:val="00126329"/>
    <w:rsid w:val="00126688"/>
    <w:rsid w:val="00127C09"/>
    <w:rsid w:val="00131B1C"/>
    <w:rsid w:val="001335C1"/>
    <w:rsid w:val="00133687"/>
    <w:rsid w:val="001346EF"/>
    <w:rsid w:val="001353C7"/>
    <w:rsid w:val="00137959"/>
    <w:rsid w:val="00137D76"/>
    <w:rsid w:val="00140192"/>
    <w:rsid w:val="001401E6"/>
    <w:rsid w:val="00140C38"/>
    <w:rsid w:val="001410DF"/>
    <w:rsid w:val="00143869"/>
    <w:rsid w:val="001454B6"/>
    <w:rsid w:val="00145893"/>
    <w:rsid w:val="00145AA9"/>
    <w:rsid w:val="00150FE2"/>
    <w:rsid w:val="00151688"/>
    <w:rsid w:val="0015254D"/>
    <w:rsid w:val="00154B43"/>
    <w:rsid w:val="00155297"/>
    <w:rsid w:val="00155DBA"/>
    <w:rsid w:val="001573C1"/>
    <w:rsid w:val="0016006A"/>
    <w:rsid w:val="00160D2B"/>
    <w:rsid w:val="00161AFF"/>
    <w:rsid w:val="00161EEB"/>
    <w:rsid w:val="001634E4"/>
    <w:rsid w:val="0016521C"/>
    <w:rsid w:val="001654F9"/>
    <w:rsid w:val="001667E2"/>
    <w:rsid w:val="00166CC9"/>
    <w:rsid w:val="00171929"/>
    <w:rsid w:val="00176AA6"/>
    <w:rsid w:val="00176B07"/>
    <w:rsid w:val="00177622"/>
    <w:rsid w:val="00177B46"/>
    <w:rsid w:val="00180407"/>
    <w:rsid w:val="001806CF"/>
    <w:rsid w:val="0018291D"/>
    <w:rsid w:val="0019181A"/>
    <w:rsid w:val="0019377C"/>
    <w:rsid w:val="00194B8A"/>
    <w:rsid w:val="00196545"/>
    <w:rsid w:val="00197626"/>
    <w:rsid w:val="00197AA3"/>
    <w:rsid w:val="001A16A7"/>
    <w:rsid w:val="001A32B8"/>
    <w:rsid w:val="001A4966"/>
    <w:rsid w:val="001A4CA0"/>
    <w:rsid w:val="001B4623"/>
    <w:rsid w:val="001B65D6"/>
    <w:rsid w:val="001B7673"/>
    <w:rsid w:val="001C168D"/>
    <w:rsid w:val="001C1FD2"/>
    <w:rsid w:val="001C265D"/>
    <w:rsid w:val="001C34B6"/>
    <w:rsid w:val="001D000B"/>
    <w:rsid w:val="001D0CE6"/>
    <w:rsid w:val="001D1B5F"/>
    <w:rsid w:val="001D2944"/>
    <w:rsid w:val="001D35B3"/>
    <w:rsid w:val="001D5444"/>
    <w:rsid w:val="001D727B"/>
    <w:rsid w:val="001E0CEA"/>
    <w:rsid w:val="001E1211"/>
    <w:rsid w:val="001E1433"/>
    <w:rsid w:val="001E2096"/>
    <w:rsid w:val="001E475F"/>
    <w:rsid w:val="001E6E3E"/>
    <w:rsid w:val="001E719F"/>
    <w:rsid w:val="001E7AA2"/>
    <w:rsid w:val="001E7B6A"/>
    <w:rsid w:val="001E7D21"/>
    <w:rsid w:val="001F06EB"/>
    <w:rsid w:val="001F0C36"/>
    <w:rsid w:val="001F4ED3"/>
    <w:rsid w:val="00200C62"/>
    <w:rsid w:val="00201D91"/>
    <w:rsid w:val="00201F69"/>
    <w:rsid w:val="00202369"/>
    <w:rsid w:val="00203911"/>
    <w:rsid w:val="00203D52"/>
    <w:rsid w:val="00204287"/>
    <w:rsid w:val="00204AAC"/>
    <w:rsid w:val="002107B8"/>
    <w:rsid w:val="0021099F"/>
    <w:rsid w:val="00210DC7"/>
    <w:rsid w:val="00212276"/>
    <w:rsid w:val="002139FA"/>
    <w:rsid w:val="00214A70"/>
    <w:rsid w:val="002156E4"/>
    <w:rsid w:val="00215A8B"/>
    <w:rsid w:val="002165BB"/>
    <w:rsid w:val="0021757C"/>
    <w:rsid w:val="00217717"/>
    <w:rsid w:val="00221208"/>
    <w:rsid w:val="00221D81"/>
    <w:rsid w:val="00224DBF"/>
    <w:rsid w:val="00225035"/>
    <w:rsid w:val="0022569C"/>
    <w:rsid w:val="002306AD"/>
    <w:rsid w:val="002329AD"/>
    <w:rsid w:val="002357BA"/>
    <w:rsid w:val="00237E7A"/>
    <w:rsid w:val="00240B32"/>
    <w:rsid w:val="00240EEE"/>
    <w:rsid w:val="00241BC3"/>
    <w:rsid w:val="002425D7"/>
    <w:rsid w:val="00245C25"/>
    <w:rsid w:val="00245D65"/>
    <w:rsid w:val="00247AC2"/>
    <w:rsid w:val="00251290"/>
    <w:rsid w:val="002519EA"/>
    <w:rsid w:val="00255D85"/>
    <w:rsid w:val="00257061"/>
    <w:rsid w:val="002634A6"/>
    <w:rsid w:val="0026535A"/>
    <w:rsid w:val="002715C9"/>
    <w:rsid w:val="0027279E"/>
    <w:rsid w:val="00273343"/>
    <w:rsid w:val="00273C15"/>
    <w:rsid w:val="002771A1"/>
    <w:rsid w:val="00277F72"/>
    <w:rsid w:val="002826D9"/>
    <w:rsid w:val="00282A21"/>
    <w:rsid w:val="00283310"/>
    <w:rsid w:val="00284E58"/>
    <w:rsid w:val="00285DE9"/>
    <w:rsid w:val="00285DF7"/>
    <w:rsid w:val="0028696B"/>
    <w:rsid w:val="0028701A"/>
    <w:rsid w:val="00290E7D"/>
    <w:rsid w:val="00293381"/>
    <w:rsid w:val="00293B02"/>
    <w:rsid w:val="0029408A"/>
    <w:rsid w:val="00296F5A"/>
    <w:rsid w:val="00297454"/>
    <w:rsid w:val="002A19EE"/>
    <w:rsid w:val="002A1CE5"/>
    <w:rsid w:val="002A3A4C"/>
    <w:rsid w:val="002A42A5"/>
    <w:rsid w:val="002A47FC"/>
    <w:rsid w:val="002A5FF8"/>
    <w:rsid w:val="002A66A3"/>
    <w:rsid w:val="002B3CF4"/>
    <w:rsid w:val="002B5F76"/>
    <w:rsid w:val="002B624B"/>
    <w:rsid w:val="002B642A"/>
    <w:rsid w:val="002B6B0A"/>
    <w:rsid w:val="002C1195"/>
    <w:rsid w:val="002C14A4"/>
    <w:rsid w:val="002C4B09"/>
    <w:rsid w:val="002C51D3"/>
    <w:rsid w:val="002D16E8"/>
    <w:rsid w:val="002D2888"/>
    <w:rsid w:val="002D3CA0"/>
    <w:rsid w:val="002D48E3"/>
    <w:rsid w:val="002D4911"/>
    <w:rsid w:val="002D6E9F"/>
    <w:rsid w:val="002D77E5"/>
    <w:rsid w:val="002E2510"/>
    <w:rsid w:val="002E30A3"/>
    <w:rsid w:val="002E44D6"/>
    <w:rsid w:val="002F0B0A"/>
    <w:rsid w:val="002F129F"/>
    <w:rsid w:val="002F1BF4"/>
    <w:rsid w:val="002F2111"/>
    <w:rsid w:val="002F4194"/>
    <w:rsid w:val="002F43CC"/>
    <w:rsid w:val="002F4C3A"/>
    <w:rsid w:val="002F5071"/>
    <w:rsid w:val="002F6656"/>
    <w:rsid w:val="002F6FD2"/>
    <w:rsid w:val="00300596"/>
    <w:rsid w:val="00302045"/>
    <w:rsid w:val="0030410F"/>
    <w:rsid w:val="00304221"/>
    <w:rsid w:val="003063A2"/>
    <w:rsid w:val="0030683E"/>
    <w:rsid w:val="00307078"/>
    <w:rsid w:val="00307E56"/>
    <w:rsid w:val="00311B27"/>
    <w:rsid w:val="0031409D"/>
    <w:rsid w:val="00314580"/>
    <w:rsid w:val="00315ADE"/>
    <w:rsid w:val="003166AD"/>
    <w:rsid w:val="00316951"/>
    <w:rsid w:val="00317A3D"/>
    <w:rsid w:val="00321DE2"/>
    <w:rsid w:val="00322860"/>
    <w:rsid w:val="003232FD"/>
    <w:rsid w:val="0032365F"/>
    <w:rsid w:val="0032492F"/>
    <w:rsid w:val="00327B9E"/>
    <w:rsid w:val="00327C7D"/>
    <w:rsid w:val="003312D4"/>
    <w:rsid w:val="00343C4D"/>
    <w:rsid w:val="00351A44"/>
    <w:rsid w:val="003521B4"/>
    <w:rsid w:val="00354EFD"/>
    <w:rsid w:val="00355207"/>
    <w:rsid w:val="00356435"/>
    <w:rsid w:val="003634B4"/>
    <w:rsid w:val="00364030"/>
    <w:rsid w:val="00366050"/>
    <w:rsid w:val="00367D1C"/>
    <w:rsid w:val="00373A21"/>
    <w:rsid w:val="003756F9"/>
    <w:rsid w:val="003767BA"/>
    <w:rsid w:val="00381D58"/>
    <w:rsid w:val="0038393F"/>
    <w:rsid w:val="00383F38"/>
    <w:rsid w:val="00385BDE"/>
    <w:rsid w:val="003862BB"/>
    <w:rsid w:val="003867BA"/>
    <w:rsid w:val="00386CF1"/>
    <w:rsid w:val="003873B2"/>
    <w:rsid w:val="003905CD"/>
    <w:rsid w:val="003907DB"/>
    <w:rsid w:val="0039080F"/>
    <w:rsid w:val="00390B75"/>
    <w:rsid w:val="00391994"/>
    <w:rsid w:val="00392EAC"/>
    <w:rsid w:val="00394C70"/>
    <w:rsid w:val="003A1889"/>
    <w:rsid w:val="003A4A84"/>
    <w:rsid w:val="003B01DB"/>
    <w:rsid w:val="003B07D5"/>
    <w:rsid w:val="003B1428"/>
    <w:rsid w:val="003B614C"/>
    <w:rsid w:val="003B6DDA"/>
    <w:rsid w:val="003C0DD5"/>
    <w:rsid w:val="003C1180"/>
    <w:rsid w:val="003C30AC"/>
    <w:rsid w:val="003C4A62"/>
    <w:rsid w:val="003C513C"/>
    <w:rsid w:val="003C766C"/>
    <w:rsid w:val="003C7E03"/>
    <w:rsid w:val="003D2C55"/>
    <w:rsid w:val="003D3044"/>
    <w:rsid w:val="003D4890"/>
    <w:rsid w:val="003D4DA9"/>
    <w:rsid w:val="003D5224"/>
    <w:rsid w:val="003D558C"/>
    <w:rsid w:val="003D5FD6"/>
    <w:rsid w:val="003D6AEC"/>
    <w:rsid w:val="003E0AC2"/>
    <w:rsid w:val="003E1867"/>
    <w:rsid w:val="003E4BAC"/>
    <w:rsid w:val="003E59CD"/>
    <w:rsid w:val="003E5C1B"/>
    <w:rsid w:val="003E6929"/>
    <w:rsid w:val="003E6D53"/>
    <w:rsid w:val="003E6EC2"/>
    <w:rsid w:val="003E749D"/>
    <w:rsid w:val="003F4371"/>
    <w:rsid w:val="003F5764"/>
    <w:rsid w:val="003F65EA"/>
    <w:rsid w:val="003F6721"/>
    <w:rsid w:val="004006B7"/>
    <w:rsid w:val="00404059"/>
    <w:rsid w:val="004044F3"/>
    <w:rsid w:val="00404A33"/>
    <w:rsid w:val="0040536E"/>
    <w:rsid w:val="004056F5"/>
    <w:rsid w:val="004059F7"/>
    <w:rsid w:val="00405B51"/>
    <w:rsid w:val="0041039F"/>
    <w:rsid w:val="004111CB"/>
    <w:rsid w:val="00412A46"/>
    <w:rsid w:val="00413611"/>
    <w:rsid w:val="00413DE8"/>
    <w:rsid w:val="00415A9A"/>
    <w:rsid w:val="004174DE"/>
    <w:rsid w:val="00420A89"/>
    <w:rsid w:val="004216C2"/>
    <w:rsid w:val="004222EE"/>
    <w:rsid w:val="00424E44"/>
    <w:rsid w:val="0042598B"/>
    <w:rsid w:val="0042697E"/>
    <w:rsid w:val="004314EE"/>
    <w:rsid w:val="0043303F"/>
    <w:rsid w:val="004336EA"/>
    <w:rsid w:val="00441EDF"/>
    <w:rsid w:val="00442595"/>
    <w:rsid w:val="00442A06"/>
    <w:rsid w:val="00450355"/>
    <w:rsid w:val="00451F24"/>
    <w:rsid w:val="00454976"/>
    <w:rsid w:val="00457FB6"/>
    <w:rsid w:val="004602D8"/>
    <w:rsid w:val="00461316"/>
    <w:rsid w:val="0046150B"/>
    <w:rsid w:val="00462B01"/>
    <w:rsid w:val="00463A91"/>
    <w:rsid w:val="00465A50"/>
    <w:rsid w:val="0046656A"/>
    <w:rsid w:val="0046679D"/>
    <w:rsid w:val="00471E3C"/>
    <w:rsid w:val="00472DB2"/>
    <w:rsid w:val="0047391F"/>
    <w:rsid w:val="00475F3A"/>
    <w:rsid w:val="004770AB"/>
    <w:rsid w:val="0047754C"/>
    <w:rsid w:val="00477EFD"/>
    <w:rsid w:val="00480CE9"/>
    <w:rsid w:val="00482CC9"/>
    <w:rsid w:val="004848B3"/>
    <w:rsid w:val="00486A27"/>
    <w:rsid w:val="00487952"/>
    <w:rsid w:val="00487F87"/>
    <w:rsid w:val="00490396"/>
    <w:rsid w:val="00493689"/>
    <w:rsid w:val="004A11B2"/>
    <w:rsid w:val="004A150E"/>
    <w:rsid w:val="004A3134"/>
    <w:rsid w:val="004A3CFB"/>
    <w:rsid w:val="004A44C2"/>
    <w:rsid w:val="004A4595"/>
    <w:rsid w:val="004A47BF"/>
    <w:rsid w:val="004A508C"/>
    <w:rsid w:val="004B0C97"/>
    <w:rsid w:val="004B13A6"/>
    <w:rsid w:val="004B2C6C"/>
    <w:rsid w:val="004B347D"/>
    <w:rsid w:val="004B39AB"/>
    <w:rsid w:val="004B7605"/>
    <w:rsid w:val="004C0722"/>
    <w:rsid w:val="004C13F0"/>
    <w:rsid w:val="004C174A"/>
    <w:rsid w:val="004C3043"/>
    <w:rsid w:val="004C608F"/>
    <w:rsid w:val="004C64D2"/>
    <w:rsid w:val="004C65B0"/>
    <w:rsid w:val="004C66FC"/>
    <w:rsid w:val="004C7583"/>
    <w:rsid w:val="004C7929"/>
    <w:rsid w:val="004D0C0C"/>
    <w:rsid w:val="004D1BD7"/>
    <w:rsid w:val="004D421D"/>
    <w:rsid w:val="004E0B88"/>
    <w:rsid w:val="004E1C04"/>
    <w:rsid w:val="004E256B"/>
    <w:rsid w:val="004E27D0"/>
    <w:rsid w:val="004E2AF5"/>
    <w:rsid w:val="004E2F19"/>
    <w:rsid w:val="004E79AD"/>
    <w:rsid w:val="004F4171"/>
    <w:rsid w:val="004F44E3"/>
    <w:rsid w:val="004F617A"/>
    <w:rsid w:val="004F70FA"/>
    <w:rsid w:val="005014D3"/>
    <w:rsid w:val="0050189B"/>
    <w:rsid w:val="00501D98"/>
    <w:rsid w:val="00502CE7"/>
    <w:rsid w:val="005042E1"/>
    <w:rsid w:val="005069D9"/>
    <w:rsid w:val="0050718E"/>
    <w:rsid w:val="005108B3"/>
    <w:rsid w:val="00510DB8"/>
    <w:rsid w:val="00511693"/>
    <w:rsid w:val="00512928"/>
    <w:rsid w:val="005148D5"/>
    <w:rsid w:val="005168E1"/>
    <w:rsid w:val="00522BA2"/>
    <w:rsid w:val="00522F9F"/>
    <w:rsid w:val="00523614"/>
    <w:rsid w:val="0052428D"/>
    <w:rsid w:val="00524E20"/>
    <w:rsid w:val="005261D5"/>
    <w:rsid w:val="00527A71"/>
    <w:rsid w:val="00527C6A"/>
    <w:rsid w:val="00530511"/>
    <w:rsid w:val="00531C5E"/>
    <w:rsid w:val="00532C1D"/>
    <w:rsid w:val="00533ECC"/>
    <w:rsid w:val="00535501"/>
    <w:rsid w:val="00536D6B"/>
    <w:rsid w:val="00537BFF"/>
    <w:rsid w:val="00541AE3"/>
    <w:rsid w:val="00542D75"/>
    <w:rsid w:val="0054446E"/>
    <w:rsid w:val="00546537"/>
    <w:rsid w:val="00550BA3"/>
    <w:rsid w:val="0055164C"/>
    <w:rsid w:val="00552A31"/>
    <w:rsid w:val="00552F93"/>
    <w:rsid w:val="0055301C"/>
    <w:rsid w:val="00553CC7"/>
    <w:rsid w:val="00554FC0"/>
    <w:rsid w:val="00556399"/>
    <w:rsid w:val="00557A78"/>
    <w:rsid w:val="00560DE4"/>
    <w:rsid w:val="00561B67"/>
    <w:rsid w:val="00567231"/>
    <w:rsid w:val="005716BE"/>
    <w:rsid w:val="00572F58"/>
    <w:rsid w:val="00574825"/>
    <w:rsid w:val="005748DD"/>
    <w:rsid w:val="005763D4"/>
    <w:rsid w:val="005775CC"/>
    <w:rsid w:val="0058019B"/>
    <w:rsid w:val="0058037D"/>
    <w:rsid w:val="00582E08"/>
    <w:rsid w:val="00584030"/>
    <w:rsid w:val="0058628D"/>
    <w:rsid w:val="00586EA3"/>
    <w:rsid w:val="00586F2C"/>
    <w:rsid w:val="00586F4C"/>
    <w:rsid w:val="005876F7"/>
    <w:rsid w:val="00590B65"/>
    <w:rsid w:val="00590D2B"/>
    <w:rsid w:val="00592363"/>
    <w:rsid w:val="00592792"/>
    <w:rsid w:val="005931C5"/>
    <w:rsid w:val="0059681D"/>
    <w:rsid w:val="00597024"/>
    <w:rsid w:val="005A03F1"/>
    <w:rsid w:val="005A2D0C"/>
    <w:rsid w:val="005A34DC"/>
    <w:rsid w:val="005A47F0"/>
    <w:rsid w:val="005A5A08"/>
    <w:rsid w:val="005A779A"/>
    <w:rsid w:val="005A7E7B"/>
    <w:rsid w:val="005B0DBB"/>
    <w:rsid w:val="005B2520"/>
    <w:rsid w:val="005B3705"/>
    <w:rsid w:val="005B406D"/>
    <w:rsid w:val="005B42D3"/>
    <w:rsid w:val="005B43B4"/>
    <w:rsid w:val="005B68A2"/>
    <w:rsid w:val="005C0793"/>
    <w:rsid w:val="005C2387"/>
    <w:rsid w:val="005C2E6D"/>
    <w:rsid w:val="005C7411"/>
    <w:rsid w:val="005D0549"/>
    <w:rsid w:val="005D1570"/>
    <w:rsid w:val="005D1DF6"/>
    <w:rsid w:val="005D3959"/>
    <w:rsid w:val="005D42C7"/>
    <w:rsid w:val="005D5C74"/>
    <w:rsid w:val="005D6259"/>
    <w:rsid w:val="005D7591"/>
    <w:rsid w:val="005D7FDE"/>
    <w:rsid w:val="005E2011"/>
    <w:rsid w:val="005E3F2A"/>
    <w:rsid w:val="005F25B0"/>
    <w:rsid w:val="005F362A"/>
    <w:rsid w:val="005F5E05"/>
    <w:rsid w:val="005F613C"/>
    <w:rsid w:val="005F74C4"/>
    <w:rsid w:val="00601AF8"/>
    <w:rsid w:val="00601D25"/>
    <w:rsid w:val="00602A70"/>
    <w:rsid w:val="0060430D"/>
    <w:rsid w:val="00606930"/>
    <w:rsid w:val="0061180A"/>
    <w:rsid w:val="00613004"/>
    <w:rsid w:val="00613231"/>
    <w:rsid w:val="0061545C"/>
    <w:rsid w:val="00620013"/>
    <w:rsid w:val="00620BBF"/>
    <w:rsid w:val="0062354D"/>
    <w:rsid w:val="00624A83"/>
    <w:rsid w:val="00626E6F"/>
    <w:rsid w:val="00626FF2"/>
    <w:rsid w:val="00630D5E"/>
    <w:rsid w:val="006315C1"/>
    <w:rsid w:val="0063398F"/>
    <w:rsid w:val="00633E67"/>
    <w:rsid w:val="0063450E"/>
    <w:rsid w:val="00634FB6"/>
    <w:rsid w:val="00635352"/>
    <w:rsid w:val="00635DA2"/>
    <w:rsid w:val="00636B9A"/>
    <w:rsid w:val="00637F4A"/>
    <w:rsid w:val="00640859"/>
    <w:rsid w:val="006415E1"/>
    <w:rsid w:val="006443AC"/>
    <w:rsid w:val="006459F8"/>
    <w:rsid w:val="00646910"/>
    <w:rsid w:val="00646931"/>
    <w:rsid w:val="006471B7"/>
    <w:rsid w:val="0064799D"/>
    <w:rsid w:val="00647BA3"/>
    <w:rsid w:val="00651B84"/>
    <w:rsid w:val="006526D3"/>
    <w:rsid w:val="0065271C"/>
    <w:rsid w:val="00655876"/>
    <w:rsid w:val="00656348"/>
    <w:rsid w:val="00657427"/>
    <w:rsid w:val="00660782"/>
    <w:rsid w:val="00660E52"/>
    <w:rsid w:val="00661C5F"/>
    <w:rsid w:val="00662AC0"/>
    <w:rsid w:val="006649BC"/>
    <w:rsid w:val="00672DF3"/>
    <w:rsid w:val="00674C74"/>
    <w:rsid w:val="0067534F"/>
    <w:rsid w:val="00675AC5"/>
    <w:rsid w:val="006762A6"/>
    <w:rsid w:val="006776EF"/>
    <w:rsid w:val="0068033D"/>
    <w:rsid w:val="00680EAD"/>
    <w:rsid w:val="00681813"/>
    <w:rsid w:val="00682AE1"/>
    <w:rsid w:val="00682BF3"/>
    <w:rsid w:val="00684A5D"/>
    <w:rsid w:val="00685188"/>
    <w:rsid w:val="00686283"/>
    <w:rsid w:val="00694A09"/>
    <w:rsid w:val="0069671B"/>
    <w:rsid w:val="00697532"/>
    <w:rsid w:val="006A152E"/>
    <w:rsid w:val="006A2436"/>
    <w:rsid w:val="006A3A2C"/>
    <w:rsid w:val="006A53AD"/>
    <w:rsid w:val="006A567D"/>
    <w:rsid w:val="006A61E7"/>
    <w:rsid w:val="006A7785"/>
    <w:rsid w:val="006A7FD6"/>
    <w:rsid w:val="006B1F72"/>
    <w:rsid w:val="006B2224"/>
    <w:rsid w:val="006B3E3B"/>
    <w:rsid w:val="006B4ABB"/>
    <w:rsid w:val="006B59F2"/>
    <w:rsid w:val="006B712D"/>
    <w:rsid w:val="006B7EE0"/>
    <w:rsid w:val="006C0845"/>
    <w:rsid w:val="006C0F1F"/>
    <w:rsid w:val="006C21D4"/>
    <w:rsid w:val="006C342E"/>
    <w:rsid w:val="006C72D5"/>
    <w:rsid w:val="006D191A"/>
    <w:rsid w:val="006D1B63"/>
    <w:rsid w:val="006D24A5"/>
    <w:rsid w:val="006D3096"/>
    <w:rsid w:val="006D3592"/>
    <w:rsid w:val="006D5835"/>
    <w:rsid w:val="006D59AF"/>
    <w:rsid w:val="006D5B32"/>
    <w:rsid w:val="006D71E6"/>
    <w:rsid w:val="006D7537"/>
    <w:rsid w:val="006E0C19"/>
    <w:rsid w:val="006E248E"/>
    <w:rsid w:val="006E2A7F"/>
    <w:rsid w:val="006E6533"/>
    <w:rsid w:val="006F03DD"/>
    <w:rsid w:val="006F1573"/>
    <w:rsid w:val="006F1828"/>
    <w:rsid w:val="006F35FF"/>
    <w:rsid w:val="006F560A"/>
    <w:rsid w:val="006F7210"/>
    <w:rsid w:val="00702043"/>
    <w:rsid w:val="00702906"/>
    <w:rsid w:val="007043C1"/>
    <w:rsid w:val="007062A8"/>
    <w:rsid w:val="0070676B"/>
    <w:rsid w:val="007071EC"/>
    <w:rsid w:val="007103E9"/>
    <w:rsid w:val="007128D0"/>
    <w:rsid w:val="00713459"/>
    <w:rsid w:val="00713886"/>
    <w:rsid w:val="00713A6E"/>
    <w:rsid w:val="0071576B"/>
    <w:rsid w:val="00715B96"/>
    <w:rsid w:val="00715DED"/>
    <w:rsid w:val="007205A8"/>
    <w:rsid w:val="00722E4A"/>
    <w:rsid w:val="00723809"/>
    <w:rsid w:val="0072438A"/>
    <w:rsid w:val="00725373"/>
    <w:rsid w:val="0072593E"/>
    <w:rsid w:val="00725A96"/>
    <w:rsid w:val="00730565"/>
    <w:rsid w:val="00731CF4"/>
    <w:rsid w:val="007331DC"/>
    <w:rsid w:val="00735557"/>
    <w:rsid w:val="00735DB8"/>
    <w:rsid w:val="00740BE9"/>
    <w:rsid w:val="007452C1"/>
    <w:rsid w:val="007454AE"/>
    <w:rsid w:val="00745C6B"/>
    <w:rsid w:val="00747E9B"/>
    <w:rsid w:val="00751B8D"/>
    <w:rsid w:val="00751D44"/>
    <w:rsid w:val="00753E5E"/>
    <w:rsid w:val="0075418D"/>
    <w:rsid w:val="007545B0"/>
    <w:rsid w:val="00757E23"/>
    <w:rsid w:val="00760C96"/>
    <w:rsid w:val="00764489"/>
    <w:rsid w:val="00764972"/>
    <w:rsid w:val="00770312"/>
    <w:rsid w:val="007769D0"/>
    <w:rsid w:val="0078153D"/>
    <w:rsid w:val="007819E3"/>
    <w:rsid w:val="007826AA"/>
    <w:rsid w:val="00785D71"/>
    <w:rsid w:val="0079022F"/>
    <w:rsid w:val="00791FF0"/>
    <w:rsid w:val="00792A23"/>
    <w:rsid w:val="00793575"/>
    <w:rsid w:val="00794E9B"/>
    <w:rsid w:val="007A02F9"/>
    <w:rsid w:val="007A1BDF"/>
    <w:rsid w:val="007A1FBE"/>
    <w:rsid w:val="007A22E9"/>
    <w:rsid w:val="007A4E2B"/>
    <w:rsid w:val="007A61CE"/>
    <w:rsid w:val="007B0248"/>
    <w:rsid w:val="007B0715"/>
    <w:rsid w:val="007B1331"/>
    <w:rsid w:val="007B57BC"/>
    <w:rsid w:val="007B6343"/>
    <w:rsid w:val="007B759F"/>
    <w:rsid w:val="007B79A2"/>
    <w:rsid w:val="007B7B2E"/>
    <w:rsid w:val="007C11CE"/>
    <w:rsid w:val="007C2329"/>
    <w:rsid w:val="007C2864"/>
    <w:rsid w:val="007C2B9D"/>
    <w:rsid w:val="007C2E46"/>
    <w:rsid w:val="007C5228"/>
    <w:rsid w:val="007C5986"/>
    <w:rsid w:val="007C7549"/>
    <w:rsid w:val="007C7637"/>
    <w:rsid w:val="007C77AB"/>
    <w:rsid w:val="007D2226"/>
    <w:rsid w:val="007D6B3C"/>
    <w:rsid w:val="007E01B0"/>
    <w:rsid w:val="007E0CF1"/>
    <w:rsid w:val="007E173B"/>
    <w:rsid w:val="007E17B8"/>
    <w:rsid w:val="007E18B1"/>
    <w:rsid w:val="007E243F"/>
    <w:rsid w:val="007E4170"/>
    <w:rsid w:val="007E4A34"/>
    <w:rsid w:val="007E66A4"/>
    <w:rsid w:val="007E6DDF"/>
    <w:rsid w:val="007E78F8"/>
    <w:rsid w:val="007F0F6B"/>
    <w:rsid w:val="007F2B92"/>
    <w:rsid w:val="007F347D"/>
    <w:rsid w:val="007F3964"/>
    <w:rsid w:val="007F410F"/>
    <w:rsid w:val="007F4E44"/>
    <w:rsid w:val="007F5BA5"/>
    <w:rsid w:val="007F6481"/>
    <w:rsid w:val="007F6757"/>
    <w:rsid w:val="007F6B7B"/>
    <w:rsid w:val="007F6DA1"/>
    <w:rsid w:val="007F71A1"/>
    <w:rsid w:val="00801BAF"/>
    <w:rsid w:val="00804B91"/>
    <w:rsid w:val="00804DC1"/>
    <w:rsid w:val="00805BCA"/>
    <w:rsid w:val="008061DF"/>
    <w:rsid w:val="00806654"/>
    <w:rsid w:val="008078E0"/>
    <w:rsid w:val="00810100"/>
    <w:rsid w:val="008106C5"/>
    <w:rsid w:val="008116AA"/>
    <w:rsid w:val="0081488E"/>
    <w:rsid w:val="00816462"/>
    <w:rsid w:val="00817B63"/>
    <w:rsid w:val="008200DA"/>
    <w:rsid w:val="00820477"/>
    <w:rsid w:val="00822BC7"/>
    <w:rsid w:val="00824783"/>
    <w:rsid w:val="00824977"/>
    <w:rsid w:val="00826D9B"/>
    <w:rsid w:val="00827728"/>
    <w:rsid w:val="0083015F"/>
    <w:rsid w:val="00830BB4"/>
    <w:rsid w:val="00831DAA"/>
    <w:rsid w:val="00832138"/>
    <w:rsid w:val="00832FD9"/>
    <w:rsid w:val="008331D5"/>
    <w:rsid w:val="00833CB6"/>
    <w:rsid w:val="00834E38"/>
    <w:rsid w:val="00835DE2"/>
    <w:rsid w:val="00836AB0"/>
    <w:rsid w:val="00837B5B"/>
    <w:rsid w:val="00843251"/>
    <w:rsid w:val="008454D0"/>
    <w:rsid w:val="00847C00"/>
    <w:rsid w:val="00850033"/>
    <w:rsid w:val="0085275F"/>
    <w:rsid w:val="008545C5"/>
    <w:rsid w:val="00854927"/>
    <w:rsid w:val="0085667F"/>
    <w:rsid w:val="00856E3A"/>
    <w:rsid w:val="0086002A"/>
    <w:rsid w:val="008647FD"/>
    <w:rsid w:val="0086486F"/>
    <w:rsid w:val="008661EB"/>
    <w:rsid w:val="00866E1A"/>
    <w:rsid w:val="00870051"/>
    <w:rsid w:val="008701FC"/>
    <w:rsid w:val="008709B7"/>
    <w:rsid w:val="0087293B"/>
    <w:rsid w:val="0087437C"/>
    <w:rsid w:val="008752DC"/>
    <w:rsid w:val="00877E61"/>
    <w:rsid w:val="008803DB"/>
    <w:rsid w:val="00880AFD"/>
    <w:rsid w:val="00880E21"/>
    <w:rsid w:val="00881942"/>
    <w:rsid w:val="00882834"/>
    <w:rsid w:val="00883431"/>
    <w:rsid w:val="00883A83"/>
    <w:rsid w:val="008845F5"/>
    <w:rsid w:val="00884FDA"/>
    <w:rsid w:val="008860C0"/>
    <w:rsid w:val="00890340"/>
    <w:rsid w:val="00892524"/>
    <w:rsid w:val="00893DEC"/>
    <w:rsid w:val="00895973"/>
    <w:rsid w:val="008963EB"/>
    <w:rsid w:val="00896961"/>
    <w:rsid w:val="00896D84"/>
    <w:rsid w:val="008975ED"/>
    <w:rsid w:val="008A30C2"/>
    <w:rsid w:val="008A399A"/>
    <w:rsid w:val="008A3FA2"/>
    <w:rsid w:val="008A5006"/>
    <w:rsid w:val="008A6811"/>
    <w:rsid w:val="008A73CF"/>
    <w:rsid w:val="008B045C"/>
    <w:rsid w:val="008B0D25"/>
    <w:rsid w:val="008B143B"/>
    <w:rsid w:val="008B1D20"/>
    <w:rsid w:val="008B5416"/>
    <w:rsid w:val="008B64BE"/>
    <w:rsid w:val="008B6F73"/>
    <w:rsid w:val="008B77F5"/>
    <w:rsid w:val="008C1596"/>
    <w:rsid w:val="008C5A7A"/>
    <w:rsid w:val="008C6D23"/>
    <w:rsid w:val="008C6D71"/>
    <w:rsid w:val="008D1C4E"/>
    <w:rsid w:val="008D2A87"/>
    <w:rsid w:val="008D49B9"/>
    <w:rsid w:val="008D4BA6"/>
    <w:rsid w:val="008D6504"/>
    <w:rsid w:val="008D65CF"/>
    <w:rsid w:val="008D7AA1"/>
    <w:rsid w:val="008E4246"/>
    <w:rsid w:val="008E447B"/>
    <w:rsid w:val="008E561C"/>
    <w:rsid w:val="008E727E"/>
    <w:rsid w:val="008F0605"/>
    <w:rsid w:val="008F0A70"/>
    <w:rsid w:val="008F0DC9"/>
    <w:rsid w:val="008F21D8"/>
    <w:rsid w:val="008F2740"/>
    <w:rsid w:val="008F44AA"/>
    <w:rsid w:val="008F4C84"/>
    <w:rsid w:val="008F7D03"/>
    <w:rsid w:val="009000C0"/>
    <w:rsid w:val="00900461"/>
    <w:rsid w:val="00900874"/>
    <w:rsid w:val="00903784"/>
    <w:rsid w:val="00903F33"/>
    <w:rsid w:val="00903FC8"/>
    <w:rsid w:val="009043AA"/>
    <w:rsid w:val="00907D9C"/>
    <w:rsid w:val="00910424"/>
    <w:rsid w:val="0091063E"/>
    <w:rsid w:val="00910DBF"/>
    <w:rsid w:val="00912146"/>
    <w:rsid w:val="00912641"/>
    <w:rsid w:val="00915686"/>
    <w:rsid w:val="00920AED"/>
    <w:rsid w:val="00921C21"/>
    <w:rsid w:val="00924D0D"/>
    <w:rsid w:val="0092551A"/>
    <w:rsid w:val="00930468"/>
    <w:rsid w:val="00933432"/>
    <w:rsid w:val="00933D69"/>
    <w:rsid w:val="00935956"/>
    <w:rsid w:val="00940062"/>
    <w:rsid w:val="00942FB2"/>
    <w:rsid w:val="009435AB"/>
    <w:rsid w:val="00953607"/>
    <w:rsid w:val="00953FB6"/>
    <w:rsid w:val="009549F9"/>
    <w:rsid w:val="00954B9D"/>
    <w:rsid w:val="009555D1"/>
    <w:rsid w:val="00955752"/>
    <w:rsid w:val="009561A5"/>
    <w:rsid w:val="009562A4"/>
    <w:rsid w:val="00956A41"/>
    <w:rsid w:val="009607FC"/>
    <w:rsid w:val="009624DA"/>
    <w:rsid w:val="00962583"/>
    <w:rsid w:val="009635C4"/>
    <w:rsid w:val="009647BE"/>
    <w:rsid w:val="0096608C"/>
    <w:rsid w:val="00967AB9"/>
    <w:rsid w:val="00971802"/>
    <w:rsid w:val="009718CC"/>
    <w:rsid w:val="00973D0F"/>
    <w:rsid w:val="00974B09"/>
    <w:rsid w:val="009758F0"/>
    <w:rsid w:val="00976F31"/>
    <w:rsid w:val="00982096"/>
    <w:rsid w:val="009828CF"/>
    <w:rsid w:val="00982FEC"/>
    <w:rsid w:val="0098378A"/>
    <w:rsid w:val="00984190"/>
    <w:rsid w:val="00984DD9"/>
    <w:rsid w:val="009861A8"/>
    <w:rsid w:val="009874DC"/>
    <w:rsid w:val="00987F61"/>
    <w:rsid w:val="00990096"/>
    <w:rsid w:val="009905E2"/>
    <w:rsid w:val="0099285E"/>
    <w:rsid w:val="00992D2F"/>
    <w:rsid w:val="00994BB4"/>
    <w:rsid w:val="009A02D8"/>
    <w:rsid w:val="009A12B6"/>
    <w:rsid w:val="009A1D47"/>
    <w:rsid w:val="009A1FE1"/>
    <w:rsid w:val="009A23C3"/>
    <w:rsid w:val="009A2618"/>
    <w:rsid w:val="009A326D"/>
    <w:rsid w:val="009A6C03"/>
    <w:rsid w:val="009B1F01"/>
    <w:rsid w:val="009B3145"/>
    <w:rsid w:val="009B3D6A"/>
    <w:rsid w:val="009C219A"/>
    <w:rsid w:val="009C3188"/>
    <w:rsid w:val="009C3348"/>
    <w:rsid w:val="009C3779"/>
    <w:rsid w:val="009C38EC"/>
    <w:rsid w:val="009C5501"/>
    <w:rsid w:val="009D00D0"/>
    <w:rsid w:val="009D3CA8"/>
    <w:rsid w:val="009D486A"/>
    <w:rsid w:val="009D5B9C"/>
    <w:rsid w:val="009D6777"/>
    <w:rsid w:val="009D760C"/>
    <w:rsid w:val="009E0148"/>
    <w:rsid w:val="009E2558"/>
    <w:rsid w:val="009E2661"/>
    <w:rsid w:val="009E3B5D"/>
    <w:rsid w:val="009E40BD"/>
    <w:rsid w:val="009E5E60"/>
    <w:rsid w:val="009E5F37"/>
    <w:rsid w:val="009F063F"/>
    <w:rsid w:val="009F0676"/>
    <w:rsid w:val="009F303F"/>
    <w:rsid w:val="009F36CC"/>
    <w:rsid w:val="009F638B"/>
    <w:rsid w:val="009F6928"/>
    <w:rsid w:val="009F7909"/>
    <w:rsid w:val="00A021BA"/>
    <w:rsid w:val="00A026EE"/>
    <w:rsid w:val="00A02B72"/>
    <w:rsid w:val="00A02D49"/>
    <w:rsid w:val="00A035A4"/>
    <w:rsid w:val="00A037AE"/>
    <w:rsid w:val="00A058A0"/>
    <w:rsid w:val="00A1097D"/>
    <w:rsid w:val="00A10FCF"/>
    <w:rsid w:val="00A11562"/>
    <w:rsid w:val="00A119C5"/>
    <w:rsid w:val="00A11E80"/>
    <w:rsid w:val="00A12CC2"/>
    <w:rsid w:val="00A13888"/>
    <w:rsid w:val="00A13D28"/>
    <w:rsid w:val="00A15337"/>
    <w:rsid w:val="00A15589"/>
    <w:rsid w:val="00A17963"/>
    <w:rsid w:val="00A23F52"/>
    <w:rsid w:val="00A26E6E"/>
    <w:rsid w:val="00A33000"/>
    <w:rsid w:val="00A34872"/>
    <w:rsid w:val="00A34F93"/>
    <w:rsid w:val="00A3762A"/>
    <w:rsid w:val="00A42508"/>
    <w:rsid w:val="00A441C3"/>
    <w:rsid w:val="00A44B78"/>
    <w:rsid w:val="00A45215"/>
    <w:rsid w:val="00A46086"/>
    <w:rsid w:val="00A4662B"/>
    <w:rsid w:val="00A47484"/>
    <w:rsid w:val="00A54338"/>
    <w:rsid w:val="00A55429"/>
    <w:rsid w:val="00A60131"/>
    <w:rsid w:val="00A61255"/>
    <w:rsid w:val="00A645D8"/>
    <w:rsid w:val="00A67EFF"/>
    <w:rsid w:val="00A70899"/>
    <w:rsid w:val="00A70CE8"/>
    <w:rsid w:val="00A71875"/>
    <w:rsid w:val="00A72479"/>
    <w:rsid w:val="00A7435F"/>
    <w:rsid w:val="00A75027"/>
    <w:rsid w:val="00A75B1C"/>
    <w:rsid w:val="00A75F7B"/>
    <w:rsid w:val="00A7617D"/>
    <w:rsid w:val="00A85110"/>
    <w:rsid w:val="00A86E4F"/>
    <w:rsid w:val="00A87D14"/>
    <w:rsid w:val="00A9515B"/>
    <w:rsid w:val="00A95D02"/>
    <w:rsid w:val="00A978D7"/>
    <w:rsid w:val="00A97B65"/>
    <w:rsid w:val="00AA0DE9"/>
    <w:rsid w:val="00AA1523"/>
    <w:rsid w:val="00AA1FEF"/>
    <w:rsid w:val="00AA297D"/>
    <w:rsid w:val="00AA352A"/>
    <w:rsid w:val="00AA3C87"/>
    <w:rsid w:val="00AA4AE9"/>
    <w:rsid w:val="00AA6E89"/>
    <w:rsid w:val="00AA7E64"/>
    <w:rsid w:val="00AA7FDF"/>
    <w:rsid w:val="00AB170D"/>
    <w:rsid w:val="00AB1972"/>
    <w:rsid w:val="00AB1BBE"/>
    <w:rsid w:val="00AB2DDD"/>
    <w:rsid w:val="00AB3D8B"/>
    <w:rsid w:val="00AB3F70"/>
    <w:rsid w:val="00AB7AFB"/>
    <w:rsid w:val="00AC08E0"/>
    <w:rsid w:val="00AC1F18"/>
    <w:rsid w:val="00AC2973"/>
    <w:rsid w:val="00AC6696"/>
    <w:rsid w:val="00AC6CE0"/>
    <w:rsid w:val="00AC73A4"/>
    <w:rsid w:val="00AD0DA4"/>
    <w:rsid w:val="00AD3B1A"/>
    <w:rsid w:val="00AD3CC9"/>
    <w:rsid w:val="00AD46AC"/>
    <w:rsid w:val="00AD4AC2"/>
    <w:rsid w:val="00AD610E"/>
    <w:rsid w:val="00AD689E"/>
    <w:rsid w:val="00AD70C1"/>
    <w:rsid w:val="00AE0BBD"/>
    <w:rsid w:val="00AE2B21"/>
    <w:rsid w:val="00AE320F"/>
    <w:rsid w:val="00AE61F3"/>
    <w:rsid w:val="00AF1268"/>
    <w:rsid w:val="00AF2F0C"/>
    <w:rsid w:val="00AF3B96"/>
    <w:rsid w:val="00AF58DD"/>
    <w:rsid w:val="00AF5F65"/>
    <w:rsid w:val="00AF6414"/>
    <w:rsid w:val="00AF7965"/>
    <w:rsid w:val="00B00956"/>
    <w:rsid w:val="00B01022"/>
    <w:rsid w:val="00B02026"/>
    <w:rsid w:val="00B023A7"/>
    <w:rsid w:val="00B02E4C"/>
    <w:rsid w:val="00B03963"/>
    <w:rsid w:val="00B052E9"/>
    <w:rsid w:val="00B071B7"/>
    <w:rsid w:val="00B077AB"/>
    <w:rsid w:val="00B078DC"/>
    <w:rsid w:val="00B10C8D"/>
    <w:rsid w:val="00B115F6"/>
    <w:rsid w:val="00B14572"/>
    <w:rsid w:val="00B16629"/>
    <w:rsid w:val="00B17E08"/>
    <w:rsid w:val="00B17E32"/>
    <w:rsid w:val="00B2179F"/>
    <w:rsid w:val="00B22342"/>
    <w:rsid w:val="00B22433"/>
    <w:rsid w:val="00B22A96"/>
    <w:rsid w:val="00B24B72"/>
    <w:rsid w:val="00B265C0"/>
    <w:rsid w:val="00B3136A"/>
    <w:rsid w:val="00B32FDE"/>
    <w:rsid w:val="00B339BD"/>
    <w:rsid w:val="00B35000"/>
    <w:rsid w:val="00B35B39"/>
    <w:rsid w:val="00B35B88"/>
    <w:rsid w:val="00B42391"/>
    <w:rsid w:val="00B429AF"/>
    <w:rsid w:val="00B4387D"/>
    <w:rsid w:val="00B44FBA"/>
    <w:rsid w:val="00B534FC"/>
    <w:rsid w:val="00B54549"/>
    <w:rsid w:val="00B60026"/>
    <w:rsid w:val="00B6055E"/>
    <w:rsid w:val="00B60C8B"/>
    <w:rsid w:val="00B616F1"/>
    <w:rsid w:val="00B61E47"/>
    <w:rsid w:val="00B61F25"/>
    <w:rsid w:val="00B6686D"/>
    <w:rsid w:val="00B674AB"/>
    <w:rsid w:val="00B710BF"/>
    <w:rsid w:val="00B73132"/>
    <w:rsid w:val="00B748DD"/>
    <w:rsid w:val="00B840B8"/>
    <w:rsid w:val="00B84D50"/>
    <w:rsid w:val="00B8514D"/>
    <w:rsid w:val="00B85AF9"/>
    <w:rsid w:val="00B8601F"/>
    <w:rsid w:val="00B8670F"/>
    <w:rsid w:val="00B902AE"/>
    <w:rsid w:val="00B92BBD"/>
    <w:rsid w:val="00B93858"/>
    <w:rsid w:val="00B9765A"/>
    <w:rsid w:val="00BA0752"/>
    <w:rsid w:val="00BA211A"/>
    <w:rsid w:val="00BA27F3"/>
    <w:rsid w:val="00BA63C6"/>
    <w:rsid w:val="00BB2722"/>
    <w:rsid w:val="00BB29FF"/>
    <w:rsid w:val="00BB2BAA"/>
    <w:rsid w:val="00BB31EB"/>
    <w:rsid w:val="00BB34FC"/>
    <w:rsid w:val="00BB3A93"/>
    <w:rsid w:val="00BB6A71"/>
    <w:rsid w:val="00BC1EA9"/>
    <w:rsid w:val="00BC26D8"/>
    <w:rsid w:val="00BC2710"/>
    <w:rsid w:val="00BC4587"/>
    <w:rsid w:val="00BC4C30"/>
    <w:rsid w:val="00BC62E7"/>
    <w:rsid w:val="00BC6C6F"/>
    <w:rsid w:val="00BD0ACF"/>
    <w:rsid w:val="00BD4469"/>
    <w:rsid w:val="00BD4B77"/>
    <w:rsid w:val="00BD67C2"/>
    <w:rsid w:val="00BE13F0"/>
    <w:rsid w:val="00BE1419"/>
    <w:rsid w:val="00BE1A65"/>
    <w:rsid w:val="00BE1BD8"/>
    <w:rsid w:val="00BE24AF"/>
    <w:rsid w:val="00BE3A52"/>
    <w:rsid w:val="00BF0EFF"/>
    <w:rsid w:val="00BF3985"/>
    <w:rsid w:val="00BF4B79"/>
    <w:rsid w:val="00BF5654"/>
    <w:rsid w:val="00BF7BF6"/>
    <w:rsid w:val="00C02E13"/>
    <w:rsid w:val="00C06243"/>
    <w:rsid w:val="00C064E2"/>
    <w:rsid w:val="00C07C95"/>
    <w:rsid w:val="00C10EE3"/>
    <w:rsid w:val="00C11598"/>
    <w:rsid w:val="00C1176D"/>
    <w:rsid w:val="00C12315"/>
    <w:rsid w:val="00C13799"/>
    <w:rsid w:val="00C138BD"/>
    <w:rsid w:val="00C148E5"/>
    <w:rsid w:val="00C16BAB"/>
    <w:rsid w:val="00C21ABC"/>
    <w:rsid w:val="00C22543"/>
    <w:rsid w:val="00C253DF"/>
    <w:rsid w:val="00C2561A"/>
    <w:rsid w:val="00C25FCB"/>
    <w:rsid w:val="00C26329"/>
    <w:rsid w:val="00C27C5F"/>
    <w:rsid w:val="00C30891"/>
    <w:rsid w:val="00C32FB9"/>
    <w:rsid w:val="00C409BF"/>
    <w:rsid w:val="00C4147C"/>
    <w:rsid w:val="00C420C3"/>
    <w:rsid w:val="00C42C37"/>
    <w:rsid w:val="00C45FC6"/>
    <w:rsid w:val="00C465DF"/>
    <w:rsid w:val="00C50104"/>
    <w:rsid w:val="00C5176C"/>
    <w:rsid w:val="00C51A13"/>
    <w:rsid w:val="00C5205C"/>
    <w:rsid w:val="00C53919"/>
    <w:rsid w:val="00C539E2"/>
    <w:rsid w:val="00C5558C"/>
    <w:rsid w:val="00C57E8D"/>
    <w:rsid w:val="00C618BF"/>
    <w:rsid w:val="00C62AAF"/>
    <w:rsid w:val="00C6321D"/>
    <w:rsid w:val="00C63A98"/>
    <w:rsid w:val="00C640C5"/>
    <w:rsid w:val="00C65172"/>
    <w:rsid w:val="00C65F2B"/>
    <w:rsid w:val="00C66B5E"/>
    <w:rsid w:val="00C70CAB"/>
    <w:rsid w:val="00C7132A"/>
    <w:rsid w:val="00C71AAB"/>
    <w:rsid w:val="00C738A6"/>
    <w:rsid w:val="00C7753F"/>
    <w:rsid w:val="00C8142A"/>
    <w:rsid w:val="00C82157"/>
    <w:rsid w:val="00C826DD"/>
    <w:rsid w:val="00C86760"/>
    <w:rsid w:val="00C868DD"/>
    <w:rsid w:val="00C91D76"/>
    <w:rsid w:val="00C921AC"/>
    <w:rsid w:val="00C95045"/>
    <w:rsid w:val="00C95417"/>
    <w:rsid w:val="00C968F1"/>
    <w:rsid w:val="00CA16FF"/>
    <w:rsid w:val="00CA1F50"/>
    <w:rsid w:val="00CA2057"/>
    <w:rsid w:val="00CA311C"/>
    <w:rsid w:val="00CA50DF"/>
    <w:rsid w:val="00CA5B69"/>
    <w:rsid w:val="00CA7EA7"/>
    <w:rsid w:val="00CB16EF"/>
    <w:rsid w:val="00CB27CA"/>
    <w:rsid w:val="00CB31C0"/>
    <w:rsid w:val="00CB3998"/>
    <w:rsid w:val="00CB567D"/>
    <w:rsid w:val="00CB7051"/>
    <w:rsid w:val="00CC032F"/>
    <w:rsid w:val="00CC10EB"/>
    <w:rsid w:val="00CC14C3"/>
    <w:rsid w:val="00CC19EE"/>
    <w:rsid w:val="00CC3E0B"/>
    <w:rsid w:val="00CC4B01"/>
    <w:rsid w:val="00CC658E"/>
    <w:rsid w:val="00CC6C91"/>
    <w:rsid w:val="00CD0AAE"/>
    <w:rsid w:val="00CD14B3"/>
    <w:rsid w:val="00CD2F93"/>
    <w:rsid w:val="00CD36C9"/>
    <w:rsid w:val="00CD6C0D"/>
    <w:rsid w:val="00CD7B56"/>
    <w:rsid w:val="00CE05D6"/>
    <w:rsid w:val="00CE07C8"/>
    <w:rsid w:val="00CE1330"/>
    <w:rsid w:val="00CE14E2"/>
    <w:rsid w:val="00CE1F8C"/>
    <w:rsid w:val="00CE2396"/>
    <w:rsid w:val="00CE410A"/>
    <w:rsid w:val="00CE43A3"/>
    <w:rsid w:val="00CE465A"/>
    <w:rsid w:val="00CE58B8"/>
    <w:rsid w:val="00CE691D"/>
    <w:rsid w:val="00CF2462"/>
    <w:rsid w:val="00CF3D54"/>
    <w:rsid w:val="00CF7233"/>
    <w:rsid w:val="00CF7C93"/>
    <w:rsid w:val="00D00605"/>
    <w:rsid w:val="00D01488"/>
    <w:rsid w:val="00D029F2"/>
    <w:rsid w:val="00D03CED"/>
    <w:rsid w:val="00D059E0"/>
    <w:rsid w:val="00D05BAC"/>
    <w:rsid w:val="00D07FEF"/>
    <w:rsid w:val="00D1077D"/>
    <w:rsid w:val="00D111D5"/>
    <w:rsid w:val="00D13EAB"/>
    <w:rsid w:val="00D13EDB"/>
    <w:rsid w:val="00D1534B"/>
    <w:rsid w:val="00D15D75"/>
    <w:rsid w:val="00D17049"/>
    <w:rsid w:val="00D20E5E"/>
    <w:rsid w:val="00D2273B"/>
    <w:rsid w:val="00D242A5"/>
    <w:rsid w:val="00D257B8"/>
    <w:rsid w:val="00D263E4"/>
    <w:rsid w:val="00D26681"/>
    <w:rsid w:val="00D30D69"/>
    <w:rsid w:val="00D31F19"/>
    <w:rsid w:val="00D324CD"/>
    <w:rsid w:val="00D331C7"/>
    <w:rsid w:val="00D3452C"/>
    <w:rsid w:val="00D34F75"/>
    <w:rsid w:val="00D36487"/>
    <w:rsid w:val="00D408EA"/>
    <w:rsid w:val="00D430CD"/>
    <w:rsid w:val="00D43821"/>
    <w:rsid w:val="00D4388F"/>
    <w:rsid w:val="00D44BDD"/>
    <w:rsid w:val="00D50147"/>
    <w:rsid w:val="00D52B1A"/>
    <w:rsid w:val="00D52D64"/>
    <w:rsid w:val="00D53960"/>
    <w:rsid w:val="00D53A84"/>
    <w:rsid w:val="00D53F5D"/>
    <w:rsid w:val="00D5498E"/>
    <w:rsid w:val="00D55EA1"/>
    <w:rsid w:val="00D60772"/>
    <w:rsid w:val="00D60BB2"/>
    <w:rsid w:val="00D61326"/>
    <w:rsid w:val="00D6278E"/>
    <w:rsid w:val="00D63685"/>
    <w:rsid w:val="00D64512"/>
    <w:rsid w:val="00D647EA"/>
    <w:rsid w:val="00D64B67"/>
    <w:rsid w:val="00D6563C"/>
    <w:rsid w:val="00D66ECC"/>
    <w:rsid w:val="00D71237"/>
    <w:rsid w:val="00D72F81"/>
    <w:rsid w:val="00D74B80"/>
    <w:rsid w:val="00D75444"/>
    <w:rsid w:val="00D7591F"/>
    <w:rsid w:val="00D75D76"/>
    <w:rsid w:val="00D77326"/>
    <w:rsid w:val="00D820FE"/>
    <w:rsid w:val="00D83346"/>
    <w:rsid w:val="00D85A1F"/>
    <w:rsid w:val="00D85C12"/>
    <w:rsid w:val="00D85CF2"/>
    <w:rsid w:val="00D865CB"/>
    <w:rsid w:val="00D8663B"/>
    <w:rsid w:val="00D90127"/>
    <w:rsid w:val="00D918C8"/>
    <w:rsid w:val="00D92917"/>
    <w:rsid w:val="00D92B25"/>
    <w:rsid w:val="00D92FB3"/>
    <w:rsid w:val="00D950E2"/>
    <w:rsid w:val="00D96129"/>
    <w:rsid w:val="00D96708"/>
    <w:rsid w:val="00D976A2"/>
    <w:rsid w:val="00D976FC"/>
    <w:rsid w:val="00DA0DCF"/>
    <w:rsid w:val="00DA4669"/>
    <w:rsid w:val="00DB1608"/>
    <w:rsid w:val="00DB244A"/>
    <w:rsid w:val="00DB28EA"/>
    <w:rsid w:val="00DB2D26"/>
    <w:rsid w:val="00DB3F2C"/>
    <w:rsid w:val="00DB417E"/>
    <w:rsid w:val="00DB4DAB"/>
    <w:rsid w:val="00DB53B3"/>
    <w:rsid w:val="00DC44B5"/>
    <w:rsid w:val="00DC4945"/>
    <w:rsid w:val="00DC55AA"/>
    <w:rsid w:val="00DC69DE"/>
    <w:rsid w:val="00DC6D3D"/>
    <w:rsid w:val="00DC7DBB"/>
    <w:rsid w:val="00DD09DE"/>
    <w:rsid w:val="00DD5145"/>
    <w:rsid w:val="00DD761A"/>
    <w:rsid w:val="00DD7A6A"/>
    <w:rsid w:val="00DE0EA8"/>
    <w:rsid w:val="00DE13D0"/>
    <w:rsid w:val="00DE31B1"/>
    <w:rsid w:val="00DE331F"/>
    <w:rsid w:val="00DE3376"/>
    <w:rsid w:val="00DE3DEB"/>
    <w:rsid w:val="00DE4919"/>
    <w:rsid w:val="00DE4C0E"/>
    <w:rsid w:val="00DE4EEB"/>
    <w:rsid w:val="00DE7B4B"/>
    <w:rsid w:val="00DE7D7C"/>
    <w:rsid w:val="00DF0DDE"/>
    <w:rsid w:val="00DF4836"/>
    <w:rsid w:val="00DF6F0A"/>
    <w:rsid w:val="00DF75D4"/>
    <w:rsid w:val="00E02257"/>
    <w:rsid w:val="00E03FA4"/>
    <w:rsid w:val="00E12B7D"/>
    <w:rsid w:val="00E13F64"/>
    <w:rsid w:val="00E14E62"/>
    <w:rsid w:val="00E15360"/>
    <w:rsid w:val="00E15AF7"/>
    <w:rsid w:val="00E20B11"/>
    <w:rsid w:val="00E21524"/>
    <w:rsid w:val="00E225DC"/>
    <w:rsid w:val="00E22D8E"/>
    <w:rsid w:val="00E2495F"/>
    <w:rsid w:val="00E257D5"/>
    <w:rsid w:val="00E268E0"/>
    <w:rsid w:val="00E26D4B"/>
    <w:rsid w:val="00E277DC"/>
    <w:rsid w:val="00E27801"/>
    <w:rsid w:val="00E27E2A"/>
    <w:rsid w:val="00E30572"/>
    <w:rsid w:val="00E307AF"/>
    <w:rsid w:val="00E30834"/>
    <w:rsid w:val="00E3268F"/>
    <w:rsid w:val="00E347A4"/>
    <w:rsid w:val="00E37C54"/>
    <w:rsid w:val="00E40B9E"/>
    <w:rsid w:val="00E41174"/>
    <w:rsid w:val="00E428E8"/>
    <w:rsid w:val="00E45ED1"/>
    <w:rsid w:val="00E535F8"/>
    <w:rsid w:val="00E53A4B"/>
    <w:rsid w:val="00E53AC8"/>
    <w:rsid w:val="00E55072"/>
    <w:rsid w:val="00E56CE3"/>
    <w:rsid w:val="00E5749A"/>
    <w:rsid w:val="00E57908"/>
    <w:rsid w:val="00E61B2C"/>
    <w:rsid w:val="00E632C4"/>
    <w:rsid w:val="00E65C62"/>
    <w:rsid w:val="00E65C6A"/>
    <w:rsid w:val="00E666E6"/>
    <w:rsid w:val="00E6742F"/>
    <w:rsid w:val="00E67C1B"/>
    <w:rsid w:val="00E7447D"/>
    <w:rsid w:val="00E75B5D"/>
    <w:rsid w:val="00E76447"/>
    <w:rsid w:val="00E769F1"/>
    <w:rsid w:val="00E76E67"/>
    <w:rsid w:val="00E8053C"/>
    <w:rsid w:val="00E80E43"/>
    <w:rsid w:val="00E81B49"/>
    <w:rsid w:val="00E83CE8"/>
    <w:rsid w:val="00E85883"/>
    <w:rsid w:val="00E8752B"/>
    <w:rsid w:val="00E9009F"/>
    <w:rsid w:val="00E91020"/>
    <w:rsid w:val="00E914B3"/>
    <w:rsid w:val="00E920DC"/>
    <w:rsid w:val="00E96423"/>
    <w:rsid w:val="00E96AD0"/>
    <w:rsid w:val="00E97320"/>
    <w:rsid w:val="00E97451"/>
    <w:rsid w:val="00EA056C"/>
    <w:rsid w:val="00EA6EB9"/>
    <w:rsid w:val="00EA7927"/>
    <w:rsid w:val="00EA7A71"/>
    <w:rsid w:val="00EB1F4A"/>
    <w:rsid w:val="00EB29B9"/>
    <w:rsid w:val="00EB423E"/>
    <w:rsid w:val="00EB5EFC"/>
    <w:rsid w:val="00EB608B"/>
    <w:rsid w:val="00EB6ABA"/>
    <w:rsid w:val="00EB6BEC"/>
    <w:rsid w:val="00EB726B"/>
    <w:rsid w:val="00EB7E16"/>
    <w:rsid w:val="00EC1FD4"/>
    <w:rsid w:val="00EC2FC1"/>
    <w:rsid w:val="00EC40A9"/>
    <w:rsid w:val="00EC53B5"/>
    <w:rsid w:val="00EC75DF"/>
    <w:rsid w:val="00ED0245"/>
    <w:rsid w:val="00ED0E24"/>
    <w:rsid w:val="00ED17B9"/>
    <w:rsid w:val="00ED37B3"/>
    <w:rsid w:val="00ED4881"/>
    <w:rsid w:val="00ED4932"/>
    <w:rsid w:val="00ED4A31"/>
    <w:rsid w:val="00ED6E45"/>
    <w:rsid w:val="00ED7DFD"/>
    <w:rsid w:val="00EE15CF"/>
    <w:rsid w:val="00EE1FF9"/>
    <w:rsid w:val="00EE33D3"/>
    <w:rsid w:val="00EE3526"/>
    <w:rsid w:val="00EE44B6"/>
    <w:rsid w:val="00EE496B"/>
    <w:rsid w:val="00EE55D3"/>
    <w:rsid w:val="00EE6D2D"/>
    <w:rsid w:val="00EE7054"/>
    <w:rsid w:val="00EE7900"/>
    <w:rsid w:val="00EF1765"/>
    <w:rsid w:val="00EF17FB"/>
    <w:rsid w:val="00EF1B38"/>
    <w:rsid w:val="00EF21DE"/>
    <w:rsid w:val="00EF25A2"/>
    <w:rsid w:val="00EF2959"/>
    <w:rsid w:val="00EF2F8F"/>
    <w:rsid w:val="00EF311E"/>
    <w:rsid w:val="00EF5057"/>
    <w:rsid w:val="00F00165"/>
    <w:rsid w:val="00F003FE"/>
    <w:rsid w:val="00F00503"/>
    <w:rsid w:val="00F00FC1"/>
    <w:rsid w:val="00F011BB"/>
    <w:rsid w:val="00F019FD"/>
    <w:rsid w:val="00F028FC"/>
    <w:rsid w:val="00F030CB"/>
    <w:rsid w:val="00F076DC"/>
    <w:rsid w:val="00F1223C"/>
    <w:rsid w:val="00F1271C"/>
    <w:rsid w:val="00F21404"/>
    <w:rsid w:val="00F230D8"/>
    <w:rsid w:val="00F24863"/>
    <w:rsid w:val="00F25410"/>
    <w:rsid w:val="00F254C6"/>
    <w:rsid w:val="00F27643"/>
    <w:rsid w:val="00F27D9C"/>
    <w:rsid w:val="00F30511"/>
    <w:rsid w:val="00F31D72"/>
    <w:rsid w:val="00F321E0"/>
    <w:rsid w:val="00F32751"/>
    <w:rsid w:val="00F33BFA"/>
    <w:rsid w:val="00F34341"/>
    <w:rsid w:val="00F35B91"/>
    <w:rsid w:val="00F42BED"/>
    <w:rsid w:val="00F44736"/>
    <w:rsid w:val="00F448F0"/>
    <w:rsid w:val="00F45E81"/>
    <w:rsid w:val="00F45F77"/>
    <w:rsid w:val="00F4644E"/>
    <w:rsid w:val="00F47A4E"/>
    <w:rsid w:val="00F5009B"/>
    <w:rsid w:val="00F509B0"/>
    <w:rsid w:val="00F50CBB"/>
    <w:rsid w:val="00F53C2D"/>
    <w:rsid w:val="00F5534B"/>
    <w:rsid w:val="00F55CFE"/>
    <w:rsid w:val="00F55DA2"/>
    <w:rsid w:val="00F56C33"/>
    <w:rsid w:val="00F636C4"/>
    <w:rsid w:val="00F65BDB"/>
    <w:rsid w:val="00F663FE"/>
    <w:rsid w:val="00F672C2"/>
    <w:rsid w:val="00F672EF"/>
    <w:rsid w:val="00F6773F"/>
    <w:rsid w:val="00F70A2B"/>
    <w:rsid w:val="00F7107E"/>
    <w:rsid w:val="00F71B79"/>
    <w:rsid w:val="00F72255"/>
    <w:rsid w:val="00F72948"/>
    <w:rsid w:val="00F77177"/>
    <w:rsid w:val="00F80934"/>
    <w:rsid w:val="00F824D3"/>
    <w:rsid w:val="00F839F0"/>
    <w:rsid w:val="00F842CE"/>
    <w:rsid w:val="00F845FB"/>
    <w:rsid w:val="00F848D2"/>
    <w:rsid w:val="00F862FD"/>
    <w:rsid w:val="00F86C9D"/>
    <w:rsid w:val="00F921B9"/>
    <w:rsid w:val="00F92E5A"/>
    <w:rsid w:val="00F93503"/>
    <w:rsid w:val="00F95AB6"/>
    <w:rsid w:val="00F9607E"/>
    <w:rsid w:val="00F96483"/>
    <w:rsid w:val="00F96E5A"/>
    <w:rsid w:val="00F97758"/>
    <w:rsid w:val="00FA0724"/>
    <w:rsid w:val="00FA16B5"/>
    <w:rsid w:val="00FA27E4"/>
    <w:rsid w:val="00FA43AE"/>
    <w:rsid w:val="00FA599F"/>
    <w:rsid w:val="00FA68F3"/>
    <w:rsid w:val="00FA720F"/>
    <w:rsid w:val="00FB2E75"/>
    <w:rsid w:val="00FB3668"/>
    <w:rsid w:val="00FB5B61"/>
    <w:rsid w:val="00FB5E43"/>
    <w:rsid w:val="00FB7907"/>
    <w:rsid w:val="00FC0B1A"/>
    <w:rsid w:val="00FC1C97"/>
    <w:rsid w:val="00FC44EA"/>
    <w:rsid w:val="00FC7F58"/>
    <w:rsid w:val="00FD2915"/>
    <w:rsid w:val="00FD32BE"/>
    <w:rsid w:val="00FD4A61"/>
    <w:rsid w:val="00FE21D0"/>
    <w:rsid w:val="00FE2969"/>
    <w:rsid w:val="00FE32EF"/>
    <w:rsid w:val="00FE6A47"/>
    <w:rsid w:val="00FF0478"/>
    <w:rsid w:val="00FF04A4"/>
    <w:rsid w:val="00FF298C"/>
    <w:rsid w:val="00FF380C"/>
    <w:rsid w:val="00FF45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8FED"/>
  <w15:chartTrackingRefBased/>
  <w15:docId w15:val="{AC25EBC8-C3BF-4601-94CA-36236A86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570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70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346"/>
    <w:pPr>
      <w:ind w:left="720"/>
      <w:contextualSpacing/>
    </w:pPr>
  </w:style>
  <w:style w:type="paragraph" w:styleId="Header">
    <w:name w:val="header"/>
    <w:basedOn w:val="Normal"/>
    <w:link w:val="HeaderChar"/>
    <w:uiPriority w:val="99"/>
    <w:unhideWhenUsed/>
    <w:rsid w:val="00CC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C91"/>
  </w:style>
  <w:style w:type="paragraph" w:styleId="Footer">
    <w:name w:val="footer"/>
    <w:basedOn w:val="Normal"/>
    <w:link w:val="FooterChar"/>
    <w:uiPriority w:val="99"/>
    <w:unhideWhenUsed/>
    <w:rsid w:val="00CC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C91"/>
  </w:style>
  <w:style w:type="character" w:styleId="CommentReference">
    <w:name w:val="annotation reference"/>
    <w:basedOn w:val="DefaultParagraphFont"/>
    <w:uiPriority w:val="99"/>
    <w:semiHidden/>
    <w:unhideWhenUsed/>
    <w:rsid w:val="0098378A"/>
    <w:rPr>
      <w:sz w:val="16"/>
      <w:szCs w:val="16"/>
    </w:rPr>
  </w:style>
  <w:style w:type="paragraph" w:styleId="CommentText">
    <w:name w:val="annotation text"/>
    <w:basedOn w:val="Normal"/>
    <w:link w:val="CommentTextChar"/>
    <w:uiPriority w:val="99"/>
    <w:unhideWhenUsed/>
    <w:rsid w:val="0098378A"/>
    <w:pPr>
      <w:spacing w:line="240" w:lineRule="auto"/>
    </w:pPr>
    <w:rPr>
      <w:sz w:val="20"/>
      <w:szCs w:val="20"/>
    </w:rPr>
  </w:style>
  <w:style w:type="character" w:customStyle="1" w:styleId="CommentTextChar">
    <w:name w:val="Comment Text Char"/>
    <w:basedOn w:val="DefaultParagraphFont"/>
    <w:link w:val="CommentText"/>
    <w:uiPriority w:val="99"/>
    <w:rsid w:val="0098378A"/>
    <w:rPr>
      <w:sz w:val="20"/>
      <w:szCs w:val="20"/>
    </w:rPr>
  </w:style>
  <w:style w:type="paragraph" w:styleId="CommentSubject">
    <w:name w:val="annotation subject"/>
    <w:basedOn w:val="CommentText"/>
    <w:next w:val="CommentText"/>
    <w:link w:val="CommentSubjectChar"/>
    <w:uiPriority w:val="99"/>
    <w:semiHidden/>
    <w:unhideWhenUsed/>
    <w:rsid w:val="0098378A"/>
    <w:rPr>
      <w:b/>
      <w:bCs/>
    </w:rPr>
  </w:style>
  <w:style w:type="character" w:customStyle="1" w:styleId="CommentSubjectChar">
    <w:name w:val="Comment Subject Char"/>
    <w:basedOn w:val="CommentTextChar"/>
    <w:link w:val="CommentSubject"/>
    <w:uiPriority w:val="99"/>
    <w:semiHidden/>
    <w:rsid w:val="0098378A"/>
    <w:rPr>
      <w:b/>
      <w:bCs/>
      <w:sz w:val="20"/>
      <w:szCs w:val="20"/>
    </w:rPr>
  </w:style>
  <w:style w:type="paragraph" w:styleId="Revision">
    <w:name w:val="Revision"/>
    <w:hidden/>
    <w:uiPriority w:val="99"/>
    <w:semiHidden/>
    <w:rsid w:val="00257061"/>
    <w:pPr>
      <w:spacing w:after="0" w:line="240" w:lineRule="auto"/>
    </w:pPr>
  </w:style>
  <w:style w:type="paragraph" w:customStyle="1" w:styleId="EFtitre1">
    <w:name w:val="EF titre 1"/>
    <w:basedOn w:val="Normal"/>
    <w:next w:val="Normal"/>
    <w:qFormat/>
    <w:rsid w:val="00257061"/>
    <w:pPr>
      <w:keepNext/>
      <w:keepLines/>
      <w:numPr>
        <w:ilvl w:val="5"/>
        <w:numId w:val="8"/>
      </w:numPr>
      <w:suppressAutoHyphens/>
      <w:autoSpaceDE w:val="0"/>
      <w:autoSpaceDN w:val="0"/>
      <w:adjustRightInd w:val="0"/>
      <w:spacing w:before="240" w:after="240" w:line="240" w:lineRule="auto"/>
      <w:jc w:val="both"/>
      <w:textAlignment w:val="baseline"/>
      <w:outlineLvl w:val="2"/>
    </w:pPr>
    <w:rPr>
      <w:rFonts w:ascii="Univers 47 CondensedLight" w:eastAsia="Times New Roman" w:hAnsi="Univers 47 CondensedLight" w:cs="Times New Roman"/>
      <w:b/>
      <w:color w:val="008080"/>
      <w:spacing w:val="-12"/>
      <w:sz w:val="32"/>
      <w:szCs w:val="20"/>
      <w:lang w:val="fr-FR" w:eastAsia="fr-FR"/>
    </w:rPr>
  </w:style>
  <w:style w:type="paragraph" w:customStyle="1" w:styleId="RFtitre1">
    <w:name w:val="RF titre 1"/>
    <w:basedOn w:val="Heading2"/>
    <w:next w:val="RFtitre2"/>
    <w:qFormat/>
    <w:rsid w:val="00257061"/>
    <w:pPr>
      <w:numPr>
        <w:numId w:val="8"/>
      </w:numPr>
      <w:tabs>
        <w:tab w:val="clear" w:pos="578"/>
      </w:tabs>
      <w:suppressAutoHyphens/>
      <w:autoSpaceDE w:val="0"/>
      <w:autoSpaceDN w:val="0"/>
      <w:adjustRightInd w:val="0"/>
      <w:spacing w:before="240" w:after="240" w:line="240" w:lineRule="auto"/>
      <w:ind w:left="720" w:hanging="360"/>
      <w:jc w:val="both"/>
      <w:textAlignment w:val="baseline"/>
    </w:pPr>
    <w:rPr>
      <w:rFonts w:ascii="Univers 47 CondensedLight" w:eastAsia="Times New Roman" w:hAnsi="Univers 47 CondensedLight" w:cs="Arial"/>
      <w:b/>
      <w:color w:val="008080"/>
      <w:sz w:val="46"/>
      <w:szCs w:val="46"/>
      <w:lang w:val="fr-FR"/>
    </w:rPr>
  </w:style>
  <w:style w:type="paragraph" w:customStyle="1" w:styleId="RFtitre2">
    <w:name w:val="RF titre 2"/>
    <w:basedOn w:val="Heading2"/>
    <w:next w:val="RFtitre3"/>
    <w:qFormat/>
    <w:rsid w:val="00257061"/>
    <w:pPr>
      <w:numPr>
        <w:ilvl w:val="1"/>
        <w:numId w:val="8"/>
      </w:numPr>
      <w:pBdr>
        <w:bottom w:val="single" w:sz="4" w:space="1" w:color="008080"/>
      </w:pBdr>
      <w:tabs>
        <w:tab w:val="clear" w:pos="578"/>
      </w:tabs>
      <w:suppressAutoHyphens/>
      <w:autoSpaceDE w:val="0"/>
      <w:autoSpaceDN w:val="0"/>
      <w:adjustRightInd w:val="0"/>
      <w:spacing w:before="240" w:after="240" w:line="240" w:lineRule="auto"/>
      <w:ind w:left="1440" w:hanging="360"/>
      <w:jc w:val="both"/>
      <w:textAlignment w:val="baseline"/>
      <w:outlineLvl w:val="2"/>
    </w:pPr>
    <w:rPr>
      <w:rFonts w:ascii="Univers 47 CondensedLight" w:eastAsia="Times New Roman" w:hAnsi="Univers 47 CondensedLight" w:cs="Arial"/>
      <w:color w:val="008080"/>
      <w:sz w:val="38"/>
      <w:szCs w:val="38"/>
      <w:lang w:val="fr-FR"/>
    </w:rPr>
  </w:style>
  <w:style w:type="paragraph" w:customStyle="1" w:styleId="RFtitre3">
    <w:name w:val="RF titre 3"/>
    <w:basedOn w:val="Heading3"/>
    <w:next w:val="Normal"/>
    <w:link w:val="RFtitre3Car"/>
    <w:qFormat/>
    <w:rsid w:val="00257061"/>
    <w:pPr>
      <w:numPr>
        <w:ilvl w:val="2"/>
        <w:numId w:val="8"/>
      </w:numPr>
      <w:suppressAutoHyphens/>
      <w:autoSpaceDE w:val="0"/>
      <w:autoSpaceDN w:val="0"/>
      <w:adjustRightInd w:val="0"/>
      <w:spacing w:before="240" w:after="240" w:line="240" w:lineRule="auto"/>
      <w:jc w:val="both"/>
      <w:textAlignment w:val="baseline"/>
      <w:outlineLvl w:val="3"/>
    </w:pPr>
    <w:rPr>
      <w:rFonts w:ascii="Univers 47 CondensedLight" w:eastAsia="Times New Roman" w:hAnsi="Univers 47 CondensedLight" w:cs="Times New Roman"/>
      <w:b/>
      <w:color w:val="008080"/>
      <w:sz w:val="20"/>
      <w:lang w:val="fr-FR" w:eastAsia="fr-FR"/>
    </w:rPr>
  </w:style>
  <w:style w:type="character" w:customStyle="1" w:styleId="RFtitre3Car">
    <w:name w:val="RF titre 3 Car"/>
    <w:basedOn w:val="Heading3Char"/>
    <w:link w:val="RFtitre3"/>
    <w:rsid w:val="00257061"/>
    <w:rPr>
      <w:rFonts w:ascii="Univers 47 CondensedLight" w:eastAsia="Times New Roman" w:hAnsi="Univers 47 CondensedLight" w:cs="Times New Roman"/>
      <w:b/>
      <w:color w:val="008080"/>
      <w:sz w:val="20"/>
      <w:szCs w:val="24"/>
      <w:lang w:val="fr-FR" w:eastAsia="fr-FR"/>
    </w:rPr>
  </w:style>
  <w:style w:type="paragraph" w:customStyle="1" w:styleId="RFtitreannexe">
    <w:name w:val="RF titre annexe"/>
    <w:basedOn w:val="ListParagraph"/>
    <w:qFormat/>
    <w:rsid w:val="00257061"/>
    <w:pPr>
      <w:numPr>
        <w:ilvl w:val="4"/>
        <w:numId w:val="8"/>
      </w:numPr>
      <w:pBdr>
        <w:bottom w:val="single" w:sz="4" w:space="1" w:color="008080"/>
      </w:pBdr>
      <w:tabs>
        <w:tab w:val="left" w:pos="4458"/>
      </w:tabs>
      <w:spacing w:before="240" w:after="240" w:line="240" w:lineRule="auto"/>
      <w:contextualSpacing w:val="0"/>
      <w:jc w:val="both"/>
      <w:outlineLvl w:val="2"/>
    </w:pPr>
    <w:rPr>
      <w:rFonts w:ascii="Univers 47 CondensedLight" w:hAnsi="Univers 47 CondensedLight"/>
      <w:color w:val="008080"/>
      <w:sz w:val="38"/>
      <w:szCs w:val="38"/>
      <w:lang w:val="fr-FR" w:eastAsia="fr-FR"/>
    </w:rPr>
  </w:style>
  <w:style w:type="paragraph" w:customStyle="1" w:styleId="EFtitre2">
    <w:name w:val="EF titre 2"/>
    <w:basedOn w:val="Normal"/>
    <w:next w:val="Normal"/>
    <w:qFormat/>
    <w:rsid w:val="00257061"/>
    <w:pPr>
      <w:keepNext/>
      <w:keepLines/>
      <w:numPr>
        <w:ilvl w:val="6"/>
        <w:numId w:val="8"/>
      </w:numPr>
      <w:suppressAutoHyphens/>
      <w:autoSpaceDE w:val="0"/>
      <w:autoSpaceDN w:val="0"/>
      <w:adjustRightInd w:val="0"/>
      <w:spacing w:before="240" w:after="240" w:line="240" w:lineRule="auto"/>
      <w:jc w:val="both"/>
      <w:textAlignment w:val="baseline"/>
      <w:outlineLvl w:val="3"/>
    </w:pPr>
    <w:rPr>
      <w:rFonts w:ascii="Univers 47 CondensedLight" w:eastAsia="Times New Roman" w:hAnsi="Univers 47 CondensedLight" w:cs="Arial"/>
      <w:b/>
      <w:bCs/>
      <w:color w:val="008080"/>
      <w:sz w:val="24"/>
      <w:szCs w:val="24"/>
      <w:lang w:val="fr-FR" w:eastAsia="fr-FR"/>
    </w:rPr>
  </w:style>
  <w:style w:type="paragraph" w:customStyle="1" w:styleId="EFtitre3">
    <w:name w:val="EF titre 3"/>
    <w:basedOn w:val="EFtitre2"/>
    <w:next w:val="Normal"/>
    <w:qFormat/>
    <w:rsid w:val="00257061"/>
    <w:pPr>
      <w:numPr>
        <w:ilvl w:val="7"/>
      </w:numPr>
      <w:outlineLvl w:val="4"/>
    </w:pPr>
    <w:rPr>
      <w:sz w:val="20"/>
      <w:szCs w:val="20"/>
    </w:rPr>
  </w:style>
  <w:style w:type="paragraph" w:customStyle="1" w:styleId="EFtitre4">
    <w:name w:val="EF titre 4"/>
    <w:basedOn w:val="EFtitre3"/>
    <w:next w:val="Normal"/>
    <w:qFormat/>
    <w:rsid w:val="00257061"/>
    <w:pPr>
      <w:numPr>
        <w:ilvl w:val="8"/>
      </w:numPr>
      <w:outlineLvl w:val="5"/>
    </w:pPr>
  </w:style>
  <w:style w:type="paragraph" w:customStyle="1" w:styleId="RFTitre4">
    <w:name w:val="RF Titre 4"/>
    <w:basedOn w:val="Heading3"/>
    <w:next w:val="Normal"/>
    <w:rsid w:val="00257061"/>
    <w:pPr>
      <w:keepLines w:val="0"/>
      <w:numPr>
        <w:ilvl w:val="3"/>
        <w:numId w:val="8"/>
      </w:numPr>
      <w:tabs>
        <w:tab w:val="clear" w:pos="578"/>
      </w:tabs>
      <w:suppressAutoHyphens/>
      <w:autoSpaceDE w:val="0"/>
      <w:autoSpaceDN w:val="0"/>
      <w:adjustRightInd w:val="0"/>
      <w:spacing w:before="240" w:after="240" w:line="240" w:lineRule="auto"/>
      <w:ind w:left="2880" w:hanging="360"/>
      <w:jc w:val="both"/>
      <w:textAlignment w:val="baseline"/>
      <w:outlineLvl w:val="9"/>
    </w:pPr>
    <w:rPr>
      <w:rFonts w:ascii="Univers 47 CondensedLight" w:eastAsia="Times New Roman" w:hAnsi="Univers 47 CondensedLight" w:cs="Times New Roman"/>
      <w:b/>
      <w:color w:val="008080"/>
      <w:sz w:val="20"/>
      <w:lang w:val="fr-FR"/>
    </w:rPr>
  </w:style>
  <w:style w:type="character" w:customStyle="1" w:styleId="Heading2Char">
    <w:name w:val="Heading 2 Char"/>
    <w:basedOn w:val="DefaultParagraphFont"/>
    <w:link w:val="Heading2"/>
    <w:uiPriority w:val="9"/>
    <w:semiHidden/>
    <w:rsid w:val="002570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5706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C07C95"/>
    <w:pPr>
      <w:overflowPunct w:val="0"/>
      <w:autoSpaceDE w:val="0"/>
      <w:autoSpaceDN w:val="0"/>
      <w:adjustRightInd w:val="0"/>
      <w:spacing w:after="0" w:line="300" w:lineRule="atLeast"/>
      <w:textAlignment w:val="baseline"/>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voi">
    <w:name w:val="Renvoi"/>
    <w:basedOn w:val="Normal"/>
    <w:link w:val="RenvoiCar"/>
    <w:rsid w:val="00C07C95"/>
    <w:pPr>
      <w:suppressAutoHyphens/>
      <w:autoSpaceDE w:val="0"/>
      <w:autoSpaceDN w:val="0"/>
      <w:adjustRightInd w:val="0"/>
      <w:spacing w:before="120" w:after="120" w:line="240" w:lineRule="auto"/>
      <w:jc w:val="both"/>
      <w:textAlignment w:val="baseline"/>
    </w:pPr>
    <w:rPr>
      <w:rFonts w:ascii="Univers 47 CondensedLight" w:eastAsia="Times New Roman" w:hAnsi="Univers 47 CondensedLight" w:cs="Times New Roman"/>
      <w:color w:val="000000"/>
      <w:sz w:val="20"/>
      <w:szCs w:val="20"/>
      <w:lang w:val="fr-FR" w:eastAsia="fr-FR"/>
    </w:rPr>
  </w:style>
  <w:style w:type="character" w:customStyle="1" w:styleId="RenvoiCar">
    <w:name w:val="Renvoi Car"/>
    <w:basedOn w:val="DefaultParagraphFont"/>
    <w:link w:val="Renvoi"/>
    <w:rsid w:val="00C07C95"/>
    <w:rPr>
      <w:rFonts w:ascii="Univers 47 CondensedLight" w:eastAsia="Times New Roman" w:hAnsi="Univers 47 CondensedLight" w:cs="Times New Roman"/>
      <w:color w:val="000000"/>
      <w:sz w:val="20"/>
      <w:szCs w:val="20"/>
      <w:lang w:val="fr-FR" w:eastAsia="fr-FR"/>
    </w:rPr>
  </w:style>
  <w:style w:type="character" w:customStyle="1" w:styleId="ListParagraphChar">
    <w:name w:val="List Paragraph Char"/>
    <w:basedOn w:val="DefaultParagraphFont"/>
    <w:link w:val="ListParagraph"/>
    <w:uiPriority w:val="1"/>
    <w:rsid w:val="00C07C95"/>
  </w:style>
  <w:style w:type="paragraph" w:styleId="List">
    <w:name w:val="List"/>
    <w:basedOn w:val="ListParagraph"/>
    <w:uiPriority w:val="99"/>
    <w:unhideWhenUsed/>
    <w:qFormat/>
    <w:rsid w:val="00201F69"/>
    <w:pPr>
      <w:numPr>
        <w:numId w:val="16"/>
      </w:numPr>
      <w:spacing w:before="120" w:after="120" w:line="240" w:lineRule="auto"/>
      <w:ind w:left="567" w:hanging="283"/>
      <w:contextualSpacing w:val="0"/>
      <w:jc w:val="both"/>
    </w:pPr>
    <w:rPr>
      <w:rFonts w:ascii="Univers 47 CondensedLight" w:hAnsi="Univers 47 CondensedLight"/>
      <w:sz w:val="20"/>
      <w:lang w:val="fr-FR" w:eastAsia="fr-FR"/>
    </w:rPr>
  </w:style>
  <w:style w:type="paragraph" w:styleId="FootnoteText">
    <w:name w:val="footnote text"/>
    <w:basedOn w:val="Normal"/>
    <w:link w:val="FootnoteTextChar"/>
    <w:uiPriority w:val="99"/>
    <w:semiHidden/>
    <w:unhideWhenUsed/>
    <w:rsid w:val="005D6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259"/>
    <w:rPr>
      <w:sz w:val="20"/>
      <w:szCs w:val="20"/>
    </w:rPr>
  </w:style>
  <w:style w:type="character" w:styleId="FootnoteReference">
    <w:name w:val="footnote reference"/>
    <w:basedOn w:val="DefaultParagraphFont"/>
    <w:uiPriority w:val="99"/>
    <w:semiHidden/>
    <w:unhideWhenUsed/>
    <w:rsid w:val="005D6259"/>
    <w:rPr>
      <w:vertAlign w:val="superscript"/>
    </w:rPr>
  </w:style>
  <w:style w:type="paragraph" w:styleId="NormalWeb">
    <w:name w:val="Normal (Web)"/>
    <w:basedOn w:val="Normal"/>
    <w:uiPriority w:val="99"/>
    <w:semiHidden/>
    <w:unhideWhenUsed/>
    <w:rsid w:val="00355207"/>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Hyperlink">
    <w:name w:val="Hyperlink"/>
    <w:basedOn w:val="DefaultParagraphFont"/>
    <w:uiPriority w:val="99"/>
    <w:unhideWhenUsed/>
    <w:rsid w:val="00AB7A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8212">
      <w:bodyDiv w:val="1"/>
      <w:marLeft w:val="0"/>
      <w:marRight w:val="0"/>
      <w:marTop w:val="0"/>
      <w:marBottom w:val="0"/>
      <w:divBdr>
        <w:top w:val="none" w:sz="0" w:space="0" w:color="auto"/>
        <w:left w:val="none" w:sz="0" w:space="0" w:color="auto"/>
        <w:bottom w:val="none" w:sz="0" w:space="0" w:color="auto"/>
        <w:right w:val="none" w:sz="0" w:space="0" w:color="auto"/>
      </w:divBdr>
    </w:div>
    <w:div w:id="871193083">
      <w:bodyDiv w:val="1"/>
      <w:marLeft w:val="0"/>
      <w:marRight w:val="0"/>
      <w:marTop w:val="0"/>
      <w:marBottom w:val="0"/>
      <w:divBdr>
        <w:top w:val="none" w:sz="0" w:space="0" w:color="auto"/>
        <w:left w:val="none" w:sz="0" w:space="0" w:color="auto"/>
        <w:bottom w:val="none" w:sz="0" w:space="0" w:color="auto"/>
        <w:right w:val="none" w:sz="0" w:space="0" w:color="auto"/>
      </w:divBdr>
    </w:div>
    <w:div w:id="1241911727">
      <w:bodyDiv w:val="1"/>
      <w:marLeft w:val="0"/>
      <w:marRight w:val="0"/>
      <w:marTop w:val="0"/>
      <w:marBottom w:val="0"/>
      <w:divBdr>
        <w:top w:val="none" w:sz="0" w:space="0" w:color="auto"/>
        <w:left w:val="none" w:sz="0" w:space="0" w:color="auto"/>
        <w:bottom w:val="none" w:sz="0" w:space="0" w:color="auto"/>
        <w:right w:val="none" w:sz="0" w:space="0" w:color="auto"/>
      </w:divBdr>
    </w:div>
    <w:div w:id="1357198847">
      <w:bodyDiv w:val="1"/>
      <w:marLeft w:val="0"/>
      <w:marRight w:val="0"/>
      <w:marTop w:val="0"/>
      <w:marBottom w:val="0"/>
      <w:divBdr>
        <w:top w:val="none" w:sz="0" w:space="0" w:color="auto"/>
        <w:left w:val="none" w:sz="0" w:space="0" w:color="auto"/>
        <w:bottom w:val="none" w:sz="0" w:space="0" w:color="auto"/>
        <w:right w:val="none" w:sz="0" w:space="0" w:color="auto"/>
      </w:divBdr>
    </w:div>
    <w:div w:id="1372993525">
      <w:bodyDiv w:val="1"/>
      <w:marLeft w:val="0"/>
      <w:marRight w:val="0"/>
      <w:marTop w:val="0"/>
      <w:marBottom w:val="0"/>
      <w:divBdr>
        <w:top w:val="none" w:sz="0" w:space="0" w:color="auto"/>
        <w:left w:val="none" w:sz="0" w:space="0" w:color="auto"/>
        <w:bottom w:val="none" w:sz="0" w:space="0" w:color="auto"/>
        <w:right w:val="none" w:sz="0" w:space="0" w:color="auto"/>
      </w:divBdr>
    </w:div>
    <w:div w:id="1735853589">
      <w:bodyDiv w:val="1"/>
      <w:marLeft w:val="0"/>
      <w:marRight w:val="0"/>
      <w:marTop w:val="0"/>
      <w:marBottom w:val="0"/>
      <w:divBdr>
        <w:top w:val="none" w:sz="0" w:space="0" w:color="auto"/>
        <w:left w:val="none" w:sz="0" w:space="0" w:color="auto"/>
        <w:bottom w:val="none" w:sz="0" w:space="0" w:color="auto"/>
        <w:right w:val="none" w:sz="0" w:space="0" w:color="auto"/>
      </w:divBdr>
    </w:div>
    <w:div w:id="1745570029">
      <w:bodyDiv w:val="1"/>
      <w:marLeft w:val="0"/>
      <w:marRight w:val="0"/>
      <w:marTop w:val="0"/>
      <w:marBottom w:val="0"/>
      <w:divBdr>
        <w:top w:val="none" w:sz="0" w:space="0" w:color="auto"/>
        <w:left w:val="none" w:sz="0" w:space="0" w:color="auto"/>
        <w:bottom w:val="none" w:sz="0" w:space="0" w:color="auto"/>
        <w:right w:val="none" w:sz="0" w:space="0" w:color="auto"/>
      </w:divBdr>
    </w:div>
    <w:div w:id="1881739978">
      <w:bodyDiv w:val="1"/>
      <w:marLeft w:val="0"/>
      <w:marRight w:val="0"/>
      <w:marTop w:val="0"/>
      <w:marBottom w:val="0"/>
      <w:divBdr>
        <w:top w:val="none" w:sz="0" w:space="0" w:color="auto"/>
        <w:left w:val="none" w:sz="0" w:space="0" w:color="auto"/>
        <w:bottom w:val="none" w:sz="0" w:space="0" w:color="auto"/>
        <w:right w:val="none" w:sz="0" w:space="0" w:color="auto"/>
      </w:divBdr>
    </w:div>
    <w:div w:id="20242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212.net/c/link/?t=0&amp;l=en&amp;o=3337100-1&amp;h=1124387213&amp;u=http%3A%2F%2Fwww.universalmusic.com%2F&amp;a=www.universalmusic.com"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212.net/c/link/?t=0&amp;l=en&amp;o=3337100-1&amp;h=992502991&amp;u=https%3A%2F%2Finvestors.universalmusic.com%2F&amp;a=investors.universalmusic.com" TargetMode="External"/><Relationship Id="rId2" Type="http://schemas.openxmlformats.org/officeDocument/2006/relationships/customXml" Target="../customXml/item2.xml"/><Relationship Id="rId16" Type="http://schemas.openxmlformats.org/officeDocument/2006/relationships/hyperlink" Target="https://c212.net/c/link/?t=0&amp;l=en&amp;o=3337100-1&amp;h=992502991&amp;u=https%3A%2F%2Finvestors.universalmusic.com%2F&amp;a=investors.universalmusic.com" TargetMode="External"/><Relationship Id="rId20" Type="http://schemas.openxmlformats.org/officeDocument/2006/relationships/hyperlink" Target="mailto:investorrelations@umus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municationsnl@umus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74265-49f5-4f25-b2e2-75b763261e90">
      <Terms xmlns="http://schemas.microsoft.com/office/infopath/2007/PartnerControls"/>
    </lcf76f155ced4ddcb4097134ff3c332f>
    <TaxCatchAll xmlns="8e7800b0-bfe9-405a-bf72-353e86ea2d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019F1134948439520A87478FEB875" ma:contentTypeVersion="14" ma:contentTypeDescription="Create a new document." ma:contentTypeScope="" ma:versionID="7cc967c9bc72817f03ae6b62c992dc2c">
  <xsd:schema xmlns:xsd="http://www.w3.org/2001/XMLSchema" xmlns:xs="http://www.w3.org/2001/XMLSchema" xmlns:p="http://schemas.microsoft.com/office/2006/metadata/properties" xmlns:ns2="ad974265-49f5-4f25-b2e2-75b763261e90" xmlns:ns3="8e7800b0-bfe9-405a-bf72-353e86ea2d3d" targetNamespace="http://schemas.microsoft.com/office/2006/metadata/properties" ma:root="true" ma:fieldsID="8e3c78f179d29f7ff7751a67b853ca4f" ns2:_="" ns3:_="">
    <xsd:import namespace="ad974265-49f5-4f25-b2e2-75b763261e90"/>
    <xsd:import namespace="8e7800b0-bfe9-405a-bf72-353e86ea2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74265-49f5-4f25-b2e2-75b763261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e8dd66-b291-41ee-b806-8c8ad9c3c7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7800b0-bfe9-405a-bf72-353e86ea2d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219aae7-e092-4cc0-a363-34266e6f9bd5}" ma:internalName="TaxCatchAll" ma:showField="CatchAllData" ma:web="8e7800b0-bfe9-405a-bf72-353e86ea2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D1806-35DC-4BC4-8FC4-575CA9F3314F}">
  <ds:schemaRefs>
    <ds:schemaRef ds:uri="http://schemas.openxmlformats.org/officeDocument/2006/bibliography"/>
  </ds:schemaRefs>
</ds:datastoreItem>
</file>

<file path=customXml/itemProps2.xml><?xml version="1.0" encoding="utf-8"?>
<ds:datastoreItem xmlns:ds="http://schemas.openxmlformats.org/officeDocument/2006/customXml" ds:itemID="{67BA29C0-277A-481E-98C1-63DC94EC7224}">
  <ds:schemaRefs>
    <ds:schemaRef ds:uri="http://schemas.microsoft.com/office/2006/metadata/properties"/>
    <ds:schemaRef ds:uri="http://schemas.microsoft.com/office/infopath/2007/PartnerControls"/>
    <ds:schemaRef ds:uri="ad974265-49f5-4f25-b2e2-75b763261e90"/>
    <ds:schemaRef ds:uri="8e7800b0-bfe9-405a-bf72-353e86ea2d3d"/>
  </ds:schemaRefs>
</ds:datastoreItem>
</file>

<file path=customXml/itemProps3.xml><?xml version="1.0" encoding="utf-8"?>
<ds:datastoreItem xmlns:ds="http://schemas.openxmlformats.org/officeDocument/2006/customXml" ds:itemID="{CBB2447B-0835-41A6-9A7C-5405DB77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74265-49f5-4f25-b2e2-75b763261e90"/>
    <ds:schemaRef ds:uri="8e7800b0-bfe9-405a-bf72-353e86ea2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DD662-EBEE-4E51-B97B-E9A06D4B8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Vergeer, Remco</dc:creator>
  <cp:keywords/>
  <dc:description/>
  <cp:lastModifiedBy>Begun, Erika</cp:lastModifiedBy>
  <cp:revision>2</cp:revision>
  <cp:lastPrinted>2022-10-12T16:00:00Z</cp:lastPrinted>
  <dcterms:created xsi:type="dcterms:W3CDTF">2022-10-27T01:57:00Z</dcterms:created>
  <dcterms:modified xsi:type="dcterms:W3CDTF">2022-10-27T01:57:00Z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0x010100287019F1134948439520A87478FEB875</vt:lpwstr>
  </property>
  <property fmtid="{D5CDD505-2E9C-101B-9397-08002B2CF9AE}" pid="3" name="MediaServiceImageTags">
    <vt:lpwstr/>
  </property>
</Properties>
</file>