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AA543" w14:textId="77777777" w:rsidR="0026049F" w:rsidRPr="009D2BB8" w:rsidRDefault="0026049F" w:rsidP="0026049F">
      <w:pPr>
        <w:overflowPunct w:val="0"/>
        <w:autoSpaceDE w:val="0"/>
        <w:autoSpaceDN w:val="0"/>
        <w:adjustRightInd w:val="0"/>
        <w:textAlignment w:val="baseline"/>
        <w:rPr>
          <w:rFonts w:eastAsia="Times New Roman" w:cs="Arial"/>
          <w:szCs w:val="20"/>
          <w:lang w:eastAsia="en-GB"/>
        </w:rPr>
      </w:pPr>
      <w:r w:rsidRPr="009D2BB8">
        <w:rPr>
          <w:rFonts w:eastAsia="Times New Roman" w:cs="Arial"/>
          <w:szCs w:val="20"/>
          <w:lang w:eastAsia="en-GB"/>
        </w:rPr>
        <w:t xml:space="preserve">London, </w:t>
      </w:r>
      <w:r>
        <w:rPr>
          <w:rFonts w:eastAsia="Times New Roman" w:cs="Arial"/>
          <w:szCs w:val="20"/>
          <w:lang w:eastAsia="en-GB"/>
        </w:rPr>
        <w:t>30 April</w:t>
      </w:r>
      <w:r w:rsidRPr="009D2BB8">
        <w:rPr>
          <w:rFonts w:eastAsia="Times New Roman" w:cs="Arial"/>
          <w:szCs w:val="20"/>
          <w:lang w:eastAsia="en-GB"/>
        </w:rPr>
        <w:t xml:space="preserve"> 202</w:t>
      </w:r>
      <w:r>
        <w:rPr>
          <w:rFonts w:eastAsia="Times New Roman" w:cs="Arial"/>
          <w:szCs w:val="20"/>
          <w:lang w:eastAsia="en-GB"/>
        </w:rPr>
        <w:t>5</w:t>
      </w:r>
    </w:p>
    <w:p w14:paraId="78B2AE83" w14:textId="77777777" w:rsidR="0026049F" w:rsidRPr="009D2BB8" w:rsidRDefault="0026049F" w:rsidP="0026049F">
      <w:pPr>
        <w:overflowPunct w:val="0"/>
        <w:autoSpaceDE w:val="0"/>
        <w:autoSpaceDN w:val="0"/>
        <w:adjustRightInd w:val="0"/>
        <w:textAlignment w:val="baseline"/>
        <w:rPr>
          <w:rFonts w:eastAsia="Times New Roman" w:cs="Arial"/>
          <w:b/>
          <w:bCs/>
          <w:szCs w:val="20"/>
          <w:lang w:eastAsia="en-GB"/>
        </w:rPr>
      </w:pPr>
    </w:p>
    <w:p w14:paraId="79DDDA1D" w14:textId="77777777" w:rsidR="0026049F" w:rsidRPr="009D2BB8" w:rsidRDefault="0026049F" w:rsidP="0026049F">
      <w:pPr>
        <w:overflowPunct w:val="0"/>
        <w:autoSpaceDE w:val="0"/>
        <w:autoSpaceDN w:val="0"/>
        <w:adjustRightInd w:val="0"/>
        <w:textAlignment w:val="baseline"/>
        <w:rPr>
          <w:rFonts w:eastAsia="Times New Roman" w:cs="Arial"/>
          <w:b/>
          <w:bCs/>
          <w:szCs w:val="20"/>
          <w:lang w:eastAsia="en-GB"/>
        </w:rPr>
      </w:pPr>
    </w:p>
    <w:p w14:paraId="4F05748F" w14:textId="77777777" w:rsidR="0026049F" w:rsidRPr="009D2BB8" w:rsidRDefault="0026049F" w:rsidP="0026049F">
      <w:pPr>
        <w:shd w:val="clear" w:color="auto" w:fill="FFFFFF"/>
        <w:overflowPunct w:val="0"/>
        <w:autoSpaceDE w:val="0"/>
        <w:autoSpaceDN w:val="0"/>
        <w:adjustRightInd w:val="0"/>
        <w:jc w:val="center"/>
        <w:textAlignment w:val="baseline"/>
        <w:rPr>
          <w:rFonts w:eastAsia="Times New Roman" w:cs="Arial"/>
          <w:b/>
          <w:bCs/>
          <w:color w:val="000000"/>
          <w:szCs w:val="20"/>
          <w:lang w:eastAsia="en-GB"/>
        </w:rPr>
      </w:pPr>
      <w:r w:rsidRPr="009D2BB8">
        <w:rPr>
          <w:rFonts w:eastAsia="Times New Roman" w:cs="Arial"/>
          <w:b/>
          <w:bCs/>
          <w:color w:val="000000"/>
          <w:szCs w:val="20"/>
          <w:lang w:eastAsia="en-GB"/>
        </w:rPr>
        <w:t>UNILEVER PLC</w:t>
      </w:r>
    </w:p>
    <w:p w14:paraId="1F556CB1" w14:textId="77777777" w:rsidR="0026049F" w:rsidRPr="009D2BB8" w:rsidRDefault="0026049F" w:rsidP="0026049F">
      <w:pPr>
        <w:shd w:val="clear" w:color="auto" w:fill="FFFFFF"/>
        <w:overflowPunct w:val="0"/>
        <w:autoSpaceDE w:val="0"/>
        <w:autoSpaceDN w:val="0"/>
        <w:adjustRightInd w:val="0"/>
        <w:jc w:val="center"/>
        <w:textAlignment w:val="baseline"/>
        <w:rPr>
          <w:rFonts w:eastAsia="Times New Roman" w:cs="Arial"/>
          <w:b/>
          <w:bCs/>
          <w:color w:val="000000"/>
          <w:szCs w:val="20"/>
          <w:lang w:eastAsia="en-GB"/>
        </w:rPr>
      </w:pPr>
      <w:r w:rsidRPr="009D2BB8">
        <w:rPr>
          <w:rFonts w:eastAsia="Times New Roman" w:cs="Arial"/>
          <w:b/>
          <w:bCs/>
          <w:color w:val="000000"/>
          <w:szCs w:val="20"/>
          <w:lang w:eastAsia="en-GB"/>
        </w:rPr>
        <w:t> </w:t>
      </w:r>
    </w:p>
    <w:p w14:paraId="2B377481" w14:textId="77777777" w:rsidR="0026049F" w:rsidRPr="009D2BB8" w:rsidRDefault="0026049F" w:rsidP="0026049F">
      <w:pPr>
        <w:shd w:val="clear" w:color="auto" w:fill="FFFFFF"/>
        <w:overflowPunct w:val="0"/>
        <w:autoSpaceDE w:val="0"/>
        <w:autoSpaceDN w:val="0"/>
        <w:adjustRightInd w:val="0"/>
        <w:jc w:val="center"/>
        <w:textAlignment w:val="baseline"/>
        <w:rPr>
          <w:rFonts w:eastAsia="Times New Roman" w:cs="Arial"/>
          <w:b/>
          <w:bCs/>
          <w:color w:val="000000"/>
          <w:szCs w:val="20"/>
          <w:lang w:eastAsia="en-GB"/>
        </w:rPr>
      </w:pPr>
      <w:r w:rsidRPr="009D2BB8">
        <w:rPr>
          <w:rFonts w:eastAsia="Times New Roman" w:cs="Arial"/>
          <w:b/>
          <w:bCs/>
          <w:color w:val="000000"/>
          <w:szCs w:val="20"/>
          <w:lang w:eastAsia="en-GB"/>
        </w:rPr>
        <w:t>RESULTS OF ANNUAL GENERAL MEETING</w:t>
      </w:r>
    </w:p>
    <w:p w14:paraId="097D472B" w14:textId="77777777" w:rsidR="0026049F" w:rsidRPr="009D2BB8" w:rsidRDefault="0026049F" w:rsidP="0026049F">
      <w:pPr>
        <w:shd w:val="clear" w:color="auto" w:fill="FFFFFF"/>
        <w:overflowPunct w:val="0"/>
        <w:autoSpaceDE w:val="0"/>
        <w:autoSpaceDN w:val="0"/>
        <w:adjustRightInd w:val="0"/>
        <w:jc w:val="center"/>
        <w:textAlignment w:val="baseline"/>
        <w:rPr>
          <w:rFonts w:eastAsia="Times New Roman" w:cs="Arial"/>
          <w:b/>
          <w:bCs/>
          <w:color w:val="000000"/>
          <w:szCs w:val="20"/>
          <w:lang w:eastAsia="en-GB"/>
        </w:rPr>
      </w:pPr>
      <w:r w:rsidRPr="009D2BB8">
        <w:rPr>
          <w:rFonts w:eastAsia="Times New Roman" w:cs="Arial"/>
          <w:b/>
          <w:bCs/>
          <w:color w:val="000000"/>
          <w:szCs w:val="20"/>
          <w:lang w:eastAsia="en-GB"/>
        </w:rPr>
        <w:t> </w:t>
      </w:r>
    </w:p>
    <w:p w14:paraId="261FE8FB" w14:textId="77777777" w:rsidR="0026049F" w:rsidRPr="009D2BB8" w:rsidRDefault="0026049F" w:rsidP="0026049F">
      <w:pPr>
        <w:shd w:val="clear" w:color="auto" w:fill="FFFFFF"/>
        <w:overflowPunct w:val="0"/>
        <w:autoSpaceDE w:val="0"/>
        <w:autoSpaceDN w:val="0"/>
        <w:adjustRightInd w:val="0"/>
        <w:jc w:val="both"/>
        <w:textAlignment w:val="baseline"/>
        <w:rPr>
          <w:rFonts w:eastAsia="Times New Roman" w:cs="Arial"/>
          <w:color w:val="000000"/>
          <w:szCs w:val="20"/>
          <w:lang w:eastAsia="en-GB"/>
        </w:rPr>
      </w:pPr>
      <w:r w:rsidRPr="009D2BB8">
        <w:rPr>
          <w:rFonts w:eastAsia="Times New Roman" w:cs="Arial"/>
          <w:color w:val="000000"/>
          <w:szCs w:val="20"/>
          <w:lang w:eastAsia="en-GB"/>
        </w:rPr>
        <w:t> </w:t>
      </w:r>
    </w:p>
    <w:p w14:paraId="3139AD0B" w14:textId="77777777" w:rsidR="0026049F" w:rsidRPr="009D2BB8" w:rsidRDefault="0026049F" w:rsidP="0026049F">
      <w:pPr>
        <w:shd w:val="clear" w:color="auto" w:fill="FFFFFF"/>
        <w:overflowPunct w:val="0"/>
        <w:autoSpaceDE w:val="0"/>
        <w:autoSpaceDN w:val="0"/>
        <w:adjustRightInd w:val="0"/>
        <w:jc w:val="both"/>
        <w:textAlignment w:val="baseline"/>
        <w:rPr>
          <w:rFonts w:eastAsia="Times New Roman" w:cs="Arial"/>
          <w:color w:val="000000"/>
          <w:szCs w:val="20"/>
          <w:lang w:eastAsia="en-GB"/>
        </w:rPr>
      </w:pPr>
      <w:r w:rsidRPr="009D2BB8">
        <w:rPr>
          <w:rFonts w:eastAsia="Times New Roman" w:cs="Arial"/>
          <w:color w:val="000000"/>
          <w:szCs w:val="20"/>
          <w:lang w:eastAsia="en-GB"/>
        </w:rPr>
        <w:t> </w:t>
      </w:r>
    </w:p>
    <w:p w14:paraId="0CB039E5" w14:textId="77777777" w:rsidR="0026049F" w:rsidRPr="009D2BB8" w:rsidRDefault="0026049F" w:rsidP="0026049F">
      <w:pPr>
        <w:shd w:val="clear" w:color="auto" w:fill="FFFFFF"/>
        <w:overflowPunct w:val="0"/>
        <w:autoSpaceDE w:val="0"/>
        <w:autoSpaceDN w:val="0"/>
        <w:adjustRightInd w:val="0"/>
        <w:jc w:val="both"/>
        <w:textAlignment w:val="baseline"/>
        <w:rPr>
          <w:rFonts w:eastAsia="Times New Roman" w:cs="Arial"/>
          <w:color w:val="000000"/>
          <w:szCs w:val="20"/>
          <w:lang w:eastAsia="en-GB"/>
        </w:rPr>
      </w:pPr>
      <w:r w:rsidRPr="009D2BB8">
        <w:rPr>
          <w:rFonts w:eastAsia="Times New Roman" w:cs="Arial"/>
          <w:color w:val="000000"/>
          <w:szCs w:val="20"/>
          <w:lang w:eastAsia="en-GB"/>
        </w:rPr>
        <w:t xml:space="preserve">Unilever PLC shareholders today approved </w:t>
      </w:r>
      <w:r w:rsidRPr="009D2BB8">
        <w:rPr>
          <w:rFonts w:eastAsia="Times New Roman" w:cs="Arial"/>
          <w:color w:val="000000"/>
          <w:szCs w:val="20"/>
          <w:lang w:val="en-US" w:eastAsia="en-GB"/>
        </w:rPr>
        <w:t xml:space="preserve">each of the resolutions </w:t>
      </w:r>
      <w:r w:rsidRPr="009D2BB8">
        <w:rPr>
          <w:rFonts w:eastAsia="Times New Roman" w:cs="Arial"/>
          <w:color w:val="000000"/>
          <w:szCs w:val="20"/>
          <w:lang w:eastAsia="en-GB"/>
        </w:rPr>
        <w:t>put to the 202</w:t>
      </w:r>
      <w:r>
        <w:rPr>
          <w:rFonts w:eastAsia="Times New Roman" w:cs="Arial"/>
          <w:color w:val="000000"/>
          <w:szCs w:val="20"/>
          <w:lang w:eastAsia="en-GB"/>
        </w:rPr>
        <w:t>5</w:t>
      </w:r>
      <w:r w:rsidRPr="009D2BB8">
        <w:rPr>
          <w:rFonts w:eastAsia="Times New Roman" w:cs="Arial"/>
          <w:color w:val="000000"/>
          <w:szCs w:val="20"/>
          <w:lang w:eastAsia="en-GB"/>
        </w:rPr>
        <w:t xml:space="preserve"> Annual General Meeting. Resolutions 1 to 1</w:t>
      </w:r>
      <w:r>
        <w:rPr>
          <w:rFonts w:eastAsia="Times New Roman" w:cs="Arial"/>
          <w:color w:val="000000"/>
          <w:szCs w:val="20"/>
          <w:lang w:eastAsia="en-GB"/>
        </w:rPr>
        <w:t>5</w:t>
      </w:r>
      <w:r w:rsidRPr="009D2BB8">
        <w:rPr>
          <w:rFonts w:eastAsia="Times New Roman" w:cs="Arial"/>
          <w:color w:val="000000"/>
          <w:szCs w:val="20"/>
          <w:lang w:eastAsia="en-GB"/>
        </w:rPr>
        <w:t xml:space="preserve"> were passed as ordinary resolutions and resolutions 1</w:t>
      </w:r>
      <w:r>
        <w:rPr>
          <w:rFonts w:eastAsia="Times New Roman" w:cs="Arial"/>
          <w:color w:val="000000"/>
          <w:szCs w:val="20"/>
          <w:lang w:eastAsia="en-GB"/>
        </w:rPr>
        <w:t>6</w:t>
      </w:r>
      <w:r w:rsidRPr="009D2BB8">
        <w:rPr>
          <w:rFonts w:eastAsia="Times New Roman" w:cs="Arial"/>
          <w:color w:val="000000"/>
          <w:szCs w:val="20"/>
          <w:lang w:eastAsia="en-GB"/>
        </w:rPr>
        <w:t xml:space="preserve"> to </w:t>
      </w:r>
      <w:r>
        <w:rPr>
          <w:rFonts w:eastAsia="Times New Roman" w:cs="Arial"/>
          <w:color w:val="000000"/>
          <w:szCs w:val="20"/>
          <w:lang w:eastAsia="en-GB"/>
        </w:rPr>
        <w:t>19</w:t>
      </w:r>
      <w:r w:rsidRPr="009D2BB8">
        <w:rPr>
          <w:rFonts w:eastAsia="Times New Roman" w:cs="Arial"/>
          <w:color w:val="000000"/>
          <w:szCs w:val="20"/>
          <w:lang w:eastAsia="en-GB"/>
        </w:rPr>
        <w:t xml:space="preserve"> were passed as special resolutions. Voting was by poll on each resolution and the results are set out below. </w:t>
      </w:r>
    </w:p>
    <w:p w14:paraId="5FA9B0D3" w14:textId="77777777" w:rsidR="0026049F" w:rsidRPr="009D2BB8" w:rsidRDefault="0026049F" w:rsidP="0026049F">
      <w:pPr>
        <w:shd w:val="clear" w:color="auto" w:fill="FFFFFF"/>
        <w:overflowPunct w:val="0"/>
        <w:autoSpaceDE w:val="0"/>
        <w:autoSpaceDN w:val="0"/>
        <w:adjustRightInd w:val="0"/>
        <w:jc w:val="both"/>
        <w:textAlignment w:val="baseline"/>
        <w:rPr>
          <w:rFonts w:eastAsia="Times New Roman" w:cs="Arial"/>
          <w:color w:val="000000"/>
          <w:szCs w:val="20"/>
          <w:lang w:eastAsia="en-GB"/>
        </w:rPr>
      </w:pPr>
      <w:r w:rsidRPr="009D2BB8">
        <w:rPr>
          <w:rFonts w:eastAsia="Times New Roman" w:cs="Arial"/>
          <w:color w:val="000000"/>
          <w:szCs w:val="20"/>
          <w:lang w:eastAsia="en-GB"/>
        </w:rPr>
        <w:t> </w:t>
      </w:r>
    </w:p>
    <w:p w14:paraId="0BF1760F" w14:textId="77777777" w:rsidR="0026049F" w:rsidRPr="009D2BB8" w:rsidRDefault="0026049F" w:rsidP="0026049F">
      <w:pPr>
        <w:shd w:val="clear" w:color="auto" w:fill="FFFFFF"/>
        <w:overflowPunct w:val="0"/>
        <w:autoSpaceDE w:val="0"/>
        <w:autoSpaceDN w:val="0"/>
        <w:adjustRightInd w:val="0"/>
        <w:jc w:val="both"/>
        <w:textAlignment w:val="baseline"/>
        <w:rPr>
          <w:rFonts w:eastAsia="Times New Roman" w:cs="Arial"/>
          <w:b/>
          <w:bCs/>
          <w:color w:val="000000"/>
          <w:szCs w:val="20"/>
          <w:lang w:eastAsia="en-GB"/>
        </w:rPr>
      </w:pPr>
      <w:r w:rsidRPr="009D2BB8">
        <w:rPr>
          <w:rFonts w:eastAsia="Times New Roman" w:cs="Arial"/>
          <w:b/>
          <w:bCs/>
          <w:color w:val="000000"/>
          <w:szCs w:val="20"/>
          <w:lang w:eastAsia="en-GB"/>
        </w:rPr>
        <w:t> </w:t>
      </w:r>
    </w:p>
    <w:p w14:paraId="494AC409" w14:textId="77777777" w:rsidR="0026049F" w:rsidRPr="009D2BB8" w:rsidRDefault="0026049F" w:rsidP="0026049F">
      <w:pPr>
        <w:shd w:val="clear" w:color="auto" w:fill="FFFFFF"/>
        <w:overflowPunct w:val="0"/>
        <w:autoSpaceDE w:val="0"/>
        <w:autoSpaceDN w:val="0"/>
        <w:adjustRightInd w:val="0"/>
        <w:jc w:val="both"/>
        <w:textAlignment w:val="baseline"/>
        <w:rPr>
          <w:rFonts w:eastAsia="Times New Roman" w:cs="Arial"/>
          <w:b/>
          <w:bCs/>
          <w:color w:val="000000"/>
          <w:szCs w:val="20"/>
          <w:lang w:eastAsia="en-GB"/>
        </w:rPr>
      </w:pPr>
      <w:r w:rsidRPr="009D2BB8">
        <w:rPr>
          <w:rFonts w:eastAsia="Times New Roman" w:cs="Arial"/>
          <w:b/>
          <w:bCs/>
          <w:color w:val="000000"/>
          <w:szCs w:val="20"/>
          <w:lang w:eastAsia="en-GB"/>
        </w:rPr>
        <w:t>BOARD APPOINTMENTS</w:t>
      </w:r>
    </w:p>
    <w:p w14:paraId="544F7C03" w14:textId="77777777" w:rsidR="0026049F" w:rsidRPr="009D2BB8" w:rsidRDefault="0026049F" w:rsidP="0026049F">
      <w:pPr>
        <w:shd w:val="clear" w:color="auto" w:fill="FFFFFF"/>
        <w:overflowPunct w:val="0"/>
        <w:autoSpaceDE w:val="0"/>
        <w:autoSpaceDN w:val="0"/>
        <w:adjustRightInd w:val="0"/>
        <w:jc w:val="both"/>
        <w:textAlignment w:val="baseline"/>
        <w:rPr>
          <w:rFonts w:eastAsia="Times New Roman" w:cs="Arial"/>
          <w:color w:val="000000"/>
          <w:szCs w:val="20"/>
          <w:lang w:eastAsia="en-GB"/>
        </w:rPr>
      </w:pPr>
      <w:r w:rsidRPr="009D2BB8">
        <w:rPr>
          <w:rFonts w:eastAsia="Times New Roman" w:cs="Arial"/>
          <w:color w:val="000000"/>
          <w:szCs w:val="20"/>
          <w:lang w:eastAsia="en-GB"/>
        </w:rPr>
        <w:t> </w:t>
      </w:r>
    </w:p>
    <w:p w14:paraId="08556AC4" w14:textId="77777777" w:rsidR="0026049F" w:rsidRPr="009D2BB8" w:rsidRDefault="0026049F" w:rsidP="0026049F">
      <w:pPr>
        <w:shd w:val="clear" w:color="auto" w:fill="FFFFFF"/>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eastAsia="en-GB"/>
        </w:rPr>
        <w:t>The following directors stood for election or re-election and were duly elected or re-elected by the shareholders of Unilever PLC:</w:t>
      </w:r>
    </w:p>
    <w:p w14:paraId="4FED955A" w14:textId="77777777" w:rsidR="0026049F" w:rsidRPr="009D2BB8" w:rsidRDefault="0026049F" w:rsidP="0026049F">
      <w:pPr>
        <w:shd w:val="clear" w:color="auto" w:fill="FFFFFF"/>
        <w:overflowPunct w:val="0"/>
        <w:autoSpaceDE w:val="0"/>
        <w:autoSpaceDN w:val="0"/>
        <w:adjustRightInd w:val="0"/>
        <w:textAlignment w:val="baseline"/>
        <w:rPr>
          <w:rFonts w:eastAsia="Times New Roman" w:cs="Arial"/>
          <w:color w:val="000000"/>
          <w:szCs w:val="20"/>
          <w:lang w:eastAsia="en-GB"/>
        </w:rPr>
      </w:pPr>
    </w:p>
    <w:p w14:paraId="688787B7" w14:textId="77777777" w:rsidR="0026049F" w:rsidRPr="00631AA3" w:rsidRDefault="0026049F" w:rsidP="0026049F">
      <w:pPr>
        <w:shd w:val="clear" w:color="auto" w:fill="FFFFFF"/>
        <w:overflowPunct w:val="0"/>
        <w:autoSpaceDE w:val="0"/>
        <w:autoSpaceDN w:val="0"/>
        <w:adjustRightInd w:val="0"/>
        <w:textAlignment w:val="baseline"/>
        <w:rPr>
          <w:rFonts w:eastAsia="Times New Roman" w:cs="Arial"/>
          <w:color w:val="000000"/>
          <w:szCs w:val="20"/>
          <w:lang w:eastAsia="en-GB"/>
        </w:rPr>
      </w:pPr>
      <w:r w:rsidRPr="00631AA3">
        <w:rPr>
          <w:rFonts w:eastAsia="Times New Roman" w:cs="Arial"/>
          <w:color w:val="000000"/>
          <w:szCs w:val="20"/>
          <w:lang w:eastAsia="en-GB"/>
        </w:rPr>
        <w:t>Benoît Potier</w:t>
      </w:r>
      <w:r w:rsidRPr="009D2BB8">
        <w:rPr>
          <w:rFonts w:eastAsia="Times New Roman" w:cs="Arial"/>
          <w:color w:val="000000"/>
          <w:szCs w:val="20"/>
          <w:lang w:eastAsia="en-GB"/>
        </w:rPr>
        <w:t xml:space="preserve">, </w:t>
      </w:r>
      <w:r w:rsidRPr="00631AA3">
        <w:rPr>
          <w:rFonts w:eastAsia="Times New Roman" w:cs="Arial"/>
          <w:color w:val="000000"/>
          <w:szCs w:val="20"/>
          <w:lang w:eastAsia="en-GB"/>
        </w:rPr>
        <w:t>Zoe Yujnovich</w:t>
      </w:r>
      <w:r w:rsidRPr="009D2BB8">
        <w:rPr>
          <w:rFonts w:eastAsia="Times New Roman" w:cs="Arial"/>
          <w:color w:val="000000"/>
          <w:szCs w:val="20"/>
          <w:lang w:eastAsia="en-GB"/>
        </w:rPr>
        <w:t xml:space="preserve">, </w:t>
      </w:r>
      <w:r w:rsidRPr="00631AA3">
        <w:rPr>
          <w:rFonts w:eastAsia="Times New Roman" w:cs="Arial"/>
          <w:color w:val="000000"/>
          <w:szCs w:val="20"/>
          <w:lang w:eastAsia="en-GB"/>
        </w:rPr>
        <w:t>Fernando Fernandez</w:t>
      </w:r>
      <w:r w:rsidRPr="009D2BB8">
        <w:rPr>
          <w:rFonts w:eastAsia="Times New Roman" w:cs="Arial"/>
          <w:color w:val="000000"/>
          <w:szCs w:val="20"/>
          <w:lang w:eastAsia="en-GB"/>
        </w:rPr>
        <w:t>, </w:t>
      </w:r>
      <w:r w:rsidRPr="00631AA3">
        <w:rPr>
          <w:rFonts w:eastAsia="Times New Roman" w:cs="Arial"/>
          <w:color w:val="000000"/>
          <w:szCs w:val="20"/>
          <w:lang w:eastAsia="en-GB"/>
        </w:rPr>
        <w:t>Adrian Hennah</w:t>
      </w:r>
      <w:r>
        <w:rPr>
          <w:rFonts w:eastAsia="Times New Roman" w:cs="Arial"/>
          <w:color w:val="000000"/>
          <w:szCs w:val="20"/>
          <w:lang w:eastAsia="en-GB"/>
        </w:rPr>
        <w:t xml:space="preserve">, </w:t>
      </w:r>
      <w:r w:rsidRPr="009D2BB8">
        <w:rPr>
          <w:rFonts w:eastAsia="Times New Roman" w:cs="Arial"/>
          <w:color w:val="000000"/>
          <w:szCs w:val="20"/>
          <w:lang w:eastAsia="en-GB"/>
        </w:rPr>
        <w:t>Susan Kilsby, Ruby Lu, Judith McKenna, Ian Meakins</w:t>
      </w:r>
      <w:r>
        <w:rPr>
          <w:rFonts w:eastAsia="Times New Roman" w:cs="Arial"/>
          <w:color w:val="000000"/>
          <w:szCs w:val="20"/>
          <w:lang w:eastAsia="en-GB"/>
        </w:rPr>
        <w:t xml:space="preserve"> and </w:t>
      </w:r>
      <w:r w:rsidRPr="009D2BB8">
        <w:rPr>
          <w:rFonts w:eastAsia="Times New Roman" w:cs="Arial"/>
          <w:color w:val="000000"/>
          <w:szCs w:val="20"/>
          <w:lang w:val="en-US" w:eastAsia="en-GB"/>
        </w:rPr>
        <w:t>Nelson Peltz</w:t>
      </w:r>
      <w:r w:rsidRPr="009D2BB8">
        <w:rPr>
          <w:rFonts w:eastAsia="Times New Roman" w:cs="Arial"/>
          <w:color w:val="000000"/>
          <w:szCs w:val="20"/>
          <w:lang w:eastAsia="en-GB"/>
        </w:rPr>
        <w:t>.</w:t>
      </w:r>
    </w:p>
    <w:p w14:paraId="326E7882" w14:textId="77777777" w:rsidR="0026049F" w:rsidRPr="009D2BB8" w:rsidRDefault="0026049F" w:rsidP="0026049F">
      <w:pPr>
        <w:shd w:val="clear" w:color="auto" w:fill="FFFFFF"/>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eastAsia="en-GB"/>
        </w:rPr>
        <w:t> </w:t>
      </w:r>
    </w:p>
    <w:p w14:paraId="5311E4D3" w14:textId="77777777" w:rsidR="0026049F" w:rsidRPr="009D2BB8" w:rsidRDefault="0026049F" w:rsidP="0026049F">
      <w:pPr>
        <w:shd w:val="clear" w:color="auto" w:fill="FFFFFF"/>
        <w:overflowPunct w:val="0"/>
        <w:autoSpaceDE w:val="0"/>
        <w:autoSpaceDN w:val="0"/>
        <w:adjustRightInd w:val="0"/>
        <w:jc w:val="both"/>
        <w:textAlignment w:val="baseline"/>
        <w:rPr>
          <w:rFonts w:eastAsia="Times New Roman" w:cs="Arial"/>
          <w:b/>
          <w:bCs/>
          <w:color w:val="000000"/>
          <w:szCs w:val="20"/>
          <w:lang w:eastAsia="en-GB"/>
        </w:rPr>
      </w:pPr>
      <w:r w:rsidRPr="009D2BB8">
        <w:rPr>
          <w:rFonts w:eastAsia="Times New Roman" w:cs="Arial"/>
          <w:b/>
          <w:bCs/>
          <w:color w:val="000000"/>
          <w:szCs w:val="20"/>
          <w:lang w:eastAsia="en-GB"/>
        </w:rPr>
        <w:t> </w:t>
      </w:r>
    </w:p>
    <w:p w14:paraId="70844512" w14:textId="77777777" w:rsidR="0026049F" w:rsidRPr="009D2BB8" w:rsidRDefault="0026049F" w:rsidP="0026049F">
      <w:pPr>
        <w:shd w:val="clear" w:color="auto" w:fill="FFFFFF"/>
        <w:overflowPunct w:val="0"/>
        <w:autoSpaceDE w:val="0"/>
        <w:autoSpaceDN w:val="0"/>
        <w:adjustRightInd w:val="0"/>
        <w:jc w:val="both"/>
        <w:textAlignment w:val="baseline"/>
        <w:rPr>
          <w:rFonts w:eastAsia="Times New Roman" w:cs="Arial"/>
          <w:b/>
          <w:bCs/>
          <w:color w:val="000000"/>
          <w:szCs w:val="20"/>
          <w:lang w:val="en-US" w:eastAsia="en-GB"/>
        </w:rPr>
      </w:pPr>
      <w:r w:rsidRPr="009D2BB8">
        <w:rPr>
          <w:rFonts w:eastAsia="Times New Roman" w:cs="Arial"/>
          <w:b/>
          <w:bCs/>
          <w:color w:val="000000"/>
          <w:szCs w:val="20"/>
          <w:lang w:eastAsia="en-GB"/>
        </w:rPr>
        <w:t xml:space="preserve">POLL RESULTS - ANNUAL GENERAL MEETING </w:t>
      </w:r>
      <w:r>
        <w:rPr>
          <w:rFonts w:eastAsia="Times New Roman" w:cs="Arial"/>
          <w:b/>
          <w:bCs/>
          <w:color w:val="000000"/>
          <w:szCs w:val="20"/>
          <w:lang w:val="en-US" w:eastAsia="en-GB"/>
        </w:rPr>
        <w:t>30 April 2025</w:t>
      </w:r>
    </w:p>
    <w:p w14:paraId="1D5ABC40" w14:textId="77777777" w:rsidR="0026049F" w:rsidRPr="009D2BB8" w:rsidRDefault="0026049F" w:rsidP="0026049F">
      <w:pPr>
        <w:shd w:val="clear" w:color="auto" w:fill="FFFFFF"/>
        <w:overflowPunct w:val="0"/>
        <w:autoSpaceDE w:val="0"/>
        <w:autoSpaceDN w:val="0"/>
        <w:adjustRightInd w:val="0"/>
        <w:jc w:val="both"/>
        <w:textAlignment w:val="baseline"/>
        <w:rPr>
          <w:rFonts w:eastAsia="Times New Roman" w:cs="Arial"/>
          <w:color w:val="000000"/>
          <w:szCs w:val="20"/>
          <w:lang w:eastAsia="en-GB"/>
        </w:rPr>
      </w:pPr>
      <w:r w:rsidRPr="009D2BB8">
        <w:rPr>
          <w:rFonts w:eastAsia="Times New Roman" w:cs="Arial"/>
          <w:color w:val="000000"/>
          <w:szCs w:val="20"/>
          <w:lang w:eastAsia="en-GB"/>
        </w:rPr>
        <w:t> </w:t>
      </w:r>
    </w:p>
    <w:p w14:paraId="3CF4AEB4" w14:textId="77777777" w:rsidR="0026049F" w:rsidRPr="009D2BB8" w:rsidRDefault="0026049F" w:rsidP="0026049F">
      <w:pPr>
        <w:shd w:val="clear" w:color="auto" w:fill="FFFFFF"/>
        <w:overflowPunct w:val="0"/>
        <w:autoSpaceDE w:val="0"/>
        <w:autoSpaceDN w:val="0"/>
        <w:adjustRightInd w:val="0"/>
        <w:jc w:val="both"/>
        <w:textAlignment w:val="baseline"/>
        <w:rPr>
          <w:rFonts w:eastAsia="Times New Roman" w:cs="Arial"/>
          <w:color w:val="000000"/>
          <w:szCs w:val="20"/>
          <w:lang w:eastAsia="en-GB"/>
        </w:rPr>
      </w:pPr>
      <w:r w:rsidRPr="009D2BB8">
        <w:rPr>
          <w:rFonts w:eastAsia="Times New Roman" w:cs="Arial"/>
          <w:color w:val="000000"/>
          <w:szCs w:val="20"/>
          <w:lang w:eastAsia="en-GB"/>
        </w:rPr>
        <w:t> </w:t>
      </w:r>
    </w:p>
    <w:tbl>
      <w:tblPr>
        <w:tblW w:w="9979" w:type="dxa"/>
        <w:tblInd w:w="-108" w:type="dxa"/>
        <w:shd w:val="clear" w:color="auto" w:fill="FFFFFF"/>
        <w:tblCellMar>
          <w:left w:w="0" w:type="dxa"/>
          <w:right w:w="0" w:type="dxa"/>
        </w:tblCellMar>
        <w:tblLook w:val="04A0" w:firstRow="1" w:lastRow="0" w:firstColumn="1" w:lastColumn="0" w:noHBand="0" w:noVBand="1"/>
      </w:tblPr>
      <w:tblGrid>
        <w:gridCol w:w="1473"/>
        <w:gridCol w:w="1490"/>
        <w:gridCol w:w="909"/>
        <w:gridCol w:w="1320"/>
        <w:gridCol w:w="909"/>
        <w:gridCol w:w="1490"/>
        <w:gridCol w:w="1116"/>
        <w:gridCol w:w="1272"/>
      </w:tblGrid>
      <w:tr w:rsidR="00494DD0" w:rsidRPr="009D2BB8" w14:paraId="6D47F5A0" w14:textId="77777777" w:rsidTr="008400BF">
        <w:trPr>
          <w:trHeight w:val="478"/>
        </w:trPr>
        <w:tc>
          <w:tcPr>
            <w:tcW w:w="14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DF05DC" w14:textId="77777777" w:rsidR="0026049F" w:rsidRPr="009D2BB8" w:rsidRDefault="0026049F" w:rsidP="002156D5">
            <w:pPr>
              <w:overflowPunct w:val="0"/>
              <w:autoSpaceDE w:val="0"/>
              <w:autoSpaceDN w:val="0"/>
              <w:adjustRightInd w:val="0"/>
              <w:jc w:val="center"/>
              <w:textAlignment w:val="baseline"/>
              <w:rPr>
                <w:rFonts w:eastAsia="Times New Roman" w:cs="Arial"/>
                <w:b/>
                <w:bCs/>
                <w:color w:val="000000"/>
                <w:szCs w:val="20"/>
                <w:lang w:eastAsia="en-GB"/>
              </w:rPr>
            </w:pPr>
          </w:p>
        </w:tc>
        <w:tc>
          <w:tcPr>
            <w:tcW w:w="14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F093ED" w14:textId="77777777" w:rsidR="0026049F" w:rsidRPr="009D2BB8" w:rsidRDefault="0026049F" w:rsidP="002156D5">
            <w:pPr>
              <w:overflowPunct w:val="0"/>
              <w:autoSpaceDE w:val="0"/>
              <w:autoSpaceDN w:val="0"/>
              <w:adjustRightInd w:val="0"/>
              <w:jc w:val="center"/>
              <w:textAlignment w:val="baseline"/>
              <w:rPr>
                <w:rFonts w:eastAsia="Times New Roman" w:cs="Arial"/>
                <w:b/>
                <w:bCs/>
                <w:color w:val="000000"/>
                <w:szCs w:val="20"/>
                <w:lang w:eastAsia="en-GB"/>
              </w:rPr>
            </w:pPr>
            <w:r w:rsidRPr="009D2BB8">
              <w:rPr>
                <w:rFonts w:eastAsia="Times New Roman" w:cs="Arial"/>
                <w:b/>
                <w:bCs/>
                <w:color w:val="000000"/>
                <w:szCs w:val="20"/>
                <w:lang w:eastAsia="en-GB"/>
              </w:rPr>
              <w:t>TOTAL VOTES FOR</w:t>
            </w:r>
          </w:p>
        </w:tc>
        <w:tc>
          <w:tcPr>
            <w:tcW w:w="90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F67BE1F" w14:textId="77777777" w:rsidR="0026049F" w:rsidRPr="009D2BB8" w:rsidRDefault="0026049F" w:rsidP="002156D5">
            <w:pPr>
              <w:overflowPunct w:val="0"/>
              <w:autoSpaceDE w:val="0"/>
              <w:autoSpaceDN w:val="0"/>
              <w:adjustRightInd w:val="0"/>
              <w:jc w:val="center"/>
              <w:textAlignment w:val="baseline"/>
              <w:rPr>
                <w:rFonts w:eastAsia="Times New Roman" w:cs="Arial"/>
                <w:b/>
                <w:bCs/>
                <w:color w:val="000000"/>
                <w:szCs w:val="20"/>
                <w:lang w:eastAsia="en-GB"/>
              </w:rPr>
            </w:pPr>
            <w:r w:rsidRPr="009D2BB8">
              <w:rPr>
                <w:rFonts w:eastAsia="Times New Roman" w:cs="Arial"/>
                <w:b/>
                <w:bCs/>
                <w:color w:val="000000"/>
                <w:szCs w:val="20"/>
                <w:lang w:eastAsia="en-GB"/>
              </w:rPr>
              <w:t>%</w:t>
            </w:r>
          </w:p>
        </w:tc>
        <w:tc>
          <w:tcPr>
            <w:tcW w:w="13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F568A1" w14:textId="77777777" w:rsidR="0026049F" w:rsidRPr="009D2BB8" w:rsidRDefault="0026049F" w:rsidP="002156D5">
            <w:pPr>
              <w:overflowPunct w:val="0"/>
              <w:autoSpaceDE w:val="0"/>
              <w:autoSpaceDN w:val="0"/>
              <w:adjustRightInd w:val="0"/>
              <w:jc w:val="center"/>
              <w:textAlignment w:val="baseline"/>
              <w:rPr>
                <w:rFonts w:eastAsia="Times New Roman" w:cs="Arial"/>
                <w:b/>
                <w:bCs/>
                <w:color w:val="000000"/>
                <w:szCs w:val="20"/>
                <w:lang w:eastAsia="en-GB"/>
              </w:rPr>
            </w:pPr>
            <w:r w:rsidRPr="009D2BB8">
              <w:rPr>
                <w:rFonts w:eastAsia="Times New Roman" w:cs="Arial"/>
                <w:b/>
                <w:bCs/>
                <w:color w:val="000000"/>
                <w:szCs w:val="20"/>
                <w:lang w:eastAsia="en-GB"/>
              </w:rPr>
              <w:t>TOTAL VOTES AGAINST</w:t>
            </w:r>
          </w:p>
        </w:tc>
        <w:tc>
          <w:tcPr>
            <w:tcW w:w="9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BBB944" w14:textId="77777777" w:rsidR="0026049F" w:rsidRPr="009D2BB8" w:rsidRDefault="0026049F" w:rsidP="002156D5">
            <w:pPr>
              <w:overflowPunct w:val="0"/>
              <w:autoSpaceDE w:val="0"/>
              <w:autoSpaceDN w:val="0"/>
              <w:adjustRightInd w:val="0"/>
              <w:jc w:val="center"/>
              <w:textAlignment w:val="baseline"/>
              <w:rPr>
                <w:rFonts w:eastAsia="Times New Roman" w:cs="Arial"/>
                <w:b/>
                <w:bCs/>
                <w:color w:val="000000"/>
                <w:szCs w:val="20"/>
                <w:lang w:eastAsia="en-GB"/>
              </w:rPr>
            </w:pPr>
            <w:r w:rsidRPr="009D2BB8">
              <w:rPr>
                <w:rFonts w:eastAsia="Times New Roman" w:cs="Arial"/>
                <w:b/>
                <w:bCs/>
                <w:color w:val="000000"/>
                <w:szCs w:val="20"/>
                <w:lang w:eastAsia="en-GB"/>
              </w:rPr>
              <w:t>%</w:t>
            </w:r>
          </w:p>
        </w:tc>
        <w:tc>
          <w:tcPr>
            <w:tcW w:w="14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BF11D6" w14:textId="77777777" w:rsidR="0026049F" w:rsidRPr="009D2BB8" w:rsidRDefault="0026049F" w:rsidP="002156D5">
            <w:pPr>
              <w:overflowPunct w:val="0"/>
              <w:autoSpaceDE w:val="0"/>
              <w:autoSpaceDN w:val="0"/>
              <w:adjustRightInd w:val="0"/>
              <w:jc w:val="center"/>
              <w:textAlignment w:val="baseline"/>
              <w:rPr>
                <w:rFonts w:eastAsia="Times New Roman" w:cs="Arial"/>
                <w:b/>
                <w:bCs/>
                <w:color w:val="000000"/>
                <w:szCs w:val="20"/>
                <w:lang w:eastAsia="en-GB"/>
              </w:rPr>
            </w:pPr>
            <w:r w:rsidRPr="009D2BB8">
              <w:rPr>
                <w:rFonts w:eastAsia="Times New Roman" w:cs="Arial"/>
                <w:b/>
                <w:bCs/>
                <w:color w:val="000000"/>
                <w:szCs w:val="20"/>
                <w:lang w:eastAsia="en-GB"/>
              </w:rPr>
              <w:t>TOTAL VOTES CAST</w:t>
            </w:r>
          </w:p>
        </w:tc>
        <w:tc>
          <w:tcPr>
            <w:tcW w:w="11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1C180E" w14:textId="77777777" w:rsidR="0026049F" w:rsidRPr="009D2BB8" w:rsidRDefault="0026049F" w:rsidP="002156D5">
            <w:pPr>
              <w:overflowPunct w:val="0"/>
              <w:autoSpaceDE w:val="0"/>
              <w:autoSpaceDN w:val="0"/>
              <w:adjustRightInd w:val="0"/>
              <w:jc w:val="center"/>
              <w:textAlignment w:val="baseline"/>
              <w:rPr>
                <w:rFonts w:eastAsia="Times New Roman" w:cs="Arial"/>
                <w:b/>
                <w:bCs/>
                <w:color w:val="000000"/>
                <w:szCs w:val="20"/>
                <w:lang w:eastAsia="en-GB"/>
              </w:rPr>
            </w:pPr>
            <w:r w:rsidRPr="009D2BB8">
              <w:rPr>
                <w:rFonts w:eastAsia="Times New Roman" w:cs="Arial"/>
                <w:b/>
                <w:bCs/>
                <w:color w:val="000000"/>
                <w:szCs w:val="20"/>
                <w:lang w:eastAsia="en-GB"/>
              </w:rPr>
              <w:t>% OF SHARE CAPITAL VALIDLY CAST VOTED FOR AND AGAINST</w:t>
            </w:r>
          </w:p>
        </w:tc>
        <w:tc>
          <w:tcPr>
            <w:tcW w:w="12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D3BEB6" w14:textId="77777777" w:rsidR="0026049F" w:rsidRPr="009D2BB8" w:rsidRDefault="0026049F" w:rsidP="002156D5">
            <w:pPr>
              <w:overflowPunct w:val="0"/>
              <w:autoSpaceDE w:val="0"/>
              <w:autoSpaceDN w:val="0"/>
              <w:adjustRightInd w:val="0"/>
              <w:jc w:val="center"/>
              <w:textAlignment w:val="baseline"/>
              <w:rPr>
                <w:rFonts w:eastAsia="Times New Roman" w:cs="Arial"/>
                <w:b/>
                <w:bCs/>
                <w:color w:val="000000"/>
                <w:szCs w:val="20"/>
                <w:lang w:eastAsia="en-GB"/>
              </w:rPr>
            </w:pPr>
            <w:r w:rsidRPr="009D2BB8">
              <w:rPr>
                <w:rFonts w:eastAsia="Times New Roman" w:cs="Arial"/>
                <w:b/>
                <w:bCs/>
                <w:color w:val="000000"/>
                <w:szCs w:val="20"/>
                <w:lang w:eastAsia="en-GB"/>
              </w:rPr>
              <w:t>VOTES WITHHELD</w:t>
            </w:r>
          </w:p>
        </w:tc>
      </w:tr>
      <w:tr w:rsidR="008400BF" w:rsidRPr="009D2BB8" w14:paraId="748393BD" w14:textId="77777777" w:rsidTr="008400BF">
        <w:trPr>
          <w:trHeight w:val="329"/>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A6ED16" w14:textId="6EB3CABB" w:rsidR="008400BF" w:rsidRPr="009D2BB8" w:rsidRDefault="008400BF" w:rsidP="008400BF">
            <w:pPr>
              <w:overflowPunct w:val="0"/>
              <w:autoSpaceDE w:val="0"/>
              <w:autoSpaceDN w:val="0"/>
              <w:adjustRightInd w:val="0"/>
              <w:textAlignment w:val="baseline"/>
              <w:rPr>
                <w:rFonts w:eastAsia="Times New Roman" w:cs="Arial"/>
                <w:color w:val="000000"/>
                <w:szCs w:val="20"/>
                <w:lang w:val="en-US" w:eastAsia="en-GB"/>
              </w:rPr>
            </w:pPr>
            <w:r w:rsidRPr="009D2BB8">
              <w:rPr>
                <w:rFonts w:eastAsia="Times New Roman" w:cs="Arial"/>
                <w:color w:val="000000"/>
                <w:szCs w:val="20"/>
                <w:lang w:eastAsia="en-GB"/>
              </w:rPr>
              <w:t>1. To receive the Report and Accounts for the year ended 31 December 202</w:t>
            </w:r>
            <w:r>
              <w:rPr>
                <w:rFonts w:eastAsia="Times New Roman" w:cs="Arial"/>
                <w:color w:val="000000"/>
                <w:szCs w:val="20"/>
                <w:lang w:eastAsia="en-GB"/>
              </w:rPr>
              <w:t>4 together with the Directors’ Reports and the Auditor’s Report</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E26FD6" w14:textId="1652E16D" w:rsidR="008400BF" w:rsidRPr="009D2BB8" w:rsidRDefault="008400BF" w:rsidP="008400BF">
            <w:pPr>
              <w:overflowPunct w:val="0"/>
              <w:autoSpaceDE w:val="0"/>
              <w:autoSpaceDN w:val="0"/>
              <w:adjustRightInd w:val="0"/>
              <w:jc w:val="center"/>
              <w:textAlignment w:val="baseline"/>
              <w:rPr>
                <w:rFonts w:ascii="Tahoma" w:eastAsia="Times New Roman" w:hAnsi="Tahoma" w:cs="Tahoma"/>
                <w:color w:val="000000"/>
                <w:szCs w:val="20"/>
                <w:lang w:eastAsia="en-GB"/>
              </w:rPr>
            </w:pPr>
            <w:r>
              <w:rPr>
                <w:rFonts w:ascii="Tahoma" w:hAnsi="Tahoma" w:cs="Tahoma"/>
                <w:color w:val="000000"/>
                <w:szCs w:val="20"/>
              </w:rPr>
              <w:t>1,799,634,775</w:t>
            </w:r>
          </w:p>
        </w:tc>
        <w:tc>
          <w:tcPr>
            <w:tcW w:w="90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E92E8C" w14:textId="049EE28D"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99.23%</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AB877A" w14:textId="5E65E76E"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13,883,754</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E792C43" w14:textId="066C473F"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0.77%</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A3D11E" w14:textId="6F81ACFD"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1,813,518,529 </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9A5060" w14:textId="3245596E"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73.84%</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0A62F8" w14:textId="4DEB49C9" w:rsidR="008400BF" w:rsidRPr="008400BF" w:rsidRDefault="008400BF" w:rsidP="008400BF">
            <w:pPr>
              <w:overflowPunct w:val="0"/>
              <w:autoSpaceDE w:val="0"/>
              <w:autoSpaceDN w:val="0"/>
              <w:adjustRightInd w:val="0"/>
              <w:jc w:val="center"/>
              <w:textAlignment w:val="baseline"/>
              <w:rPr>
                <w:rFonts w:ascii="Tahoma" w:hAnsi="Tahoma" w:cs="Tahoma"/>
                <w:color w:val="000000"/>
                <w:szCs w:val="20"/>
              </w:rPr>
            </w:pPr>
            <w:r>
              <w:rPr>
                <w:rFonts w:ascii="Tahoma" w:hAnsi="Tahoma" w:cs="Tahoma"/>
                <w:color w:val="000000"/>
                <w:szCs w:val="20"/>
              </w:rPr>
              <w:t>3,553,925</w:t>
            </w:r>
            <w:r>
              <w:rPr>
                <w:rFonts w:ascii="Tahoma" w:hAnsi="Tahoma" w:cs="Tahoma"/>
                <w:color w:val="000000"/>
                <w:szCs w:val="20"/>
              </w:rPr>
              <w:t xml:space="preserve">   </w:t>
            </w:r>
          </w:p>
        </w:tc>
      </w:tr>
      <w:tr w:rsidR="008400BF" w:rsidRPr="009D2BB8" w14:paraId="301CD3DF" w14:textId="77777777" w:rsidTr="008400BF">
        <w:trPr>
          <w:trHeight w:val="230"/>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C7BD15" w14:textId="77777777" w:rsidR="008400BF" w:rsidRPr="009D2BB8" w:rsidRDefault="008400BF" w:rsidP="008400BF">
            <w:pPr>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eastAsia="en-GB"/>
              </w:rPr>
              <w:t>2. To approve the Directors' Remuneration Report</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7ADBF8B" w14:textId="5EF021CC"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1,311,939,513</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9A2D83" w14:textId="3D4D710B"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72.29%</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D0B14A" w14:textId="5EF675FB"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502,912,633</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2E2E49" w14:textId="301906DC"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27.71%</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B28E86" w14:textId="3C1F898E" w:rsidR="008400BF" w:rsidRPr="008400BF" w:rsidRDefault="008400BF" w:rsidP="008400BF">
            <w:pPr>
              <w:overflowPunct w:val="0"/>
              <w:autoSpaceDE w:val="0"/>
              <w:autoSpaceDN w:val="0"/>
              <w:adjustRightInd w:val="0"/>
              <w:jc w:val="center"/>
              <w:textAlignment w:val="baseline"/>
              <w:rPr>
                <w:rFonts w:ascii="Tahoma" w:hAnsi="Tahoma" w:cs="Tahoma"/>
                <w:color w:val="000000"/>
                <w:szCs w:val="20"/>
              </w:rPr>
            </w:pPr>
            <w:r>
              <w:rPr>
                <w:rFonts w:ascii="Tahoma" w:hAnsi="Tahoma" w:cs="Tahoma"/>
                <w:color w:val="000000"/>
                <w:szCs w:val="20"/>
              </w:rPr>
              <w:t xml:space="preserve">1,814,852,146 </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1262A6" w14:textId="7D7B9DEF" w:rsidR="008400BF" w:rsidRPr="008400BF" w:rsidRDefault="008400BF" w:rsidP="008400BF">
            <w:pPr>
              <w:overflowPunct w:val="0"/>
              <w:autoSpaceDE w:val="0"/>
              <w:autoSpaceDN w:val="0"/>
              <w:adjustRightInd w:val="0"/>
              <w:jc w:val="center"/>
              <w:textAlignment w:val="baseline"/>
              <w:rPr>
                <w:rFonts w:ascii="Tahoma" w:hAnsi="Tahoma" w:cs="Tahoma"/>
                <w:color w:val="000000"/>
                <w:szCs w:val="20"/>
              </w:rPr>
            </w:pPr>
            <w:r w:rsidRPr="008400BF">
              <w:rPr>
                <w:rFonts w:ascii="Tahoma" w:hAnsi="Tahoma" w:cs="Tahoma"/>
                <w:color w:val="000000"/>
                <w:szCs w:val="20"/>
              </w:rPr>
              <w:t>73.90%</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85F6E71" w14:textId="597D6931" w:rsidR="008400BF" w:rsidRPr="008400BF" w:rsidRDefault="008400BF" w:rsidP="008400BF">
            <w:pPr>
              <w:overflowPunct w:val="0"/>
              <w:autoSpaceDE w:val="0"/>
              <w:autoSpaceDN w:val="0"/>
              <w:adjustRightInd w:val="0"/>
              <w:jc w:val="center"/>
              <w:textAlignment w:val="baseline"/>
              <w:rPr>
                <w:rFonts w:ascii="Tahoma" w:hAnsi="Tahoma" w:cs="Tahoma"/>
                <w:color w:val="000000"/>
                <w:szCs w:val="20"/>
              </w:rPr>
            </w:pPr>
            <w:r>
              <w:rPr>
                <w:rFonts w:ascii="Tahoma" w:hAnsi="Tahoma" w:cs="Tahoma"/>
                <w:color w:val="000000"/>
                <w:szCs w:val="20"/>
              </w:rPr>
              <w:t xml:space="preserve">2,222,529 </w:t>
            </w:r>
            <w:r>
              <w:rPr>
                <w:rFonts w:ascii="Tahoma" w:hAnsi="Tahoma" w:cs="Tahoma"/>
                <w:color w:val="000000"/>
                <w:szCs w:val="20"/>
              </w:rPr>
              <w:t xml:space="preserve">     </w:t>
            </w:r>
          </w:p>
        </w:tc>
      </w:tr>
      <w:tr w:rsidR="008400BF" w:rsidRPr="009D2BB8" w14:paraId="18B28F1F" w14:textId="77777777" w:rsidTr="008400BF">
        <w:trPr>
          <w:trHeight w:val="158"/>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F8DE4A" w14:textId="77777777" w:rsidR="008400BF" w:rsidRPr="009D2BB8" w:rsidRDefault="008400BF" w:rsidP="008400BF">
            <w:pPr>
              <w:overflowPunct w:val="0"/>
              <w:autoSpaceDE w:val="0"/>
              <w:autoSpaceDN w:val="0"/>
              <w:adjustRightInd w:val="0"/>
              <w:textAlignment w:val="baseline"/>
              <w:rPr>
                <w:rFonts w:eastAsia="Times New Roman" w:cs="Arial"/>
                <w:color w:val="000000"/>
                <w:szCs w:val="20"/>
                <w:lang w:eastAsia="en-GB"/>
              </w:rPr>
            </w:pPr>
            <w:r>
              <w:rPr>
                <w:rFonts w:eastAsia="Times New Roman" w:cs="Arial"/>
                <w:color w:val="000000"/>
                <w:szCs w:val="20"/>
                <w:lang w:eastAsia="en-GB"/>
              </w:rPr>
              <w:t>3</w:t>
            </w:r>
            <w:r w:rsidRPr="009D2BB8">
              <w:rPr>
                <w:rFonts w:eastAsia="Times New Roman" w:cs="Arial"/>
                <w:color w:val="000000"/>
                <w:szCs w:val="20"/>
                <w:lang w:eastAsia="en-GB"/>
              </w:rPr>
              <w:t xml:space="preserve">. To elect </w:t>
            </w:r>
            <w:r w:rsidRPr="00D307AE">
              <w:rPr>
                <w:rFonts w:eastAsia="Times New Roman" w:cs="Arial"/>
                <w:color w:val="000000"/>
                <w:szCs w:val="20"/>
                <w:lang w:eastAsia="en-GB"/>
              </w:rPr>
              <w:t>Benoît Potier</w:t>
            </w:r>
            <w:r w:rsidRPr="009D2BB8">
              <w:rPr>
                <w:rFonts w:eastAsia="Times New Roman" w:cs="Arial"/>
                <w:color w:val="000000"/>
                <w:szCs w:val="20"/>
                <w:lang w:eastAsia="en-GB"/>
              </w:rPr>
              <w:t xml:space="preserve"> as a Director</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749346" w14:textId="24A7C8CF"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1,812,197,831</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42CED4" w14:textId="53CF79C6"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99.87%</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7057228" w14:textId="597F9332"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2,397,611</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F94BE3" w14:textId="0E3EBF15"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0.13%</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E117C3" w14:textId="1DE2BC0B"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1,814,595,442 </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595494" w14:textId="4D21AB8D"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73.89%</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0E8936" w14:textId="0DB1AE1E"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250,686 </w:t>
            </w:r>
            <w:r>
              <w:rPr>
                <w:rFonts w:ascii="Tahoma" w:hAnsi="Tahoma" w:cs="Tahoma"/>
                <w:color w:val="000000"/>
                <w:szCs w:val="20"/>
              </w:rPr>
              <w:t xml:space="preserve">           </w:t>
            </w:r>
          </w:p>
        </w:tc>
      </w:tr>
      <w:tr w:rsidR="008400BF" w:rsidRPr="009D2BB8" w14:paraId="5421D11F" w14:textId="77777777" w:rsidTr="008400BF">
        <w:trPr>
          <w:trHeight w:val="158"/>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5295C13" w14:textId="77777777" w:rsidR="008400BF" w:rsidRDefault="008400BF" w:rsidP="008400BF">
            <w:pPr>
              <w:overflowPunct w:val="0"/>
              <w:autoSpaceDE w:val="0"/>
              <w:autoSpaceDN w:val="0"/>
              <w:adjustRightInd w:val="0"/>
              <w:textAlignment w:val="baseline"/>
              <w:rPr>
                <w:rFonts w:eastAsia="Times New Roman" w:cs="Arial"/>
                <w:color w:val="000000"/>
                <w:szCs w:val="20"/>
                <w:lang w:eastAsia="en-GB"/>
              </w:rPr>
            </w:pPr>
            <w:r>
              <w:rPr>
                <w:rFonts w:eastAsia="Times New Roman" w:cs="Arial"/>
                <w:color w:val="000000"/>
                <w:szCs w:val="20"/>
                <w:lang w:eastAsia="en-GB"/>
              </w:rPr>
              <w:t>4</w:t>
            </w:r>
            <w:r w:rsidRPr="009D2BB8">
              <w:rPr>
                <w:rFonts w:eastAsia="Times New Roman" w:cs="Arial"/>
                <w:color w:val="000000"/>
                <w:szCs w:val="20"/>
                <w:lang w:eastAsia="en-GB"/>
              </w:rPr>
              <w:t xml:space="preserve">. To elect </w:t>
            </w:r>
            <w:r w:rsidRPr="00D307AE">
              <w:rPr>
                <w:rFonts w:eastAsia="Times New Roman" w:cs="Arial"/>
                <w:color w:val="000000"/>
                <w:szCs w:val="20"/>
                <w:lang w:eastAsia="en-GB"/>
              </w:rPr>
              <w:t xml:space="preserve">Zoe Yujnovich </w:t>
            </w:r>
            <w:r w:rsidRPr="009D2BB8">
              <w:rPr>
                <w:rFonts w:eastAsia="Times New Roman" w:cs="Arial"/>
                <w:color w:val="000000"/>
                <w:szCs w:val="20"/>
                <w:lang w:eastAsia="en-GB"/>
              </w:rPr>
              <w:t>as a Director</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BE0723" w14:textId="7FA87CE1"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1,811,330,368</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24B970" w14:textId="7DCBC7D5"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99.82%</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AEAAA92" w14:textId="0DBE3F93"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3,201,110</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9E7550" w14:textId="5699B45B"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0.18%</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074279" w14:textId="1E54C6D1"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1,814,531,478 </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8DEF95" w14:textId="2863B6BC"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73.89%</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A2CCF83" w14:textId="10F1A2E6"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247,377 </w:t>
            </w:r>
            <w:r>
              <w:rPr>
                <w:rFonts w:ascii="Tahoma" w:hAnsi="Tahoma" w:cs="Tahoma"/>
                <w:color w:val="000000"/>
                <w:szCs w:val="20"/>
              </w:rPr>
              <w:t xml:space="preserve">           </w:t>
            </w:r>
          </w:p>
        </w:tc>
      </w:tr>
      <w:tr w:rsidR="008400BF" w:rsidRPr="009D2BB8" w14:paraId="3448E369" w14:textId="77777777" w:rsidTr="008400BF">
        <w:trPr>
          <w:trHeight w:val="158"/>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06067C2" w14:textId="77777777" w:rsidR="008400BF" w:rsidRDefault="008400BF" w:rsidP="008400BF">
            <w:pPr>
              <w:overflowPunct w:val="0"/>
              <w:autoSpaceDE w:val="0"/>
              <w:autoSpaceDN w:val="0"/>
              <w:adjustRightInd w:val="0"/>
              <w:textAlignment w:val="baseline"/>
              <w:rPr>
                <w:rFonts w:eastAsia="Times New Roman" w:cs="Arial"/>
                <w:color w:val="000000"/>
                <w:szCs w:val="20"/>
                <w:lang w:eastAsia="en-GB"/>
              </w:rPr>
            </w:pPr>
            <w:r>
              <w:rPr>
                <w:rFonts w:eastAsia="Times New Roman" w:cs="Arial"/>
                <w:color w:val="000000"/>
                <w:szCs w:val="20"/>
                <w:lang w:eastAsia="en-GB"/>
              </w:rPr>
              <w:t xml:space="preserve">5. </w:t>
            </w:r>
            <w:r w:rsidRPr="009D2BB8">
              <w:rPr>
                <w:rFonts w:eastAsia="Times New Roman" w:cs="Arial"/>
                <w:color w:val="000000"/>
                <w:szCs w:val="20"/>
                <w:lang w:eastAsia="en-GB"/>
              </w:rPr>
              <w:t xml:space="preserve">To re-elect </w:t>
            </w:r>
            <w:r>
              <w:rPr>
                <w:rFonts w:eastAsia="Times New Roman" w:cs="Arial"/>
                <w:color w:val="000000"/>
                <w:szCs w:val="20"/>
                <w:lang w:eastAsia="en-GB"/>
              </w:rPr>
              <w:t xml:space="preserve">Fernando </w:t>
            </w:r>
            <w:r>
              <w:rPr>
                <w:rFonts w:eastAsia="Times New Roman" w:cs="Arial"/>
                <w:color w:val="000000"/>
                <w:szCs w:val="20"/>
                <w:lang w:eastAsia="en-GB"/>
              </w:rPr>
              <w:lastRenderedPageBreak/>
              <w:t>Fernandez</w:t>
            </w:r>
            <w:r w:rsidRPr="009D2BB8">
              <w:rPr>
                <w:rFonts w:eastAsia="Times New Roman" w:cs="Arial"/>
                <w:color w:val="000000"/>
                <w:szCs w:val="20"/>
                <w:lang w:eastAsia="en-GB"/>
              </w:rPr>
              <w:t xml:space="preserve"> as a Director</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793A9D" w14:textId="2B601D17"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lastRenderedPageBreak/>
              <w:t>1,812,853,767</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CAA1A1" w14:textId="2148C23D"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99.88%</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A77C6C" w14:textId="7F50718D"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2,246,965</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A5D1A64" w14:textId="4C2134CB"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0.12%</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CA6265" w14:textId="21030063"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1,815,100,732 </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2D7E07" w14:textId="7CDCA229"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73.91%</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48BB5E" w14:textId="14DD795B"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243,186 </w:t>
            </w:r>
            <w:r>
              <w:rPr>
                <w:rFonts w:ascii="Tahoma" w:hAnsi="Tahoma" w:cs="Tahoma"/>
                <w:color w:val="000000"/>
                <w:szCs w:val="20"/>
              </w:rPr>
              <w:t xml:space="preserve">           </w:t>
            </w:r>
          </w:p>
        </w:tc>
      </w:tr>
      <w:tr w:rsidR="008400BF" w:rsidRPr="009D2BB8" w14:paraId="65608E68" w14:textId="77777777" w:rsidTr="008400BF">
        <w:trPr>
          <w:trHeight w:val="156"/>
        </w:trPr>
        <w:tc>
          <w:tcPr>
            <w:tcW w:w="1473"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48F9F3" w14:textId="77777777" w:rsidR="008400BF" w:rsidRPr="009D2BB8" w:rsidRDefault="008400BF" w:rsidP="008400BF">
            <w:pPr>
              <w:overflowPunct w:val="0"/>
              <w:autoSpaceDE w:val="0"/>
              <w:autoSpaceDN w:val="0"/>
              <w:adjustRightInd w:val="0"/>
              <w:textAlignment w:val="baseline"/>
              <w:rPr>
                <w:rFonts w:eastAsia="Times New Roman" w:cs="Arial"/>
                <w:color w:val="000000"/>
                <w:szCs w:val="20"/>
                <w:lang w:eastAsia="en-GB"/>
              </w:rPr>
            </w:pPr>
            <w:r>
              <w:rPr>
                <w:rFonts w:eastAsia="Times New Roman" w:cs="Arial"/>
                <w:color w:val="000000"/>
                <w:szCs w:val="20"/>
                <w:lang w:eastAsia="en-GB"/>
              </w:rPr>
              <w:t>6</w:t>
            </w:r>
            <w:r w:rsidRPr="009D2BB8">
              <w:rPr>
                <w:rFonts w:eastAsia="Times New Roman" w:cs="Arial"/>
                <w:color w:val="000000"/>
                <w:szCs w:val="20"/>
                <w:lang w:eastAsia="en-GB"/>
              </w:rPr>
              <w:t>. To re-elect A</w:t>
            </w:r>
            <w:proofErr w:type="spellStart"/>
            <w:r w:rsidRPr="009D2BB8">
              <w:rPr>
                <w:rFonts w:eastAsia="Times New Roman" w:cs="Arial"/>
                <w:color w:val="000000"/>
                <w:szCs w:val="20"/>
                <w:lang w:val="en-US" w:eastAsia="en-GB"/>
              </w:rPr>
              <w:t>drian</w:t>
            </w:r>
            <w:proofErr w:type="spellEnd"/>
            <w:r w:rsidRPr="009D2BB8">
              <w:rPr>
                <w:rFonts w:eastAsia="Times New Roman" w:cs="Arial"/>
                <w:color w:val="000000"/>
                <w:szCs w:val="20"/>
                <w:lang w:eastAsia="en-GB"/>
              </w:rPr>
              <w:t xml:space="preserve"> Hennah as a Director </w:t>
            </w:r>
          </w:p>
        </w:tc>
        <w:tc>
          <w:tcPr>
            <w:tcW w:w="149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A9D211" w14:textId="10A09321"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1,685,812,240</w:t>
            </w:r>
          </w:p>
        </w:tc>
        <w:tc>
          <w:tcPr>
            <w:tcW w:w="90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ECBA82" w14:textId="7B3912D4"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92.91%</w:t>
            </w:r>
          </w:p>
        </w:tc>
        <w:tc>
          <w:tcPr>
            <w:tcW w:w="132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EBBC905" w14:textId="579457E9"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128,701,746</w:t>
            </w:r>
          </w:p>
        </w:tc>
        <w:tc>
          <w:tcPr>
            <w:tcW w:w="90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1B9CB5" w14:textId="70FD5A16"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7.09%</w:t>
            </w:r>
          </w:p>
        </w:tc>
        <w:tc>
          <w:tcPr>
            <w:tcW w:w="149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57A811" w14:textId="0F854937"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1,814,513,986 </w:t>
            </w:r>
          </w:p>
        </w:tc>
        <w:tc>
          <w:tcPr>
            <w:tcW w:w="111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D7659F" w14:textId="41F94941"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73.88%</w:t>
            </w:r>
          </w:p>
        </w:tc>
        <w:tc>
          <w:tcPr>
            <w:tcW w:w="127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626F9D" w14:textId="2DB1041C"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367,357 </w:t>
            </w:r>
            <w:r>
              <w:rPr>
                <w:rFonts w:ascii="Tahoma" w:hAnsi="Tahoma" w:cs="Tahoma"/>
                <w:color w:val="000000"/>
                <w:szCs w:val="20"/>
              </w:rPr>
              <w:t xml:space="preserve">           </w:t>
            </w:r>
          </w:p>
        </w:tc>
      </w:tr>
      <w:tr w:rsidR="008400BF" w:rsidRPr="009D2BB8" w14:paraId="00BE353E" w14:textId="77777777" w:rsidTr="008400BF">
        <w:trPr>
          <w:trHeight w:val="133"/>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442AB6" w14:textId="77777777" w:rsidR="008400BF" w:rsidRPr="009D2BB8" w:rsidRDefault="008400BF" w:rsidP="008400BF">
            <w:pPr>
              <w:overflowPunct w:val="0"/>
              <w:autoSpaceDE w:val="0"/>
              <w:autoSpaceDN w:val="0"/>
              <w:adjustRightInd w:val="0"/>
              <w:textAlignment w:val="baseline"/>
              <w:rPr>
                <w:rFonts w:eastAsia="Times New Roman" w:cs="Arial"/>
                <w:color w:val="000000"/>
                <w:szCs w:val="20"/>
                <w:lang w:eastAsia="en-GB"/>
              </w:rPr>
            </w:pPr>
            <w:r>
              <w:rPr>
                <w:rFonts w:eastAsia="Times New Roman" w:cs="Arial"/>
                <w:color w:val="000000"/>
                <w:szCs w:val="20"/>
                <w:lang w:eastAsia="en-GB"/>
              </w:rPr>
              <w:t>7</w:t>
            </w:r>
            <w:r w:rsidRPr="009D2BB8">
              <w:rPr>
                <w:rFonts w:eastAsia="Times New Roman" w:cs="Arial"/>
                <w:color w:val="000000"/>
                <w:szCs w:val="20"/>
                <w:lang w:eastAsia="en-GB"/>
              </w:rPr>
              <w:t>. To re-elect</w:t>
            </w:r>
            <w:r w:rsidRPr="009D2BB8">
              <w:rPr>
                <w:rFonts w:eastAsia="Times New Roman" w:cs="Arial"/>
                <w:color w:val="000000"/>
                <w:szCs w:val="20"/>
                <w:lang w:val="en-US" w:eastAsia="en-GB"/>
              </w:rPr>
              <w:t xml:space="preserve"> </w:t>
            </w:r>
            <w:r w:rsidRPr="009D2BB8">
              <w:rPr>
                <w:rFonts w:eastAsia="Times New Roman" w:cs="Arial"/>
                <w:color w:val="000000"/>
                <w:szCs w:val="20"/>
                <w:lang w:eastAsia="en-GB"/>
              </w:rPr>
              <w:t>S</w:t>
            </w:r>
            <w:proofErr w:type="spellStart"/>
            <w:r w:rsidRPr="009D2BB8">
              <w:rPr>
                <w:rFonts w:eastAsia="Times New Roman" w:cs="Arial"/>
                <w:color w:val="000000"/>
                <w:szCs w:val="20"/>
                <w:lang w:val="en-US" w:eastAsia="en-GB"/>
              </w:rPr>
              <w:t>usan</w:t>
            </w:r>
            <w:proofErr w:type="spellEnd"/>
            <w:r w:rsidRPr="009D2BB8">
              <w:rPr>
                <w:rFonts w:eastAsia="Times New Roman" w:cs="Arial"/>
                <w:color w:val="000000"/>
                <w:szCs w:val="20"/>
                <w:lang w:eastAsia="en-GB"/>
              </w:rPr>
              <w:t xml:space="preserve"> Kilsby as a Director </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27566C" w14:textId="1D6A6826"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1,808,866,372</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2B1998" w14:textId="162A39F2"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99.69%</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81A413" w14:textId="6CFDBEF8"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5,711,542</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804E28" w14:textId="5D9429ED"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0.31%</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434BE5" w14:textId="7AF764BC"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1,814,577,914 </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C3514E" w14:textId="1E2F2B95"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73.89%</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12F141" w14:textId="52A27F7C"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261,502 </w:t>
            </w:r>
            <w:r>
              <w:rPr>
                <w:rFonts w:ascii="Tahoma" w:hAnsi="Tahoma" w:cs="Tahoma"/>
                <w:color w:val="000000"/>
                <w:szCs w:val="20"/>
              </w:rPr>
              <w:t xml:space="preserve">           </w:t>
            </w:r>
          </w:p>
        </w:tc>
      </w:tr>
      <w:tr w:rsidR="008400BF" w:rsidRPr="009D2BB8" w14:paraId="35A80211" w14:textId="77777777" w:rsidTr="008400BF">
        <w:trPr>
          <w:trHeight w:val="132"/>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0D2AD9" w14:textId="77777777" w:rsidR="008400BF" w:rsidRPr="009D2BB8" w:rsidRDefault="008400BF" w:rsidP="008400BF">
            <w:pPr>
              <w:overflowPunct w:val="0"/>
              <w:autoSpaceDE w:val="0"/>
              <w:autoSpaceDN w:val="0"/>
              <w:adjustRightInd w:val="0"/>
              <w:textAlignment w:val="baseline"/>
              <w:rPr>
                <w:rFonts w:eastAsia="Times New Roman" w:cs="Arial"/>
                <w:color w:val="000000"/>
                <w:szCs w:val="20"/>
                <w:lang w:eastAsia="en-GB"/>
              </w:rPr>
            </w:pPr>
            <w:r>
              <w:rPr>
                <w:rFonts w:eastAsia="Times New Roman" w:cs="Arial"/>
                <w:color w:val="000000"/>
                <w:szCs w:val="20"/>
                <w:lang w:eastAsia="en-GB"/>
              </w:rPr>
              <w:t>8</w:t>
            </w:r>
            <w:r w:rsidRPr="009D2BB8">
              <w:rPr>
                <w:rFonts w:eastAsia="Times New Roman" w:cs="Arial"/>
                <w:color w:val="000000"/>
                <w:szCs w:val="20"/>
                <w:lang w:eastAsia="en-GB"/>
              </w:rPr>
              <w:t xml:space="preserve">. To re-elect </w:t>
            </w:r>
            <w:r w:rsidRPr="009D2BB8">
              <w:rPr>
                <w:rFonts w:eastAsia="Times New Roman" w:cs="Arial"/>
                <w:color w:val="000000"/>
                <w:szCs w:val="20"/>
                <w:lang w:val="en-US" w:eastAsia="en-GB"/>
              </w:rPr>
              <w:t xml:space="preserve">Ruby Lu as a Director </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317776" w14:textId="486F6EC9"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1,803,637,884</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C0CAC9" w14:textId="75F9F30D"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99.39%</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306C2B" w14:textId="10EE385B"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11,045,923</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B27DB8" w14:textId="1DF4ADA3"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0.61%</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8DDC5A" w14:textId="3F019422"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1,814,683,807 </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4B40BC" w14:textId="39B6C4C1"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73.89%</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FF568C" w14:textId="6F07FB17"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239,553 </w:t>
            </w:r>
            <w:r>
              <w:rPr>
                <w:rFonts w:ascii="Tahoma" w:hAnsi="Tahoma" w:cs="Tahoma"/>
                <w:color w:val="000000"/>
                <w:szCs w:val="20"/>
              </w:rPr>
              <w:t xml:space="preserve">           </w:t>
            </w:r>
          </w:p>
        </w:tc>
      </w:tr>
      <w:tr w:rsidR="008400BF" w:rsidRPr="009D2BB8" w14:paraId="429F6C8A" w14:textId="77777777" w:rsidTr="008400BF">
        <w:trPr>
          <w:trHeight w:val="131"/>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640B6A" w14:textId="77777777" w:rsidR="008400BF" w:rsidRPr="009D2BB8" w:rsidRDefault="008400BF" w:rsidP="008400BF">
            <w:pPr>
              <w:overflowPunct w:val="0"/>
              <w:autoSpaceDE w:val="0"/>
              <w:autoSpaceDN w:val="0"/>
              <w:adjustRightInd w:val="0"/>
              <w:textAlignment w:val="baseline"/>
              <w:rPr>
                <w:rFonts w:eastAsia="Times New Roman" w:cs="Arial"/>
                <w:color w:val="000000"/>
                <w:szCs w:val="20"/>
                <w:lang w:eastAsia="en-GB"/>
              </w:rPr>
            </w:pPr>
            <w:r>
              <w:rPr>
                <w:rFonts w:eastAsia="Times New Roman" w:cs="Arial"/>
                <w:color w:val="000000"/>
                <w:szCs w:val="20"/>
                <w:lang w:eastAsia="en-GB"/>
              </w:rPr>
              <w:t>9</w:t>
            </w:r>
            <w:r w:rsidRPr="009D2BB8">
              <w:rPr>
                <w:rFonts w:eastAsia="Times New Roman" w:cs="Arial"/>
                <w:color w:val="000000"/>
                <w:szCs w:val="20"/>
                <w:lang w:eastAsia="en-GB"/>
              </w:rPr>
              <w:t xml:space="preserve">. To re-elect </w:t>
            </w:r>
            <w:r>
              <w:rPr>
                <w:rFonts w:eastAsia="Times New Roman" w:cs="Arial"/>
                <w:color w:val="000000"/>
                <w:szCs w:val="20"/>
                <w:lang w:val="en-US" w:eastAsia="en-GB"/>
              </w:rPr>
              <w:t>Judith McKenna</w:t>
            </w:r>
            <w:r w:rsidRPr="009D2BB8">
              <w:rPr>
                <w:rFonts w:eastAsia="Times New Roman" w:cs="Arial"/>
                <w:color w:val="000000"/>
                <w:szCs w:val="20"/>
                <w:lang w:val="en-US" w:eastAsia="en-GB"/>
              </w:rPr>
              <w:t xml:space="preserve"> as a Director</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E168EB0" w14:textId="2565D31F"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1,806,431,561</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6CE416" w14:textId="4E6102F5"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99.55%</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76D3EB" w14:textId="7ABB61C5"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8,095,650</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ACB37D" w14:textId="01A2AA92"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0.45%</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6EA970" w14:textId="20388F5A"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1,814,527,211 </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66FE2A" w14:textId="4F8E4FDE"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73.89%</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93147E2" w14:textId="633799AD"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219,232 </w:t>
            </w:r>
            <w:r>
              <w:rPr>
                <w:rFonts w:ascii="Tahoma" w:hAnsi="Tahoma" w:cs="Tahoma"/>
                <w:color w:val="000000"/>
                <w:szCs w:val="20"/>
              </w:rPr>
              <w:t xml:space="preserve">           </w:t>
            </w:r>
          </w:p>
        </w:tc>
      </w:tr>
      <w:tr w:rsidR="008400BF" w:rsidRPr="009D2BB8" w14:paraId="712F50CB" w14:textId="77777777" w:rsidTr="008400BF">
        <w:trPr>
          <w:trHeight w:val="163"/>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13AFE3" w14:textId="77777777" w:rsidR="008400BF" w:rsidRPr="009D2BB8" w:rsidRDefault="008400BF" w:rsidP="008400BF">
            <w:pPr>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eastAsia="en-GB"/>
              </w:rPr>
              <w:t>1</w:t>
            </w:r>
            <w:r>
              <w:rPr>
                <w:rFonts w:eastAsia="Times New Roman" w:cs="Arial"/>
                <w:color w:val="000000"/>
                <w:szCs w:val="20"/>
                <w:lang w:eastAsia="en-GB"/>
              </w:rPr>
              <w:t>0</w:t>
            </w:r>
            <w:r w:rsidRPr="009D2BB8">
              <w:rPr>
                <w:rFonts w:eastAsia="Times New Roman" w:cs="Arial"/>
                <w:color w:val="000000"/>
                <w:szCs w:val="20"/>
                <w:lang w:eastAsia="en-GB"/>
              </w:rPr>
              <w:t xml:space="preserve">. To re-elect </w:t>
            </w:r>
            <w:r>
              <w:rPr>
                <w:rFonts w:eastAsia="Times New Roman" w:cs="Arial"/>
                <w:color w:val="000000"/>
                <w:szCs w:val="20"/>
                <w:lang w:val="en-US" w:eastAsia="en-GB"/>
              </w:rPr>
              <w:t>Ian Meakins</w:t>
            </w:r>
            <w:r w:rsidRPr="009D2BB8">
              <w:rPr>
                <w:rFonts w:eastAsia="Times New Roman" w:cs="Arial"/>
                <w:color w:val="000000"/>
                <w:szCs w:val="20"/>
                <w:lang w:val="en-US" w:eastAsia="en-GB"/>
              </w:rPr>
              <w:t xml:space="preserve"> as a Director</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4F9BCB" w14:textId="4A7AA48F"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1,710,039,826</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01865D5" w14:textId="5E07CFE0"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94.85%</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0760DD" w14:textId="6CBE9A9D"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92,812,901</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1BEFE1" w14:textId="673E7BDC"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5.15%</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CE4C4D" w14:textId="34E03C0C"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1,802,852,727 </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51FD57" w14:textId="3E8D00AF"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73.41%</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70C481" w14:textId="4562CEFF"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9,924,426 </w:t>
            </w:r>
            <w:r>
              <w:rPr>
                <w:rFonts w:ascii="Tahoma" w:hAnsi="Tahoma" w:cs="Tahoma"/>
                <w:color w:val="000000"/>
                <w:szCs w:val="20"/>
              </w:rPr>
              <w:t xml:space="preserve">        </w:t>
            </w:r>
          </w:p>
        </w:tc>
      </w:tr>
      <w:tr w:rsidR="008400BF" w:rsidRPr="009D2BB8" w14:paraId="3E742DDE" w14:textId="77777777" w:rsidTr="008400BF">
        <w:trPr>
          <w:trHeight w:val="162"/>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3B63F9" w14:textId="77777777" w:rsidR="008400BF" w:rsidRPr="009D2BB8" w:rsidRDefault="008400BF" w:rsidP="008400BF">
            <w:pPr>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eastAsia="en-GB"/>
              </w:rPr>
              <w:t>1</w:t>
            </w:r>
            <w:r>
              <w:rPr>
                <w:rFonts w:eastAsia="Times New Roman" w:cs="Arial"/>
                <w:color w:val="000000"/>
                <w:szCs w:val="20"/>
                <w:lang w:eastAsia="en-GB"/>
              </w:rPr>
              <w:t>1</w:t>
            </w:r>
            <w:r w:rsidRPr="009D2BB8">
              <w:rPr>
                <w:rFonts w:eastAsia="Times New Roman" w:cs="Arial"/>
                <w:color w:val="000000"/>
                <w:szCs w:val="20"/>
                <w:lang w:eastAsia="en-GB"/>
              </w:rPr>
              <w:t xml:space="preserve">. </w:t>
            </w:r>
            <w:r w:rsidRPr="009D2BB8">
              <w:rPr>
                <w:rFonts w:eastAsia="Times New Roman" w:cs="Arial"/>
                <w:color w:val="000000"/>
                <w:szCs w:val="20"/>
                <w:lang w:val="en-US" w:eastAsia="en-GB"/>
              </w:rPr>
              <w:t>To re-elect Nelson Peltz as a Director</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4771468" w14:textId="79D2E6D1"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1,775,756,130</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56C886" w14:textId="2AEDD2F1"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98.03%</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757A859" w14:textId="00C23A80"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35,682,557</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E25F36" w14:textId="364AF6E6"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1.97%</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6B5E48" w14:textId="196C75B9"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1,811,438,687 </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0CA475" w14:textId="030DDB5E"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73.76%</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10DEE19" w14:textId="547AD575"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2,113,671 </w:t>
            </w:r>
            <w:r>
              <w:rPr>
                <w:rFonts w:ascii="Tahoma" w:hAnsi="Tahoma" w:cs="Tahoma"/>
                <w:color w:val="000000"/>
                <w:szCs w:val="20"/>
              </w:rPr>
              <w:t xml:space="preserve">        </w:t>
            </w:r>
          </w:p>
        </w:tc>
      </w:tr>
      <w:tr w:rsidR="008400BF" w:rsidRPr="009D2BB8" w14:paraId="53B4AE33" w14:textId="77777777" w:rsidTr="008400BF">
        <w:trPr>
          <w:trHeight w:val="272"/>
        </w:trPr>
        <w:tc>
          <w:tcPr>
            <w:tcW w:w="147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A107000" w14:textId="0275587B" w:rsidR="008400BF" w:rsidRPr="009D2BB8" w:rsidRDefault="008400BF" w:rsidP="008400BF">
            <w:pPr>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eastAsia="en-GB"/>
              </w:rPr>
              <w:t>1</w:t>
            </w:r>
            <w:r>
              <w:rPr>
                <w:rFonts w:eastAsia="Times New Roman" w:cs="Arial"/>
                <w:color w:val="000000"/>
                <w:szCs w:val="20"/>
                <w:lang w:eastAsia="en-GB"/>
              </w:rPr>
              <w:t>2</w:t>
            </w:r>
            <w:r w:rsidRPr="009D2BB8">
              <w:rPr>
                <w:rFonts w:eastAsia="Times New Roman" w:cs="Arial"/>
                <w:color w:val="000000"/>
                <w:szCs w:val="20"/>
                <w:lang w:eastAsia="en-GB"/>
              </w:rPr>
              <w:t>. To reappoint KPMG LLP as Auditor of the Company</w:t>
            </w:r>
          </w:p>
        </w:tc>
        <w:tc>
          <w:tcPr>
            <w:tcW w:w="149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3A55504" w14:textId="72880C55"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1,717,243,698</w:t>
            </w:r>
          </w:p>
        </w:tc>
        <w:tc>
          <w:tcPr>
            <w:tcW w:w="90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8BB49F3" w14:textId="684E0CB7"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94.61%</w:t>
            </w:r>
          </w:p>
        </w:tc>
        <w:tc>
          <w:tcPr>
            <w:tcW w:w="132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410E4C3" w14:textId="154AC1CB"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97,806,035</w:t>
            </w:r>
          </w:p>
        </w:tc>
        <w:tc>
          <w:tcPr>
            <w:tcW w:w="90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72505D9" w14:textId="6FF93F24"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5.39%</w:t>
            </w:r>
          </w:p>
        </w:tc>
        <w:tc>
          <w:tcPr>
            <w:tcW w:w="149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25E3D28" w14:textId="075BC3CC"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1,815,049,733 </w:t>
            </w:r>
          </w:p>
        </w:tc>
        <w:tc>
          <w:tcPr>
            <w:tcW w:w="1116"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45D13E1" w14:textId="1A3C0C71"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73.91%</w:t>
            </w:r>
          </w:p>
        </w:tc>
        <w:tc>
          <w:tcPr>
            <w:tcW w:w="127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1D06B64" w14:textId="17DD813E"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2,045,928 </w:t>
            </w:r>
            <w:r>
              <w:rPr>
                <w:rFonts w:ascii="Tahoma" w:hAnsi="Tahoma" w:cs="Tahoma"/>
                <w:color w:val="000000"/>
                <w:szCs w:val="20"/>
              </w:rPr>
              <w:t xml:space="preserve">        </w:t>
            </w:r>
          </w:p>
        </w:tc>
      </w:tr>
      <w:tr w:rsidR="008400BF" w:rsidRPr="009D2BB8" w14:paraId="56924D5D" w14:textId="77777777" w:rsidTr="008400BF">
        <w:trPr>
          <w:trHeight w:val="241"/>
        </w:trPr>
        <w:tc>
          <w:tcPr>
            <w:tcW w:w="1473"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8BB052" w14:textId="77777777" w:rsidR="008400BF" w:rsidRPr="009D2BB8" w:rsidRDefault="008400BF" w:rsidP="008400BF">
            <w:pPr>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eastAsia="en-GB"/>
              </w:rPr>
              <w:t>1</w:t>
            </w:r>
            <w:r>
              <w:rPr>
                <w:rFonts w:eastAsia="Times New Roman" w:cs="Arial"/>
                <w:color w:val="000000"/>
                <w:szCs w:val="20"/>
                <w:lang w:eastAsia="en-GB"/>
              </w:rPr>
              <w:t>3</w:t>
            </w:r>
            <w:r w:rsidRPr="009D2BB8">
              <w:rPr>
                <w:rFonts w:eastAsia="Times New Roman" w:cs="Arial"/>
                <w:color w:val="000000"/>
                <w:szCs w:val="20"/>
                <w:lang w:eastAsia="en-GB"/>
              </w:rPr>
              <w:t>. To authorise the Directors to fix the remuneration of the Auditor</w:t>
            </w:r>
          </w:p>
        </w:tc>
        <w:tc>
          <w:tcPr>
            <w:tcW w:w="149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AF812CD" w14:textId="3E70A184"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1,780,180,403</w:t>
            </w:r>
          </w:p>
        </w:tc>
        <w:tc>
          <w:tcPr>
            <w:tcW w:w="90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F63A95" w14:textId="01F11355"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98.07%</w:t>
            </w:r>
          </w:p>
        </w:tc>
        <w:tc>
          <w:tcPr>
            <w:tcW w:w="132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324691" w14:textId="187F5735"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34,995,837</w:t>
            </w:r>
          </w:p>
        </w:tc>
        <w:tc>
          <w:tcPr>
            <w:tcW w:w="90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C9D362" w14:textId="68414FFD"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1.93%</w:t>
            </w:r>
          </w:p>
        </w:tc>
        <w:tc>
          <w:tcPr>
            <w:tcW w:w="149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BF44F9" w14:textId="27B3DBC0"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1,815,176,240 </w:t>
            </w:r>
          </w:p>
        </w:tc>
        <w:tc>
          <w:tcPr>
            <w:tcW w:w="111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C5CD4A" w14:textId="0DC3E046"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73.91%</w:t>
            </w:r>
          </w:p>
        </w:tc>
        <w:tc>
          <w:tcPr>
            <w:tcW w:w="127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6158A3" w14:textId="098F838B"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1,917,710 </w:t>
            </w:r>
            <w:r>
              <w:rPr>
                <w:rFonts w:ascii="Tahoma" w:hAnsi="Tahoma" w:cs="Tahoma"/>
                <w:color w:val="000000"/>
                <w:szCs w:val="20"/>
              </w:rPr>
              <w:t xml:space="preserve">        </w:t>
            </w:r>
          </w:p>
        </w:tc>
      </w:tr>
      <w:tr w:rsidR="008400BF" w:rsidRPr="009D2BB8" w14:paraId="280EFD51" w14:textId="77777777" w:rsidTr="008400BF">
        <w:trPr>
          <w:trHeight w:val="261"/>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AED50E" w14:textId="4B8B73F3" w:rsidR="008400BF" w:rsidRPr="009D2BB8" w:rsidRDefault="008400BF" w:rsidP="008400BF">
            <w:pPr>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eastAsia="en-GB"/>
              </w:rPr>
              <w:t>1</w:t>
            </w:r>
            <w:r>
              <w:rPr>
                <w:rFonts w:eastAsia="Times New Roman" w:cs="Arial"/>
                <w:color w:val="000000"/>
                <w:szCs w:val="20"/>
                <w:lang w:eastAsia="en-GB"/>
              </w:rPr>
              <w:t>4</w:t>
            </w:r>
            <w:r w:rsidRPr="009D2BB8">
              <w:rPr>
                <w:rFonts w:eastAsia="Times New Roman" w:cs="Arial"/>
                <w:color w:val="000000"/>
                <w:szCs w:val="20"/>
                <w:lang w:eastAsia="en-GB"/>
              </w:rPr>
              <w:t xml:space="preserve">. To authorise </w:t>
            </w:r>
            <w:r>
              <w:rPr>
                <w:rFonts w:eastAsia="Times New Roman" w:cs="Arial"/>
                <w:color w:val="000000"/>
                <w:szCs w:val="20"/>
                <w:lang w:eastAsia="en-GB"/>
              </w:rPr>
              <w:t>p</w:t>
            </w:r>
            <w:r w:rsidRPr="009D2BB8">
              <w:rPr>
                <w:rFonts w:eastAsia="Times New Roman" w:cs="Arial"/>
                <w:color w:val="000000"/>
                <w:szCs w:val="20"/>
                <w:lang w:eastAsia="en-GB"/>
              </w:rPr>
              <w:t xml:space="preserve">olitical </w:t>
            </w:r>
            <w:r>
              <w:rPr>
                <w:rFonts w:eastAsia="Times New Roman" w:cs="Arial"/>
                <w:color w:val="000000"/>
                <w:szCs w:val="20"/>
                <w:lang w:eastAsia="en-GB"/>
              </w:rPr>
              <w:t>d</w:t>
            </w:r>
            <w:r w:rsidRPr="009D2BB8">
              <w:rPr>
                <w:rFonts w:eastAsia="Times New Roman" w:cs="Arial"/>
                <w:color w:val="000000"/>
                <w:szCs w:val="20"/>
                <w:lang w:eastAsia="en-GB"/>
              </w:rPr>
              <w:t>onations and expenditure</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3065FB" w14:textId="6DF850AF"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1,773,872,062</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EC53D9A" w14:textId="6A3C461A"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98.10%</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D91A9B" w14:textId="255A4F74"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34,267,088</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DE8818" w14:textId="14A6E039"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1.90%</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17EE1D" w14:textId="61B610CF"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1,808,139,150 </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16AFDE" w14:textId="236B027D"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73.63%</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65AF9E" w14:textId="7B5AC63D"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8,956,374 </w:t>
            </w:r>
            <w:r>
              <w:rPr>
                <w:rFonts w:ascii="Tahoma" w:hAnsi="Tahoma" w:cs="Tahoma"/>
                <w:color w:val="000000"/>
                <w:szCs w:val="20"/>
              </w:rPr>
              <w:t xml:space="preserve">        </w:t>
            </w:r>
          </w:p>
        </w:tc>
      </w:tr>
      <w:tr w:rsidR="008400BF" w:rsidRPr="009D2BB8" w14:paraId="1E746A23" w14:textId="77777777" w:rsidTr="008400BF">
        <w:trPr>
          <w:trHeight w:val="181"/>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18D9C0" w14:textId="3FEC0CC4" w:rsidR="008400BF" w:rsidRPr="009D2BB8" w:rsidRDefault="008400BF" w:rsidP="008400BF">
            <w:pPr>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eastAsia="en-GB"/>
              </w:rPr>
              <w:t>1</w:t>
            </w:r>
            <w:r>
              <w:rPr>
                <w:rFonts w:eastAsia="Times New Roman" w:cs="Arial"/>
                <w:color w:val="000000"/>
                <w:szCs w:val="20"/>
                <w:lang w:eastAsia="en-GB"/>
              </w:rPr>
              <w:t>5</w:t>
            </w:r>
            <w:r w:rsidRPr="009D2BB8">
              <w:rPr>
                <w:rFonts w:eastAsia="Times New Roman" w:cs="Arial"/>
                <w:color w:val="000000"/>
                <w:szCs w:val="20"/>
                <w:lang w:eastAsia="en-GB"/>
              </w:rPr>
              <w:t xml:space="preserve">. To </w:t>
            </w:r>
            <w:r>
              <w:rPr>
                <w:rFonts w:eastAsia="Times New Roman" w:cs="Arial"/>
                <w:color w:val="000000"/>
                <w:szCs w:val="20"/>
                <w:lang w:eastAsia="en-GB"/>
              </w:rPr>
              <w:t xml:space="preserve">renew the </w:t>
            </w:r>
            <w:r w:rsidRPr="009D2BB8">
              <w:rPr>
                <w:rFonts w:eastAsia="Times New Roman" w:cs="Arial"/>
                <w:color w:val="000000"/>
                <w:szCs w:val="20"/>
                <w:lang w:eastAsia="en-GB"/>
              </w:rPr>
              <w:t>authori</w:t>
            </w:r>
            <w:r>
              <w:rPr>
                <w:rFonts w:eastAsia="Times New Roman" w:cs="Arial"/>
                <w:color w:val="000000"/>
                <w:szCs w:val="20"/>
                <w:lang w:eastAsia="en-GB"/>
              </w:rPr>
              <w:t>ty to</w:t>
            </w:r>
            <w:r w:rsidRPr="009D2BB8">
              <w:rPr>
                <w:rFonts w:eastAsia="Times New Roman" w:cs="Arial"/>
                <w:color w:val="000000"/>
                <w:szCs w:val="20"/>
                <w:lang w:eastAsia="en-GB"/>
              </w:rPr>
              <w:t xml:space="preserve"> Directors to allot shares</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6685F8" w14:textId="71DEAAEC"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1,701,680,561</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2E7885" w14:textId="06500AD0"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94.07%</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7D28938" w14:textId="47BB7067"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107,219,254</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E6E969" w14:textId="7CD40B03"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5.93%</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95203C" w14:textId="64741834"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1,808,899,815 </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7027563" w14:textId="30B703DC"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73.66%</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5E3DC4" w14:textId="10E8A69C"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8,195,045 </w:t>
            </w:r>
            <w:r>
              <w:rPr>
                <w:rFonts w:ascii="Tahoma" w:hAnsi="Tahoma" w:cs="Tahoma"/>
                <w:color w:val="000000"/>
                <w:szCs w:val="20"/>
              </w:rPr>
              <w:t xml:space="preserve">        </w:t>
            </w:r>
          </w:p>
        </w:tc>
      </w:tr>
      <w:tr w:rsidR="008400BF" w:rsidRPr="009D2BB8" w14:paraId="664379A3" w14:textId="77777777" w:rsidTr="008400BF">
        <w:trPr>
          <w:trHeight w:val="181"/>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1883B3" w14:textId="25CD8706" w:rsidR="008400BF" w:rsidRPr="009D2BB8" w:rsidRDefault="008400BF" w:rsidP="008400BF">
            <w:pPr>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val="en-US" w:eastAsia="en-GB"/>
              </w:rPr>
              <w:t>1</w:t>
            </w:r>
            <w:r>
              <w:rPr>
                <w:rFonts w:eastAsia="Times New Roman" w:cs="Arial"/>
                <w:color w:val="000000"/>
                <w:szCs w:val="20"/>
                <w:lang w:val="en-US" w:eastAsia="en-GB"/>
              </w:rPr>
              <w:t>6</w:t>
            </w:r>
            <w:r w:rsidRPr="009D2BB8">
              <w:rPr>
                <w:rFonts w:eastAsia="Times New Roman" w:cs="Arial"/>
                <w:color w:val="000000"/>
                <w:szCs w:val="20"/>
                <w:lang w:eastAsia="en-GB"/>
              </w:rPr>
              <w:t xml:space="preserve">. To </w:t>
            </w:r>
            <w:r>
              <w:rPr>
                <w:rFonts w:eastAsia="Times New Roman" w:cs="Arial"/>
                <w:color w:val="000000"/>
                <w:szCs w:val="20"/>
                <w:lang w:eastAsia="en-GB"/>
              </w:rPr>
              <w:t xml:space="preserve">renew the authority to </w:t>
            </w:r>
            <w:r w:rsidRPr="009D2BB8">
              <w:rPr>
                <w:rFonts w:eastAsia="Times New Roman" w:cs="Arial"/>
                <w:color w:val="000000"/>
                <w:szCs w:val="20"/>
                <w:lang w:eastAsia="en-GB"/>
              </w:rPr>
              <w:t>Directors to disapply pre-emption rights</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E8152B5" w14:textId="5D1D07CB"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1,772,649,686</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4E93CB" w14:textId="3DC0DA2D"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98.03%</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B888266" w14:textId="2A7ECB9D"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35,591,216</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FF70F9" w14:textId="5D5602A7"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1.97%</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9DEC47" w14:textId="484C7B2C"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1,808,240,902 </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7E4852" w14:textId="5CD6A264"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73.63%</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A9342D" w14:textId="6FC6B6F7"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8,853,741 </w:t>
            </w:r>
            <w:r>
              <w:rPr>
                <w:rFonts w:ascii="Tahoma" w:hAnsi="Tahoma" w:cs="Tahoma"/>
                <w:color w:val="000000"/>
                <w:szCs w:val="20"/>
              </w:rPr>
              <w:t xml:space="preserve">        </w:t>
            </w:r>
          </w:p>
        </w:tc>
      </w:tr>
      <w:tr w:rsidR="008400BF" w:rsidRPr="009D2BB8" w14:paraId="34E45E3B" w14:textId="77777777" w:rsidTr="008400BF">
        <w:trPr>
          <w:trHeight w:val="181"/>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9E5382" w14:textId="483A07B8" w:rsidR="008400BF" w:rsidRPr="009D2BB8" w:rsidRDefault="008400BF" w:rsidP="008400BF">
            <w:pPr>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val="en-US" w:eastAsia="en-GB"/>
              </w:rPr>
              <w:t>1</w:t>
            </w:r>
            <w:r>
              <w:rPr>
                <w:rFonts w:eastAsia="Times New Roman" w:cs="Arial"/>
                <w:color w:val="000000"/>
                <w:szCs w:val="20"/>
                <w:lang w:val="en-US" w:eastAsia="en-GB"/>
              </w:rPr>
              <w:t>7</w:t>
            </w:r>
            <w:r w:rsidRPr="009D2BB8">
              <w:rPr>
                <w:rFonts w:eastAsia="Times New Roman" w:cs="Arial"/>
                <w:color w:val="000000"/>
                <w:szCs w:val="20"/>
                <w:lang w:eastAsia="en-GB"/>
              </w:rPr>
              <w:t xml:space="preserve">. To </w:t>
            </w:r>
            <w:r>
              <w:rPr>
                <w:rFonts w:eastAsia="Times New Roman" w:cs="Arial"/>
                <w:color w:val="000000"/>
                <w:szCs w:val="20"/>
                <w:lang w:eastAsia="en-GB"/>
              </w:rPr>
              <w:t xml:space="preserve">renew the authority to </w:t>
            </w:r>
            <w:r w:rsidRPr="009D2BB8">
              <w:rPr>
                <w:rFonts w:eastAsia="Times New Roman" w:cs="Arial"/>
                <w:color w:val="000000"/>
                <w:szCs w:val="20"/>
                <w:lang w:eastAsia="en-GB"/>
              </w:rPr>
              <w:t xml:space="preserve">Directors to disapply pre-emption rights </w:t>
            </w:r>
            <w:r>
              <w:rPr>
                <w:rFonts w:eastAsia="Times New Roman" w:cs="Arial"/>
                <w:color w:val="000000"/>
                <w:szCs w:val="20"/>
                <w:lang w:eastAsia="en-GB"/>
              </w:rPr>
              <w:t xml:space="preserve">in connection with </w:t>
            </w:r>
            <w:r w:rsidRPr="009D2BB8">
              <w:rPr>
                <w:rFonts w:eastAsia="Times New Roman" w:cs="Arial"/>
                <w:color w:val="000000"/>
                <w:szCs w:val="20"/>
                <w:lang w:eastAsia="en-GB"/>
              </w:rPr>
              <w:t>acquisitions or capital investments</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F66E47" w14:textId="4D6F5AAA"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1,771,903,554</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F181A5" w14:textId="43F609DE"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97.65%</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076758" w14:textId="50E568E2"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42,552,420</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144AA0" w14:textId="0BF57AC6"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2.35%</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7FA3AE" w14:textId="356604F0"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1,814,455,974 </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0B74175" w14:textId="69DF63A3"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73.88%</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1571598" w14:textId="68979817"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2,638,953 </w:t>
            </w:r>
            <w:r>
              <w:rPr>
                <w:rFonts w:ascii="Tahoma" w:hAnsi="Tahoma" w:cs="Tahoma"/>
                <w:color w:val="000000"/>
                <w:szCs w:val="20"/>
              </w:rPr>
              <w:t xml:space="preserve">        </w:t>
            </w:r>
          </w:p>
        </w:tc>
      </w:tr>
      <w:tr w:rsidR="008400BF" w:rsidRPr="009D2BB8" w14:paraId="4D47F975" w14:textId="77777777" w:rsidTr="008400BF">
        <w:trPr>
          <w:trHeight w:val="181"/>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FFDA92" w14:textId="75470192" w:rsidR="008400BF" w:rsidRPr="009D2BB8" w:rsidRDefault="008400BF" w:rsidP="008400BF">
            <w:pPr>
              <w:overflowPunct w:val="0"/>
              <w:autoSpaceDE w:val="0"/>
              <w:autoSpaceDN w:val="0"/>
              <w:adjustRightInd w:val="0"/>
              <w:textAlignment w:val="baseline"/>
              <w:rPr>
                <w:rFonts w:eastAsia="Times New Roman" w:cs="Arial"/>
                <w:color w:val="000000"/>
                <w:szCs w:val="20"/>
                <w:lang w:eastAsia="en-GB"/>
              </w:rPr>
            </w:pPr>
            <w:r>
              <w:rPr>
                <w:rFonts w:eastAsia="Times New Roman" w:cs="Arial"/>
                <w:color w:val="000000"/>
                <w:szCs w:val="20"/>
                <w:lang w:eastAsia="en-GB"/>
              </w:rPr>
              <w:lastRenderedPageBreak/>
              <w:t>18</w:t>
            </w:r>
            <w:r w:rsidRPr="009D2BB8">
              <w:rPr>
                <w:rFonts w:eastAsia="Times New Roman" w:cs="Arial"/>
                <w:color w:val="000000"/>
                <w:szCs w:val="20"/>
                <w:lang w:eastAsia="en-GB"/>
              </w:rPr>
              <w:t xml:space="preserve">. To </w:t>
            </w:r>
            <w:r>
              <w:rPr>
                <w:rFonts w:eastAsia="Times New Roman" w:cs="Arial"/>
                <w:color w:val="000000"/>
                <w:szCs w:val="20"/>
                <w:lang w:eastAsia="en-GB"/>
              </w:rPr>
              <w:t>renew the authority to</w:t>
            </w:r>
            <w:r w:rsidRPr="009D2BB8">
              <w:rPr>
                <w:rFonts w:eastAsia="Times New Roman" w:cs="Arial"/>
                <w:color w:val="000000"/>
                <w:szCs w:val="20"/>
                <w:lang w:eastAsia="en-GB"/>
              </w:rPr>
              <w:t xml:space="preserve"> the Company to purchase its own shares</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D70E469" w14:textId="33866239"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1,812,190,140</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F77407" w14:textId="4572FC26"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99.86%</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2AE8F8" w14:textId="674016AB"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2,599,242</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7381CF5" w14:textId="20B2884C"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0.14%</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EBB9296" w14:textId="653B7B19"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1,814,789,382 </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F34514" w14:textId="7B05872F"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73.90%</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AE0023" w14:textId="7FCC2C8D"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2,305,546 </w:t>
            </w:r>
            <w:r>
              <w:rPr>
                <w:rFonts w:ascii="Tahoma" w:hAnsi="Tahoma" w:cs="Tahoma"/>
                <w:color w:val="000000"/>
                <w:szCs w:val="20"/>
              </w:rPr>
              <w:t xml:space="preserve">        </w:t>
            </w:r>
          </w:p>
        </w:tc>
      </w:tr>
      <w:tr w:rsidR="008400BF" w:rsidRPr="009D2BB8" w14:paraId="2E3028B8" w14:textId="77777777" w:rsidTr="008400BF">
        <w:trPr>
          <w:trHeight w:val="181"/>
        </w:trPr>
        <w:tc>
          <w:tcPr>
            <w:tcW w:w="1473"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5D39E6ED" w14:textId="1EACE487" w:rsidR="008400BF" w:rsidRPr="009D2BB8" w:rsidRDefault="008400BF" w:rsidP="008400BF">
            <w:pPr>
              <w:overflowPunct w:val="0"/>
              <w:autoSpaceDE w:val="0"/>
              <w:autoSpaceDN w:val="0"/>
              <w:adjustRightInd w:val="0"/>
              <w:textAlignment w:val="baseline"/>
              <w:rPr>
                <w:rFonts w:eastAsia="Times New Roman" w:cs="Arial"/>
                <w:color w:val="000000"/>
                <w:szCs w:val="20"/>
                <w:lang w:eastAsia="en-GB"/>
              </w:rPr>
            </w:pPr>
            <w:r>
              <w:rPr>
                <w:rFonts w:eastAsia="Times New Roman" w:cs="Arial"/>
                <w:color w:val="000000"/>
                <w:szCs w:val="20"/>
                <w:lang w:eastAsia="en-GB"/>
              </w:rPr>
              <w:t>19</w:t>
            </w:r>
            <w:r w:rsidRPr="009D2BB8">
              <w:rPr>
                <w:rFonts w:eastAsia="Times New Roman" w:cs="Arial"/>
                <w:color w:val="000000"/>
                <w:szCs w:val="20"/>
                <w:lang w:eastAsia="en-GB"/>
              </w:rPr>
              <w:t xml:space="preserve">. To </w:t>
            </w:r>
            <w:r>
              <w:rPr>
                <w:rFonts w:eastAsia="Times New Roman" w:cs="Arial"/>
                <w:color w:val="000000"/>
                <w:szCs w:val="20"/>
                <w:lang w:eastAsia="en-GB"/>
              </w:rPr>
              <w:t>shorten the notice period for</w:t>
            </w:r>
            <w:r w:rsidRPr="009D2BB8">
              <w:rPr>
                <w:rFonts w:eastAsia="Times New Roman" w:cs="Arial"/>
                <w:color w:val="000000"/>
                <w:szCs w:val="20"/>
                <w:lang w:eastAsia="en-GB"/>
              </w:rPr>
              <w:t xml:space="preserve"> General Meetings (other than </w:t>
            </w:r>
            <w:r>
              <w:rPr>
                <w:rFonts w:eastAsia="Times New Roman" w:cs="Arial"/>
                <w:color w:val="000000"/>
                <w:szCs w:val="20"/>
                <w:lang w:eastAsia="en-GB"/>
              </w:rPr>
              <w:t>Annual General Meetings</w:t>
            </w:r>
            <w:r w:rsidRPr="009D2BB8">
              <w:rPr>
                <w:rFonts w:eastAsia="Times New Roman" w:cs="Arial"/>
                <w:color w:val="000000"/>
                <w:szCs w:val="20"/>
                <w:lang w:eastAsia="en-GB"/>
              </w:rPr>
              <w:t xml:space="preserve">) </w:t>
            </w:r>
            <w:r>
              <w:rPr>
                <w:rFonts w:eastAsia="Times New Roman" w:cs="Arial"/>
                <w:color w:val="000000"/>
                <w:szCs w:val="20"/>
                <w:lang w:eastAsia="en-GB"/>
              </w:rPr>
              <w:t>to</w:t>
            </w:r>
            <w:r w:rsidRPr="009D2BB8">
              <w:rPr>
                <w:rFonts w:eastAsia="Times New Roman" w:cs="Arial"/>
                <w:color w:val="000000"/>
                <w:szCs w:val="20"/>
                <w:lang w:eastAsia="en-GB"/>
              </w:rPr>
              <w:t xml:space="preserve"> 14 clear days' notice</w:t>
            </w:r>
          </w:p>
        </w:tc>
        <w:tc>
          <w:tcPr>
            <w:tcW w:w="149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15D01BE" w14:textId="4F067EEB"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1,707,233,520</w:t>
            </w:r>
          </w:p>
        </w:tc>
        <w:tc>
          <w:tcPr>
            <w:tcW w:w="9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818A23A" w14:textId="473FEF1D"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94.09%</w:t>
            </w:r>
          </w:p>
        </w:tc>
        <w:tc>
          <w:tcPr>
            <w:tcW w:w="132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4145A7F" w14:textId="7AC4FB08"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107,229,423</w:t>
            </w:r>
          </w:p>
        </w:tc>
        <w:tc>
          <w:tcPr>
            <w:tcW w:w="9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BE0824B" w14:textId="71DF5764"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5.91%</w:t>
            </w:r>
          </w:p>
        </w:tc>
        <w:tc>
          <w:tcPr>
            <w:tcW w:w="149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EF34E04" w14:textId="241AC7AF"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1,814,462,943 </w:t>
            </w:r>
          </w:p>
        </w:tc>
        <w:tc>
          <w:tcPr>
            <w:tcW w:w="111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704AFF7" w14:textId="4F361A91"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szCs w:val="20"/>
              </w:rPr>
              <w:t>73.88%</w:t>
            </w:r>
          </w:p>
        </w:tc>
        <w:tc>
          <w:tcPr>
            <w:tcW w:w="127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9DF7FA2" w14:textId="052E889C" w:rsidR="008400BF" w:rsidRPr="009D2BB8" w:rsidRDefault="008400BF" w:rsidP="008400BF">
            <w:pPr>
              <w:overflowPunct w:val="0"/>
              <w:autoSpaceDE w:val="0"/>
              <w:autoSpaceDN w:val="0"/>
              <w:adjustRightInd w:val="0"/>
              <w:jc w:val="center"/>
              <w:textAlignment w:val="baseline"/>
              <w:rPr>
                <w:rFonts w:eastAsia="Times New Roman" w:cs="Arial"/>
                <w:color w:val="000000"/>
                <w:szCs w:val="20"/>
                <w:lang w:eastAsia="en-GB"/>
              </w:rPr>
            </w:pPr>
            <w:r>
              <w:rPr>
                <w:rFonts w:ascii="Tahoma" w:hAnsi="Tahoma" w:cs="Tahoma"/>
                <w:color w:val="000000"/>
                <w:szCs w:val="20"/>
              </w:rPr>
              <w:t xml:space="preserve">2,631,807 </w:t>
            </w:r>
            <w:r>
              <w:rPr>
                <w:rFonts w:ascii="Tahoma" w:hAnsi="Tahoma" w:cs="Tahoma"/>
                <w:color w:val="000000"/>
                <w:szCs w:val="20"/>
              </w:rPr>
              <w:t xml:space="preserve">        </w:t>
            </w:r>
          </w:p>
        </w:tc>
      </w:tr>
    </w:tbl>
    <w:p w14:paraId="0896DD89" w14:textId="77777777" w:rsidR="0026049F" w:rsidRPr="009D2BB8" w:rsidRDefault="0026049F" w:rsidP="0026049F">
      <w:pPr>
        <w:shd w:val="clear" w:color="auto" w:fill="FFFFFF"/>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eastAsia="en-GB"/>
        </w:rPr>
        <w:t> </w:t>
      </w:r>
    </w:p>
    <w:p w14:paraId="55E9524A" w14:textId="62EDA33D" w:rsidR="00423BC6" w:rsidRPr="00423BC6" w:rsidRDefault="00423BC6" w:rsidP="00423BC6">
      <w:pPr>
        <w:overflowPunct w:val="0"/>
        <w:autoSpaceDE w:val="0"/>
        <w:autoSpaceDN w:val="0"/>
        <w:adjustRightInd w:val="0"/>
        <w:textAlignment w:val="baseline"/>
        <w:rPr>
          <w:rFonts w:eastAsia="Times New Roman" w:cs="Arial"/>
          <w:color w:val="000000"/>
          <w:szCs w:val="20"/>
          <w:lang w:eastAsia="en-GB"/>
        </w:rPr>
      </w:pPr>
      <w:r w:rsidRPr="00423BC6">
        <w:rPr>
          <w:rFonts w:eastAsia="Times New Roman" w:cs="Arial"/>
          <w:b/>
          <w:bCs/>
          <w:color w:val="000000"/>
          <w:szCs w:val="20"/>
          <w:lang w:eastAsia="en-GB"/>
        </w:rPr>
        <w:t>Resolution 2: 202</w:t>
      </w:r>
      <w:r>
        <w:rPr>
          <w:rFonts w:eastAsia="Times New Roman" w:cs="Arial"/>
          <w:b/>
          <w:bCs/>
          <w:color w:val="000000"/>
          <w:szCs w:val="20"/>
          <w:lang w:eastAsia="en-GB"/>
        </w:rPr>
        <w:t>4</w:t>
      </w:r>
      <w:r w:rsidRPr="00423BC6">
        <w:rPr>
          <w:rFonts w:eastAsia="Times New Roman" w:cs="Arial"/>
          <w:b/>
          <w:bCs/>
          <w:color w:val="000000"/>
          <w:szCs w:val="20"/>
          <w:lang w:eastAsia="en-GB"/>
        </w:rPr>
        <w:t xml:space="preserve"> Directors' Remuneration Report</w:t>
      </w:r>
    </w:p>
    <w:p w14:paraId="1EBD7736" w14:textId="7306D791" w:rsidR="0026049F" w:rsidRPr="009D2BB8" w:rsidRDefault="0026049F" w:rsidP="0026049F">
      <w:pPr>
        <w:overflowPunct w:val="0"/>
        <w:autoSpaceDE w:val="0"/>
        <w:autoSpaceDN w:val="0"/>
        <w:adjustRightInd w:val="0"/>
        <w:textAlignment w:val="baseline"/>
        <w:rPr>
          <w:rFonts w:eastAsia="Times New Roman" w:cs="Arial"/>
          <w:szCs w:val="20"/>
          <w:lang w:eastAsia="en-GB"/>
        </w:rPr>
      </w:pPr>
    </w:p>
    <w:p w14:paraId="50D9A023" w14:textId="6972D9F7" w:rsidR="00AC0BDE" w:rsidRPr="00AC0BDE" w:rsidRDefault="00AC0BDE" w:rsidP="00AC0BDE">
      <w:pPr>
        <w:shd w:val="clear" w:color="auto" w:fill="FFFFFF"/>
        <w:overflowPunct w:val="0"/>
        <w:autoSpaceDE w:val="0"/>
        <w:autoSpaceDN w:val="0"/>
        <w:adjustRightInd w:val="0"/>
        <w:jc w:val="both"/>
        <w:textAlignment w:val="baseline"/>
        <w:rPr>
          <w:rFonts w:eastAsia="Times New Roman" w:cs="Arial"/>
          <w:color w:val="000000"/>
          <w:szCs w:val="20"/>
          <w:lang w:eastAsia="en-GB"/>
        </w:rPr>
      </w:pPr>
      <w:r w:rsidRPr="00AC0BDE">
        <w:rPr>
          <w:rFonts w:eastAsia="Times New Roman" w:cs="Arial"/>
          <w:color w:val="000000"/>
          <w:szCs w:val="20"/>
          <w:lang w:eastAsia="en-GB"/>
        </w:rPr>
        <w:t xml:space="preserve">While the Board is pleased that all resolutions were supported by a significant majority of shareholders, Resolution 2 was approved with a </w:t>
      </w:r>
      <w:r w:rsidR="008400BF">
        <w:rPr>
          <w:rFonts w:eastAsia="Times New Roman" w:cs="Arial"/>
          <w:color w:val="000000"/>
          <w:szCs w:val="20"/>
          <w:lang w:eastAsia="en-GB"/>
        </w:rPr>
        <w:t>72.29</w:t>
      </w:r>
      <w:r w:rsidR="0002143E">
        <w:rPr>
          <w:rFonts w:eastAsia="Times New Roman" w:cs="Arial"/>
          <w:color w:val="000000"/>
          <w:szCs w:val="20"/>
          <w:lang w:eastAsia="en-GB"/>
        </w:rPr>
        <w:t xml:space="preserve">% </w:t>
      </w:r>
      <w:r w:rsidRPr="00AC0BDE">
        <w:rPr>
          <w:rFonts w:eastAsia="Times New Roman" w:cs="Arial"/>
          <w:color w:val="000000"/>
          <w:szCs w:val="20"/>
          <w:lang w:eastAsia="en-GB"/>
        </w:rPr>
        <w:t>majority. </w:t>
      </w:r>
    </w:p>
    <w:p w14:paraId="47E13F4C" w14:textId="77777777" w:rsidR="00AC0BDE" w:rsidRPr="00AC0BDE" w:rsidRDefault="00AC0BDE" w:rsidP="00AC0BDE">
      <w:pPr>
        <w:shd w:val="clear" w:color="auto" w:fill="FFFFFF"/>
        <w:overflowPunct w:val="0"/>
        <w:autoSpaceDE w:val="0"/>
        <w:autoSpaceDN w:val="0"/>
        <w:adjustRightInd w:val="0"/>
        <w:jc w:val="both"/>
        <w:textAlignment w:val="baseline"/>
        <w:rPr>
          <w:rFonts w:eastAsia="Times New Roman" w:cs="Arial"/>
          <w:color w:val="000000"/>
          <w:szCs w:val="20"/>
          <w:lang w:eastAsia="en-GB"/>
        </w:rPr>
      </w:pPr>
      <w:r w:rsidRPr="00AC0BDE">
        <w:rPr>
          <w:rFonts w:eastAsia="Times New Roman" w:cs="Arial"/>
          <w:color w:val="000000"/>
          <w:szCs w:val="20"/>
          <w:lang w:eastAsia="en-GB"/>
        </w:rPr>
        <w:t> </w:t>
      </w:r>
    </w:p>
    <w:p w14:paraId="2746259F" w14:textId="6FF8D9A3" w:rsidR="00AC0BDE" w:rsidRPr="00AC0BDE" w:rsidRDefault="00AC0BDE" w:rsidP="00AC0BDE">
      <w:pPr>
        <w:shd w:val="clear" w:color="auto" w:fill="FFFFFF"/>
        <w:overflowPunct w:val="0"/>
        <w:autoSpaceDE w:val="0"/>
        <w:autoSpaceDN w:val="0"/>
        <w:adjustRightInd w:val="0"/>
        <w:jc w:val="both"/>
        <w:textAlignment w:val="baseline"/>
        <w:rPr>
          <w:rFonts w:eastAsia="Times New Roman" w:cs="Arial"/>
          <w:color w:val="000000"/>
          <w:szCs w:val="20"/>
          <w:lang w:eastAsia="en-GB"/>
        </w:rPr>
      </w:pPr>
      <w:r w:rsidRPr="00AC0BDE">
        <w:rPr>
          <w:rFonts w:eastAsia="Times New Roman" w:cs="Arial"/>
          <w:color w:val="000000"/>
          <w:szCs w:val="20"/>
          <w:lang w:eastAsia="en-GB"/>
        </w:rPr>
        <w:t xml:space="preserve">The Board has actively engaged with shareholders over the last year in respect of a range of governance matters. That dialogue has helped the Board to build a more detailed understanding of shareholder views, and in turn, for shareholders to gather additional context to support understanding of the Board’s decisions. In the months ahead, we will continue to </w:t>
      </w:r>
      <w:r w:rsidR="00903F9E" w:rsidRPr="00903F9E">
        <w:rPr>
          <w:rFonts w:eastAsia="Times New Roman" w:cs="Arial"/>
          <w:color w:val="000000"/>
          <w:szCs w:val="20"/>
          <w:lang w:eastAsia="en-GB"/>
        </w:rPr>
        <w:t>engage</w:t>
      </w:r>
      <w:r w:rsidR="00903F9E">
        <w:rPr>
          <w:rFonts w:eastAsia="Times New Roman" w:cs="Arial"/>
          <w:color w:val="000000"/>
          <w:szCs w:val="20"/>
          <w:lang w:eastAsia="en-GB"/>
        </w:rPr>
        <w:t xml:space="preserve"> </w:t>
      </w:r>
      <w:r w:rsidR="00903F9E" w:rsidRPr="00903F9E">
        <w:rPr>
          <w:rFonts w:eastAsia="Times New Roman" w:cs="Arial"/>
          <w:color w:val="000000"/>
          <w:szCs w:val="20"/>
          <w:lang w:eastAsia="en-GB"/>
        </w:rPr>
        <w:t xml:space="preserve">and in line with the UK Corporate Governance Code, Unilever will publish a further statement detailing the outcome of those engagements, including any actions taken as a result, within six months of today’s </w:t>
      </w:r>
      <w:r w:rsidRPr="00AC0BDE">
        <w:rPr>
          <w:rFonts w:eastAsia="Times New Roman" w:cs="Arial"/>
          <w:color w:val="000000"/>
          <w:szCs w:val="20"/>
          <w:lang w:eastAsia="en-GB"/>
        </w:rPr>
        <w:t>A</w:t>
      </w:r>
      <w:r w:rsidR="00C55F3F">
        <w:rPr>
          <w:rFonts w:eastAsia="Times New Roman" w:cs="Arial"/>
          <w:color w:val="000000"/>
          <w:szCs w:val="20"/>
          <w:lang w:eastAsia="en-GB"/>
        </w:rPr>
        <w:t xml:space="preserve">nnual </w:t>
      </w:r>
      <w:r w:rsidRPr="00AC0BDE">
        <w:rPr>
          <w:rFonts w:eastAsia="Times New Roman" w:cs="Arial"/>
          <w:color w:val="000000"/>
          <w:szCs w:val="20"/>
          <w:lang w:eastAsia="en-GB"/>
        </w:rPr>
        <w:t>G</w:t>
      </w:r>
      <w:r w:rsidR="00C55F3F">
        <w:rPr>
          <w:rFonts w:eastAsia="Times New Roman" w:cs="Arial"/>
          <w:color w:val="000000"/>
          <w:szCs w:val="20"/>
          <w:lang w:eastAsia="en-GB"/>
        </w:rPr>
        <w:t xml:space="preserve">eneral </w:t>
      </w:r>
      <w:r w:rsidRPr="00AC0BDE">
        <w:rPr>
          <w:rFonts w:eastAsia="Times New Roman" w:cs="Arial"/>
          <w:color w:val="000000"/>
          <w:szCs w:val="20"/>
          <w:lang w:eastAsia="en-GB"/>
        </w:rPr>
        <w:t>M</w:t>
      </w:r>
      <w:r w:rsidR="00C55F3F">
        <w:rPr>
          <w:rFonts w:eastAsia="Times New Roman" w:cs="Arial"/>
          <w:color w:val="000000"/>
          <w:szCs w:val="20"/>
          <w:lang w:eastAsia="en-GB"/>
        </w:rPr>
        <w:t>eeting</w:t>
      </w:r>
      <w:r w:rsidRPr="00AC0BDE">
        <w:rPr>
          <w:rFonts w:eastAsia="Times New Roman" w:cs="Arial"/>
          <w:color w:val="000000"/>
          <w:szCs w:val="20"/>
          <w:lang w:eastAsia="en-GB"/>
        </w:rPr>
        <w:t>.</w:t>
      </w:r>
    </w:p>
    <w:p w14:paraId="739E10A8" w14:textId="77777777" w:rsidR="00423BC6" w:rsidRPr="009D2BB8" w:rsidRDefault="00423BC6" w:rsidP="0026049F">
      <w:pPr>
        <w:shd w:val="clear" w:color="auto" w:fill="FFFFFF"/>
        <w:overflowPunct w:val="0"/>
        <w:autoSpaceDE w:val="0"/>
        <w:autoSpaceDN w:val="0"/>
        <w:adjustRightInd w:val="0"/>
        <w:textAlignment w:val="baseline"/>
        <w:rPr>
          <w:rFonts w:eastAsia="Times New Roman" w:cs="Arial"/>
          <w:color w:val="000000"/>
          <w:szCs w:val="20"/>
          <w:lang w:eastAsia="en-GB"/>
        </w:rPr>
      </w:pPr>
    </w:p>
    <w:p w14:paraId="5568EC5D" w14:textId="77777777" w:rsidR="0026049F" w:rsidRPr="009D2BB8" w:rsidRDefault="0026049F" w:rsidP="0026049F">
      <w:pPr>
        <w:shd w:val="clear" w:color="auto" w:fill="FFFFFF"/>
        <w:overflowPunct w:val="0"/>
        <w:autoSpaceDE w:val="0"/>
        <w:autoSpaceDN w:val="0"/>
        <w:adjustRightInd w:val="0"/>
        <w:ind w:left="142" w:hanging="142"/>
        <w:textAlignment w:val="baseline"/>
        <w:rPr>
          <w:rFonts w:eastAsia="Times New Roman" w:cs="Arial"/>
          <w:color w:val="000000"/>
          <w:szCs w:val="20"/>
          <w:lang w:eastAsia="en-GB"/>
        </w:rPr>
      </w:pPr>
      <w:r w:rsidRPr="0017587F">
        <w:rPr>
          <w:rFonts w:eastAsia="Times New Roman" w:cs="Arial"/>
          <w:b/>
          <w:bCs/>
          <w:color w:val="000000"/>
          <w:szCs w:val="20"/>
          <w:lang w:eastAsia="en-GB"/>
        </w:rPr>
        <w:t>NOTES</w:t>
      </w:r>
      <w:r w:rsidRPr="009D2BB8">
        <w:rPr>
          <w:rFonts w:eastAsia="Times New Roman" w:cs="Arial"/>
          <w:color w:val="000000"/>
          <w:szCs w:val="20"/>
          <w:lang w:eastAsia="en-GB"/>
        </w:rPr>
        <w:t>:</w:t>
      </w:r>
    </w:p>
    <w:p w14:paraId="3540858D" w14:textId="55A2D6FD" w:rsidR="0026049F" w:rsidRPr="009D2BB8" w:rsidRDefault="0026049F" w:rsidP="0026049F">
      <w:pPr>
        <w:shd w:val="clear" w:color="auto" w:fill="FFFFFF"/>
        <w:overflowPunct w:val="0"/>
        <w:autoSpaceDE w:val="0"/>
        <w:autoSpaceDN w:val="0"/>
        <w:adjustRightInd w:val="0"/>
        <w:ind w:left="142" w:hanging="142"/>
        <w:jc w:val="both"/>
        <w:textAlignment w:val="baseline"/>
        <w:rPr>
          <w:rFonts w:eastAsia="Times New Roman" w:cs="Arial"/>
          <w:color w:val="000000"/>
          <w:szCs w:val="20"/>
          <w:lang w:eastAsia="en-GB"/>
        </w:rPr>
      </w:pPr>
      <w:r w:rsidRPr="009D2BB8">
        <w:rPr>
          <w:rFonts w:eastAsia="Times New Roman" w:cs="Arial"/>
          <w:color w:val="000000"/>
          <w:szCs w:val="20"/>
          <w:lang w:eastAsia="en-GB"/>
        </w:rPr>
        <w:t>- The 'For' vote includes votes given at the Chair's discretion and details of proxy votes cast are included in the table above.</w:t>
      </w:r>
    </w:p>
    <w:p w14:paraId="07503CEE" w14:textId="44D19E02" w:rsidR="0026049F" w:rsidRPr="009D2BB8" w:rsidRDefault="0026049F" w:rsidP="0026049F">
      <w:pPr>
        <w:shd w:val="clear" w:color="auto" w:fill="FFFFFF"/>
        <w:overflowPunct w:val="0"/>
        <w:autoSpaceDE w:val="0"/>
        <w:autoSpaceDN w:val="0"/>
        <w:adjustRightInd w:val="0"/>
        <w:ind w:left="142" w:hanging="142"/>
        <w:jc w:val="both"/>
        <w:textAlignment w:val="baseline"/>
        <w:rPr>
          <w:rFonts w:eastAsia="Times New Roman" w:cs="Arial"/>
          <w:color w:val="000000"/>
          <w:szCs w:val="20"/>
          <w:lang w:eastAsia="en-GB"/>
        </w:rPr>
      </w:pPr>
      <w:r w:rsidRPr="00B00F1E">
        <w:rPr>
          <w:rFonts w:eastAsia="Times New Roman" w:cs="Arial"/>
          <w:color w:val="000000"/>
          <w:szCs w:val="20"/>
          <w:lang w:eastAsia="en-GB"/>
        </w:rPr>
        <w:t>- As at close of business on 29 April 202</w:t>
      </w:r>
      <w:r w:rsidRPr="00B00F1E">
        <w:rPr>
          <w:rFonts w:eastAsia="Times New Roman" w:cs="Times New Roman"/>
          <w:color w:val="000000"/>
          <w:szCs w:val="20"/>
          <w:lang w:eastAsia="en-GB"/>
        </w:rPr>
        <w:t>5</w:t>
      </w:r>
      <w:r w:rsidRPr="00B00F1E">
        <w:rPr>
          <w:rFonts w:eastAsia="Times New Roman" w:cs="Arial"/>
          <w:color w:val="000000"/>
          <w:szCs w:val="20"/>
          <w:lang w:eastAsia="en-GB"/>
        </w:rPr>
        <w:t xml:space="preserve"> the total number of issued ordinary shares of Unilever PLC was </w:t>
      </w:r>
      <w:r w:rsidR="005F2443" w:rsidRPr="00B00F1E">
        <w:rPr>
          <w:rFonts w:eastAsia="Times New Roman" w:cs="Arial"/>
          <w:color w:val="000000"/>
          <w:szCs w:val="20"/>
          <w:lang w:eastAsia="en-GB"/>
        </w:rPr>
        <w:t>2,524,997,338</w:t>
      </w:r>
      <w:r w:rsidRPr="00B00F1E">
        <w:rPr>
          <w:rFonts w:eastAsia="Times New Roman" w:cs="Arial"/>
          <w:color w:val="000000"/>
          <w:szCs w:val="20"/>
          <w:lang w:eastAsia="en-GB"/>
        </w:rPr>
        <w:t xml:space="preserve">. Of those ordinary shares, </w:t>
      </w:r>
      <w:r w:rsidR="005F2443" w:rsidRPr="00B00F1E">
        <w:rPr>
          <w:rFonts w:eastAsia="Times New Roman" w:cs="Arial"/>
          <w:color w:val="000000"/>
          <w:szCs w:val="20"/>
          <w:lang w:eastAsia="en-GB"/>
        </w:rPr>
        <w:t>67,246,885</w:t>
      </w:r>
      <w:r w:rsidRPr="00B00F1E">
        <w:rPr>
          <w:rFonts w:eastAsia="Times New Roman" w:cs="Arial"/>
          <w:color w:val="000000"/>
          <w:szCs w:val="20"/>
          <w:lang w:eastAsia="en-GB"/>
        </w:rPr>
        <w:t xml:space="preserve"> were held as treasury shares and </w:t>
      </w:r>
      <w:r w:rsidR="005F2443" w:rsidRPr="00B00F1E">
        <w:rPr>
          <w:rFonts w:eastAsia="Times New Roman" w:cs="Arial"/>
          <w:color w:val="000000"/>
          <w:szCs w:val="20"/>
          <w:lang w:eastAsia="en-GB"/>
        </w:rPr>
        <w:t>1,884,648</w:t>
      </w:r>
      <w:r w:rsidRPr="00B00F1E">
        <w:rPr>
          <w:rFonts w:eastAsia="Times New Roman" w:cs="Arial"/>
          <w:color w:val="000000"/>
          <w:szCs w:val="20"/>
          <w:lang w:eastAsia="en-GB"/>
        </w:rPr>
        <w:t xml:space="preserve"> ordinary shares (including ordinary shares represented by Unilever PLC ADSs) were held by or on behalf of companies in the Unilever Group (the "</w:t>
      </w:r>
      <w:r w:rsidRPr="00B00F1E">
        <w:rPr>
          <w:rFonts w:eastAsia="Times New Roman" w:cs="Arial"/>
          <w:b/>
          <w:bCs/>
          <w:color w:val="000000"/>
          <w:szCs w:val="20"/>
          <w:lang w:eastAsia="en-GB"/>
        </w:rPr>
        <w:t>Unilever Group Shares</w:t>
      </w:r>
      <w:r w:rsidRPr="00B00F1E">
        <w:rPr>
          <w:rFonts w:eastAsia="Times New Roman" w:cs="Arial"/>
          <w:color w:val="000000"/>
          <w:szCs w:val="20"/>
          <w:lang w:eastAsia="en-GB"/>
        </w:rPr>
        <w:t xml:space="preserve">"). The voting rights attaching to the Unilever Group Shares are not exercisable. Therefore, as at </w:t>
      </w:r>
      <w:r w:rsidRPr="00B00F1E">
        <w:rPr>
          <w:rFonts w:eastAsia="Times New Roman" w:cs="Arial"/>
          <w:color w:val="000000"/>
          <w:szCs w:val="20"/>
          <w:lang w:val="en-US" w:eastAsia="en-GB"/>
        </w:rPr>
        <w:t>11</w:t>
      </w:r>
      <w:r w:rsidRPr="00B00F1E">
        <w:rPr>
          <w:rFonts w:eastAsia="Times New Roman" w:cs="Arial"/>
          <w:color w:val="000000"/>
          <w:szCs w:val="20"/>
          <w:lang w:eastAsia="en-GB"/>
        </w:rPr>
        <w:t>.30</w:t>
      </w:r>
      <w:r w:rsidRPr="00B00F1E">
        <w:rPr>
          <w:rFonts w:eastAsia="Times New Roman" w:cs="Arial"/>
          <w:color w:val="000000"/>
          <w:szCs w:val="20"/>
          <w:lang w:val="en-US" w:eastAsia="en-GB"/>
        </w:rPr>
        <w:t>a</w:t>
      </w:r>
      <w:r w:rsidRPr="00B00F1E">
        <w:rPr>
          <w:rFonts w:eastAsia="Times New Roman" w:cs="Arial"/>
          <w:color w:val="000000"/>
          <w:szCs w:val="20"/>
          <w:lang w:eastAsia="en-GB"/>
        </w:rPr>
        <w:t xml:space="preserve">m on </w:t>
      </w:r>
      <w:r w:rsidRPr="00B00F1E">
        <w:rPr>
          <w:rFonts w:eastAsia="Times New Roman" w:cs="Arial"/>
          <w:color w:val="000000"/>
          <w:szCs w:val="20"/>
          <w:lang w:val="en-US" w:eastAsia="en-GB"/>
        </w:rPr>
        <w:t>30</w:t>
      </w:r>
      <w:r w:rsidRPr="00B00F1E">
        <w:rPr>
          <w:rFonts w:eastAsia="Times New Roman" w:cs="Arial"/>
          <w:color w:val="000000"/>
          <w:szCs w:val="20"/>
          <w:lang w:eastAsia="en-GB"/>
        </w:rPr>
        <w:t xml:space="preserve"> April 202</w:t>
      </w:r>
      <w:r w:rsidRPr="00B00F1E">
        <w:rPr>
          <w:rFonts w:eastAsia="Times New Roman" w:cs="Arial"/>
          <w:color w:val="000000"/>
          <w:szCs w:val="20"/>
          <w:lang w:val="en-US" w:eastAsia="en-GB"/>
        </w:rPr>
        <w:t>5</w:t>
      </w:r>
      <w:r w:rsidRPr="00B00F1E">
        <w:rPr>
          <w:rFonts w:eastAsia="Times New Roman" w:cs="Arial"/>
          <w:color w:val="000000"/>
          <w:szCs w:val="20"/>
          <w:lang w:eastAsia="en-GB"/>
        </w:rPr>
        <w:t xml:space="preserve">, the total number of Unilever PLC ordinary shares with exercisable voting rights was </w:t>
      </w:r>
      <w:r w:rsidR="005F2443" w:rsidRPr="00B00F1E">
        <w:rPr>
          <w:rFonts w:eastAsia="Times New Roman" w:cs="Arial"/>
          <w:color w:val="000000"/>
          <w:szCs w:val="20"/>
          <w:lang w:eastAsia="en-GB"/>
        </w:rPr>
        <w:t>2,455,865,805</w:t>
      </w:r>
      <w:r w:rsidRPr="00B00F1E">
        <w:rPr>
          <w:rFonts w:eastAsia="Times New Roman" w:cs="Arial"/>
          <w:color w:val="000000"/>
          <w:szCs w:val="20"/>
          <w:lang w:eastAsia="en-GB"/>
        </w:rPr>
        <w:t>.</w:t>
      </w:r>
    </w:p>
    <w:p w14:paraId="2C3E2D9C" w14:textId="77777777" w:rsidR="0026049F" w:rsidRPr="009D2BB8" w:rsidRDefault="0026049F" w:rsidP="0026049F">
      <w:pPr>
        <w:shd w:val="clear" w:color="auto" w:fill="FFFFFF"/>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eastAsia="en-GB"/>
        </w:rPr>
        <w:t> </w:t>
      </w:r>
    </w:p>
    <w:p w14:paraId="68688785" w14:textId="77777777" w:rsidR="0026049F" w:rsidRPr="009D2BB8" w:rsidRDefault="0026049F" w:rsidP="0026049F">
      <w:pPr>
        <w:shd w:val="clear" w:color="auto" w:fill="FFFFFF"/>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eastAsia="en-GB"/>
        </w:rPr>
        <w:t>A 'Vote withheld' is not a vote in law and will not be counted in the calculation of the proportion of the votes 'for' and 'against' a resolution.</w:t>
      </w:r>
    </w:p>
    <w:p w14:paraId="0D23EEF5" w14:textId="77777777" w:rsidR="0026049F" w:rsidRPr="009D2BB8" w:rsidRDefault="0026049F" w:rsidP="0026049F">
      <w:pPr>
        <w:shd w:val="clear" w:color="auto" w:fill="FFFFFF"/>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eastAsia="en-GB"/>
        </w:rPr>
        <w:t> </w:t>
      </w:r>
    </w:p>
    <w:p w14:paraId="3692E739" w14:textId="27BA61CE" w:rsidR="0026049F" w:rsidRPr="009D2BB8" w:rsidRDefault="0026049F" w:rsidP="0026049F">
      <w:pPr>
        <w:shd w:val="clear" w:color="auto" w:fill="FFFFFF"/>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eastAsia="en-GB"/>
        </w:rPr>
        <w:t xml:space="preserve">In accordance with </w:t>
      </w:r>
      <w:r>
        <w:rPr>
          <w:rFonts w:eastAsia="Times New Roman" w:cs="Arial"/>
          <w:color w:val="000000"/>
          <w:szCs w:val="20"/>
          <w:lang w:eastAsia="en-GB"/>
        </w:rPr>
        <w:t xml:space="preserve">UK </w:t>
      </w:r>
      <w:r w:rsidRPr="009D2BB8">
        <w:rPr>
          <w:rFonts w:eastAsia="Times New Roman" w:cs="Arial"/>
          <w:color w:val="000000"/>
          <w:szCs w:val="20"/>
          <w:lang w:eastAsia="en-GB"/>
        </w:rPr>
        <w:t>Listing Rule 6.</w:t>
      </w:r>
      <w:r>
        <w:rPr>
          <w:rFonts w:eastAsia="Times New Roman" w:cs="Arial"/>
          <w:color w:val="000000"/>
          <w:szCs w:val="20"/>
          <w:lang w:eastAsia="en-GB"/>
        </w:rPr>
        <w:t>4.</w:t>
      </w:r>
      <w:r w:rsidRPr="009D2BB8">
        <w:rPr>
          <w:rFonts w:eastAsia="Times New Roman" w:cs="Arial"/>
          <w:color w:val="000000"/>
          <w:szCs w:val="20"/>
          <w:lang w:eastAsia="en-GB"/>
        </w:rPr>
        <w:t>2 copies of all the resolutions passed, other than ordinary business, will be submitted to and available for inspection at the National Storage Mechanism and will shortly be available for inspection at: </w:t>
      </w:r>
      <w:hyperlink r:id="rId7" w:anchor="/nsm/nationalstoragemechanism" w:history="1">
        <w:r w:rsidRPr="009D2BB8">
          <w:rPr>
            <w:rFonts w:eastAsia="Times New Roman" w:cs="Arial"/>
            <w:color w:val="0000FF"/>
            <w:szCs w:val="20"/>
            <w:u w:val="single"/>
            <w:lang w:eastAsia="en-GB"/>
          </w:rPr>
          <w:t>https://data.fca.org.uk/#/nsm/nationalstoragemechanism</w:t>
        </w:r>
      </w:hyperlink>
      <w:r w:rsidRPr="009D2BB8">
        <w:rPr>
          <w:rFonts w:eastAsia="Times New Roman" w:cs="Arial"/>
          <w:color w:val="000000"/>
          <w:szCs w:val="20"/>
          <w:lang w:eastAsia="en-GB"/>
        </w:rPr>
        <w:t xml:space="preserve">.  A copy of the resolutions can also be found in the Chair's Letter and Notice of Meeting which is available on our </w:t>
      </w:r>
      <w:r>
        <w:rPr>
          <w:rFonts w:eastAsia="Times New Roman" w:cs="Arial"/>
          <w:color w:val="000000"/>
          <w:szCs w:val="20"/>
          <w:lang w:eastAsia="en-GB"/>
        </w:rPr>
        <w:t>w</w:t>
      </w:r>
      <w:r w:rsidRPr="009D2BB8">
        <w:rPr>
          <w:rFonts w:eastAsia="Times New Roman" w:cs="Arial"/>
          <w:color w:val="000000"/>
          <w:szCs w:val="20"/>
          <w:lang w:eastAsia="en-GB"/>
        </w:rPr>
        <w:t>ebsite: </w:t>
      </w:r>
      <w:hyperlink r:id="rId8" w:history="1">
        <w:r w:rsidRPr="009D2BB8">
          <w:rPr>
            <w:rFonts w:eastAsia="Times New Roman" w:cs="Arial"/>
            <w:color w:val="0000FF"/>
            <w:szCs w:val="20"/>
            <w:u w:val="single"/>
            <w:lang w:eastAsia="en-GB"/>
          </w:rPr>
          <w:t>www.unilever.com/AGM</w:t>
        </w:r>
      </w:hyperlink>
      <w:r w:rsidR="00C94D28">
        <w:t>.</w:t>
      </w:r>
    </w:p>
    <w:p w14:paraId="3CBD54B7" w14:textId="77777777" w:rsidR="0026049F" w:rsidRPr="009D2BB8" w:rsidRDefault="0026049F" w:rsidP="0026049F">
      <w:pPr>
        <w:shd w:val="clear" w:color="auto" w:fill="FFFFFF"/>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eastAsia="en-GB"/>
        </w:rPr>
        <w:t>  </w:t>
      </w:r>
    </w:p>
    <w:p w14:paraId="4667D69C" w14:textId="77777777" w:rsidR="0026049F" w:rsidRPr="009D2BB8" w:rsidRDefault="0026049F" w:rsidP="0026049F">
      <w:pPr>
        <w:shd w:val="clear" w:color="auto" w:fill="FFFFFF"/>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eastAsia="en-GB"/>
        </w:rPr>
        <w:t> </w:t>
      </w:r>
    </w:p>
    <w:p w14:paraId="18A0E841" w14:textId="77777777" w:rsidR="0026049F" w:rsidRPr="009D2BB8" w:rsidRDefault="0026049F" w:rsidP="0026049F">
      <w:pPr>
        <w:shd w:val="clear" w:color="auto" w:fill="FFFFFF"/>
        <w:overflowPunct w:val="0"/>
        <w:autoSpaceDE w:val="0"/>
        <w:autoSpaceDN w:val="0"/>
        <w:adjustRightInd w:val="0"/>
        <w:textAlignment w:val="baseline"/>
        <w:rPr>
          <w:rFonts w:eastAsia="Times New Roman" w:cs="Arial"/>
          <w:color w:val="000000"/>
          <w:szCs w:val="20"/>
          <w:lang w:val="en-US" w:eastAsia="en-GB"/>
        </w:rPr>
      </w:pPr>
      <w:r>
        <w:rPr>
          <w:rFonts w:eastAsia="Times New Roman" w:cs="Arial"/>
          <w:color w:val="000000"/>
          <w:szCs w:val="20"/>
          <w:lang w:val="en-US" w:eastAsia="en-GB"/>
        </w:rPr>
        <w:t>30 April 2025</w:t>
      </w:r>
    </w:p>
    <w:p w14:paraId="6FFAC753" w14:textId="77777777" w:rsidR="0026049F" w:rsidRPr="009D2BB8" w:rsidRDefault="0026049F" w:rsidP="0026049F">
      <w:pPr>
        <w:shd w:val="clear" w:color="auto" w:fill="FFFFFF"/>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color w:val="000000"/>
          <w:szCs w:val="20"/>
          <w:lang w:eastAsia="en-GB"/>
        </w:rPr>
        <w:t>  </w:t>
      </w:r>
    </w:p>
    <w:p w14:paraId="02BDA076" w14:textId="77777777" w:rsidR="0026049F" w:rsidRPr="009D2BB8" w:rsidRDefault="0026049F" w:rsidP="0026049F">
      <w:pPr>
        <w:shd w:val="clear" w:color="auto" w:fill="FFFFFF"/>
        <w:overflowPunct w:val="0"/>
        <w:autoSpaceDE w:val="0"/>
        <w:autoSpaceDN w:val="0"/>
        <w:adjustRightInd w:val="0"/>
        <w:jc w:val="both"/>
        <w:textAlignment w:val="baseline"/>
        <w:rPr>
          <w:rFonts w:eastAsia="Times New Roman" w:cs="Arial"/>
          <w:color w:val="000000"/>
          <w:szCs w:val="20"/>
          <w:lang w:eastAsia="en-GB"/>
        </w:rPr>
      </w:pPr>
      <w:r w:rsidRPr="009D2BB8">
        <w:rPr>
          <w:rFonts w:eastAsia="Times New Roman" w:cs="Arial"/>
          <w:color w:val="000000"/>
          <w:szCs w:val="20"/>
          <w:lang w:eastAsia="en-GB"/>
        </w:rPr>
        <w:t> </w:t>
      </w:r>
    </w:p>
    <w:p w14:paraId="3FC17229" w14:textId="77777777" w:rsidR="0026049F" w:rsidRPr="009D2BB8" w:rsidRDefault="0026049F" w:rsidP="0026049F">
      <w:pPr>
        <w:shd w:val="clear" w:color="auto" w:fill="FFFFFF"/>
        <w:overflowPunct w:val="0"/>
        <w:autoSpaceDE w:val="0"/>
        <w:autoSpaceDN w:val="0"/>
        <w:adjustRightInd w:val="0"/>
        <w:textAlignment w:val="baseline"/>
        <w:rPr>
          <w:rFonts w:eastAsia="Times New Roman" w:cs="Arial"/>
          <w:color w:val="000000"/>
          <w:szCs w:val="20"/>
          <w:lang w:eastAsia="en-GB"/>
        </w:rPr>
      </w:pPr>
      <w:r w:rsidRPr="009D2BB8">
        <w:rPr>
          <w:rFonts w:eastAsia="Times New Roman" w:cs="Arial"/>
          <w:b/>
          <w:bCs/>
          <w:color w:val="000000"/>
          <w:szCs w:val="20"/>
          <w:lang w:eastAsia="en-GB"/>
        </w:rPr>
        <w:t>Cautionary Statement</w:t>
      </w:r>
      <w:r w:rsidRPr="009D2BB8">
        <w:rPr>
          <w:rFonts w:eastAsia="Times New Roman" w:cs="Arial"/>
          <w:color w:val="000000"/>
          <w:szCs w:val="20"/>
          <w:lang w:eastAsia="en-GB"/>
        </w:rPr>
        <w:t>:</w:t>
      </w:r>
    </w:p>
    <w:p w14:paraId="7B455793" w14:textId="6E2AD85C" w:rsidR="0026049F" w:rsidRPr="00836535" w:rsidRDefault="0026049F" w:rsidP="0026049F">
      <w:pPr>
        <w:jc w:val="both"/>
      </w:pPr>
      <w:bookmarkStart w:id="0" w:name="_Hlk195544368"/>
      <w:r w:rsidRPr="00836535">
        <w:t>This announcement may contain forward-looking statements within the meaning of the securities laws of certain jurisdictions, including ‘forward-looking statements’ within the meaning of the United States Private Securities Litigation Reform Act of 1995. All statements other than statements of historical fact are, or may be deemed to be, forward-looking statements. Words and terminology such as ‘will’, ‘aim’, ‘expects’, ‘anticipates’, ‘intends’, ‘looks’, ‘believes’, ‘vision’,</w:t>
      </w:r>
      <w:r>
        <w:t xml:space="preserve"> ‘ambition’, ‘target’, ‘goal’, ‘plan’, ‘potential’, </w:t>
      </w:r>
      <w:r>
        <w:lastRenderedPageBreak/>
        <w:t>‘work towards’, ‘may’, ‘milestone’, ‘objectives’, ‘outlook’, ‘probably’, ‘project’, ‘risk’,</w:t>
      </w:r>
      <w:r w:rsidRPr="00836535">
        <w:t xml:space="preserve"> ‘continue’, ‘should’, ‘would be’, ‘seeks’, or the negative of these terms and other similar expressions of future performance, results, actions or events, and their negatives, are intended to identify such forward-looking statements. Forward-looking statements </w:t>
      </w:r>
      <w:r>
        <w:t xml:space="preserve">also </w:t>
      </w:r>
      <w:r w:rsidRPr="00836535">
        <w:t xml:space="preserve">include, but are not limited to, </w:t>
      </w:r>
      <w:r>
        <w:t>statements and information regarding Unilever’s emissions reduction and other sustainability-related targets and other climate and sustainability matters (including actions, potential impacts and risks and opportunities associated therewith)</w:t>
      </w:r>
      <w:r w:rsidRPr="00836535">
        <w:t xml:space="preserve">. Forward-looking statements can be made in writing but also may be made verbally by directors, officers and employees of the </w:t>
      </w:r>
      <w:r w:rsidR="004C5ECE">
        <w:t xml:space="preserve">Unilever </w:t>
      </w:r>
      <w:r w:rsidRPr="00836535">
        <w:t xml:space="preserve">Group </w:t>
      </w:r>
      <w:r w:rsidR="004C5ECE">
        <w:t>(the “</w:t>
      </w:r>
      <w:r w:rsidR="004C5ECE" w:rsidRPr="00F215D8">
        <w:rPr>
          <w:b/>
          <w:bCs/>
        </w:rPr>
        <w:t>Group</w:t>
      </w:r>
      <w:r w:rsidR="004C5ECE">
        <w:t xml:space="preserve">”) </w:t>
      </w:r>
      <w:r w:rsidRPr="00836535">
        <w:t>(including during management presentations) in connection with this announcement. These forward-looking statements are based upon current expectations and assumptions regarding anticipated developments and other factors affecting the Group. They are not historical facts, nor are they guarantees of future performance or outcomes. All forward-looking statements contained in this announcement are expressly qualified in their entirety by the cautionary statements contained in this section. Readers should not place undue reliance on forward-looking statements.</w:t>
      </w:r>
    </w:p>
    <w:p w14:paraId="2E3D9A97" w14:textId="77777777" w:rsidR="0026049F" w:rsidRPr="00836535" w:rsidRDefault="0026049F" w:rsidP="0026049F">
      <w:pPr>
        <w:jc w:val="both"/>
      </w:pPr>
      <w:r w:rsidRPr="00836535">
        <w:t>Because these forward-looking statements involve known and unknown risks and uncertainties, a number of which may be beyond the Group’s control, there are important factors that could cause actual results to differ materially from those expressed or implied by these forward-looking statements. Among other risks and uncertainties, the material or principal factors which could cause actual results to differ materially from the forward-looking statements expressed in this announcement are:</w:t>
      </w:r>
      <w:r>
        <w:t xml:space="preserve"> </w:t>
      </w:r>
      <w:r w:rsidRPr="000F68C6">
        <w:t>Unilever’s global brands not meeting consumer preferences; Unilever’s</w:t>
      </w:r>
      <w:r>
        <w:t xml:space="preserve"> </w:t>
      </w:r>
      <w:r w:rsidRPr="000F68C6">
        <w:t>ability to innovate and remain competitive; Unilever’s investment choices in its portfolio</w:t>
      </w:r>
      <w:r>
        <w:t xml:space="preserve"> </w:t>
      </w:r>
      <w:r w:rsidRPr="000F68C6">
        <w:t>management; the effect of climate change on Unilever’s</w:t>
      </w:r>
      <w:r>
        <w:t xml:space="preserve"> </w:t>
      </w:r>
      <w:r w:rsidRPr="000F68C6">
        <w:t>business; Unilever’s ability to find sustainable solutions to its plastic packaging; significant changes or deterioration in customer relationships; the</w:t>
      </w:r>
      <w:r>
        <w:t xml:space="preserve"> </w:t>
      </w:r>
      <w:r w:rsidRPr="000F68C6">
        <w:t>recruitment and retention of talented employees; disruptions in Unilever’s supply chain and distribution; increases or volatility in the cost of raw</w:t>
      </w:r>
      <w:r>
        <w:t xml:space="preserve"> </w:t>
      </w:r>
      <w:r w:rsidRPr="000F68C6">
        <w:t>materials and commodities; the production of safe and high-quality products; secure and reliable IT infrastructure; execution of acquisitions,</w:t>
      </w:r>
      <w:r>
        <w:t xml:space="preserve"> </w:t>
      </w:r>
      <w:r w:rsidRPr="000F68C6">
        <w:t>divestitures and business transformation projects, including the proposed separation of our Ice Cream business; economic, social and political</w:t>
      </w:r>
      <w:r>
        <w:t xml:space="preserve"> </w:t>
      </w:r>
      <w:r w:rsidRPr="000F68C6">
        <w:t>risks and natural disasters; financial risks; failure to meet high and ethical standards; and managing regulatory, tax and legal matters and</w:t>
      </w:r>
      <w:r>
        <w:t xml:space="preserve"> </w:t>
      </w:r>
      <w:r w:rsidRPr="000F68C6">
        <w:t>practices with regard to the interpretation and application thereof and emerging and developing ESG reporting standards including differences</w:t>
      </w:r>
      <w:r>
        <w:t xml:space="preserve"> </w:t>
      </w:r>
      <w:r w:rsidRPr="000F68C6">
        <w:t>in implementation of climate and sustainability policies in the regions where the Group operates.</w:t>
      </w:r>
    </w:p>
    <w:p w14:paraId="0C6053D2" w14:textId="77777777" w:rsidR="0026049F" w:rsidRDefault="0026049F" w:rsidP="0026049F">
      <w:pPr>
        <w:jc w:val="both"/>
      </w:pPr>
      <w:r w:rsidRPr="000F68C6">
        <w:t>The forward-looking statements are based on our beliefs, assumptions and expectations of our future performance, taking into account</w:t>
      </w:r>
      <w:r>
        <w:t xml:space="preserve"> </w:t>
      </w:r>
      <w:r w:rsidRPr="000F68C6">
        <w:t>all information currently available to us. Forward-looking statements are not predictions of future events. These beliefs, assumptions and</w:t>
      </w:r>
      <w:r>
        <w:t xml:space="preserve"> </w:t>
      </w:r>
      <w:r w:rsidRPr="000F68C6">
        <w:t>expectations can change as a result of many possible events or factors, not all of which are known to us. If a change occurs, our business,</w:t>
      </w:r>
      <w:r>
        <w:t xml:space="preserve"> </w:t>
      </w:r>
      <w:r w:rsidRPr="000F68C6">
        <w:t>financial condition, liquidity and results of operations may vary materially from those expressed in our forward-looking statements.</w:t>
      </w:r>
    </w:p>
    <w:p w14:paraId="667C6545" w14:textId="77777777" w:rsidR="0026049F" w:rsidRPr="00836535" w:rsidRDefault="0026049F" w:rsidP="0026049F">
      <w:pPr>
        <w:jc w:val="both"/>
      </w:pPr>
      <w:r w:rsidRPr="00836535">
        <w:t>The forward-looking statements speak only as of the date of this announcement. Except as required by any applicable law or regulation, the Group expressly disclaims any intention, obligation or undertaking to release publicly any updates or revisions to any forward-looking statements contained herein to reflect any change in the Group’s expectations with regard thereto or any change in events, conditions or circumstances on which any such statement is based. New risks and uncertainties arise over time, and it is not possible for us to predict those events or how they may affect us. In addition, we cannot assess the impact of each factor on our business or the extent to which any factor, or combination of factors, may cause actual events, to differ materially from those contained in any forward-looking statements. Further details of potential risks and uncertainties affecting the Group are described in the Group’s filings with the London Stock Exchange, Euronext Amsterdam and the US Securities and Exchange Commission, including in the Annual Report on Form 20-F 202</w:t>
      </w:r>
      <w:r>
        <w:t>4</w:t>
      </w:r>
      <w:r w:rsidRPr="00836535">
        <w:t xml:space="preserve"> and the Unilever Annual Report and Accounts 202</w:t>
      </w:r>
      <w:r>
        <w:t>4</w:t>
      </w:r>
      <w:r w:rsidRPr="00836535">
        <w:t>.</w:t>
      </w:r>
    </w:p>
    <w:bookmarkEnd w:id="0"/>
    <w:p w14:paraId="76392FD8" w14:textId="77777777" w:rsidR="00CB5C4F" w:rsidRDefault="00CB5C4F"/>
    <w:sectPr w:rsidR="00CB5C4F" w:rsidSect="000B031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77C7" w14:textId="77777777" w:rsidR="003F773B" w:rsidRDefault="003F773B" w:rsidP="003F773B">
      <w:r>
        <w:separator/>
      </w:r>
    </w:p>
  </w:endnote>
  <w:endnote w:type="continuationSeparator" w:id="0">
    <w:p w14:paraId="4767E109" w14:textId="77777777" w:rsidR="003F773B" w:rsidRDefault="003F773B" w:rsidP="003F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2709" w14:textId="77777777" w:rsidR="000B031D" w:rsidRDefault="000B0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05D7" w14:textId="77777777" w:rsidR="000B031D" w:rsidRDefault="000B0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0F5D" w14:textId="77777777" w:rsidR="000B031D" w:rsidRDefault="000B0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C72C" w14:textId="77777777" w:rsidR="003F773B" w:rsidRDefault="003F773B" w:rsidP="003F773B">
      <w:r>
        <w:separator/>
      </w:r>
    </w:p>
  </w:footnote>
  <w:footnote w:type="continuationSeparator" w:id="0">
    <w:p w14:paraId="30F36982" w14:textId="77777777" w:rsidR="003F773B" w:rsidRDefault="003F773B" w:rsidP="003F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3B5D" w14:textId="77777777" w:rsidR="000B031D" w:rsidRDefault="000B0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865E" w14:textId="77777777" w:rsidR="000B031D" w:rsidRDefault="000B0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E0C9" w14:textId="77777777" w:rsidR="000B031D" w:rsidRDefault="000B03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9F"/>
    <w:rsid w:val="0002143E"/>
    <w:rsid w:val="000B031D"/>
    <w:rsid w:val="0010506C"/>
    <w:rsid w:val="0017587F"/>
    <w:rsid w:val="001D01B1"/>
    <w:rsid w:val="001E2C22"/>
    <w:rsid w:val="00214EAE"/>
    <w:rsid w:val="0026049F"/>
    <w:rsid w:val="003F773B"/>
    <w:rsid w:val="00414D41"/>
    <w:rsid w:val="00423BC6"/>
    <w:rsid w:val="00494DD0"/>
    <w:rsid w:val="004A4B79"/>
    <w:rsid w:val="004C224D"/>
    <w:rsid w:val="004C5ECE"/>
    <w:rsid w:val="005F2443"/>
    <w:rsid w:val="006A3562"/>
    <w:rsid w:val="006C457B"/>
    <w:rsid w:val="006D4681"/>
    <w:rsid w:val="007E5329"/>
    <w:rsid w:val="008400BF"/>
    <w:rsid w:val="008841FE"/>
    <w:rsid w:val="008D3E44"/>
    <w:rsid w:val="00903F9E"/>
    <w:rsid w:val="00A44CD7"/>
    <w:rsid w:val="00AC0BDE"/>
    <w:rsid w:val="00AF06F9"/>
    <w:rsid w:val="00B00F1E"/>
    <w:rsid w:val="00C55F3F"/>
    <w:rsid w:val="00C94D28"/>
    <w:rsid w:val="00CB5C4F"/>
    <w:rsid w:val="00CD712A"/>
    <w:rsid w:val="00D31480"/>
    <w:rsid w:val="00E10B7A"/>
    <w:rsid w:val="00EE24BF"/>
    <w:rsid w:val="00F215D8"/>
    <w:rsid w:val="00F87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7C93"/>
  <w15:chartTrackingRefBased/>
  <w15:docId w15:val="{2AC37E9F-EADF-4DF4-92CD-6984BF73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26049F"/>
    <w:pPr>
      <w:spacing w:after="0" w:line="240" w:lineRule="auto"/>
    </w:pPr>
    <w:rPr>
      <w:rFonts w:ascii="Arial" w:hAnsi="Arial"/>
      <w:kern w:val="0"/>
      <w:sz w:val="20"/>
      <w:szCs w:val="22"/>
      <w14:ligatures w14:val="none"/>
    </w:rPr>
  </w:style>
  <w:style w:type="paragraph" w:styleId="Heading1">
    <w:name w:val="heading 1"/>
    <w:basedOn w:val="Normal"/>
    <w:next w:val="Normal"/>
    <w:link w:val="Heading1Char"/>
    <w:uiPriority w:val="9"/>
    <w:qFormat/>
    <w:rsid w:val="002604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04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049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049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6049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6049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6049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6049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6049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49F"/>
    <w:rPr>
      <w:rFonts w:eastAsiaTheme="majorEastAsia" w:cstheme="majorBidi"/>
      <w:color w:val="272727" w:themeColor="text1" w:themeTint="D8"/>
    </w:rPr>
  </w:style>
  <w:style w:type="paragraph" w:styleId="Title">
    <w:name w:val="Title"/>
    <w:basedOn w:val="Normal"/>
    <w:next w:val="Normal"/>
    <w:link w:val="TitleChar"/>
    <w:uiPriority w:val="10"/>
    <w:qFormat/>
    <w:rsid w:val="002604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0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49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0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49F"/>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6049F"/>
    <w:rPr>
      <w:i/>
      <w:iCs/>
      <w:color w:val="404040" w:themeColor="text1" w:themeTint="BF"/>
    </w:rPr>
  </w:style>
  <w:style w:type="paragraph" w:styleId="ListParagraph">
    <w:name w:val="List Paragraph"/>
    <w:basedOn w:val="Normal"/>
    <w:uiPriority w:val="34"/>
    <w:qFormat/>
    <w:rsid w:val="0026049F"/>
    <w:pPr>
      <w:spacing w:after="160"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26049F"/>
    <w:rPr>
      <w:i/>
      <w:iCs/>
      <w:color w:val="0F4761" w:themeColor="accent1" w:themeShade="BF"/>
    </w:rPr>
  </w:style>
  <w:style w:type="paragraph" w:styleId="IntenseQuote">
    <w:name w:val="Intense Quote"/>
    <w:basedOn w:val="Normal"/>
    <w:next w:val="Normal"/>
    <w:link w:val="IntenseQuoteChar"/>
    <w:uiPriority w:val="30"/>
    <w:qFormat/>
    <w:rsid w:val="0026049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6049F"/>
    <w:rPr>
      <w:i/>
      <w:iCs/>
      <w:color w:val="0F4761" w:themeColor="accent1" w:themeShade="BF"/>
    </w:rPr>
  </w:style>
  <w:style w:type="character" w:styleId="IntenseReference">
    <w:name w:val="Intense Reference"/>
    <w:basedOn w:val="DefaultParagraphFont"/>
    <w:uiPriority w:val="32"/>
    <w:qFormat/>
    <w:rsid w:val="0026049F"/>
    <w:rPr>
      <w:b/>
      <w:bCs/>
      <w:smallCaps/>
      <w:color w:val="0F4761" w:themeColor="accent1" w:themeShade="BF"/>
      <w:spacing w:val="5"/>
    </w:rPr>
  </w:style>
  <w:style w:type="paragraph" w:styleId="Header">
    <w:name w:val="header"/>
    <w:basedOn w:val="Normal"/>
    <w:link w:val="HeaderChar"/>
    <w:uiPriority w:val="99"/>
    <w:unhideWhenUsed/>
    <w:rsid w:val="003F773B"/>
    <w:pPr>
      <w:tabs>
        <w:tab w:val="center" w:pos="4513"/>
        <w:tab w:val="right" w:pos="9026"/>
      </w:tabs>
    </w:pPr>
  </w:style>
  <w:style w:type="character" w:customStyle="1" w:styleId="HeaderChar">
    <w:name w:val="Header Char"/>
    <w:basedOn w:val="DefaultParagraphFont"/>
    <w:link w:val="Header"/>
    <w:uiPriority w:val="99"/>
    <w:rsid w:val="003F773B"/>
    <w:rPr>
      <w:rFonts w:ascii="Arial" w:hAnsi="Arial"/>
      <w:kern w:val="0"/>
      <w:sz w:val="20"/>
      <w:szCs w:val="22"/>
      <w14:ligatures w14:val="none"/>
    </w:rPr>
  </w:style>
  <w:style w:type="paragraph" w:styleId="Footer">
    <w:name w:val="footer"/>
    <w:basedOn w:val="Normal"/>
    <w:link w:val="FooterChar"/>
    <w:uiPriority w:val="99"/>
    <w:unhideWhenUsed/>
    <w:rsid w:val="003F773B"/>
    <w:pPr>
      <w:tabs>
        <w:tab w:val="center" w:pos="4513"/>
        <w:tab w:val="right" w:pos="9026"/>
      </w:tabs>
    </w:pPr>
  </w:style>
  <w:style w:type="character" w:customStyle="1" w:styleId="FooterChar">
    <w:name w:val="Footer Char"/>
    <w:basedOn w:val="DefaultParagraphFont"/>
    <w:link w:val="Footer"/>
    <w:uiPriority w:val="99"/>
    <w:rsid w:val="003F773B"/>
    <w:rPr>
      <w:rFonts w:ascii="Arial" w:hAnsi="Arial"/>
      <w:kern w:val="0"/>
      <w:sz w:val="20"/>
      <w:szCs w:val="22"/>
      <w14:ligatures w14:val="none"/>
    </w:rPr>
  </w:style>
  <w:style w:type="paragraph" w:styleId="Revision">
    <w:name w:val="Revision"/>
    <w:hidden/>
    <w:uiPriority w:val="99"/>
    <w:semiHidden/>
    <w:rsid w:val="00E10B7A"/>
    <w:pPr>
      <w:spacing w:after="0" w:line="240" w:lineRule="auto"/>
    </w:pPr>
    <w:rPr>
      <w:rFonts w:ascii="Arial" w:hAnsi="Arial"/>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9588">
      <w:bodyDiv w:val="1"/>
      <w:marLeft w:val="0"/>
      <w:marRight w:val="0"/>
      <w:marTop w:val="0"/>
      <w:marBottom w:val="0"/>
      <w:divBdr>
        <w:top w:val="none" w:sz="0" w:space="0" w:color="auto"/>
        <w:left w:val="none" w:sz="0" w:space="0" w:color="auto"/>
        <w:bottom w:val="none" w:sz="0" w:space="0" w:color="auto"/>
        <w:right w:val="none" w:sz="0" w:space="0" w:color="auto"/>
      </w:divBdr>
    </w:div>
    <w:div w:id="234170872">
      <w:bodyDiv w:val="1"/>
      <w:marLeft w:val="0"/>
      <w:marRight w:val="0"/>
      <w:marTop w:val="0"/>
      <w:marBottom w:val="0"/>
      <w:divBdr>
        <w:top w:val="none" w:sz="0" w:space="0" w:color="auto"/>
        <w:left w:val="none" w:sz="0" w:space="0" w:color="auto"/>
        <w:bottom w:val="none" w:sz="0" w:space="0" w:color="auto"/>
        <w:right w:val="none" w:sz="0" w:space="0" w:color="auto"/>
      </w:divBdr>
    </w:div>
    <w:div w:id="313416572">
      <w:bodyDiv w:val="1"/>
      <w:marLeft w:val="0"/>
      <w:marRight w:val="0"/>
      <w:marTop w:val="0"/>
      <w:marBottom w:val="0"/>
      <w:divBdr>
        <w:top w:val="none" w:sz="0" w:space="0" w:color="auto"/>
        <w:left w:val="none" w:sz="0" w:space="0" w:color="auto"/>
        <w:bottom w:val="none" w:sz="0" w:space="0" w:color="auto"/>
        <w:right w:val="none" w:sz="0" w:space="0" w:color="auto"/>
      </w:divBdr>
    </w:div>
    <w:div w:id="341863612">
      <w:bodyDiv w:val="1"/>
      <w:marLeft w:val="0"/>
      <w:marRight w:val="0"/>
      <w:marTop w:val="0"/>
      <w:marBottom w:val="0"/>
      <w:divBdr>
        <w:top w:val="none" w:sz="0" w:space="0" w:color="auto"/>
        <w:left w:val="none" w:sz="0" w:space="0" w:color="auto"/>
        <w:bottom w:val="none" w:sz="0" w:space="0" w:color="auto"/>
        <w:right w:val="none" w:sz="0" w:space="0" w:color="auto"/>
      </w:divBdr>
    </w:div>
    <w:div w:id="732697746">
      <w:bodyDiv w:val="1"/>
      <w:marLeft w:val="0"/>
      <w:marRight w:val="0"/>
      <w:marTop w:val="0"/>
      <w:marBottom w:val="0"/>
      <w:divBdr>
        <w:top w:val="none" w:sz="0" w:space="0" w:color="auto"/>
        <w:left w:val="none" w:sz="0" w:space="0" w:color="auto"/>
        <w:bottom w:val="none" w:sz="0" w:space="0" w:color="auto"/>
        <w:right w:val="none" w:sz="0" w:space="0" w:color="auto"/>
      </w:divBdr>
    </w:div>
    <w:div w:id="1103692977">
      <w:bodyDiv w:val="1"/>
      <w:marLeft w:val="0"/>
      <w:marRight w:val="0"/>
      <w:marTop w:val="0"/>
      <w:marBottom w:val="0"/>
      <w:divBdr>
        <w:top w:val="none" w:sz="0" w:space="0" w:color="auto"/>
        <w:left w:val="none" w:sz="0" w:space="0" w:color="auto"/>
        <w:bottom w:val="none" w:sz="0" w:space="0" w:color="auto"/>
        <w:right w:val="none" w:sz="0" w:space="0" w:color="auto"/>
      </w:divBdr>
    </w:div>
    <w:div w:id="1306274346">
      <w:bodyDiv w:val="1"/>
      <w:marLeft w:val="0"/>
      <w:marRight w:val="0"/>
      <w:marTop w:val="0"/>
      <w:marBottom w:val="0"/>
      <w:divBdr>
        <w:top w:val="none" w:sz="0" w:space="0" w:color="auto"/>
        <w:left w:val="none" w:sz="0" w:space="0" w:color="auto"/>
        <w:bottom w:val="none" w:sz="0" w:space="0" w:color="auto"/>
        <w:right w:val="none" w:sz="0" w:space="0" w:color="auto"/>
      </w:divBdr>
    </w:div>
    <w:div w:id="1697727818">
      <w:bodyDiv w:val="1"/>
      <w:marLeft w:val="0"/>
      <w:marRight w:val="0"/>
      <w:marTop w:val="0"/>
      <w:marBottom w:val="0"/>
      <w:divBdr>
        <w:top w:val="none" w:sz="0" w:space="0" w:color="auto"/>
        <w:left w:val="none" w:sz="0" w:space="0" w:color="auto"/>
        <w:bottom w:val="none" w:sz="0" w:space="0" w:color="auto"/>
        <w:right w:val="none" w:sz="0" w:space="0" w:color="auto"/>
      </w:divBdr>
    </w:div>
    <w:div w:id="1737124516">
      <w:bodyDiv w:val="1"/>
      <w:marLeft w:val="0"/>
      <w:marRight w:val="0"/>
      <w:marTop w:val="0"/>
      <w:marBottom w:val="0"/>
      <w:divBdr>
        <w:top w:val="none" w:sz="0" w:space="0" w:color="auto"/>
        <w:left w:val="none" w:sz="0" w:space="0" w:color="auto"/>
        <w:bottom w:val="none" w:sz="0" w:space="0" w:color="auto"/>
        <w:right w:val="none" w:sz="0" w:space="0" w:color="auto"/>
      </w:divBdr>
    </w:div>
    <w:div w:id="179551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lever.com/AGM"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customXml" Target="../customXml/item6.xml"/><Relationship Id="rId7" Type="http://schemas.openxmlformats.org/officeDocument/2006/relationships/hyperlink" Target="https://data.fca.org.uk/"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LLE!3210088178.2</documentid>
  <senderid>VIVASVAN.BANSAL@LINKLATERS.COM</senderid>
  <senderemail>VIVASVAN.BANSAL@LINKLATERS.COM</senderemail>
  <lastmodified>2025-04-14T22:15:00.0000000+05:30</lastmodified>
  <database>LLE</database>
</properties>
</file>

<file path=customXml/item2.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da8fdadf3952f1c8c515bbc4e0cf07e6">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cec2b9c5357a24ed36d25d043b69ff76"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a2fb73e-e83a-44df-bc25-39628a106fd3" ContentTypeId="0x010100D67FB3C8B9F44C9FB801D5E99C4AEC9B"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C2504-08848</AFM_dms_Zaaknummer>
    <AFM_dms_ZaakEinddatum xmlns="bedada9c-9ff6-4a90-bed1-7f262f8682ad" xsi:nil="true"/>
    <AFM_dms_NaamRelatie xmlns="bedada9c-9ff6-4a90-bed1-7f262f8682ad">Unilever Plc</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lcf76f155ced4ddcb4097134ff3c332f xmlns="0c8e3599-69d8-463b-8bf2-ff1d054f3b5f">
      <Terms xmlns="http://schemas.microsoft.com/office/infopath/2007/PartnerControls"/>
    </lcf76f155ced4ddcb4097134ff3c332f>
    <TaxCatchAll xmlns="1af4fe37-e138-4444-ac39-a91a26058e7e">
      <Value>4</Value>
      <Value>3</Value>
    </TaxCatchAll>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2025-04-30 - Results of AGM RNS.docx</AFM_dms_origineleBestandsnaam>
    <AFM_dms_Grondslag xmlns="bedada9c-9ff6-4a90-bed1-7f262f8682ad" xsi:nil="true"/>
    <AFM_dms_Melder xmlns="bedada9c-9ff6-4a90-bed1-7f262f8682ad" xsi:nil="true"/>
    <_dlc_DocId xmlns="5fe4e853-3417-48a7-a9b2-767e16cca7ad">MAR17MELD-955777008-80947</_dlc_DocId>
    <_dlc_DocIdUrl xmlns="5fe4e853-3417-48a7-a9b2-767e16cca7ad">
      <Url>https://afmap.sharepoint.com/sites/afmdms_mar17meldingen/_layouts/15/DocIdRedir.aspx?ID=MAR17MELD-955777008-80947</Url>
      <Description>MAR17MELD-955777008-80947</Description>
    </_dlc_DocIdUrl>
  </documentManagement>
</p:properties>
</file>

<file path=customXml/itemProps1.xml><?xml version="1.0" encoding="utf-8"?>
<ds:datastoreItem xmlns:ds="http://schemas.openxmlformats.org/officeDocument/2006/customXml" ds:itemID="{4DC79625-E080-4BF7-83BA-D00086983484}">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7BB77377-B81B-4A51-9C85-243C93DF11E2}"/>
</file>

<file path=customXml/itemProps3.xml><?xml version="1.0" encoding="utf-8"?>
<ds:datastoreItem xmlns:ds="http://schemas.openxmlformats.org/officeDocument/2006/customXml" ds:itemID="{4BBABFDB-A42A-4428-9D0F-6D0F69B8FC12}"/>
</file>

<file path=customXml/itemProps4.xml><?xml version="1.0" encoding="utf-8"?>
<ds:datastoreItem xmlns:ds="http://schemas.openxmlformats.org/officeDocument/2006/customXml" ds:itemID="{21D94DC7-CD9B-45F5-83A3-C232C44AE6EB}"/>
</file>

<file path=customXml/itemProps5.xml><?xml version="1.0" encoding="utf-8"?>
<ds:datastoreItem xmlns:ds="http://schemas.openxmlformats.org/officeDocument/2006/customXml" ds:itemID="{8C0D70FA-C096-4880-88F7-CBA5ED3B7D23}"/>
</file>

<file path=customXml/itemProps6.xml><?xml version="1.0" encoding="utf-8"?>
<ds:datastoreItem xmlns:ds="http://schemas.openxmlformats.org/officeDocument/2006/customXml" ds:itemID="{682624E3-9371-40F3-8E60-A82019090CDE}"/>
</file>

<file path=docMetadata/LabelInfo.xml><?xml version="1.0" encoding="utf-8"?>
<clbl:labelList xmlns:clbl="http://schemas.microsoft.com/office/2020/mipLabelMetadata">
  <clbl:label id="{89db4e91-bad5-4fd0-9ca4-c06485916e3a}" enabled="1" method="Standard" siteId="{f66fae02-5d36-495b-bfe0-78a6ff9f8e6e}" contentBits="0" removed="0"/>
</clbl:labelList>
</file>

<file path=docProps/app.xml><?xml version="1.0" encoding="utf-8"?>
<Properties xmlns="http://schemas.openxmlformats.org/officeDocument/2006/extended-properties" xmlns:vt="http://schemas.openxmlformats.org/officeDocument/2006/docPropsVTypes">
  <Template>Normal</Template>
  <TotalTime>49</TotalTime>
  <Pages>4</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Unilever</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dc:subject/>
  <dc:creator>George, Charles</dc:creator>
  <cp:keywords/>
  <dc:description/>
  <cp:lastModifiedBy>George, Charles</cp:lastModifiedBy>
  <cp:revision>4</cp:revision>
  <dcterms:created xsi:type="dcterms:W3CDTF">2025-04-30T13:26:00Z</dcterms:created>
  <dcterms:modified xsi:type="dcterms:W3CDTF">2025-04-30T14:16:00Z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Code">
    <vt:lpwstr>10042350</vt:lpwstr>
  </property>
  <property fmtid="{D5CDD505-2E9C-101B-9397-08002B2CF9AE}" pid="3" name="Matter Number">
    <vt:lpwstr>L-327050</vt:lpwstr>
  </property>
  <property fmtid="{D5CDD505-2E9C-101B-9397-08002B2CF9AE}" pid="4" name="Version">
    <vt:lpwstr>2</vt:lpwstr>
  </property>
  <property fmtid="{D5CDD505-2E9C-101B-9397-08002B2CF9AE}" pid="5" name="Document Number">
    <vt:lpwstr>3210088178</vt:lpwstr>
  </property>
  <property fmtid="{D5CDD505-2E9C-101B-9397-08002B2CF9AE}" pid="6" name="Last Modified">
    <vt:lpwstr>14 Apr 2025</vt:lpwstr>
  </property>
  <property fmtid="{D5CDD505-2E9C-101B-9397-08002B2CF9AE}" pid="7" name="ContentTypeId">
    <vt:lpwstr>0x010100D67FB3C8B9F44C9FB801D5E99C4AEC9B008B32F997535F40B0A20F4493835B16FA00B6AFA36744523C48BBF919E941DFB204</vt:lpwstr>
  </property>
  <property fmtid="{D5CDD505-2E9C-101B-9397-08002B2CF9AE}" pid="8" name="_dlc_DocIdItemGuid">
    <vt:lpwstr>756c01f9-3e5d-447a-ac90-4563ef2d134f</vt:lpwstr>
  </property>
  <property fmtid="{D5CDD505-2E9C-101B-9397-08002B2CF9AE}" pid="9" name="MediaServiceImageTags">
    <vt:lpwstr/>
  </property>
  <property fmtid="{D5CDD505-2E9C-101B-9397-08002B2CF9AE}" pid="10" name="AFM_dms_Zaaktype">
    <vt:lpwstr>3;#EUIOVW|bd452f78-56ac-4048-8ad6-d473d26cf365</vt:lpwstr>
  </property>
  <property fmtid="{D5CDD505-2E9C-101B-9397-08002B2CF9AE}" pid="11" name="AFM_dms_Retentietermijn">
    <vt:lpwstr/>
  </property>
  <property fmtid="{D5CDD505-2E9C-101B-9397-08002B2CF9AE}" pid="12" name="AFM_dms_Documenttype">
    <vt:lpwstr>4;#Persbericht inkomend|29ae2195-941d-4ea3-be1c-3d43a11ff799</vt:lpwstr>
  </property>
</Properties>
</file>