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4AE2" w14:textId="0442FB47" w:rsidR="006455BB" w:rsidRPr="006455BB" w:rsidRDefault="008E2587" w:rsidP="006455BB">
      <w:pPr>
        <w:pStyle w:val="NormalSpaced"/>
        <w:spacing w:after="0" w:line="240" w:lineRule="auto"/>
        <w:rPr>
          <w:rFonts w:asciiTheme="minorHAnsi" w:hAnsiTheme="minorHAnsi" w:cstheme="minorHAnsi"/>
          <w:b/>
          <w:bCs/>
        </w:rPr>
      </w:pPr>
      <w:r w:rsidRPr="006455BB">
        <w:rPr>
          <w:rFonts w:asciiTheme="minorHAnsi" w:hAnsiTheme="minorHAnsi" w:cstheme="minorHAnsi"/>
          <w:b/>
          <w:bCs/>
          <w:caps/>
        </w:rPr>
        <w:t xml:space="preserve">Alliance </w:t>
      </w:r>
      <w:r w:rsidR="005150BB">
        <w:rPr>
          <w:rFonts w:asciiTheme="minorHAnsi" w:hAnsiTheme="minorHAnsi" w:cstheme="minorHAnsi"/>
          <w:b/>
          <w:bCs/>
          <w:caps/>
        </w:rPr>
        <w:t xml:space="preserve">WITAN </w:t>
      </w:r>
      <w:r w:rsidRPr="006455BB">
        <w:rPr>
          <w:rFonts w:asciiTheme="minorHAnsi" w:hAnsiTheme="minorHAnsi" w:cstheme="minorHAnsi"/>
          <w:b/>
          <w:bCs/>
          <w:caps/>
        </w:rPr>
        <w:t>PLC</w:t>
      </w:r>
      <w:r w:rsidR="006455BB" w:rsidRPr="006455BB">
        <w:rPr>
          <w:rFonts w:asciiTheme="minorHAnsi" w:hAnsiTheme="minorHAnsi" w:cstheme="minorHAnsi"/>
          <w:b/>
          <w:bCs/>
        </w:rPr>
        <w:t xml:space="preserve"> (‘the Company’)</w:t>
      </w:r>
    </w:p>
    <w:p w14:paraId="11FF7344" w14:textId="00688B7A" w:rsidR="00845E89" w:rsidRPr="006455BB" w:rsidRDefault="006455BB" w:rsidP="00637493">
      <w:pPr>
        <w:pStyle w:val="NormalSpaced"/>
        <w:spacing w:after="0" w:line="240" w:lineRule="auto"/>
        <w:rPr>
          <w:rFonts w:asciiTheme="minorHAnsi" w:hAnsiTheme="minorHAnsi" w:cstheme="minorHAnsi"/>
          <w:b/>
          <w:bCs/>
        </w:rPr>
      </w:pPr>
      <w:r w:rsidRPr="006455BB">
        <w:rPr>
          <w:rFonts w:asciiTheme="minorHAnsi" w:hAnsiTheme="minorHAnsi" w:cstheme="minorHAnsi"/>
          <w:b/>
          <w:bCs/>
        </w:rPr>
        <w:t xml:space="preserve">Registered </w:t>
      </w:r>
      <w:r w:rsidR="00443479" w:rsidRPr="006455BB">
        <w:rPr>
          <w:rFonts w:asciiTheme="minorHAnsi" w:hAnsiTheme="minorHAnsi" w:cstheme="minorHAnsi"/>
          <w:b/>
          <w:bCs/>
        </w:rPr>
        <w:t>number</w:t>
      </w:r>
      <w:r w:rsidRPr="006455BB">
        <w:rPr>
          <w:rFonts w:asciiTheme="minorHAnsi" w:hAnsiTheme="minorHAnsi" w:cstheme="minorHAnsi"/>
          <w:b/>
          <w:bCs/>
        </w:rPr>
        <w:t>:</w:t>
      </w:r>
      <w:r w:rsidR="00443479" w:rsidRPr="006455BB">
        <w:rPr>
          <w:rFonts w:asciiTheme="minorHAnsi" w:hAnsiTheme="minorHAnsi" w:cstheme="minorHAnsi"/>
          <w:b/>
          <w:bCs/>
        </w:rPr>
        <w:t xml:space="preserve"> SC</w:t>
      </w:r>
      <w:r w:rsidR="00A22895">
        <w:rPr>
          <w:rFonts w:asciiTheme="minorHAnsi" w:hAnsiTheme="minorHAnsi" w:cstheme="minorHAnsi"/>
          <w:b/>
          <w:bCs/>
        </w:rPr>
        <w:t>00</w:t>
      </w:r>
      <w:r w:rsidR="00443479" w:rsidRPr="006455BB">
        <w:rPr>
          <w:rFonts w:asciiTheme="minorHAnsi" w:hAnsiTheme="minorHAnsi" w:cstheme="minorHAnsi"/>
          <w:b/>
          <w:bCs/>
        </w:rPr>
        <w:t>1731</w:t>
      </w:r>
    </w:p>
    <w:p w14:paraId="17CD83A3" w14:textId="77777777" w:rsidR="006455BB" w:rsidRPr="006455BB" w:rsidRDefault="006455BB" w:rsidP="00637493">
      <w:pPr>
        <w:spacing w:line="240" w:lineRule="auto"/>
        <w:rPr>
          <w:rFonts w:asciiTheme="minorHAnsi" w:hAnsiTheme="minorHAnsi" w:cstheme="minorHAnsi"/>
        </w:rPr>
      </w:pPr>
    </w:p>
    <w:p w14:paraId="11F6639F" w14:textId="77777777" w:rsidR="000948E9" w:rsidRDefault="000948E9" w:rsidP="000948E9">
      <w:pPr>
        <w:pStyle w:val="NormalSpaced"/>
        <w:pBdr>
          <w:top w:val="single" w:sz="4" w:space="1" w:color="auto"/>
        </w:pBdr>
        <w:spacing w:after="0" w:line="240" w:lineRule="auto"/>
        <w:rPr>
          <w:rFonts w:asciiTheme="minorHAnsi" w:hAnsiTheme="minorHAnsi" w:cstheme="minorHAnsi"/>
          <w:b/>
          <w:szCs w:val="22"/>
        </w:rPr>
      </w:pPr>
    </w:p>
    <w:p w14:paraId="1A31AC6D" w14:textId="1F18A7DE" w:rsidR="00B64865" w:rsidRDefault="00B97A1B" w:rsidP="000948E9">
      <w:pPr>
        <w:pStyle w:val="NormalSpaced"/>
        <w:pBdr>
          <w:top w:val="single" w:sz="4" w:space="1" w:color="auto"/>
        </w:pBdr>
        <w:spacing w:after="0" w:line="240" w:lineRule="auto"/>
        <w:rPr>
          <w:rFonts w:asciiTheme="minorHAnsi" w:hAnsiTheme="minorHAnsi" w:cstheme="minorHAnsi"/>
          <w:b/>
          <w:szCs w:val="22"/>
        </w:rPr>
      </w:pPr>
      <w:r>
        <w:rPr>
          <w:rFonts w:asciiTheme="minorHAnsi" w:hAnsiTheme="minorHAnsi" w:cstheme="minorHAnsi"/>
          <w:b/>
          <w:szCs w:val="22"/>
        </w:rPr>
        <w:t>C</w:t>
      </w:r>
      <w:r w:rsidR="009F54AB">
        <w:rPr>
          <w:rFonts w:asciiTheme="minorHAnsi" w:hAnsiTheme="minorHAnsi" w:cstheme="minorHAnsi"/>
          <w:b/>
          <w:szCs w:val="22"/>
        </w:rPr>
        <w:t>opy</w:t>
      </w:r>
      <w:r>
        <w:rPr>
          <w:rFonts w:asciiTheme="minorHAnsi" w:hAnsiTheme="minorHAnsi" w:cstheme="minorHAnsi"/>
          <w:b/>
          <w:szCs w:val="22"/>
        </w:rPr>
        <w:t xml:space="preserve"> </w:t>
      </w:r>
      <w:r w:rsidR="000948E9">
        <w:rPr>
          <w:rFonts w:asciiTheme="minorHAnsi" w:hAnsiTheme="minorHAnsi" w:cstheme="minorHAnsi"/>
          <w:b/>
          <w:szCs w:val="22"/>
        </w:rPr>
        <w:t xml:space="preserve">of the </w:t>
      </w:r>
      <w:r w:rsidR="00BC7B5D" w:rsidRPr="000948E9">
        <w:rPr>
          <w:rFonts w:asciiTheme="minorHAnsi" w:hAnsiTheme="minorHAnsi" w:cstheme="minorHAnsi"/>
          <w:b/>
          <w:szCs w:val="22"/>
        </w:rPr>
        <w:t xml:space="preserve">Resolutions passed as Special </w:t>
      </w:r>
      <w:r w:rsidR="00D869EF">
        <w:rPr>
          <w:rFonts w:asciiTheme="minorHAnsi" w:hAnsiTheme="minorHAnsi" w:cstheme="minorHAnsi"/>
          <w:b/>
          <w:szCs w:val="22"/>
        </w:rPr>
        <w:t>Resolutions</w:t>
      </w:r>
      <w:r w:rsidR="006455BB" w:rsidRPr="000948E9">
        <w:rPr>
          <w:rFonts w:asciiTheme="minorHAnsi" w:hAnsiTheme="minorHAnsi" w:cstheme="minorHAnsi"/>
          <w:b/>
          <w:szCs w:val="22"/>
        </w:rPr>
        <w:t xml:space="preserve"> </w:t>
      </w:r>
      <w:r w:rsidR="00B64865" w:rsidRPr="000948E9">
        <w:rPr>
          <w:rFonts w:asciiTheme="minorHAnsi" w:hAnsiTheme="minorHAnsi" w:cstheme="minorHAnsi"/>
          <w:b/>
          <w:szCs w:val="22"/>
        </w:rPr>
        <w:t xml:space="preserve">at </w:t>
      </w:r>
      <w:r w:rsidR="006455BB" w:rsidRPr="000948E9">
        <w:rPr>
          <w:rFonts w:asciiTheme="minorHAnsi" w:hAnsiTheme="minorHAnsi" w:cstheme="minorHAnsi"/>
          <w:b/>
          <w:szCs w:val="22"/>
        </w:rPr>
        <w:t xml:space="preserve">the </w:t>
      </w:r>
      <w:r w:rsidR="00B64865" w:rsidRPr="000948E9">
        <w:rPr>
          <w:rFonts w:asciiTheme="minorHAnsi" w:hAnsiTheme="minorHAnsi" w:cstheme="minorHAnsi"/>
          <w:b/>
          <w:szCs w:val="22"/>
        </w:rPr>
        <w:t xml:space="preserve">Annual General Meeting </w:t>
      </w:r>
      <w:r w:rsidR="006455BB" w:rsidRPr="000948E9">
        <w:rPr>
          <w:rFonts w:asciiTheme="minorHAnsi" w:hAnsiTheme="minorHAnsi" w:cstheme="minorHAnsi"/>
          <w:b/>
          <w:szCs w:val="22"/>
        </w:rPr>
        <w:t xml:space="preserve">of the Company </w:t>
      </w:r>
      <w:r w:rsidR="00B64865" w:rsidRPr="000948E9">
        <w:rPr>
          <w:rFonts w:asciiTheme="minorHAnsi" w:hAnsiTheme="minorHAnsi" w:cstheme="minorHAnsi"/>
          <w:b/>
          <w:szCs w:val="22"/>
        </w:rPr>
        <w:t>held</w:t>
      </w:r>
      <w:r w:rsidR="006455BB" w:rsidRPr="000948E9">
        <w:rPr>
          <w:rFonts w:asciiTheme="minorHAnsi" w:hAnsiTheme="minorHAnsi" w:cstheme="minorHAnsi"/>
          <w:b/>
          <w:szCs w:val="22"/>
        </w:rPr>
        <w:t xml:space="preserve"> </w:t>
      </w:r>
      <w:r w:rsidR="00BB5829" w:rsidRPr="00BB5829">
        <w:rPr>
          <w:rFonts w:asciiTheme="minorHAnsi" w:hAnsiTheme="minorHAnsi" w:cstheme="minorHAnsi"/>
          <w:b/>
          <w:szCs w:val="22"/>
        </w:rPr>
        <w:t xml:space="preserve">on </w:t>
      </w:r>
      <w:r w:rsidR="0012617E">
        <w:rPr>
          <w:rFonts w:asciiTheme="minorHAnsi" w:hAnsiTheme="minorHAnsi" w:cstheme="minorHAnsi"/>
          <w:b/>
          <w:szCs w:val="22"/>
        </w:rPr>
        <w:t>Wednesday, 29 April 2026</w:t>
      </w:r>
      <w:r w:rsidR="00BB5829" w:rsidRPr="00BB5829">
        <w:rPr>
          <w:rFonts w:asciiTheme="minorHAnsi" w:hAnsiTheme="minorHAnsi" w:cstheme="minorHAnsi"/>
          <w:b/>
          <w:szCs w:val="22"/>
        </w:rPr>
        <w:t xml:space="preserve"> at </w:t>
      </w:r>
      <w:r w:rsidR="0012617E">
        <w:rPr>
          <w:rFonts w:asciiTheme="minorHAnsi" w:hAnsiTheme="minorHAnsi" w:cstheme="minorHAnsi"/>
          <w:b/>
          <w:szCs w:val="22"/>
        </w:rPr>
        <w:t>3</w:t>
      </w:r>
      <w:r w:rsidR="00BB5829" w:rsidRPr="00BB5829">
        <w:rPr>
          <w:rFonts w:asciiTheme="minorHAnsi" w:hAnsiTheme="minorHAnsi" w:cstheme="minorHAnsi"/>
          <w:b/>
          <w:szCs w:val="22"/>
        </w:rPr>
        <w:t xml:space="preserve">:00 </w:t>
      </w:r>
      <w:r w:rsidR="0012617E">
        <w:rPr>
          <w:rFonts w:asciiTheme="minorHAnsi" w:hAnsiTheme="minorHAnsi" w:cstheme="minorHAnsi"/>
          <w:b/>
          <w:szCs w:val="22"/>
        </w:rPr>
        <w:t>p</w:t>
      </w:r>
      <w:r w:rsidR="00BB5829" w:rsidRPr="00BB5829">
        <w:rPr>
          <w:rFonts w:asciiTheme="minorHAnsi" w:hAnsiTheme="minorHAnsi" w:cstheme="minorHAnsi"/>
          <w:b/>
          <w:szCs w:val="22"/>
        </w:rPr>
        <w:t xml:space="preserve">.m. </w:t>
      </w:r>
      <w:r w:rsidR="006F1F68">
        <w:rPr>
          <w:rFonts w:asciiTheme="minorHAnsi" w:hAnsiTheme="minorHAnsi" w:cstheme="minorHAnsi"/>
          <w:b/>
          <w:szCs w:val="22"/>
        </w:rPr>
        <w:t xml:space="preserve">in </w:t>
      </w:r>
      <w:r w:rsidR="00BB5829" w:rsidRPr="00BB5829">
        <w:rPr>
          <w:rFonts w:asciiTheme="minorHAnsi" w:hAnsiTheme="minorHAnsi" w:cstheme="minorHAnsi"/>
          <w:b/>
          <w:szCs w:val="22"/>
        </w:rPr>
        <w:t xml:space="preserve">the </w:t>
      </w:r>
      <w:r w:rsidR="0012617E">
        <w:rPr>
          <w:rFonts w:asciiTheme="minorHAnsi" w:hAnsiTheme="minorHAnsi" w:cstheme="minorHAnsi"/>
          <w:b/>
          <w:szCs w:val="22"/>
        </w:rPr>
        <w:t>Auditorium</w:t>
      </w:r>
      <w:r w:rsidR="006F1F68">
        <w:rPr>
          <w:rFonts w:asciiTheme="minorHAnsi" w:hAnsiTheme="minorHAnsi" w:cstheme="minorHAnsi"/>
          <w:b/>
          <w:szCs w:val="22"/>
        </w:rPr>
        <w:t xml:space="preserve"> at the offices of WTW, 51 Lime Street, London, EC3M 7DQ.</w:t>
      </w:r>
    </w:p>
    <w:p w14:paraId="64DD23FC" w14:textId="77777777" w:rsidR="000948E9" w:rsidRPr="000948E9" w:rsidRDefault="000948E9" w:rsidP="000948E9">
      <w:pPr>
        <w:pBdr>
          <w:bottom w:val="single" w:sz="4" w:space="1" w:color="auto"/>
        </w:pBdr>
      </w:pPr>
    </w:p>
    <w:p w14:paraId="501D3CDC" w14:textId="77777777" w:rsidR="000948E9" w:rsidRPr="000948E9" w:rsidRDefault="000948E9" w:rsidP="000948E9"/>
    <w:tbl>
      <w:tblPr>
        <w:tblStyle w:val="TableGrid"/>
        <w:tblW w:w="9180" w:type="dxa"/>
        <w:tblInd w:w="-108" w:type="dxa"/>
        <w:tblLook w:val="04A0" w:firstRow="1" w:lastRow="0" w:firstColumn="1" w:lastColumn="0" w:noHBand="0" w:noVBand="1"/>
      </w:tblPr>
      <w:tblGrid>
        <w:gridCol w:w="8312"/>
        <w:gridCol w:w="868"/>
      </w:tblGrid>
      <w:tr w:rsidR="00E0143E" w14:paraId="6A8275B8" w14:textId="77777777" w:rsidTr="00D869EF">
        <w:trPr>
          <w:gridAfter w:val="1"/>
          <w:wAfter w:w="868" w:type="dxa"/>
        </w:trPr>
        <w:tc>
          <w:tcPr>
            <w:tcW w:w="8312" w:type="dxa"/>
            <w:tcBorders>
              <w:top w:val="nil"/>
              <w:left w:val="nil"/>
              <w:bottom w:val="nil"/>
              <w:right w:val="nil"/>
            </w:tcBorders>
          </w:tcPr>
          <w:p w14:paraId="608BB3ED" w14:textId="601FD4C0" w:rsidR="00E0143E" w:rsidRDefault="00E0143E" w:rsidP="000D1783">
            <w:r w:rsidRPr="004E1025">
              <w:rPr>
                <w:b/>
                <w:bCs/>
              </w:rPr>
              <w:t>Resolution 1</w:t>
            </w:r>
            <w:r w:rsidR="009A0050">
              <w:rPr>
                <w:b/>
                <w:bCs/>
              </w:rPr>
              <w:t>3</w:t>
            </w:r>
            <w:r w:rsidRPr="004E1025">
              <w:rPr>
                <w:b/>
                <w:bCs/>
              </w:rPr>
              <w:t xml:space="preserve"> - Disapplication of pre-emption rights</w:t>
            </w:r>
          </w:p>
        </w:tc>
      </w:tr>
      <w:tr w:rsidR="00E0143E" w14:paraId="3767A4D2" w14:textId="77777777" w:rsidTr="00D869EF">
        <w:trPr>
          <w:gridAfter w:val="1"/>
          <w:wAfter w:w="868" w:type="dxa"/>
        </w:trPr>
        <w:tc>
          <w:tcPr>
            <w:tcW w:w="8312" w:type="dxa"/>
            <w:tcBorders>
              <w:top w:val="nil"/>
              <w:left w:val="nil"/>
              <w:bottom w:val="nil"/>
              <w:right w:val="nil"/>
            </w:tcBorders>
          </w:tcPr>
          <w:p w14:paraId="29EAFFE4" w14:textId="77777777" w:rsidR="00E0143E" w:rsidRDefault="00E0143E" w:rsidP="000D1783"/>
        </w:tc>
      </w:tr>
      <w:tr w:rsidR="00E0143E" w:rsidRPr="003A3F26" w14:paraId="2A9E1164" w14:textId="77777777" w:rsidTr="00D869EF">
        <w:tc>
          <w:tcPr>
            <w:tcW w:w="9180" w:type="dxa"/>
            <w:gridSpan w:val="2"/>
            <w:tcBorders>
              <w:top w:val="nil"/>
              <w:left w:val="nil"/>
              <w:bottom w:val="nil"/>
              <w:right w:val="nil"/>
            </w:tcBorders>
          </w:tcPr>
          <w:p w14:paraId="0A55B108" w14:textId="77777777" w:rsidR="00917B67" w:rsidRDefault="00917B67" w:rsidP="000D1783">
            <w:r w:rsidRPr="00917B67">
              <w:rPr>
                <w:b/>
                <w:bCs/>
              </w:rPr>
              <w:t>THAT</w:t>
            </w:r>
            <w:r>
              <w:t xml:space="preserve"> in substitution for any existing authority, the Directors of the Company be and they are generally empowered, pursuant to Sections 570 and 573 of the Act, to allot equity securities (as defined in Section 560(1) of the Act) for cash, or by way of a sale of Treasury shares (as defined in Section 560(3) of the Act), in each case as if Section 561(1) of the Act did not apply to any such allotment of equity securities or sale of Treasury shares, provided that this power: </w:t>
            </w:r>
          </w:p>
          <w:p w14:paraId="6CF3C2C8" w14:textId="77777777" w:rsidR="00917B67" w:rsidRDefault="00917B67" w:rsidP="000D1783"/>
          <w:p w14:paraId="7A23390F" w14:textId="77777777" w:rsidR="00917B67" w:rsidRDefault="00917B67" w:rsidP="000D1783">
            <w:r>
              <w:t xml:space="preserve">(a) shall be limited to the allotment of equity securities or sale of Treasury shares in connection with an offer of such securities to the holders of shares in the capital of the Company in proportion (as nearly as may be) to their respective holdings of such shares but subject to such exclusions, limits or restrictions or other arrangements as the Directors may deem necessary or expedient to deal with Treasury shares, fractional entitlements, record dates or any legal, regulatory or practical problems in or under the laws of any territory, or the requirements of any regulatory body or any stock exchange in any territory or otherwise howsoever; or </w:t>
            </w:r>
          </w:p>
          <w:p w14:paraId="1F50CD3B" w14:textId="77777777" w:rsidR="00917B67" w:rsidRDefault="00917B67" w:rsidP="000D1783"/>
          <w:p w14:paraId="560F2A64" w14:textId="37C390EE" w:rsidR="00917B67" w:rsidRDefault="00917B67" w:rsidP="000D1783">
            <w:r>
              <w:t>(b) shall be limited to the allotment of equity securities or sale of Treasury shares (otherwise than pursuant to sub-paragraph (a) of this resolution) up to an aggregate nominal value of £</w:t>
            </w:r>
            <w:r w:rsidR="00F3088B">
              <w:t>948,687</w:t>
            </w:r>
            <w:r>
              <w:t xml:space="preserve"> being approximately 10% of the nominal value of the issued share capital of the Company (excluding Treasury shares), as </w:t>
            </w:r>
            <w:proofErr w:type="gramStart"/>
            <w:r>
              <w:t>at</w:t>
            </w:r>
            <w:proofErr w:type="gramEnd"/>
            <w:r>
              <w:t xml:space="preserve"> </w:t>
            </w:r>
            <w:r w:rsidR="0074745E">
              <w:t>4</w:t>
            </w:r>
            <w:r>
              <w:t xml:space="preserve"> March 202</w:t>
            </w:r>
            <w:r w:rsidR="0074745E">
              <w:t>6</w:t>
            </w:r>
            <w:r>
              <w:t xml:space="preserve">; and </w:t>
            </w:r>
          </w:p>
          <w:p w14:paraId="3330D503" w14:textId="77777777" w:rsidR="00917B67" w:rsidRDefault="00917B67" w:rsidP="000D1783"/>
          <w:p w14:paraId="7CF3A8C2" w14:textId="1EDA2E59" w:rsidR="00E0143E" w:rsidRPr="003A3F26" w:rsidRDefault="00917B67" w:rsidP="000D1783">
            <w:pPr>
              <w:rPr>
                <w:rFonts w:cstheme="minorHAnsi"/>
              </w:rPr>
            </w:pPr>
            <w:r>
              <w:t>(c) shall expire on the date occurring 15 months after the passing of this resolution or, if earlier, at the conclusion of the Company’s next Annual General Meeting save that the Company may, before such expiry, make an offer or enter into an agreement which would or might require equity securities to be allotted after such expiry and the Directors may allot equity securities in pursuance of any such offer or agreement as if the power conferred hereby had not expired.</w:t>
            </w:r>
          </w:p>
        </w:tc>
      </w:tr>
      <w:tr w:rsidR="00E0143E" w14:paraId="69638AEB" w14:textId="77777777" w:rsidTr="00D869EF">
        <w:tc>
          <w:tcPr>
            <w:tcW w:w="9180" w:type="dxa"/>
            <w:gridSpan w:val="2"/>
            <w:tcBorders>
              <w:top w:val="nil"/>
              <w:left w:val="nil"/>
              <w:bottom w:val="nil"/>
              <w:right w:val="nil"/>
            </w:tcBorders>
          </w:tcPr>
          <w:p w14:paraId="0D0DE6FF" w14:textId="77777777" w:rsidR="00E0143E" w:rsidRDefault="00E0143E" w:rsidP="000D1783"/>
        </w:tc>
      </w:tr>
      <w:tr w:rsidR="00E0143E" w:rsidRPr="004E1025" w14:paraId="52481733" w14:textId="77777777" w:rsidTr="00D869EF">
        <w:tc>
          <w:tcPr>
            <w:tcW w:w="9180" w:type="dxa"/>
            <w:gridSpan w:val="2"/>
            <w:tcBorders>
              <w:top w:val="nil"/>
              <w:left w:val="nil"/>
              <w:bottom w:val="nil"/>
              <w:right w:val="nil"/>
            </w:tcBorders>
          </w:tcPr>
          <w:p w14:paraId="2AD541BF" w14:textId="4C775CDA" w:rsidR="00E0143E" w:rsidRPr="004E1025" w:rsidRDefault="00E0143E" w:rsidP="000D1783">
            <w:pPr>
              <w:rPr>
                <w:b/>
                <w:bCs/>
              </w:rPr>
            </w:pPr>
            <w:r>
              <w:rPr>
                <w:b/>
                <w:bCs/>
              </w:rPr>
              <w:t>Resolution 1</w:t>
            </w:r>
            <w:r w:rsidR="009A0050">
              <w:rPr>
                <w:b/>
                <w:bCs/>
              </w:rPr>
              <w:t>4</w:t>
            </w:r>
            <w:r>
              <w:rPr>
                <w:b/>
                <w:bCs/>
              </w:rPr>
              <w:t xml:space="preserve"> – Authority to repurchase the Company’s ordinary shares</w:t>
            </w:r>
          </w:p>
        </w:tc>
      </w:tr>
      <w:tr w:rsidR="00E0143E" w:rsidRPr="004E1025" w14:paraId="79B032FD" w14:textId="77777777" w:rsidTr="00D869EF">
        <w:tc>
          <w:tcPr>
            <w:tcW w:w="9180" w:type="dxa"/>
            <w:gridSpan w:val="2"/>
            <w:tcBorders>
              <w:top w:val="nil"/>
              <w:left w:val="nil"/>
              <w:bottom w:val="nil"/>
              <w:right w:val="nil"/>
            </w:tcBorders>
          </w:tcPr>
          <w:p w14:paraId="32AEDF10" w14:textId="77777777" w:rsidR="00E0143E" w:rsidRPr="004E1025" w:rsidRDefault="00E0143E" w:rsidP="000D1783">
            <w:pPr>
              <w:rPr>
                <w:b/>
                <w:bCs/>
              </w:rPr>
            </w:pPr>
          </w:p>
        </w:tc>
      </w:tr>
      <w:tr w:rsidR="00E0143E" w:rsidRPr="004E1025" w14:paraId="73F92EE1" w14:textId="77777777" w:rsidTr="00D869EF">
        <w:tc>
          <w:tcPr>
            <w:tcW w:w="9180" w:type="dxa"/>
            <w:gridSpan w:val="2"/>
            <w:tcBorders>
              <w:top w:val="nil"/>
              <w:left w:val="nil"/>
              <w:bottom w:val="nil"/>
              <w:right w:val="nil"/>
            </w:tcBorders>
          </w:tcPr>
          <w:p w14:paraId="3C837F87" w14:textId="77777777" w:rsidR="00BB4D5A" w:rsidRDefault="0001068A" w:rsidP="000D1783">
            <w:r w:rsidRPr="0001068A">
              <w:rPr>
                <w:b/>
                <w:bCs/>
              </w:rPr>
              <w:t>THAT,</w:t>
            </w:r>
            <w:r>
              <w:t xml:space="preserve"> in substitution for any existing authority but without prejudice to the exercise of any such authority prior to the date hereof, the Company be and is hereby generally and unconditionally authorised, pursuant to and in accordance with section 701 of the Companies Act 2006 (the ‘Act’) to make market purchases (within the meaning of section 693 of the Act) of its fully paid issued ordinary shares of 2.5p each (either for retention as Treasury shares for future re-issue, resale or transfer or for cancellation), provided that:</w:t>
            </w:r>
          </w:p>
          <w:p w14:paraId="35A5E7DF" w14:textId="77777777" w:rsidR="00BB4D5A" w:rsidRDefault="00BB4D5A" w:rsidP="000D1783"/>
          <w:p w14:paraId="68A0922E" w14:textId="7F78C92E" w:rsidR="00BB4D5A" w:rsidRDefault="0001068A" w:rsidP="000D1783">
            <w:r>
              <w:t xml:space="preserve">(a) the maximum aggregate number of ordinary shares that may be purchased is </w:t>
            </w:r>
            <w:r w:rsidR="009028B9">
              <w:t>56,</w:t>
            </w:r>
            <w:r w:rsidR="008644C6">
              <w:t>883,299</w:t>
            </w:r>
            <w:r>
              <w:t xml:space="preserve">, being 14.99% of the issued ordinary share capital (excluding ordinary shares held in Treasury) as at </w:t>
            </w:r>
            <w:r w:rsidR="008644C6">
              <w:t>4</w:t>
            </w:r>
            <w:r>
              <w:t xml:space="preserve"> March </w:t>
            </w:r>
            <w:r>
              <w:lastRenderedPageBreak/>
              <w:t>202</w:t>
            </w:r>
            <w:r w:rsidR="008644C6">
              <w:t>6</w:t>
            </w:r>
            <w:r>
              <w:t xml:space="preserve"> or, if lower, such number of ordinary shares equal to 14.99% of the issued ordinary share capital as at the date of passing the resolution; </w:t>
            </w:r>
          </w:p>
          <w:p w14:paraId="022D3A91" w14:textId="77777777" w:rsidR="00BB4D5A" w:rsidRDefault="00BB4D5A" w:rsidP="000D1783"/>
          <w:p w14:paraId="7300A10C" w14:textId="77777777" w:rsidR="00BB4D5A" w:rsidRDefault="0001068A" w:rsidP="000D1783">
            <w:r>
              <w:t xml:space="preserve">(b) the minimum price (excluding expenses) which may be paid for each ordinary share is 2.5p; </w:t>
            </w:r>
          </w:p>
          <w:p w14:paraId="7F06FA72" w14:textId="77777777" w:rsidR="00BB4D5A" w:rsidRDefault="00BB4D5A" w:rsidP="000D1783"/>
          <w:p w14:paraId="565B02E5" w14:textId="7A2F2E0F" w:rsidR="00E0143E" w:rsidRDefault="0001068A" w:rsidP="000D1783">
            <w:r>
              <w:t>(c) the maximum price (excluding expenses) which may be paid for each ordinary share is the higher of: (</w:t>
            </w:r>
            <w:proofErr w:type="spellStart"/>
            <w:r>
              <w:t>i</w:t>
            </w:r>
            <w:proofErr w:type="spellEnd"/>
            <w:r>
              <w:t>) 105% of the average market value of an ordinary share taken from the London Stock Exchange Daily Official List for the five business days immediately preceding the day on which such ordinary share is purchased; and (ii) the higher of the price of the last independent trade and the highest current independent bid as stipulated by Article 5(1) of Commission Regulation EC 22 December 2003 implementing the Market Abuse Directive as regards exemptions for buyback programmes and stabilisation of financial instruments (No. 2273/2003).</w:t>
            </w:r>
          </w:p>
          <w:p w14:paraId="7980DE8E" w14:textId="77777777" w:rsidR="00BB4D5A" w:rsidRDefault="00BB4D5A" w:rsidP="000D1783">
            <w:pPr>
              <w:rPr>
                <w:b/>
                <w:bCs/>
              </w:rPr>
            </w:pPr>
          </w:p>
          <w:p w14:paraId="1AA62C2B" w14:textId="0852A8D0" w:rsidR="00BB4D5A" w:rsidRPr="004E1025" w:rsidRDefault="00BB4D5A" w:rsidP="000D1783">
            <w:pPr>
              <w:rPr>
                <w:b/>
                <w:bCs/>
              </w:rPr>
            </w:pPr>
            <w:r>
              <w:t>(d) The authority conferred by this resolution shall expire on the date occurring 15 months after the passing of this resolution or, if earlier, at the conclusion of the Company’s next Annual General Meeting save that the Company may, before the expiry of the authority granted by this resolution, enter into a contract to purchase ordinary shares which will or may be executed wholly or partly after the expiry of such authority.</w:t>
            </w:r>
          </w:p>
        </w:tc>
      </w:tr>
      <w:tr w:rsidR="00E0143E" w:rsidRPr="004E1025" w14:paraId="43221A89" w14:textId="77777777" w:rsidTr="00D869EF">
        <w:tc>
          <w:tcPr>
            <w:tcW w:w="9180" w:type="dxa"/>
            <w:gridSpan w:val="2"/>
            <w:tcBorders>
              <w:top w:val="nil"/>
              <w:left w:val="nil"/>
              <w:bottom w:val="nil"/>
              <w:right w:val="nil"/>
            </w:tcBorders>
          </w:tcPr>
          <w:p w14:paraId="398875F5" w14:textId="77777777" w:rsidR="00E0143E" w:rsidRPr="004E1025" w:rsidRDefault="00E0143E" w:rsidP="000D1783">
            <w:pPr>
              <w:rPr>
                <w:b/>
                <w:bCs/>
              </w:rPr>
            </w:pPr>
          </w:p>
        </w:tc>
      </w:tr>
      <w:tr w:rsidR="00E0143E" w:rsidRPr="004E1025" w14:paraId="32D102C9" w14:textId="77777777" w:rsidTr="00D869EF">
        <w:tc>
          <w:tcPr>
            <w:tcW w:w="9180" w:type="dxa"/>
            <w:gridSpan w:val="2"/>
            <w:tcBorders>
              <w:top w:val="nil"/>
              <w:left w:val="nil"/>
              <w:bottom w:val="nil"/>
              <w:right w:val="nil"/>
            </w:tcBorders>
          </w:tcPr>
          <w:p w14:paraId="0E60CE24" w14:textId="7E3AE8A0" w:rsidR="00E0143E" w:rsidRPr="004E1025" w:rsidRDefault="00E0143E" w:rsidP="000D1783">
            <w:pPr>
              <w:rPr>
                <w:b/>
                <w:bCs/>
              </w:rPr>
            </w:pPr>
            <w:r w:rsidRPr="004E1025">
              <w:rPr>
                <w:b/>
                <w:bCs/>
              </w:rPr>
              <w:t>Resolution 1</w:t>
            </w:r>
            <w:r w:rsidR="009A0050">
              <w:rPr>
                <w:b/>
                <w:bCs/>
              </w:rPr>
              <w:t>5</w:t>
            </w:r>
            <w:r w:rsidRPr="004E1025">
              <w:rPr>
                <w:b/>
                <w:bCs/>
              </w:rPr>
              <w:t xml:space="preserve"> – Notice of General Meetings</w:t>
            </w:r>
          </w:p>
        </w:tc>
      </w:tr>
      <w:tr w:rsidR="00E0143E" w14:paraId="0C345ED9" w14:textId="77777777" w:rsidTr="00D869EF">
        <w:tc>
          <w:tcPr>
            <w:tcW w:w="9180" w:type="dxa"/>
            <w:gridSpan w:val="2"/>
            <w:tcBorders>
              <w:top w:val="nil"/>
              <w:left w:val="nil"/>
              <w:bottom w:val="nil"/>
              <w:right w:val="nil"/>
            </w:tcBorders>
          </w:tcPr>
          <w:p w14:paraId="1764AC58" w14:textId="77777777" w:rsidR="00E0143E" w:rsidRDefault="00E0143E" w:rsidP="000D1783"/>
        </w:tc>
      </w:tr>
      <w:tr w:rsidR="00E0143E" w14:paraId="13455842" w14:textId="77777777" w:rsidTr="00D869EF">
        <w:tc>
          <w:tcPr>
            <w:tcW w:w="9180" w:type="dxa"/>
            <w:gridSpan w:val="2"/>
            <w:tcBorders>
              <w:top w:val="nil"/>
              <w:left w:val="nil"/>
              <w:bottom w:val="nil"/>
              <w:right w:val="nil"/>
            </w:tcBorders>
          </w:tcPr>
          <w:p w14:paraId="50276B1F" w14:textId="77777777" w:rsidR="00E0143E" w:rsidRDefault="00E0143E" w:rsidP="000D1783">
            <w:r w:rsidRPr="004E1025">
              <w:rPr>
                <w:b/>
                <w:bCs/>
              </w:rPr>
              <w:t>THAT</w:t>
            </w:r>
            <w:r w:rsidRPr="004E1025">
              <w:t xml:space="preserve"> a general meeting other than an annual general meeting may be called on not less than 14 clear days’ notice.</w:t>
            </w:r>
          </w:p>
        </w:tc>
      </w:tr>
      <w:tr w:rsidR="00E0143E" w14:paraId="4BB65DD1" w14:textId="77777777" w:rsidTr="00D869EF">
        <w:tc>
          <w:tcPr>
            <w:tcW w:w="9180" w:type="dxa"/>
            <w:gridSpan w:val="2"/>
            <w:tcBorders>
              <w:top w:val="nil"/>
              <w:left w:val="nil"/>
              <w:bottom w:val="nil"/>
              <w:right w:val="nil"/>
            </w:tcBorders>
          </w:tcPr>
          <w:p w14:paraId="6657A734" w14:textId="77777777" w:rsidR="00E0143E" w:rsidRDefault="00E0143E" w:rsidP="000D1783"/>
        </w:tc>
      </w:tr>
    </w:tbl>
    <w:p w14:paraId="4AA17DA4" w14:textId="77777777" w:rsidR="00F81C47" w:rsidRDefault="00F81C47" w:rsidP="000948E9">
      <w:pPr>
        <w:spacing w:line="240" w:lineRule="auto"/>
        <w:rPr>
          <w:rFonts w:asciiTheme="minorHAnsi" w:hAnsiTheme="minorHAnsi" w:cstheme="minorHAnsi"/>
        </w:rPr>
      </w:pPr>
    </w:p>
    <w:p w14:paraId="1D6FFC18" w14:textId="77777777" w:rsidR="00F81C47" w:rsidRDefault="00F81C47" w:rsidP="000948E9">
      <w:pPr>
        <w:spacing w:line="240" w:lineRule="auto"/>
        <w:rPr>
          <w:rFonts w:asciiTheme="minorHAnsi" w:hAnsiTheme="minorHAnsi" w:cstheme="minorHAnsi"/>
        </w:rPr>
      </w:pPr>
    </w:p>
    <w:p w14:paraId="41047B23" w14:textId="77777777" w:rsidR="00B97A1B" w:rsidRDefault="00B97A1B" w:rsidP="000948E9">
      <w:pPr>
        <w:spacing w:line="240" w:lineRule="auto"/>
        <w:rPr>
          <w:rFonts w:asciiTheme="minorHAnsi" w:hAnsiTheme="minorHAnsi" w:cstheme="minorHAnsi"/>
        </w:rPr>
      </w:pPr>
    </w:p>
    <w:p w14:paraId="2B4BF04D" w14:textId="19DAAAC4" w:rsidR="00F81C47" w:rsidRPr="00F81C47" w:rsidRDefault="00F81C47" w:rsidP="000948E9">
      <w:pPr>
        <w:spacing w:line="240" w:lineRule="auto"/>
        <w:rPr>
          <w:rFonts w:asciiTheme="minorHAnsi" w:hAnsiTheme="minorHAnsi" w:cstheme="minorHAnsi"/>
          <w:b/>
          <w:bCs/>
        </w:rPr>
      </w:pPr>
      <w:r w:rsidRPr="00F81C47">
        <w:rPr>
          <w:rFonts w:asciiTheme="minorHAnsi" w:hAnsiTheme="minorHAnsi" w:cstheme="minorHAnsi"/>
          <w:b/>
          <w:bCs/>
        </w:rPr>
        <w:t>Juniper Partners Limited</w:t>
      </w:r>
    </w:p>
    <w:p w14:paraId="5E5F5622" w14:textId="69657159" w:rsidR="00F81C47" w:rsidRDefault="00F81C47" w:rsidP="000948E9">
      <w:pPr>
        <w:spacing w:line="240" w:lineRule="auto"/>
        <w:rPr>
          <w:rFonts w:asciiTheme="minorHAnsi" w:hAnsiTheme="minorHAnsi" w:cstheme="minorHAnsi"/>
        </w:rPr>
      </w:pPr>
      <w:r>
        <w:rPr>
          <w:rFonts w:asciiTheme="minorHAnsi" w:hAnsiTheme="minorHAnsi" w:cstheme="minorHAnsi"/>
        </w:rPr>
        <w:t>Company Secretary</w:t>
      </w:r>
    </w:p>
    <w:p w14:paraId="4CD1DB3F" w14:textId="7BC3C65C" w:rsidR="00F81C47" w:rsidRDefault="002B75FE" w:rsidP="000948E9">
      <w:pPr>
        <w:spacing w:line="240" w:lineRule="auto"/>
        <w:rPr>
          <w:rFonts w:asciiTheme="minorHAnsi" w:hAnsiTheme="minorHAnsi" w:cstheme="minorHAnsi"/>
        </w:rPr>
      </w:pPr>
      <w:r>
        <w:rPr>
          <w:rFonts w:asciiTheme="minorHAnsi" w:hAnsiTheme="minorHAnsi" w:cstheme="minorHAnsi"/>
        </w:rPr>
        <w:t>30</w:t>
      </w:r>
      <w:r w:rsidR="00E0143E">
        <w:rPr>
          <w:rFonts w:asciiTheme="minorHAnsi" w:hAnsiTheme="minorHAnsi" w:cstheme="minorHAnsi"/>
        </w:rPr>
        <w:t xml:space="preserve"> </w:t>
      </w:r>
      <w:r>
        <w:rPr>
          <w:rFonts w:asciiTheme="minorHAnsi" w:hAnsiTheme="minorHAnsi" w:cstheme="minorHAnsi"/>
        </w:rPr>
        <w:t>April</w:t>
      </w:r>
      <w:r w:rsidR="00E0143E">
        <w:rPr>
          <w:rFonts w:asciiTheme="minorHAnsi" w:hAnsiTheme="minorHAnsi" w:cstheme="minorHAnsi"/>
        </w:rPr>
        <w:t xml:space="preserve"> 202</w:t>
      </w:r>
      <w:r>
        <w:rPr>
          <w:rFonts w:asciiTheme="minorHAnsi" w:hAnsiTheme="minorHAnsi" w:cstheme="minorHAnsi"/>
        </w:rPr>
        <w:t>6</w:t>
      </w:r>
    </w:p>
    <w:p w14:paraId="436B7E14" w14:textId="77777777" w:rsidR="000948E9" w:rsidRDefault="000948E9" w:rsidP="000948E9">
      <w:pPr>
        <w:spacing w:line="240" w:lineRule="auto"/>
        <w:rPr>
          <w:rFonts w:asciiTheme="minorHAnsi" w:hAnsiTheme="minorHAnsi" w:cstheme="minorHAnsi"/>
        </w:rPr>
      </w:pPr>
    </w:p>
    <w:p w14:paraId="5AE0ADF5" w14:textId="373C3EB4" w:rsidR="00B31AFC" w:rsidRPr="0028395A" w:rsidRDefault="00B31AFC" w:rsidP="00EE51FB">
      <w:pPr>
        <w:spacing w:line="240" w:lineRule="auto"/>
      </w:pPr>
    </w:p>
    <w:sectPr w:rsidR="00B31AFC" w:rsidRPr="0028395A" w:rsidSect="00781065">
      <w:footerReference w:type="default" r:id="rId11"/>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2BCA" w14:textId="77777777" w:rsidR="00012563" w:rsidRDefault="00012563">
      <w:r>
        <w:separator/>
      </w:r>
    </w:p>
  </w:endnote>
  <w:endnote w:type="continuationSeparator" w:id="0">
    <w:p w14:paraId="7DACB007" w14:textId="77777777" w:rsidR="00012563" w:rsidRDefault="0001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7366" w14:textId="77777777" w:rsidR="00FC4D40" w:rsidRDefault="00775D1D">
    <w:pPr>
      <w:pStyle w:val="Footer"/>
      <w:jc w:val="center"/>
    </w:pPr>
    <w:r>
      <w:fldChar w:fldCharType="begin"/>
    </w:r>
    <w:r>
      <w:instrText xml:space="preserve"> PAGE \* MERGEFORMAT </w:instrText>
    </w:r>
    <w:r>
      <w:fldChar w:fldCharType="separate"/>
    </w:r>
    <w:r w:rsidR="009F37F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5261" w14:textId="77777777" w:rsidR="00012563" w:rsidRDefault="00012563">
      <w:r>
        <w:separator/>
      </w:r>
    </w:p>
  </w:footnote>
  <w:footnote w:type="continuationSeparator" w:id="0">
    <w:p w14:paraId="0051527B" w14:textId="77777777" w:rsidR="00012563" w:rsidRDefault="00012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8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A399E"/>
    <w:multiLevelType w:val="multilevel"/>
    <w:tmpl w:val="D66A53F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4067B5"/>
    <w:multiLevelType w:val="hybridMultilevel"/>
    <w:tmpl w:val="BD54BE4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595649"/>
    <w:multiLevelType w:val="hybridMultilevel"/>
    <w:tmpl w:val="D408E200"/>
    <w:lvl w:ilvl="0" w:tplc="826E25AE">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2FBF73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50237"/>
    <w:multiLevelType w:val="hybridMultilevel"/>
    <w:tmpl w:val="3912C92C"/>
    <w:lvl w:ilvl="0" w:tplc="826E25AE">
      <w:start w:val="1"/>
      <w:numFmt w:val="lowerRoman"/>
      <w:lvlText w:val="(%1)"/>
      <w:lvlJc w:val="righ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B569C"/>
    <w:multiLevelType w:val="hybridMultilevel"/>
    <w:tmpl w:val="D32CE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643993">
    <w:abstractNumId w:val="4"/>
  </w:num>
  <w:num w:numId="2" w16cid:durableId="1054890638">
    <w:abstractNumId w:val="22"/>
  </w:num>
  <w:num w:numId="3" w16cid:durableId="1967656932">
    <w:abstractNumId w:val="20"/>
  </w:num>
  <w:num w:numId="4" w16cid:durableId="988098116">
    <w:abstractNumId w:val="23"/>
  </w:num>
  <w:num w:numId="5" w16cid:durableId="336620799">
    <w:abstractNumId w:val="15"/>
  </w:num>
  <w:num w:numId="6" w16cid:durableId="1041051733">
    <w:abstractNumId w:val="12"/>
  </w:num>
  <w:num w:numId="7" w16cid:durableId="619411547">
    <w:abstractNumId w:val="3"/>
  </w:num>
  <w:num w:numId="8" w16cid:durableId="1514683412">
    <w:abstractNumId w:val="17"/>
  </w:num>
  <w:num w:numId="9" w16cid:durableId="482165657">
    <w:abstractNumId w:val="7"/>
  </w:num>
  <w:num w:numId="10" w16cid:durableId="1227301125">
    <w:abstractNumId w:val="16"/>
  </w:num>
  <w:num w:numId="11" w16cid:durableId="1645311399">
    <w:abstractNumId w:val="6"/>
  </w:num>
  <w:num w:numId="12" w16cid:durableId="750615935">
    <w:abstractNumId w:val="13"/>
  </w:num>
  <w:num w:numId="13" w16cid:durableId="2104379648">
    <w:abstractNumId w:val="10"/>
  </w:num>
  <w:num w:numId="14" w16cid:durableId="1484813456">
    <w:abstractNumId w:val="24"/>
  </w:num>
  <w:num w:numId="15" w16cid:durableId="1943489808">
    <w:abstractNumId w:val="11"/>
  </w:num>
  <w:num w:numId="16" w16cid:durableId="1676377100">
    <w:abstractNumId w:val="1"/>
  </w:num>
  <w:num w:numId="17" w16cid:durableId="1809784880">
    <w:abstractNumId w:val="21"/>
  </w:num>
  <w:num w:numId="18" w16cid:durableId="2056345622">
    <w:abstractNumId w:val="18"/>
  </w:num>
  <w:num w:numId="19" w16cid:durableId="271057953">
    <w:abstractNumId w:val="0"/>
  </w:num>
  <w:num w:numId="20" w16cid:durableId="1334531742">
    <w:abstractNumId w:val="2"/>
  </w:num>
  <w:num w:numId="21" w16cid:durableId="1757511080">
    <w:abstractNumId w:val="19"/>
  </w:num>
  <w:num w:numId="22" w16cid:durableId="705525795">
    <w:abstractNumId w:val="9"/>
  </w:num>
  <w:num w:numId="23" w16cid:durableId="1475831374">
    <w:abstractNumId w:val="5"/>
  </w:num>
  <w:num w:numId="24" w16cid:durableId="295918688">
    <w:abstractNumId w:val="8"/>
  </w:num>
  <w:num w:numId="25" w16cid:durableId="10415391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89"/>
    <w:rsid w:val="0001068A"/>
    <w:rsid w:val="00010F86"/>
    <w:rsid w:val="00012563"/>
    <w:rsid w:val="000948E9"/>
    <w:rsid w:val="000A2EFB"/>
    <w:rsid w:val="00125819"/>
    <w:rsid w:val="0012617E"/>
    <w:rsid w:val="001945E1"/>
    <w:rsid w:val="00194EAD"/>
    <w:rsid w:val="001B5357"/>
    <w:rsid w:val="001B7DBC"/>
    <w:rsid w:val="001C6DD0"/>
    <w:rsid w:val="001F760D"/>
    <w:rsid w:val="00246BFC"/>
    <w:rsid w:val="0028395A"/>
    <w:rsid w:val="002A3BD7"/>
    <w:rsid w:val="002B75FE"/>
    <w:rsid w:val="002E72DA"/>
    <w:rsid w:val="0033122E"/>
    <w:rsid w:val="00340DDD"/>
    <w:rsid w:val="00355135"/>
    <w:rsid w:val="00361E5F"/>
    <w:rsid w:val="003811D2"/>
    <w:rsid w:val="003A5744"/>
    <w:rsid w:val="003C0F39"/>
    <w:rsid w:val="003F1002"/>
    <w:rsid w:val="003F7148"/>
    <w:rsid w:val="00443479"/>
    <w:rsid w:val="00464614"/>
    <w:rsid w:val="00473E78"/>
    <w:rsid w:val="00482BA9"/>
    <w:rsid w:val="004924E9"/>
    <w:rsid w:val="004C36B6"/>
    <w:rsid w:val="004D365E"/>
    <w:rsid w:val="005150BB"/>
    <w:rsid w:val="00537002"/>
    <w:rsid w:val="005516BC"/>
    <w:rsid w:val="005A5D66"/>
    <w:rsid w:val="005C494F"/>
    <w:rsid w:val="005E265E"/>
    <w:rsid w:val="005E611F"/>
    <w:rsid w:val="00617885"/>
    <w:rsid w:val="0063341F"/>
    <w:rsid w:val="006365BB"/>
    <w:rsid w:val="00637493"/>
    <w:rsid w:val="006455BB"/>
    <w:rsid w:val="00645807"/>
    <w:rsid w:val="0067551A"/>
    <w:rsid w:val="006758B8"/>
    <w:rsid w:val="006A29A0"/>
    <w:rsid w:val="006B4F9E"/>
    <w:rsid w:val="006D03EE"/>
    <w:rsid w:val="006D370B"/>
    <w:rsid w:val="006E22DC"/>
    <w:rsid w:val="006F1F68"/>
    <w:rsid w:val="0072594C"/>
    <w:rsid w:val="00743109"/>
    <w:rsid w:val="0074745E"/>
    <w:rsid w:val="00775D1D"/>
    <w:rsid w:val="00781065"/>
    <w:rsid w:val="007A102B"/>
    <w:rsid w:val="007B2831"/>
    <w:rsid w:val="007B75D1"/>
    <w:rsid w:val="007C596C"/>
    <w:rsid w:val="007F5EF8"/>
    <w:rsid w:val="0083789F"/>
    <w:rsid w:val="00845E89"/>
    <w:rsid w:val="008644C6"/>
    <w:rsid w:val="00895DAE"/>
    <w:rsid w:val="008A3390"/>
    <w:rsid w:val="008D1EEE"/>
    <w:rsid w:val="008E2587"/>
    <w:rsid w:val="008F58A5"/>
    <w:rsid w:val="009028B9"/>
    <w:rsid w:val="009105B4"/>
    <w:rsid w:val="00912CA4"/>
    <w:rsid w:val="00917B67"/>
    <w:rsid w:val="009254E1"/>
    <w:rsid w:val="00926435"/>
    <w:rsid w:val="00941A8E"/>
    <w:rsid w:val="0094305F"/>
    <w:rsid w:val="00986760"/>
    <w:rsid w:val="009A0050"/>
    <w:rsid w:val="009A01B5"/>
    <w:rsid w:val="009B6F77"/>
    <w:rsid w:val="009F37F8"/>
    <w:rsid w:val="009F54AB"/>
    <w:rsid w:val="00A144AD"/>
    <w:rsid w:val="00A22895"/>
    <w:rsid w:val="00A33F2C"/>
    <w:rsid w:val="00A738FE"/>
    <w:rsid w:val="00A774BB"/>
    <w:rsid w:val="00A96884"/>
    <w:rsid w:val="00AA1A50"/>
    <w:rsid w:val="00B31AFC"/>
    <w:rsid w:val="00B45DBA"/>
    <w:rsid w:val="00B64865"/>
    <w:rsid w:val="00B97168"/>
    <w:rsid w:val="00B97A1B"/>
    <w:rsid w:val="00BB4D5A"/>
    <w:rsid w:val="00BB5829"/>
    <w:rsid w:val="00BB6797"/>
    <w:rsid w:val="00BC7B5D"/>
    <w:rsid w:val="00BD0599"/>
    <w:rsid w:val="00BE0C49"/>
    <w:rsid w:val="00C25B6B"/>
    <w:rsid w:val="00C52D0E"/>
    <w:rsid w:val="00C85CD9"/>
    <w:rsid w:val="00C908E7"/>
    <w:rsid w:val="00CB7E20"/>
    <w:rsid w:val="00CE0281"/>
    <w:rsid w:val="00D07A1E"/>
    <w:rsid w:val="00D21458"/>
    <w:rsid w:val="00D301FF"/>
    <w:rsid w:val="00D40F87"/>
    <w:rsid w:val="00D47A7C"/>
    <w:rsid w:val="00D51AE5"/>
    <w:rsid w:val="00D73183"/>
    <w:rsid w:val="00D869EF"/>
    <w:rsid w:val="00DA6830"/>
    <w:rsid w:val="00DB1ECE"/>
    <w:rsid w:val="00DB4559"/>
    <w:rsid w:val="00DD0944"/>
    <w:rsid w:val="00E0143E"/>
    <w:rsid w:val="00E4627B"/>
    <w:rsid w:val="00E544BA"/>
    <w:rsid w:val="00EB4D38"/>
    <w:rsid w:val="00EC432B"/>
    <w:rsid w:val="00EE51FB"/>
    <w:rsid w:val="00F2044D"/>
    <w:rsid w:val="00F2548B"/>
    <w:rsid w:val="00F3088B"/>
    <w:rsid w:val="00F453E9"/>
    <w:rsid w:val="00F522B1"/>
    <w:rsid w:val="00F81C47"/>
    <w:rsid w:val="00FC4D40"/>
    <w:rsid w:val="00FD2224"/>
    <w:rsid w:val="00FD40E0"/>
    <w:rsid w:val="00FE1812"/>
    <w:rsid w:val="00FE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7343"/>
  <w15:docId w15:val="{82105303-2FB2-4132-8CC4-DF92858E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ListParagraph">
    <w:name w:val="List Paragraph"/>
    <w:basedOn w:val="Normal"/>
    <w:uiPriority w:val="34"/>
    <w:qFormat/>
    <w:rsid w:val="00443479"/>
    <w:pPr>
      <w:ind w:left="720"/>
    </w:pPr>
  </w:style>
  <w:style w:type="character" w:styleId="CommentReference">
    <w:name w:val="annotation reference"/>
    <w:basedOn w:val="DefaultParagraphFont"/>
    <w:rsid w:val="00194EAD"/>
    <w:rPr>
      <w:sz w:val="16"/>
      <w:szCs w:val="16"/>
    </w:rPr>
  </w:style>
  <w:style w:type="paragraph" w:styleId="CommentSubject">
    <w:name w:val="annotation subject"/>
    <w:basedOn w:val="CommentText"/>
    <w:next w:val="CommentText"/>
    <w:link w:val="CommentSubjectChar"/>
    <w:rsid w:val="00194EAD"/>
    <w:pPr>
      <w:spacing w:line="240" w:lineRule="auto"/>
      <w:jc w:val="both"/>
    </w:pPr>
    <w:rPr>
      <w:b/>
      <w:bCs/>
    </w:rPr>
  </w:style>
  <w:style w:type="character" w:customStyle="1" w:styleId="CommentTextChar">
    <w:name w:val="Comment Text Char"/>
    <w:basedOn w:val="DefaultParagraphFont"/>
    <w:link w:val="CommentText"/>
    <w:rsid w:val="00194EAD"/>
    <w:rPr>
      <w:lang w:eastAsia="en-US"/>
    </w:rPr>
  </w:style>
  <w:style w:type="character" w:customStyle="1" w:styleId="CommentSubjectChar">
    <w:name w:val="Comment Subject Char"/>
    <w:basedOn w:val="CommentTextChar"/>
    <w:link w:val="CommentSubject"/>
    <w:rsid w:val="00194EAD"/>
    <w:rPr>
      <w:lang w:eastAsia="en-US"/>
    </w:rPr>
  </w:style>
  <w:style w:type="paragraph" w:styleId="BalloonText">
    <w:name w:val="Balloon Text"/>
    <w:basedOn w:val="Normal"/>
    <w:link w:val="BalloonTextChar"/>
    <w:rsid w:val="00194EA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94EAD"/>
    <w:rPr>
      <w:rFonts w:ascii="Tahoma" w:hAnsi="Tahoma" w:cs="Tahoma"/>
      <w:sz w:val="16"/>
      <w:szCs w:val="16"/>
      <w:lang w:eastAsia="en-US"/>
    </w:rPr>
  </w:style>
  <w:style w:type="table" w:styleId="TableGrid">
    <w:name w:val="Table Grid"/>
    <w:basedOn w:val="TableNormal"/>
    <w:uiPriority w:val="39"/>
    <w:rsid w:val="00E014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b1863b0-d5f6-4982-a8fb-946066269706" xsi:nil="true"/>
    <lcf76f155ced4ddcb4097134ff3c332f xmlns="743d362e-734a-4d59-959d-e26312ea5f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F98C79DDAFD04B99C9E3E5A43CDEA0" ma:contentTypeVersion="15" ma:contentTypeDescription="Create a new document." ma:contentTypeScope="" ma:versionID="f429091f24e45d12bbe83205ab5c69bf">
  <xsd:schema xmlns:xsd="http://www.w3.org/2001/XMLSchema" xmlns:xs="http://www.w3.org/2001/XMLSchema" xmlns:p="http://schemas.microsoft.com/office/2006/metadata/properties" xmlns:ns2="743d362e-734a-4d59-959d-e26312ea5fc6" xmlns:ns3="3b1863b0-d5f6-4982-a8fb-946066269706" targetNamespace="http://schemas.microsoft.com/office/2006/metadata/properties" ma:root="true" ma:fieldsID="165b65f81ea554da16e3acb5c9d2ece4" ns2:_="" ns3:_="">
    <xsd:import namespace="743d362e-734a-4d59-959d-e26312ea5fc6"/>
    <xsd:import namespace="3b1863b0-d5f6-4982-a8fb-9460662697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d362e-734a-4d59-959d-e26312ea5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863b0-d5f6-4982-a8fb-9460662697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373ed21-9cc4-4b8b-89a8-e5378ea48112}" ma:internalName="TaxCatchAll" ma:showField="CatchAllData" ma:web="3b1863b0-d5f6-4982-a8fb-9460662697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FCD4A-04AE-496C-94C5-89C0B14C79A4}">
  <ds:schemaRefs>
    <ds:schemaRef ds:uri="http://schemas.openxmlformats.org/officeDocument/2006/bibliography"/>
  </ds:schemaRefs>
</ds:datastoreItem>
</file>

<file path=customXml/itemProps2.xml><?xml version="1.0" encoding="utf-8"?>
<ds:datastoreItem xmlns:ds="http://schemas.openxmlformats.org/officeDocument/2006/customXml" ds:itemID="{7C373E2D-3101-4D79-9055-85D365B78DFD}">
  <ds:schemaRefs>
    <ds:schemaRef ds:uri="http://schemas.microsoft.com/office/2006/metadata/properties"/>
    <ds:schemaRef ds:uri="http://schemas.microsoft.com/office/infopath/2007/PartnerControls"/>
    <ds:schemaRef ds:uri="3b1863b0-d5f6-4982-a8fb-946066269706"/>
    <ds:schemaRef ds:uri="743d362e-734a-4d59-959d-e26312ea5fc6"/>
  </ds:schemaRefs>
</ds:datastoreItem>
</file>

<file path=customXml/itemProps3.xml><?xml version="1.0" encoding="utf-8"?>
<ds:datastoreItem xmlns:ds="http://schemas.openxmlformats.org/officeDocument/2006/customXml" ds:itemID="{660EFE51-A3C5-4A52-9B72-F5FEA4E17BE1}">
  <ds:schemaRefs>
    <ds:schemaRef ds:uri="http://schemas.microsoft.com/sharepoint/v3/contenttype/forms"/>
  </ds:schemaRefs>
</ds:datastoreItem>
</file>

<file path=customXml/itemProps4.xml><?xml version="1.0" encoding="utf-8"?>
<ds:datastoreItem xmlns:ds="http://schemas.openxmlformats.org/officeDocument/2006/customXml" ds:itemID="{612CF81D-FE47-4228-B80E-F0726BBD2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d362e-734a-4d59-959d-e26312ea5fc6"/>
    <ds:schemaRef ds:uri="3b1863b0-d5f6-4982-a8fb-946066269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Written resolutions (members): management buyout: Newco</vt:lpstr>
    </vt:vector>
  </TitlesOfParts>
  <Company>Practical Law Company Ltd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resolutions (members): management buyout: Newco</dc:title>
  <dc:creator>Practical Law Company</dc:creator>
  <cp:lastModifiedBy>Karen Young</cp:lastModifiedBy>
  <cp:revision>2</cp:revision>
  <cp:lastPrinted>2024-04-23T14:07:00Z</cp:lastPrinted>
  <dcterms:created xsi:type="dcterms:W3CDTF">2026-04-30T09:03:00Z</dcterms:created>
  <dcterms:modified xsi:type="dcterms:W3CDTF">2026-04-30T09:03:00Z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0x01010004F98C79DDAFD04B99C9E3E5A43CDEA0</vt:lpwstr>
  </property>
  <property fmtid="{D5CDD505-2E9C-101B-9397-08002B2CF9AE}" pid="3" name="MediaServiceImageTags">
    <vt:lpwstr/>
  </property>
</Properties>
</file>