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CCD0F" w14:textId="77777777" w:rsidR="00872163" w:rsidRPr="00EB0825" w:rsidRDefault="00872163" w:rsidP="00872163">
      <w:pPr>
        <w:pStyle w:val="BodyText"/>
        <w:tabs>
          <w:tab w:val="center" w:pos="4513"/>
        </w:tabs>
        <w:jc w:val="center"/>
        <w:rPr>
          <w:rFonts w:ascii="Arial" w:hAnsi="Arial" w:cs="Arial"/>
          <w:b/>
          <w:bCs/>
          <w:sz w:val="22"/>
          <w:szCs w:val="22"/>
        </w:rPr>
      </w:pPr>
      <w:r w:rsidRPr="00EB0825">
        <w:rPr>
          <w:rFonts w:ascii="Arial" w:hAnsi="Arial" w:cs="Arial"/>
          <w:b/>
          <w:bCs/>
          <w:sz w:val="22"/>
          <w:szCs w:val="22"/>
        </w:rPr>
        <w:t>The Companies Act 2006</w:t>
      </w:r>
    </w:p>
    <w:p w14:paraId="3BA3986F" w14:textId="77777777" w:rsidR="00872163" w:rsidRPr="00EB0825" w:rsidRDefault="00872163" w:rsidP="00872163">
      <w:pPr>
        <w:pStyle w:val="BodyText"/>
        <w:tabs>
          <w:tab w:val="left" w:pos="0"/>
          <w:tab w:val="left" w:pos="720"/>
          <w:tab w:val="left" w:pos="1440"/>
          <w:tab w:val="left" w:pos="1732"/>
          <w:tab w:val="left" w:pos="2160"/>
          <w:tab w:val="left" w:pos="2797"/>
          <w:tab w:val="left" w:pos="2880"/>
        </w:tabs>
        <w:rPr>
          <w:rFonts w:ascii="Arial" w:hAnsi="Arial" w:cs="Arial"/>
          <w:b/>
          <w:bCs/>
          <w:sz w:val="22"/>
          <w:szCs w:val="22"/>
        </w:rPr>
      </w:pPr>
    </w:p>
    <w:p w14:paraId="0E1BA7F4" w14:textId="77777777" w:rsidR="00872163" w:rsidRPr="00EB0825" w:rsidRDefault="00872163" w:rsidP="00872163">
      <w:pPr>
        <w:pStyle w:val="BodyText"/>
        <w:tabs>
          <w:tab w:val="center" w:pos="4513"/>
        </w:tabs>
        <w:jc w:val="center"/>
        <w:rPr>
          <w:rFonts w:ascii="Arial" w:hAnsi="Arial" w:cs="Arial"/>
          <w:b/>
          <w:bCs/>
          <w:sz w:val="22"/>
          <w:szCs w:val="22"/>
        </w:rPr>
      </w:pPr>
      <w:r w:rsidRPr="00EB0825">
        <w:rPr>
          <w:rFonts w:ascii="Arial" w:hAnsi="Arial" w:cs="Arial"/>
          <w:b/>
          <w:bCs/>
          <w:sz w:val="22"/>
          <w:szCs w:val="22"/>
        </w:rPr>
        <w:t xml:space="preserve">COMPANY LIMITED BY SHARES </w:t>
      </w:r>
    </w:p>
    <w:p w14:paraId="5606F602" w14:textId="77777777" w:rsidR="00872163" w:rsidRPr="00EB0825" w:rsidRDefault="00872163" w:rsidP="00872163">
      <w:pPr>
        <w:pStyle w:val="BodyText"/>
        <w:tabs>
          <w:tab w:val="center" w:pos="4513"/>
        </w:tabs>
        <w:jc w:val="center"/>
        <w:rPr>
          <w:rFonts w:ascii="Arial" w:hAnsi="Arial" w:cs="Arial"/>
          <w:b/>
          <w:bCs/>
          <w:sz w:val="22"/>
          <w:szCs w:val="22"/>
        </w:rPr>
      </w:pPr>
    </w:p>
    <w:p w14:paraId="641897AC" w14:textId="77777777" w:rsidR="00872163" w:rsidRPr="00EB0825" w:rsidRDefault="00872163" w:rsidP="00872163">
      <w:pPr>
        <w:pStyle w:val="BodyText"/>
        <w:tabs>
          <w:tab w:val="center" w:pos="4513"/>
        </w:tabs>
        <w:jc w:val="center"/>
        <w:rPr>
          <w:rFonts w:ascii="Arial" w:hAnsi="Arial" w:cs="Arial"/>
          <w:b/>
          <w:bCs/>
          <w:sz w:val="22"/>
          <w:szCs w:val="22"/>
        </w:rPr>
      </w:pPr>
      <w:r w:rsidRPr="00EB0825">
        <w:rPr>
          <w:rFonts w:ascii="Arial" w:hAnsi="Arial" w:cs="Arial"/>
          <w:b/>
          <w:bCs/>
          <w:sz w:val="22"/>
          <w:szCs w:val="22"/>
        </w:rPr>
        <w:t>RESOLUTION</w:t>
      </w:r>
    </w:p>
    <w:p w14:paraId="1E7F7F5F" w14:textId="77777777" w:rsidR="00872163" w:rsidRPr="00EB0825" w:rsidRDefault="00872163" w:rsidP="00872163">
      <w:pPr>
        <w:pStyle w:val="BodyText"/>
        <w:tabs>
          <w:tab w:val="center" w:pos="4513"/>
        </w:tabs>
        <w:jc w:val="center"/>
        <w:rPr>
          <w:rFonts w:ascii="Arial" w:hAnsi="Arial" w:cs="Arial"/>
          <w:b/>
          <w:bCs/>
          <w:sz w:val="22"/>
          <w:szCs w:val="22"/>
        </w:rPr>
      </w:pPr>
      <w:r w:rsidRPr="00EB0825">
        <w:rPr>
          <w:rFonts w:ascii="Arial" w:hAnsi="Arial" w:cs="Arial"/>
          <w:b/>
          <w:bCs/>
          <w:sz w:val="22"/>
          <w:szCs w:val="22"/>
        </w:rPr>
        <w:t>OF</w:t>
      </w:r>
    </w:p>
    <w:p w14:paraId="1C4629D8" w14:textId="77777777" w:rsidR="00872163" w:rsidRPr="00EB0825" w:rsidRDefault="00872163" w:rsidP="00872163">
      <w:pPr>
        <w:pStyle w:val="BodyText"/>
        <w:tabs>
          <w:tab w:val="center" w:pos="4513"/>
        </w:tabs>
        <w:jc w:val="center"/>
        <w:rPr>
          <w:rFonts w:ascii="Arial" w:hAnsi="Arial" w:cs="Arial"/>
          <w:b/>
          <w:bCs/>
          <w:sz w:val="22"/>
          <w:szCs w:val="22"/>
        </w:rPr>
      </w:pPr>
      <w:r w:rsidRPr="00EB0825">
        <w:rPr>
          <w:rFonts w:ascii="Arial" w:hAnsi="Arial" w:cs="Arial"/>
          <w:b/>
          <w:bCs/>
          <w:sz w:val="22"/>
          <w:szCs w:val="22"/>
        </w:rPr>
        <w:t>WHITBREAD PLC</w:t>
      </w:r>
    </w:p>
    <w:p w14:paraId="4ABFFE23" w14:textId="77777777" w:rsidR="00872163" w:rsidRPr="00EB0825" w:rsidRDefault="00872163" w:rsidP="00872163">
      <w:pPr>
        <w:pStyle w:val="BodyText"/>
        <w:tabs>
          <w:tab w:val="center" w:pos="4513"/>
        </w:tabs>
        <w:jc w:val="center"/>
        <w:rPr>
          <w:rFonts w:ascii="Arial" w:hAnsi="Arial" w:cs="Arial"/>
          <w:b/>
          <w:bCs/>
          <w:sz w:val="22"/>
          <w:szCs w:val="22"/>
        </w:rPr>
      </w:pPr>
      <w:r w:rsidRPr="00EB0825">
        <w:rPr>
          <w:rFonts w:ascii="Arial" w:hAnsi="Arial" w:cs="Arial"/>
          <w:b/>
          <w:bCs/>
          <w:sz w:val="22"/>
          <w:szCs w:val="22"/>
        </w:rPr>
        <w:t>COMPANY NUMBER: 04120344</w:t>
      </w:r>
    </w:p>
    <w:p w14:paraId="4285672C" w14:textId="77777777" w:rsidR="00872163" w:rsidRPr="00EB0825" w:rsidRDefault="00872163" w:rsidP="00872163">
      <w:pPr>
        <w:pStyle w:val="BodyText"/>
        <w:tabs>
          <w:tab w:val="left" w:pos="0"/>
          <w:tab w:val="left" w:pos="720"/>
          <w:tab w:val="left" w:pos="1440"/>
          <w:tab w:val="left" w:pos="1732"/>
          <w:tab w:val="left" w:pos="2160"/>
          <w:tab w:val="left" w:pos="2797"/>
          <w:tab w:val="left" w:pos="2880"/>
        </w:tabs>
        <w:rPr>
          <w:rFonts w:ascii="Arial" w:hAnsi="Arial" w:cs="Arial"/>
          <w:b/>
          <w:bCs/>
          <w:sz w:val="22"/>
          <w:szCs w:val="22"/>
        </w:rPr>
      </w:pPr>
    </w:p>
    <w:p w14:paraId="12D3D063" w14:textId="7739EEC4" w:rsidR="00872163" w:rsidRPr="00EB0825" w:rsidRDefault="00872163" w:rsidP="00872163">
      <w:pPr>
        <w:pStyle w:val="BodyText"/>
        <w:tabs>
          <w:tab w:val="center" w:pos="4513"/>
        </w:tabs>
        <w:jc w:val="center"/>
        <w:rPr>
          <w:rFonts w:ascii="Arial" w:hAnsi="Arial" w:cs="Arial"/>
          <w:b/>
          <w:bCs/>
          <w:sz w:val="22"/>
          <w:szCs w:val="22"/>
        </w:rPr>
      </w:pPr>
      <w:r w:rsidRPr="00EB0825">
        <w:rPr>
          <w:rFonts w:ascii="Arial" w:hAnsi="Arial" w:cs="Arial"/>
          <w:b/>
          <w:bCs/>
          <w:sz w:val="22"/>
          <w:szCs w:val="22"/>
        </w:rPr>
        <w:t xml:space="preserve">Passed on </w:t>
      </w:r>
      <w:r w:rsidR="00EF0D19" w:rsidRPr="00EB0825">
        <w:rPr>
          <w:rFonts w:ascii="Arial" w:hAnsi="Arial" w:cs="Arial"/>
          <w:b/>
          <w:bCs/>
          <w:sz w:val="22"/>
          <w:szCs w:val="22"/>
        </w:rPr>
        <w:t>1</w:t>
      </w:r>
      <w:r w:rsidR="008F00A5" w:rsidRPr="00EB0825">
        <w:rPr>
          <w:rFonts w:ascii="Arial" w:hAnsi="Arial" w:cs="Arial"/>
          <w:b/>
          <w:bCs/>
          <w:sz w:val="22"/>
          <w:szCs w:val="22"/>
        </w:rPr>
        <w:t>9</w:t>
      </w:r>
      <w:r w:rsidRPr="00EB0825">
        <w:rPr>
          <w:rFonts w:ascii="Arial" w:hAnsi="Arial" w:cs="Arial"/>
          <w:b/>
          <w:bCs/>
          <w:sz w:val="22"/>
          <w:szCs w:val="22"/>
        </w:rPr>
        <w:t xml:space="preserve"> June 202</w:t>
      </w:r>
      <w:r w:rsidR="008F00A5" w:rsidRPr="00EB0825">
        <w:rPr>
          <w:rFonts w:ascii="Arial" w:hAnsi="Arial" w:cs="Arial"/>
          <w:b/>
          <w:bCs/>
          <w:sz w:val="22"/>
          <w:szCs w:val="22"/>
        </w:rPr>
        <w:t>5</w:t>
      </w:r>
    </w:p>
    <w:p w14:paraId="62EE31CA" w14:textId="77777777" w:rsidR="00872163" w:rsidRPr="00EB0825" w:rsidRDefault="00872163" w:rsidP="00872163">
      <w:pPr>
        <w:jc w:val="center"/>
        <w:rPr>
          <w:rFonts w:ascii="Arial" w:hAnsi="Arial" w:cs="Arial"/>
          <w:sz w:val="22"/>
          <w:szCs w:val="22"/>
        </w:rPr>
      </w:pPr>
    </w:p>
    <w:p w14:paraId="66F90BB1" w14:textId="0CCB0522" w:rsidR="00872163" w:rsidRPr="00EB0825" w:rsidRDefault="00872163" w:rsidP="00872163">
      <w:pPr>
        <w:pStyle w:val="BodyText2"/>
        <w:jc w:val="center"/>
        <w:rPr>
          <w:rFonts w:ascii="Arial" w:hAnsi="Arial" w:cs="Arial"/>
          <w:sz w:val="22"/>
          <w:szCs w:val="22"/>
        </w:rPr>
      </w:pPr>
      <w:r w:rsidRPr="00EB0825">
        <w:rPr>
          <w:rFonts w:ascii="Arial" w:hAnsi="Arial" w:cs="Arial"/>
          <w:sz w:val="22"/>
          <w:szCs w:val="22"/>
        </w:rPr>
        <w:t xml:space="preserve">At the Annual General Meeting held on </w:t>
      </w:r>
      <w:r w:rsidR="00EF0D19" w:rsidRPr="00EB0825">
        <w:rPr>
          <w:rFonts w:ascii="Arial" w:hAnsi="Arial" w:cs="Arial"/>
          <w:sz w:val="22"/>
          <w:szCs w:val="22"/>
        </w:rPr>
        <w:t>1</w:t>
      </w:r>
      <w:r w:rsidR="008F00A5" w:rsidRPr="00EB0825">
        <w:rPr>
          <w:rFonts w:ascii="Arial" w:hAnsi="Arial" w:cs="Arial"/>
          <w:sz w:val="22"/>
          <w:szCs w:val="22"/>
        </w:rPr>
        <w:t>9</w:t>
      </w:r>
      <w:r w:rsidR="00EF0D19" w:rsidRPr="00EB0825">
        <w:rPr>
          <w:rFonts w:ascii="Arial" w:hAnsi="Arial" w:cs="Arial"/>
          <w:sz w:val="22"/>
          <w:szCs w:val="22"/>
        </w:rPr>
        <w:t xml:space="preserve"> </w:t>
      </w:r>
      <w:r w:rsidRPr="00EB0825">
        <w:rPr>
          <w:rFonts w:ascii="Arial" w:hAnsi="Arial" w:cs="Arial"/>
          <w:sz w:val="22"/>
          <w:szCs w:val="22"/>
        </w:rPr>
        <w:t>June 202</w:t>
      </w:r>
      <w:r w:rsidR="008F00A5" w:rsidRPr="00EB0825">
        <w:rPr>
          <w:rFonts w:ascii="Arial" w:hAnsi="Arial" w:cs="Arial"/>
          <w:sz w:val="22"/>
          <w:szCs w:val="22"/>
        </w:rPr>
        <w:t>5</w:t>
      </w:r>
      <w:r w:rsidRPr="00EB0825">
        <w:rPr>
          <w:rFonts w:ascii="Arial" w:hAnsi="Arial" w:cs="Arial"/>
          <w:sz w:val="22"/>
          <w:szCs w:val="22"/>
        </w:rPr>
        <w:t xml:space="preserve"> the following resolutions were passed:</w:t>
      </w:r>
    </w:p>
    <w:p w14:paraId="7B42620F" w14:textId="77777777" w:rsidR="00872163" w:rsidRPr="00EB0825" w:rsidRDefault="00872163" w:rsidP="00872163">
      <w:pPr>
        <w:pStyle w:val="BodyText2"/>
        <w:jc w:val="center"/>
        <w:rPr>
          <w:rFonts w:ascii="Arial" w:hAnsi="Arial" w:cs="Arial"/>
          <w:sz w:val="22"/>
          <w:szCs w:val="22"/>
        </w:rPr>
      </w:pPr>
    </w:p>
    <w:p w14:paraId="341C4F15" w14:textId="10AD7A96" w:rsidR="00872163" w:rsidRPr="00EB0825" w:rsidRDefault="007B4DB6" w:rsidP="00872163">
      <w:pPr>
        <w:pStyle w:val="Heading1"/>
        <w:rPr>
          <w:rFonts w:ascii="Arial" w:hAnsi="Arial" w:cs="Arial"/>
          <w:bCs w:val="0"/>
          <w:i w:val="0"/>
          <w:iCs w:val="0"/>
          <w:sz w:val="22"/>
          <w:szCs w:val="22"/>
        </w:rPr>
      </w:pPr>
      <w:r w:rsidRPr="00EB0825">
        <w:rPr>
          <w:rFonts w:ascii="Arial" w:hAnsi="Arial" w:cs="Arial"/>
          <w:bCs w:val="0"/>
          <w:i w:val="0"/>
          <w:iCs w:val="0"/>
          <w:sz w:val="22"/>
          <w:szCs w:val="22"/>
        </w:rPr>
        <w:t>Ordinary</w:t>
      </w:r>
      <w:r w:rsidR="00872163" w:rsidRPr="00EB0825">
        <w:rPr>
          <w:rFonts w:ascii="Arial" w:hAnsi="Arial" w:cs="Arial"/>
          <w:bCs w:val="0"/>
          <w:i w:val="0"/>
          <w:iCs w:val="0"/>
          <w:sz w:val="22"/>
          <w:szCs w:val="22"/>
        </w:rPr>
        <w:t xml:space="preserve"> Resolution</w:t>
      </w:r>
    </w:p>
    <w:p w14:paraId="3C00B904" w14:textId="77777777" w:rsidR="008F00A5" w:rsidRPr="00EB0825" w:rsidRDefault="008F00A5" w:rsidP="008F00A5">
      <w:pPr>
        <w:rPr>
          <w:rFonts w:ascii="Arial" w:hAnsi="Arial" w:cs="Arial"/>
          <w:sz w:val="22"/>
          <w:szCs w:val="22"/>
        </w:rPr>
      </w:pPr>
    </w:p>
    <w:p w14:paraId="6E9D2758" w14:textId="6BAC49D8" w:rsidR="005E3736" w:rsidRPr="00EB0825" w:rsidRDefault="00BF5EB3" w:rsidP="005E3736">
      <w:pPr>
        <w:spacing w:line="276" w:lineRule="auto"/>
        <w:ind w:left="720"/>
        <w:jc w:val="both"/>
        <w:rPr>
          <w:rFonts w:ascii="Arial" w:hAnsi="Arial" w:cs="Arial"/>
          <w:sz w:val="22"/>
          <w:szCs w:val="22"/>
        </w:rPr>
      </w:pPr>
      <w:r w:rsidRPr="00EB0825">
        <w:rPr>
          <w:rFonts w:ascii="Arial" w:hAnsi="Arial" w:cs="Arial"/>
          <w:b/>
          <w:bCs/>
          <w:sz w:val="22"/>
          <w:szCs w:val="22"/>
        </w:rPr>
        <w:t>1</w:t>
      </w:r>
      <w:r w:rsidR="00EF0D19" w:rsidRPr="00EB0825">
        <w:rPr>
          <w:rFonts w:ascii="Arial" w:hAnsi="Arial" w:cs="Arial"/>
          <w:b/>
          <w:bCs/>
          <w:sz w:val="22"/>
          <w:szCs w:val="22"/>
        </w:rPr>
        <w:t>8</w:t>
      </w:r>
      <w:r w:rsidRPr="00EB0825">
        <w:rPr>
          <w:rFonts w:ascii="Arial" w:hAnsi="Arial" w:cs="Arial"/>
          <w:sz w:val="22"/>
          <w:szCs w:val="22"/>
        </w:rPr>
        <w:t xml:space="preserve">. </w:t>
      </w:r>
      <w:r w:rsidR="005E3736" w:rsidRPr="00EB0825">
        <w:rPr>
          <w:rFonts w:ascii="Arial" w:hAnsi="Arial" w:cs="Arial"/>
          <w:sz w:val="22"/>
          <w:szCs w:val="22"/>
        </w:rPr>
        <w:t>That the Board be generally and unconditionally authorised in accordance with section 551 of the Act to allot shares in the Company and to grant rights to subscribe for or convert any security into shares in the Company:</w:t>
      </w:r>
    </w:p>
    <w:p w14:paraId="087AAEED" w14:textId="77777777" w:rsidR="005E3736" w:rsidRPr="00EB0825" w:rsidRDefault="005E3736" w:rsidP="005E3736">
      <w:pPr>
        <w:spacing w:line="276" w:lineRule="auto"/>
        <w:ind w:left="720"/>
        <w:jc w:val="both"/>
        <w:rPr>
          <w:rFonts w:ascii="Arial" w:hAnsi="Arial" w:cs="Arial"/>
          <w:sz w:val="22"/>
          <w:szCs w:val="22"/>
        </w:rPr>
      </w:pPr>
    </w:p>
    <w:p w14:paraId="3C79E9ED" w14:textId="38CEF0C9" w:rsidR="005E3736" w:rsidRPr="00EB0825" w:rsidRDefault="005E3736" w:rsidP="00EB0825">
      <w:pPr>
        <w:pStyle w:val="ListParagraph"/>
        <w:numPr>
          <w:ilvl w:val="0"/>
          <w:numId w:val="7"/>
        </w:numPr>
        <w:spacing w:line="276" w:lineRule="auto"/>
        <w:jc w:val="both"/>
        <w:rPr>
          <w:rFonts w:ascii="Arial" w:hAnsi="Arial" w:cs="Arial"/>
          <w:sz w:val="22"/>
          <w:szCs w:val="22"/>
        </w:rPr>
      </w:pPr>
      <w:r w:rsidRPr="00EB0825">
        <w:rPr>
          <w:rFonts w:ascii="Arial" w:hAnsi="Arial" w:cs="Arial"/>
          <w:sz w:val="22"/>
          <w:szCs w:val="22"/>
        </w:rPr>
        <w:t xml:space="preserve">up to a nominal amount of £45,147,905 (such amount to be reduced by any allotments or grants made under paragraph (B) below </w:t>
      </w:r>
      <w:proofErr w:type="gramStart"/>
      <w:r w:rsidRPr="00EB0825">
        <w:rPr>
          <w:rFonts w:ascii="Arial" w:hAnsi="Arial" w:cs="Arial"/>
          <w:sz w:val="22"/>
          <w:szCs w:val="22"/>
        </w:rPr>
        <w:t>in excess of</w:t>
      </w:r>
      <w:proofErr w:type="gramEnd"/>
      <w:r w:rsidRPr="00EB0825">
        <w:rPr>
          <w:rFonts w:ascii="Arial" w:hAnsi="Arial" w:cs="Arial"/>
          <w:sz w:val="22"/>
          <w:szCs w:val="22"/>
        </w:rPr>
        <w:t xml:space="preserve"> such sum); and</w:t>
      </w:r>
    </w:p>
    <w:p w14:paraId="508E0B39" w14:textId="77777777" w:rsidR="00EB0825" w:rsidRPr="00EB0825" w:rsidRDefault="00EB0825" w:rsidP="00EB0825">
      <w:pPr>
        <w:pStyle w:val="ListParagraph"/>
        <w:spacing w:line="276" w:lineRule="auto"/>
        <w:ind w:left="1080"/>
        <w:jc w:val="both"/>
        <w:rPr>
          <w:rFonts w:ascii="Arial" w:hAnsi="Arial" w:cs="Arial"/>
          <w:sz w:val="22"/>
          <w:szCs w:val="22"/>
        </w:rPr>
      </w:pPr>
    </w:p>
    <w:p w14:paraId="3D54FFC6" w14:textId="372279B0" w:rsidR="005E3736" w:rsidRPr="00EB0825" w:rsidRDefault="005E3736" w:rsidP="00EB0825">
      <w:pPr>
        <w:pStyle w:val="ListParagraph"/>
        <w:numPr>
          <w:ilvl w:val="0"/>
          <w:numId w:val="7"/>
        </w:numPr>
        <w:spacing w:line="276" w:lineRule="auto"/>
        <w:jc w:val="both"/>
        <w:rPr>
          <w:rFonts w:ascii="Arial" w:hAnsi="Arial" w:cs="Arial"/>
          <w:sz w:val="22"/>
          <w:szCs w:val="22"/>
        </w:rPr>
      </w:pPr>
      <w:r w:rsidRPr="00EB0825">
        <w:rPr>
          <w:rFonts w:ascii="Arial" w:hAnsi="Arial" w:cs="Arial"/>
          <w:sz w:val="22"/>
          <w:szCs w:val="22"/>
        </w:rPr>
        <w:t>comprising equity securities (as defined in the Act) up to a nominal amount of £90,295,811 (such amount to be reduced by any allotments or grants made under</w:t>
      </w:r>
      <w:r w:rsidR="00EB0825" w:rsidRPr="00EB0825">
        <w:rPr>
          <w:rFonts w:ascii="Arial" w:hAnsi="Arial" w:cs="Arial"/>
          <w:sz w:val="22"/>
          <w:szCs w:val="22"/>
        </w:rPr>
        <w:t xml:space="preserve"> </w:t>
      </w:r>
      <w:r w:rsidRPr="00EB0825">
        <w:rPr>
          <w:rFonts w:ascii="Arial" w:hAnsi="Arial" w:cs="Arial"/>
          <w:sz w:val="22"/>
          <w:szCs w:val="22"/>
        </w:rPr>
        <w:t>paragraph (A) above) in connection with a pre-emptive offer (including an offer by way of a rights issue or open offer):</w:t>
      </w:r>
    </w:p>
    <w:p w14:paraId="22374A36" w14:textId="77777777" w:rsidR="005E3736" w:rsidRPr="00EB0825" w:rsidRDefault="005E3736" w:rsidP="005E3736">
      <w:pPr>
        <w:spacing w:line="276" w:lineRule="auto"/>
        <w:ind w:left="720"/>
        <w:jc w:val="both"/>
        <w:rPr>
          <w:rFonts w:ascii="Arial" w:hAnsi="Arial" w:cs="Arial"/>
          <w:sz w:val="22"/>
          <w:szCs w:val="22"/>
        </w:rPr>
      </w:pPr>
    </w:p>
    <w:p w14:paraId="5981F170" w14:textId="43238ED6" w:rsidR="005E3736" w:rsidRPr="00EB0825" w:rsidRDefault="005E3736" w:rsidP="00EB0825">
      <w:pPr>
        <w:pStyle w:val="ListParagraph"/>
        <w:numPr>
          <w:ilvl w:val="0"/>
          <w:numId w:val="8"/>
        </w:numPr>
        <w:spacing w:line="276" w:lineRule="auto"/>
        <w:jc w:val="both"/>
        <w:rPr>
          <w:rFonts w:ascii="Arial" w:hAnsi="Arial" w:cs="Arial"/>
          <w:sz w:val="22"/>
          <w:szCs w:val="22"/>
        </w:rPr>
      </w:pPr>
      <w:r w:rsidRPr="00EB0825">
        <w:rPr>
          <w:rFonts w:ascii="Arial" w:hAnsi="Arial" w:cs="Arial"/>
          <w:sz w:val="22"/>
          <w:szCs w:val="22"/>
        </w:rPr>
        <w:t>to ordinary shareholders in proportion (as nearly as may be practicable) to their existing holdings; and</w:t>
      </w:r>
    </w:p>
    <w:p w14:paraId="6F85C3F6" w14:textId="77777777" w:rsidR="005E3736" w:rsidRPr="00EB0825" w:rsidRDefault="005E3736" w:rsidP="005E3736">
      <w:pPr>
        <w:spacing w:line="276" w:lineRule="auto"/>
        <w:ind w:left="720"/>
        <w:jc w:val="both"/>
        <w:rPr>
          <w:rFonts w:ascii="Arial" w:hAnsi="Arial" w:cs="Arial"/>
          <w:sz w:val="22"/>
          <w:szCs w:val="22"/>
        </w:rPr>
      </w:pPr>
    </w:p>
    <w:p w14:paraId="5BBC8364" w14:textId="7E9F156F" w:rsidR="005E3736" w:rsidRPr="00EB0825" w:rsidRDefault="005E3736" w:rsidP="00EB0825">
      <w:pPr>
        <w:pStyle w:val="ListParagraph"/>
        <w:numPr>
          <w:ilvl w:val="0"/>
          <w:numId w:val="8"/>
        </w:numPr>
        <w:spacing w:line="276" w:lineRule="auto"/>
        <w:jc w:val="both"/>
        <w:rPr>
          <w:rFonts w:ascii="Arial" w:hAnsi="Arial" w:cs="Arial"/>
          <w:sz w:val="22"/>
          <w:szCs w:val="22"/>
        </w:rPr>
      </w:pPr>
      <w:r w:rsidRPr="00EB0825">
        <w:rPr>
          <w:rFonts w:ascii="Arial" w:hAnsi="Arial" w:cs="Arial"/>
          <w:sz w:val="22"/>
          <w:szCs w:val="22"/>
        </w:rPr>
        <w:t>to holders of other equity securities as required by the rights of those securities or</w:t>
      </w:r>
      <w:r w:rsidR="00EB0825" w:rsidRPr="00EB0825">
        <w:rPr>
          <w:rFonts w:ascii="Arial" w:hAnsi="Arial" w:cs="Arial"/>
          <w:sz w:val="22"/>
          <w:szCs w:val="22"/>
        </w:rPr>
        <w:t xml:space="preserve"> </w:t>
      </w:r>
      <w:r w:rsidRPr="00EB0825">
        <w:rPr>
          <w:rFonts w:ascii="Arial" w:hAnsi="Arial" w:cs="Arial"/>
          <w:sz w:val="22"/>
          <w:szCs w:val="22"/>
        </w:rPr>
        <w:t xml:space="preserve">as the Board otherwise considers necessary, </w:t>
      </w:r>
    </w:p>
    <w:p w14:paraId="0B14A99A" w14:textId="77777777" w:rsidR="005E3736" w:rsidRPr="00EB0825" w:rsidRDefault="005E3736" w:rsidP="005E3736">
      <w:pPr>
        <w:spacing w:line="276" w:lineRule="auto"/>
        <w:ind w:left="720"/>
        <w:jc w:val="both"/>
        <w:rPr>
          <w:rFonts w:ascii="Arial" w:hAnsi="Arial" w:cs="Arial"/>
          <w:sz w:val="22"/>
          <w:szCs w:val="22"/>
        </w:rPr>
      </w:pPr>
    </w:p>
    <w:p w14:paraId="50F1C4EC" w14:textId="77777777" w:rsidR="005E3736" w:rsidRPr="00EB0825" w:rsidRDefault="005E3736" w:rsidP="005E3736">
      <w:pPr>
        <w:spacing w:line="276" w:lineRule="auto"/>
        <w:ind w:left="720"/>
        <w:jc w:val="both"/>
        <w:rPr>
          <w:rFonts w:ascii="Arial" w:hAnsi="Arial" w:cs="Arial"/>
          <w:sz w:val="22"/>
          <w:szCs w:val="22"/>
        </w:rPr>
      </w:pPr>
      <w:r w:rsidRPr="00EB0825">
        <w:rPr>
          <w:rFonts w:ascii="Arial" w:hAnsi="Arial" w:cs="Arial"/>
          <w:sz w:val="22"/>
          <w:szCs w:val="22"/>
        </w:rPr>
        <w:t xml:space="preserve">and so that the Board may impose any limits or restrictions and make any arrangements which it considers necessary or appropriate to deal with treasury shares, fractional entitlements, record dates, legal, regulatory or practical problems in, or under the laws of, any territory or any other matter, </w:t>
      </w:r>
    </w:p>
    <w:p w14:paraId="6F120D23" w14:textId="77777777" w:rsidR="005E3736" w:rsidRPr="00EB0825" w:rsidRDefault="005E3736" w:rsidP="005E3736">
      <w:pPr>
        <w:spacing w:line="276" w:lineRule="auto"/>
        <w:ind w:left="720"/>
        <w:jc w:val="both"/>
        <w:rPr>
          <w:rFonts w:ascii="Arial" w:hAnsi="Arial" w:cs="Arial"/>
          <w:sz w:val="22"/>
          <w:szCs w:val="22"/>
        </w:rPr>
      </w:pPr>
    </w:p>
    <w:p w14:paraId="3449F16A" w14:textId="5DE730DD" w:rsidR="00BF5EB3" w:rsidRPr="00EB0825" w:rsidRDefault="005E3736" w:rsidP="005E3736">
      <w:pPr>
        <w:spacing w:line="276" w:lineRule="auto"/>
        <w:ind w:left="720"/>
        <w:jc w:val="both"/>
        <w:rPr>
          <w:rFonts w:ascii="Arial" w:hAnsi="Arial" w:cs="Arial"/>
          <w:sz w:val="22"/>
          <w:szCs w:val="22"/>
        </w:rPr>
      </w:pPr>
      <w:r w:rsidRPr="00EB0825">
        <w:rPr>
          <w:rFonts w:ascii="Arial" w:hAnsi="Arial" w:cs="Arial"/>
          <w:sz w:val="22"/>
          <w:szCs w:val="22"/>
        </w:rPr>
        <w:t>such authority to apply until the end of next year’s AGM (or, if earlier, until the close of business on 19 September 2026) but, in each case, during this period the Company may make offers and enter into agreements which would, or might, require shares to be allotted or rights to subscribe for or convert securities into shares to be granted after the authority ends and the Board may allot shares or grant rights to subscribe for or convert securities into shares under any such offer or agreement as if the authority had not ended.</w:t>
      </w:r>
    </w:p>
    <w:p w14:paraId="1EAA4D5A" w14:textId="77777777" w:rsidR="003A6874" w:rsidRPr="00EB0825" w:rsidRDefault="003A6874" w:rsidP="005E3736">
      <w:pPr>
        <w:spacing w:line="276" w:lineRule="auto"/>
        <w:ind w:left="720"/>
        <w:jc w:val="both"/>
        <w:rPr>
          <w:rFonts w:ascii="Arial" w:hAnsi="Arial" w:cs="Arial"/>
          <w:sz w:val="22"/>
          <w:szCs w:val="22"/>
        </w:rPr>
      </w:pPr>
    </w:p>
    <w:p w14:paraId="1AB052DB" w14:textId="77777777" w:rsidR="003A6874" w:rsidRPr="00EB0825" w:rsidRDefault="003A6874" w:rsidP="005E3736">
      <w:pPr>
        <w:spacing w:line="276" w:lineRule="auto"/>
        <w:ind w:left="720"/>
        <w:jc w:val="both"/>
        <w:rPr>
          <w:rFonts w:ascii="Arial" w:hAnsi="Arial" w:cs="Arial"/>
          <w:sz w:val="22"/>
          <w:szCs w:val="22"/>
        </w:rPr>
      </w:pPr>
    </w:p>
    <w:p w14:paraId="0AB1C50F" w14:textId="77777777" w:rsidR="003A6874" w:rsidRPr="00EB0825" w:rsidRDefault="003A6874" w:rsidP="005E3736">
      <w:pPr>
        <w:spacing w:line="276" w:lineRule="auto"/>
        <w:ind w:left="720"/>
        <w:jc w:val="both"/>
        <w:rPr>
          <w:rFonts w:ascii="Arial" w:hAnsi="Arial" w:cs="Arial"/>
          <w:sz w:val="22"/>
          <w:szCs w:val="22"/>
        </w:rPr>
      </w:pPr>
    </w:p>
    <w:p w14:paraId="45F9737F" w14:textId="77777777" w:rsidR="003A6874" w:rsidRPr="00EB0825" w:rsidRDefault="003A6874" w:rsidP="005E3736">
      <w:pPr>
        <w:spacing w:line="276" w:lineRule="auto"/>
        <w:ind w:left="720"/>
        <w:jc w:val="both"/>
        <w:rPr>
          <w:rFonts w:ascii="Arial" w:hAnsi="Arial" w:cs="Arial"/>
          <w:sz w:val="22"/>
          <w:szCs w:val="22"/>
        </w:rPr>
      </w:pPr>
    </w:p>
    <w:p w14:paraId="167CACB0" w14:textId="77777777" w:rsidR="003A6874" w:rsidRPr="00EB0825" w:rsidRDefault="003A6874" w:rsidP="005E3736">
      <w:pPr>
        <w:spacing w:line="276" w:lineRule="auto"/>
        <w:ind w:left="720"/>
        <w:jc w:val="both"/>
        <w:rPr>
          <w:rFonts w:ascii="Arial" w:hAnsi="Arial" w:cs="Arial"/>
          <w:sz w:val="22"/>
          <w:szCs w:val="22"/>
        </w:rPr>
      </w:pPr>
    </w:p>
    <w:p w14:paraId="4E558C48" w14:textId="77777777" w:rsidR="003A6874" w:rsidRPr="00EB0825" w:rsidRDefault="003A6874" w:rsidP="005E3736">
      <w:pPr>
        <w:spacing w:line="276" w:lineRule="auto"/>
        <w:ind w:left="720"/>
        <w:jc w:val="both"/>
        <w:rPr>
          <w:rFonts w:ascii="Arial" w:hAnsi="Arial" w:cs="Arial"/>
          <w:sz w:val="22"/>
          <w:szCs w:val="22"/>
        </w:rPr>
      </w:pPr>
    </w:p>
    <w:p w14:paraId="107702D9" w14:textId="77777777" w:rsidR="003A6874" w:rsidRPr="00EB0825" w:rsidRDefault="003A6874" w:rsidP="005E3736">
      <w:pPr>
        <w:spacing w:line="276" w:lineRule="auto"/>
        <w:ind w:left="720"/>
        <w:jc w:val="both"/>
        <w:rPr>
          <w:rFonts w:ascii="Arial" w:hAnsi="Arial" w:cs="Arial"/>
          <w:sz w:val="22"/>
          <w:szCs w:val="22"/>
        </w:rPr>
      </w:pPr>
    </w:p>
    <w:p w14:paraId="7BD9EEAC" w14:textId="77777777" w:rsidR="003A6874" w:rsidRPr="00EB0825" w:rsidRDefault="003A6874" w:rsidP="005E3736">
      <w:pPr>
        <w:spacing w:line="276" w:lineRule="auto"/>
        <w:ind w:left="720"/>
        <w:jc w:val="both"/>
        <w:rPr>
          <w:rFonts w:ascii="Arial" w:hAnsi="Arial" w:cs="Arial"/>
          <w:sz w:val="22"/>
          <w:szCs w:val="22"/>
        </w:rPr>
      </w:pPr>
    </w:p>
    <w:p w14:paraId="0652A219" w14:textId="0A2F55AD" w:rsidR="003A6874" w:rsidRPr="00EB0825" w:rsidRDefault="003A6874" w:rsidP="003A6874">
      <w:pPr>
        <w:spacing w:line="276" w:lineRule="auto"/>
        <w:ind w:left="720"/>
        <w:jc w:val="center"/>
        <w:rPr>
          <w:rFonts w:ascii="Arial" w:hAnsi="Arial" w:cs="Arial"/>
          <w:b/>
          <w:bCs/>
          <w:sz w:val="22"/>
          <w:szCs w:val="22"/>
        </w:rPr>
      </w:pPr>
      <w:r w:rsidRPr="00EB0825">
        <w:rPr>
          <w:rFonts w:ascii="Arial" w:hAnsi="Arial" w:cs="Arial"/>
          <w:b/>
          <w:bCs/>
          <w:sz w:val="22"/>
          <w:szCs w:val="22"/>
        </w:rPr>
        <w:t>SPECIAL RESOLUTION</w:t>
      </w:r>
    </w:p>
    <w:p w14:paraId="36A58594" w14:textId="77777777" w:rsidR="003A6874" w:rsidRPr="00EB0825" w:rsidRDefault="003A6874" w:rsidP="003A6874">
      <w:pPr>
        <w:spacing w:line="276" w:lineRule="auto"/>
        <w:ind w:left="720"/>
        <w:rPr>
          <w:rFonts w:ascii="Arial" w:hAnsi="Arial" w:cs="Arial"/>
          <w:sz w:val="22"/>
          <w:szCs w:val="22"/>
        </w:rPr>
      </w:pPr>
    </w:p>
    <w:p w14:paraId="557D8A56" w14:textId="6654B8E4" w:rsidR="006A7736" w:rsidRDefault="006A7736" w:rsidP="006A7736">
      <w:pPr>
        <w:spacing w:line="276" w:lineRule="auto"/>
        <w:ind w:left="720"/>
        <w:rPr>
          <w:rFonts w:ascii="Arial" w:hAnsi="Arial" w:cs="Arial"/>
          <w:sz w:val="22"/>
          <w:szCs w:val="22"/>
        </w:rPr>
      </w:pPr>
      <w:r w:rsidRPr="006A7736">
        <w:rPr>
          <w:rFonts w:ascii="Arial" w:hAnsi="Arial" w:cs="Arial"/>
          <w:b/>
          <w:bCs/>
          <w:sz w:val="22"/>
          <w:szCs w:val="22"/>
        </w:rPr>
        <w:t>20.</w:t>
      </w:r>
      <w:r>
        <w:rPr>
          <w:rFonts w:ascii="Arial" w:hAnsi="Arial" w:cs="Arial"/>
          <w:sz w:val="22"/>
          <w:szCs w:val="22"/>
        </w:rPr>
        <w:t xml:space="preserve"> </w:t>
      </w:r>
      <w:r w:rsidRPr="006A7736">
        <w:rPr>
          <w:rFonts w:ascii="Arial" w:hAnsi="Arial" w:cs="Arial"/>
          <w:sz w:val="22"/>
          <w:szCs w:val="22"/>
        </w:rPr>
        <w:t>That, if resolution 18 is passed, the Board be given the power</w:t>
      </w:r>
      <w:r>
        <w:rPr>
          <w:rFonts w:ascii="Arial" w:hAnsi="Arial" w:cs="Arial"/>
          <w:sz w:val="22"/>
          <w:szCs w:val="22"/>
        </w:rPr>
        <w:t xml:space="preserve"> </w:t>
      </w:r>
      <w:r w:rsidRPr="006A7736">
        <w:rPr>
          <w:rFonts w:ascii="Arial" w:hAnsi="Arial" w:cs="Arial"/>
          <w:sz w:val="22"/>
          <w:szCs w:val="22"/>
        </w:rPr>
        <w:t>in addition to any power granted under resolution 19 to allot</w:t>
      </w:r>
      <w:r>
        <w:rPr>
          <w:rFonts w:ascii="Arial" w:hAnsi="Arial" w:cs="Arial"/>
          <w:sz w:val="22"/>
          <w:szCs w:val="22"/>
        </w:rPr>
        <w:t xml:space="preserve"> </w:t>
      </w:r>
      <w:r w:rsidRPr="006A7736">
        <w:rPr>
          <w:rFonts w:ascii="Arial" w:hAnsi="Arial" w:cs="Arial"/>
          <w:sz w:val="22"/>
          <w:szCs w:val="22"/>
        </w:rPr>
        <w:t>equity securities (as defined in the Act) for cash under the</w:t>
      </w:r>
      <w:r>
        <w:rPr>
          <w:rFonts w:ascii="Arial" w:hAnsi="Arial" w:cs="Arial"/>
          <w:sz w:val="22"/>
          <w:szCs w:val="22"/>
        </w:rPr>
        <w:t xml:space="preserve"> </w:t>
      </w:r>
      <w:r w:rsidRPr="006A7736">
        <w:rPr>
          <w:rFonts w:ascii="Arial" w:hAnsi="Arial" w:cs="Arial"/>
          <w:sz w:val="22"/>
          <w:szCs w:val="22"/>
        </w:rPr>
        <w:t>authority granted under paragraph (A) of resolution 19 and/</w:t>
      </w:r>
      <w:r>
        <w:rPr>
          <w:rFonts w:ascii="Arial" w:hAnsi="Arial" w:cs="Arial"/>
          <w:sz w:val="22"/>
          <w:szCs w:val="22"/>
        </w:rPr>
        <w:t xml:space="preserve"> </w:t>
      </w:r>
      <w:r w:rsidRPr="006A7736">
        <w:rPr>
          <w:rFonts w:ascii="Arial" w:hAnsi="Arial" w:cs="Arial"/>
          <w:sz w:val="22"/>
          <w:szCs w:val="22"/>
        </w:rPr>
        <w:t>or to sell ordinary shares held by the Company as treasury</w:t>
      </w:r>
      <w:r>
        <w:rPr>
          <w:rFonts w:ascii="Arial" w:hAnsi="Arial" w:cs="Arial"/>
          <w:sz w:val="22"/>
          <w:szCs w:val="22"/>
        </w:rPr>
        <w:t xml:space="preserve"> </w:t>
      </w:r>
      <w:r w:rsidRPr="006A7736">
        <w:rPr>
          <w:rFonts w:ascii="Arial" w:hAnsi="Arial" w:cs="Arial"/>
          <w:sz w:val="22"/>
          <w:szCs w:val="22"/>
        </w:rPr>
        <w:t>shares for cash as if Section 561 of the Act did not apply to</w:t>
      </w:r>
      <w:r>
        <w:rPr>
          <w:rFonts w:ascii="Arial" w:hAnsi="Arial" w:cs="Arial"/>
          <w:sz w:val="22"/>
          <w:szCs w:val="22"/>
        </w:rPr>
        <w:t xml:space="preserve"> </w:t>
      </w:r>
      <w:r w:rsidRPr="006A7736">
        <w:rPr>
          <w:rFonts w:ascii="Arial" w:hAnsi="Arial" w:cs="Arial"/>
          <w:sz w:val="22"/>
          <w:szCs w:val="22"/>
        </w:rPr>
        <w:t>any such allotment or sale, such power to be:</w:t>
      </w:r>
    </w:p>
    <w:p w14:paraId="2420A76C" w14:textId="77777777" w:rsidR="006A7736" w:rsidRPr="006A7736" w:rsidRDefault="006A7736" w:rsidP="006A7736">
      <w:pPr>
        <w:spacing w:line="276" w:lineRule="auto"/>
        <w:ind w:left="720"/>
        <w:rPr>
          <w:rFonts w:ascii="Arial" w:hAnsi="Arial" w:cs="Arial"/>
          <w:sz w:val="22"/>
          <w:szCs w:val="22"/>
        </w:rPr>
      </w:pPr>
    </w:p>
    <w:p w14:paraId="5EE1FD6F" w14:textId="704D6025" w:rsidR="006A7736" w:rsidRDefault="006A7736" w:rsidP="006A7736">
      <w:pPr>
        <w:pStyle w:val="ListParagraph"/>
        <w:numPr>
          <w:ilvl w:val="0"/>
          <w:numId w:val="10"/>
        </w:numPr>
        <w:spacing w:line="276" w:lineRule="auto"/>
        <w:rPr>
          <w:rFonts w:ascii="Arial" w:hAnsi="Arial" w:cs="Arial"/>
          <w:sz w:val="22"/>
          <w:szCs w:val="22"/>
        </w:rPr>
      </w:pPr>
      <w:r w:rsidRPr="006A7736">
        <w:rPr>
          <w:rFonts w:ascii="Arial" w:hAnsi="Arial" w:cs="Arial"/>
          <w:sz w:val="22"/>
          <w:szCs w:val="22"/>
        </w:rPr>
        <w:t>limited to the allotment of equity securities or sale</w:t>
      </w:r>
      <w:r w:rsidRPr="006A7736">
        <w:rPr>
          <w:rFonts w:ascii="Arial" w:hAnsi="Arial" w:cs="Arial"/>
          <w:sz w:val="22"/>
          <w:szCs w:val="22"/>
        </w:rPr>
        <w:t xml:space="preserve"> </w:t>
      </w:r>
      <w:r w:rsidRPr="006A7736">
        <w:rPr>
          <w:rFonts w:ascii="Arial" w:hAnsi="Arial" w:cs="Arial"/>
          <w:sz w:val="22"/>
          <w:szCs w:val="22"/>
        </w:rPr>
        <w:t>of treasury shares up to a nominal amount of</w:t>
      </w:r>
      <w:r w:rsidRPr="006A7736">
        <w:rPr>
          <w:rFonts w:ascii="Arial" w:hAnsi="Arial" w:cs="Arial"/>
          <w:sz w:val="22"/>
          <w:szCs w:val="22"/>
        </w:rPr>
        <w:t xml:space="preserve"> </w:t>
      </w:r>
      <w:r w:rsidRPr="006A7736">
        <w:rPr>
          <w:rFonts w:ascii="Arial" w:eastAsia="MS Gothic" w:hAnsi="Arial" w:cs="Arial"/>
          <w:sz w:val="22"/>
          <w:szCs w:val="22"/>
        </w:rPr>
        <w:t>£</w:t>
      </w:r>
      <w:r w:rsidRPr="006A7736">
        <w:rPr>
          <w:rFonts w:ascii="Arial" w:hAnsi="Arial" w:cs="Arial" w:hint="eastAsia"/>
          <w:sz w:val="22"/>
          <w:szCs w:val="22"/>
        </w:rPr>
        <w:t>6,772,185; and</w:t>
      </w:r>
    </w:p>
    <w:p w14:paraId="3BF671DC" w14:textId="77777777" w:rsidR="006A7736" w:rsidRPr="006A7736" w:rsidRDefault="006A7736" w:rsidP="006A7736">
      <w:pPr>
        <w:pStyle w:val="ListParagraph"/>
        <w:spacing w:line="276" w:lineRule="auto"/>
        <w:ind w:left="1080"/>
        <w:rPr>
          <w:rFonts w:ascii="Arial" w:hAnsi="Arial" w:cs="Arial"/>
          <w:sz w:val="22"/>
          <w:szCs w:val="22"/>
        </w:rPr>
      </w:pPr>
    </w:p>
    <w:p w14:paraId="3BBAEDFB" w14:textId="27A6B2A6" w:rsidR="006A7736" w:rsidRPr="006A7736" w:rsidRDefault="006A7736" w:rsidP="006A7736">
      <w:pPr>
        <w:spacing w:line="276" w:lineRule="auto"/>
        <w:ind w:left="720"/>
        <w:rPr>
          <w:rFonts w:ascii="Arial" w:hAnsi="Arial" w:cs="Arial"/>
          <w:sz w:val="22"/>
          <w:szCs w:val="22"/>
        </w:rPr>
      </w:pPr>
      <w:r w:rsidRPr="006A7736">
        <w:rPr>
          <w:rFonts w:ascii="Arial" w:hAnsi="Arial" w:cs="Arial"/>
          <w:sz w:val="22"/>
          <w:szCs w:val="22"/>
        </w:rPr>
        <w:t>(B) used only for the purposes of financing a transaction</w:t>
      </w:r>
      <w:r>
        <w:rPr>
          <w:rFonts w:ascii="Arial" w:hAnsi="Arial" w:cs="Arial"/>
          <w:sz w:val="22"/>
          <w:szCs w:val="22"/>
        </w:rPr>
        <w:t xml:space="preserve"> </w:t>
      </w:r>
      <w:r w:rsidRPr="006A7736">
        <w:rPr>
          <w:rFonts w:ascii="Arial" w:hAnsi="Arial" w:cs="Arial"/>
          <w:sz w:val="22"/>
          <w:szCs w:val="22"/>
        </w:rPr>
        <w:t>which the Board determines to be an acquisition or</w:t>
      </w:r>
      <w:r>
        <w:rPr>
          <w:rFonts w:ascii="Arial" w:hAnsi="Arial" w:cs="Arial"/>
          <w:sz w:val="22"/>
          <w:szCs w:val="22"/>
        </w:rPr>
        <w:t xml:space="preserve"> </w:t>
      </w:r>
      <w:r w:rsidRPr="006A7736">
        <w:rPr>
          <w:rFonts w:ascii="Arial" w:hAnsi="Arial" w:cs="Arial"/>
          <w:sz w:val="22"/>
          <w:szCs w:val="22"/>
        </w:rPr>
        <w:t>specified capital investment of a kind contemplated by</w:t>
      </w:r>
      <w:r>
        <w:rPr>
          <w:rFonts w:ascii="Arial" w:hAnsi="Arial" w:cs="Arial"/>
          <w:sz w:val="22"/>
          <w:szCs w:val="22"/>
        </w:rPr>
        <w:t xml:space="preserve"> </w:t>
      </w:r>
      <w:r w:rsidRPr="006A7736">
        <w:rPr>
          <w:rFonts w:ascii="Arial" w:hAnsi="Arial" w:cs="Arial"/>
          <w:sz w:val="22"/>
          <w:szCs w:val="22"/>
        </w:rPr>
        <w:t>the Statement of Principles on Disapplying Pre-</w:t>
      </w:r>
      <w:r>
        <w:rPr>
          <w:rFonts w:ascii="Arial" w:hAnsi="Arial" w:cs="Arial"/>
          <w:sz w:val="22"/>
          <w:szCs w:val="22"/>
        </w:rPr>
        <w:t xml:space="preserve"> </w:t>
      </w:r>
      <w:r w:rsidRPr="006A7736">
        <w:rPr>
          <w:rFonts w:ascii="Arial" w:hAnsi="Arial" w:cs="Arial"/>
          <w:sz w:val="22"/>
          <w:szCs w:val="22"/>
        </w:rPr>
        <w:t>Emption Rights most recently published by the</w:t>
      </w:r>
      <w:r>
        <w:rPr>
          <w:rFonts w:ascii="Arial" w:hAnsi="Arial" w:cs="Arial"/>
          <w:sz w:val="22"/>
          <w:szCs w:val="22"/>
        </w:rPr>
        <w:t xml:space="preserve"> </w:t>
      </w:r>
      <w:r w:rsidRPr="006A7736">
        <w:rPr>
          <w:rFonts w:ascii="Arial" w:hAnsi="Arial" w:cs="Arial"/>
          <w:sz w:val="22"/>
          <w:szCs w:val="22"/>
        </w:rPr>
        <w:t>Pre-Emption Group prior to the date of this Notice or</w:t>
      </w:r>
      <w:r>
        <w:rPr>
          <w:rFonts w:ascii="Arial" w:hAnsi="Arial" w:cs="Arial"/>
          <w:sz w:val="22"/>
          <w:szCs w:val="22"/>
        </w:rPr>
        <w:t xml:space="preserve"> </w:t>
      </w:r>
      <w:r w:rsidRPr="006A7736">
        <w:rPr>
          <w:rFonts w:ascii="Arial" w:hAnsi="Arial" w:cs="Arial"/>
          <w:sz w:val="22"/>
          <w:szCs w:val="22"/>
        </w:rPr>
        <w:t>for the purposes of refinancing such a transaction</w:t>
      </w:r>
      <w:r>
        <w:rPr>
          <w:rFonts w:ascii="Arial" w:hAnsi="Arial" w:cs="Arial"/>
          <w:sz w:val="22"/>
          <w:szCs w:val="22"/>
        </w:rPr>
        <w:t xml:space="preserve"> </w:t>
      </w:r>
      <w:r w:rsidRPr="006A7736">
        <w:rPr>
          <w:rFonts w:ascii="Arial" w:hAnsi="Arial" w:cs="Arial"/>
          <w:sz w:val="22"/>
          <w:szCs w:val="22"/>
        </w:rPr>
        <w:t xml:space="preserve">within six months of </w:t>
      </w:r>
      <w:proofErr w:type="gramStart"/>
      <w:r w:rsidRPr="006A7736">
        <w:rPr>
          <w:rFonts w:ascii="Arial" w:hAnsi="Arial" w:cs="Arial"/>
          <w:sz w:val="22"/>
          <w:szCs w:val="22"/>
        </w:rPr>
        <w:t>its</w:t>
      </w:r>
      <w:proofErr w:type="gramEnd"/>
      <w:r w:rsidRPr="006A7736">
        <w:rPr>
          <w:rFonts w:ascii="Arial" w:hAnsi="Arial" w:cs="Arial"/>
          <w:sz w:val="22"/>
          <w:szCs w:val="22"/>
        </w:rPr>
        <w:t xml:space="preserve"> taking place, such power to</w:t>
      </w:r>
    </w:p>
    <w:p w14:paraId="3E941CA7" w14:textId="0CCF3E47" w:rsidR="003A6874" w:rsidRPr="00EB0825" w:rsidRDefault="006A7736" w:rsidP="006A7736">
      <w:pPr>
        <w:spacing w:line="276" w:lineRule="auto"/>
        <w:ind w:left="720"/>
        <w:rPr>
          <w:rFonts w:ascii="Arial" w:hAnsi="Arial" w:cs="Arial"/>
          <w:sz w:val="22"/>
          <w:szCs w:val="22"/>
        </w:rPr>
      </w:pPr>
      <w:r w:rsidRPr="006A7736">
        <w:rPr>
          <w:rFonts w:ascii="Arial" w:hAnsi="Arial" w:cs="Arial"/>
          <w:sz w:val="22"/>
          <w:szCs w:val="22"/>
        </w:rPr>
        <w:t>apply until the end of next year</w:t>
      </w:r>
      <w:r w:rsidRPr="006A7736">
        <w:rPr>
          <w:rFonts w:ascii="Arial" w:hAnsi="Arial" w:cs="Arial" w:hint="eastAsia"/>
          <w:sz w:val="22"/>
          <w:szCs w:val="22"/>
        </w:rPr>
        <w:t>’</w:t>
      </w:r>
      <w:r w:rsidRPr="006A7736">
        <w:rPr>
          <w:rFonts w:ascii="Arial" w:hAnsi="Arial" w:cs="Arial"/>
          <w:sz w:val="22"/>
          <w:szCs w:val="22"/>
        </w:rPr>
        <w:t>s AGM (or, if earlier,</w:t>
      </w:r>
      <w:r>
        <w:rPr>
          <w:rFonts w:ascii="Arial" w:hAnsi="Arial" w:cs="Arial"/>
          <w:sz w:val="22"/>
          <w:szCs w:val="22"/>
        </w:rPr>
        <w:t xml:space="preserve"> </w:t>
      </w:r>
      <w:r w:rsidRPr="006A7736">
        <w:rPr>
          <w:rFonts w:ascii="Arial" w:hAnsi="Arial" w:cs="Arial"/>
          <w:sz w:val="22"/>
          <w:szCs w:val="22"/>
        </w:rPr>
        <w:t>until the close of business on 19 September 2026) but,</w:t>
      </w:r>
      <w:r>
        <w:rPr>
          <w:rFonts w:ascii="Arial" w:hAnsi="Arial" w:cs="Arial"/>
          <w:sz w:val="22"/>
          <w:szCs w:val="22"/>
        </w:rPr>
        <w:t xml:space="preserve"> </w:t>
      </w:r>
      <w:r w:rsidRPr="006A7736">
        <w:rPr>
          <w:rFonts w:ascii="Arial" w:hAnsi="Arial" w:cs="Arial"/>
          <w:sz w:val="22"/>
          <w:szCs w:val="22"/>
        </w:rPr>
        <w:t>in each case, during this period the Company may</w:t>
      </w:r>
      <w:r>
        <w:rPr>
          <w:rFonts w:ascii="Arial" w:hAnsi="Arial" w:cs="Arial"/>
          <w:sz w:val="22"/>
          <w:szCs w:val="22"/>
        </w:rPr>
        <w:t xml:space="preserve"> </w:t>
      </w:r>
      <w:r w:rsidRPr="006A7736">
        <w:rPr>
          <w:rFonts w:ascii="Arial" w:hAnsi="Arial" w:cs="Arial"/>
          <w:sz w:val="22"/>
          <w:szCs w:val="22"/>
        </w:rPr>
        <w:t>make offers, and enter into agreements, which would,</w:t>
      </w:r>
      <w:r>
        <w:rPr>
          <w:rFonts w:ascii="Arial" w:hAnsi="Arial" w:cs="Arial"/>
          <w:sz w:val="22"/>
          <w:szCs w:val="22"/>
        </w:rPr>
        <w:t xml:space="preserve"> </w:t>
      </w:r>
      <w:r w:rsidRPr="006A7736">
        <w:rPr>
          <w:rFonts w:ascii="Arial" w:hAnsi="Arial" w:cs="Arial"/>
          <w:sz w:val="22"/>
          <w:szCs w:val="22"/>
        </w:rPr>
        <w:t>or might, require equity securities to be allotted (and</w:t>
      </w:r>
      <w:r>
        <w:rPr>
          <w:rFonts w:ascii="Arial" w:hAnsi="Arial" w:cs="Arial"/>
          <w:sz w:val="22"/>
          <w:szCs w:val="22"/>
        </w:rPr>
        <w:t xml:space="preserve"> </w:t>
      </w:r>
      <w:r w:rsidRPr="006A7736">
        <w:rPr>
          <w:rFonts w:ascii="Arial" w:hAnsi="Arial" w:cs="Arial"/>
          <w:sz w:val="22"/>
          <w:szCs w:val="22"/>
        </w:rPr>
        <w:t>treasury shares to be sold) after the power ends and</w:t>
      </w:r>
      <w:r>
        <w:rPr>
          <w:rFonts w:ascii="Arial" w:hAnsi="Arial" w:cs="Arial"/>
          <w:sz w:val="22"/>
          <w:szCs w:val="22"/>
        </w:rPr>
        <w:t xml:space="preserve"> </w:t>
      </w:r>
      <w:r w:rsidRPr="006A7736">
        <w:rPr>
          <w:rFonts w:ascii="Arial" w:hAnsi="Arial" w:cs="Arial"/>
          <w:sz w:val="22"/>
          <w:szCs w:val="22"/>
        </w:rPr>
        <w:t>the Board may allot equity securities (and sell treasury</w:t>
      </w:r>
      <w:r>
        <w:rPr>
          <w:rFonts w:ascii="Arial" w:hAnsi="Arial" w:cs="Arial"/>
          <w:sz w:val="22"/>
          <w:szCs w:val="22"/>
        </w:rPr>
        <w:t xml:space="preserve"> </w:t>
      </w:r>
      <w:r w:rsidRPr="006A7736">
        <w:rPr>
          <w:rFonts w:ascii="Arial" w:hAnsi="Arial" w:cs="Arial"/>
          <w:sz w:val="22"/>
          <w:szCs w:val="22"/>
        </w:rPr>
        <w:t>shares) under any such offer or agreement as if the</w:t>
      </w:r>
      <w:r>
        <w:rPr>
          <w:rFonts w:ascii="Arial" w:hAnsi="Arial" w:cs="Arial"/>
          <w:sz w:val="22"/>
          <w:szCs w:val="22"/>
        </w:rPr>
        <w:t xml:space="preserve"> </w:t>
      </w:r>
      <w:r w:rsidRPr="006A7736">
        <w:rPr>
          <w:rFonts w:ascii="Arial" w:hAnsi="Arial" w:cs="Arial"/>
          <w:sz w:val="22"/>
          <w:szCs w:val="22"/>
        </w:rPr>
        <w:t>power had not ended.</w:t>
      </w:r>
    </w:p>
    <w:p w14:paraId="531BFC79" w14:textId="77777777" w:rsidR="003A6874" w:rsidRPr="00EB0825" w:rsidRDefault="003A6874" w:rsidP="003A6874">
      <w:pPr>
        <w:spacing w:line="276" w:lineRule="auto"/>
        <w:ind w:left="720"/>
        <w:jc w:val="center"/>
        <w:rPr>
          <w:rFonts w:ascii="Arial" w:hAnsi="Arial" w:cs="Arial"/>
          <w:b/>
          <w:bCs/>
          <w:sz w:val="22"/>
          <w:szCs w:val="22"/>
        </w:rPr>
      </w:pPr>
    </w:p>
    <w:p w14:paraId="33286F20" w14:textId="77777777" w:rsidR="003A6874" w:rsidRPr="00EB0825" w:rsidRDefault="003A6874" w:rsidP="005E3736">
      <w:pPr>
        <w:spacing w:line="276" w:lineRule="auto"/>
        <w:ind w:left="720"/>
        <w:jc w:val="both"/>
        <w:rPr>
          <w:rFonts w:ascii="Arial" w:hAnsi="Arial" w:cs="Arial"/>
          <w:b/>
          <w:bCs/>
          <w:sz w:val="22"/>
          <w:szCs w:val="22"/>
        </w:rPr>
      </w:pPr>
    </w:p>
    <w:p w14:paraId="5B13EE1D" w14:textId="78159B3F" w:rsidR="00872163" w:rsidRPr="00EB0825" w:rsidRDefault="00872163" w:rsidP="00872163">
      <w:pPr>
        <w:rPr>
          <w:rFonts w:ascii="Arial" w:hAnsi="Arial" w:cs="Arial"/>
          <w:sz w:val="22"/>
          <w:szCs w:val="22"/>
        </w:rPr>
      </w:pPr>
    </w:p>
    <w:p w14:paraId="6FF1BE37" w14:textId="6654BC0E" w:rsidR="005D4FD5" w:rsidRPr="00EB0825" w:rsidRDefault="005D4FD5" w:rsidP="00872163">
      <w:pPr>
        <w:rPr>
          <w:rFonts w:ascii="Arial" w:hAnsi="Arial" w:cs="Arial"/>
          <w:sz w:val="22"/>
          <w:szCs w:val="22"/>
        </w:rPr>
      </w:pPr>
      <w:r w:rsidRPr="00EB0825">
        <w:rPr>
          <w:rFonts w:ascii="Arial" w:hAnsi="Arial" w:cs="Arial"/>
          <w:sz w:val="22"/>
          <w:szCs w:val="22"/>
        </w:rPr>
        <w:t xml:space="preserve">Certified to be a true copy </w:t>
      </w:r>
    </w:p>
    <w:p w14:paraId="5BBF460B" w14:textId="53EEEF7C" w:rsidR="005D4FD5" w:rsidRPr="00EB0825" w:rsidRDefault="005D4FD5" w:rsidP="00872163">
      <w:pPr>
        <w:rPr>
          <w:rFonts w:ascii="Arial" w:hAnsi="Arial" w:cs="Arial"/>
          <w:sz w:val="22"/>
          <w:szCs w:val="22"/>
        </w:rPr>
      </w:pPr>
    </w:p>
    <w:p w14:paraId="10663992" w14:textId="3CBB617E" w:rsidR="005D4FD5" w:rsidRPr="00EB0825" w:rsidRDefault="005D4FD5" w:rsidP="00872163">
      <w:pPr>
        <w:rPr>
          <w:rFonts w:ascii="Arial" w:hAnsi="Arial" w:cs="Arial"/>
          <w:sz w:val="22"/>
          <w:szCs w:val="22"/>
        </w:rPr>
      </w:pPr>
    </w:p>
    <w:p w14:paraId="3E750C24" w14:textId="2B5F856A" w:rsidR="005D4FD5" w:rsidRPr="00EB0825" w:rsidRDefault="005D4FD5" w:rsidP="00872163">
      <w:pPr>
        <w:rPr>
          <w:rFonts w:ascii="Arial" w:hAnsi="Arial" w:cs="Arial"/>
          <w:sz w:val="22"/>
          <w:szCs w:val="22"/>
        </w:rPr>
      </w:pPr>
    </w:p>
    <w:p w14:paraId="0A8E002A" w14:textId="04A8F7C5" w:rsidR="005D4FD5" w:rsidRPr="00EB0825" w:rsidRDefault="005D4FD5" w:rsidP="00872163">
      <w:pPr>
        <w:rPr>
          <w:rFonts w:ascii="Arial" w:hAnsi="Arial" w:cs="Arial"/>
          <w:sz w:val="22"/>
          <w:szCs w:val="22"/>
        </w:rPr>
      </w:pPr>
    </w:p>
    <w:p w14:paraId="2C0562F3" w14:textId="4AA0D591" w:rsidR="005D4FD5" w:rsidRPr="00EB0825" w:rsidRDefault="005D4FD5" w:rsidP="00872163">
      <w:pPr>
        <w:rPr>
          <w:rFonts w:ascii="Arial" w:hAnsi="Arial" w:cs="Arial"/>
          <w:sz w:val="22"/>
          <w:szCs w:val="22"/>
        </w:rPr>
      </w:pPr>
      <w:r w:rsidRPr="00EB0825">
        <w:rPr>
          <w:rFonts w:ascii="Arial" w:hAnsi="Arial" w:cs="Arial"/>
          <w:sz w:val="22"/>
          <w:szCs w:val="22"/>
        </w:rPr>
        <w:t xml:space="preserve">A Crozier </w:t>
      </w:r>
      <w:r w:rsidRPr="00EB0825">
        <w:rPr>
          <w:rFonts w:ascii="Arial" w:hAnsi="Arial" w:cs="Arial"/>
          <w:sz w:val="22"/>
          <w:szCs w:val="22"/>
        </w:rPr>
        <w:br/>
        <w:t xml:space="preserve">Chairman </w:t>
      </w:r>
    </w:p>
    <w:sectPr w:rsidR="005D4FD5" w:rsidRPr="00EB082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42F1" w14:textId="77777777" w:rsidR="00872163" w:rsidRDefault="00872163" w:rsidP="00872163">
      <w:r>
        <w:separator/>
      </w:r>
    </w:p>
  </w:endnote>
  <w:endnote w:type="continuationSeparator" w:id="0">
    <w:p w14:paraId="1D1E3FFD" w14:textId="77777777" w:rsidR="00872163" w:rsidRDefault="00872163" w:rsidP="0087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453A" w14:textId="77777777" w:rsidR="00552E70" w:rsidRDefault="00552E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B641" w14:textId="77777777" w:rsidR="00552E70" w:rsidRDefault="00552E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4BD5" w14:textId="77777777" w:rsidR="00552E70" w:rsidRDefault="00552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7365A" w14:textId="77777777" w:rsidR="00872163" w:rsidRDefault="00872163" w:rsidP="00872163">
      <w:r>
        <w:separator/>
      </w:r>
    </w:p>
  </w:footnote>
  <w:footnote w:type="continuationSeparator" w:id="0">
    <w:p w14:paraId="14705689" w14:textId="77777777" w:rsidR="00872163" w:rsidRDefault="00872163" w:rsidP="00872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7890" w14:textId="77777777" w:rsidR="00872163" w:rsidRDefault="00872163">
    <w:pPr>
      <w:pStyle w:val="Header"/>
    </w:pPr>
    <w:r>
      <w:rPr>
        <w:noProof/>
      </w:rPr>
      <mc:AlternateContent>
        <mc:Choice Requires="wps">
          <w:drawing>
            <wp:anchor distT="0" distB="0" distL="0" distR="0" simplePos="0" relativeHeight="251659264" behindDoc="0" locked="0" layoutInCell="1" allowOverlap="1" wp14:anchorId="67A83648" wp14:editId="3B374B70">
              <wp:simplePos x="635" y="635"/>
              <wp:positionH relativeFrom="column">
                <wp:align>center</wp:align>
              </wp:positionH>
              <wp:positionV relativeFrom="paragraph">
                <wp:posOffset>635</wp:posOffset>
              </wp:positionV>
              <wp:extent cx="443865" cy="443865"/>
              <wp:effectExtent l="0" t="0" r="11430" b="17145"/>
              <wp:wrapSquare wrapText="bothSides"/>
              <wp:docPr id="2" name="Text Box 2" descr="This document has been marked as Non-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0D64A4" w14:textId="77777777" w:rsidR="00872163" w:rsidRPr="00872163" w:rsidRDefault="00872163">
                          <w:pPr>
                            <w:rPr>
                              <w:rFonts w:ascii="Calibri" w:eastAsia="Calibri" w:hAnsi="Calibri" w:cs="Calibri"/>
                              <w:color w:val="000000"/>
                              <w:sz w:val="20"/>
                              <w:szCs w:val="20"/>
                            </w:rPr>
                          </w:pPr>
                          <w:r w:rsidRPr="00872163">
                            <w:rPr>
                              <w:rFonts w:ascii="Calibri" w:eastAsia="Calibri" w:hAnsi="Calibri" w:cs="Calibri"/>
                              <w:color w:val="000000"/>
                              <w:sz w:val="20"/>
                              <w:szCs w:val="20"/>
                            </w:rPr>
                            <w:t>This document has been marked as Non-Confidential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A83648" id="_x0000_t202" coordsize="21600,21600" o:spt="202" path="m,l,21600r21600,l21600,xe">
              <v:stroke joinstyle="miter"/>
              <v:path gradientshapeok="t" o:connecttype="rect"/>
            </v:shapetype>
            <v:shape id="Text Box 2" o:spid="_x0000_s1026" type="#_x0000_t202" alt="This document has been marked as Non-Confident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B0D64A4" w14:textId="77777777" w:rsidR="00872163" w:rsidRPr="00872163" w:rsidRDefault="00872163">
                    <w:pPr>
                      <w:rPr>
                        <w:rFonts w:ascii="Calibri" w:eastAsia="Calibri" w:hAnsi="Calibri" w:cs="Calibri"/>
                        <w:color w:val="000000"/>
                        <w:sz w:val="20"/>
                        <w:szCs w:val="20"/>
                      </w:rPr>
                    </w:pPr>
                    <w:r w:rsidRPr="00872163">
                      <w:rPr>
                        <w:rFonts w:ascii="Calibri" w:eastAsia="Calibri" w:hAnsi="Calibri" w:cs="Calibri"/>
                        <w:color w:val="000000"/>
                        <w:sz w:val="20"/>
                        <w:szCs w:val="20"/>
                      </w:rPr>
                      <w:t>This document has been marked as Non-Confidential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30DE" w14:textId="77777777" w:rsidR="00552E70" w:rsidRDefault="00552E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8A10" w14:textId="77777777" w:rsidR="00872163" w:rsidRDefault="00872163">
    <w:pPr>
      <w:pStyle w:val="Header"/>
    </w:pPr>
    <w:r>
      <w:rPr>
        <w:noProof/>
      </w:rPr>
      <mc:AlternateContent>
        <mc:Choice Requires="wps">
          <w:drawing>
            <wp:anchor distT="0" distB="0" distL="0" distR="0" simplePos="0" relativeHeight="251658240" behindDoc="0" locked="0" layoutInCell="1" allowOverlap="1" wp14:anchorId="228D3722" wp14:editId="1E88C961">
              <wp:simplePos x="635" y="635"/>
              <wp:positionH relativeFrom="column">
                <wp:align>center</wp:align>
              </wp:positionH>
              <wp:positionV relativeFrom="paragraph">
                <wp:posOffset>635</wp:posOffset>
              </wp:positionV>
              <wp:extent cx="443865" cy="443865"/>
              <wp:effectExtent l="0" t="0" r="11430" b="17145"/>
              <wp:wrapSquare wrapText="bothSides"/>
              <wp:docPr id="1" name="Text Box 1" descr="This document has been marked as Non-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A2404B" w14:textId="77777777" w:rsidR="00872163" w:rsidRPr="00872163" w:rsidRDefault="00872163">
                          <w:pPr>
                            <w:rPr>
                              <w:rFonts w:ascii="Calibri" w:eastAsia="Calibri" w:hAnsi="Calibri" w:cs="Calibri"/>
                              <w:color w:val="000000"/>
                              <w:sz w:val="20"/>
                              <w:szCs w:val="20"/>
                            </w:rPr>
                          </w:pPr>
                          <w:r w:rsidRPr="00872163">
                            <w:rPr>
                              <w:rFonts w:ascii="Calibri" w:eastAsia="Calibri" w:hAnsi="Calibri" w:cs="Calibri"/>
                              <w:color w:val="000000"/>
                              <w:sz w:val="20"/>
                              <w:szCs w:val="20"/>
                            </w:rPr>
                            <w:t>This document has been marked as Non-Confidential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28D3722" id="_x0000_t202" coordsize="21600,21600" o:spt="202" path="m,l,21600r21600,l21600,xe">
              <v:stroke joinstyle="miter"/>
              <v:path gradientshapeok="t" o:connecttype="rect"/>
            </v:shapetype>
            <v:shape id="Text Box 1" o:spid="_x0000_s1027" type="#_x0000_t202" alt="This document has been marked as Non-Confident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0A2404B" w14:textId="77777777" w:rsidR="00872163" w:rsidRPr="00872163" w:rsidRDefault="00872163">
                    <w:pPr>
                      <w:rPr>
                        <w:rFonts w:ascii="Calibri" w:eastAsia="Calibri" w:hAnsi="Calibri" w:cs="Calibri"/>
                        <w:color w:val="000000"/>
                        <w:sz w:val="20"/>
                        <w:szCs w:val="20"/>
                      </w:rPr>
                    </w:pPr>
                    <w:r w:rsidRPr="00872163">
                      <w:rPr>
                        <w:rFonts w:ascii="Calibri" w:eastAsia="Calibri" w:hAnsi="Calibri" w:cs="Calibri"/>
                        <w:color w:val="000000"/>
                        <w:sz w:val="20"/>
                        <w:szCs w:val="20"/>
                      </w:rPr>
                      <w:t>This document has been marked as Non-Confidential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E4B"/>
    <w:multiLevelType w:val="hybridMultilevel"/>
    <w:tmpl w:val="54A25E50"/>
    <w:lvl w:ilvl="0" w:tplc="BFB4FED0">
      <w:start w:val="1"/>
      <w:numFmt w:val="lowerRoman"/>
      <w:lvlText w:val="%1."/>
      <w:lvlJc w:val="right"/>
      <w:pPr>
        <w:ind w:left="2160" w:hanging="360"/>
      </w:pPr>
      <w:rPr>
        <w:b/>
        <w:bCs/>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B9804BD"/>
    <w:multiLevelType w:val="hybridMultilevel"/>
    <w:tmpl w:val="85D25B8C"/>
    <w:lvl w:ilvl="0" w:tplc="5156D37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2B02DE"/>
    <w:multiLevelType w:val="hybridMultilevel"/>
    <w:tmpl w:val="C9903E58"/>
    <w:lvl w:ilvl="0" w:tplc="C9E4DF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F7145B"/>
    <w:multiLevelType w:val="hybridMultilevel"/>
    <w:tmpl w:val="D4740C28"/>
    <w:lvl w:ilvl="0" w:tplc="0809001B">
      <w:start w:val="1"/>
      <w:numFmt w:val="lowerRoman"/>
      <w:lvlText w:val="%1."/>
      <w:lvlJc w:val="righ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5434D31"/>
    <w:multiLevelType w:val="hybridMultilevel"/>
    <w:tmpl w:val="B3C8950C"/>
    <w:lvl w:ilvl="0" w:tplc="08090015">
      <w:start w:val="1"/>
      <w:numFmt w:val="upperLetter"/>
      <w:lvlText w:val="%1."/>
      <w:lvlJc w:val="left"/>
      <w:pPr>
        <w:ind w:left="1440" w:hanging="360"/>
      </w:pPr>
    </w:lvl>
    <w:lvl w:ilvl="1" w:tplc="A8264ED4">
      <w:start w:val="1"/>
      <w:numFmt w:val="lowerRoman"/>
      <w:lvlText w:val="(%2)"/>
      <w:lvlJc w:val="left"/>
      <w:pPr>
        <w:ind w:left="2520" w:hanging="720"/>
      </w:pPr>
      <w:rPr>
        <w:rFonts w:hint="default"/>
      </w:rPr>
    </w:lvl>
    <w:lvl w:ilvl="2" w:tplc="76702252">
      <w:start w:val="1"/>
      <w:numFmt w:val="upperLetter"/>
      <w:lvlText w:val="(%3)"/>
      <w:lvlJc w:val="left"/>
      <w:pPr>
        <w:ind w:left="3060" w:hanging="36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D4876D4"/>
    <w:multiLevelType w:val="hybridMultilevel"/>
    <w:tmpl w:val="AEC4485C"/>
    <w:lvl w:ilvl="0" w:tplc="F88A66E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60C6104"/>
    <w:multiLevelType w:val="hybridMultilevel"/>
    <w:tmpl w:val="62DE7D30"/>
    <w:lvl w:ilvl="0" w:tplc="08090015">
      <w:start w:val="1"/>
      <w:numFmt w:val="upperLetter"/>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BE369DE"/>
    <w:multiLevelType w:val="hybridMultilevel"/>
    <w:tmpl w:val="8C32DD94"/>
    <w:lvl w:ilvl="0" w:tplc="0B7CDA5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092ABB"/>
    <w:multiLevelType w:val="hybridMultilevel"/>
    <w:tmpl w:val="E7D68B3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1981318"/>
    <w:multiLevelType w:val="hybridMultilevel"/>
    <w:tmpl w:val="4D5C1CE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81602227">
    <w:abstractNumId w:val="6"/>
  </w:num>
  <w:num w:numId="2" w16cid:durableId="1930306296">
    <w:abstractNumId w:val="0"/>
  </w:num>
  <w:num w:numId="3" w16cid:durableId="1173912476">
    <w:abstractNumId w:val="4"/>
  </w:num>
  <w:num w:numId="4" w16cid:durableId="1343429969">
    <w:abstractNumId w:val="3"/>
  </w:num>
  <w:num w:numId="5" w16cid:durableId="323053150">
    <w:abstractNumId w:val="9"/>
  </w:num>
  <w:num w:numId="6" w16cid:durableId="989098794">
    <w:abstractNumId w:val="2"/>
  </w:num>
  <w:num w:numId="7" w16cid:durableId="209222233">
    <w:abstractNumId w:val="5"/>
  </w:num>
  <w:num w:numId="8" w16cid:durableId="2082215799">
    <w:abstractNumId w:val="8"/>
  </w:num>
  <w:num w:numId="9" w16cid:durableId="767501751">
    <w:abstractNumId w:val="7"/>
  </w:num>
  <w:num w:numId="10" w16cid:durableId="1730880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63"/>
    <w:rsid w:val="0038127E"/>
    <w:rsid w:val="003A6874"/>
    <w:rsid w:val="0041146A"/>
    <w:rsid w:val="00513779"/>
    <w:rsid w:val="00552E70"/>
    <w:rsid w:val="005A4CE1"/>
    <w:rsid w:val="005D4FD5"/>
    <w:rsid w:val="005E3736"/>
    <w:rsid w:val="006A7736"/>
    <w:rsid w:val="006E6830"/>
    <w:rsid w:val="0070611A"/>
    <w:rsid w:val="007B4DB6"/>
    <w:rsid w:val="00872163"/>
    <w:rsid w:val="008F00A5"/>
    <w:rsid w:val="00966984"/>
    <w:rsid w:val="00A33390"/>
    <w:rsid w:val="00B773BD"/>
    <w:rsid w:val="00BF5EB3"/>
    <w:rsid w:val="00CC5D3E"/>
    <w:rsid w:val="00CE7BC1"/>
    <w:rsid w:val="00EB0825"/>
    <w:rsid w:val="00EF0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6B1F2"/>
  <w15:chartTrackingRefBased/>
  <w15:docId w15:val="{8B6BFD59-23E5-4988-83FE-B1F8980C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163"/>
    <w:pPr>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72163"/>
    <w:pPr>
      <w:keepNext/>
      <w:jc w:val="center"/>
      <w:outlineLvl w:val="0"/>
    </w:pPr>
    <w:rPr>
      <w:rFonts w:ascii="Times New Roman" w:hAnsi="Times New Roman"/>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163"/>
    <w:pPr>
      <w:tabs>
        <w:tab w:val="center" w:pos="4513"/>
        <w:tab w:val="right" w:pos="9026"/>
      </w:tabs>
    </w:pPr>
  </w:style>
  <w:style w:type="character" w:customStyle="1" w:styleId="HeaderChar">
    <w:name w:val="Header Char"/>
    <w:basedOn w:val="DefaultParagraphFont"/>
    <w:link w:val="Header"/>
    <w:uiPriority w:val="99"/>
    <w:rsid w:val="00872163"/>
  </w:style>
  <w:style w:type="paragraph" w:styleId="Footer">
    <w:name w:val="footer"/>
    <w:basedOn w:val="Normal"/>
    <w:link w:val="FooterChar"/>
    <w:uiPriority w:val="99"/>
    <w:unhideWhenUsed/>
    <w:rsid w:val="00872163"/>
    <w:pPr>
      <w:tabs>
        <w:tab w:val="center" w:pos="4513"/>
        <w:tab w:val="right" w:pos="9026"/>
      </w:tabs>
    </w:pPr>
  </w:style>
  <w:style w:type="character" w:customStyle="1" w:styleId="FooterChar">
    <w:name w:val="Footer Char"/>
    <w:basedOn w:val="DefaultParagraphFont"/>
    <w:link w:val="Footer"/>
    <w:uiPriority w:val="99"/>
    <w:rsid w:val="00872163"/>
  </w:style>
  <w:style w:type="character" w:customStyle="1" w:styleId="Heading1Char">
    <w:name w:val="Heading 1 Char"/>
    <w:basedOn w:val="DefaultParagraphFont"/>
    <w:link w:val="Heading1"/>
    <w:rsid w:val="00872163"/>
    <w:rPr>
      <w:rFonts w:ascii="Times New Roman" w:eastAsia="Times New Roman" w:hAnsi="Times New Roman" w:cs="Times New Roman"/>
      <w:b/>
      <w:bCs/>
      <w:i/>
      <w:iCs/>
      <w:sz w:val="24"/>
      <w:szCs w:val="24"/>
    </w:rPr>
  </w:style>
  <w:style w:type="paragraph" w:styleId="BodyText">
    <w:name w:val="Body Text"/>
    <w:basedOn w:val="Normal"/>
    <w:link w:val="BodyTextChar"/>
    <w:semiHidden/>
    <w:unhideWhenUsed/>
    <w:rsid w:val="00872163"/>
    <w:pPr>
      <w:autoSpaceDE w:val="0"/>
      <w:autoSpaceDN w:val="0"/>
      <w:adjustRightInd w:val="0"/>
    </w:pPr>
    <w:rPr>
      <w:rFonts w:ascii="Times New Roman" w:hAnsi="Times New Roman"/>
      <w:color w:val="000000"/>
      <w:sz w:val="20"/>
      <w:lang w:val="en-US"/>
    </w:rPr>
  </w:style>
  <w:style w:type="character" w:customStyle="1" w:styleId="BodyTextChar">
    <w:name w:val="Body Text Char"/>
    <w:basedOn w:val="DefaultParagraphFont"/>
    <w:link w:val="BodyText"/>
    <w:semiHidden/>
    <w:rsid w:val="00872163"/>
    <w:rPr>
      <w:rFonts w:ascii="Times New Roman" w:eastAsia="Times New Roman" w:hAnsi="Times New Roman" w:cs="Times New Roman"/>
      <w:color w:val="000000"/>
      <w:sz w:val="20"/>
      <w:szCs w:val="24"/>
      <w:lang w:val="en-US"/>
    </w:rPr>
  </w:style>
  <w:style w:type="paragraph" w:styleId="BodyText2">
    <w:name w:val="Body Text 2"/>
    <w:basedOn w:val="Normal"/>
    <w:link w:val="BodyText2Char"/>
    <w:semiHidden/>
    <w:unhideWhenUsed/>
    <w:rsid w:val="00872163"/>
    <w:rPr>
      <w:rFonts w:ascii="Times New Roman" w:hAnsi="Times New Roman"/>
      <w:bCs/>
    </w:rPr>
  </w:style>
  <w:style w:type="character" w:customStyle="1" w:styleId="BodyText2Char">
    <w:name w:val="Body Text 2 Char"/>
    <w:basedOn w:val="DefaultParagraphFont"/>
    <w:link w:val="BodyText2"/>
    <w:semiHidden/>
    <w:rsid w:val="00872163"/>
    <w:rPr>
      <w:rFonts w:ascii="Times New Roman" w:eastAsia="Times New Roman" w:hAnsi="Times New Roman" w:cs="Times New Roman"/>
      <w:bCs/>
      <w:sz w:val="24"/>
      <w:szCs w:val="24"/>
    </w:rPr>
  </w:style>
  <w:style w:type="paragraph" w:styleId="ListParagraph">
    <w:name w:val="List Paragraph"/>
    <w:basedOn w:val="Normal"/>
    <w:uiPriority w:val="34"/>
    <w:qFormat/>
    <w:rsid w:val="006E6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72fd5d8-afb1-47bb-bc19-ebb7de00f5ce}" enabled="1" method="Standard" siteId="{e0e80fc4-4c12-4245-8bfd-c06791ad303a}" contentBits="1"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Scivier</dc:creator>
  <cp:keywords/>
  <dc:description/>
  <cp:lastModifiedBy>Reshma Padmanabhan</cp:lastModifiedBy>
  <cp:revision>7</cp:revision>
  <dcterms:created xsi:type="dcterms:W3CDTF">2024-06-17T12:15:00Z</dcterms:created>
  <dcterms:modified xsi:type="dcterms:W3CDTF">2025-06-19T11:11:00Z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This document has been marked as Non-Confidential</vt:lpwstr>
  </property>
</Properties>
</file>