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E3D994" w14:textId="4992FCAA" w:rsidR="003A6B6A" w:rsidRPr="0038694B" w:rsidRDefault="003A6B6A" w:rsidP="002406C8">
      <w:pPr>
        <w:shd w:val="clear" w:color="auto" w:fill="FFFFFF"/>
        <w:spacing w:after="120" w:line="240" w:lineRule="auto"/>
        <w:jc w:val="center"/>
        <w:rPr>
          <w:rFonts w:ascii="Tahoma" w:eastAsia="Times New Roman" w:hAnsi="Tahoma" w:cs="Tahoma"/>
          <w:b/>
          <w:bCs/>
          <w:sz w:val="18"/>
          <w:szCs w:val="18"/>
          <w:lang w:eastAsia="en-GB"/>
        </w:rPr>
      </w:pPr>
      <w:r w:rsidRPr="0038694B">
        <w:rPr>
          <w:rFonts w:ascii="Tahoma" w:eastAsia="Times New Roman" w:hAnsi="Tahoma" w:cs="Tahoma"/>
          <w:b/>
          <w:bCs/>
          <w:sz w:val="18"/>
          <w:szCs w:val="18"/>
          <w:lang w:eastAsia="en-GB"/>
        </w:rPr>
        <w:t>TClarke plc -</w:t>
      </w:r>
      <w:r w:rsidR="006A16CD">
        <w:rPr>
          <w:rFonts w:ascii="Tahoma" w:eastAsia="Times New Roman" w:hAnsi="Tahoma" w:cs="Tahoma"/>
          <w:b/>
          <w:bCs/>
          <w:sz w:val="18"/>
          <w:szCs w:val="18"/>
          <w:lang w:eastAsia="en-GB"/>
        </w:rPr>
        <w:t xml:space="preserve"> </w:t>
      </w:r>
      <w:r w:rsidRPr="0038694B">
        <w:rPr>
          <w:rFonts w:ascii="Tahoma" w:eastAsia="Times New Roman" w:hAnsi="Tahoma" w:cs="Tahoma"/>
          <w:b/>
          <w:bCs/>
          <w:sz w:val="18"/>
          <w:szCs w:val="18"/>
          <w:lang w:eastAsia="en-GB"/>
        </w:rPr>
        <w:t>Results for the year ended 31</w:t>
      </w:r>
      <w:r w:rsidRPr="0038694B">
        <w:rPr>
          <w:rFonts w:ascii="Tahoma" w:eastAsia="Times New Roman" w:hAnsi="Tahoma" w:cs="Tahoma"/>
          <w:b/>
          <w:bCs/>
          <w:sz w:val="18"/>
          <w:szCs w:val="18"/>
          <w:vertAlign w:val="superscript"/>
          <w:lang w:eastAsia="en-GB"/>
        </w:rPr>
        <w:t>st</w:t>
      </w:r>
      <w:r w:rsidRPr="0038694B">
        <w:rPr>
          <w:rFonts w:ascii="Tahoma" w:eastAsia="Times New Roman" w:hAnsi="Tahoma" w:cs="Tahoma"/>
          <w:b/>
          <w:bCs/>
          <w:sz w:val="18"/>
          <w:szCs w:val="18"/>
          <w:lang w:eastAsia="en-GB"/>
        </w:rPr>
        <w:t> December 20</w:t>
      </w:r>
      <w:r w:rsidR="00563AEA">
        <w:rPr>
          <w:rFonts w:ascii="Tahoma" w:eastAsia="Times New Roman" w:hAnsi="Tahoma" w:cs="Tahoma"/>
          <w:b/>
          <w:bCs/>
          <w:sz w:val="18"/>
          <w:szCs w:val="18"/>
          <w:lang w:eastAsia="en-GB"/>
        </w:rPr>
        <w:t>20</w:t>
      </w:r>
    </w:p>
    <w:p w14:paraId="287FC440" w14:textId="649209CE" w:rsidR="00DA2E32" w:rsidRDefault="00682AD1" w:rsidP="00682AD1">
      <w:pPr>
        <w:widowControl w:val="0"/>
        <w:overflowPunct w:val="0"/>
        <w:autoSpaceDE w:val="0"/>
        <w:autoSpaceDN w:val="0"/>
        <w:adjustRightInd w:val="0"/>
        <w:spacing w:before="160" w:after="0" w:line="240" w:lineRule="auto"/>
        <w:jc w:val="center"/>
        <w:rPr>
          <w:rFonts w:cstheme="minorHAnsi"/>
          <w:b/>
          <w:bCs/>
        </w:rPr>
      </w:pPr>
      <w:r>
        <w:rPr>
          <w:rFonts w:cstheme="minorHAnsi"/>
          <w:b/>
          <w:bCs/>
        </w:rPr>
        <w:t xml:space="preserve">TClarke Announces </w:t>
      </w:r>
      <w:r w:rsidRPr="00522BC7">
        <w:rPr>
          <w:rFonts w:cstheme="minorHAnsi"/>
          <w:b/>
          <w:bCs/>
        </w:rPr>
        <w:t>Ambitious Business Plan to Deliver £500m Annual Revenue</w:t>
      </w:r>
    </w:p>
    <w:p w14:paraId="518F216A" w14:textId="77777777" w:rsidR="00682AD1" w:rsidRPr="00544513" w:rsidRDefault="00682AD1" w:rsidP="00682AD1">
      <w:pPr>
        <w:widowControl w:val="0"/>
        <w:overflowPunct w:val="0"/>
        <w:autoSpaceDE w:val="0"/>
        <w:autoSpaceDN w:val="0"/>
        <w:adjustRightInd w:val="0"/>
        <w:spacing w:before="160" w:after="0" w:line="240" w:lineRule="auto"/>
        <w:jc w:val="center"/>
        <w:rPr>
          <w:rFonts w:ascii="Tahoma" w:eastAsia="Times New Roman" w:hAnsi="Tahoma" w:cs="Tahoma"/>
          <w:b/>
          <w:bCs/>
          <w:sz w:val="18"/>
          <w:szCs w:val="18"/>
          <w:lang w:eastAsia="en-GB"/>
        </w:rPr>
      </w:pPr>
    </w:p>
    <w:p w14:paraId="4898A5FD" w14:textId="77777777" w:rsidR="00D94D76" w:rsidRPr="00544513" w:rsidRDefault="00D94D76" w:rsidP="002406C8">
      <w:pPr>
        <w:shd w:val="clear" w:color="auto" w:fill="FFFFFF"/>
        <w:spacing w:after="120" w:line="240" w:lineRule="auto"/>
        <w:jc w:val="center"/>
        <w:rPr>
          <w:rFonts w:ascii="Tahoma" w:eastAsia="Times New Roman" w:hAnsi="Tahoma" w:cs="Tahoma"/>
          <w:sz w:val="18"/>
          <w:szCs w:val="18"/>
          <w:lang w:eastAsia="en-GB"/>
        </w:rPr>
      </w:pPr>
    </w:p>
    <w:p w14:paraId="2324B37A" w14:textId="5B0ACBE8" w:rsidR="00DA2E32" w:rsidRPr="00046629" w:rsidRDefault="00DA2E32" w:rsidP="009D792A">
      <w:pPr>
        <w:shd w:val="clear" w:color="auto" w:fill="FFFFFF"/>
        <w:spacing w:after="120" w:line="240" w:lineRule="auto"/>
        <w:rPr>
          <w:rFonts w:ascii="Tahoma" w:eastAsia="Times New Roman" w:hAnsi="Tahoma" w:cs="Tahoma"/>
          <w:sz w:val="18"/>
          <w:szCs w:val="18"/>
          <w:lang w:eastAsia="en-GB"/>
        </w:rPr>
      </w:pPr>
      <w:r w:rsidRPr="00046629">
        <w:rPr>
          <w:rFonts w:ascii="Tahoma" w:eastAsia="Times New Roman" w:hAnsi="Tahoma" w:cs="Tahoma"/>
          <w:sz w:val="18"/>
          <w:szCs w:val="18"/>
          <w:lang w:eastAsia="en-GB"/>
        </w:rPr>
        <w:t>TClarke plc ("the Group" or "TClarke"), the Building Services Group, announces its preliminary results for the year ended 31</w:t>
      </w:r>
      <w:r w:rsidRPr="00046629">
        <w:rPr>
          <w:rFonts w:ascii="Tahoma" w:eastAsia="Times New Roman" w:hAnsi="Tahoma" w:cs="Tahoma"/>
          <w:sz w:val="18"/>
          <w:szCs w:val="18"/>
          <w:vertAlign w:val="superscript"/>
          <w:lang w:eastAsia="en-GB"/>
        </w:rPr>
        <w:t>st</w:t>
      </w:r>
      <w:r w:rsidRPr="00046629">
        <w:rPr>
          <w:rFonts w:ascii="Tahoma" w:eastAsia="Times New Roman" w:hAnsi="Tahoma" w:cs="Tahoma"/>
          <w:sz w:val="18"/>
          <w:szCs w:val="18"/>
          <w:lang w:eastAsia="en-GB"/>
        </w:rPr>
        <w:t xml:space="preserve"> December 20</w:t>
      </w:r>
      <w:r w:rsidR="00166547">
        <w:rPr>
          <w:rFonts w:ascii="Tahoma" w:eastAsia="Times New Roman" w:hAnsi="Tahoma" w:cs="Tahoma"/>
          <w:sz w:val="18"/>
          <w:szCs w:val="18"/>
          <w:lang w:eastAsia="en-GB"/>
        </w:rPr>
        <w:t>20</w:t>
      </w:r>
      <w:r w:rsidRPr="00046629">
        <w:rPr>
          <w:rFonts w:ascii="Tahoma" w:eastAsia="Times New Roman" w:hAnsi="Tahoma" w:cs="Tahoma"/>
          <w:sz w:val="18"/>
          <w:szCs w:val="18"/>
          <w:lang w:eastAsia="en-GB"/>
        </w:rPr>
        <w:t>.</w:t>
      </w:r>
    </w:p>
    <w:tbl>
      <w:tblPr>
        <w:tblW w:w="10339" w:type="dxa"/>
        <w:tblInd w:w="-108" w:type="dxa"/>
        <w:shd w:val="clear" w:color="auto" w:fill="FFFFFF"/>
        <w:tblCellMar>
          <w:left w:w="0" w:type="dxa"/>
          <w:right w:w="0" w:type="dxa"/>
        </w:tblCellMar>
        <w:tblLook w:val="04A0" w:firstRow="1" w:lastRow="0" w:firstColumn="1" w:lastColumn="0" w:noHBand="0" w:noVBand="1"/>
      </w:tblPr>
      <w:tblGrid>
        <w:gridCol w:w="4928"/>
        <w:gridCol w:w="1728"/>
        <w:gridCol w:w="1375"/>
        <w:gridCol w:w="800"/>
        <w:gridCol w:w="708"/>
        <w:gridCol w:w="800"/>
      </w:tblGrid>
      <w:tr w:rsidR="00544513" w:rsidRPr="00046629" w14:paraId="28A9AC1D" w14:textId="77777777" w:rsidTr="00544513">
        <w:trPr>
          <w:gridAfter w:val="1"/>
          <w:wAfter w:w="800" w:type="dxa"/>
        </w:trPr>
        <w:tc>
          <w:tcPr>
            <w:tcW w:w="4928" w:type="dxa"/>
            <w:shd w:val="clear" w:color="auto" w:fill="FFFFFF"/>
            <w:tcMar>
              <w:top w:w="0" w:type="dxa"/>
              <w:left w:w="108" w:type="dxa"/>
              <w:bottom w:w="0" w:type="dxa"/>
              <w:right w:w="108" w:type="dxa"/>
            </w:tcMar>
            <w:hideMark/>
          </w:tcPr>
          <w:p w14:paraId="52061D9F" w14:textId="77777777" w:rsidR="00544513" w:rsidRPr="00046629" w:rsidRDefault="00544513" w:rsidP="00544513">
            <w:pPr>
              <w:spacing w:after="0" w:line="240" w:lineRule="auto"/>
              <w:jc w:val="both"/>
              <w:rPr>
                <w:rFonts w:ascii="Tahoma" w:eastAsia="Times New Roman" w:hAnsi="Tahoma" w:cs="Tahoma"/>
                <w:b/>
                <w:bCs/>
                <w:sz w:val="18"/>
                <w:szCs w:val="18"/>
                <w:lang w:eastAsia="en-GB"/>
              </w:rPr>
            </w:pPr>
            <w:r w:rsidRPr="00046629">
              <w:rPr>
                <w:rFonts w:ascii="Tahoma" w:eastAsia="Times New Roman" w:hAnsi="Tahoma" w:cs="Tahoma"/>
                <w:b/>
                <w:bCs/>
                <w:sz w:val="18"/>
                <w:szCs w:val="18"/>
                <w:lang w:eastAsia="en-GB"/>
              </w:rPr>
              <w:t>Financial highlights:</w:t>
            </w:r>
          </w:p>
        </w:tc>
        <w:tc>
          <w:tcPr>
            <w:tcW w:w="1728" w:type="dxa"/>
            <w:shd w:val="clear" w:color="auto" w:fill="FFFFFF"/>
          </w:tcPr>
          <w:p w14:paraId="4FAB2F7B" w14:textId="26F3E00C" w:rsidR="00544513" w:rsidRPr="00046629" w:rsidRDefault="00544513" w:rsidP="00544513">
            <w:pPr>
              <w:spacing w:after="0" w:line="240" w:lineRule="auto"/>
              <w:jc w:val="right"/>
              <w:rPr>
                <w:rFonts w:ascii="Tahoma" w:eastAsia="Times New Roman" w:hAnsi="Tahoma" w:cs="Tahoma"/>
                <w:b/>
                <w:bCs/>
                <w:sz w:val="18"/>
                <w:szCs w:val="18"/>
                <w:lang w:eastAsia="en-GB"/>
              </w:rPr>
            </w:pPr>
          </w:p>
        </w:tc>
        <w:tc>
          <w:tcPr>
            <w:tcW w:w="1375" w:type="dxa"/>
            <w:shd w:val="clear" w:color="auto" w:fill="FFFFFF"/>
          </w:tcPr>
          <w:p w14:paraId="75496FE6" w14:textId="717BD8C2" w:rsidR="00544513" w:rsidRPr="00046629" w:rsidRDefault="00544513" w:rsidP="00544513">
            <w:pPr>
              <w:spacing w:after="0" w:line="240" w:lineRule="auto"/>
              <w:jc w:val="right"/>
              <w:rPr>
                <w:rFonts w:ascii="Tahoma" w:eastAsia="Times New Roman" w:hAnsi="Tahoma" w:cs="Tahoma"/>
                <w:b/>
                <w:bCs/>
                <w:sz w:val="18"/>
                <w:szCs w:val="18"/>
                <w:lang w:eastAsia="en-GB"/>
              </w:rPr>
            </w:pPr>
            <w:r w:rsidRPr="00046629">
              <w:rPr>
                <w:rFonts w:ascii="Tahoma" w:eastAsia="Times New Roman" w:hAnsi="Tahoma" w:cs="Tahoma"/>
                <w:b/>
                <w:bCs/>
                <w:sz w:val="18"/>
                <w:szCs w:val="18"/>
                <w:lang w:eastAsia="en-GB"/>
              </w:rPr>
              <w:t>20</w:t>
            </w:r>
            <w:r w:rsidR="00563AEA">
              <w:rPr>
                <w:rFonts w:ascii="Tahoma" w:eastAsia="Times New Roman" w:hAnsi="Tahoma" w:cs="Tahoma"/>
                <w:b/>
                <w:bCs/>
                <w:sz w:val="18"/>
                <w:szCs w:val="18"/>
                <w:lang w:eastAsia="en-GB"/>
              </w:rPr>
              <w:t>20</w:t>
            </w:r>
          </w:p>
        </w:tc>
        <w:tc>
          <w:tcPr>
            <w:tcW w:w="800" w:type="dxa"/>
            <w:shd w:val="clear" w:color="auto" w:fill="FFFFFF"/>
          </w:tcPr>
          <w:p w14:paraId="1D56D22D" w14:textId="77777777" w:rsidR="00544513" w:rsidRPr="00046629" w:rsidRDefault="00544513" w:rsidP="00544513">
            <w:pPr>
              <w:spacing w:after="0" w:line="240" w:lineRule="auto"/>
              <w:jc w:val="center"/>
              <w:rPr>
                <w:rFonts w:ascii="Tahoma" w:eastAsia="Times New Roman" w:hAnsi="Tahoma" w:cs="Tahoma"/>
                <w:b/>
                <w:bCs/>
                <w:sz w:val="18"/>
                <w:szCs w:val="18"/>
                <w:lang w:eastAsia="en-GB"/>
              </w:rPr>
            </w:pPr>
          </w:p>
        </w:tc>
        <w:tc>
          <w:tcPr>
            <w:tcW w:w="708" w:type="dxa"/>
            <w:shd w:val="clear" w:color="auto" w:fill="FFFFFF"/>
          </w:tcPr>
          <w:p w14:paraId="689953B2" w14:textId="36B661F2" w:rsidR="00544513" w:rsidRPr="00046629" w:rsidRDefault="00544513" w:rsidP="00544513">
            <w:pPr>
              <w:spacing w:after="0" w:line="240" w:lineRule="auto"/>
              <w:jc w:val="right"/>
              <w:rPr>
                <w:rFonts w:ascii="Tahoma" w:eastAsia="Times New Roman" w:hAnsi="Tahoma" w:cs="Tahoma"/>
                <w:b/>
                <w:bCs/>
                <w:sz w:val="18"/>
                <w:szCs w:val="18"/>
                <w:lang w:eastAsia="en-GB"/>
              </w:rPr>
            </w:pPr>
            <w:r w:rsidRPr="00046629">
              <w:rPr>
                <w:rFonts w:ascii="Tahoma" w:eastAsia="Times New Roman" w:hAnsi="Tahoma" w:cs="Tahoma"/>
                <w:b/>
                <w:bCs/>
                <w:sz w:val="18"/>
                <w:szCs w:val="18"/>
                <w:lang w:eastAsia="en-GB"/>
              </w:rPr>
              <w:t>201</w:t>
            </w:r>
            <w:r w:rsidR="00563AEA">
              <w:rPr>
                <w:rFonts w:ascii="Tahoma" w:eastAsia="Times New Roman" w:hAnsi="Tahoma" w:cs="Tahoma"/>
                <w:b/>
                <w:bCs/>
                <w:sz w:val="18"/>
                <w:szCs w:val="18"/>
                <w:lang w:eastAsia="en-GB"/>
              </w:rPr>
              <w:t>9</w:t>
            </w:r>
          </w:p>
        </w:tc>
      </w:tr>
      <w:tr w:rsidR="00544513" w:rsidRPr="00046629" w14:paraId="15BEB458" w14:textId="77777777" w:rsidTr="00544513">
        <w:tc>
          <w:tcPr>
            <w:tcW w:w="4928" w:type="dxa"/>
            <w:shd w:val="clear" w:color="auto" w:fill="FFFFFF"/>
            <w:tcMar>
              <w:top w:w="0" w:type="dxa"/>
              <w:left w:w="108" w:type="dxa"/>
              <w:bottom w:w="0" w:type="dxa"/>
              <w:right w:w="108" w:type="dxa"/>
            </w:tcMar>
            <w:hideMark/>
          </w:tcPr>
          <w:p w14:paraId="103C993F" w14:textId="77777777" w:rsidR="00544513" w:rsidRPr="00046629" w:rsidRDefault="00544513" w:rsidP="00544513">
            <w:pPr>
              <w:spacing w:after="0" w:line="240" w:lineRule="auto"/>
              <w:jc w:val="both"/>
              <w:rPr>
                <w:rFonts w:ascii="Tahoma" w:eastAsia="Times New Roman" w:hAnsi="Tahoma" w:cs="Tahoma"/>
                <w:sz w:val="18"/>
                <w:szCs w:val="18"/>
                <w:lang w:eastAsia="en-GB"/>
              </w:rPr>
            </w:pPr>
            <w:r w:rsidRPr="00046629">
              <w:rPr>
                <w:rFonts w:ascii="Tahoma" w:eastAsia="Times New Roman" w:hAnsi="Tahoma" w:cs="Tahoma"/>
                <w:sz w:val="18"/>
                <w:szCs w:val="18"/>
                <w:lang w:eastAsia="en-GB"/>
              </w:rPr>
              <w:t xml:space="preserve">Revenue </w:t>
            </w:r>
          </w:p>
        </w:tc>
        <w:tc>
          <w:tcPr>
            <w:tcW w:w="1728" w:type="dxa"/>
            <w:shd w:val="clear" w:color="auto" w:fill="FFFFFF"/>
          </w:tcPr>
          <w:p w14:paraId="7FCFCF03" w14:textId="74E7017A" w:rsidR="00544513" w:rsidRPr="00046629" w:rsidRDefault="00544513" w:rsidP="00544513">
            <w:pPr>
              <w:spacing w:after="0" w:line="240" w:lineRule="auto"/>
              <w:jc w:val="right"/>
              <w:rPr>
                <w:rFonts w:ascii="Tahoma" w:eastAsia="Times New Roman" w:hAnsi="Tahoma" w:cs="Tahoma"/>
                <w:sz w:val="18"/>
                <w:szCs w:val="18"/>
                <w:lang w:eastAsia="en-GB"/>
              </w:rPr>
            </w:pPr>
          </w:p>
        </w:tc>
        <w:tc>
          <w:tcPr>
            <w:tcW w:w="1375" w:type="dxa"/>
            <w:shd w:val="clear" w:color="auto" w:fill="FFFFFF"/>
          </w:tcPr>
          <w:p w14:paraId="6245B114" w14:textId="2BB1B001" w:rsidR="00544513" w:rsidRPr="00046629" w:rsidRDefault="00544513" w:rsidP="00544513">
            <w:pPr>
              <w:spacing w:after="0" w:line="240" w:lineRule="auto"/>
              <w:jc w:val="right"/>
              <w:rPr>
                <w:rFonts w:ascii="Tahoma" w:eastAsia="Times New Roman" w:hAnsi="Tahoma" w:cs="Tahoma"/>
                <w:sz w:val="18"/>
                <w:szCs w:val="18"/>
                <w:lang w:eastAsia="en-GB"/>
              </w:rPr>
            </w:pPr>
            <w:r w:rsidRPr="00046629">
              <w:rPr>
                <w:rFonts w:ascii="Tahoma" w:eastAsia="Times New Roman" w:hAnsi="Tahoma" w:cs="Tahoma"/>
                <w:sz w:val="18"/>
                <w:szCs w:val="18"/>
                <w:lang w:eastAsia="en-GB"/>
              </w:rPr>
              <w:t>£</w:t>
            </w:r>
            <w:r w:rsidR="00563AEA">
              <w:rPr>
                <w:rFonts w:ascii="Tahoma" w:eastAsia="Times New Roman" w:hAnsi="Tahoma" w:cs="Tahoma"/>
                <w:sz w:val="18"/>
                <w:szCs w:val="18"/>
                <w:lang w:eastAsia="en-GB"/>
              </w:rPr>
              <w:t>231.9</w:t>
            </w:r>
            <w:r w:rsidRPr="00046629">
              <w:rPr>
                <w:rFonts w:ascii="Tahoma" w:eastAsia="Times New Roman" w:hAnsi="Tahoma" w:cs="Tahoma"/>
                <w:sz w:val="18"/>
                <w:szCs w:val="18"/>
                <w:lang w:eastAsia="en-GB"/>
              </w:rPr>
              <w:t>m</w:t>
            </w:r>
          </w:p>
        </w:tc>
        <w:tc>
          <w:tcPr>
            <w:tcW w:w="800" w:type="dxa"/>
            <w:shd w:val="clear" w:color="auto" w:fill="FFFFFF"/>
          </w:tcPr>
          <w:p w14:paraId="26A74A5F" w14:textId="77777777" w:rsidR="00544513" w:rsidRPr="00046629" w:rsidRDefault="00544513" w:rsidP="00544513">
            <w:pPr>
              <w:spacing w:after="0" w:line="240" w:lineRule="auto"/>
              <w:jc w:val="right"/>
              <w:rPr>
                <w:rFonts w:ascii="Tahoma" w:eastAsia="Times New Roman" w:hAnsi="Tahoma" w:cs="Tahoma"/>
                <w:sz w:val="18"/>
                <w:szCs w:val="18"/>
                <w:lang w:eastAsia="en-GB"/>
              </w:rPr>
            </w:pPr>
          </w:p>
        </w:tc>
        <w:tc>
          <w:tcPr>
            <w:tcW w:w="708" w:type="dxa"/>
            <w:shd w:val="clear" w:color="auto" w:fill="FFFFFF"/>
          </w:tcPr>
          <w:p w14:paraId="1B33440C" w14:textId="72698071" w:rsidR="00544513" w:rsidRPr="00046629" w:rsidRDefault="00544513" w:rsidP="00544513">
            <w:pPr>
              <w:spacing w:after="0" w:line="240" w:lineRule="auto"/>
              <w:jc w:val="right"/>
              <w:rPr>
                <w:rFonts w:ascii="Tahoma" w:eastAsia="Times New Roman" w:hAnsi="Tahoma" w:cs="Tahoma"/>
                <w:sz w:val="18"/>
                <w:szCs w:val="18"/>
                <w:lang w:eastAsia="en-GB"/>
              </w:rPr>
            </w:pPr>
            <w:r w:rsidRPr="00046629">
              <w:rPr>
                <w:rFonts w:ascii="Tahoma" w:eastAsia="Times New Roman" w:hAnsi="Tahoma" w:cs="Tahoma"/>
                <w:sz w:val="18"/>
                <w:szCs w:val="18"/>
                <w:lang w:eastAsia="en-GB"/>
              </w:rPr>
              <w:t>£3</w:t>
            </w:r>
            <w:r w:rsidR="00563AEA">
              <w:rPr>
                <w:rFonts w:ascii="Tahoma" w:eastAsia="Times New Roman" w:hAnsi="Tahoma" w:cs="Tahoma"/>
                <w:sz w:val="18"/>
                <w:szCs w:val="18"/>
                <w:lang w:eastAsia="en-GB"/>
              </w:rPr>
              <w:t>34.6</w:t>
            </w:r>
            <w:r w:rsidRPr="00046629">
              <w:rPr>
                <w:rFonts w:ascii="Tahoma" w:eastAsia="Times New Roman" w:hAnsi="Tahoma" w:cs="Tahoma"/>
                <w:sz w:val="18"/>
                <w:szCs w:val="18"/>
                <w:lang w:eastAsia="en-GB"/>
              </w:rPr>
              <w:t>m</w:t>
            </w:r>
          </w:p>
        </w:tc>
        <w:tc>
          <w:tcPr>
            <w:tcW w:w="800" w:type="dxa"/>
            <w:shd w:val="clear" w:color="auto" w:fill="FFFFFF"/>
          </w:tcPr>
          <w:p w14:paraId="08789A28" w14:textId="77777777" w:rsidR="00544513" w:rsidRPr="00046629" w:rsidRDefault="00544513" w:rsidP="00544513">
            <w:pPr>
              <w:spacing w:after="0" w:line="240" w:lineRule="auto"/>
              <w:jc w:val="right"/>
              <w:rPr>
                <w:rFonts w:ascii="Tahoma" w:eastAsia="Times New Roman" w:hAnsi="Tahoma" w:cs="Tahoma"/>
                <w:sz w:val="18"/>
                <w:szCs w:val="18"/>
                <w:lang w:eastAsia="en-GB"/>
              </w:rPr>
            </w:pPr>
          </w:p>
        </w:tc>
      </w:tr>
      <w:tr w:rsidR="00544513" w:rsidRPr="00046629" w14:paraId="3C27E0F4" w14:textId="77777777" w:rsidTr="00544513">
        <w:tc>
          <w:tcPr>
            <w:tcW w:w="4928" w:type="dxa"/>
            <w:shd w:val="clear" w:color="auto" w:fill="FFFFFF"/>
            <w:tcMar>
              <w:top w:w="0" w:type="dxa"/>
              <w:left w:w="108" w:type="dxa"/>
              <w:bottom w:w="0" w:type="dxa"/>
              <w:right w:w="108" w:type="dxa"/>
            </w:tcMar>
            <w:hideMark/>
          </w:tcPr>
          <w:p w14:paraId="50195634" w14:textId="25735092" w:rsidR="00544513" w:rsidRPr="00046629" w:rsidRDefault="00544513" w:rsidP="00544513">
            <w:pPr>
              <w:spacing w:before="120" w:after="0" w:line="240" w:lineRule="auto"/>
              <w:jc w:val="both"/>
              <w:rPr>
                <w:rFonts w:ascii="Tahoma" w:eastAsia="Times New Roman" w:hAnsi="Tahoma" w:cs="Tahoma"/>
                <w:sz w:val="18"/>
                <w:szCs w:val="18"/>
                <w:lang w:eastAsia="en-GB"/>
              </w:rPr>
            </w:pPr>
            <w:r w:rsidRPr="00046629">
              <w:rPr>
                <w:rFonts w:ascii="Tahoma" w:eastAsia="Times New Roman" w:hAnsi="Tahoma" w:cs="Tahoma"/>
                <w:sz w:val="18"/>
                <w:szCs w:val="18"/>
                <w:lang w:eastAsia="en-GB"/>
              </w:rPr>
              <w:t>Operating profit – underlying</w:t>
            </w:r>
            <w:r w:rsidRPr="00046629">
              <w:rPr>
                <w:rFonts w:ascii="Tahoma" w:eastAsia="Times New Roman" w:hAnsi="Tahoma" w:cs="Tahoma"/>
                <w:sz w:val="18"/>
                <w:szCs w:val="18"/>
                <w:vertAlign w:val="superscript"/>
                <w:lang w:eastAsia="en-GB"/>
              </w:rPr>
              <w:t>1</w:t>
            </w:r>
          </w:p>
        </w:tc>
        <w:tc>
          <w:tcPr>
            <w:tcW w:w="1728" w:type="dxa"/>
            <w:shd w:val="clear" w:color="auto" w:fill="FFFFFF"/>
          </w:tcPr>
          <w:p w14:paraId="770CF89B" w14:textId="5D308C58" w:rsidR="00544513" w:rsidRPr="00046629" w:rsidRDefault="00544513" w:rsidP="00544513">
            <w:pPr>
              <w:spacing w:before="120" w:after="0" w:line="240" w:lineRule="auto"/>
              <w:jc w:val="right"/>
              <w:rPr>
                <w:rFonts w:ascii="Tahoma" w:eastAsia="Times New Roman" w:hAnsi="Tahoma" w:cs="Tahoma"/>
                <w:sz w:val="18"/>
                <w:szCs w:val="18"/>
                <w:lang w:eastAsia="en-GB"/>
              </w:rPr>
            </w:pPr>
          </w:p>
        </w:tc>
        <w:tc>
          <w:tcPr>
            <w:tcW w:w="1375" w:type="dxa"/>
            <w:shd w:val="clear" w:color="auto" w:fill="FFFFFF"/>
          </w:tcPr>
          <w:p w14:paraId="47AA4BD8" w14:textId="04181251" w:rsidR="00544513" w:rsidRPr="00046629" w:rsidRDefault="00544513" w:rsidP="00544513">
            <w:pPr>
              <w:spacing w:before="120" w:after="0" w:line="240" w:lineRule="auto"/>
              <w:jc w:val="right"/>
              <w:rPr>
                <w:rFonts w:ascii="Tahoma" w:eastAsia="Times New Roman" w:hAnsi="Tahoma" w:cs="Tahoma"/>
                <w:sz w:val="18"/>
                <w:szCs w:val="18"/>
                <w:lang w:eastAsia="en-GB"/>
              </w:rPr>
            </w:pPr>
            <w:r w:rsidRPr="00046629">
              <w:rPr>
                <w:rFonts w:ascii="Tahoma" w:eastAsia="Times New Roman" w:hAnsi="Tahoma" w:cs="Tahoma"/>
                <w:sz w:val="18"/>
                <w:szCs w:val="18"/>
                <w:lang w:eastAsia="en-GB"/>
              </w:rPr>
              <w:t>£</w:t>
            </w:r>
            <w:r w:rsidR="00563AEA">
              <w:rPr>
                <w:rFonts w:ascii="Tahoma" w:eastAsia="Times New Roman" w:hAnsi="Tahoma" w:cs="Tahoma"/>
                <w:sz w:val="18"/>
                <w:szCs w:val="18"/>
                <w:lang w:eastAsia="en-GB"/>
              </w:rPr>
              <w:t>6.0</w:t>
            </w:r>
            <w:r w:rsidRPr="00046629">
              <w:rPr>
                <w:rFonts w:ascii="Tahoma" w:eastAsia="Times New Roman" w:hAnsi="Tahoma" w:cs="Tahoma"/>
                <w:sz w:val="18"/>
                <w:szCs w:val="18"/>
                <w:lang w:eastAsia="en-GB"/>
              </w:rPr>
              <w:t>m</w:t>
            </w:r>
          </w:p>
        </w:tc>
        <w:tc>
          <w:tcPr>
            <w:tcW w:w="800" w:type="dxa"/>
            <w:shd w:val="clear" w:color="auto" w:fill="FFFFFF"/>
          </w:tcPr>
          <w:p w14:paraId="6B2C68EB" w14:textId="77777777" w:rsidR="00544513" w:rsidRPr="00046629" w:rsidRDefault="00544513" w:rsidP="00544513">
            <w:pPr>
              <w:spacing w:before="120" w:after="0" w:line="240" w:lineRule="auto"/>
              <w:jc w:val="right"/>
              <w:rPr>
                <w:rFonts w:ascii="Tahoma" w:eastAsia="Times New Roman" w:hAnsi="Tahoma" w:cs="Tahoma"/>
                <w:sz w:val="18"/>
                <w:szCs w:val="18"/>
                <w:lang w:eastAsia="en-GB"/>
              </w:rPr>
            </w:pPr>
          </w:p>
        </w:tc>
        <w:tc>
          <w:tcPr>
            <w:tcW w:w="708" w:type="dxa"/>
            <w:shd w:val="clear" w:color="auto" w:fill="FFFFFF"/>
          </w:tcPr>
          <w:p w14:paraId="0A0C8465" w14:textId="6A0F51DB" w:rsidR="00544513" w:rsidRPr="00046629" w:rsidRDefault="00544513" w:rsidP="00544513">
            <w:pPr>
              <w:spacing w:before="120" w:after="0" w:line="240" w:lineRule="auto"/>
              <w:jc w:val="right"/>
              <w:rPr>
                <w:rFonts w:ascii="Tahoma" w:eastAsia="Times New Roman" w:hAnsi="Tahoma" w:cs="Tahoma"/>
                <w:sz w:val="18"/>
                <w:szCs w:val="18"/>
                <w:lang w:eastAsia="en-GB"/>
              </w:rPr>
            </w:pPr>
            <w:r w:rsidRPr="00046629">
              <w:rPr>
                <w:rFonts w:ascii="Tahoma" w:eastAsia="Times New Roman" w:hAnsi="Tahoma" w:cs="Tahoma"/>
                <w:sz w:val="18"/>
                <w:szCs w:val="18"/>
                <w:lang w:eastAsia="en-GB"/>
              </w:rPr>
              <w:t>£</w:t>
            </w:r>
            <w:r w:rsidR="00563AEA">
              <w:rPr>
                <w:rFonts w:ascii="Tahoma" w:eastAsia="Times New Roman" w:hAnsi="Tahoma" w:cs="Tahoma"/>
                <w:sz w:val="18"/>
                <w:szCs w:val="18"/>
                <w:lang w:eastAsia="en-GB"/>
              </w:rPr>
              <w:t>10.2</w:t>
            </w:r>
            <w:r w:rsidRPr="00046629">
              <w:rPr>
                <w:rFonts w:ascii="Tahoma" w:eastAsia="Times New Roman" w:hAnsi="Tahoma" w:cs="Tahoma"/>
                <w:sz w:val="18"/>
                <w:szCs w:val="18"/>
                <w:lang w:eastAsia="en-GB"/>
              </w:rPr>
              <w:t>m</w:t>
            </w:r>
          </w:p>
        </w:tc>
        <w:tc>
          <w:tcPr>
            <w:tcW w:w="800" w:type="dxa"/>
            <w:shd w:val="clear" w:color="auto" w:fill="FFFFFF"/>
          </w:tcPr>
          <w:p w14:paraId="29F5220C" w14:textId="77777777" w:rsidR="00544513" w:rsidRPr="00046629" w:rsidRDefault="00544513" w:rsidP="00544513">
            <w:pPr>
              <w:spacing w:before="120" w:after="0" w:line="240" w:lineRule="auto"/>
              <w:jc w:val="right"/>
              <w:rPr>
                <w:rFonts w:ascii="Tahoma" w:eastAsia="Times New Roman" w:hAnsi="Tahoma" w:cs="Tahoma"/>
                <w:sz w:val="18"/>
                <w:szCs w:val="18"/>
                <w:lang w:eastAsia="en-GB"/>
              </w:rPr>
            </w:pPr>
          </w:p>
        </w:tc>
      </w:tr>
      <w:tr w:rsidR="00544513" w:rsidRPr="00046629" w14:paraId="7DCEF54E" w14:textId="77777777" w:rsidTr="00544513">
        <w:tc>
          <w:tcPr>
            <w:tcW w:w="4928" w:type="dxa"/>
            <w:shd w:val="clear" w:color="auto" w:fill="FFFFFF"/>
            <w:tcMar>
              <w:top w:w="0" w:type="dxa"/>
              <w:left w:w="108" w:type="dxa"/>
              <w:bottom w:w="0" w:type="dxa"/>
              <w:right w:w="108" w:type="dxa"/>
            </w:tcMar>
            <w:hideMark/>
          </w:tcPr>
          <w:p w14:paraId="60EDCC20" w14:textId="77777777" w:rsidR="00544513" w:rsidRPr="00046629" w:rsidRDefault="00544513" w:rsidP="00544513">
            <w:pPr>
              <w:spacing w:after="0" w:line="240" w:lineRule="auto"/>
              <w:jc w:val="both"/>
              <w:rPr>
                <w:rFonts w:ascii="Tahoma" w:eastAsia="Times New Roman" w:hAnsi="Tahoma" w:cs="Tahoma"/>
                <w:sz w:val="18"/>
                <w:szCs w:val="18"/>
                <w:lang w:eastAsia="en-GB"/>
              </w:rPr>
            </w:pPr>
            <w:r w:rsidRPr="00046629">
              <w:rPr>
                <w:rFonts w:ascii="Tahoma" w:eastAsia="Times New Roman" w:hAnsi="Tahoma" w:cs="Tahoma"/>
                <w:sz w:val="18"/>
                <w:szCs w:val="18"/>
                <w:lang w:eastAsia="en-GB"/>
              </w:rPr>
              <w:t xml:space="preserve">Operating profit - reported </w:t>
            </w:r>
          </w:p>
        </w:tc>
        <w:tc>
          <w:tcPr>
            <w:tcW w:w="1728" w:type="dxa"/>
            <w:shd w:val="clear" w:color="auto" w:fill="FFFFFF"/>
          </w:tcPr>
          <w:p w14:paraId="1DBCDF83" w14:textId="2A8502E2" w:rsidR="00544513" w:rsidRPr="00046629" w:rsidRDefault="00544513" w:rsidP="00544513">
            <w:pPr>
              <w:spacing w:after="0" w:line="240" w:lineRule="auto"/>
              <w:jc w:val="right"/>
              <w:rPr>
                <w:rFonts w:ascii="Tahoma" w:eastAsia="Times New Roman" w:hAnsi="Tahoma" w:cs="Tahoma"/>
                <w:sz w:val="18"/>
                <w:szCs w:val="18"/>
                <w:lang w:eastAsia="en-GB"/>
              </w:rPr>
            </w:pPr>
          </w:p>
        </w:tc>
        <w:tc>
          <w:tcPr>
            <w:tcW w:w="1375" w:type="dxa"/>
            <w:shd w:val="clear" w:color="auto" w:fill="FFFFFF"/>
          </w:tcPr>
          <w:p w14:paraId="71D7700A" w14:textId="42509E43" w:rsidR="00544513" w:rsidRPr="00046629" w:rsidRDefault="00544513" w:rsidP="00544513">
            <w:pPr>
              <w:spacing w:after="0" w:line="240" w:lineRule="auto"/>
              <w:jc w:val="right"/>
              <w:rPr>
                <w:rFonts w:ascii="Tahoma" w:eastAsia="Times New Roman" w:hAnsi="Tahoma" w:cs="Tahoma"/>
                <w:sz w:val="18"/>
                <w:szCs w:val="18"/>
                <w:lang w:eastAsia="en-GB"/>
              </w:rPr>
            </w:pPr>
            <w:r w:rsidRPr="00046629">
              <w:rPr>
                <w:rFonts w:ascii="Tahoma" w:eastAsia="Times New Roman" w:hAnsi="Tahoma" w:cs="Tahoma"/>
                <w:sz w:val="18"/>
                <w:szCs w:val="18"/>
                <w:lang w:eastAsia="en-GB"/>
              </w:rPr>
              <w:t>£</w:t>
            </w:r>
            <w:r w:rsidR="00563AEA">
              <w:rPr>
                <w:rFonts w:ascii="Tahoma" w:eastAsia="Times New Roman" w:hAnsi="Tahoma" w:cs="Tahoma"/>
                <w:sz w:val="18"/>
                <w:szCs w:val="18"/>
                <w:lang w:eastAsia="en-GB"/>
              </w:rPr>
              <w:t>2.1</w:t>
            </w:r>
            <w:r w:rsidRPr="00046629">
              <w:rPr>
                <w:rFonts w:ascii="Tahoma" w:eastAsia="Times New Roman" w:hAnsi="Tahoma" w:cs="Tahoma"/>
                <w:sz w:val="18"/>
                <w:szCs w:val="18"/>
                <w:lang w:eastAsia="en-GB"/>
              </w:rPr>
              <w:t>m</w:t>
            </w:r>
          </w:p>
        </w:tc>
        <w:tc>
          <w:tcPr>
            <w:tcW w:w="800" w:type="dxa"/>
            <w:shd w:val="clear" w:color="auto" w:fill="FFFFFF"/>
          </w:tcPr>
          <w:p w14:paraId="70F22C76" w14:textId="77777777" w:rsidR="00544513" w:rsidRPr="00046629" w:rsidRDefault="00544513" w:rsidP="00544513">
            <w:pPr>
              <w:spacing w:after="0" w:line="240" w:lineRule="auto"/>
              <w:jc w:val="right"/>
              <w:rPr>
                <w:rFonts w:ascii="Tahoma" w:eastAsia="Times New Roman" w:hAnsi="Tahoma" w:cs="Tahoma"/>
                <w:sz w:val="18"/>
                <w:szCs w:val="18"/>
                <w:lang w:eastAsia="en-GB"/>
              </w:rPr>
            </w:pPr>
          </w:p>
        </w:tc>
        <w:tc>
          <w:tcPr>
            <w:tcW w:w="708" w:type="dxa"/>
            <w:shd w:val="clear" w:color="auto" w:fill="FFFFFF"/>
          </w:tcPr>
          <w:p w14:paraId="35918A65" w14:textId="759F6C2F" w:rsidR="00544513" w:rsidRPr="00046629" w:rsidRDefault="00544513" w:rsidP="00544513">
            <w:pPr>
              <w:spacing w:after="0" w:line="240" w:lineRule="auto"/>
              <w:jc w:val="right"/>
              <w:rPr>
                <w:rFonts w:ascii="Tahoma" w:eastAsia="Times New Roman" w:hAnsi="Tahoma" w:cs="Tahoma"/>
                <w:sz w:val="18"/>
                <w:szCs w:val="18"/>
                <w:lang w:eastAsia="en-GB"/>
              </w:rPr>
            </w:pPr>
            <w:r w:rsidRPr="00046629">
              <w:rPr>
                <w:rFonts w:ascii="Tahoma" w:eastAsia="Times New Roman" w:hAnsi="Tahoma" w:cs="Tahoma"/>
                <w:sz w:val="18"/>
                <w:szCs w:val="18"/>
                <w:lang w:eastAsia="en-GB"/>
              </w:rPr>
              <w:t>£</w:t>
            </w:r>
            <w:r w:rsidR="00563AEA">
              <w:rPr>
                <w:rFonts w:ascii="Tahoma" w:eastAsia="Times New Roman" w:hAnsi="Tahoma" w:cs="Tahoma"/>
                <w:sz w:val="18"/>
                <w:szCs w:val="18"/>
                <w:lang w:eastAsia="en-GB"/>
              </w:rPr>
              <w:t>10.0</w:t>
            </w:r>
            <w:r w:rsidRPr="00046629">
              <w:rPr>
                <w:rFonts w:ascii="Tahoma" w:eastAsia="Times New Roman" w:hAnsi="Tahoma" w:cs="Tahoma"/>
                <w:sz w:val="18"/>
                <w:szCs w:val="18"/>
                <w:lang w:eastAsia="en-GB"/>
              </w:rPr>
              <w:t>m</w:t>
            </w:r>
          </w:p>
        </w:tc>
        <w:tc>
          <w:tcPr>
            <w:tcW w:w="800" w:type="dxa"/>
            <w:shd w:val="clear" w:color="auto" w:fill="FFFFFF"/>
          </w:tcPr>
          <w:p w14:paraId="4D9C3CA2" w14:textId="77777777" w:rsidR="00544513" w:rsidRPr="00046629" w:rsidRDefault="00544513" w:rsidP="00544513">
            <w:pPr>
              <w:spacing w:after="0" w:line="240" w:lineRule="auto"/>
              <w:jc w:val="right"/>
              <w:rPr>
                <w:rFonts w:ascii="Tahoma" w:eastAsia="Times New Roman" w:hAnsi="Tahoma" w:cs="Tahoma"/>
                <w:sz w:val="18"/>
                <w:szCs w:val="18"/>
                <w:lang w:eastAsia="en-GB"/>
              </w:rPr>
            </w:pPr>
          </w:p>
        </w:tc>
      </w:tr>
      <w:tr w:rsidR="00544513" w:rsidRPr="00046629" w14:paraId="38E527FD" w14:textId="77777777" w:rsidTr="00544513">
        <w:tc>
          <w:tcPr>
            <w:tcW w:w="4928" w:type="dxa"/>
            <w:shd w:val="clear" w:color="auto" w:fill="FFFFFF"/>
            <w:tcMar>
              <w:top w:w="0" w:type="dxa"/>
              <w:left w:w="108" w:type="dxa"/>
              <w:bottom w:w="0" w:type="dxa"/>
              <w:right w:w="108" w:type="dxa"/>
            </w:tcMar>
          </w:tcPr>
          <w:p w14:paraId="07A5A51B" w14:textId="77777777" w:rsidR="00544513" w:rsidRPr="00046629" w:rsidRDefault="00544513" w:rsidP="00544513">
            <w:pPr>
              <w:spacing w:after="0" w:line="240" w:lineRule="auto"/>
              <w:jc w:val="both"/>
              <w:rPr>
                <w:rFonts w:ascii="Tahoma" w:eastAsia="Times New Roman" w:hAnsi="Tahoma" w:cs="Tahoma"/>
                <w:sz w:val="18"/>
                <w:szCs w:val="18"/>
                <w:lang w:eastAsia="en-GB"/>
              </w:rPr>
            </w:pPr>
          </w:p>
        </w:tc>
        <w:tc>
          <w:tcPr>
            <w:tcW w:w="1728" w:type="dxa"/>
            <w:shd w:val="clear" w:color="auto" w:fill="FFFFFF"/>
          </w:tcPr>
          <w:p w14:paraId="78BBA258" w14:textId="77777777" w:rsidR="00544513" w:rsidRPr="00046629" w:rsidRDefault="00544513" w:rsidP="00544513">
            <w:pPr>
              <w:tabs>
                <w:tab w:val="left" w:pos="1224"/>
              </w:tabs>
              <w:spacing w:after="0" w:line="240" w:lineRule="auto"/>
              <w:rPr>
                <w:rFonts w:ascii="Tahoma" w:eastAsia="Times New Roman" w:hAnsi="Tahoma" w:cs="Tahoma"/>
                <w:sz w:val="18"/>
                <w:szCs w:val="18"/>
                <w:lang w:eastAsia="en-GB"/>
              </w:rPr>
            </w:pPr>
          </w:p>
        </w:tc>
        <w:tc>
          <w:tcPr>
            <w:tcW w:w="1375" w:type="dxa"/>
            <w:shd w:val="clear" w:color="auto" w:fill="FFFFFF"/>
          </w:tcPr>
          <w:p w14:paraId="51500A3F" w14:textId="77777777" w:rsidR="00544513" w:rsidRPr="00046629" w:rsidRDefault="00544513" w:rsidP="00544513">
            <w:pPr>
              <w:spacing w:after="0" w:line="240" w:lineRule="auto"/>
              <w:jc w:val="right"/>
              <w:rPr>
                <w:rFonts w:ascii="Tahoma" w:eastAsia="Times New Roman" w:hAnsi="Tahoma" w:cs="Tahoma"/>
                <w:sz w:val="18"/>
                <w:szCs w:val="18"/>
                <w:lang w:eastAsia="en-GB"/>
              </w:rPr>
            </w:pPr>
          </w:p>
        </w:tc>
        <w:tc>
          <w:tcPr>
            <w:tcW w:w="800" w:type="dxa"/>
            <w:shd w:val="clear" w:color="auto" w:fill="FFFFFF"/>
          </w:tcPr>
          <w:p w14:paraId="06A5EB88" w14:textId="77777777" w:rsidR="00544513" w:rsidRPr="00046629" w:rsidRDefault="00544513" w:rsidP="00544513">
            <w:pPr>
              <w:spacing w:after="0" w:line="240" w:lineRule="auto"/>
              <w:jc w:val="right"/>
              <w:rPr>
                <w:rFonts w:ascii="Tahoma" w:eastAsia="Times New Roman" w:hAnsi="Tahoma" w:cs="Tahoma"/>
                <w:sz w:val="18"/>
                <w:szCs w:val="18"/>
                <w:lang w:eastAsia="en-GB"/>
              </w:rPr>
            </w:pPr>
          </w:p>
        </w:tc>
        <w:tc>
          <w:tcPr>
            <w:tcW w:w="708" w:type="dxa"/>
            <w:shd w:val="clear" w:color="auto" w:fill="FFFFFF"/>
          </w:tcPr>
          <w:p w14:paraId="11CFF09E" w14:textId="77777777" w:rsidR="00544513" w:rsidRPr="00046629" w:rsidRDefault="00544513" w:rsidP="00544513">
            <w:pPr>
              <w:spacing w:after="0" w:line="240" w:lineRule="auto"/>
              <w:jc w:val="right"/>
              <w:rPr>
                <w:rFonts w:ascii="Tahoma" w:eastAsia="Times New Roman" w:hAnsi="Tahoma" w:cs="Tahoma"/>
                <w:sz w:val="18"/>
                <w:szCs w:val="18"/>
                <w:lang w:eastAsia="en-GB"/>
              </w:rPr>
            </w:pPr>
          </w:p>
        </w:tc>
        <w:tc>
          <w:tcPr>
            <w:tcW w:w="800" w:type="dxa"/>
            <w:shd w:val="clear" w:color="auto" w:fill="FFFFFF"/>
          </w:tcPr>
          <w:p w14:paraId="6A401EA9" w14:textId="77777777" w:rsidR="00544513" w:rsidRPr="00046629" w:rsidRDefault="00544513" w:rsidP="00544513">
            <w:pPr>
              <w:spacing w:after="0" w:line="240" w:lineRule="auto"/>
              <w:jc w:val="right"/>
              <w:rPr>
                <w:rFonts w:ascii="Tahoma" w:eastAsia="Times New Roman" w:hAnsi="Tahoma" w:cs="Tahoma"/>
                <w:sz w:val="18"/>
                <w:szCs w:val="18"/>
                <w:lang w:eastAsia="en-GB"/>
              </w:rPr>
            </w:pPr>
          </w:p>
        </w:tc>
      </w:tr>
      <w:tr w:rsidR="00544513" w:rsidRPr="00046629" w14:paraId="2AECB13B" w14:textId="77777777" w:rsidTr="00544513">
        <w:tc>
          <w:tcPr>
            <w:tcW w:w="4928" w:type="dxa"/>
            <w:shd w:val="clear" w:color="auto" w:fill="FFFFFF"/>
            <w:tcMar>
              <w:top w:w="0" w:type="dxa"/>
              <w:left w:w="108" w:type="dxa"/>
              <w:bottom w:w="0" w:type="dxa"/>
              <w:right w:w="108" w:type="dxa"/>
            </w:tcMar>
            <w:hideMark/>
          </w:tcPr>
          <w:p w14:paraId="4A3BF2A5" w14:textId="57CE2DBD" w:rsidR="00544513" w:rsidRPr="00046629" w:rsidRDefault="00544513" w:rsidP="00544513">
            <w:pPr>
              <w:spacing w:after="0" w:line="240" w:lineRule="auto"/>
              <w:jc w:val="both"/>
              <w:rPr>
                <w:rFonts w:ascii="Tahoma" w:eastAsia="Times New Roman" w:hAnsi="Tahoma" w:cs="Tahoma"/>
                <w:sz w:val="18"/>
                <w:szCs w:val="18"/>
                <w:lang w:eastAsia="en-GB"/>
              </w:rPr>
            </w:pPr>
            <w:r w:rsidRPr="00046629">
              <w:rPr>
                <w:rFonts w:ascii="Tahoma" w:eastAsia="Times New Roman" w:hAnsi="Tahoma" w:cs="Tahoma"/>
                <w:sz w:val="18"/>
                <w:szCs w:val="18"/>
                <w:lang w:eastAsia="en-GB"/>
              </w:rPr>
              <w:t>Operating margin– underlying</w:t>
            </w:r>
            <w:r w:rsidRPr="00046629">
              <w:rPr>
                <w:rFonts w:ascii="Tahoma" w:eastAsia="Times New Roman" w:hAnsi="Tahoma" w:cs="Tahoma"/>
                <w:sz w:val="18"/>
                <w:szCs w:val="18"/>
                <w:vertAlign w:val="superscript"/>
                <w:lang w:eastAsia="en-GB"/>
              </w:rPr>
              <w:t>1</w:t>
            </w:r>
          </w:p>
        </w:tc>
        <w:tc>
          <w:tcPr>
            <w:tcW w:w="1728" w:type="dxa"/>
            <w:shd w:val="clear" w:color="auto" w:fill="FFFFFF"/>
          </w:tcPr>
          <w:p w14:paraId="78D886B2" w14:textId="4BCC55B1" w:rsidR="00544513" w:rsidRPr="00046629" w:rsidRDefault="00544513" w:rsidP="00544513">
            <w:pPr>
              <w:spacing w:after="0" w:line="240" w:lineRule="auto"/>
              <w:jc w:val="right"/>
              <w:rPr>
                <w:rFonts w:ascii="Tahoma" w:eastAsia="Times New Roman" w:hAnsi="Tahoma" w:cs="Tahoma"/>
                <w:sz w:val="18"/>
                <w:szCs w:val="18"/>
                <w:lang w:eastAsia="en-GB"/>
              </w:rPr>
            </w:pPr>
          </w:p>
        </w:tc>
        <w:tc>
          <w:tcPr>
            <w:tcW w:w="1375" w:type="dxa"/>
            <w:shd w:val="clear" w:color="auto" w:fill="FFFFFF"/>
          </w:tcPr>
          <w:p w14:paraId="25B443F1" w14:textId="399E104A" w:rsidR="00544513" w:rsidRPr="00046629" w:rsidRDefault="00563AEA" w:rsidP="00544513">
            <w:pPr>
              <w:spacing w:after="0" w:line="240" w:lineRule="auto"/>
              <w:jc w:val="right"/>
              <w:rPr>
                <w:rFonts w:ascii="Tahoma" w:eastAsia="Times New Roman" w:hAnsi="Tahoma" w:cs="Tahoma"/>
                <w:sz w:val="18"/>
                <w:szCs w:val="18"/>
                <w:lang w:eastAsia="en-GB"/>
              </w:rPr>
            </w:pPr>
            <w:r>
              <w:rPr>
                <w:rFonts w:ascii="Tahoma" w:eastAsia="Times New Roman" w:hAnsi="Tahoma" w:cs="Tahoma"/>
                <w:sz w:val="18"/>
                <w:szCs w:val="18"/>
                <w:lang w:eastAsia="en-GB"/>
              </w:rPr>
              <w:t>2.6</w:t>
            </w:r>
            <w:r w:rsidR="00544513" w:rsidRPr="00046629">
              <w:rPr>
                <w:rFonts w:ascii="Tahoma" w:eastAsia="Times New Roman" w:hAnsi="Tahoma" w:cs="Tahoma"/>
                <w:sz w:val="18"/>
                <w:szCs w:val="18"/>
                <w:lang w:eastAsia="en-GB"/>
              </w:rPr>
              <w:t>%</w:t>
            </w:r>
          </w:p>
        </w:tc>
        <w:tc>
          <w:tcPr>
            <w:tcW w:w="800" w:type="dxa"/>
            <w:shd w:val="clear" w:color="auto" w:fill="FFFFFF"/>
          </w:tcPr>
          <w:p w14:paraId="0F9F2FF9" w14:textId="77777777" w:rsidR="00544513" w:rsidRPr="00046629" w:rsidRDefault="00544513" w:rsidP="00544513">
            <w:pPr>
              <w:spacing w:after="0" w:line="240" w:lineRule="auto"/>
              <w:rPr>
                <w:rFonts w:ascii="Tahoma" w:eastAsia="Times New Roman" w:hAnsi="Tahoma" w:cs="Tahoma"/>
                <w:sz w:val="18"/>
                <w:szCs w:val="18"/>
                <w:lang w:eastAsia="en-GB"/>
              </w:rPr>
            </w:pPr>
          </w:p>
        </w:tc>
        <w:tc>
          <w:tcPr>
            <w:tcW w:w="708" w:type="dxa"/>
            <w:shd w:val="clear" w:color="auto" w:fill="FFFFFF"/>
          </w:tcPr>
          <w:p w14:paraId="71320F5A" w14:textId="4AD4D4DC" w:rsidR="00544513" w:rsidRPr="00046629" w:rsidRDefault="00563AEA" w:rsidP="00544513">
            <w:pPr>
              <w:spacing w:after="0" w:line="240" w:lineRule="auto"/>
              <w:jc w:val="right"/>
              <w:rPr>
                <w:rFonts w:ascii="Tahoma" w:eastAsia="Times New Roman" w:hAnsi="Tahoma" w:cs="Tahoma"/>
                <w:sz w:val="18"/>
                <w:szCs w:val="18"/>
                <w:lang w:eastAsia="en-GB"/>
              </w:rPr>
            </w:pPr>
            <w:r>
              <w:rPr>
                <w:rFonts w:ascii="Tahoma" w:eastAsia="Times New Roman" w:hAnsi="Tahoma" w:cs="Tahoma"/>
                <w:sz w:val="18"/>
                <w:szCs w:val="18"/>
                <w:lang w:eastAsia="en-GB"/>
              </w:rPr>
              <w:t>3.0</w:t>
            </w:r>
            <w:r w:rsidR="00544513" w:rsidRPr="00046629">
              <w:rPr>
                <w:rFonts w:ascii="Tahoma" w:eastAsia="Times New Roman" w:hAnsi="Tahoma" w:cs="Tahoma"/>
                <w:sz w:val="18"/>
                <w:szCs w:val="18"/>
                <w:lang w:eastAsia="en-GB"/>
              </w:rPr>
              <w:t>%</w:t>
            </w:r>
          </w:p>
        </w:tc>
        <w:tc>
          <w:tcPr>
            <w:tcW w:w="800" w:type="dxa"/>
            <w:shd w:val="clear" w:color="auto" w:fill="FFFFFF"/>
          </w:tcPr>
          <w:p w14:paraId="43B8FDC8" w14:textId="77777777" w:rsidR="00544513" w:rsidRPr="00046629" w:rsidRDefault="00544513" w:rsidP="00544513">
            <w:pPr>
              <w:spacing w:after="0" w:line="240" w:lineRule="auto"/>
              <w:rPr>
                <w:rFonts w:ascii="Tahoma" w:eastAsia="Times New Roman" w:hAnsi="Tahoma" w:cs="Tahoma"/>
                <w:sz w:val="18"/>
                <w:szCs w:val="18"/>
                <w:lang w:eastAsia="en-GB"/>
              </w:rPr>
            </w:pPr>
          </w:p>
        </w:tc>
      </w:tr>
      <w:tr w:rsidR="00544513" w:rsidRPr="00046629" w14:paraId="5857153A" w14:textId="77777777" w:rsidTr="00544513">
        <w:tc>
          <w:tcPr>
            <w:tcW w:w="4928" w:type="dxa"/>
            <w:shd w:val="clear" w:color="auto" w:fill="FFFFFF"/>
            <w:tcMar>
              <w:top w:w="0" w:type="dxa"/>
              <w:left w:w="108" w:type="dxa"/>
              <w:bottom w:w="0" w:type="dxa"/>
              <w:right w:w="108" w:type="dxa"/>
            </w:tcMar>
            <w:hideMark/>
          </w:tcPr>
          <w:p w14:paraId="5557FA86" w14:textId="75C04EFD" w:rsidR="00544513" w:rsidRPr="00046629" w:rsidRDefault="00544513" w:rsidP="00544513">
            <w:pPr>
              <w:spacing w:before="120" w:after="0" w:line="240" w:lineRule="auto"/>
              <w:jc w:val="both"/>
              <w:rPr>
                <w:rFonts w:ascii="Tahoma" w:eastAsia="Times New Roman" w:hAnsi="Tahoma" w:cs="Tahoma"/>
                <w:sz w:val="18"/>
                <w:szCs w:val="18"/>
                <w:lang w:eastAsia="en-GB"/>
              </w:rPr>
            </w:pPr>
            <w:r w:rsidRPr="00046629">
              <w:rPr>
                <w:rFonts w:ascii="Tahoma" w:eastAsia="Times New Roman" w:hAnsi="Tahoma" w:cs="Tahoma"/>
                <w:sz w:val="18"/>
                <w:szCs w:val="18"/>
                <w:lang w:eastAsia="en-GB"/>
              </w:rPr>
              <w:t>Profit before tax – underlying</w:t>
            </w:r>
            <w:r w:rsidRPr="00046629">
              <w:rPr>
                <w:rFonts w:ascii="Tahoma" w:eastAsia="Times New Roman" w:hAnsi="Tahoma" w:cs="Tahoma"/>
                <w:sz w:val="18"/>
                <w:szCs w:val="18"/>
                <w:vertAlign w:val="superscript"/>
                <w:lang w:eastAsia="en-GB"/>
              </w:rPr>
              <w:t>1</w:t>
            </w:r>
          </w:p>
        </w:tc>
        <w:tc>
          <w:tcPr>
            <w:tcW w:w="1728" w:type="dxa"/>
            <w:shd w:val="clear" w:color="auto" w:fill="FFFFFF"/>
          </w:tcPr>
          <w:p w14:paraId="2B32DB92" w14:textId="79004CFA" w:rsidR="00544513" w:rsidRPr="00046629" w:rsidRDefault="00544513" w:rsidP="00544513">
            <w:pPr>
              <w:spacing w:before="120" w:after="0" w:line="240" w:lineRule="auto"/>
              <w:jc w:val="right"/>
              <w:rPr>
                <w:rFonts w:ascii="Tahoma" w:eastAsia="Times New Roman" w:hAnsi="Tahoma" w:cs="Tahoma"/>
                <w:sz w:val="18"/>
                <w:szCs w:val="18"/>
                <w:lang w:eastAsia="en-GB"/>
              </w:rPr>
            </w:pPr>
          </w:p>
        </w:tc>
        <w:tc>
          <w:tcPr>
            <w:tcW w:w="1375" w:type="dxa"/>
            <w:shd w:val="clear" w:color="auto" w:fill="FFFFFF"/>
          </w:tcPr>
          <w:p w14:paraId="591E314D" w14:textId="33684378" w:rsidR="00544513" w:rsidRPr="00046629" w:rsidRDefault="00544513" w:rsidP="00544513">
            <w:pPr>
              <w:spacing w:before="120" w:after="0" w:line="240" w:lineRule="auto"/>
              <w:jc w:val="right"/>
              <w:rPr>
                <w:rFonts w:ascii="Tahoma" w:eastAsia="Times New Roman" w:hAnsi="Tahoma" w:cs="Tahoma"/>
                <w:sz w:val="18"/>
                <w:szCs w:val="18"/>
                <w:lang w:eastAsia="en-GB"/>
              </w:rPr>
            </w:pPr>
            <w:r w:rsidRPr="00046629">
              <w:rPr>
                <w:rFonts w:ascii="Tahoma" w:eastAsia="Times New Roman" w:hAnsi="Tahoma" w:cs="Tahoma"/>
                <w:sz w:val="18"/>
                <w:szCs w:val="18"/>
                <w:lang w:eastAsia="en-GB"/>
              </w:rPr>
              <w:t>£</w:t>
            </w:r>
            <w:r w:rsidR="00563AEA">
              <w:rPr>
                <w:rFonts w:ascii="Tahoma" w:eastAsia="Times New Roman" w:hAnsi="Tahoma" w:cs="Tahoma"/>
                <w:sz w:val="18"/>
                <w:szCs w:val="18"/>
                <w:lang w:eastAsia="en-GB"/>
              </w:rPr>
              <w:t>5.1</w:t>
            </w:r>
            <w:r w:rsidRPr="00046629">
              <w:rPr>
                <w:rFonts w:ascii="Tahoma" w:eastAsia="Times New Roman" w:hAnsi="Tahoma" w:cs="Tahoma"/>
                <w:sz w:val="18"/>
                <w:szCs w:val="18"/>
                <w:lang w:eastAsia="en-GB"/>
              </w:rPr>
              <w:t>m</w:t>
            </w:r>
          </w:p>
        </w:tc>
        <w:tc>
          <w:tcPr>
            <w:tcW w:w="800" w:type="dxa"/>
            <w:shd w:val="clear" w:color="auto" w:fill="FFFFFF"/>
          </w:tcPr>
          <w:p w14:paraId="765638D3" w14:textId="77777777" w:rsidR="00544513" w:rsidRPr="00046629" w:rsidRDefault="00544513" w:rsidP="00544513">
            <w:pPr>
              <w:spacing w:before="120" w:after="0" w:line="240" w:lineRule="auto"/>
              <w:jc w:val="right"/>
              <w:rPr>
                <w:rFonts w:ascii="Tahoma" w:eastAsia="Times New Roman" w:hAnsi="Tahoma" w:cs="Tahoma"/>
                <w:sz w:val="18"/>
                <w:szCs w:val="18"/>
                <w:lang w:eastAsia="en-GB"/>
              </w:rPr>
            </w:pPr>
          </w:p>
        </w:tc>
        <w:tc>
          <w:tcPr>
            <w:tcW w:w="708" w:type="dxa"/>
            <w:shd w:val="clear" w:color="auto" w:fill="FFFFFF"/>
          </w:tcPr>
          <w:p w14:paraId="64D147C1" w14:textId="2AE52552" w:rsidR="00544513" w:rsidRPr="00046629" w:rsidRDefault="00544513" w:rsidP="00544513">
            <w:pPr>
              <w:spacing w:before="120" w:after="0" w:line="240" w:lineRule="auto"/>
              <w:jc w:val="right"/>
              <w:rPr>
                <w:rFonts w:ascii="Tahoma" w:eastAsia="Times New Roman" w:hAnsi="Tahoma" w:cs="Tahoma"/>
                <w:sz w:val="18"/>
                <w:szCs w:val="18"/>
                <w:lang w:eastAsia="en-GB"/>
              </w:rPr>
            </w:pPr>
            <w:r w:rsidRPr="00046629">
              <w:rPr>
                <w:rFonts w:ascii="Tahoma" w:eastAsia="Times New Roman" w:hAnsi="Tahoma" w:cs="Tahoma"/>
                <w:sz w:val="18"/>
                <w:szCs w:val="18"/>
                <w:lang w:eastAsia="en-GB"/>
              </w:rPr>
              <w:t>£</w:t>
            </w:r>
            <w:r w:rsidR="00563AEA">
              <w:rPr>
                <w:rFonts w:ascii="Tahoma" w:eastAsia="Times New Roman" w:hAnsi="Tahoma" w:cs="Tahoma"/>
                <w:sz w:val="18"/>
                <w:szCs w:val="18"/>
                <w:lang w:eastAsia="en-GB"/>
              </w:rPr>
              <w:t>9.2</w:t>
            </w:r>
            <w:r w:rsidRPr="00046629">
              <w:rPr>
                <w:rFonts w:ascii="Tahoma" w:eastAsia="Times New Roman" w:hAnsi="Tahoma" w:cs="Tahoma"/>
                <w:sz w:val="18"/>
                <w:szCs w:val="18"/>
                <w:lang w:eastAsia="en-GB"/>
              </w:rPr>
              <w:t>m</w:t>
            </w:r>
          </w:p>
        </w:tc>
        <w:tc>
          <w:tcPr>
            <w:tcW w:w="800" w:type="dxa"/>
            <w:shd w:val="clear" w:color="auto" w:fill="FFFFFF"/>
          </w:tcPr>
          <w:p w14:paraId="7428B28F" w14:textId="77777777" w:rsidR="00544513" w:rsidRPr="00046629" w:rsidRDefault="00544513" w:rsidP="00544513">
            <w:pPr>
              <w:spacing w:before="120" w:after="0" w:line="240" w:lineRule="auto"/>
              <w:jc w:val="right"/>
              <w:rPr>
                <w:rFonts w:ascii="Tahoma" w:eastAsia="Times New Roman" w:hAnsi="Tahoma" w:cs="Tahoma"/>
                <w:sz w:val="18"/>
                <w:szCs w:val="18"/>
                <w:lang w:eastAsia="en-GB"/>
              </w:rPr>
            </w:pPr>
          </w:p>
        </w:tc>
      </w:tr>
      <w:tr w:rsidR="00544513" w:rsidRPr="00046629" w14:paraId="5FF229CE" w14:textId="77777777" w:rsidTr="00544513">
        <w:tc>
          <w:tcPr>
            <w:tcW w:w="4928" w:type="dxa"/>
            <w:shd w:val="clear" w:color="auto" w:fill="FFFFFF"/>
            <w:tcMar>
              <w:top w:w="0" w:type="dxa"/>
              <w:left w:w="108" w:type="dxa"/>
              <w:bottom w:w="0" w:type="dxa"/>
              <w:right w:w="108" w:type="dxa"/>
            </w:tcMar>
            <w:hideMark/>
          </w:tcPr>
          <w:p w14:paraId="1FD646E3" w14:textId="535EDC89" w:rsidR="00544513" w:rsidRPr="00046629" w:rsidRDefault="00544513" w:rsidP="00544513">
            <w:pPr>
              <w:spacing w:after="0" w:line="240" w:lineRule="auto"/>
              <w:jc w:val="both"/>
              <w:rPr>
                <w:rFonts w:ascii="Tahoma" w:eastAsia="Times New Roman" w:hAnsi="Tahoma" w:cs="Tahoma"/>
                <w:sz w:val="18"/>
                <w:szCs w:val="18"/>
                <w:lang w:eastAsia="en-GB"/>
              </w:rPr>
            </w:pPr>
            <w:r w:rsidRPr="00046629">
              <w:rPr>
                <w:rFonts w:ascii="Tahoma" w:eastAsia="Times New Roman" w:hAnsi="Tahoma" w:cs="Tahoma"/>
                <w:sz w:val="18"/>
                <w:szCs w:val="18"/>
                <w:lang w:eastAsia="en-GB"/>
              </w:rPr>
              <w:t xml:space="preserve">Profit before tax </w:t>
            </w:r>
            <w:r w:rsidR="00D20D29">
              <w:rPr>
                <w:rFonts w:ascii="Tahoma" w:eastAsia="Times New Roman" w:hAnsi="Tahoma" w:cs="Tahoma"/>
                <w:sz w:val="18"/>
                <w:szCs w:val="18"/>
                <w:lang w:eastAsia="en-GB"/>
              </w:rPr>
              <w:t>–</w:t>
            </w:r>
            <w:r w:rsidRPr="00046629">
              <w:rPr>
                <w:rFonts w:ascii="Tahoma" w:eastAsia="Times New Roman" w:hAnsi="Tahoma" w:cs="Tahoma"/>
                <w:sz w:val="18"/>
                <w:szCs w:val="18"/>
                <w:lang w:eastAsia="en-GB"/>
              </w:rPr>
              <w:t xml:space="preserve"> reported</w:t>
            </w:r>
          </w:p>
        </w:tc>
        <w:tc>
          <w:tcPr>
            <w:tcW w:w="1728" w:type="dxa"/>
            <w:shd w:val="clear" w:color="auto" w:fill="FFFFFF"/>
          </w:tcPr>
          <w:p w14:paraId="7A6A2CC1" w14:textId="1B95FF52" w:rsidR="00544513" w:rsidRPr="00046629" w:rsidRDefault="00544513" w:rsidP="00544513">
            <w:pPr>
              <w:spacing w:after="0" w:line="240" w:lineRule="auto"/>
              <w:jc w:val="right"/>
              <w:rPr>
                <w:rFonts w:ascii="Tahoma" w:eastAsia="Times New Roman" w:hAnsi="Tahoma" w:cs="Tahoma"/>
                <w:sz w:val="18"/>
                <w:szCs w:val="18"/>
                <w:lang w:eastAsia="en-GB"/>
              </w:rPr>
            </w:pPr>
          </w:p>
        </w:tc>
        <w:tc>
          <w:tcPr>
            <w:tcW w:w="1375" w:type="dxa"/>
            <w:shd w:val="clear" w:color="auto" w:fill="FFFFFF"/>
          </w:tcPr>
          <w:p w14:paraId="5643F474" w14:textId="0835E97A" w:rsidR="00544513" w:rsidRPr="00046629" w:rsidRDefault="00544513" w:rsidP="00544513">
            <w:pPr>
              <w:spacing w:after="0" w:line="240" w:lineRule="auto"/>
              <w:jc w:val="right"/>
              <w:rPr>
                <w:rFonts w:ascii="Tahoma" w:eastAsia="Times New Roman" w:hAnsi="Tahoma" w:cs="Tahoma"/>
                <w:sz w:val="18"/>
                <w:szCs w:val="18"/>
                <w:lang w:eastAsia="en-GB"/>
              </w:rPr>
            </w:pPr>
            <w:r w:rsidRPr="00046629">
              <w:rPr>
                <w:rFonts w:ascii="Tahoma" w:eastAsia="Times New Roman" w:hAnsi="Tahoma" w:cs="Tahoma"/>
                <w:sz w:val="18"/>
                <w:szCs w:val="18"/>
                <w:lang w:eastAsia="en-GB"/>
              </w:rPr>
              <w:t>£</w:t>
            </w:r>
            <w:r w:rsidR="00563AEA">
              <w:rPr>
                <w:rFonts w:ascii="Tahoma" w:eastAsia="Times New Roman" w:hAnsi="Tahoma" w:cs="Tahoma"/>
                <w:sz w:val="18"/>
                <w:szCs w:val="18"/>
                <w:lang w:eastAsia="en-GB"/>
              </w:rPr>
              <w:t>1.2</w:t>
            </w:r>
            <w:r w:rsidRPr="00046629">
              <w:rPr>
                <w:rFonts w:ascii="Tahoma" w:eastAsia="Times New Roman" w:hAnsi="Tahoma" w:cs="Tahoma"/>
                <w:sz w:val="18"/>
                <w:szCs w:val="18"/>
                <w:lang w:eastAsia="en-GB"/>
              </w:rPr>
              <w:t>m</w:t>
            </w:r>
          </w:p>
        </w:tc>
        <w:tc>
          <w:tcPr>
            <w:tcW w:w="800" w:type="dxa"/>
            <w:shd w:val="clear" w:color="auto" w:fill="FFFFFF"/>
          </w:tcPr>
          <w:p w14:paraId="0805E83A" w14:textId="77777777" w:rsidR="00544513" w:rsidRPr="00046629" w:rsidRDefault="00544513" w:rsidP="00544513">
            <w:pPr>
              <w:spacing w:after="0" w:line="240" w:lineRule="auto"/>
              <w:jc w:val="right"/>
              <w:rPr>
                <w:rFonts w:ascii="Tahoma" w:eastAsia="Times New Roman" w:hAnsi="Tahoma" w:cs="Tahoma"/>
                <w:sz w:val="18"/>
                <w:szCs w:val="18"/>
                <w:lang w:eastAsia="en-GB"/>
              </w:rPr>
            </w:pPr>
          </w:p>
        </w:tc>
        <w:tc>
          <w:tcPr>
            <w:tcW w:w="708" w:type="dxa"/>
            <w:shd w:val="clear" w:color="auto" w:fill="FFFFFF"/>
          </w:tcPr>
          <w:p w14:paraId="50DBC0DA" w14:textId="1F7F73EA" w:rsidR="00544513" w:rsidRPr="00046629" w:rsidRDefault="00544513" w:rsidP="00544513">
            <w:pPr>
              <w:spacing w:after="0" w:line="240" w:lineRule="auto"/>
              <w:jc w:val="right"/>
              <w:rPr>
                <w:rFonts w:ascii="Tahoma" w:eastAsia="Times New Roman" w:hAnsi="Tahoma" w:cs="Tahoma"/>
                <w:sz w:val="18"/>
                <w:szCs w:val="18"/>
                <w:lang w:eastAsia="en-GB"/>
              </w:rPr>
            </w:pPr>
            <w:r w:rsidRPr="00046629">
              <w:rPr>
                <w:rFonts w:ascii="Tahoma" w:eastAsia="Times New Roman" w:hAnsi="Tahoma" w:cs="Tahoma"/>
                <w:sz w:val="18"/>
                <w:szCs w:val="18"/>
                <w:lang w:eastAsia="en-GB"/>
              </w:rPr>
              <w:t>£</w:t>
            </w:r>
            <w:r w:rsidR="00563AEA">
              <w:rPr>
                <w:rFonts w:ascii="Tahoma" w:eastAsia="Times New Roman" w:hAnsi="Tahoma" w:cs="Tahoma"/>
                <w:sz w:val="18"/>
                <w:szCs w:val="18"/>
                <w:lang w:eastAsia="en-GB"/>
              </w:rPr>
              <w:t>9.0</w:t>
            </w:r>
            <w:r w:rsidRPr="00046629">
              <w:rPr>
                <w:rFonts w:ascii="Tahoma" w:eastAsia="Times New Roman" w:hAnsi="Tahoma" w:cs="Tahoma"/>
                <w:sz w:val="18"/>
                <w:szCs w:val="18"/>
                <w:lang w:eastAsia="en-GB"/>
              </w:rPr>
              <w:t>m</w:t>
            </w:r>
          </w:p>
        </w:tc>
        <w:tc>
          <w:tcPr>
            <w:tcW w:w="800" w:type="dxa"/>
            <w:shd w:val="clear" w:color="auto" w:fill="FFFFFF"/>
          </w:tcPr>
          <w:p w14:paraId="5E5437EB" w14:textId="77777777" w:rsidR="00544513" w:rsidRPr="00046629" w:rsidRDefault="00544513" w:rsidP="00544513">
            <w:pPr>
              <w:spacing w:after="0" w:line="240" w:lineRule="auto"/>
              <w:jc w:val="right"/>
              <w:rPr>
                <w:rFonts w:ascii="Tahoma" w:eastAsia="Times New Roman" w:hAnsi="Tahoma" w:cs="Tahoma"/>
                <w:sz w:val="18"/>
                <w:szCs w:val="18"/>
                <w:lang w:eastAsia="en-GB"/>
              </w:rPr>
            </w:pPr>
          </w:p>
        </w:tc>
      </w:tr>
      <w:tr w:rsidR="00544513" w:rsidRPr="00046629" w14:paraId="594C7C3E" w14:textId="77777777" w:rsidTr="00544513">
        <w:tc>
          <w:tcPr>
            <w:tcW w:w="4928" w:type="dxa"/>
            <w:shd w:val="clear" w:color="auto" w:fill="FFFFFF"/>
            <w:tcMar>
              <w:top w:w="0" w:type="dxa"/>
              <w:left w:w="108" w:type="dxa"/>
              <w:bottom w:w="0" w:type="dxa"/>
              <w:right w:w="108" w:type="dxa"/>
            </w:tcMar>
            <w:hideMark/>
          </w:tcPr>
          <w:p w14:paraId="683AB234" w14:textId="77777777" w:rsidR="00544513" w:rsidRPr="00046629" w:rsidRDefault="00544513" w:rsidP="00544513">
            <w:pPr>
              <w:spacing w:before="120" w:after="120" w:line="240" w:lineRule="auto"/>
              <w:jc w:val="both"/>
              <w:rPr>
                <w:rFonts w:ascii="Tahoma" w:eastAsia="Times New Roman" w:hAnsi="Tahoma" w:cs="Tahoma"/>
                <w:sz w:val="18"/>
                <w:szCs w:val="18"/>
                <w:lang w:eastAsia="en-GB"/>
              </w:rPr>
            </w:pPr>
            <w:r w:rsidRPr="00046629">
              <w:rPr>
                <w:rFonts w:ascii="Tahoma" w:eastAsia="Times New Roman" w:hAnsi="Tahoma" w:cs="Tahoma"/>
                <w:sz w:val="18"/>
                <w:szCs w:val="18"/>
                <w:lang w:eastAsia="en-GB"/>
              </w:rPr>
              <w:t>Net cash</w:t>
            </w:r>
          </w:p>
        </w:tc>
        <w:tc>
          <w:tcPr>
            <w:tcW w:w="1728" w:type="dxa"/>
            <w:shd w:val="clear" w:color="auto" w:fill="FFFFFF"/>
          </w:tcPr>
          <w:p w14:paraId="2ED36416" w14:textId="6470A0DD" w:rsidR="00544513" w:rsidRPr="00046629" w:rsidRDefault="00544513" w:rsidP="00544513">
            <w:pPr>
              <w:spacing w:before="120" w:after="120" w:line="240" w:lineRule="auto"/>
              <w:jc w:val="right"/>
              <w:rPr>
                <w:rFonts w:ascii="Tahoma" w:eastAsia="Times New Roman" w:hAnsi="Tahoma" w:cs="Tahoma"/>
                <w:sz w:val="18"/>
                <w:szCs w:val="18"/>
                <w:lang w:eastAsia="en-GB"/>
              </w:rPr>
            </w:pPr>
          </w:p>
        </w:tc>
        <w:tc>
          <w:tcPr>
            <w:tcW w:w="1375" w:type="dxa"/>
            <w:shd w:val="clear" w:color="auto" w:fill="FFFFFF"/>
          </w:tcPr>
          <w:p w14:paraId="7EB368BE" w14:textId="3D921DB4" w:rsidR="00544513" w:rsidRPr="00046629" w:rsidRDefault="00544513" w:rsidP="00544513">
            <w:pPr>
              <w:spacing w:before="120" w:after="120" w:line="240" w:lineRule="auto"/>
              <w:jc w:val="right"/>
              <w:rPr>
                <w:rFonts w:ascii="Tahoma" w:eastAsia="Times New Roman" w:hAnsi="Tahoma" w:cs="Tahoma"/>
                <w:sz w:val="18"/>
                <w:szCs w:val="18"/>
                <w:lang w:eastAsia="en-GB"/>
              </w:rPr>
            </w:pPr>
            <w:r w:rsidRPr="00046629">
              <w:rPr>
                <w:rFonts w:ascii="Tahoma" w:eastAsia="Times New Roman" w:hAnsi="Tahoma" w:cs="Tahoma"/>
                <w:sz w:val="18"/>
                <w:szCs w:val="18"/>
                <w:lang w:eastAsia="en-GB"/>
              </w:rPr>
              <w:t>£1</w:t>
            </w:r>
            <w:r w:rsidR="00563AEA">
              <w:rPr>
                <w:rFonts w:ascii="Tahoma" w:eastAsia="Times New Roman" w:hAnsi="Tahoma" w:cs="Tahoma"/>
                <w:sz w:val="18"/>
                <w:szCs w:val="18"/>
                <w:lang w:eastAsia="en-GB"/>
              </w:rPr>
              <w:t>0.2</w:t>
            </w:r>
            <w:r w:rsidRPr="00046629">
              <w:rPr>
                <w:rFonts w:ascii="Tahoma" w:eastAsia="Times New Roman" w:hAnsi="Tahoma" w:cs="Tahoma"/>
                <w:sz w:val="18"/>
                <w:szCs w:val="18"/>
                <w:lang w:eastAsia="en-GB"/>
              </w:rPr>
              <w:t>m</w:t>
            </w:r>
          </w:p>
        </w:tc>
        <w:tc>
          <w:tcPr>
            <w:tcW w:w="800" w:type="dxa"/>
            <w:shd w:val="clear" w:color="auto" w:fill="FFFFFF"/>
          </w:tcPr>
          <w:p w14:paraId="43C64F8A" w14:textId="77777777" w:rsidR="00544513" w:rsidRPr="00046629" w:rsidRDefault="00544513" w:rsidP="00544513">
            <w:pPr>
              <w:spacing w:before="120" w:after="120" w:line="240" w:lineRule="auto"/>
              <w:jc w:val="right"/>
              <w:rPr>
                <w:rFonts w:ascii="Tahoma" w:eastAsia="Times New Roman" w:hAnsi="Tahoma" w:cs="Tahoma"/>
                <w:sz w:val="18"/>
                <w:szCs w:val="18"/>
                <w:lang w:eastAsia="en-GB"/>
              </w:rPr>
            </w:pPr>
          </w:p>
        </w:tc>
        <w:tc>
          <w:tcPr>
            <w:tcW w:w="708" w:type="dxa"/>
            <w:shd w:val="clear" w:color="auto" w:fill="FFFFFF"/>
          </w:tcPr>
          <w:p w14:paraId="386AFBBD" w14:textId="79EE00DE" w:rsidR="00544513" w:rsidRPr="00046629" w:rsidRDefault="00544513" w:rsidP="00544513">
            <w:pPr>
              <w:spacing w:before="120" w:after="120" w:line="240" w:lineRule="auto"/>
              <w:jc w:val="right"/>
              <w:rPr>
                <w:rFonts w:ascii="Tahoma" w:eastAsia="Times New Roman" w:hAnsi="Tahoma" w:cs="Tahoma"/>
                <w:sz w:val="18"/>
                <w:szCs w:val="18"/>
                <w:lang w:eastAsia="en-GB"/>
              </w:rPr>
            </w:pPr>
            <w:r w:rsidRPr="00046629">
              <w:rPr>
                <w:rFonts w:ascii="Tahoma" w:eastAsia="Times New Roman" w:hAnsi="Tahoma" w:cs="Tahoma"/>
                <w:sz w:val="18"/>
                <w:szCs w:val="18"/>
                <w:lang w:eastAsia="en-GB"/>
              </w:rPr>
              <w:t>£1</w:t>
            </w:r>
            <w:r w:rsidR="00563AEA">
              <w:rPr>
                <w:rFonts w:ascii="Tahoma" w:eastAsia="Times New Roman" w:hAnsi="Tahoma" w:cs="Tahoma"/>
                <w:sz w:val="18"/>
                <w:szCs w:val="18"/>
                <w:lang w:eastAsia="en-GB"/>
              </w:rPr>
              <w:t>2.4</w:t>
            </w:r>
            <w:r w:rsidRPr="00046629">
              <w:rPr>
                <w:rFonts w:ascii="Tahoma" w:eastAsia="Times New Roman" w:hAnsi="Tahoma" w:cs="Tahoma"/>
                <w:sz w:val="18"/>
                <w:szCs w:val="18"/>
                <w:lang w:eastAsia="en-GB"/>
              </w:rPr>
              <w:t>m</w:t>
            </w:r>
          </w:p>
        </w:tc>
        <w:tc>
          <w:tcPr>
            <w:tcW w:w="800" w:type="dxa"/>
            <w:shd w:val="clear" w:color="auto" w:fill="FFFFFF"/>
          </w:tcPr>
          <w:p w14:paraId="7D7A5644" w14:textId="77777777" w:rsidR="00544513" w:rsidRPr="00046629" w:rsidRDefault="00544513" w:rsidP="00544513">
            <w:pPr>
              <w:spacing w:before="120" w:after="120" w:line="240" w:lineRule="auto"/>
              <w:jc w:val="right"/>
              <w:rPr>
                <w:rFonts w:ascii="Tahoma" w:eastAsia="Times New Roman" w:hAnsi="Tahoma" w:cs="Tahoma"/>
                <w:sz w:val="18"/>
                <w:szCs w:val="18"/>
                <w:lang w:eastAsia="en-GB"/>
              </w:rPr>
            </w:pPr>
          </w:p>
        </w:tc>
      </w:tr>
      <w:tr w:rsidR="00544513" w:rsidRPr="00046629" w14:paraId="0B6CBAC7" w14:textId="77777777" w:rsidTr="00544513">
        <w:tc>
          <w:tcPr>
            <w:tcW w:w="4928" w:type="dxa"/>
            <w:shd w:val="clear" w:color="auto" w:fill="FFFFFF"/>
            <w:tcMar>
              <w:top w:w="0" w:type="dxa"/>
              <w:left w:w="108" w:type="dxa"/>
              <w:bottom w:w="0" w:type="dxa"/>
              <w:right w:w="108" w:type="dxa"/>
            </w:tcMar>
            <w:hideMark/>
          </w:tcPr>
          <w:p w14:paraId="66473502" w14:textId="77777777" w:rsidR="00544513" w:rsidRPr="00046629" w:rsidRDefault="00544513" w:rsidP="00544513">
            <w:pPr>
              <w:spacing w:after="0" w:line="240" w:lineRule="auto"/>
              <w:jc w:val="both"/>
              <w:rPr>
                <w:rFonts w:ascii="Tahoma" w:eastAsia="Times New Roman" w:hAnsi="Tahoma" w:cs="Tahoma"/>
                <w:sz w:val="18"/>
                <w:szCs w:val="18"/>
                <w:lang w:eastAsia="en-GB"/>
              </w:rPr>
            </w:pPr>
            <w:r w:rsidRPr="00046629">
              <w:rPr>
                <w:rFonts w:ascii="Tahoma" w:eastAsia="Times New Roman" w:hAnsi="Tahoma" w:cs="Tahoma"/>
                <w:sz w:val="18"/>
                <w:szCs w:val="18"/>
                <w:lang w:eastAsia="en-GB"/>
              </w:rPr>
              <w:t>Earnings per share – underlying</w:t>
            </w:r>
            <w:r w:rsidRPr="00046629">
              <w:rPr>
                <w:rFonts w:ascii="Tahoma" w:eastAsia="Times New Roman" w:hAnsi="Tahoma" w:cs="Tahoma"/>
                <w:sz w:val="18"/>
                <w:szCs w:val="18"/>
                <w:vertAlign w:val="superscript"/>
                <w:lang w:eastAsia="en-GB"/>
              </w:rPr>
              <w:t>2</w:t>
            </w:r>
          </w:p>
        </w:tc>
        <w:tc>
          <w:tcPr>
            <w:tcW w:w="1728" w:type="dxa"/>
            <w:shd w:val="clear" w:color="auto" w:fill="FFFFFF"/>
          </w:tcPr>
          <w:p w14:paraId="54C96970" w14:textId="4FD82157" w:rsidR="00544513" w:rsidRPr="00046629" w:rsidRDefault="00544513" w:rsidP="00544513">
            <w:pPr>
              <w:spacing w:after="0" w:line="240" w:lineRule="auto"/>
              <w:jc w:val="right"/>
              <w:rPr>
                <w:rFonts w:ascii="Tahoma" w:eastAsia="Times New Roman" w:hAnsi="Tahoma" w:cs="Tahoma"/>
                <w:sz w:val="18"/>
                <w:szCs w:val="18"/>
                <w:lang w:eastAsia="en-GB"/>
              </w:rPr>
            </w:pPr>
          </w:p>
        </w:tc>
        <w:tc>
          <w:tcPr>
            <w:tcW w:w="1375" w:type="dxa"/>
            <w:shd w:val="clear" w:color="auto" w:fill="FFFFFF"/>
          </w:tcPr>
          <w:p w14:paraId="4DDED41D" w14:textId="6E3B5EE4" w:rsidR="00544513" w:rsidRPr="00046629" w:rsidRDefault="00544513" w:rsidP="00544513">
            <w:pPr>
              <w:spacing w:after="0" w:line="240" w:lineRule="auto"/>
              <w:jc w:val="right"/>
              <w:rPr>
                <w:rFonts w:ascii="Tahoma" w:eastAsia="Times New Roman" w:hAnsi="Tahoma" w:cs="Tahoma"/>
                <w:sz w:val="18"/>
                <w:szCs w:val="18"/>
                <w:lang w:eastAsia="en-GB"/>
              </w:rPr>
            </w:pPr>
            <w:r w:rsidRPr="00046629">
              <w:rPr>
                <w:rFonts w:ascii="Tahoma" w:eastAsia="Times New Roman" w:hAnsi="Tahoma" w:cs="Tahoma"/>
                <w:sz w:val="18"/>
                <w:szCs w:val="18"/>
                <w:lang w:eastAsia="en-GB"/>
              </w:rPr>
              <w:t>1</w:t>
            </w:r>
            <w:r w:rsidR="00563AEA">
              <w:rPr>
                <w:rFonts w:ascii="Tahoma" w:eastAsia="Times New Roman" w:hAnsi="Tahoma" w:cs="Tahoma"/>
                <w:sz w:val="18"/>
                <w:szCs w:val="18"/>
                <w:lang w:eastAsia="en-GB"/>
              </w:rPr>
              <w:t>0.29</w:t>
            </w:r>
            <w:r w:rsidRPr="00046629">
              <w:rPr>
                <w:rFonts w:ascii="Tahoma" w:eastAsia="Times New Roman" w:hAnsi="Tahoma" w:cs="Tahoma"/>
                <w:sz w:val="18"/>
                <w:szCs w:val="18"/>
                <w:lang w:eastAsia="en-GB"/>
              </w:rPr>
              <w:t>p</w:t>
            </w:r>
          </w:p>
        </w:tc>
        <w:tc>
          <w:tcPr>
            <w:tcW w:w="800" w:type="dxa"/>
            <w:shd w:val="clear" w:color="auto" w:fill="FFFFFF"/>
          </w:tcPr>
          <w:p w14:paraId="787C41FC" w14:textId="77777777" w:rsidR="00544513" w:rsidRPr="00046629" w:rsidRDefault="00544513" w:rsidP="00544513">
            <w:pPr>
              <w:spacing w:after="0" w:line="240" w:lineRule="auto"/>
              <w:jc w:val="right"/>
              <w:rPr>
                <w:rFonts w:ascii="Tahoma" w:eastAsia="Times New Roman" w:hAnsi="Tahoma" w:cs="Tahoma"/>
                <w:sz w:val="18"/>
                <w:szCs w:val="18"/>
                <w:lang w:eastAsia="en-GB"/>
              </w:rPr>
            </w:pPr>
          </w:p>
        </w:tc>
        <w:tc>
          <w:tcPr>
            <w:tcW w:w="708" w:type="dxa"/>
            <w:shd w:val="clear" w:color="auto" w:fill="FFFFFF"/>
          </w:tcPr>
          <w:p w14:paraId="234C9F44" w14:textId="438C9054" w:rsidR="00544513" w:rsidRPr="00046629" w:rsidRDefault="00544513" w:rsidP="00544513">
            <w:pPr>
              <w:spacing w:after="0" w:line="240" w:lineRule="auto"/>
              <w:jc w:val="right"/>
              <w:rPr>
                <w:rFonts w:ascii="Tahoma" w:eastAsia="Times New Roman" w:hAnsi="Tahoma" w:cs="Tahoma"/>
                <w:sz w:val="18"/>
                <w:szCs w:val="18"/>
                <w:lang w:eastAsia="en-GB"/>
              </w:rPr>
            </w:pPr>
            <w:r w:rsidRPr="00046629">
              <w:rPr>
                <w:rFonts w:ascii="Tahoma" w:eastAsia="Times New Roman" w:hAnsi="Tahoma" w:cs="Tahoma"/>
                <w:sz w:val="18"/>
                <w:szCs w:val="18"/>
                <w:lang w:eastAsia="en-GB"/>
              </w:rPr>
              <w:t>1</w:t>
            </w:r>
            <w:r w:rsidR="00563AEA">
              <w:rPr>
                <w:rFonts w:ascii="Tahoma" w:eastAsia="Times New Roman" w:hAnsi="Tahoma" w:cs="Tahoma"/>
                <w:sz w:val="18"/>
                <w:szCs w:val="18"/>
                <w:lang w:eastAsia="en-GB"/>
              </w:rPr>
              <w:t>8.81</w:t>
            </w:r>
            <w:r w:rsidRPr="00046629">
              <w:rPr>
                <w:rFonts w:ascii="Tahoma" w:eastAsia="Times New Roman" w:hAnsi="Tahoma" w:cs="Tahoma"/>
                <w:sz w:val="18"/>
                <w:szCs w:val="18"/>
                <w:lang w:eastAsia="en-GB"/>
              </w:rPr>
              <w:t>p</w:t>
            </w:r>
          </w:p>
        </w:tc>
        <w:tc>
          <w:tcPr>
            <w:tcW w:w="800" w:type="dxa"/>
            <w:shd w:val="clear" w:color="auto" w:fill="FFFFFF"/>
          </w:tcPr>
          <w:p w14:paraId="59C23B60" w14:textId="77777777" w:rsidR="00544513" w:rsidRPr="00046629" w:rsidRDefault="00544513" w:rsidP="00544513">
            <w:pPr>
              <w:spacing w:after="0" w:line="240" w:lineRule="auto"/>
              <w:jc w:val="right"/>
              <w:rPr>
                <w:rFonts w:ascii="Tahoma" w:eastAsia="Times New Roman" w:hAnsi="Tahoma" w:cs="Tahoma"/>
                <w:sz w:val="18"/>
                <w:szCs w:val="18"/>
                <w:lang w:eastAsia="en-GB"/>
              </w:rPr>
            </w:pPr>
          </w:p>
        </w:tc>
      </w:tr>
      <w:tr w:rsidR="00544513" w:rsidRPr="00046629" w14:paraId="6CA681F5" w14:textId="77777777" w:rsidTr="00544513">
        <w:tc>
          <w:tcPr>
            <w:tcW w:w="4928" w:type="dxa"/>
            <w:shd w:val="clear" w:color="auto" w:fill="FFFFFF"/>
            <w:tcMar>
              <w:top w:w="0" w:type="dxa"/>
              <w:left w:w="108" w:type="dxa"/>
              <w:bottom w:w="0" w:type="dxa"/>
              <w:right w:w="108" w:type="dxa"/>
            </w:tcMar>
          </w:tcPr>
          <w:p w14:paraId="65462328" w14:textId="77777777" w:rsidR="00544513" w:rsidRPr="00046629" w:rsidRDefault="00544513" w:rsidP="00544513">
            <w:pPr>
              <w:spacing w:after="0" w:line="240" w:lineRule="auto"/>
              <w:jc w:val="both"/>
              <w:rPr>
                <w:rFonts w:ascii="Tahoma" w:eastAsia="Times New Roman" w:hAnsi="Tahoma" w:cs="Tahoma"/>
                <w:sz w:val="18"/>
                <w:szCs w:val="18"/>
                <w:lang w:eastAsia="en-GB"/>
              </w:rPr>
            </w:pPr>
            <w:r w:rsidRPr="00046629">
              <w:rPr>
                <w:rFonts w:ascii="Tahoma" w:eastAsia="Times New Roman" w:hAnsi="Tahoma" w:cs="Tahoma"/>
                <w:sz w:val="18"/>
                <w:szCs w:val="18"/>
                <w:lang w:eastAsia="en-GB"/>
              </w:rPr>
              <w:t>Earnings per share – underlying (diluted)</w:t>
            </w:r>
            <w:r w:rsidRPr="00046629">
              <w:rPr>
                <w:rFonts w:ascii="Tahoma" w:eastAsia="Times New Roman" w:hAnsi="Tahoma" w:cs="Tahoma"/>
                <w:sz w:val="18"/>
                <w:szCs w:val="18"/>
                <w:vertAlign w:val="superscript"/>
                <w:lang w:eastAsia="en-GB"/>
              </w:rPr>
              <w:t>2</w:t>
            </w:r>
          </w:p>
        </w:tc>
        <w:tc>
          <w:tcPr>
            <w:tcW w:w="1728" w:type="dxa"/>
            <w:shd w:val="clear" w:color="auto" w:fill="FFFFFF"/>
          </w:tcPr>
          <w:p w14:paraId="4EBF9E95" w14:textId="3183E564" w:rsidR="00544513" w:rsidRPr="00046629" w:rsidRDefault="00544513" w:rsidP="00544513">
            <w:pPr>
              <w:spacing w:after="0" w:line="240" w:lineRule="auto"/>
              <w:jc w:val="right"/>
              <w:rPr>
                <w:rFonts w:ascii="Tahoma" w:eastAsia="Times New Roman" w:hAnsi="Tahoma" w:cs="Tahoma"/>
                <w:sz w:val="18"/>
                <w:szCs w:val="18"/>
                <w:lang w:eastAsia="en-GB"/>
              </w:rPr>
            </w:pPr>
          </w:p>
        </w:tc>
        <w:tc>
          <w:tcPr>
            <w:tcW w:w="1375" w:type="dxa"/>
            <w:shd w:val="clear" w:color="auto" w:fill="FFFFFF"/>
          </w:tcPr>
          <w:p w14:paraId="283386EF" w14:textId="4448E4B9" w:rsidR="00544513" w:rsidRPr="00046629" w:rsidRDefault="00563AEA" w:rsidP="00544513">
            <w:pPr>
              <w:spacing w:after="0" w:line="240" w:lineRule="auto"/>
              <w:jc w:val="right"/>
              <w:rPr>
                <w:rFonts w:ascii="Tahoma" w:eastAsia="Times New Roman" w:hAnsi="Tahoma" w:cs="Tahoma"/>
                <w:sz w:val="18"/>
                <w:szCs w:val="18"/>
                <w:lang w:eastAsia="en-GB"/>
              </w:rPr>
            </w:pPr>
            <w:r>
              <w:rPr>
                <w:rFonts w:ascii="Tahoma" w:eastAsia="Times New Roman" w:hAnsi="Tahoma" w:cs="Tahoma"/>
                <w:sz w:val="18"/>
                <w:szCs w:val="18"/>
                <w:lang w:eastAsia="en-GB"/>
              </w:rPr>
              <w:t>9.66</w:t>
            </w:r>
            <w:r w:rsidR="00544513" w:rsidRPr="00046629">
              <w:rPr>
                <w:rFonts w:ascii="Tahoma" w:eastAsia="Times New Roman" w:hAnsi="Tahoma" w:cs="Tahoma"/>
                <w:sz w:val="18"/>
                <w:szCs w:val="18"/>
                <w:lang w:eastAsia="en-GB"/>
              </w:rPr>
              <w:t>p</w:t>
            </w:r>
          </w:p>
        </w:tc>
        <w:tc>
          <w:tcPr>
            <w:tcW w:w="800" w:type="dxa"/>
            <w:shd w:val="clear" w:color="auto" w:fill="FFFFFF"/>
          </w:tcPr>
          <w:p w14:paraId="5BCC3944" w14:textId="77777777" w:rsidR="00544513" w:rsidRPr="00046629" w:rsidRDefault="00544513" w:rsidP="00544513">
            <w:pPr>
              <w:spacing w:after="0" w:line="240" w:lineRule="auto"/>
              <w:jc w:val="right"/>
              <w:rPr>
                <w:rFonts w:ascii="Tahoma" w:eastAsia="Times New Roman" w:hAnsi="Tahoma" w:cs="Tahoma"/>
                <w:sz w:val="18"/>
                <w:szCs w:val="18"/>
                <w:lang w:eastAsia="en-GB"/>
              </w:rPr>
            </w:pPr>
          </w:p>
        </w:tc>
        <w:tc>
          <w:tcPr>
            <w:tcW w:w="708" w:type="dxa"/>
            <w:shd w:val="clear" w:color="auto" w:fill="FFFFFF"/>
          </w:tcPr>
          <w:p w14:paraId="46406DE9" w14:textId="70B6695E" w:rsidR="00544513" w:rsidRPr="00046629" w:rsidRDefault="00544513" w:rsidP="00544513">
            <w:pPr>
              <w:spacing w:after="0" w:line="240" w:lineRule="auto"/>
              <w:jc w:val="right"/>
              <w:rPr>
                <w:rFonts w:ascii="Tahoma" w:eastAsia="Times New Roman" w:hAnsi="Tahoma" w:cs="Tahoma"/>
                <w:sz w:val="18"/>
                <w:szCs w:val="18"/>
                <w:lang w:eastAsia="en-GB"/>
              </w:rPr>
            </w:pPr>
            <w:r w:rsidRPr="00046629">
              <w:rPr>
                <w:rFonts w:ascii="Tahoma" w:eastAsia="Times New Roman" w:hAnsi="Tahoma" w:cs="Tahoma"/>
                <w:sz w:val="18"/>
                <w:szCs w:val="18"/>
                <w:lang w:eastAsia="en-GB"/>
              </w:rPr>
              <w:t>1</w:t>
            </w:r>
            <w:r w:rsidR="00563AEA">
              <w:rPr>
                <w:rFonts w:ascii="Tahoma" w:eastAsia="Times New Roman" w:hAnsi="Tahoma" w:cs="Tahoma"/>
                <w:sz w:val="18"/>
                <w:szCs w:val="18"/>
                <w:lang w:eastAsia="en-GB"/>
              </w:rPr>
              <w:t>7.90</w:t>
            </w:r>
            <w:r w:rsidRPr="00046629">
              <w:rPr>
                <w:rFonts w:ascii="Tahoma" w:eastAsia="Times New Roman" w:hAnsi="Tahoma" w:cs="Tahoma"/>
                <w:sz w:val="18"/>
                <w:szCs w:val="18"/>
                <w:lang w:eastAsia="en-GB"/>
              </w:rPr>
              <w:t>p</w:t>
            </w:r>
          </w:p>
        </w:tc>
        <w:tc>
          <w:tcPr>
            <w:tcW w:w="800" w:type="dxa"/>
            <w:shd w:val="clear" w:color="auto" w:fill="FFFFFF"/>
          </w:tcPr>
          <w:p w14:paraId="42525C2A" w14:textId="77777777" w:rsidR="00544513" w:rsidRPr="00046629" w:rsidRDefault="00544513" w:rsidP="00544513">
            <w:pPr>
              <w:spacing w:after="0" w:line="240" w:lineRule="auto"/>
              <w:jc w:val="right"/>
              <w:rPr>
                <w:rFonts w:ascii="Tahoma" w:eastAsia="Times New Roman" w:hAnsi="Tahoma" w:cs="Tahoma"/>
                <w:sz w:val="18"/>
                <w:szCs w:val="18"/>
                <w:lang w:eastAsia="en-GB"/>
              </w:rPr>
            </w:pPr>
          </w:p>
        </w:tc>
      </w:tr>
      <w:tr w:rsidR="00544513" w:rsidRPr="00046629" w14:paraId="7D8258FC" w14:textId="77777777" w:rsidTr="00544513">
        <w:tc>
          <w:tcPr>
            <w:tcW w:w="4928" w:type="dxa"/>
            <w:shd w:val="clear" w:color="auto" w:fill="FFFFFF"/>
            <w:tcMar>
              <w:top w:w="0" w:type="dxa"/>
              <w:left w:w="108" w:type="dxa"/>
              <w:bottom w:w="0" w:type="dxa"/>
              <w:right w:w="108" w:type="dxa"/>
            </w:tcMar>
            <w:hideMark/>
          </w:tcPr>
          <w:p w14:paraId="4AD497E1" w14:textId="793F50E7" w:rsidR="00544513" w:rsidRPr="00046629" w:rsidRDefault="00544513" w:rsidP="00544513">
            <w:pPr>
              <w:spacing w:after="0" w:line="240" w:lineRule="auto"/>
              <w:jc w:val="both"/>
              <w:rPr>
                <w:rFonts w:ascii="Tahoma" w:eastAsia="Times New Roman" w:hAnsi="Tahoma" w:cs="Tahoma"/>
                <w:sz w:val="18"/>
                <w:szCs w:val="18"/>
                <w:lang w:eastAsia="en-GB"/>
              </w:rPr>
            </w:pPr>
            <w:r w:rsidRPr="00046629">
              <w:rPr>
                <w:rFonts w:ascii="Tahoma" w:eastAsia="Times New Roman" w:hAnsi="Tahoma" w:cs="Tahoma"/>
                <w:sz w:val="18"/>
                <w:szCs w:val="18"/>
                <w:lang w:eastAsia="en-GB"/>
              </w:rPr>
              <w:t xml:space="preserve">Earnings per share </w:t>
            </w:r>
            <w:r w:rsidR="00D20D29">
              <w:rPr>
                <w:rFonts w:ascii="Tahoma" w:eastAsia="Times New Roman" w:hAnsi="Tahoma" w:cs="Tahoma"/>
                <w:sz w:val="18"/>
                <w:szCs w:val="18"/>
                <w:lang w:eastAsia="en-GB"/>
              </w:rPr>
              <w:t>–</w:t>
            </w:r>
            <w:r w:rsidRPr="00046629">
              <w:rPr>
                <w:rFonts w:ascii="Tahoma" w:eastAsia="Times New Roman" w:hAnsi="Tahoma" w:cs="Tahoma"/>
                <w:sz w:val="18"/>
                <w:szCs w:val="18"/>
                <w:lang w:eastAsia="en-GB"/>
              </w:rPr>
              <w:t xml:space="preserve"> basic</w:t>
            </w:r>
          </w:p>
        </w:tc>
        <w:tc>
          <w:tcPr>
            <w:tcW w:w="1728" w:type="dxa"/>
            <w:shd w:val="clear" w:color="auto" w:fill="FFFFFF"/>
          </w:tcPr>
          <w:p w14:paraId="58D36096" w14:textId="2C03FE8D" w:rsidR="00544513" w:rsidRPr="00046629" w:rsidRDefault="00544513" w:rsidP="00544513">
            <w:pPr>
              <w:spacing w:after="0" w:line="240" w:lineRule="auto"/>
              <w:jc w:val="right"/>
              <w:rPr>
                <w:rFonts w:ascii="Tahoma" w:eastAsia="Times New Roman" w:hAnsi="Tahoma" w:cs="Tahoma"/>
                <w:sz w:val="18"/>
                <w:szCs w:val="18"/>
                <w:lang w:eastAsia="en-GB"/>
              </w:rPr>
            </w:pPr>
          </w:p>
        </w:tc>
        <w:tc>
          <w:tcPr>
            <w:tcW w:w="1375" w:type="dxa"/>
            <w:shd w:val="clear" w:color="auto" w:fill="FFFFFF"/>
          </w:tcPr>
          <w:p w14:paraId="402D5021" w14:textId="737AFA93" w:rsidR="00544513" w:rsidRPr="00046629" w:rsidRDefault="00563AEA" w:rsidP="00544513">
            <w:pPr>
              <w:spacing w:after="0" w:line="240" w:lineRule="auto"/>
              <w:jc w:val="right"/>
              <w:rPr>
                <w:rFonts w:ascii="Tahoma" w:eastAsia="Times New Roman" w:hAnsi="Tahoma" w:cs="Tahoma"/>
                <w:sz w:val="18"/>
                <w:szCs w:val="18"/>
                <w:lang w:eastAsia="en-GB"/>
              </w:rPr>
            </w:pPr>
            <w:r>
              <w:rPr>
                <w:rFonts w:ascii="Tahoma" w:eastAsia="Times New Roman" w:hAnsi="Tahoma" w:cs="Tahoma"/>
                <w:sz w:val="18"/>
                <w:szCs w:val="18"/>
                <w:lang w:eastAsia="en-GB"/>
              </w:rPr>
              <w:t>2.87</w:t>
            </w:r>
            <w:r w:rsidR="00544513" w:rsidRPr="00046629">
              <w:rPr>
                <w:rFonts w:ascii="Tahoma" w:eastAsia="Times New Roman" w:hAnsi="Tahoma" w:cs="Tahoma"/>
                <w:sz w:val="18"/>
                <w:szCs w:val="18"/>
                <w:lang w:eastAsia="en-GB"/>
              </w:rPr>
              <w:t>p</w:t>
            </w:r>
          </w:p>
        </w:tc>
        <w:tc>
          <w:tcPr>
            <w:tcW w:w="800" w:type="dxa"/>
            <w:shd w:val="clear" w:color="auto" w:fill="FFFFFF"/>
          </w:tcPr>
          <w:p w14:paraId="2567E293" w14:textId="77777777" w:rsidR="00544513" w:rsidRPr="00046629" w:rsidRDefault="00544513" w:rsidP="00544513">
            <w:pPr>
              <w:spacing w:after="0" w:line="240" w:lineRule="auto"/>
              <w:jc w:val="right"/>
              <w:rPr>
                <w:rFonts w:ascii="Tahoma" w:eastAsia="Times New Roman" w:hAnsi="Tahoma" w:cs="Tahoma"/>
                <w:sz w:val="18"/>
                <w:szCs w:val="18"/>
                <w:lang w:eastAsia="en-GB"/>
              </w:rPr>
            </w:pPr>
          </w:p>
        </w:tc>
        <w:tc>
          <w:tcPr>
            <w:tcW w:w="708" w:type="dxa"/>
            <w:shd w:val="clear" w:color="auto" w:fill="FFFFFF"/>
          </w:tcPr>
          <w:p w14:paraId="1FF92034" w14:textId="3454B69D" w:rsidR="00544513" w:rsidRPr="00046629" w:rsidRDefault="00563AEA" w:rsidP="00544513">
            <w:pPr>
              <w:spacing w:after="0" w:line="240" w:lineRule="auto"/>
              <w:jc w:val="right"/>
              <w:rPr>
                <w:rFonts w:ascii="Tahoma" w:eastAsia="Times New Roman" w:hAnsi="Tahoma" w:cs="Tahoma"/>
                <w:sz w:val="18"/>
                <w:szCs w:val="18"/>
                <w:lang w:eastAsia="en-GB"/>
              </w:rPr>
            </w:pPr>
            <w:r>
              <w:rPr>
                <w:rFonts w:ascii="Tahoma" w:eastAsia="Times New Roman" w:hAnsi="Tahoma" w:cs="Tahoma"/>
                <w:sz w:val="18"/>
                <w:szCs w:val="18"/>
                <w:lang w:eastAsia="en-GB"/>
              </w:rPr>
              <w:t>18.37</w:t>
            </w:r>
            <w:r w:rsidR="00544513" w:rsidRPr="00046629">
              <w:rPr>
                <w:rFonts w:ascii="Tahoma" w:eastAsia="Times New Roman" w:hAnsi="Tahoma" w:cs="Tahoma"/>
                <w:sz w:val="18"/>
                <w:szCs w:val="18"/>
                <w:lang w:eastAsia="en-GB"/>
              </w:rPr>
              <w:t>p</w:t>
            </w:r>
          </w:p>
        </w:tc>
        <w:tc>
          <w:tcPr>
            <w:tcW w:w="800" w:type="dxa"/>
            <w:shd w:val="clear" w:color="auto" w:fill="FFFFFF"/>
          </w:tcPr>
          <w:p w14:paraId="4D98E47C" w14:textId="77777777" w:rsidR="00544513" w:rsidRPr="00046629" w:rsidRDefault="00544513" w:rsidP="00544513">
            <w:pPr>
              <w:spacing w:after="0" w:line="240" w:lineRule="auto"/>
              <w:jc w:val="right"/>
              <w:rPr>
                <w:rFonts w:ascii="Tahoma" w:eastAsia="Times New Roman" w:hAnsi="Tahoma" w:cs="Tahoma"/>
                <w:sz w:val="18"/>
                <w:szCs w:val="18"/>
                <w:lang w:eastAsia="en-GB"/>
              </w:rPr>
            </w:pPr>
          </w:p>
        </w:tc>
      </w:tr>
      <w:tr w:rsidR="00544513" w:rsidRPr="00046629" w14:paraId="6C3A3E3F" w14:textId="77777777" w:rsidTr="00544513">
        <w:tc>
          <w:tcPr>
            <w:tcW w:w="4928" w:type="dxa"/>
            <w:shd w:val="clear" w:color="auto" w:fill="FFFFFF"/>
            <w:tcMar>
              <w:top w:w="0" w:type="dxa"/>
              <w:left w:w="108" w:type="dxa"/>
              <w:bottom w:w="0" w:type="dxa"/>
              <w:right w:w="108" w:type="dxa"/>
            </w:tcMar>
            <w:hideMark/>
          </w:tcPr>
          <w:p w14:paraId="0C9CC9FD" w14:textId="77777777" w:rsidR="00544513" w:rsidRPr="00046629" w:rsidRDefault="00544513" w:rsidP="00544513">
            <w:pPr>
              <w:spacing w:before="120" w:after="0" w:line="240" w:lineRule="auto"/>
              <w:jc w:val="both"/>
              <w:rPr>
                <w:rFonts w:ascii="Tahoma" w:eastAsia="Times New Roman" w:hAnsi="Tahoma" w:cs="Tahoma"/>
                <w:sz w:val="18"/>
                <w:szCs w:val="18"/>
                <w:lang w:eastAsia="en-GB"/>
              </w:rPr>
            </w:pPr>
            <w:r w:rsidRPr="00046629">
              <w:rPr>
                <w:rFonts w:ascii="Tahoma" w:eastAsia="Times New Roman" w:hAnsi="Tahoma" w:cs="Tahoma"/>
                <w:sz w:val="18"/>
                <w:szCs w:val="18"/>
                <w:lang w:eastAsia="en-GB"/>
              </w:rPr>
              <w:t>Final dividend per share</w:t>
            </w:r>
          </w:p>
        </w:tc>
        <w:tc>
          <w:tcPr>
            <w:tcW w:w="1728" w:type="dxa"/>
            <w:shd w:val="clear" w:color="auto" w:fill="FFFFFF"/>
          </w:tcPr>
          <w:p w14:paraId="75FDADEC" w14:textId="30493D2B" w:rsidR="00544513" w:rsidRPr="00046629" w:rsidRDefault="00544513" w:rsidP="00544513">
            <w:pPr>
              <w:spacing w:before="120" w:after="0" w:line="240" w:lineRule="auto"/>
              <w:jc w:val="right"/>
              <w:rPr>
                <w:rFonts w:ascii="Tahoma" w:eastAsia="Times New Roman" w:hAnsi="Tahoma" w:cs="Tahoma"/>
                <w:sz w:val="18"/>
                <w:szCs w:val="18"/>
                <w:lang w:eastAsia="en-GB"/>
              </w:rPr>
            </w:pPr>
          </w:p>
        </w:tc>
        <w:tc>
          <w:tcPr>
            <w:tcW w:w="1375" w:type="dxa"/>
            <w:shd w:val="clear" w:color="auto" w:fill="FFFFFF"/>
          </w:tcPr>
          <w:p w14:paraId="20062DB9" w14:textId="04AF2168" w:rsidR="00544513" w:rsidRPr="00046629" w:rsidRDefault="00544513" w:rsidP="00544513">
            <w:pPr>
              <w:spacing w:before="120" w:after="0" w:line="240" w:lineRule="auto"/>
              <w:jc w:val="right"/>
              <w:rPr>
                <w:rFonts w:ascii="Tahoma" w:eastAsia="Times New Roman" w:hAnsi="Tahoma" w:cs="Tahoma"/>
                <w:sz w:val="18"/>
                <w:szCs w:val="18"/>
                <w:lang w:eastAsia="en-GB"/>
              </w:rPr>
            </w:pPr>
            <w:r w:rsidRPr="00046629">
              <w:rPr>
                <w:rFonts w:ascii="Tahoma" w:eastAsia="Times New Roman" w:hAnsi="Tahoma" w:cs="Tahoma"/>
                <w:sz w:val="18"/>
                <w:szCs w:val="18"/>
                <w:lang w:eastAsia="en-GB"/>
              </w:rPr>
              <w:t>3.</w:t>
            </w:r>
            <w:r w:rsidR="00C0301C">
              <w:rPr>
                <w:rFonts w:ascii="Tahoma" w:eastAsia="Times New Roman" w:hAnsi="Tahoma" w:cs="Tahoma"/>
                <w:sz w:val="18"/>
                <w:szCs w:val="18"/>
                <w:lang w:eastAsia="en-GB"/>
              </w:rPr>
              <w:t>65</w:t>
            </w:r>
            <w:r w:rsidRPr="00046629">
              <w:rPr>
                <w:rFonts w:ascii="Tahoma" w:eastAsia="Times New Roman" w:hAnsi="Tahoma" w:cs="Tahoma"/>
                <w:sz w:val="18"/>
                <w:szCs w:val="18"/>
                <w:lang w:eastAsia="en-GB"/>
              </w:rPr>
              <w:t>p</w:t>
            </w:r>
          </w:p>
        </w:tc>
        <w:tc>
          <w:tcPr>
            <w:tcW w:w="800" w:type="dxa"/>
            <w:shd w:val="clear" w:color="auto" w:fill="FFFFFF"/>
          </w:tcPr>
          <w:p w14:paraId="2814D6C5" w14:textId="77777777" w:rsidR="00544513" w:rsidRPr="00046629" w:rsidRDefault="00544513" w:rsidP="00544513">
            <w:pPr>
              <w:spacing w:before="120" w:after="0" w:line="240" w:lineRule="auto"/>
              <w:jc w:val="right"/>
              <w:rPr>
                <w:rFonts w:ascii="Tahoma" w:eastAsia="Times New Roman" w:hAnsi="Tahoma" w:cs="Tahoma"/>
                <w:sz w:val="18"/>
                <w:szCs w:val="18"/>
                <w:lang w:eastAsia="en-GB"/>
              </w:rPr>
            </w:pPr>
          </w:p>
        </w:tc>
        <w:tc>
          <w:tcPr>
            <w:tcW w:w="708" w:type="dxa"/>
            <w:shd w:val="clear" w:color="auto" w:fill="FFFFFF"/>
          </w:tcPr>
          <w:p w14:paraId="640A875A" w14:textId="591F21A4" w:rsidR="00544513" w:rsidRPr="00046629" w:rsidRDefault="00544513" w:rsidP="00544513">
            <w:pPr>
              <w:spacing w:before="120" w:after="0" w:line="240" w:lineRule="auto"/>
              <w:jc w:val="right"/>
              <w:rPr>
                <w:rFonts w:ascii="Tahoma" w:eastAsia="Times New Roman" w:hAnsi="Tahoma" w:cs="Tahoma"/>
                <w:sz w:val="18"/>
                <w:szCs w:val="18"/>
                <w:lang w:eastAsia="en-GB"/>
              </w:rPr>
            </w:pPr>
            <w:r w:rsidRPr="00046629">
              <w:rPr>
                <w:rFonts w:ascii="Tahoma" w:eastAsia="Times New Roman" w:hAnsi="Tahoma" w:cs="Tahoma"/>
                <w:sz w:val="18"/>
                <w:szCs w:val="18"/>
                <w:lang w:eastAsia="en-GB"/>
              </w:rPr>
              <w:t>3.</w:t>
            </w:r>
            <w:r w:rsidR="00563AEA">
              <w:rPr>
                <w:rFonts w:ascii="Tahoma" w:eastAsia="Times New Roman" w:hAnsi="Tahoma" w:cs="Tahoma"/>
                <w:sz w:val="18"/>
                <w:szCs w:val="18"/>
                <w:lang w:eastAsia="en-GB"/>
              </w:rPr>
              <w:t>65</w:t>
            </w:r>
            <w:r w:rsidRPr="00046629">
              <w:rPr>
                <w:rFonts w:ascii="Tahoma" w:eastAsia="Times New Roman" w:hAnsi="Tahoma" w:cs="Tahoma"/>
                <w:sz w:val="18"/>
                <w:szCs w:val="18"/>
                <w:lang w:eastAsia="en-GB"/>
              </w:rPr>
              <w:t>p</w:t>
            </w:r>
          </w:p>
        </w:tc>
        <w:tc>
          <w:tcPr>
            <w:tcW w:w="800" w:type="dxa"/>
            <w:shd w:val="clear" w:color="auto" w:fill="FFFFFF"/>
          </w:tcPr>
          <w:p w14:paraId="435D4559" w14:textId="77777777" w:rsidR="00544513" w:rsidRPr="00046629" w:rsidRDefault="00544513" w:rsidP="00544513">
            <w:pPr>
              <w:spacing w:before="120" w:after="0" w:line="240" w:lineRule="auto"/>
              <w:jc w:val="right"/>
              <w:rPr>
                <w:rFonts w:ascii="Tahoma" w:eastAsia="Times New Roman" w:hAnsi="Tahoma" w:cs="Tahoma"/>
                <w:sz w:val="18"/>
                <w:szCs w:val="18"/>
                <w:lang w:eastAsia="en-GB"/>
              </w:rPr>
            </w:pPr>
          </w:p>
        </w:tc>
      </w:tr>
      <w:tr w:rsidR="00544513" w:rsidRPr="00046629" w14:paraId="17EC4E32" w14:textId="77777777" w:rsidTr="00544513">
        <w:tc>
          <w:tcPr>
            <w:tcW w:w="4928" w:type="dxa"/>
            <w:shd w:val="clear" w:color="auto" w:fill="FFFFFF"/>
            <w:tcMar>
              <w:top w:w="0" w:type="dxa"/>
              <w:left w:w="108" w:type="dxa"/>
              <w:bottom w:w="0" w:type="dxa"/>
              <w:right w:w="108" w:type="dxa"/>
            </w:tcMar>
            <w:hideMark/>
          </w:tcPr>
          <w:p w14:paraId="1172EBB4" w14:textId="77777777" w:rsidR="00544513" w:rsidRPr="00046629" w:rsidRDefault="00544513" w:rsidP="00544513">
            <w:pPr>
              <w:spacing w:after="0" w:line="240" w:lineRule="auto"/>
              <w:jc w:val="both"/>
              <w:rPr>
                <w:rFonts w:ascii="Tahoma" w:eastAsia="Times New Roman" w:hAnsi="Tahoma" w:cs="Tahoma"/>
                <w:sz w:val="18"/>
                <w:szCs w:val="18"/>
                <w:lang w:eastAsia="en-GB"/>
              </w:rPr>
            </w:pPr>
            <w:r w:rsidRPr="00046629">
              <w:rPr>
                <w:rFonts w:ascii="Tahoma" w:eastAsia="Times New Roman" w:hAnsi="Tahoma" w:cs="Tahoma"/>
                <w:sz w:val="18"/>
                <w:szCs w:val="18"/>
                <w:lang w:eastAsia="en-GB"/>
              </w:rPr>
              <w:t>Total dividend per share</w:t>
            </w:r>
          </w:p>
        </w:tc>
        <w:tc>
          <w:tcPr>
            <w:tcW w:w="1728" w:type="dxa"/>
            <w:shd w:val="clear" w:color="auto" w:fill="FFFFFF"/>
          </w:tcPr>
          <w:p w14:paraId="00C912C4" w14:textId="04BC5B37" w:rsidR="00544513" w:rsidRPr="00046629" w:rsidRDefault="00544513" w:rsidP="00544513">
            <w:pPr>
              <w:spacing w:after="0" w:line="240" w:lineRule="auto"/>
              <w:jc w:val="right"/>
              <w:rPr>
                <w:rFonts w:ascii="Tahoma" w:eastAsia="Times New Roman" w:hAnsi="Tahoma" w:cs="Tahoma"/>
                <w:sz w:val="18"/>
                <w:szCs w:val="18"/>
                <w:lang w:eastAsia="en-GB"/>
              </w:rPr>
            </w:pPr>
          </w:p>
        </w:tc>
        <w:tc>
          <w:tcPr>
            <w:tcW w:w="1375" w:type="dxa"/>
            <w:shd w:val="clear" w:color="auto" w:fill="FFFFFF"/>
          </w:tcPr>
          <w:p w14:paraId="3CE1896C" w14:textId="6FFC4D91" w:rsidR="00544513" w:rsidRPr="00046629" w:rsidRDefault="00544513" w:rsidP="00544513">
            <w:pPr>
              <w:spacing w:after="0" w:line="240" w:lineRule="auto"/>
              <w:jc w:val="right"/>
              <w:rPr>
                <w:rFonts w:ascii="Tahoma" w:eastAsia="Times New Roman" w:hAnsi="Tahoma" w:cs="Tahoma"/>
                <w:sz w:val="18"/>
                <w:szCs w:val="18"/>
                <w:lang w:eastAsia="en-GB"/>
              </w:rPr>
            </w:pPr>
            <w:r w:rsidRPr="00046629">
              <w:rPr>
                <w:rFonts w:ascii="Tahoma" w:eastAsia="Times New Roman" w:hAnsi="Tahoma" w:cs="Tahoma"/>
                <w:sz w:val="18"/>
                <w:szCs w:val="18"/>
                <w:lang w:eastAsia="en-GB"/>
              </w:rPr>
              <w:t>4.</w:t>
            </w:r>
            <w:r w:rsidR="00C0301C">
              <w:rPr>
                <w:rFonts w:ascii="Tahoma" w:eastAsia="Times New Roman" w:hAnsi="Tahoma" w:cs="Tahoma"/>
                <w:sz w:val="18"/>
                <w:szCs w:val="18"/>
                <w:lang w:eastAsia="en-GB"/>
              </w:rPr>
              <w:t>4</w:t>
            </w:r>
            <w:r w:rsidRPr="00046629">
              <w:rPr>
                <w:rFonts w:ascii="Tahoma" w:eastAsia="Times New Roman" w:hAnsi="Tahoma" w:cs="Tahoma"/>
                <w:sz w:val="18"/>
                <w:szCs w:val="18"/>
                <w:lang w:eastAsia="en-GB"/>
              </w:rPr>
              <w:t>p</w:t>
            </w:r>
          </w:p>
        </w:tc>
        <w:tc>
          <w:tcPr>
            <w:tcW w:w="800" w:type="dxa"/>
            <w:shd w:val="clear" w:color="auto" w:fill="FFFFFF"/>
          </w:tcPr>
          <w:p w14:paraId="3361D21F" w14:textId="77777777" w:rsidR="00544513" w:rsidRPr="00046629" w:rsidRDefault="00544513" w:rsidP="00544513">
            <w:pPr>
              <w:spacing w:after="0" w:line="240" w:lineRule="auto"/>
              <w:jc w:val="right"/>
              <w:rPr>
                <w:rFonts w:ascii="Tahoma" w:eastAsia="Times New Roman" w:hAnsi="Tahoma" w:cs="Tahoma"/>
                <w:sz w:val="18"/>
                <w:szCs w:val="18"/>
                <w:lang w:eastAsia="en-GB"/>
              </w:rPr>
            </w:pPr>
          </w:p>
        </w:tc>
        <w:tc>
          <w:tcPr>
            <w:tcW w:w="708" w:type="dxa"/>
            <w:shd w:val="clear" w:color="auto" w:fill="FFFFFF"/>
          </w:tcPr>
          <w:p w14:paraId="6AF1ED92" w14:textId="1CF5D6E9" w:rsidR="00544513" w:rsidRPr="00046629" w:rsidRDefault="00544513" w:rsidP="00544513">
            <w:pPr>
              <w:spacing w:after="0" w:line="240" w:lineRule="auto"/>
              <w:jc w:val="right"/>
              <w:rPr>
                <w:rFonts w:ascii="Tahoma" w:eastAsia="Times New Roman" w:hAnsi="Tahoma" w:cs="Tahoma"/>
                <w:sz w:val="18"/>
                <w:szCs w:val="18"/>
                <w:lang w:eastAsia="en-GB"/>
              </w:rPr>
            </w:pPr>
            <w:r w:rsidRPr="00046629">
              <w:rPr>
                <w:rFonts w:ascii="Tahoma" w:eastAsia="Times New Roman" w:hAnsi="Tahoma" w:cs="Tahoma"/>
                <w:sz w:val="18"/>
                <w:szCs w:val="18"/>
                <w:lang w:eastAsia="en-GB"/>
              </w:rPr>
              <w:t>4.</w:t>
            </w:r>
            <w:r w:rsidR="00563AEA">
              <w:rPr>
                <w:rFonts w:ascii="Tahoma" w:eastAsia="Times New Roman" w:hAnsi="Tahoma" w:cs="Tahoma"/>
                <w:sz w:val="18"/>
                <w:szCs w:val="18"/>
                <w:lang w:eastAsia="en-GB"/>
              </w:rPr>
              <w:t>4</w:t>
            </w:r>
            <w:r w:rsidRPr="00046629">
              <w:rPr>
                <w:rFonts w:ascii="Tahoma" w:eastAsia="Times New Roman" w:hAnsi="Tahoma" w:cs="Tahoma"/>
                <w:sz w:val="18"/>
                <w:szCs w:val="18"/>
                <w:lang w:eastAsia="en-GB"/>
              </w:rPr>
              <w:t>p</w:t>
            </w:r>
          </w:p>
        </w:tc>
        <w:tc>
          <w:tcPr>
            <w:tcW w:w="800" w:type="dxa"/>
            <w:shd w:val="clear" w:color="auto" w:fill="FFFFFF"/>
          </w:tcPr>
          <w:p w14:paraId="4682831A" w14:textId="77777777" w:rsidR="00544513" w:rsidRPr="00046629" w:rsidRDefault="00544513" w:rsidP="00544513">
            <w:pPr>
              <w:spacing w:after="0" w:line="240" w:lineRule="auto"/>
              <w:jc w:val="right"/>
              <w:rPr>
                <w:rFonts w:ascii="Tahoma" w:eastAsia="Times New Roman" w:hAnsi="Tahoma" w:cs="Tahoma"/>
                <w:sz w:val="18"/>
                <w:szCs w:val="18"/>
                <w:lang w:eastAsia="en-GB"/>
              </w:rPr>
            </w:pPr>
          </w:p>
        </w:tc>
      </w:tr>
      <w:tr w:rsidR="00544513" w:rsidRPr="00046629" w14:paraId="69D6D4B2" w14:textId="77777777" w:rsidTr="00544513">
        <w:tc>
          <w:tcPr>
            <w:tcW w:w="4928" w:type="dxa"/>
            <w:shd w:val="clear" w:color="auto" w:fill="FFFFFF"/>
            <w:tcMar>
              <w:top w:w="0" w:type="dxa"/>
              <w:left w:w="108" w:type="dxa"/>
              <w:bottom w:w="0" w:type="dxa"/>
              <w:right w:w="108" w:type="dxa"/>
            </w:tcMar>
            <w:hideMark/>
          </w:tcPr>
          <w:p w14:paraId="5F808E28" w14:textId="77777777" w:rsidR="00544513" w:rsidRPr="00046629" w:rsidRDefault="00544513" w:rsidP="00544513">
            <w:pPr>
              <w:spacing w:before="120" w:after="120" w:line="240" w:lineRule="auto"/>
              <w:jc w:val="both"/>
              <w:rPr>
                <w:rFonts w:ascii="Tahoma" w:eastAsia="Times New Roman" w:hAnsi="Tahoma" w:cs="Tahoma"/>
                <w:sz w:val="18"/>
                <w:szCs w:val="18"/>
                <w:lang w:eastAsia="en-GB"/>
              </w:rPr>
            </w:pPr>
            <w:r w:rsidRPr="00046629">
              <w:rPr>
                <w:rFonts w:ascii="Tahoma" w:eastAsia="Times New Roman" w:hAnsi="Tahoma" w:cs="Tahoma"/>
                <w:sz w:val="18"/>
                <w:szCs w:val="18"/>
                <w:lang w:eastAsia="en-GB"/>
              </w:rPr>
              <w:t>Forward order book</w:t>
            </w:r>
          </w:p>
        </w:tc>
        <w:tc>
          <w:tcPr>
            <w:tcW w:w="1728" w:type="dxa"/>
            <w:shd w:val="clear" w:color="auto" w:fill="FFFFFF"/>
          </w:tcPr>
          <w:p w14:paraId="61DA84FF" w14:textId="4903F01F" w:rsidR="00544513" w:rsidRPr="00046629" w:rsidRDefault="00544513" w:rsidP="00544513">
            <w:pPr>
              <w:spacing w:before="120" w:after="120" w:line="240" w:lineRule="auto"/>
              <w:jc w:val="right"/>
              <w:rPr>
                <w:rFonts w:ascii="Tahoma" w:eastAsia="Times New Roman" w:hAnsi="Tahoma" w:cs="Tahoma"/>
                <w:sz w:val="18"/>
                <w:szCs w:val="18"/>
                <w:lang w:eastAsia="en-GB"/>
              </w:rPr>
            </w:pPr>
          </w:p>
        </w:tc>
        <w:tc>
          <w:tcPr>
            <w:tcW w:w="1375" w:type="dxa"/>
            <w:shd w:val="clear" w:color="auto" w:fill="FFFFFF"/>
          </w:tcPr>
          <w:p w14:paraId="172D1D21" w14:textId="1DF4C3F0" w:rsidR="00544513" w:rsidRPr="00046629" w:rsidRDefault="00544513" w:rsidP="00544513">
            <w:pPr>
              <w:spacing w:before="120" w:after="120" w:line="240" w:lineRule="auto"/>
              <w:jc w:val="right"/>
              <w:rPr>
                <w:rFonts w:ascii="Tahoma" w:eastAsia="Times New Roman" w:hAnsi="Tahoma" w:cs="Tahoma"/>
                <w:sz w:val="18"/>
                <w:szCs w:val="18"/>
                <w:lang w:eastAsia="en-GB"/>
              </w:rPr>
            </w:pPr>
            <w:r w:rsidRPr="00046629">
              <w:rPr>
                <w:rFonts w:ascii="Tahoma" w:eastAsia="Times New Roman" w:hAnsi="Tahoma" w:cs="Tahoma"/>
                <w:sz w:val="18"/>
                <w:szCs w:val="18"/>
                <w:lang w:eastAsia="en-GB"/>
              </w:rPr>
              <w:t>£4</w:t>
            </w:r>
            <w:r w:rsidR="00563AEA">
              <w:rPr>
                <w:rFonts w:ascii="Tahoma" w:eastAsia="Times New Roman" w:hAnsi="Tahoma" w:cs="Tahoma"/>
                <w:sz w:val="18"/>
                <w:szCs w:val="18"/>
                <w:lang w:eastAsia="en-GB"/>
              </w:rPr>
              <w:t>56</w:t>
            </w:r>
            <w:r w:rsidRPr="00046629">
              <w:rPr>
                <w:rFonts w:ascii="Tahoma" w:eastAsia="Times New Roman" w:hAnsi="Tahoma" w:cs="Tahoma"/>
                <w:sz w:val="18"/>
                <w:szCs w:val="18"/>
                <w:lang w:eastAsia="en-GB"/>
              </w:rPr>
              <w:t>m</w:t>
            </w:r>
          </w:p>
        </w:tc>
        <w:tc>
          <w:tcPr>
            <w:tcW w:w="800" w:type="dxa"/>
            <w:shd w:val="clear" w:color="auto" w:fill="FFFFFF"/>
          </w:tcPr>
          <w:p w14:paraId="38C34372" w14:textId="77777777" w:rsidR="00544513" w:rsidRPr="00046629" w:rsidRDefault="00544513" w:rsidP="00544513">
            <w:pPr>
              <w:spacing w:before="120" w:after="120" w:line="240" w:lineRule="auto"/>
              <w:jc w:val="right"/>
              <w:rPr>
                <w:rFonts w:ascii="Tahoma" w:eastAsia="Times New Roman" w:hAnsi="Tahoma" w:cs="Tahoma"/>
                <w:sz w:val="18"/>
                <w:szCs w:val="18"/>
                <w:lang w:eastAsia="en-GB"/>
              </w:rPr>
            </w:pPr>
          </w:p>
        </w:tc>
        <w:tc>
          <w:tcPr>
            <w:tcW w:w="708" w:type="dxa"/>
            <w:shd w:val="clear" w:color="auto" w:fill="FFFFFF"/>
          </w:tcPr>
          <w:p w14:paraId="0B53425B" w14:textId="752F1BFC" w:rsidR="00544513" w:rsidRPr="00046629" w:rsidRDefault="00544513" w:rsidP="00544513">
            <w:pPr>
              <w:spacing w:before="120" w:after="120" w:line="240" w:lineRule="auto"/>
              <w:jc w:val="right"/>
              <w:rPr>
                <w:rFonts w:ascii="Tahoma" w:eastAsia="Times New Roman" w:hAnsi="Tahoma" w:cs="Tahoma"/>
                <w:sz w:val="18"/>
                <w:szCs w:val="18"/>
                <w:lang w:eastAsia="en-GB"/>
              </w:rPr>
            </w:pPr>
            <w:r w:rsidRPr="00046629">
              <w:rPr>
                <w:rFonts w:ascii="Tahoma" w:eastAsia="Times New Roman" w:hAnsi="Tahoma" w:cs="Tahoma"/>
                <w:sz w:val="18"/>
                <w:szCs w:val="18"/>
                <w:lang w:eastAsia="en-GB"/>
              </w:rPr>
              <w:t>£4</w:t>
            </w:r>
            <w:r w:rsidR="00563AEA">
              <w:rPr>
                <w:rFonts w:ascii="Tahoma" w:eastAsia="Times New Roman" w:hAnsi="Tahoma" w:cs="Tahoma"/>
                <w:sz w:val="18"/>
                <w:szCs w:val="18"/>
                <w:lang w:eastAsia="en-GB"/>
              </w:rPr>
              <w:t>03</w:t>
            </w:r>
            <w:r w:rsidRPr="00046629">
              <w:rPr>
                <w:rFonts w:ascii="Tahoma" w:eastAsia="Times New Roman" w:hAnsi="Tahoma" w:cs="Tahoma"/>
                <w:sz w:val="18"/>
                <w:szCs w:val="18"/>
                <w:lang w:eastAsia="en-GB"/>
              </w:rPr>
              <w:t>m</w:t>
            </w:r>
          </w:p>
        </w:tc>
        <w:tc>
          <w:tcPr>
            <w:tcW w:w="800" w:type="dxa"/>
            <w:shd w:val="clear" w:color="auto" w:fill="FFFFFF"/>
          </w:tcPr>
          <w:p w14:paraId="1B2EB4B2" w14:textId="77777777" w:rsidR="00544513" w:rsidRPr="00046629" w:rsidRDefault="00544513" w:rsidP="00544513">
            <w:pPr>
              <w:spacing w:before="120" w:after="120" w:line="240" w:lineRule="auto"/>
              <w:jc w:val="right"/>
              <w:rPr>
                <w:rFonts w:ascii="Tahoma" w:eastAsia="Times New Roman" w:hAnsi="Tahoma" w:cs="Tahoma"/>
                <w:sz w:val="18"/>
                <w:szCs w:val="18"/>
                <w:lang w:eastAsia="en-GB"/>
              </w:rPr>
            </w:pPr>
          </w:p>
        </w:tc>
      </w:tr>
    </w:tbl>
    <w:p w14:paraId="0D55CF07" w14:textId="2BE3DEE9" w:rsidR="00367E8B" w:rsidRPr="00A32F72" w:rsidRDefault="00910DB9" w:rsidP="00A32F72">
      <w:pPr>
        <w:spacing w:after="0" w:line="240" w:lineRule="auto"/>
        <w:jc w:val="both"/>
        <w:rPr>
          <w:rFonts w:ascii="Tahoma" w:eastAsia="Times New Roman" w:hAnsi="Tahoma" w:cs="Tahoma"/>
          <w:sz w:val="12"/>
          <w:szCs w:val="12"/>
          <w:lang w:eastAsia="en-GB"/>
        </w:rPr>
      </w:pPr>
      <w:r w:rsidRPr="00A32F72">
        <w:rPr>
          <w:rFonts w:ascii="Tahoma" w:eastAsia="Times New Roman" w:hAnsi="Tahoma" w:cs="Tahoma"/>
          <w:sz w:val="12"/>
          <w:szCs w:val="12"/>
          <w:vertAlign w:val="superscript"/>
          <w:lang w:eastAsia="en-GB"/>
        </w:rPr>
        <w:t>1 </w:t>
      </w:r>
      <w:r w:rsidR="00367E8B" w:rsidRPr="00A32F72">
        <w:rPr>
          <w:rFonts w:ascii="Tahoma" w:eastAsia="Times New Roman" w:hAnsi="Tahoma" w:cs="Tahoma"/>
          <w:sz w:val="12"/>
          <w:szCs w:val="12"/>
          <w:lang w:eastAsia="en-GB"/>
        </w:rPr>
        <w:t>Underlying operating profit</w:t>
      </w:r>
      <w:r w:rsidR="007B5FA4" w:rsidRPr="00A32F72">
        <w:rPr>
          <w:rFonts w:ascii="Tahoma" w:eastAsia="Times New Roman" w:hAnsi="Tahoma" w:cs="Tahoma"/>
          <w:sz w:val="12"/>
          <w:szCs w:val="12"/>
          <w:lang w:eastAsia="en-GB"/>
        </w:rPr>
        <w:t>,</w:t>
      </w:r>
      <w:r w:rsidR="00367E8B" w:rsidRPr="00A32F72">
        <w:rPr>
          <w:rFonts w:ascii="Tahoma" w:eastAsia="Times New Roman" w:hAnsi="Tahoma" w:cs="Tahoma"/>
          <w:sz w:val="12"/>
          <w:szCs w:val="12"/>
          <w:lang w:eastAsia="en-GB"/>
        </w:rPr>
        <w:t xml:space="preserve"> profit before tax </w:t>
      </w:r>
      <w:r w:rsidR="007B5FA4" w:rsidRPr="00A32F72">
        <w:rPr>
          <w:rFonts w:ascii="Tahoma" w:eastAsia="Times New Roman" w:hAnsi="Tahoma" w:cs="Tahoma"/>
          <w:sz w:val="12"/>
          <w:szCs w:val="12"/>
          <w:lang w:eastAsia="en-GB"/>
        </w:rPr>
        <w:t xml:space="preserve">and operating margin </w:t>
      </w:r>
      <w:r w:rsidR="00367E8B" w:rsidRPr="00A32F72">
        <w:rPr>
          <w:rFonts w:ascii="Tahoma" w:eastAsia="Times New Roman" w:hAnsi="Tahoma" w:cs="Tahoma"/>
          <w:sz w:val="12"/>
          <w:szCs w:val="12"/>
          <w:lang w:eastAsia="en-GB"/>
        </w:rPr>
        <w:t>are stated before amortisation of intangible assets</w:t>
      </w:r>
      <w:r w:rsidR="00B0570C">
        <w:rPr>
          <w:rFonts w:ascii="Tahoma" w:eastAsia="Times New Roman" w:hAnsi="Tahoma" w:cs="Tahoma"/>
          <w:sz w:val="12"/>
          <w:szCs w:val="12"/>
          <w:lang w:eastAsia="en-GB"/>
        </w:rPr>
        <w:t xml:space="preserve"> and restructuring costs.</w:t>
      </w:r>
    </w:p>
    <w:p w14:paraId="3BE88AFA" w14:textId="0C89F1D9" w:rsidR="00910DB9" w:rsidRPr="00046629" w:rsidRDefault="00367E8B" w:rsidP="00A32F72">
      <w:pPr>
        <w:spacing w:after="0" w:line="240" w:lineRule="auto"/>
        <w:jc w:val="both"/>
        <w:rPr>
          <w:rFonts w:ascii="Tahoma" w:eastAsia="Times New Roman" w:hAnsi="Tahoma" w:cs="Tahoma"/>
          <w:sz w:val="12"/>
          <w:szCs w:val="12"/>
          <w:lang w:eastAsia="en-GB"/>
        </w:rPr>
      </w:pPr>
      <w:r w:rsidRPr="00A32F72">
        <w:rPr>
          <w:rFonts w:ascii="Tahoma" w:eastAsia="Times New Roman" w:hAnsi="Tahoma" w:cs="Tahoma"/>
          <w:sz w:val="12"/>
          <w:szCs w:val="12"/>
          <w:vertAlign w:val="superscript"/>
          <w:lang w:eastAsia="en-GB"/>
        </w:rPr>
        <w:t>2</w:t>
      </w:r>
      <w:r w:rsidRPr="00A32F72">
        <w:rPr>
          <w:rFonts w:ascii="Tahoma" w:eastAsia="Times New Roman" w:hAnsi="Tahoma" w:cs="Tahoma"/>
          <w:sz w:val="12"/>
          <w:szCs w:val="12"/>
          <w:lang w:eastAsia="en-GB"/>
        </w:rPr>
        <w:t xml:space="preserve"> Underlying earnings </w:t>
      </w:r>
      <w:r w:rsidR="001906E6" w:rsidRPr="00A32F72">
        <w:rPr>
          <w:rFonts w:ascii="Tahoma" w:eastAsia="Times New Roman" w:hAnsi="Tahoma" w:cs="Tahoma"/>
          <w:sz w:val="12"/>
          <w:szCs w:val="12"/>
          <w:lang w:eastAsia="en-GB"/>
        </w:rPr>
        <w:t xml:space="preserve">per share </w:t>
      </w:r>
      <w:r w:rsidRPr="00A32F72">
        <w:rPr>
          <w:rFonts w:ascii="Tahoma" w:eastAsia="Times New Roman" w:hAnsi="Tahoma" w:cs="Tahoma"/>
          <w:sz w:val="12"/>
          <w:szCs w:val="12"/>
          <w:lang w:eastAsia="en-GB"/>
        </w:rPr>
        <w:t>is calculated by dividing underlying profit after tax by the weighted average number of shares in issue</w:t>
      </w:r>
    </w:p>
    <w:p w14:paraId="20F1541E" w14:textId="77777777" w:rsidR="000B5A0F" w:rsidRPr="00544513" w:rsidRDefault="000B5A0F" w:rsidP="00910DB9">
      <w:pPr>
        <w:spacing w:after="0" w:line="240" w:lineRule="auto"/>
        <w:rPr>
          <w:rFonts w:ascii="Tahoma" w:hAnsi="Tahoma" w:cs="Tahoma"/>
          <w:sz w:val="18"/>
          <w:szCs w:val="18"/>
        </w:rPr>
      </w:pPr>
    </w:p>
    <w:p w14:paraId="540FC7F6" w14:textId="77777777" w:rsidR="00682AD1" w:rsidRDefault="00682AD1" w:rsidP="00682AD1">
      <w:pPr>
        <w:shd w:val="clear" w:color="auto" w:fill="FFFFFF"/>
        <w:spacing w:after="120" w:line="240" w:lineRule="auto"/>
        <w:jc w:val="both"/>
        <w:rPr>
          <w:rFonts w:ascii="Tahoma" w:eastAsia="Times New Roman" w:hAnsi="Tahoma" w:cs="Tahoma"/>
          <w:i/>
          <w:iCs/>
          <w:sz w:val="18"/>
          <w:szCs w:val="18"/>
          <w:lang w:eastAsia="en-GB"/>
        </w:rPr>
      </w:pPr>
      <w:r>
        <w:rPr>
          <w:rFonts w:ascii="Tahoma" w:eastAsia="Times New Roman" w:hAnsi="Tahoma" w:cs="Tahoma"/>
          <w:b/>
          <w:bCs/>
          <w:sz w:val="18"/>
          <w:szCs w:val="18"/>
          <w:lang w:eastAsia="en-GB"/>
        </w:rPr>
        <w:t xml:space="preserve">Mark Lawrence, CEO </w:t>
      </w:r>
      <w:r w:rsidRPr="001C30AF">
        <w:rPr>
          <w:rFonts w:ascii="Tahoma" w:eastAsia="Times New Roman" w:hAnsi="Tahoma" w:cs="Tahoma"/>
          <w:b/>
          <w:bCs/>
          <w:sz w:val="18"/>
          <w:szCs w:val="18"/>
          <w:lang w:eastAsia="en-GB"/>
        </w:rPr>
        <w:t>commented</w:t>
      </w:r>
    </w:p>
    <w:p w14:paraId="7C771695" w14:textId="5871F389" w:rsidR="00682AD1" w:rsidRPr="00B5561A" w:rsidRDefault="00682AD1" w:rsidP="00682AD1">
      <w:pPr>
        <w:overflowPunct w:val="0"/>
        <w:autoSpaceDE w:val="0"/>
        <w:autoSpaceDN w:val="0"/>
        <w:spacing w:before="160" w:after="0" w:line="240" w:lineRule="auto"/>
        <w:jc w:val="both"/>
        <w:rPr>
          <w:rFonts w:cstheme="minorHAnsi"/>
          <w:i/>
          <w:iCs/>
        </w:rPr>
      </w:pPr>
      <w:r>
        <w:rPr>
          <w:rFonts w:cstheme="minorHAnsi"/>
          <w:i/>
          <w:iCs/>
        </w:rPr>
        <w:t>“</w:t>
      </w:r>
      <w:r w:rsidRPr="00B5561A">
        <w:rPr>
          <w:rFonts w:cstheme="minorHAnsi"/>
          <w:i/>
          <w:iCs/>
        </w:rPr>
        <w:t xml:space="preserve">We faced challenges last year like no other but throughout the team here at TClarke stayed focused and demonstrated that the business is strong, resilient, and capable of delivering whatever the circumstances.  </w:t>
      </w:r>
      <w:r>
        <w:rPr>
          <w:rFonts w:cstheme="minorHAnsi"/>
          <w:i/>
          <w:iCs/>
        </w:rPr>
        <w:t>The</w:t>
      </w:r>
      <w:r w:rsidRPr="00B5561A">
        <w:rPr>
          <w:rFonts w:cstheme="minorHAnsi"/>
          <w:i/>
          <w:iCs/>
        </w:rPr>
        <w:t xml:space="preserve"> biggest asset we ha</w:t>
      </w:r>
      <w:r>
        <w:rPr>
          <w:rFonts w:cstheme="minorHAnsi"/>
          <w:i/>
          <w:iCs/>
        </w:rPr>
        <w:t>ve</w:t>
      </w:r>
      <w:r w:rsidRPr="00B5561A">
        <w:rPr>
          <w:rFonts w:cstheme="minorHAnsi"/>
          <w:i/>
          <w:iCs/>
        </w:rPr>
        <w:t xml:space="preserve"> at TClarke is our people. I want to thank them all for their professionalism and hard work during the period</w:t>
      </w:r>
    </w:p>
    <w:p w14:paraId="7FAA59BF" w14:textId="77777777" w:rsidR="00682AD1" w:rsidRPr="00B5561A" w:rsidRDefault="00682AD1" w:rsidP="00682AD1">
      <w:pPr>
        <w:overflowPunct w:val="0"/>
        <w:autoSpaceDE w:val="0"/>
        <w:autoSpaceDN w:val="0"/>
        <w:spacing w:before="160" w:after="0" w:line="240" w:lineRule="auto"/>
        <w:jc w:val="both"/>
        <w:rPr>
          <w:rFonts w:cstheme="minorHAnsi"/>
          <w:i/>
          <w:iCs/>
        </w:rPr>
      </w:pPr>
      <w:r w:rsidRPr="00B5561A">
        <w:rPr>
          <w:rFonts w:cstheme="minorHAnsi"/>
          <w:i/>
          <w:iCs/>
        </w:rPr>
        <w:t>As we look forward the opportunities for growth before us are of a considerable scale, we are extremely well positioned to take advantage of opportunities particularly in Data Centres, Healthcare and Smart Building Technologies.</w:t>
      </w:r>
    </w:p>
    <w:p w14:paraId="4541EBE6" w14:textId="6131F813" w:rsidR="00682AD1" w:rsidRPr="00B5561A" w:rsidRDefault="00682AD1" w:rsidP="00682AD1">
      <w:pPr>
        <w:overflowPunct w:val="0"/>
        <w:autoSpaceDE w:val="0"/>
        <w:autoSpaceDN w:val="0"/>
        <w:spacing w:before="160" w:after="0" w:line="240" w:lineRule="auto"/>
        <w:jc w:val="both"/>
        <w:rPr>
          <w:rFonts w:cstheme="minorHAnsi"/>
          <w:i/>
          <w:iCs/>
        </w:rPr>
      </w:pPr>
      <w:r w:rsidRPr="00B5561A">
        <w:rPr>
          <w:rFonts w:cstheme="minorHAnsi"/>
          <w:i/>
          <w:iCs/>
        </w:rPr>
        <w:t>We have set ourselves an ambitious</w:t>
      </w:r>
      <w:r w:rsidR="00685B62">
        <w:rPr>
          <w:rFonts w:cstheme="minorHAnsi"/>
          <w:i/>
          <w:iCs/>
        </w:rPr>
        <w:t xml:space="preserve"> </w:t>
      </w:r>
      <w:proofErr w:type="gramStart"/>
      <w:r w:rsidR="00685B62">
        <w:rPr>
          <w:rFonts w:cstheme="minorHAnsi"/>
          <w:i/>
          <w:iCs/>
        </w:rPr>
        <w:t>three year</w:t>
      </w:r>
      <w:proofErr w:type="gramEnd"/>
      <w:r w:rsidR="00685B62">
        <w:rPr>
          <w:rFonts w:cstheme="minorHAnsi"/>
          <w:i/>
          <w:iCs/>
        </w:rPr>
        <w:t xml:space="preserve"> plan </w:t>
      </w:r>
      <w:r w:rsidRPr="00B5561A">
        <w:rPr>
          <w:rFonts w:cstheme="minorHAnsi"/>
          <w:i/>
          <w:iCs/>
        </w:rPr>
        <w:t>of £500m revenues</w:t>
      </w:r>
      <w:r w:rsidR="00EC57F7">
        <w:rPr>
          <w:rFonts w:cstheme="minorHAnsi"/>
          <w:i/>
          <w:iCs/>
        </w:rPr>
        <w:t>;</w:t>
      </w:r>
      <w:r w:rsidRPr="00B5561A">
        <w:rPr>
          <w:rFonts w:cstheme="minorHAnsi"/>
          <w:i/>
          <w:iCs/>
        </w:rPr>
        <w:t xml:space="preserve"> 2021 marks an exciting new chapter in the evolution of TClarke.</w:t>
      </w:r>
      <w:r>
        <w:rPr>
          <w:rFonts w:cstheme="minorHAnsi"/>
          <w:i/>
          <w:iCs/>
        </w:rPr>
        <w:t>”</w:t>
      </w:r>
    </w:p>
    <w:p w14:paraId="0D03A59C" w14:textId="77777777" w:rsidR="00682AD1" w:rsidRDefault="00682AD1" w:rsidP="00682AD1">
      <w:pPr>
        <w:shd w:val="clear" w:color="auto" w:fill="FFFFFF"/>
        <w:spacing w:after="120" w:line="240" w:lineRule="auto"/>
        <w:jc w:val="both"/>
        <w:rPr>
          <w:rFonts w:ascii="Tahoma" w:eastAsia="Times New Roman" w:hAnsi="Tahoma" w:cs="Tahoma"/>
          <w:i/>
          <w:iCs/>
          <w:sz w:val="18"/>
          <w:szCs w:val="18"/>
          <w:lang w:eastAsia="en-GB"/>
        </w:rPr>
      </w:pPr>
    </w:p>
    <w:p w14:paraId="2257AFAB" w14:textId="2463E0C2" w:rsidR="00910DB9" w:rsidRPr="001C30AF" w:rsidRDefault="00910DB9" w:rsidP="000B5A0F">
      <w:pPr>
        <w:shd w:val="clear" w:color="auto" w:fill="FFFFFF"/>
        <w:spacing w:after="120" w:line="240" w:lineRule="auto"/>
        <w:jc w:val="both"/>
        <w:rPr>
          <w:rFonts w:ascii="Tahoma" w:eastAsia="Times New Roman" w:hAnsi="Tahoma" w:cs="Tahoma"/>
          <w:i/>
          <w:iCs/>
          <w:sz w:val="18"/>
          <w:szCs w:val="18"/>
          <w:lang w:eastAsia="en-GB"/>
        </w:rPr>
      </w:pPr>
      <w:r w:rsidRPr="001C30AF">
        <w:rPr>
          <w:rFonts w:ascii="Tahoma" w:eastAsia="Times New Roman" w:hAnsi="Tahoma" w:cs="Tahoma"/>
          <w:i/>
          <w:iCs/>
          <w:sz w:val="18"/>
          <w:szCs w:val="18"/>
          <w:lang w:eastAsia="en-GB"/>
        </w:rPr>
        <w:t>-ends-</w:t>
      </w:r>
    </w:p>
    <w:p w14:paraId="18FAEB18" w14:textId="41BFCF7F" w:rsidR="00910DB9" w:rsidRDefault="00910DB9" w:rsidP="00910DB9">
      <w:pPr>
        <w:shd w:val="clear" w:color="auto" w:fill="FFFFFF"/>
        <w:spacing w:after="0" w:line="240" w:lineRule="auto"/>
        <w:ind w:right="2125"/>
        <w:jc w:val="both"/>
        <w:rPr>
          <w:rFonts w:ascii="Tahoma" w:eastAsia="Times New Roman" w:hAnsi="Tahoma" w:cs="Tahoma"/>
          <w:sz w:val="18"/>
          <w:szCs w:val="18"/>
          <w:lang w:eastAsia="en-GB"/>
        </w:rPr>
      </w:pPr>
      <w:r w:rsidRPr="000B5A0F">
        <w:rPr>
          <w:rFonts w:ascii="Tahoma" w:eastAsia="Times New Roman" w:hAnsi="Tahoma" w:cs="Tahoma"/>
          <w:sz w:val="18"/>
          <w:szCs w:val="18"/>
          <w:lang w:eastAsia="en-GB"/>
        </w:rPr>
        <w:t xml:space="preserve">Date: </w:t>
      </w:r>
      <w:r w:rsidR="00563AEA">
        <w:rPr>
          <w:rFonts w:ascii="Tahoma" w:eastAsia="Times New Roman" w:hAnsi="Tahoma" w:cs="Tahoma"/>
          <w:sz w:val="18"/>
          <w:szCs w:val="18"/>
          <w:lang w:eastAsia="en-GB"/>
        </w:rPr>
        <w:t>24</w:t>
      </w:r>
      <w:r w:rsidRPr="000B5A0F">
        <w:rPr>
          <w:rFonts w:ascii="Tahoma" w:eastAsia="Times New Roman" w:hAnsi="Tahoma" w:cs="Tahoma"/>
          <w:sz w:val="18"/>
          <w:szCs w:val="18"/>
          <w:vertAlign w:val="superscript"/>
          <w:lang w:eastAsia="en-GB"/>
        </w:rPr>
        <w:t>th</w:t>
      </w:r>
      <w:r w:rsidRPr="000B5A0F">
        <w:rPr>
          <w:rFonts w:ascii="Tahoma" w:eastAsia="Times New Roman" w:hAnsi="Tahoma" w:cs="Tahoma"/>
          <w:sz w:val="18"/>
          <w:szCs w:val="18"/>
          <w:lang w:eastAsia="en-GB"/>
        </w:rPr>
        <w:t xml:space="preserve"> March 20</w:t>
      </w:r>
      <w:r w:rsidR="006A16CD">
        <w:rPr>
          <w:rFonts w:ascii="Tahoma" w:eastAsia="Times New Roman" w:hAnsi="Tahoma" w:cs="Tahoma"/>
          <w:sz w:val="18"/>
          <w:szCs w:val="18"/>
          <w:lang w:eastAsia="en-GB"/>
        </w:rPr>
        <w:t>2</w:t>
      </w:r>
      <w:r w:rsidR="00563AEA">
        <w:rPr>
          <w:rFonts w:ascii="Tahoma" w:eastAsia="Times New Roman" w:hAnsi="Tahoma" w:cs="Tahoma"/>
          <w:sz w:val="18"/>
          <w:szCs w:val="18"/>
          <w:lang w:eastAsia="en-GB"/>
        </w:rPr>
        <w:t>1</w:t>
      </w:r>
    </w:p>
    <w:p w14:paraId="1DB7EA22" w14:textId="77777777" w:rsidR="006A16CD" w:rsidRPr="000B5A0F" w:rsidRDefault="006A16CD" w:rsidP="00910DB9">
      <w:pPr>
        <w:shd w:val="clear" w:color="auto" w:fill="FFFFFF"/>
        <w:spacing w:after="0" w:line="240" w:lineRule="auto"/>
        <w:ind w:right="2125"/>
        <w:jc w:val="both"/>
        <w:rPr>
          <w:rFonts w:ascii="Tahoma" w:eastAsia="Times New Roman" w:hAnsi="Tahoma" w:cs="Tahoma"/>
          <w:sz w:val="18"/>
          <w:szCs w:val="18"/>
          <w:lang w:eastAsia="en-GB"/>
        </w:rPr>
      </w:pPr>
    </w:p>
    <w:p w14:paraId="6D19C57E" w14:textId="77777777" w:rsidR="00910DB9" w:rsidRPr="000B5A0F" w:rsidRDefault="00910DB9" w:rsidP="00910DB9">
      <w:pPr>
        <w:shd w:val="clear" w:color="auto" w:fill="FFFFFF"/>
        <w:spacing w:after="120" w:line="240" w:lineRule="auto"/>
        <w:ind w:right="2126"/>
        <w:jc w:val="both"/>
        <w:rPr>
          <w:rFonts w:ascii="Tahoma" w:eastAsia="Times New Roman" w:hAnsi="Tahoma" w:cs="Tahoma"/>
          <w:sz w:val="18"/>
          <w:szCs w:val="18"/>
          <w:lang w:eastAsia="en-GB"/>
        </w:rPr>
      </w:pPr>
      <w:r w:rsidRPr="000B5A0F">
        <w:rPr>
          <w:rFonts w:ascii="Tahoma" w:eastAsia="Times New Roman" w:hAnsi="Tahoma" w:cs="Tahoma"/>
          <w:sz w:val="18"/>
          <w:szCs w:val="18"/>
          <w:lang w:eastAsia="en-GB"/>
        </w:rPr>
        <w:t>For further information contact:</w:t>
      </w:r>
    </w:p>
    <w:tbl>
      <w:tblPr>
        <w:tblW w:w="0" w:type="auto"/>
        <w:tblInd w:w="-108" w:type="dxa"/>
        <w:shd w:val="clear" w:color="auto" w:fill="FFFFFF"/>
        <w:tblCellMar>
          <w:left w:w="0" w:type="dxa"/>
          <w:right w:w="0" w:type="dxa"/>
        </w:tblCellMar>
        <w:tblLook w:val="04A0" w:firstRow="1" w:lastRow="0" w:firstColumn="1" w:lastColumn="0" w:noHBand="0" w:noVBand="1"/>
      </w:tblPr>
      <w:tblGrid>
        <w:gridCol w:w="4854"/>
        <w:gridCol w:w="4285"/>
      </w:tblGrid>
      <w:tr w:rsidR="00256E68" w:rsidRPr="000B5A0F" w14:paraId="7D477A9D" w14:textId="77777777" w:rsidTr="003A6B6A">
        <w:trPr>
          <w:trHeight w:val="263"/>
        </w:trPr>
        <w:tc>
          <w:tcPr>
            <w:tcW w:w="4854" w:type="dxa"/>
            <w:shd w:val="clear" w:color="auto" w:fill="FFFFFF"/>
            <w:tcMar>
              <w:top w:w="0" w:type="dxa"/>
              <w:left w:w="108" w:type="dxa"/>
              <w:bottom w:w="0" w:type="dxa"/>
              <w:right w:w="108" w:type="dxa"/>
            </w:tcMar>
            <w:hideMark/>
          </w:tcPr>
          <w:p w14:paraId="10BA6172" w14:textId="77777777" w:rsidR="003A6B6A" w:rsidRPr="000B5A0F" w:rsidRDefault="003A6B6A" w:rsidP="003A6B6A">
            <w:pPr>
              <w:spacing w:after="0" w:line="240" w:lineRule="auto"/>
              <w:rPr>
                <w:rFonts w:ascii="Tahoma" w:eastAsia="Times New Roman" w:hAnsi="Tahoma" w:cs="Tahoma"/>
                <w:b/>
                <w:bCs/>
                <w:sz w:val="18"/>
                <w:szCs w:val="18"/>
                <w:lang w:eastAsia="en-GB"/>
              </w:rPr>
            </w:pPr>
            <w:r w:rsidRPr="000B5A0F">
              <w:rPr>
                <w:rFonts w:ascii="Tahoma" w:eastAsia="Times New Roman" w:hAnsi="Tahoma" w:cs="Tahoma"/>
                <w:b/>
                <w:bCs/>
                <w:sz w:val="18"/>
                <w:szCs w:val="18"/>
                <w:lang w:eastAsia="en-GB"/>
              </w:rPr>
              <w:t>TClarke plc</w:t>
            </w:r>
          </w:p>
        </w:tc>
        <w:tc>
          <w:tcPr>
            <w:tcW w:w="4285" w:type="dxa"/>
            <w:shd w:val="clear" w:color="auto" w:fill="FFFFFF"/>
            <w:tcMar>
              <w:top w:w="0" w:type="dxa"/>
              <w:left w:w="108" w:type="dxa"/>
              <w:bottom w:w="0" w:type="dxa"/>
              <w:right w:w="108" w:type="dxa"/>
            </w:tcMar>
            <w:hideMark/>
          </w:tcPr>
          <w:p w14:paraId="593910D4" w14:textId="77777777" w:rsidR="003A6B6A" w:rsidRPr="000B5A0F" w:rsidRDefault="003A6B6A" w:rsidP="003A6B6A">
            <w:pPr>
              <w:spacing w:after="0" w:line="240" w:lineRule="auto"/>
              <w:rPr>
                <w:rFonts w:ascii="Tahoma" w:eastAsia="Times New Roman" w:hAnsi="Tahoma" w:cs="Tahoma"/>
                <w:sz w:val="18"/>
                <w:szCs w:val="18"/>
                <w:lang w:eastAsia="en-GB"/>
              </w:rPr>
            </w:pPr>
            <w:r w:rsidRPr="000B5A0F">
              <w:rPr>
                <w:rFonts w:ascii="Tahoma" w:eastAsia="Times New Roman" w:hAnsi="Tahoma" w:cs="Tahoma"/>
                <w:sz w:val="18"/>
                <w:szCs w:val="18"/>
                <w:lang w:eastAsia="en-GB"/>
              </w:rPr>
              <w:t> </w:t>
            </w:r>
          </w:p>
        </w:tc>
      </w:tr>
      <w:tr w:rsidR="00256E68" w:rsidRPr="000B5A0F" w14:paraId="3F7E8D95" w14:textId="77777777" w:rsidTr="003A6B6A">
        <w:tc>
          <w:tcPr>
            <w:tcW w:w="4854" w:type="dxa"/>
            <w:shd w:val="clear" w:color="auto" w:fill="FFFFFF"/>
            <w:tcMar>
              <w:top w:w="0" w:type="dxa"/>
              <w:left w:w="108" w:type="dxa"/>
              <w:bottom w:w="0" w:type="dxa"/>
              <w:right w:w="108" w:type="dxa"/>
            </w:tcMar>
            <w:hideMark/>
          </w:tcPr>
          <w:p w14:paraId="3A37E4ED" w14:textId="77777777" w:rsidR="003A6B6A" w:rsidRPr="000B5A0F" w:rsidRDefault="003A6B6A" w:rsidP="003A6B6A">
            <w:pPr>
              <w:spacing w:after="0" w:line="240" w:lineRule="auto"/>
              <w:rPr>
                <w:rFonts w:ascii="Tahoma" w:eastAsia="Times New Roman" w:hAnsi="Tahoma" w:cs="Tahoma"/>
                <w:sz w:val="18"/>
                <w:szCs w:val="18"/>
                <w:lang w:eastAsia="en-GB"/>
              </w:rPr>
            </w:pPr>
            <w:r w:rsidRPr="000B5A0F">
              <w:rPr>
                <w:rFonts w:ascii="Tahoma" w:eastAsia="Times New Roman" w:hAnsi="Tahoma" w:cs="Tahoma"/>
                <w:sz w:val="18"/>
                <w:szCs w:val="18"/>
                <w:lang w:eastAsia="en-GB"/>
              </w:rPr>
              <w:t>Mark Lawrence</w:t>
            </w:r>
          </w:p>
        </w:tc>
        <w:tc>
          <w:tcPr>
            <w:tcW w:w="4285" w:type="dxa"/>
            <w:shd w:val="clear" w:color="auto" w:fill="FFFFFF"/>
            <w:tcMar>
              <w:top w:w="0" w:type="dxa"/>
              <w:left w:w="108" w:type="dxa"/>
              <w:bottom w:w="0" w:type="dxa"/>
              <w:right w:w="108" w:type="dxa"/>
            </w:tcMar>
            <w:hideMark/>
          </w:tcPr>
          <w:p w14:paraId="0D5636BC" w14:textId="77777777" w:rsidR="003A6B6A" w:rsidRPr="000B5A0F" w:rsidRDefault="006E4FB2" w:rsidP="003A6B6A">
            <w:pPr>
              <w:spacing w:after="0" w:line="240" w:lineRule="auto"/>
              <w:rPr>
                <w:rFonts w:ascii="Tahoma" w:eastAsia="Times New Roman" w:hAnsi="Tahoma" w:cs="Tahoma"/>
                <w:sz w:val="18"/>
                <w:szCs w:val="18"/>
                <w:lang w:eastAsia="en-GB"/>
              </w:rPr>
            </w:pPr>
            <w:r w:rsidRPr="000B5A0F">
              <w:rPr>
                <w:rFonts w:ascii="Tahoma" w:eastAsia="Times New Roman" w:hAnsi="Tahoma" w:cs="Tahoma"/>
                <w:sz w:val="18"/>
                <w:szCs w:val="18"/>
                <w:lang w:eastAsia="en-GB"/>
              </w:rPr>
              <w:t>Trevor Mitchell</w:t>
            </w:r>
          </w:p>
        </w:tc>
      </w:tr>
      <w:tr w:rsidR="003A6B6A" w:rsidRPr="00D94D76" w14:paraId="10007B41" w14:textId="77777777" w:rsidTr="003A6B6A">
        <w:tc>
          <w:tcPr>
            <w:tcW w:w="4854" w:type="dxa"/>
            <w:shd w:val="clear" w:color="auto" w:fill="FFFFFF"/>
            <w:tcMar>
              <w:top w:w="0" w:type="dxa"/>
              <w:left w:w="108" w:type="dxa"/>
              <w:bottom w:w="0" w:type="dxa"/>
              <w:right w:w="108" w:type="dxa"/>
            </w:tcMar>
            <w:hideMark/>
          </w:tcPr>
          <w:p w14:paraId="750A6B50" w14:textId="77777777" w:rsidR="003A6B6A" w:rsidRPr="00D94D76" w:rsidRDefault="003A6B6A" w:rsidP="003A6B6A">
            <w:pPr>
              <w:spacing w:after="0" w:line="240" w:lineRule="auto"/>
              <w:rPr>
                <w:rFonts w:ascii="Tahoma" w:eastAsia="Times New Roman" w:hAnsi="Tahoma" w:cs="Tahoma"/>
                <w:color w:val="000000"/>
                <w:sz w:val="18"/>
                <w:szCs w:val="18"/>
                <w:lang w:eastAsia="en-GB"/>
              </w:rPr>
            </w:pPr>
            <w:r w:rsidRPr="00D94D76">
              <w:rPr>
                <w:rFonts w:ascii="Tahoma" w:eastAsia="Times New Roman" w:hAnsi="Tahoma" w:cs="Tahoma"/>
                <w:color w:val="000000"/>
                <w:sz w:val="18"/>
                <w:szCs w:val="18"/>
                <w:lang w:eastAsia="en-GB"/>
              </w:rPr>
              <w:t>Chief Executive Officer</w:t>
            </w:r>
          </w:p>
        </w:tc>
        <w:tc>
          <w:tcPr>
            <w:tcW w:w="4285" w:type="dxa"/>
            <w:shd w:val="clear" w:color="auto" w:fill="FFFFFF"/>
            <w:tcMar>
              <w:top w:w="0" w:type="dxa"/>
              <w:left w:w="108" w:type="dxa"/>
              <w:bottom w:w="0" w:type="dxa"/>
              <w:right w:w="108" w:type="dxa"/>
            </w:tcMar>
            <w:hideMark/>
          </w:tcPr>
          <w:p w14:paraId="2BC3C244" w14:textId="77777777" w:rsidR="003A6B6A" w:rsidRPr="00D94D76" w:rsidRDefault="003A6B6A" w:rsidP="003A6B6A">
            <w:pPr>
              <w:spacing w:after="0" w:line="240" w:lineRule="auto"/>
              <w:rPr>
                <w:rFonts w:ascii="Tahoma" w:eastAsia="Times New Roman" w:hAnsi="Tahoma" w:cs="Tahoma"/>
                <w:color w:val="000000"/>
                <w:sz w:val="18"/>
                <w:szCs w:val="18"/>
                <w:lang w:eastAsia="en-GB"/>
              </w:rPr>
            </w:pPr>
            <w:r w:rsidRPr="00D94D76">
              <w:rPr>
                <w:rFonts w:ascii="Tahoma" w:eastAsia="Times New Roman" w:hAnsi="Tahoma" w:cs="Tahoma"/>
                <w:color w:val="000000"/>
                <w:sz w:val="18"/>
                <w:szCs w:val="18"/>
                <w:lang w:eastAsia="en-GB"/>
              </w:rPr>
              <w:t>Finance Director</w:t>
            </w:r>
          </w:p>
        </w:tc>
      </w:tr>
      <w:tr w:rsidR="003A6B6A" w:rsidRPr="00D94D76" w14:paraId="3756913F" w14:textId="77777777" w:rsidTr="003A6B6A">
        <w:tc>
          <w:tcPr>
            <w:tcW w:w="4854" w:type="dxa"/>
            <w:shd w:val="clear" w:color="auto" w:fill="FFFFFF"/>
            <w:tcMar>
              <w:top w:w="0" w:type="dxa"/>
              <w:left w:w="108" w:type="dxa"/>
              <w:bottom w:w="0" w:type="dxa"/>
              <w:right w:w="108" w:type="dxa"/>
            </w:tcMar>
            <w:hideMark/>
          </w:tcPr>
          <w:p w14:paraId="7D852A33" w14:textId="77777777" w:rsidR="003A6B6A" w:rsidRPr="00D94D76" w:rsidRDefault="003A6B6A" w:rsidP="003A6B6A">
            <w:pPr>
              <w:spacing w:after="0" w:line="240" w:lineRule="auto"/>
              <w:rPr>
                <w:rFonts w:ascii="Tahoma" w:eastAsia="Times New Roman" w:hAnsi="Tahoma" w:cs="Tahoma"/>
                <w:color w:val="000000"/>
                <w:sz w:val="18"/>
                <w:szCs w:val="18"/>
                <w:lang w:eastAsia="en-GB"/>
              </w:rPr>
            </w:pPr>
            <w:r w:rsidRPr="00D94D76">
              <w:rPr>
                <w:rFonts w:ascii="Tahoma" w:eastAsia="Times New Roman" w:hAnsi="Tahoma" w:cs="Tahoma"/>
                <w:color w:val="000000"/>
                <w:sz w:val="18"/>
                <w:szCs w:val="18"/>
                <w:lang w:eastAsia="en-GB"/>
              </w:rPr>
              <w:t>Tel: 020 7997 7400</w:t>
            </w:r>
          </w:p>
        </w:tc>
        <w:tc>
          <w:tcPr>
            <w:tcW w:w="4285" w:type="dxa"/>
            <w:shd w:val="clear" w:color="auto" w:fill="FFFFFF"/>
            <w:tcMar>
              <w:top w:w="0" w:type="dxa"/>
              <w:left w:w="108" w:type="dxa"/>
              <w:bottom w:w="0" w:type="dxa"/>
              <w:right w:w="108" w:type="dxa"/>
            </w:tcMar>
            <w:hideMark/>
          </w:tcPr>
          <w:p w14:paraId="78B0F291" w14:textId="77777777" w:rsidR="003A6B6A" w:rsidRPr="00D94D76" w:rsidRDefault="003A6B6A" w:rsidP="003A6B6A">
            <w:pPr>
              <w:spacing w:after="0" w:line="240" w:lineRule="auto"/>
              <w:rPr>
                <w:rFonts w:ascii="Tahoma" w:eastAsia="Times New Roman" w:hAnsi="Tahoma" w:cs="Tahoma"/>
                <w:color w:val="000000"/>
                <w:sz w:val="18"/>
                <w:szCs w:val="18"/>
                <w:lang w:eastAsia="en-GB"/>
              </w:rPr>
            </w:pPr>
            <w:r w:rsidRPr="00D94D76">
              <w:rPr>
                <w:rFonts w:ascii="Tahoma" w:eastAsia="Times New Roman" w:hAnsi="Tahoma" w:cs="Tahoma"/>
                <w:color w:val="000000"/>
                <w:sz w:val="18"/>
                <w:szCs w:val="18"/>
                <w:lang w:eastAsia="en-GB"/>
              </w:rPr>
              <w:t> </w:t>
            </w:r>
          </w:p>
        </w:tc>
      </w:tr>
      <w:tr w:rsidR="003A6B6A" w:rsidRPr="00D94D76" w14:paraId="1B4D90C3" w14:textId="77777777" w:rsidTr="003A6B6A">
        <w:tc>
          <w:tcPr>
            <w:tcW w:w="4854" w:type="dxa"/>
            <w:shd w:val="clear" w:color="auto" w:fill="FFFFFF"/>
            <w:tcMar>
              <w:top w:w="0" w:type="dxa"/>
              <w:left w:w="108" w:type="dxa"/>
              <w:bottom w:w="0" w:type="dxa"/>
              <w:right w:w="108" w:type="dxa"/>
            </w:tcMar>
            <w:hideMark/>
          </w:tcPr>
          <w:p w14:paraId="0F0EFF5F" w14:textId="77777777" w:rsidR="003A6B6A" w:rsidRPr="00D94D76" w:rsidRDefault="00DD1675" w:rsidP="003A6B6A">
            <w:pPr>
              <w:spacing w:after="120" w:line="240" w:lineRule="auto"/>
              <w:rPr>
                <w:rFonts w:ascii="Tahoma" w:eastAsia="Times New Roman" w:hAnsi="Tahoma" w:cs="Tahoma"/>
                <w:color w:val="000000"/>
                <w:sz w:val="18"/>
                <w:szCs w:val="18"/>
                <w:lang w:eastAsia="en-GB"/>
              </w:rPr>
            </w:pPr>
            <w:hyperlink r:id="rId9" w:history="1">
              <w:r w:rsidR="00DA79F7" w:rsidRPr="00D94D76">
                <w:rPr>
                  <w:rStyle w:val="Hyperlink"/>
                  <w:rFonts w:ascii="Tahoma" w:eastAsia="Times New Roman" w:hAnsi="Tahoma" w:cs="Tahoma"/>
                  <w:sz w:val="18"/>
                  <w:szCs w:val="18"/>
                  <w:lang w:eastAsia="en-GB"/>
                </w:rPr>
                <w:t>www.tclarke.co.uk</w:t>
              </w:r>
            </w:hyperlink>
          </w:p>
        </w:tc>
        <w:tc>
          <w:tcPr>
            <w:tcW w:w="4285" w:type="dxa"/>
            <w:shd w:val="clear" w:color="auto" w:fill="FFFFFF"/>
            <w:tcMar>
              <w:top w:w="0" w:type="dxa"/>
              <w:left w:w="108" w:type="dxa"/>
              <w:bottom w:w="0" w:type="dxa"/>
              <w:right w:w="108" w:type="dxa"/>
            </w:tcMar>
            <w:hideMark/>
          </w:tcPr>
          <w:p w14:paraId="4D679F0D" w14:textId="77777777" w:rsidR="003A6B6A" w:rsidRPr="00D94D76" w:rsidRDefault="003A6B6A" w:rsidP="003A6B6A">
            <w:pPr>
              <w:spacing w:after="120" w:line="240" w:lineRule="auto"/>
              <w:rPr>
                <w:rFonts w:ascii="Tahoma" w:eastAsia="Times New Roman" w:hAnsi="Tahoma" w:cs="Tahoma"/>
                <w:color w:val="000000"/>
                <w:sz w:val="18"/>
                <w:szCs w:val="18"/>
                <w:lang w:eastAsia="en-GB"/>
              </w:rPr>
            </w:pPr>
            <w:r w:rsidRPr="00D94D76">
              <w:rPr>
                <w:rFonts w:ascii="Tahoma" w:eastAsia="Times New Roman" w:hAnsi="Tahoma" w:cs="Tahoma"/>
                <w:color w:val="000000"/>
                <w:sz w:val="18"/>
                <w:szCs w:val="18"/>
                <w:lang w:eastAsia="en-GB"/>
              </w:rPr>
              <w:t> </w:t>
            </w:r>
          </w:p>
        </w:tc>
      </w:tr>
      <w:tr w:rsidR="003A6B6A" w:rsidRPr="00D94D76" w14:paraId="3F4E8CA8" w14:textId="77777777" w:rsidTr="003A6B6A">
        <w:tc>
          <w:tcPr>
            <w:tcW w:w="4854" w:type="dxa"/>
            <w:shd w:val="clear" w:color="auto" w:fill="FFFFFF"/>
            <w:tcMar>
              <w:top w:w="0" w:type="dxa"/>
              <w:left w:w="108" w:type="dxa"/>
              <w:bottom w:w="0" w:type="dxa"/>
              <w:right w:w="108" w:type="dxa"/>
            </w:tcMar>
            <w:hideMark/>
          </w:tcPr>
          <w:p w14:paraId="09B756EB" w14:textId="53F2A8C7" w:rsidR="003A6B6A" w:rsidRPr="00D94D76" w:rsidRDefault="006A16CD" w:rsidP="003A6B6A">
            <w:pPr>
              <w:spacing w:after="0" w:line="240" w:lineRule="auto"/>
              <w:rPr>
                <w:rFonts w:ascii="Tahoma" w:eastAsia="Times New Roman" w:hAnsi="Tahoma" w:cs="Tahoma"/>
                <w:b/>
                <w:bCs/>
                <w:color w:val="000000"/>
                <w:sz w:val="18"/>
                <w:szCs w:val="18"/>
                <w:lang w:eastAsia="en-GB"/>
              </w:rPr>
            </w:pPr>
            <w:proofErr w:type="spellStart"/>
            <w:r>
              <w:rPr>
                <w:rFonts w:ascii="Tahoma" w:eastAsia="Times New Roman" w:hAnsi="Tahoma" w:cs="Tahoma"/>
                <w:b/>
                <w:bCs/>
                <w:color w:val="000000"/>
                <w:sz w:val="18"/>
                <w:szCs w:val="18"/>
                <w:lang w:eastAsia="en-GB"/>
              </w:rPr>
              <w:t>Cenkos</w:t>
            </w:r>
            <w:proofErr w:type="spellEnd"/>
            <w:r>
              <w:rPr>
                <w:rFonts w:ascii="Tahoma" w:eastAsia="Times New Roman" w:hAnsi="Tahoma" w:cs="Tahoma"/>
                <w:b/>
                <w:bCs/>
                <w:color w:val="000000"/>
                <w:sz w:val="18"/>
                <w:szCs w:val="18"/>
                <w:lang w:eastAsia="en-GB"/>
              </w:rPr>
              <w:t xml:space="preserve"> Securities plc</w:t>
            </w:r>
            <w:r w:rsidR="003A6B6A" w:rsidRPr="00D94D76">
              <w:rPr>
                <w:rFonts w:ascii="Tahoma" w:eastAsia="Times New Roman" w:hAnsi="Tahoma" w:cs="Tahoma"/>
                <w:b/>
                <w:bCs/>
                <w:color w:val="000000"/>
                <w:sz w:val="18"/>
                <w:szCs w:val="18"/>
                <w:lang w:eastAsia="en-GB"/>
              </w:rPr>
              <w:t xml:space="preserve"> (</w:t>
            </w:r>
            <w:r>
              <w:rPr>
                <w:rFonts w:ascii="Tahoma" w:eastAsia="Times New Roman" w:hAnsi="Tahoma" w:cs="Tahoma"/>
                <w:b/>
                <w:bCs/>
                <w:color w:val="000000"/>
                <w:sz w:val="18"/>
                <w:szCs w:val="18"/>
                <w:lang w:eastAsia="en-GB"/>
              </w:rPr>
              <w:t xml:space="preserve">Corporate </w:t>
            </w:r>
            <w:r w:rsidR="003A6B6A" w:rsidRPr="00D94D76">
              <w:rPr>
                <w:rFonts w:ascii="Tahoma" w:eastAsia="Times New Roman" w:hAnsi="Tahoma" w:cs="Tahoma"/>
                <w:b/>
                <w:bCs/>
                <w:color w:val="000000"/>
                <w:sz w:val="18"/>
                <w:szCs w:val="18"/>
                <w:lang w:eastAsia="en-GB"/>
              </w:rPr>
              <w:t>Broker)</w:t>
            </w:r>
          </w:p>
        </w:tc>
        <w:tc>
          <w:tcPr>
            <w:tcW w:w="4285" w:type="dxa"/>
            <w:shd w:val="clear" w:color="auto" w:fill="FFFFFF"/>
            <w:tcMar>
              <w:top w:w="0" w:type="dxa"/>
              <w:left w:w="108" w:type="dxa"/>
              <w:bottom w:w="0" w:type="dxa"/>
              <w:right w:w="108" w:type="dxa"/>
            </w:tcMar>
            <w:hideMark/>
          </w:tcPr>
          <w:p w14:paraId="598E3330" w14:textId="77777777" w:rsidR="003A6B6A" w:rsidRPr="00D94D76" w:rsidRDefault="004D0AB0" w:rsidP="004D0AB0">
            <w:pPr>
              <w:spacing w:after="0" w:line="240" w:lineRule="auto"/>
              <w:rPr>
                <w:rFonts w:ascii="Tahoma" w:eastAsia="Times New Roman" w:hAnsi="Tahoma" w:cs="Tahoma"/>
                <w:b/>
                <w:bCs/>
                <w:color w:val="000000"/>
                <w:sz w:val="18"/>
                <w:szCs w:val="18"/>
                <w:lang w:eastAsia="en-GB"/>
              </w:rPr>
            </w:pPr>
            <w:r w:rsidRPr="00D94D76">
              <w:rPr>
                <w:rFonts w:ascii="Tahoma" w:eastAsia="Times New Roman" w:hAnsi="Tahoma" w:cs="Tahoma"/>
                <w:b/>
                <w:bCs/>
                <w:color w:val="000000"/>
                <w:sz w:val="18"/>
                <w:szCs w:val="18"/>
                <w:lang w:eastAsia="en-GB"/>
              </w:rPr>
              <w:t>RMS</w:t>
            </w:r>
            <w:r w:rsidR="003A6B6A" w:rsidRPr="00D94D76">
              <w:rPr>
                <w:rFonts w:ascii="Tahoma" w:eastAsia="Times New Roman" w:hAnsi="Tahoma" w:cs="Tahoma"/>
                <w:b/>
                <w:bCs/>
                <w:color w:val="000000"/>
                <w:sz w:val="18"/>
                <w:szCs w:val="18"/>
                <w:lang w:eastAsia="en-GB"/>
              </w:rPr>
              <w:t xml:space="preserve"> </w:t>
            </w:r>
            <w:r w:rsidRPr="00D94D76">
              <w:rPr>
                <w:rFonts w:ascii="Tahoma" w:eastAsia="Times New Roman" w:hAnsi="Tahoma" w:cs="Tahoma"/>
                <w:b/>
                <w:bCs/>
                <w:color w:val="000000"/>
                <w:sz w:val="18"/>
                <w:szCs w:val="18"/>
                <w:lang w:eastAsia="en-GB"/>
              </w:rPr>
              <w:t>Partners</w:t>
            </w:r>
          </w:p>
        </w:tc>
      </w:tr>
      <w:tr w:rsidR="003A6B6A" w:rsidRPr="00D94D76" w14:paraId="62270FC7" w14:textId="77777777" w:rsidTr="003A6B6A">
        <w:tc>
          <w:tcPr>
            <w:tcW w:w="4854" w:type="dxa"/>
            <w:shd w:val="clear" w:color="auto" w:fill="FFFFFF"/>
            <w:tcMar>
              <w:top w:w="0" w:type="dxa"/>
              <w:left w:w="108" w:type="dxa"/>
              <w:bottom w:w="0" w:type="dxa"/>
              <w:right w:w="108" w:type="dxa"/>
            </w:tcMar>
            <w:hideMark/>
          </w:tcPr>
          <w:p w14:paraId="4376E92A" w14:textId="7D9E5DD4" w:rsidR="003A6B6A" w:rsidRPr="006A16CD" w:rsidRDefault="006A16CD" w:rsidP="003A6B6A">
            <w:pPr>
              <w:spacing w:after="0" w:line="240" w:lineRule="auto"/>
              <w:rPr>
                <w:rFonts w:ascii="Tahoma" w:eastAsia="Times New Roman" w:hAnsi="Tahoma" w:cs="Tahoma"/>
                <w:color w:val="000000"/>
                <w:sz w:val="18"/>
                <w:szCs w:val="18"/>
                <w:lang w:eastAsia="en-GB"/>
              </w:rPr>
            </w:pPr>
            <w:r w:rsidRPr="006A16CD">
              <w:rPr>
                <w:rFonts w:ascii="Tahoma" w:hAnsi="Tahoma" w:cs="Tahoma"/>
                <w:sz w:val="18"/>
                <w:szCs w:val="18"/>
                <w:lang w:eastAsia="en-GB"/>
              </w:rPr>
              <w:t>Max Hartley (Corporate Finance)</w:t>
            </w:r>
          </w:p>
        </w:tc>
        <w:tc>
          <w:tcPr>
            <w:tcW w:w="4285" w:type="dxa"/>
            <w:shd w:val="clear" w:color="auto" w:fill="FFFFFF"/>
            <w:tcMar>
              <w:top w:w="0" w:type="dxa"/>
              <w:left w:w="108" w:type="dxa"/>
              <w:bottom w:w="0" w:type="dxa"/>
              <w:right w:w="108" w:type="dxa"/>
            </w:tcMar>
            <w:hideMark/>
          </w:tcPr>
          <w:p w14:paraId="43DBCBD2" w14:textId="77777777" w:rsidR="003A6B6A" w:rsidRPr="00D94D76" w:rsidRDefault="003A6B6A" w:rsidP="003A6B6A">
            <w:pPr>
              <w:spacing w:after="0" w:line="240" w:lineRule="auto"/>
              <w:rPr>
                <w:rFonts w:ascii="Tahoma" w:eastAsia="Times New Roman" w:hAnsi="Tahoma" w:cs="Tahoma"/>
                <w:color w:val="000000"/>
                <w:sz w:val="18"/>
                <w:szCs w:val="18"/>
                <w:lang w:eastAsia="en-GB"/>
              </w:rPr>
            </w:pPr>
            <w:r w:rsidRPr="00D94D76">
              <w:rPr>
                <w:rFonts w:ascii="Tahoma" w:eastAsia="Times New Roman" w:hAnsi="Tahoma" w:cs="Tahoma"/>
                <w:color w:val="000000"/>
                <w:sz w:val="18"/>
                <w:szCs w:val="18"/>
                <w:lang w:eastAsia="en-GB"/>
              </w:rPr>
              <w:t>Simon Courtenay</w:t>
            </w:r>
          </w:p>
        </w:tc>
      </w:tr>
      <w:tr w:rsidR="003A6B6A" w:rsidRPr="00D94D76" w14:paraId="3527B599" w14:textId="77777777" w:rsidTr="003A6B6A">
        <w:tc>
          <w:tcPr>
            <w:tcW w:w="4854" w:type="dxa"/>
            <w:shd w:val="clear" w:color="auto" w:fill="FFFFFF"/>
            <w:tcMar>
              <w:top w:w="0" w:type="dxa"/>
              <w:left w:w="108" w:type="dxa"/>
              <w:bottom w:w="0" w:type="dxa"/>
              <w:right w:w="108" w:type="dxa"/>
            </w:tcMar>
            <w:hideMark/>
          </w:tcPr>
          <w:p w14:paraId="0F9532FE" w14:textId="4E8F60AF" w:rsidR="003A6B6A" w:rsidRPr="006A16CD" w:rsidRDefault="006A16CD" w:rsidP="003A6B6A">
            <w:pPr>
              <w:spacing w:after="0" w:line="240" w:lineRule="auto"/>
              <w:rPr>
                <w:rFonts w:ascii="Tahoma" w:eastAsia="Times New Roman" w:hAnsi="Tahoma" w:cs="Tahoma"/>
                <w:color w:val="000000"/>
                <w:sz w:val="18"/>
                <w:szCs w:val="18"/>
                <w:lang w:eastAsia="en-GB"/>
              </w:rPr>
            </w:pPr>
            <w:r w:rsidRPr="006A16CD">
              <w:rPr>
                <w:rFonts w:ascii="Tahoma" w:hAnsi="Tahoma" w:cs="Tahoma"/>
                <w:sz w:val="18"/>
                <w:szCs w:val="18"/>
                <w:lang w:eastAsia="en-GB"/>
              </w:rPr>
              <w:t>Nick Searle (Sales)</w:t>
            </w:r>
          </w:p>
        </w:tc>
        <w:tc>
          <w:tcPr>
            <w:tcW w:w="4285" w:type="dxa"/>
            <w:shd w:val="clear" w:color="auto" w:fill="FFFFFF"/>
            <w:tcMar>
              <w:top w:w="0" w:type="dxa"/>
              <w:left w:w="108" w:type="dxa"/>
              <w:bottom w:w="0" w:type="dxa"/>
              <w:right w:w="108" w:type="dxa"/>
            </w:tcMar>
            <w:hideMark/>
          </w:tcPr>
          <w:p w14:paraId="69D1EAC0" w14:textId="77777777" w:rsidR="003A6B6A" w:rsidRPr="00D94D76" w:rsidRDefault="0031455C" w:rsidP="003A6B6A">
            <w:pPr>
              <w:spacing w:after="0" w:line="240" w:lineRule="auto"/>
              <w:rPr>
                <w:rFonts w:ascii="Tahoma" w:eastAsia="Times New Roman" w:hAnsi="Tahoma" w:cs="Tahoma"/>
                <w:color w:val="000000"/>
                <w:sz w:val="18"/>
                <w:szCs w:val="18"/>
                <w:lang w:eastAsia="en-GB"/>
              </w:rPr>
            </w:pPr>
            <w:r w:rsidRPr="00D94D76">
              <w:rPr>
                <w:rFonts w:ascii="Tahoma" w:eastAsia="Times New Roman" w:hAnsi="Tahoma" w:cs="Tahoma"/>
                <w:color w:val="000000"/>
                <w:sz w:val="18"/>
                <w:szCs w:val="18"/>
                <w:lang w:eastAsia="en-GB"/>
              </w:rPr>
              <w:t>Tel: 020 3735 6551</w:t>
            </w:r>
          </w:p>
        </w:tc>
      </w:tr>
      <w:tr w:rsidR="003A6B6A" w:rsidRPr="00D94D76" w14:paraId="0A3E01B1" w14:textId="77777777" w:rsidTr="003A6B6A">
        <w:tc>
          <w:tcPr>
            <w:tcW w:w="4854" w:type="dxa"/>
            <w:shd w:val="clear" w:color="auto" w:fill="FFFFFF"/>
            <w:tcMar>
              <w:top w:w="0" w:type="dxa"/>
              <w:left w:w="108" w:type="dxa"/>
              <w:bottom w:w="0" w:type="dxa"/>
              <w:right w:w="108" w:type="dxa"/>
            </w:tcMar>
            <w:hideMark/>
          </w:tcPr>
          <w:p w14:paraId="4F6E6CFF" w14:textId="20FC00F0" w:rsidR="003A6B6A" w:rsidRPr="00D94D76" w:rsidRDefault="003A6B6A" w:rsidP="003A6B6A">
            <w:pPr>
              <w:spacing w:after="0" w:line="240" w:lineRule="auto"/>
              <w:rPr>
                <w:rFonts w:ascii="Tahoma" w:eastAsia="Times New Roman" w:hAnsi="Tahoma" w:cs="Tahoma"/>
                <w:color w:val="000000"/>
                <w:sz w:val="18"/>
                <w:szCs w:val="18"/>
                <w:lang w:eastAsia="en-GB"/>
              </w:rPr>
            </w:pPr>
            <w:r w:rsidRPr="00D94D76">
              <w:rPr>
                <w:rFonts w:ascii="Tahoma" w:eastAsia="Times New Roman" w:hAnsi="Tahoma" w:cs="Tahoma"/>
                <w:color w:val="000000"/>
                <w:sz w:val="18"/>
                <w:szCs w:val="18"/>
                <w:lang w:eastAsia="en-GB"/>
              </w:rPr>
              <w:t>Tel: 020 7</w:t>
            </w:r>
            <w:r w:rsidR="006A16CD">
              <w:rPr>
                <w:rFonts w:ascii="Tahoma" w:eastAsia="Times New Roman" w:hAnsi="Tahoma" w:cs="Tahoma"/>
                <w:color w:val="000000"/>
                <w:sz w:val="18"/>
                <w:szCs w:val="18"/>
                <w:lang w:eastAsia="en-GB"/>
              </w:rPr>
              <w:t>3</w:t>
            </w:r>
            <w:r w:rsidRPr="00D94D76">
              <w:rPr>
                <w:rFonts w:ascii="Tahoma" w:eastAsia="Times New Roman" w:hAnsi="Tahoma" w:cs="Tahoma"/>
                <w:color w:val="000000"/>
                <w:sz w:val="18"/>
                <w:szCs w:val="18"/>
                <w:lang w:eastAsia="en-GB"/>
              </w:rPr>
              <w:t>9</w:t>
            </w:r>
            <w:r w:rsidR="006A16CD">
              <w:rPr>
                <w:rFonts w:ascii="Tahoma" w:eastAsia="Times New Roman" w:hAnsi="Tahoma" w:cs="Tahoma"/>
                <w:color w:val="000000"/>
                <w:sz w:val="18"/>
                <w:szCs w:val="18"/>
                <w:lang w:eastAsia="en-GB"/>
              </w:rPr>
              <w:t>7</w:t>
            </w:r>
            <w:r w:rsidRPr="00D94D76">
              <w:rPr>
                <w:rFonts w:ascii="Tahoma" w:eastAsia="Times New Roman" w:hAnsi="Tahoma" w:cs="Tahoma"/>
                <w:color w:val="000000"/>
                <w:sz w:val="18"/>
                <w:szCs w:val="18"/>
                <w:lang w:eastAsia="en-GB"/>
              </w:rPr>
              <w:t xml:space="preserve"> </w:t>
            </w:r>
            <w:r w:rsidR="006A16CD">
              <w:rPr>
                <w:rFonts w:ascii="Tahoma" w:eastAsia="Times New Roman" w:hAnsi="Tahoma" w:cs="Tahoma"/>
                <w:color w:val="000000"/>
                <w:sz w:val="18"/>
                <w:szCs w:val="18"/>
                <w:lang w:eastAsia="en-GB"/>
              </w:rPr>
              <w:t>89</w:t>
            </w:r>
            <w:r w:rsidRPr="00D94D76">
              <w:rPr>
                <w:rFonts w:ascii="Tahoma" w:eastAsia="Times New Roman" w:hAnsi="Tahoma" w:cs="Tahoma"/>
                <w:color w:val="000000"/>
                <w:sz w:val="18"/>
                <w:szCs w:val="18"/>
                <w:lang w:eastAsia="en-GB"/>
              </w:rPr>
              <w:t>00</w:t>
            </w:r>
          </w:p>
        </w:tc>
        <w:tc>
          <w:tcPr>
            <w:tcW w:w="4285" w:type="dxa"/>
            <w:shd w:val="clear" w:color="auto" w:fill="FFFFFF"/>
            <w:tcMar>
              <w:top w:w="0" w:type="dxa"/>
              <w:left w:w="108" w:type="dxa"/>
              <w:bottom w:w="0" w:type="dxa"/>
              <w:right w:w="108" w:type="dxa"/>
            </w:tcMar>
            <w:hideMark/>
          </w:tcPr>
          <w:p w14:paraId="5A58583D" w14:textId="590D1275" w:rsidR="003A6B6A" w:rsidRPr="00D94D76" w:rsidRDefault="003A6B6A" w:rsidP="004D0AB0">
            <w:pPr>
              <w:spacing w:after="0" w:line="240" w:lineRule="auto"/>
              <w:rPr>
                <w:rFonts w:ascii="Tahoma" w:eastAsia="Times New Roman" w:hAnsi="Tahoma" w:cs="Tahoma"/>
                <w:color w:val="000000"/>
                <w:sz w:val="18"/>
                <w:szCs w:val="18"/>
                <w:lang w:eastAsia="en-GB"/>
              </w:rPr>
            </w:pPr>
          </w:p>
        </w:tc>
      </w:tr>
      <w:tr w:rsidR="003A6B6A" w:rsidRPr="00D94D76" w14:paraId="0D7CBB6A" w14:textId="77777777" w:rsidTr="00027595">
        <w:trPr>
          <w:trHeight w:val="68"/>
        </w:trPr>
        <w:tc>
          <w:tcPr>
            <w:tcW w:w="4854" w:type="dxa"/>
            <w:shd w:val="clear" w:color="auto" w:fill="FFFFFF"/>
            <w:tcMar>
              <w:top w:w="0" w:type="dxa"/>
              <w:left w:w="108" w:type="dxa"/>
              <w:bottom w:w="0" w:type="dxa"/>
              <w:right w:w="108" w:type="dxa"/>
            </w:tcMar>
            <w:hideMark/>
          </w:tcPr>
          <w:p w14:paraId="07D39B80" w14:textId="38722040" w:rsidR="00A761E6" w:rsidRDefault="00DD1675" w:rsidP="003A6B6A">
            <w:pPr>
              <w:spacing w:after="0" w:line="240" w:lineRule="auto"/>
              <w:rPr>
                <w:rStyle w:val="Hyperlink"/>
                <w:rFonts w:ascii="Tahoma" w:hAnsi="Tahoma" w:cs="Tahoma"/>
                <w:sz w:val="18"/>
                <w:szCs w:val="18"/>
                <w:lang w:eastAsia="en-GB"/>
              </w:rPr>
            </w:pPr>
            <w:hyperlink r:id="rId10" w:history="1">
              <w:r w:rsidR="006A16CD" w:rsidRPr="006A16CD">
                <w:rPr>
                  <w:rStyle w:val="Hyperlink"/>
                  <w:rFonts w:ascii="Tahoma" w:hAnsi="Tahoma" w:cs="Tahoma"/>
                  <w:sz w:val="18"/>
                  <w:szCs w:val="18"/>
                  <w:lang w:eastAsia="en-GB"/>
                </w:rPr>
                <w:t>www.cenkos.com</w:t>
              </w:r>
            </w:hyperlink>
          </w:p>
          <w:p w14:paraId="0D4BFDB0" w14:textId="374FF286" w:rsidR="00A5626A" w:rsidRDefault="00A5626A" w:rsidP="003A6B6A">
            <w:pPr>
              <w:spacing w:after="0" w:line="240" w:lineRule="auto"/>
              <w:rPr>
                <w:rStyle w:val="Hyperlink"/>
                <w:rFonts w:ascii="Tahoma" w:hAnsi="Tahoma" w:cs="Tahoma"/>
                <w:sz w:val="18"/>
                <w:szCs w:val="18"/>
                <w:lang w:eastAsia="en-GB"/>
              </w:rPr>
            </w:pPr>
          </w:p>
          <w:p w14:paraId="1117D141" w14:textId="59C36488" w:rsidR="00A5626A" w:rsidRDefault="00A5626A" w:rsidP="003A6B6A">
            <w:pPr>
              <w:spacing w:after="0" w:line="240" w:lineRule="auto"/>
              <w:rPr>
                <w:rStyle w:val="Hyperlink"/>
                <w:rFonts w:ascii="Tahoma" w:hAnsi="Tahoma" w:cs="Tahoma"/>
                <w:sz w:val="18"/>
                <w:szCs w:val="18"/>
                <w:lang w:eastAsia="en-GB"/>
              </w:rPr>
            </w:pPr>
          </w:p>
          <w:p w14:paraId="37F49EE8" w14:textId="3E80FA88" w:rsidR="00A5626A" w:rsidRDefault="00A5626A" w:rsidP="003A6B6A">
            <w:pPr>
              <w:spacing w:after="0" w:line="240" w:lineRule="auto"/>
              <w:rPr>
                <w:rStyle w:val="Hyperlink"/>
                <w:rFonts w:ascii="Tahoma" w:hAnsi="Tahoma" w:cs="Tahoma"/>
                <w:sz w:val="18"/>
                <w:szCs w:val="18"/>
                <w:lang w:eastAsia="en-GB"/>
              </w:rPr>
            </w:pPr>
          </w:p>
          <w:p w14:paraId="7517FB7C" w14:textId="77777777" w:rsidR="00A5626A" w:rsidRPr="006A16CD" w:rsidRDefault="00A5626A" w:rsidP="003A6B6A">
            <w:pPr>
              <w:spacing w:after="0" w:line="240" w:lineRule="auto"/>
              <w:rPr>
                <w:rFonts w:ascii="Tahoma" w:hAnsi="Tahoma" w:cs="Tahoma"/>
                <w:sz w:val="18"/>
                <w:szCs w:val="18"/>
                <w:lang w:eastAsia="en-GB"/>
              </w:rPr>
            </w:pPr>
          </w:p>
          <w:p w14:paraId="34E76243" w14:textId="77777777" w:rsidR="00A761E6" w:rsidRDefault="00A761E6" w:rsidP="003A6B6A">
            <w:pPr>
              <w:spacing w:after="0" w:line="240" w:lineRule="auto"/>
              <w:rPr>
                <w:rFonts w:ascii="Tahoma" w:eastAsia="Times New Roman" w:hAnsi="Tahoma" w:cs="Tahoma"/>
                <w:color w:val="0000FF"/>
                <w:sz w:val="18"/>
                <w:szCs w:val="18"/>
                <w:u w:val="single"/>
                <w:lang w:eastAsia="en-GB"/>
              </w:rPr>
            </w:pPr>
          </w:p>
          <w:p w14:paraId="2BB17869" w14:textId="77777777" w:rsidR="00A761E6" w:rsidRPr="00D94D76" w:rsidRDefault="00A761E6" w:rsidP="003A6B6A">
            <w:pPr>
              <w:spacing w:after="0" w:line="240" w:lineRule="auto"/>
              <w:rPr>
                <w:rFonts w:ascii="Tahoma" w:eastAsia="Times New Roman" w:hAnsi="Tahoma" w:cs="Tahoma"/>
                <w:color w:val="000000"/>
                <w:sz w:val="18"/>
                <w:szCs w:val="18"/>
                <w:lang w:eastAsia="en-GB"/>
              </w:rPr>
            </w:pPr>
          </w:p>
        </w:tc>
        <w:tc>
          <w:tcPr>
            <w:tcW w:w="4285" w:type="dxa"/>
            <w:shd w:val="clear" w:color="auto" w:fill="FFFFFF"/>
            <w:tcMar>
              <w:top w:w="0" w:type="dxa"/>
              <w:left w:w="108" w:type="dxa"/>
              <w:bottom w:w="0" w:type="dxa"/>
              <w:right w:w="108" w:type="dxa"/>
            </w:tcMar>
            <w:hideMark/>
          </w:tcPr>
          <w:p w14:paraId="52652657" w14:textId="77777777" w:rsidR="003A6B6A" w:rsidRPr="00D94D76" w:rsidRDefault="003A6B6A" w:rsidP="003A6B6A">
            <w:pPr>
              <w:spacing w:after="0" w:line="240" w:lineRule="auto"/>
              <w:rPr>
                <w:rFonts w:ascii="Tahoma" w:eastAsia="Times New Roman" w:hAnsi="Tahoma" w:cs="Tahoma"/>
                <w:color w:val="000000"/>
                <w:sz w:val="18"/>
                <w:szCs w:val="18"/>
                <w:lang w:eastAsia="en-GB"/>
              </w:rPr>
            </w:pPr>
          </w:p>
        </w:tc>
      </w:tr>
    </w:tbl>
    <w:p w14:paraId="2AF1D35C" w14:textId="77777777" w:rsidR="008363D5" w:rsidRDefault="008363D5" w:rsidP="008363D5">
      <w:pPr>
        <w:spacing w:after="0" w:line="240" w:lineRule="auto"/>
        <w:jc w:val="both"/>
        <w:rPr>
          <w:b/>
          <w:color w:val="003366"/>
          <w:sz w:val="28"/>
        </w:rPr>
      </w:pPr>
    </w:p>
    <w:p w14:paraId="2F6AB2F0" w14:textId="247EAE4F" w:rsidR="00D80ACC" w:rsidRPr="006E4FB2" w:rsidRDefault="00D80ACC" w:rsidP="008363D5">
      <w:pPr>
        <w:spacing w:after="0" w:line="240" w:lineRule="auto"/>
        <w:jc w:val="both"/>
        <w:rPr>
          <w:b/>
          <w:color w:val="002060"/>
        </w:rPr>
      </w:pPr>
      <w:r w:rsidRPr="008C4CA3">
        <w:rPr>
          <w:b/>
          <w:color w:val="003366"/>
          <w:sz w:val="28"/>
        </w:rPr>
        <w:lastRenderedPageBreak/>
        <w:t xml:space="preserve">Chairman’s </w:t>
      </w:r>
      <w:r w:rsidR="00522BC7">
        <w:rPr>
          <w:b/>
          <w:color w:val="003366"/>
          <w:sz w:val="28"/>
        </w:rPr>
        <w:t>S</w:t>
      </w:r>
      <w:r w:rsidR="008C79F3">
        <w:rPr>
          <w:b/>
          <w:color w:val="003366"/>
          <w:sz w:val="28"/>
        </w:rPr>
        <w:t>tatement</w:t>
      </w:r>
      <w:r w:rsidRPr="008C4CA3">
        <w:rPr>
          <w:b/>
          <w:color w:val="003366"/>
          <w:sz w:val="28"/>
        </w:rPr>
        <w:t xml:space="preserve"> </w:t>
      </w:r>
    </w:p>
    <w:p w14:paraId="31C85BC4" w14:textId="7AE0081E" w:rsidR="008C79F3" w:rsidRPr="008C79F3" w:rsidRDefault="008C79F3" w:rsidP="000566A1">
      <w:pPr>
        <w:spacing w:before="160" w:after="0" w:line="240" w:lineRule="auto"/>
        <w:rPr>
          <w:rFonts w:cstheme="minorHAnsi"/>
          <w:bCs/>
        </w:rPr>
      </w:pPr>
      <w:r w:rsidRPr="008C79F3">
        <w:rPr>
          <w:rFonts w:cstheme="minorHAnsi"/>
          <w:bCs/>
        </w:rPr>
        <w:t xml:space="preserve">In common with many businesses throughout the UK, TClarke faced significant and unprecedented challenges in 2020. It is therefore particularly pleasing </w:t>
      </w:r>
      <w:r w:rsidR="00246DF2">
        <w:rPr>
          <w:rFonts w:cstheme="minorHAnsi"/>
          <w:bCs/>
        </w:rPr>
        <w:t xml:space="preserve">that TClarke has remained </w:t>
      </w:r>
      <w:proofErr w:type="gramStart"/>
      <w:r w:rsidR="00246DF2">
        <w:rPr>
          <w:rFonts w:cstheme="minorHAnsi"/>
          <w:bCs/>
        </w:rPr>
        <w:t>profitable</w:t>
      </w:r>
      <w:proofErr w:type="gramEnd"/>
      <w:r w:rsidR="00246DF2">
        <w:rPr>
          <w:rFonts w:cstheme="minorHAnsi"/>
          <w:bCs/>
        </w:rPr>
        <w:t xml:space="preserve"> </w:t>
      </w:r>
      <w:r w:rsidR="00B13E92">
        <w:rPr>
          <w:rFonts w:cstheme="minorHAnsi"/>
          <w:bCs/>
        </w:rPr>
        <w:t xml:space="preserve">and our average daily </w:t>
      </w:r>
      <w:r w:rsidR="00E67571">
        <w:rPr>
          <w:rFonts w:cstheme="minorHAnsi"/>
          <w:bCs/>
        </w:rPr>
        <w:t xml:space="preserve">net </w:t>
      </w:r>
      <w:r w:rsidR="00B13E92">
        <w:rPr>
          <w:rFonts w:cstheme="minorHAnsi"/>
          <w:bCs/>
        </w:rPr>
        <w:t xml:space="preserve">cash balance </w:t>
      </w:r>
      <w:r w:rsidR="0098537C">
        <w:rPr>
          <w:rFonts w:cstheme="minorHAnsi"/>
          <w:bCs/>
        </w:rPr>
        <w:t>was positive throughout 2020.</w:t>
      </w:r>
      <w:r w:rsidRPr="008C79F3">
        <w:rPr>
          <w:rFonts w:cstheme="minorHAnsi"/>
          <w:bCs/>
        </w:rPr>
        <w:t xml:space="preserve"> It is also a year in which emerging opportunities for top line growth allows us to announce a </w:t>
      </w:r>
      <w:proofErr w:type="gramStart"/>
      <w:r w:rsidR="001F3F6A">
        <w:rPr>
          <w:rFonts w:cstheme="minorHAnsi"/>
          <w:bCs/>
        </w:rPr>
        <w:t>three year</w:t>
      </w:r>
      <w:proofErr w:type="gramEnd"/>
      <w:r w:rsidR="001F3F6A">
        <w:rPr>
          <w:rFonts w:cstheme="minorHAnsi"/>
          <w:bCs/>
        </w:rPr>
        <w:t xml:space="preserve"> plan to deliver £500m of revenue </w:t>
      </w:r>
      <w:r w:rsidRPr="008C79F3">
        <w:rPr>
          <w:rFonts w:cstheme="minorHAnsi"/>
          <w:bCs/>
        </w:rPr>
        <w:t>whilst maintaining our margins.</w:t>
      </w:r>
    </w:p>
    <w:p w14:paraId="6E752E90" w14:textId="77777777" w:rsidR="008C79F3" w:rsidRPr="008C79F3" w:rsidRDefault="008C79F3" w:rsidP="008C79F3">
      <w:pPr>
        <w:spacing w:before="160" w:after="0" w:line="240" w:lineRule="auto"/>
        <w:rPr>
          <w:rFonts w:cstheme="minorHAnsi"/>
          <w:bCs/>
        </w:rPr>
      </w:pPr>
      <w:r w:rsidRPr="008C79F3">
        <w:rPr>
          <w:rFonts w:cstheme="minorHAnsi"/>
          <w:bCs/>
        </w:rPr>
        <w:t>We delivered our underlying operating margin target of 3% in the first quarter and in the second half of the year. In the second quarter, at the height of the national lockdown, we achieved a breakeven performance at the operating level, which was an outstanding performance given the significant impact this had on our sector through site closures and major client driven project delays and reschedules.</w:t>
      </w:r>
    </w:p>
    <w:p w14:paraId="20884BA4" w14:textId="72255D29" w:rsidR="008C79F3" w:rsidRPr="008C79F3" w:rsidRDefault="008C79F3" w:rsidP="008C79F3">
      <w:pPr>
        <w:spacing w:before="160" w:after="0" w:line="240" w:lineRule="auto"/>
        <w:rPr>
          <w:rFonts w:cstheme="minorHAnsi"/>
          <w:bCs/>
        </w:rPr>
      </w:pPr>
      <w:r w:rsidRPr="008C79F3">
        <w:rPr>
          <w:rFonts w:cstheme="minorHAnsi"/>
          <w:bCs/>
        </w:rPr>
        <w:t xml:space="preserve">Swift and effective management responses and actions in response to the pandemic have positioned us strongly for the future. Our forward order book stands at </w:t>
      </w:r>
      <w:r w:rsidR="00973B66">
        <w:rPr>
          <w:rFonts w:cstheme="minorHAnsi"/>
          <w:bCs/>
        </w:rPr>
        <w:t xml:space="preserve">a record </w:t>
      </w:r>
      <w:r w:rsidRPr="008C79F3">
        <w:rPr>
          <w:rFonts w:cstheme="minorHAnsi"/>
          <w:bCs/>
        </w:rPr>
        <w:t>£456m, an increase of 13% on the year. This increase is not represented by work delayed from 2020. It results from new projects, many from existing clients who value our stability, our relationship with them, and our proven ability to deliver quality.</w:t>
      </w:r>
    </w:p>
    <w:p w14:paraId="1BDF5701" w14:textId="4985CB6E" w:rsidR="008C79F3" w:rsidRPr="008C79F3" w:rsidRDefault="008C79F3" w:rsidP="00304A15">
      <w:pPr>
        <w:spacing w:before="160" w:after="0" w:line="240" w:lineRule="auto"/>
        <w:rPr>
          <w:rFonts w:cstheme="minorHAnsi"/>
          <w:bCs/>
        </w:rPr>
      </w:pPr>
      <w:r w:rsidRPr="008C79F3">
        <w:rPr>
          <w:rFonts w:cstheme="minorHAnsi"/>
          <w:bCs/>
        </w:rPr>
        <w:t>Our strategy of strengthening our core Engineering Services markets while building and developing our capabilities in key areas of technology and infrastructure is succeeding. This was a major factor in our 2020 performance. Importantly, however, it puts us in a very strong position as we move into 2021 and beyond.</w:t>
      </w:r>
    </w:p>
    <w:p w14:paraId="62CCC428" w14:textId="7EB1ABF8" w:rsidR="00D023C5" w:rsidRDefault="008C79F3" w:rsidP="008C79F3">
      <w:pPr>
        <w:spacing w:before="160" w:after="0" w:line="240" w:lineRule="auto"/>
        <w:rPr>
          <w:rFonts w:cstheme="minorHAnsi"/>
        </w:rPr>
      </w:pPr>
      <w:r w:rsidRPr="008C79F3">
        <w:rPr>
          <w:rFonts w:cstheme="minorHAnsi"/>
          <w:bCs/>
        </w:rPr>
        <w:t>TClarke is very aware of the importance of our dividend stream to shareholders and investors. We continue to be fully committed to a progressive dividend policy and continue to focus on our ability to ensure dividend streams</w:t>
      </w:r>
      <w:r w:rsidR="00C92E46">
        <w:rPr>
          <w:rFonts w:cstheme="minorHAnsi"/>
          <w:bCs/>
        </w:rPr>
        <w:t xml:space="preserve"> are maintained</w:t>
      </w:r>
      <w:r w:rsidRPr="008C79F3">
        <w:rPr>
          <w:rFonts w:cstheme="minorHAnsi"/>
          <w:bCs/>
        </w:rPr>
        <w:t>, while at the same time balancing the needs and interests of all stakeholders. We fully maintained our final and interim dividend payments in 2020 and we are proposing a 2020 final dividend of 3.65p</w:t>
      </w:r>
      <w:r w:rsidR="00DC6CCE">
        <w:rPr>
          <w:rFonts w:cstheme="minorHAnsi"/>
          <w:bCs/>
        </w:rPr>
        <w:t xml:space="preserve"> per </w:t>
      </w:r>
      <w:r w:rsidRPr="008C79F3">
        <w:rPr>
          <w:rFonts w:cstheme="minorHAnsi"/>
          <w:bCs/>
        </w:rPr>
        <w:t>share – maintaining our 2019 dividend level</w:t>
      </w:r>
      <w:r w:rsidR="00D80ACC" w:rsidRPr="00D80ACC">
        <w:rPr>
          <w:rFonts w:cstheme="minorHAnsi"/>
        </w:rPr>
        <w:t>.</w:t>
      </w:r>
    </w:p>
    <w:p w14:paraId="18A2B9BC" w14:textId="12217645" w:rsidR="00304A15" w:rsidRPr="00304A15" w:rsidRDefault="00304A15" w:rsidP="00304A15">
      <w:pPr>
        <w:spacing w:before="160" w:after="0" w:line="240" w:lineRule="auto"/>
        <w:rPr>
          <w:rFonts w:cstheme="minorHAnsi"/>
        </w:rPr>
      </w:pPr>
      <w:r w:rsidRPr="00304A15">
        <w:rPr>
          <w:rFonts w:cstheme="minorHAnsi"/>
        </w:rPr>
        <w:t>It is particularly important that we continue to grow and develop the skills of all our people. Our people are our future. It is heartening to note the leadership’s continued support for 1</w:t>
      </w:r>
      <w:r w:rsidR="00522BC7">
        <w:rPr>
          <w:rFonts w:cstheme="minorHAnsi"/>
        </w:rPr>
        <w:t>99</w:t>
      </w:r>
      <w:r w:rsidRPr="00304A15">
        <w:rPr>
          <w:rFonts w:cstheme="minorHAnsi"/>
        </w:rPr>
        <w:t xml:space="preserve"> apprentices across the Group and the decision to welcome a new cohort of apprentices </w:t>
      </w:r>
      <w:r w:rsidR="00973B66">
        <w:rPr>
          <w:rFonts w:cstheme="minorHAnsi"/>
        </w:rPr>
        <w:t>during</w:t>
      </w:r>
      <w:r w:rsidRPr="00304A15">
        <w:rPr>
          <w:rFonts w:cstheme="minorHAnsi"/>
        </w:rPr>
        <w:t xml:space="preserve"> summer 2020. These are not small investments - but they are made with </w:t>
      </w:r>
      <w:r w:rsidR="00973B66">
        <w:rPr>
          <w:rFonts w:cstheme="minorHAnsi"/>
        </w:rPr>
        <w:t xml:space="preserve">long-term </w:t>
      </w:r>
      <w:r w:rsidRPr="00304A15">
        <w:rPr>
          <w:rFonts w:cstheme="minorHAnsi"/>
        </w:rPr>
        <w:t>belief in our company.</w:t>
      </w:r>
    </w:p>
    <w:p w14:paraId="35BC2230" w14:textId="39B35E9F" w:rsidR="00304A15" w:rsidRPr="00304A15" w:rsidRDefault="00304A15" w:rsidP="00304A15">
      <w:pPr>
        <w:spacing w:before="160" w:after="0" w:line="240" w:lineRule="auto"/>
        <w:rPr>
          <w:rFonts w:cstheme="minorHAnsi"/>
        </w:rPr>
      </w:pPr>
      <w:r w:rsidRPr="00304A15">
        <w:rPr>
          <w:rFonts w:cstheme="minorHAnsi"/>
        </w:rPr>
        <w:t xml:space="preserve">As I look forward into 2021 and beyond, I am optimistic. TClarke is very strongly placed to continue to grow and deliver outstanding performance and results. This comes from the success of its strategies and deliveries, the quality of its products, </w:t>
      </w:r>
      <w:proofErr w:type="gramStart"/>
      <w:r w:rsidRPr="00304A15">
        <w:rPr>
          <w:rFonts w:cstheme="minorHAnsi"/>
        </w:rPr>
        <w:t>services</w:t>
      </w:r>
      <w:proofErr w:type="gramEnd"/>
      <w:r w:rsidRPr="00304A15">
        <w:rPr>
          <w:rFonts w:cstheme="minorHAnsi"/>
        </w:rPr>
        <w:t xml:space="preserve"> and methods, and from the strength and depth of its client relationships. </w:t>
      </w:r>
    </w:p>
    <w:p w14:paraId="1C97499A" w14:textId="5876C6E8" w:rsidR="00D80ACC" w:rsidRDefault="00304A15" w:rsidP="00304A15">
      <w:pPr>
        <w:spacing w:before="160" w:after="0" w:line="240" w:lineRule="auto"/>
        <w:rPr>
          <w:rFonts w:cstheme="minorHAnsi"/>
        </w:rPr>
      </w:pPr>
      <w:r w:rsidRPr="00304A15">
        <w:rPr>
          <w:rFonts w:cstheme="minorHAnsi"/>
        </w:rPr>
        <w:t xml:space="preserve">However, the biggest strength and asset we have as we move forward is our people. Their outstanding achievements this year have allowed us to take a positive stance and deliver as a business, and </w:t>
      </w:r>
      <w:r w:rsidR="00973B66">
        <w:rPr>
          <w:rFonts w:cstheme="minorHAnsi"/>
        </w:rPr>
        <w:t>I want to thank them all for their professionalism and hard work during the period</w:t>
      </w:r>
      <w:r w:rsidR="00475AA5">
        <w:rPr>
          <w:rFonts w:cstheme="minorHAnsi"/>
        </w:rPr>
        <w:t>.</w:t>
      </w:r>
    </w:p>
    <w:p w14:paraId="72EF4753" w14:textId="77777777" w:rsidR="00D80ACC" w:rsidRPr="00D80ACC" w:rsidRDefault="00D80ACC" w:rsidP="00D80ACC">
      <w:pPr>
        <w:spacing w:before="160" w:after="0" w:line="240" w:lineRule="auto"/>
        <w:rPr>
          <w:rFonts w:cstheme="minorHAnsi"/>
          <w:b/>
        </w:rPr>
      </w:pPr>
      <w:r w:rsidRPr="00D80ACC">
        <w:rPr>
          <w:rFonts w:cstheme="minorHAnsi"/>
          <w:b/>
        </w:rPr>
        <w:t>Iain McCusker</w:t>
      </w:r>
    </w:p>
    <w:p w14:paraId="609025B3" w14:textId="77777777" w:rsidR="00D80ACC" w:rsidRPr="00D80ACC" w:rsidRDefault="00D80ACC" w:rsidP="00D80ACC">
      <w:pPr>
        <w:spacing w:after="0" w:line="240" w:lineRule="auto"/>
        <w:rPr>
          <w:rFonts w:cstheme="minorHAnsi"/>
        </w:rPr>
      </w:pPr>
      <w:r w:rsidRPr="00D80ACC">
        <w:rPr>
          <w:rFonts w:cstheme="minorHAnsi"/>
        </w:rPr>
        <w:t>Chairman</w:t>
      </w:r>
    </w:p>
    <w:p w14:paraId="15032942" w14:textId="41BD0B85" w:rsidR="00D80ACC" w:rsidRPr="00D80ACC" w:rsidRDefault="000566A1" w:rsidP="00D80ACC">
      <w:pPr>
        <w:spacing w:after="0" w:line="240" w:lineRule="auto"/>
        <w:rPr>
          <w:rFonts w:cstheme="minorHAnsi"/>
        </w:rPr>
      </w:pPr>
      <w:r>
        <w:rPr>
          <w:rFonts w:cstheme="minorHAnsi"/>
        </w:rPr>
        <w:t>24</w:t>
      </w:r>
      <w:r w:rsidR="00D80ACC" w:rsidRPr="00D80ACC">
        <w:rPr>
          <w:rFonts w:cstheme="minorHAnsi"/>
        </w:rPr>
        <w:t>th March 202</w:t>
      </w:r>
      <w:r>
        <w:rPr>
          <w:rFonts w:cstheme="minorHAnsi"/>
        </w:rPr>
        <w:t>1</w:t>
      </w:r>
    </w:p>
    <w:p w14:paraId="433B64FE" w14:textId="77777777" w:rsidR="00797C3F" w:rsidRDefault="00797C3F" w:rsidP="00D80ACC">
      <w:pPr>
        <w:jc w:val="both"/>
        <w:rPr>
          <w:rFonts w:cstheme="minorHAnsi"/>
        </w:rPr>
      </w:pPr>
    </w:p>
    <w:p w14:paraId="008336D4" w14:textId="00999E81" w:rsidR="00D80ACC" w:rsidRPr="006E4FB2" w:rsidRDefault="00D80ACC" w:rsidP="00D80ACC">
      <w:pPr>
        <w:jc w:val="both"/>
        <w:rPr>
          <w:b/>
          <w:color w:val="002060"/>
          <w:sz w:val="28"/>
        </w:rPr>
      </w:pPr>
      <w:r w:rsidRPr="006E4FB2">
        <w:rPr>
          <w:b/>
          <w:color w:val="002060"/>
          <w:sz w:val="28"/>
        </w:rPr>
        <w:t>Chief Executive</w:t>
      </w:r>
      <w:r>
        <w:rPr>
          <w:b/>
          <w:color w:val="002060"/>
          <w:sz w:val="28"/>
        </w:rPr>
        <w:t>’s</w:t>
      </w:r>
      <w:r w:rsidRPr="006E4FB2">
        <w:rPr>
          <w:b/>
          <w:color w:val="002060"/>
          <w:sz w:val="28"/>
        </w:rPr>
        <w:t xml:space="preserve"> </w:t>
      </w:r>
      <w:r w:rsidR="00522BC7">
        <w:rPr>
          <w:b/>
          <w:color w:val="002060"/>
          <w:sz w:val="28"/>
        </w:rPr>
        <w:t>R</w:t>
      </w:r>
      <w:r>
        <w:rPr>
          <w:b/>
          <w:color w:val="002060"/>
          <w:sz w:val="28"/>
        </w:rPr>
        <w:t>eport</w:t>
      </w:r>
    </w:p>
    <w:p w14:paraId="2DB2B6DE" w14:textId="77777777" w:rsidR="00522BC7" w:rsidRDefault="00522BC7" w:rsidP="00522BC7">
      <w:pPr>
        <w:widowControl w:val="0"/>
        <w:overflowPunct w:val="0"/>
        <w:autoSpaceDE w:val="0"/>
        <w:autoSpaceDN w:val="0"/>
        <w:adjustRightInd w:val="0"/>
        <w:spacing w:before="160" w:after="0" w:line="240" w:lineRule="auto"/>
        <w:rPr>
          <w:rFonts w:cstheme="minorHAnsi"/>
          <w:b/>
          <w:bCs/>
        </w:rPr>
      </w:pPr>
      <w:r w:rsidRPr="00522BC7">
        <w:rPr>
          <w:rFonts w:cstheme="minorHAnsi"/>
          <w:b/>
          <w:bCs/>
        </w:rPr>
        <w:t>Demonstrating Ambition - Setting Attainable Growth Targets</w:t>
      </w:r>
    </w:p>
    <w:p w14:paraId="7EFE8C79" w14:textId="620C65E7" w:rsidR="00D80ACC" w:rsidRPr="00522BC7" w:rsidRDefault="00522BC7" w:rsidP="00522BC7">
      <w:pPr>
        <w:widowControl w:val="0"/>
        <w:overflowPunct w:val="0"/>
        <w:autoSpaceDE w:val="0"/>
        <w:autoSpaceDN w:val="0"/>
        <w:adjustRightInd w:val="0"/>
        <w:spacing w:before="160" w:after="0" w:line="240" w:lineRule="auto"/>
        <w:rPr>
          <w:rFonts w:cstheme="minorHAnsi"/>
          <w:b/>
          <w:bCs/>
        </w:rPr>
      </w:pPr>
      <w:r w:rsidRPr="00522BC7">
        <w:rPr>
          <w:rFonts w:cstheme="minorHAnsi"/>
        </w:rPr>
        <w:t>It is my pleasure to reflect on 2020, a year like no other.  I feel a great sense of pride in what we have achieved.  We faced challenges as our business operations and supply chains were disrupted and normal work routines and social structures were interrupted.   However, we have stayed focused and demonstrated that the business is strong, resilient, and capable of delivering for all our stakeholders whatever the circumstances.  None of this would have been possible without the dedicated contributions of our employees all of which have played their part and without whom we would not have been able to navigate this challenging year, our people remain one of the unique factors that we have at TClarke</w:t>
      </w:r>
      <w:r w:rsidR="00D80ACC" w:rsidRPr="00D80ACC">
        <w:rPr>
          <w:rFonts w:cstheme="minorHAnsi"/>
        </w:rPr>
        <w:t>.</w:t>
      </w:r>
    </w:p>
    <w:p w14:paraId="2E274BB1" w14:textId="348F8943" w:rsidR="00522BC7" w:rsidRDefault="00522BC7" w:rsidP="00522BC7">
      <w:pPr>
        <w:widowControl w:val="0"/>
        <w:overflowPunct w:val="0"/>
        <w:autoSpaceDE w:val="0"/>
        <w:autoSpaceDN w:val="0"/>
        <w:adjustRightInd w:val="0"/>
        <w:spacing w:before="160" w:after="0" w:line="240" w:lineRule="auto"/>
        <w:rPr>
          <w:rFonts w:cstheme="minorHAnsi"/>
          <w:b/>
          <w:bCs/>
        </w:rPr>
      </w:pPr>
      <w:r w:rsidRPr="00522BC7">
        <w:rPr>
          <w:rFonts w:cstheme="minorHAnsi"/>
          <w:b/>
          <w:bCs/>
        </w:rPr>
        <w:t>2020 Apprentice Intake Underlines our Positive Outlook</w:t>
      </w:r>
    </w:p>
    <w:p w14:paraId="284DA32F" w14:textId="3ABC34DE" w:rsidR="00D80ACC" w:rsidRPr="00304A15" w:rsidRDefault="00522BC7" w:rsidP="00522BC7">
      <w:pPr>
        <w:widowControl w:val="0"/>
        <w:overflowPunct w:val="0"/>
        <w:autoSpaceDE w:val="0"/>
        <w:autoSpaceDN w:val="0"/>
        <w:adjustRightInd w:val="0"/>
        <w:spacing w:before="160" w:after="0" w:line="240" w:lineRule="auto"/>
        <w:rPr>
          <w:rFonts w:cstheme="minorHAnsi"/>
          <w:b/>
          <w:bCs/>
        </w:rPr>
      </w:pPr>
      <w:r w:rsidRPr="00522BC7">
        <w:rPr>
          <w:rFonts w:cstheme="minorHAnsi"/>
        </w:rPr>
        <w:lastRenderedPageBreak/>
        <w:t>Across the UK we welcomed 22 new apprentices to our business - making the decision to do so during the height of uncertainty in the first lockdown - when it would have been very easy indeed to do otherwise. This continued investment in new talent ensures we can repeat our successes in the years to come</w:t>
      </w:r>
      <w:r w:rsidR="00D80ACC" w:rsidRPr="00D80ACC">
        <w:rPr>
          <w:rFonts w:cstheme="minorHAnsi"/>
        </w:rPr>
        <w:t>.</w:t>
      </w:r>
    </w:p>
    <w:p w14:paraId="285EEE24" w14:textId="5CE2A7BA" w:rsidR="00522BC7" w:rsidRDefault="00522BC7" w:rsidP="00522BC7">
      <w:pPr>
        <w:widowControl w:val="0"/>
        <w:overflowPunct w:val="0"/>
        <w:autoSpaceDE w:val="0"/>
        <w:autoSpaceDN w:val="0"/>
        <w:adjustRightInd w:val="0"/>
        <w:spacing w:before="160" w:after="0" w:line="240" w:lineRule="auto"/>
        <w:rPr>
          <w:rFonts w:cstheme="minorHAnsi"/>
          <w:b/>
          <w:bCs/>
        </w:rPr>
      </w:pPr>
      <w:r w:rsidRPr="00522BC7">
        <w:rPr>
          <w:rFonts w:cstheme="minorHAnsi"/>
          <w:b/>
          <w:bCs/>
        </w:rPr>
        <w:t>Ambitious Business Plan to Deliver £500m Annual Revenue</w:t>
      </w:r>
    </w:p>
    <w:p w14:paraId="22CC70EC" w14:textId="72B77E95" w:rsidR="00522BC7" w:rsidRPr="00522BC7" w:rsidRDefault="00522BC7" w:rsidP="00522BC7">
      <w:pPr>
        <w:widowControl w:val="0"/>
        <w:overflowPunct w:val="0"/>
        <w:autoSpaceDE w:val="0"/>
        <w:autoSpaceDN w:val="0"/>
        <w:adjustRightInd w:val="0"/>
        <w:spacing w:before="160" w:after="0" w:line="240" w:lineRule="auto"/>
        <w:rPr>
          <w:rFonts w:cstheme="minorHAnsi"/>
        </w:rPr>
      </w:pPr>
      <w:r w:rsidRPr="00522BC7">
        <w:rPr>
          <w:rFonts w:cstheme="minorHAnsi"/>
        </w:rPr>
        <w:t xml:space="preserve">As we enter 2021 the Board has set itself an ambitious strategically backed three-year plan to deliver £500m annual revenues supported by a </w:t>
      </w:r>
      <w:proofErr w:type="spellStart"/>
      <w:r w:rsidRPr="00522BC7">
        <w:rPr>
          <w:rFonts w:cstheme="minorHAnsi"/>
        </w:rPr>
        <w:t>year end</w:t>
      </w:r>
      <w:proofErr w:type="spellEnd"/>
      <w:r w:rsidRPr="00522BC7">
        <w:rPr>
          <w:rFonts w:cstheme="minorHAnsi"/>
        </w:rPr>
        <w:t xml:space="preserve"> record forward order book of £456m: £288m for 2021 and £168m for 2022 and beyond. The growth in our order book is an important step in our plan to deliver growing revenue targets whilst maintaining margins and continuing to reward our shareholders. </w:t>
      </w:r>
    </w:p>
    <w:p w14:paraId="6F845F97" w14:textId="6FFB352F" w:rsidR="00522BC7" w:rsidRPr="00522BC7" w:rsidRDefault="00522BC7" w:rsidP="0042308A">
      <w:pPr>
        <w:widowControl w:val="0"/>
        <w:overflowPunct w:val="0"/>
        <w:autoSpaceDE w:val="0"/>
        <w:autoSpaceDN w:val="0"/>
        <w:adjustRightInd w:val="0"/>
        <w:spacing w:before="160" w:after="0" w:line="240" w:lineRule="auto"/>
        <w:rPr>
          <w:rFonts w:cstheme="minorHAnsi"/>
        </w:rPr>
      </w:pPr>
      <w:r w:rsidRPr="00522BC7">
        <w:rPr>
          <w:rFonts w:cstheme="minorHAnsi"/>
        </w:rPr>
        <w:t>As a UK wide, specialist engineering company with market leading capabilities we focus in five key sectors:</w:t>
      </w:r>
      <w:r w:rsidRPr="00522BC7">
        <w:t xml:space="preserve"> </w:t>
      </w:r>
      <w:r>
        <w:br/>
      </w:r>
      <w:r w:rsidRPr="00522BC7">
        <w:rPr>
          <w:rFonts w:cstheme="minorHAnsi"/>
        </w:rPr>
        <w:t>•</w:t>
      </w:r>
      <w:r>
        <w:rPr>
          <w:rFonts w:cstheme="minorHAnsi"/>
        </w:rPr>
        <w:t xml:space="preserve"> </w:t>
      </w:r>
      <w:r w:rsidRPr="00522BC7">
        <w:rPr>
          <w:rFonts w:cstheme="minorHAnsi"/>
        </w:rPr>
        <w:t>Infrastructure</w:t>
      </w:r>
    </w:p>
    <w:p w14:paraId="44542A0D" w14:textId="1A5D263D" w:rsidR="00522BC7" w:rsidRPr="00522BC7" w:rsidRDefault="00522BC7" w:rsidP="00522BC7">
      <w:pPr>
        <w:widowControl w:val="0"/>
        <w:overflowPunct w:val="0"/>
        <w:autoSpaceDE w:val="0"/>
        <w:autoSpaceDN w:val="0"/>
        <w:adjustRightInd w:val="0"/>
        <w:spacing w:before="160" w:after="0" w:line="240" w:lineRule="auto"/>
        <w:rPr>
          <w:rFonts w:cstheme="minorHAnsi"/>
        </w:rPr>
      </w:pPr>
      <w:r w:rsidRPr="00522BC7">
        <w:rPr>
          <w:rFonts w:cstheme="minorHAnsi"/>
        </w:rPr>
        <w:t>•</w:t>
      </w:r>
      <w:r>
        <w:rPr>
          <w:rFonts w:cstheme="minorHAnsi"/>
        </w:rPr>
        <w:t xml:space="preserve"> </w:t>
      </w:r>
      <w:r w:rsidRPr="00522BC7">
        <w:rPr>
          <w:rFonts w:cstheme="minorHAnsi"/>
        </w:rPr>
        <w:t>Residential and Hotels</w:t>
      </w:r>
    </w:p>
    <w:p w14:paraId="6BDE1AD9" w14:textId="013ADAE2" w:rsidR="00522BC7" w:rsidRPr="00522BC7" w:rsidRDefault="00522BC7" w:rsidP="00522BC7">
      <w:pPr>
        <w:widowControl w:val="0"/>
        <w:overflowPunct w:val="0"/>
        <w:autoSpaceDE w:val="0"/>
        <w:autoSpaceDN w:val="0"/>
        <w:adjustRightInd w:val="0"/>
        <w:spacing w:before="160" w:after="0" w:line="240" w:lineRule="auto"/>
        <w:rPr>
          <w:rFonts w:cstheme="minorHAnsi"/>
        </w:rPr>
      </w:pPr>
      <w:r w:rsidRPr="00522BC7">
        <w:rPr>
          <w:rFonts w:cstheme="minorHAnsi"/>
        </w:rPr>
        <w:t>•</w:t>
      </w:r>
      <w:r>
        <w:rPr>
          <w:rFonts w:cstheme="minorHAnsi"/>
        </w:rPr>
        <w:t xml:space="preserve"> </w:t>
      </w:r>
      <w:r w:rsidRPr="00522BC7">
        <w:rPr>
          <w:rFonts w:cstheme="minorHAnsi"/>
        </w:rPr>
        <w:t>Facilities Management</w:t>
      </w:r>
    </w:p>
    <w:p w14:paraId="42B8E6C6" w14:textId="756A458B" w:rsidR="00522BC7" w:rsidRPr="00522BC7" w:rsidRDefault="00522BC7" w:rsidP="00522BC7">
      <w:pPr>
        <w:widowControl w:val="0"/>
        <w:overflowPunct w:val="0"/>
        <w:autoSpaceDE w:val="0"/>
        <w:autoSpaceDN w:val="0"/>
        <w:adjustRightInd w:val="0"/>
        <w:spacing w:before="160" w:after="0" w:line="240" w:lineRule="auto"/>
        <w:rPr>
          <w:rFonts w:cstheme="minorHAnsi"/>
        </w:rPr>
      </w:pPr>
      <w:r w:rsidRPr="00522BC7">
        <w:rPr>
          <w:rFonts w:cstheme="minorHAnsi"/>
        </w:rPr>
        <w:t>•</w:t>
      </w:r>
      <w:r>
        <w:rPr>
          <w:rFonts w:cstheme="minorHAnsi"/>
        </w:rPr>
        <w:t xml:space="preserve"> </w:t>
      </w:r>
      <w:r w:rsidRPr="00522BC7">
        <w:rPr>
          <w:rFonts w:cstheme="minorHAnsi"/>
        </w:rPr>
        <w:t>Engineering Services</w:t>
      </w:r>
    </w:p>
    <w:p w14:paraId="7CF14405" w14:textId="1A9309A3" w:rsidR="00304A15" w:rsidRDefault="00522BC7" w:rsidP="00522BC7">
      <w:pPr>
        <w:widowControl w:val="0"/>
        <w:overflowPunct w:val="0"/>
        <w:autoSpaceDE w:val="0"/>
        <w:autoSpaceDN w:val="0"/>
        <w:adjustRightInd w:val="0"/>
        <w:spacing w:before="160" w:after="0" w:line="240" w:lineRule="auto"/>
      </w:pPr>
      <w:r w:rsidRPr="00522BC7">
        <w:rPr>
          <w:rFonts w:cstheme="minorHAnsi"/>
        </w:rPr>
        <w:t>•</w:t>
      </w:r>
      <w:r>
        <w:rPr>
          <w:rFonts w:cstheme="minorHAnsi"/>
        </w:rPr>
        <w:t xml:space="preserve"> </w:t>
      </w:r>
      <w:r w:rsidRPr="00522BC7">
        <w:rPr>
          <w:rFonts w:cstheme="minorHAnsi"/>
        </w:rPr>
        <w:t>Technologies</w:t>
      </w:r>
      <w:r w:rsidR="00304A15" w:rsidRPr="00304A15">
        <w:t xml:space="preserve"> </w:t>
      </w:r>
    </w:p>
    <w:p w14:paraId="12DFF7B2" w14:textId="77777777" w:rsidR="00522BC7" w:rsidRPr="00522BC7" w:rsidRDefault="00522BC7" w:rsidP="00522BC7">
      <w:pPr>
        <w:widowControl w:val="0"/>
        <w:overflowPunct w:val="0"/>
        <w:autoSpaceDE w:val="0"/>
        <w:autoSpaceDN w:val="0"/>
        <w:adjustRightInd w:val="0"/>
        <w:spacing w:before="160" w:after="0" w:line="240" w:lineRule="auto"/>
        <w:rPr>
          <w:rFonts w:cstheme="minorHAnsi"/>
        </w:rPr>
      </w:pPr>
      <w:r w:rsidRPr="00522BC7">
        <w:rPr>
          <w:rFonts w:cstheme="minorHAnsi"/>
        </w:rPr>
        <w:t>Our strategy for growth is very straightforward, a business led by people empowered to deliver. Building upon long term relationships, leading to continuous repeat business which is as close to achieving reoccurring revenues as is possible in our markets.</w:t>
      </w:r>
    </w:p>
    <w:p w14:paraId="25E86BAE" w14:textId="39ACF217" w:rsidR="00D80ACC" w:rsidRPr="00D80ACC" w:rsidRDefault="00522BC7" w:rsidP="00522BC7">
      <w:pPr>
        <w:widowControl w:val="0"/>
        <w:overflowPunct w:val="0"/>
        <w:autoSpaceDE w:val="0"/>
        <w:autoSpaceDN w:val="0"/>
        <w:adjustRightInd w:val="0"/>
        <w:spacing w:before="160" w:after="0" w:line="240" w:lineRule="auto"/>
        <w:rPr>
          <w:rFonts w:cstheme="minorHAnsi"/>
        </w:rPr>
      </w:pPr>
      <w:r w:rsidRPr="00522BC7">
        <w:rPr>
          <w:rFonts w:cstheme="minorHAnsi"/>
        </w:rPr>
        <w:t>Being focused on excellence in delivery enables us with confidence to be ambitious in setting this revenue target for the Group. The five sectors we focus on are made up of our established business strengths to which we have supplemented with additional skill sets to ensure we can offer the complete engineered solution whatever the project, delivered in the most effective and advantageous way using the best technologies</w:t>
      </w:r>
      <w:r w:rsidR="00304A15" w:rsidRPr="00304A15">
        <w:rPr>
          <w:rFonts w:cstheme="minorHAnsi"/>
        </w:rPr>
        <w:t>.</w:t>
      </w:r>
    </w:p>
    <w:p w14:paraId="54ABBE63" w14:textId="5BB3C610" w:rsidR="00522BC7" w:rsidRDefault="00522BC7" w:rsidP="00522BC7">
      <w:pPr>
        <w:widowControl w:val="0"/>
        <w:overflowPunct w:val="0"/>
        <w:autoSpaceDE w:val="0"/>
        <w:autoSpaceDN w:val="0"/>
        <w:adjustRightInd w:val="0"/>
        <w:spacing w:before="160" w:after="0" w:line="240" w:lineRule="auto"/>
        <w:rPr>
          <w:rFonts w:cstheme="minorHAnsi"/>
          <w:b/>
          <w:bCs/>
        </w:rPr>
      </w:pPr>
      <w:r w:rsidRPr="00522BC7">
        <w:rPr>
          <w:rFonts w:cstheme="minorHAnsi"/>
          <w:b/>
          <w:bCs/>
        </w:rPr>
        <w:t>Expanded Potential Market Creates Headroom for Growth</w:t>
      </w:r>
    </w:p>
    <w:p w14:paraId="045A7912" w14:textId="7998D9C2" w:rsidR="00325B47" w:rsidRPr="00325B47" w:rsidRDefault="00325B47" w:rsidP="00325B47">
      <w:pPr>
        <w:widowControl w:val="0"/>
        <w:overflowPunct w:val="0"/>
        <w:autoSpaceDE w:val="0"/>
        <w:autoSpaceDN w:val="0"/>
        <w:adjustRightInd w:val="0"/>
        <w:spacing w:before="160" w:after="0" w:line="240" w:lineRule="auto"/>
        <w:rPr>
          <w:rFonts w:cstheme="minorHAnsi"/>
        </w:rPr>
      </w:pPr>
      <w:r w:rsidRPr="00325B47">
        <w:rPr>
          <w:rFonts w:cstheme="minorHAnsi"/>
        </w:rPr>
        <w:t>Our growth potential is a result of previous investments in our offering and in the business as a whole, the broader opportunities available to TClarke are now permanently greater</w:t>
      </w:r>
      <w:r>
        <w:rPr>
          <w:rFonts w:cstheme="minorHAnsi"/>
        </w:rPr>
        <w:t xml:space="preserve">. </w:t>
      </w:r>
      <w:r w:rsidRPr="00325B47">
        <w:rPr>
          <w:rFonts w:cstheme="minorHAnsi"/>
        </w:rPr>
        <w:t>The mechanical division of our Engineering Services has doubled its revenues in recent years with the flagship project KGX1 at Kings Cross well underway. At completion over 70% of the project will have been designed and prefabricated off site. Our technology business is already contributing 14% of turnover.</w:t>
      </w:r>
    </w:p>
    <w:p w14:paraId="606C66B4" w14:textId="77E6D817" w:rsidR="00325B47" w:rsidRDefault="00325B47" w:rsidP="00325B47">
      <w:pPr>
        <w:widowControl w:val="0"/>
        <w:overflowPunct w:val="0"/>
        <w:autoSpaceDE w:val="0"/>
        <w:autoSpaceDN w:val="0"/>
        <w:adjustRightInd w:val="0"/>
        <w:spacing w:before="160" w:after="0" w:line="240" w:lineRule="auto"/>
        <w:rPr>
          <w:rFonts w:cstheme="minorHAnsi"/>
        </w:rPr>
      </w:pPr>
      <w:r w:rsidRPr="00325B47">
        <w:rPr>
          <w:rFonts w:cstheme="minorHAnsi"/>
        </w:rPr>
        <w:t xml:space="preserve">The range of potential packages available to TClarke within a major project has grown significantly and with the business less dependent on the traditional contracting sectors, by way of illustration providing 1.275 million </w:t>
      </w:r>
      <w:proofErr w:type="spellStart"/>
      <w:r w:rsidRPr="00325B47">
        <w:rPr>
          <w:rFonts w:cstheme="minorHAnsi"/>
        </w:rPr>
        <w:t>sq</w:t>
      </w:r>
      <w:proofErr w:type="spellEnd"/>
      <w:r w:rsidRPr="00325B47">
        <w:rPr>
          <w:rFonts w:cstheme="minorHAnsi"/>
        </w:rPr>
        <w:t xml:space="preserve"> ft of flexible workspace the recently completed 22 Bishopsgate project offers a clear picture of this effect and shows the sensible additional headroom we can grow into going forward.</w:t>
      </w:r>
    </w:p>
    <w:p w14:paraId="4276D88B" w14:textId="77777777" w:rsidR="00325B47" w:rsidRDefault="00325B47" w:rsidP="00304A15">
      <w:pPr>
        <w:widowControl w:val="0"/>
        <w:overflowPunct w:val="0"/>
        <w:autoSpaceDE w:val="0"/>
        <w:autoSpaceDN w:val="0"/>
        <w:adjustRightInd w:val="0"/>
        <w:spacing w:before="160" w:after="0" w:line="240" w:lineRule="auto"/>
        <w:rPr>
          <w:rFonts w:cstheme="minorHAnsi"/>
          <w:b/>
          <w:bCs/>
        </w:rPr>
      </w:pPr>
      <w:r w:rsidRPr="00325B47">
        <w:rPr>
          <w:rFonts w:cstheme="minorHAnsi"/>
          <w:b/>
          <w:bCs/>
        </w:rPr>
        <w:t>Five Strong Sectors – Growth Opportunities</w:t>
      </w:r>
    </w:p>
    <w:p w14:paraId="79D57690" w14:textId="78A9B47D" w:rsidR="00D80ACC" w:rsidRPr="00D80ACC" w:rsidRDefault="00325B47" w:rsidP="00304A15">
      <w:pPr>
        <w:widowControl w:val="0"/>
        <w:overflowPunct w:val="0"/>
        <w:autoSpaceDE w:val="0"/>
        <w:autoSpaceDN w:val="0"/>
        <w:adjustRightInd w:val="0"/>
        <w:spacing w:before="160" w:after="0" w:line="240" w:lineRule="auto"/>
        <w:rPr>
          <w:rFonts w:cstheme="minorHAnsi"/>
        </w:rPr>
      </w:pPr>
      <w:r w:rsidRPr="00325B47">
        <w:rPr>
          <w:rFonts w:cstheme="minorHAnsi"/>
        </w:rPr>
        <w:t>Our potential for growth to meet our ambitions is clear. The opportunities before us are of a considerable scale led by an effective Group which, fit our high-quality engineering skillset.  We illustrate some examples below</w:t>
      </w:r>
      <w:r w:rsidR="00304A15" w:rsidRPr="00304A15">
        <w:rPr>
          <w:rFonts w:cstheme="minorHAnsi"/>
        </w:rPr>
        <w:t>.</w:t>
      </w:r>
    </w:p>
    <w:p w14:paraId="2EE9F900" w14:textId="7C395AAB" w:rsidR="00B35FDA" w:rsidRDefault="00B35FDA" w:rsidP="00B35FDA">
      <w:pPr>
        <w:widowControl w:val="0"/>
        <w:overflowPunct w:val="0"/>
        <w:autoSpaceDE w:val="0"/>
        <w:autoSpaceDN w:val="0"/>
        <w:adjustRightInd w:val="0"/>
        <w:spacing w:before="160" w:after="0" w:line="240" w:lineRule="auto"/>
        <w:rPr>
          <w:rFonts w:cstheme="minorHAnsi"/>
          <w:b/>
          <w:bCs/>
        </w:rPr>
      </w:pPr>
      <w:r w:rsidRPr="00B35FDA">
        <w:rPr>
          <w:rFonts w:cstheme="minorHAnsi"/>
          <w:b/>
          <w:bCs/>
        </w:rPr>
        <w:t>Infrastructure</w:t>
      </w:r>
    </w:p>
    <w:p w14:paraId="59148745" w14:textId="77777777" w:rsidR="00325B47" w:rsidRPr="00325B47" w:rsidRDefault="00325B47" w:rsidP="00325B47">
      <w:pPr>
        <w:widowControl w:val="0"/>
        <w:autoSpaceDE w:val="0"/>
        <w:autoSpaceDN w:val="0"/>
        <w:adjustRightInd w:val="0"/>
        <w:spacing w:before="160" w:after="0" w:line="240" w:lineRule="auto"/>
        <w:rPr>
          <w:rFonts w:cstheme="minorHAnsi"/>
        </w:rPr>
      </w:pPr>
      <w:r w:rsidRPr="00325B47">
        <w:rPr>
          <w:rFonts w:cstheme="minorHAnsi"/>
        </w:rPr>
        <w:t>We are extremely well positioned in the key growth sector of healthcare. This sector requires complex, technical engineering solutions and in 2020 we secured further projects to underpin our capacities.</w:t>
      </w:r>
    </w:p>
    <w:p w14:paraId="03964008" w14:textId="6AA7739D" w:rsidR="00325B47" w:rsidRPr="00325B47" w:rsidRDefault="00325B47" w:rsidP="00325B47">
      <w:pPr>
        <w:widowControl w:val="0"/>
        <w:autoSpaceDE w:val="0"/>
        <w:autoSpaceDN w:val="0"/>
        <w:adjustRightInd w:val="0"/>
        <w:spacing w:before="160" w:after="0" w:line="240" w:lineRule="auto"/>
        <w:rPr>
          <w:rFonts w:cstheme="minorHAnsi"/>
        </w:rPr>
      </w:pPr>
      <w:r w:rsidRPr="00325B47">
        <w:rPr>
          <w:rFonts w:cstheme="minorHAnsi"/>
        </w:rPr>
        <w:t>Our selection for £40m of healthcare packages in the South West is one of the very first to be announced from the Government’s £3.7bn ten-year, Health Infrastructure Plan, is a major success for the business. We know that we are one of a handful of UK companies with the scale and skillset to deliver these projects.</w:t>
      </w:r>
    </w:p>
    <w:p w14:paraId="7628EA58" w14:textId="55AA20CF" w:rsidR="00B35FDA" w:rsidRDefault="00325B47" w:rsidP="00325B47">
      <w:pPr>
        <w:widowControl w:val="0"/>
        <w:autoSpaceDE w:val="0"/>
        <w:autoSpaceDN w:val="0"/>
        <w:adjustRightInd w:val="0"/>
        <w:spacing w:before="160" w:after="0" w:line="240" w:lineRule="auto"/>
        <w:rPr>
          <w:rFonts w:cstheme="minorHAnsi"/>
        </w:rPr>
      </w:pPr>
      <w:r w:rsidRPr="00325B47">
        <w:rPr>
          <w:rFonts w:cstheme="minorHAnsi"/>
        </w:rPr>
        <w:t>As our healthcare teams engage with the NHS at national level, we also hold four strategic advantages</w:t>
      </w:r>
      <w:r w:rsidR="00B35FDA" w:rsidRPr="00B35FDA">
        <w:rPr>
          <w:rFonts w:cstheme="minorHAnsi"/>
        </w:rPr>
        <w:t>:</w:t>
      </w:r>
    </w:p>
    <w:p w14:paraId="3E429E35" w14:textId="0CA7BD61" w:rsidR="00B35FDA" w:rsidRPr="00B35FDA" w:rsidRDefault="00325B47" w:rsidP="00B35FDA">
      <w:pPr>
        <w:widowControl w:val="0"/>
        <w:autoSpaceDE w:val="0"/>
        <w:autoSpaceDN w:val="0"/>
        <w:adjustRightInd w:val="0"/>
        <w:spacing w:before="160" w:after="0" w:line="240" w:lineRule="auto"/>
        <w:rPr>
          <w:rFonts w:cstheme="minorHAnsi"/>
        </w:rPr>
      </w:pPr>
      <w:r w:rsidRPr="00325B47">
        <w:rPr>
          <w:rFonts w:cstheme="minorHAnsi"/>
        </w:rPr>
        <w:t>1) 70% Offsite Manufacture Target - The NHS target of using modern construction methods in the HIP projects</w:t>
      </w:r>
      <w:r>
        <w:rPr>
          <w:rFonts w:cstheme="minorHAnsi"/>
        </w:rPr>
        <w:t xml:space="preserve"> </w:t>
      </w:r>
      <w:r w:rsidRPr="00325B47">
        <w:rPr>
          <w:rFonts w:cstheme="minorHAnsi"/>
        </w:rPr>
        <w:t xml:space="preserve">is heavily </w:t>
      </w:r>
      <w:r w:rsidRPr="00325B47">
        <w:rPr>
          <w:rFonts w:cstheme="minorHAnsi"/>
        </w:rPr>
        <w:lastRenderedPageBreak/>
        <w:t xml:space="preserve">focused on offsite manufacture. Our in house </w:t>
      </w:r>
      <w:proofErr w:type="spellStart"/>
      <w:r w:rsidRPr="00325B47">
        <w:rPr>
          <w:rFonts w:cstheme="minorHAnsi"/>
        </w:rPr>
        <w:t>DfMA</w:t>
      </w:r>
      <w:proofErr w:type="spellEnd"/>
      <w:r w:rsidRPr="00325B47">
        <w:rPr>
          <w:rFonts w:cstheme="minorHAnsi"/>
        </w:rPr>
        <w:t xml:space="preserve"> </w:t>
      </w:r>
      <w:r w:rsidR="006E0711" w:rsidRPr="00B749BC">
        <w:rPr>
          <w:rFonts w:cstheme="minorHAnsi"/>
        </w:rPr>
        <w:t>(Design for Manufacturing and Assembly)</w:t>
      </w:r>
      <w:r w:rsidR="006A62CC">
        <w:rPr>
          <w:rFonts w:cstheme="minorHAnsi"/>
        </w:rPr>
        <w:t xml:space="preserve"> </w:t>
      </w:r>
      <w:r w:rsidRPr="00325B47">
        <w:rPr>
          <w:rFonts w:cstheme="minorHAnsi"/>
        </w:rPr>
        <w:t>capability is therefore of huge importance</w:t>
      </w:r>
      <w:r w:rsidR="00B35FDA" w:rsidRPr="00B35FDA">
        <w:rPr>
          <w:rFonts w:cstheme="minorHAnsi"/>
        </w:rPr>
        <w:t>.</w:t>
      </w:r>
    </w:p>
    <w:p w14:paraId="05F1E4A0" w14:textId="7CEEDF90" w:rsidR="00325B47" w:rsidRPr="00325B47" w:rsidRDefault="00325B47" w:rsidP="00325B47">
      <w:pPr>
        <w:widowControl w:val="0"/>
        <w:autoSpaceDE w:val="0"/>
        <w:autoSpaceDN w:val="0"/>
        <w:adjustRightInd w:val="0"/>
        <w:spacing w:before="160" w:after="0" w:line="240" w:lineRule="auto"/>
        <w:rPr>
          <w:rFonts w:cstheme="minorHAnsi"/>
        </w:rPr>
      </w:pPr>
      <w:r w:rsidRPr="00325B47">
        <w:rPr>
          <w:rFonts w:cstheme="minorHAnsi"/>
        </w:rPr>
        <w:t>2)</w:t>
      </w:r>
      <w:r>
        <w:rPr>
          <w:rFonts w:cstheme="minorHAnsi"/>
        </w:rPr>
        <w:t xml:space="preserve"> </w:t>
      </w:r>
      <w:r w:rsidRPr="00325B47">
        <w:rPr>
          <w:rFonts w:cstheme="minorHAnsi"/>
        </w:rPr>
        <w:t>Smart and Digital Buildings - Our exclusive partnerships with leading smart buildings software providers, gives us the potential to be a clear industry leader in smart hospitals - once again this represents a major advantage for us.</w:t>
      </w:r>
    </w:p>
    <w:p w14:paraId="482AC2AC" w14:textId="7D4812FA" w:rsidR="00325B47" w:rsidRPr="00325B47" w:rsidRDefault="00325B47" w:rsidP="00325B47">
      <w:pPr>
        <w:widowControl w:val="0"/>
        <w:autoSpaceDE w:val="0"/>
        <w:autoSpaceDN w:val="0"/>
        <w:adjustRightInd w:val="0"/>
        <w:spacing w:before="160" w:after="0" w:line="240" w:lineRule="auto"/>
        <w:rPr>
          <w:rFonts w:cstheme="minorHAnsi"/>
        </w:rPr>
      </w:pPr>
      <w:r w:rsidRPr="00325B47">
        <w:rPr>
          <w:rFonts w:cstheme="minorHAnsi"/>
        </w:rPr>
        <w:t>3)</w:t>
      </w:r>
      <w:r>
        <w:rPr>
          <w:rFonts w:cstheme="minorHAnsi"/>
        </w:rPr>
        <w:t xml:space="preserve"> </w:t>
      </w:r>
      <w:r w:rsidRPr="00325B47">
        <w:rPr>
          <w:rFonts w:cstheme="minorHAnsi"/>
        </w:rPr>
        <w:t xml:space="preserve">Net Zero Carbon Target - The Government pledge to achieve this target by 2050 means that all these hospitals will need to achieve net zero or be a long way down the road in doing so. Our current work on the most technically advanced large scale </w:t>
      </w:r>
      <w:proofErr w:type="spellStart"/>
      <w:r w:rsidRPr="00325B47">
        <w:rPr>
          <w:rFonts w:cstheme="minorHAnsi"/>
        </w:rPr>
        <w:t>Passivhaus</w:t>
      </w:r>
      <w:proofErr w:type="spellEnd"/>
      <w:r>
        <w:rPr>
          <w:rFonts w:cstheme="minorHAnsi"/>
        </w:rPr>
        <w:t xml:space="preserve"> </w:t>
      </w:r>
      <w:r w:rsidRPr="00325B47">
        <w:rPr>
          <w:rFonts w:cstheme="minorHAnsi"/>
        </w:rPr>
        <w:t>(low energy) project in the country in Exeter is therefore another major advantage.</w:t>
      </w:r>
    </w:p>
    <w:p w14:paraId="541D28D7" w14:textId="09E676B3" w:rsidR="00B35FDA" w:rsidRDefault="00325B47" w:rsidP="00325B47">
      <w:pPr>
        <w:widowControl w:val="0"/>
        <w:autoSpaceDE w:val="0"/>
        <w:autoSpaceDN w:val="0"/>
        <w:adjustRightInd w:val="0"/>
        <w:spacing w:before="160" w:after="0" w:line="240" w:lineRule="auto"/>
      </w:pPr>
      <w:r w:rsidRPr="00325B47">
        <w:rPr>
          <w:rFonts w:cstheme="minorHAnsi"/>
        </w:rPr>
        <w:t>4)</w:t>
      </w:r>
      <w:r>
        <w:rPr>
          <w:rFonts w:cstheme="minorHAnsi"/>
        </w:rPr>
        <w:t xml:space="preserve"> </w:t>
      </w:r>
      <w:r w:rsidRPr="00325B47">
        <w:rPr>
          <w:rFonts w:cstheme="minorHAnsi"/>
        </w:rPr>
        <w:t>Adaptability for Future - Taken together, our longevity in healthcare construction, current leadership in smart and sustainable large buildings, and overall group demonstration of innovation in the sector provide a very strong and under this heading too</w:t>
      </w:r>
      <w:r w:rsidR="00B35FDA" w:rsidRPr="00B35FDA">
        <w:rPr>
          <w:rFonts w:cstheme="minorHAnsi"/>
        </w:rPr>
        <w:t>.</w:t>
      </w:r>
      <w:r w:rsidR="00B35FDA" w:rsidRPr="00B35FDA">
        <w:t xml:space="preserve"> </w:t>
      </w:r>
    </w:p>
    <w:p w14:paraId="54AAE0C9" w14:textId="3B58F783" w:rsidR="00325B47" w:rsidRPr="00325B47" w:rsidRDefault="00325B47" w:rsidP="00325B47">
      <w:pPr>
        <w:widowControl w:val="0"/>
        <w:autoSpaceDE w:val="0"/>
        <w:autoSpaceDN w:val="0"/>
        <w:adjustRightInd w:val="0"/>
        <w:spacing w:before="160" w:after="0" w:line="240" w:lineRule="auto"/>
        <w:rPr>
          <w:rFonts w:cstheme="minorHAnsi"/>
        </w:rPr>
      </w:pPr>
      <w:r w:rsidRPr="00325B47">
        <w:rPr>
          <w:rFonts w:cstheme="minorHAnsi"/>
        </w:rPr>
        <w:t xml:space="preserve">As well as the vast potential of healthcare, we are also very strong in education. We have delivered 49 projects in this sector in 2020 (previously on the EFA, and now the ESFA Framework) and have secured a further 25 projects commencing in 2021. </w:t>
      </w:r>
    </w:p>
    <w:p w14:paraId="1EFC97A7" w14:textId="4DF49730" w:rsidR="00B35FDA" w:rsidRDefault="00325B47" w:rsidP="00325B47">
      <w:pPr>
        <w:widowControl w:val="0"/>
        <w:autoSpaceDE w:val="0"/>
        <w:autoSpaceDN w:val="0"/>
        <w:adjustRightInd w:val="0"/>
        <w:spacing w:before="160" w:after="0" w:line="240" w:lineRule="auto"/>
        <w:rPr>
          <w:rFonts w:cstheme="minorHAnsi"/>
        </w:rPr>
      </w:pPr>
      <w:r w:rsidRPr="00325B47">
        <w:rPr>
          <w:rFonts w:cstheme="minorHAnsi"/>
        </w:rPr>
        <w:t>Our confidence for future opportunities was bolstered with the government’s announcement for a further £1bn funding for a further round of 50 schools for the medium term</w:t>
      </w:r>
      <w:r w:rsidR="00B35FDA" w:rsidRPr="00B35FDA">
        <w:rPr>
          <w:rFonts w:cstheme="minorHAnsi"/>
        </w:rPr>
        <w:t>.</w:t>
      </w:r>
    </w:p>
    <w:p w14:paraId="2EE76538" w14:textId="77777777" w:rsidR="00325B47" w:rsidRDefault="00325B47" w:rsidP="00B35FDA">
      <w:pPr>
        <w:widowControl w:val="0"/>
        <w:autoSpaceDE w:val="0"/>
        <w:autoSpaceDN w:val="0"/>
        <w:adjustRightInd w:val="0"/>
        <w:spacing w:before="160" w:after="0" w:line="240" w:lineRule="auto"/>
        <w:rPr>
          <w:rFonts w:cstheme="minorHAnsi"/>
          <w:b/>
          <w:bCs/>
        </w:rPr>
      </w:pPr>
      <w:r w:rsidRPr="00325B47">
        <w:rPr>
          <w:rFonts w:cstheme="minorHAnsi"/>
          <w:b/>
          <w:bCs/>
        </w:rPr>
        <w:t>Residential and Hotels</w:t>
      </w:r>
    </w:p>
    <w:p w14:paraId="22C2D026" w14:textId="7A917997" w:rsidR="00325B47" w:rsidRPr="00325B47" w:rsidRDefault="00325B47" w:rsidP="00325B47">
      <w:pPr>
        <w:widowControl w:val="0"/>
        <w:autoSpaceDE w:val="0"/>
        <w:autoSpaceDN w:val="0"/>
        <w:adjustRightInd w:val="0"/>
        <w:spacing w:before="160" w:after="0" w:line="240" w:lineRule="auto"/>
        <w:rPr>
          <w:rFonts w:cstheme="minorHAnsi"/>
        </w:rPr>
      </w:pPr>
      <w:r w:rsidRPr="00325B47">
        <w:rPr>
          <w:rFonts w:cstheme="minorHAnsi"/>
        </w:rPr>
        <w:t>Our Scotland team reported highly buoyant residential markets in 2020, with a record 2,500 new homes already secured for 2021. They went on to win their largest residential project ever - a first phase of 170 new homes - at the 1,000 home £250m Northbridge development. One of the direct benefits of increased agility is our confidence within the regional residential markets where the work of our regional teams has shown we can deliver large scale residential   successfully from every point of view. As a result, the group is actively evaluating large scale residential opportunities across the UK with our</w:t>
      </w:r>
      <w:r>
        <w:rPr>
          <w:rFonts w:cstheme="minorHAnsi"/>
        </w:rPr>
        <w:t xml:space="preserve"> </w:t>
      </w:r>
      <w:r w:rsidRPr="00325B47">
        <w:rPr>
          <w:rFonts w:cstheme="minorHAnsi"/>
        </w:rPr>
        <w:t xml:space="preserve">long-term house building partners in areas we currently under-serve. </w:t>
      </w:r>
    </w:p>
    <w:p w14:paraId="7D16D802" w14:textId="26B7F728" w:rsidR="00B35FDA" w:rsidRDefault="00325B47" w:rsidP="00325B47">
      <w:pPr>
        <w:widowControl w:val="0"/>
        <w:autoSpaceDE w:val="0"/>
        <w:autoSpaceDN w:val="0"/>
        <w:adjustRightInd w:val="0"/>
        <w:spacing w:before="160" w:after="0" w:line="240" w:lineRule="auto"/>
        <w:rPr>
          <w:rFonts w:cstheme="minorHAnsi"/>
          <w:b/>
          <w:bCs/>
        </w:rPr>
      </w:pPr>
      <w:r w:rsidRPr="00325B47">
        <w:rPr>
          <w:rFonts w:cstheme="minorHAnsi"/>
        </w:rPr>
        <w:t>The Group is immensely proud of the range and calibre of hotel projects we are involved with, current landmark schemes include The Peninsula Hotel at Hyde Park Corner and the Pan Pacific Hotel, in the City of London. For future opportunities in London, 19 hotel schemes with 2,891 rooms are under development for 2022 and another 37 are in the pipeline for 2023, bringing an extra 6,993 rooms</w:t>
      </w:r>
      <w:r w:rsidR="00B35FDA" w:rsidRPr="00B35FDA">
        <w:rPr>
          <w:rFonts w:cstheme="minorHAnsi"/>
        </w:rPr>
        <w:t>.</w:t>
      </w:r>
      <w:r w:rsidR="00B35FDA" w:rsidRPr="00B35FDA">
        <w:rPr>
          <w:rFonts w:cstheme="minorHAnsi"/>
          <w:b/>
          <w:bCs/>
        </w:rPr>
        <w:t xml:space="preserve"> </w:t>
      </w:r>
    </w:p>
    <w:p w14:paraId="451BE09E" w14:textId="77777777" w:rsidR="00325B47" w:rsidRDefault="00325B47" w:rsidP="00B35FDA">
      <w:pPr>
        <w:widowControl w:val="0"/>
        <w:autoSpaceDE w:val="0"/>
        <w:autoSpaceDN w:val="0"/>
        <w:adjustRightInd w:val="0"/>
        <w:spacing w:before="160" w:after="0" w:line="240" w:lineRule="auto"/>
        <w:rPr>
          <w:rFonts w:cstheme="minorHAnsi"/>
          <w:b/>
          <w:bCs/>
        </w:rPr>
      </w:pPr>
      <w:r w:rsidRPr="00325B47">
        <w:rPr>
          <w:rFonts w:cstheme="minorHAnsi"/>
          <w:b/>
          <w:bCs/>
        </w:rPr>
        <w:t>Facilities Management</w:t>
      </w:r>
    </w:p>
    <w:p w14:paraId="06C45E32" w14:textId="57D2CF1E" w:rsidR="00325B47" w:rsidRPr="00325B47" w:rsidRDefault="00325B47" w:rsidP="00325B47">
      <w:pPr>
        <w:widowControl w:val="0"/>
        <w:autoSpaceDE w:val="0"/>
        <w:autoSpaceDN w:val="0"/>
        <w:adjustRightInd w:val="0"/>
        <w:spacing w:before="160" w:after="0" w:line="240" w:lineRule="auto"/>
        <w:rPr>
          <w:rFonts w:cstheme="minorHAnsi"/>
        </w:rPr>
      </w:pPr>
      <w:r w:rsidRPr="00325B47">
        <w:rPr>
          <w:rFonts w:cstheme="minorHAnsi"/>
        </w:rPr>
        <w:t xml:space="preserve">We provide market-leading in-house Facilities Management (FM) expertise in a complete range of mechanical and electrical specialisms from chilled water systems and BMS controls to fire safety systems and air handling plants. Our in-house teams provide preventative services to address legislation, manufacturer recommendations, best </w:t>
      </w:r>
      <w:proofErr w:type="gramStart"/>
      <w:r w:rsidRPr="00325B47">
        <w:rPr>
          <w:rFonts w:cstheme="minorHAnsi"/>
        </w:rPr>
        <w:t>practice</w:t>
      </w:r>
      <w:proofErr w:type="gramEnd"/>
      <w:r w:rsidRPr="00325B47">
        <w:rPr>
          <w:rFonts w:cstheme="minorHAnsi"/>
        </w:rPr>
        <w:t xml:space="preserve"> and specific client needs. We also provide 24/7 call-out services nationwide. </w:t>
      </w:r>
    </w:p>
    <w:p w14:paraId="5BC30A42" w14:textId="452073D3" w:rsidR="00325B47" w:rsidRDefault="00325B47" w:rsidP="00325B47">
      <w:pPr>
        <w:widowControl w:val="0"/>
        <w:autoSpaceDE w:val="0"/>
        <w:autoSpaceDN w:val="0"/>
        <w:adjustRightInd w:val="0"/>
        <w:spacing w:before="160" w:after="0" w:line="240" w:lineRule="auto"/>
        <w:rPr>
          <w:rFonts w:cstheme="minorHAnsi"/>
        </w:rPr>
      </w:pPr>
      <w:r w:rsidRPr="00325B47">
        <w:rPr>
          <w:rFonts w:cstheme="minorHAnsi"/>
        </w:rPr>
        <w:t>FM delivers sustainable reoccurring revenues and margins with minimal risks. FM also allows us to leverage the power of our Group-wide, directly employed expert resource to deliver a unique range of specialist M&amp;E services for the FM industry.</w:t>
      </w:r>
    </w:p>
    <w:p w14:paraId="4F92A446" w14:textId="6DB635EA" w:rsidR="00B35FDA" w:rsidRDefault="00B35FDA" w:rsidP="00325B47">
      <w:pPr>
        <w:widowControl w:val="0"/>
        <w:autoSpaceDE w:val="0"/>
        <w:autoSpaceDN w:val="0"/>
        <w:adjustRightInd w:val="0"/>
        <w:spacing w:before="160" w:after="0" w:line="240" w:lineRule="auto"/>
        <w:rPr>
          <w:rFonts w:cstheme="minorHAnsi"/>
          <w:b/>
          <w:bCs/>
        </w:rPr>
      </w:pPr>
      <w:r w:rsidRPr="00B35FDA">
        <w:rPr>
          <w:rFonts w:cstheme="minorHAnsi"/>
          <w:b/>
          <w:bCs/>
        </w:rPr>
        <w:t>Engineering Services</w:t>
      </w:r>
    </w:p>
    <w:p w14:paraId="23093390" w14:textId="09F3F7CE" w:rsidR="00325B47" w:rsidRDefault="00325B47" w:rsidP="00325B47">
      <w:pPr>
        <w:widowControl w:val="0"/>
        <w:autoSpaceDE w:val="0"/>
        <w:autoSpaceDN w:val="0"/>
        <w:adjustRightInd w:val="0"/>
        <w:spacing w:before="160" w:after="0" w:line="240" w:lineRule="auto"/>
      </w:pPr>
      <w:r w:rsidRPr="00325B47">
        <w:rPr>
          <w:rFonts w:cstheme="minorHAnsi"/>
        </w:rPr>
        <w:t>Our core Engineering Services has won major new</w:t>
      </w:r>
      <w:r>
        <w:rPr>
          <w:rFonts w:cstheme="minorHAnsi"/>
        </w:rPr>
        <w:t xml:space="preserve"> </w:t>
      </w:r>
      <w:r w:rsidRPr="00325B47">
        <w:rPr>
          <w:rFonts w:cstheme="minorHAnsi"/>
        </w:rPr>
        <w:t>London landmark office projects including</w:t>
      </w:r>
      <w:r w:rsidR="0042308A">
        <w:rPr>
          <w:rFonts w:cstheme="minorHAnsi"/>
        </w:rPr>
        <w:t>:</w:t>
      </w:r>
      <w:r w:rsidRPr="00325B47">
        <w:t xml:space="preserve"> </w:t>
      </w:r>
    </w:p>
    <w:p w14:paraId="33216B78" w14:textId="0E6A674A" w:rsidR="00325B47" w:rsidRPr="00325B47" w:rsidRDefault="00325B47" w:rsidP="00325B47">
      <w:pPr>
        <w:widowControl w:val="0"/>
        <w:autoSpaceDE w:val="0"/>
        <w:autoSpaceDN w:val="0"/>
        <w:adjustRightInd w:val="0"/>
        <w:spacing w:before="160" w:after="0" w:line="240" w:lineRule="auto"/>
        <w:rPr>
          <w:rFonts w:cstheme="minorHAnsi"/>
        </w:rPr>
      </w:pPr>
      <w:r w:rsidRPr="00325B47">
        <w:rPr>
          <w:rFonts w:cstheme="minorHAnsi"/>
        </w:rPr>
        <w:t>•</w:t>
      </w:r>
      <w:r w:rsidRPr="00325B47">
        <w:rPr>
          <w:rFonts w:cstheme="minorHAnsi"/>
        </w:rPr>
        <w:tab/>
        <w:t>8 Bishopsgate, City of London</w:t>
      </w:r>
    </w:p>
    <w:p w14:paraId="2424A334" w14:textId="77777777" w:rsidR="00325B47" w:rsidRPr="00325B47" w:rsidRDefault="00325B47" w:rsidP="00325B47">
      <w:pPr>
        <w:widowControl w:val="0"/>
        <w:autoSpaceDE w:val="0"/>
        <w:autoSpaceDN w:val="0"/>
        <w:adjustRightInd w:val="0"/>
        <w:spacing w:before="160" w:after="0" w:line="240" w:lineRule="auto"/>
        <w:rPr>
          <w:rFonts w:cstheme="minorHAnsi"/>
        </w:rPr>
      </w:pPr>
      <w:r w:rsidRPr="00325B47">
        <w:rPr>
          <w:rFonts w:cstheme="minorHAnsi"/>
        </w:rPr>
        <w:t>•</w:t>
      </w:r>
      <w:r w:rsidRPr="00325B47">
        <w:rPr>
          <w:rFonts w:cstheme="minorHAnsi"/>
        </w:rPr>
        <w:tab/>
        <w:t>Bankside Yards, Southwark</w:t>
      </w:r>
    </w:p>
    <w:p w14:paraId="2C95B5BE" w14:textId="77777777" w:rsidR="00325B47" w:rsidRPr="00325B47" w:rsidRDefault="00325B47" w:rsidP="00325B47">
      <w:pPr>
        <w:widowControl w:val="0"/>
        <w:autoSpaceDE w:val="0"/>
        <w:autoSpaceDN w:val="0"/>
        <w:adjustRightInd w:val="0"/>
        <w:spacing w:before="160" w:after="0" w:line="240" w:lineRule="auto"/>
        <w:rPr>
          <w:rFonts w:cstheme="minorHAnsi"/>
        </w:rPr>
      </w:pPr>
      <w:r w:rsidRPr="00325B47">
        <w:rPr>
          <w:rFonts w:cstheme="minorHAnsi"/>
        </w:rPr>
        <w:t>•</w:t>
      </w:r>
      <w:r w:rsidRPr="00325B47">
        <w:rPr>
          <w:rFonts w:cstheme="minorHAnsi"/>
        </w:rPr>
        <w:tab/>
        <w:t>Facebook, Kings Cross</w:t>
      </w:r>
    </w:p>
    <w:p w14:paraId="066A082D" w14:textId="77777777" w:rsidR="00325B47" w:rsidRPr="00325B47" w:rsidRDefault="00325B47" w:rsidP="00325B47">
      <w:pPr>
        <w:widowControl w:val="0"/>
        <w:autoSpaceDE w:val="0"/>
        <w:autoSpaceDN w:val="0"/>
        <w:adjustRightInd w:val="0"/>
        <w:spacing w:before="160" w:after="0" w:line="240" w:lineRule="auto"/>
        <w:rPr>
          <w:rFonts w:cstheme="minorHAnsi"/>
        </w:rPr>
      </w:pPr>
      <w:r w:rsidRPr="00325B47">
        <w:rPr>
          <w:rFonts w:cstheme="minorHAnsi"/>
        </w:rPr>
        <w:t>•</w:t>
      </w:r>
      <w:r w:rsidRPr="00325B47">
        <w:rPr>
          <w:rFonts w:cstheme="minorHAnsi"/>
        </w:rPr>
        <w:tab/>
        <w:t>Gateway Central, White City</w:t>
      </w:r>
    </w:p>
    <w:p w14:paraId="487B544B" w14:textId="2CC86B22" w:rsidR="00B35FDA" w:rsidRPr="00B35FDA" w:rsidRDefault="00325B47" w:rsidP="00325B47">
      <w:pPr>
        <w:widowControl w:val="0"/>
        <w:autoSpaceDE w:val="0"/>
        <w:autoSpaceDN w:val="0"/>
        <w:adjustRightInd w:val="0"/>
        <w:spacing w:before="160" w:after="0" w:line="240" w:lineRule="auto"/>
        <w:rPr>
          <w:rFonts w:cstheme="minorHAnsi"/>
        </w:rPr>
      </w:pPr>
      <w:r w:rsidRPr="00325B47">
        <w:rPr>
          <w:rFonts w:cstheme="minorHAnsi"/>
        </w:rPr>
        <w:t>•</w:t>
      </w:r>
      <w:r w:rsidRPr="00325B47">
        <w:rPr>
          <w:rFonts w:cstheme="minorHAnsi"/>
        </w:rPr>
        <w:tab/>
        <w:t>Ruskin Square, Croydon</w:t>
      </w:r>
      <w:r w:rsidR="00B35FDA" w:rsidRPr="00B35FDA">
        <w:rPr>
          <w:rFonts w:cstheme="minorHAnsi"/>
        </w:rPr>
        <w:t xml:space="preserve"> </w:t>
      </w:r>
    </w:p>
    <w:p w14:paraId="202072E0" w14:textId="4C34F093" w:rsidR="00B749BC" w:rsidRPr="00B749BC" w:rsidRDefault="00B749BC" w:rsidP="00B749BC">
      <w:pPr>
        <w:widowControl w:val="0"/>
        <w:autoSpaceDE w:val="0"/>
        <w:autoSpaceDN w:val="0"/>
        <w:adjustRightInd w:val="0"/>
        <w:spacing w:before="160" w:after="0" w:line="240" w:lineRule="auto"/>
        <w:rPr>
          <w:rFonts w:cstheme="minorHAnsi"/>
        </w:rPr>
      </w:pPr>
      <w:r w:rsidRPr="00B749BC">
        <w:rPr>
          <w:rFonts w:cstheme="minorHAnsi"/>
        </w:rPr>
        <w:t xml:space="preserve">A key part of our strong performance across all sectors has been our advanced offsite </w:t>
      </w:r>
      <w:proofErr w:type="spellStart"/>
      <w:r w:rsidRPr="00B749BC">
        <w:rPr>
          <w:rFonts w:cstheme="minorHAnsi"/>
        </w:rPr>
        <w:t>DfMA</w:t>
      </w:r>
      <w:proofErr w:type="spellEnd"/>
      <w:r w:rsidRPr="00B749BC">
        <w:rPr>
          <w:rFonts w:cstheme="minorHAnsi"/>
        </w:rPr>
        <w:t xml:space="preserve"> manufacturing facility at </w:t>
      </w:r>
      <w:r w:rsidRPr="00B749BC">
        <w:rPr>
          <w:rFonts w:cstheme="minorHAnsi"/>
        </w:rPr>
        <w:lastRenderedPageBreak/>
        <w:t>Stansted. This capability and expertise in prefabricating and modularising large Engineering Services of all kinds for precision installation within a building, is increasingly the key to our winning and delivering major projects - it has become exactly the strategic advantage we hoped it would be.</w:t>
      </w:r>
    </w:p>
    <w:p w14:paraId="17E3B812" w14:textId="09082C9D" w:rsidR="00B749BC" w:rsidRPr="00B749BC" w:rsidRDefault="00B749BC" w:rsidP="00B749BC">
      <w:pPr>
        <w:widowControl w:val="0"/>
        <w:autoSpaceDE w:val="0"/>
        <w:autoSpaceDN w:val="0"/>
        <w:adjustRightInd w:val="0"/>
        <w:spacing w:before="160" w:after="0" w:line="240" w:lineRule="auto"/>
        <w:rPr>
          <w:rFonts w:cstheme="minorHAnsi"/>
        </w:rPr>
      </w:pPr>
      <w:r w:rsidRPr="00B749BC">
        <w:rPr>
          <w:rFonts w:cstheme="minorHAnsi"/>
        </w:rPr>
        <w:t xml:space="preserve">Outside of London the news has been just as encouraging. Having identified the North West as a strong market for our Engineering Services offering and setting up in Liverpool and Manchester, in 2020 we won our first major project - the £3.5m Royal College of Physicians, in Liverpool. </w:t>
      </w:r>
    </w:p>
    <w:p w14:paraId="41501F2B" w14:textId="315A8E89" w:rsidR="00B35FDA" w:rsidRDefault="00B749BC" w:rsidP="00B749BC">
      <w:pPr>
        <w:widowControl w:val="0"/>
        <w:autoSpaceDE w:val="0"/>
        <w:autoSpaceDN w:val="0"/>
        <w:adjustRightInd w:val="0"/>
        <w:spacing w:before="160" w:after="0" w:line="240" w:lineRule="auto"/>
        <w:rPr>
          <w:rFonts w:cstheme="minorHAnsi"/>
          <w:b/>
          <w:bCs/>
        </w:rPr>
      </w:pPr>
      <w:r w:rsidRPr="00B749BC">
        <w:rPr>
          <w:rFonts w:cstheme="minorHAnsi"/>
        </w:rPr>
        <w:t xml:space="preserve">In the South West we are underway with Britain’s most advanced and ambitious large scale </w:t>
      </w:r>
      <w:proofErr w:type="spellStart"/>
      <w:r w:rsidRPr="00B749BC">
        <w:rPr>
          <w:rFonts w:cstheme="minorHAnsi"/>
        </w:rPr>
        <w:t>Passivhaus</w:t>
      </w:r>
      <w:proofErr w:type="spellEnd"/>
      <w:r w:rsidRPr="00B749BC">
        <w:rPr>
          <w:rFonts w:cstheme="minorHAnsi"/>
        </w:rPr>
        <w:t xml:space="preserve"> development - St Sidwell’s Leisure Centre, Exeter - whilst in parallel resource and engineering expertise helped design and deliver the Exeter NHS Nightingale</w:t>
      </w:r>
      <w:r>
        <w:rPr>
          <w:rFonts w:cstheme="minorHAnsi"/>
        </w:rPr>
        <w:t xml:space="preserve"> </w:t>
      </w:r>
      <w:r w:rsidRPr="00B749BC">
        <w:rPr>
          <w:rFonts w:cstheme="minorHAnsi"/>
        </w:rPr>
        <w:t>hospital in just six weeks. Just a couple of examples highlighting our regional engineering expertise, quality work and resource scale</w:t>
      </w:r>
      <w:r w:rsidR="00B35FDA" w:rsidRPr="00B35FDA">
        <w:rPr>
          <w:rFonts w:cstheme="minorHAnsi"/>
        </w:rPr>
        <w:t>.</w:t>
      </w:r>
      <w:r w:rsidR="00B35FDA" w:rsidRPr="00B35FDA">
        <w:rPr>
          <w:rFonts w:cstheme="minorHAnsi"/>
          <w:b/>
          <w:bCs/>
        </w:rPr>
        <w:t xml:space="preserve"> </w:t>
      </w:r>
    </w:p>
    <w:p w14:paraId="2999684E" w14:textId="77777777" w:rsidR="00B749BC" w:rsidRDefault="00B749BC" w:rsidP="00B35FDA">
      <w:pPr>
        <w:widowControl w:val="0"/>
        <w:autoSpaceDE w:val="0"/>
        <w:autoSpaceDN w:val="0"/>
        <w:adjustRightInd w:val="0"/>
        <w:spacing w:before="160" w:after="0" w:line="240" w:lineRule="auto"/>
        <w:rPr>
          <w:rFonts w:cstheme="minorHAnsi"/>
          <w:b/>
          <w:bCs/>
        </w:rPr>
      </w:pPr>
      <w:r w:rsidRPr="00B749BC">
        <w:rPr>
          <w:rFonts w:cstheme="minorHAnsi"/>
          <w:b/>
          <w:bCs/>
        </w:rPr>
        <w:t>Technologies</w:t>
      </w:r>
    </w:p>
    <w:p w14:paraId="22249C50" w14:textId="77777777" w:rsidR="00B749BC" w:rsidRPr="00B749BC" w:rsidRDefault="00B749BC" w:rsidP="00B749BC">
      <w:pPr>
        <w:widowControl w:val="0"/>
        <w:autoSpaceDE w:val="0"/>
        <w:autoSpaceDN w:val="0"/>
        <w:adjustRightInd w:val="0"/>
        <w:spacing w:before="160" w:after="0" w:line="240" w:lineRule="auto"/>
        <w:rPr>
          <w:rFonts w:cstheme="minorHAnsi"/>
        </w:rPr>
      </w:pPr>
      <w:r w:rsidRPr="00B749BC">
        <w:rPr>
          <w:rFonts w:cstheme="minorHAnsi"/>
        </w:rPr>
        <w:t>The opportunity is just as exciting in data centres. This is a worldwide growth sector.</w:t>
      </w:r>
    </w:p>
    <w:p w14:paraId="718D636E" w14:textId="77777777" w:rsidR="00B749BC" w:rsidRPr="00B749BC" w:rsidRDefault="00B749BC" w:rsidP="00B749BC">
      <w:pPr>
        <w:widowControl w:val="0"/>
        <w:autoSpaceDE w:val="0"/>
        <w:autoSpaceDN w:val="0"/>
        <w:adjustRightInd w:val="0"/>
        <w:spacing w:before="160" w:after="0" w:line="240" w:lineRule="auto"/>
        <w:rPr>
          <w:rFonts w:cstheme="minorHAnsi"/>
        </w:rPr>
      </w:pPr>
      <w:r w:rsidRPr="00B749BC">
        <w:rPr>
          <w:rFonts w:cstheme="minorHAnsi"/>
        </w:rPr>
        <w:t>Data consumption is ever increasing, and we forecast a decade long boom in the requirement of data centre capacity ahead of us to deliver the fully digital world we are moving into, driven by enterprise cloud and software utilities, office productivity and file storage as well as e-commerce, social networking, streaming video services, gaming, and mobile apps.</w:t>
      </w:r>
    </w:p>
    <w:p w14:paraId="582C5FE8" w14:textId="0500533A" w:rsidR="00B749BC" w:rsidRPr="00B749BC" w:rsidRDefault="00B749BC" w:rsidP="00B749BC">
      <w:pPr>
        <w:widowControl w:val="0"/>
        <w:autoSpaceDE w:val="0"/>
        <w:autoSpaceDN w:val="0"/>
        <w:adjustRightInd w:val="0"/>
        <w:spacing w:before="160" w:after="0" w:line="240" w:lineRule="auto"/>
        <w:rPr>
          <w:rFonts w:cstheme="minorHAnsi"/>
        </w:rPr>
      </w:pPr>
      <w:r w:rsidRPr="00B749BC">
        <w:rPr>
          <w:rFonts w:cstheme="minorHAnsi"/>
        </w:rPr>
        <w:t>The engineering of data centre requires specialists’</w:t>
      </w:r>
      <w:r>
        <w:rPr>
          <w:rFonts w:cstheme="minorHAnsi"/>
        </w:rPr>
        <w:t xml:space="preserve"> </w:t>
      </w:r>
      <w:r w:rsidRPr="00B749BC">
        <w:rPr>
          <w:rFonts w:cstheme="minorHAnsi"/>
        </w:rPr>
        <w:t>skills which we possess to not only deliver complex designs but to demanding timescales. Moreover, our strengthening relationships with some</w:t>
      </w:r>
      <w:r w:rsidR="006028AB">
        <w:rPr>
          <w:rFonts w:cstheme="minorHAnsi"/>
        </w:rPr>
        <w:t xml:space="preserve"> of</w:t>
      </w:r>
      <w:r w:rsidRPr="00B749BC">
        <w:rPr>
          <w:rFonts w:cstheme="minorHAnsi"/>
        </w:rPr>
        <w:t xml:space="preserve"> the biggest </w:t>
      </w:r>
      <w:proofErr w:type="spellStart"/>
      <w:r w:rsidRPr="00B749BC">
        <w:rPr>
          <w:rFonts w:cstheme="minorHAnsi"/>
        </w:rPr>
        <w:t>hyperscalers</w:t>
      </w:r>
      <w:proofErr w:type="spellEnd"/>
      <w:r w:rsidRPr="00B749BC">
        <w:rPr>
          <w:rFonts w:cstheme="minorHAnsi"/>
        </w:rPr>
        <w:t xml:space="preserve"> in the global industry will ensure we have the ability to secure the most high-profile schemes. </w:t>
      </w:r>
    </w:p>
    <w:p w14:paraId="39682551" w14:textId="50B2A3C8" w:rsidR="00B749BC" w:rsidRPr="00B749BC" w:rsidRDefault="00B749BC" w:rsidP="00B749BC">
      <w:pPr>
        <w:widowControl w:val="0"/>
        <w:autoSpaceDE w:val="0"/>
        <w:autoSpaceDN w:val="0"/>
        <w:adjustRightInd w:val="0"/>
        <w:spacing w:before="160" w:after="0" w:line="240" w:lineRule="auto"/>
        <w:rPr>
          <w:rFonts w:cstheme="minorHAnsi"/>
        </w:rPr>
      </w:pPr>
      <w:r w:rsidRPr="00B749BC">
        <w:rPr>
          <w:rFonts w:cstheme="minorHAnsi"/>
        </w:rPr>
        <w:t>This growth of opportunity within the UK data centre market means that there is more potential for us here than we reported last year, whilst continuing to actively evaluate options in Europe, alongside our global partners.</w:t>
      </w:r>
    </w:p>
    <w:p w14:paraId="3E8856CE" w14:textId="70421721" w:rsidR="00B35FDA" w:rsidRPr="00B35FDA" w:rsidRDefault="00B749BC" w:rsidP="00B749BC">
      <w:pPr>
        <w:widowControl w:val="0"/>
        <w:autoSpaceDE w:val="0"/>
        <w:autoSpaceDN w:val="0"/>
        <w:adjustRightInd w:val="0"/>
        <w:spacing w:before="160" w:after="0" w:line="240" w:lineRule="auto"/>
        <w:rPr>
          <w:rFonts w:cstheme="minorHAnsi"/>
        </w:rPr>
      </w:pPr>
      <w:r w:rsidRPr="00B749BC">
        <w:rPr>
          <w:rFonts w:cstheme="minorHAnsi"/>
        </w:rPr>
        <w:t>Market data shows 39 current large data centre projects in the UK with a construction value of £1.35bn</w:t>
      </w:r>
      <w:r w:rsidR="00B35FDA" w:rsidRPr="00B35FDA">
        <w:rPr>
          <w:rFonts w:cstheme="minorHAnsi"/>
        </w:rPr>
        <w:t>.</w:t>
      </w:r>
      <w:r w:rsidRPr="00B749BC">
        <w:t xml:space="preserve"> </w:t>
      </w:r>
      <w:r w:rsidRPr="00B749BC">
        <w:rPr>
          <w:rFonts w:cstheme="minorHAnsi"/>
        </w:rPr>
        <w:t>TClarke currently has live opportunities on four significant schemes in the South East.</w:t>
      </w:r>
      <w:r w:rsidR="00B35FDA" w:rsidRPr="00B35FDA">
        <w:rPr>
          <w:rFonts w:cstheme="minorHAnsi"/>
        </w:rPr>
        <w:t xml:space="preserve"> </w:t>
      </w:r>
    </w:p>
    <w:p w14:paraId="757D948C" w14:textId="3FCB2472" w:rsidR="00B749BC" w:rsidRDefault="00B749BC" w:rsidP="00B35FDA">
      <w:pPr>
        <w:widowControl w:val="0"/>
        <w:autoSpaceDE w:val="0"/>
        <w:autoSpaceDN w:val="0"/>
        <w:adjustRightInd w:val="0"/>
        <w:spacing w:before="160" w:after="0" w:line="240" w:lineRule="auto"/>
        <w:rPr>
          <w:rFonts w:cstheme="minorHAnsi"/>
          <w:b/>
          <w:bCs/>
        </w:rPr>
      </w:pPr>
      <w:r w:rsidRPr="00B749BC">
        <w:rPr>
          <w:rFonts w:cstheme="minorHAnsi"/>
          <w:b/>
          <w:bCs/>
        </w:rPr>
        <w:t>Good Governance</w:t>
      </w:r>
    </w:p>
    <w:p w14:paraId="7CF93FC7" w14:textId="65F48032" w:rsidR="00B749BC" w:rsidRDefault="00B749BC" w:rsidP="00B35FDA">
      <w:pPr>
        <w:widowControl w:val="0"/>
        <w:autoSpaceDE w:val="0"/>
        <w:autoSpaceDN w:val="0"/>
        <w:adjustRightInd w:val="0"/>
        <w:spacing w:before="160" w:after="0" w:line="240" w:lineRule="auto"/>
        <w:rPr>
          <w:rFonts w:cstheme="minorHAnsi"/>
        </w:rPr>
      </w:pPr>
      <w:r w:rsidRPr="00B749BC">
        <w:rPr>
          <w:rFonts w:cstheme="minorHAnsi"/>
        </w:rPr>
        <w:t xml:space="preserve">The feedback from many of our customers is that the levels of corporate governance, risk management and transparency that come with our public listing and the ‘TClarke Way’ of working are also of considerable competitive value. This is a significant factor in the selection process - particularly for the major projects we target. </w:t>
      </w:r>
    </w:p>
    <w:p w14:paraId="6DE06652" w14:textId="77777777" w:rsidR="00B749BC" w:rsidRDefault="00B749BC" w:rsidP="00B749BC">
      <w:pPr>
        <w:widowControl w:val="0"/>
        <w:autoSpaceDE w:val="0"/>
        <w:autoSpaceDN w:val="0"/>
        <w:adjustRightInd w:val="0"/>
        <w:spacing w:before="160" w:after="0" w:line="240" w:lineRule="auto"/>
        <w:rPr>
          <w:rFonts w:cstheme="minorHAnsi"/>
          <w:b/>
          <w:bCs/>
        </w:rPr>
      </w:pPr>
      <w:r w:rsidRPr="00B749BC">
        <w:rPr>
          <w:rFonts w:cstheme="minorHAnsi"/>
          <w:b/>
          <w:bCs/>
        </w:rPr>
        <w:t>Outlook and Summary</w:t>
      </w:r>
    </w:p>
    <w:p w14:paraId="4C51E264" w14:textId="13FBB497" w:rsidR="00B749BC" w:rsidRPr="00B749BC" w:rsidRDefault="00B749BC" w:rsidP="00B749BC">
      <w:pPr>
        <w:widowControl w:val="0"/>
        <w:autoSpaceDE w:val="0"/>
        <w:autoSpaceDN w:val="0"/>
        <w:adjustRightInd w:val="0"/>
        <w:spacing w:before="160" w:after="0" w:line="240" w:lineRule="auto"/>
        <w:rPr>
          <w:rFonts w:cstheme="minorHAnsi"/>
        </w:rPr>
      </w:pPr>
      <w:r w:rsidRPr="00B749BC">
        <w:rPr>
          <w:rFonts w:cstheme="minorHAnsi"/>
        </w:rPr>
        <w:t xml:space="preserve">In summary having secured such a strong order book at this early stage of the year gives the Board strong confidence for the year ahead. Following a slightly slower start we expect revenues and profit to build rapidly throughout the course of the second half of the year as our recently secured projects gain momentum. </w:t>
      </w:r>
    </w:p>
    <w:p w14:paraId="6FE6DB5F" w14:textId="3A4BBABB" w:rsidR="00B749BC" w:rsidRDefault="00B749BC" w:rsidP="00B749BC">
      <w:pPr>
        <w:widowControl w:val="0"/>
        <w:autoSpaceDE w:val="0"/>
        <w:autoSpaceDN w:val="0"/>
        <w:adjustRightInd w:val="0"/>
        <w:spacing w:before="160" w:after="0" w:line="240" w:lineRule="auto"/>
        <w:rPr>
          <w:rFonts w:cstheme="minorHAnsi"/>
        </w:rPr>
      </w:pPr>
      <w:r w:rsidRPr="00B749BC">
        <w:rPr>
          <w:rFonts w:cstheme="minorHAnsi"/>
        </w:rPr>
        <w:t xml:space="preserve">We remain focused on delivering results for all our stakeholders and have the capacity and depth of expertise to expand to successfully meet our ambitious goal of £500m revenues, 2021 marks an exciting new chapter in the evolution of TClarke. </w:t>
      </w:r>
    </w:p>
    <w:p w14:paraId="0D5EF888" w14:textId="01A39E36" w:rsidR="00D80ACC" w:rsidRPr="00D80ACC" w:rsidRDefault="00D80ACC" w:rsidP="00B35FDA">
      <w:pPr>
        <w:widowControl w:val="0"/>
        <w:autoSpaceDE w:val="0"/>
        <w:autoSpaceDN w:val="0"/>
        <w:adjustRightInd w:val="0"/>
        <w:spacing w:before="160" w:after="0" w:line="240" w:lineRule="auto"/>
        <w:rPr>
          <w:rFonts w:cstheme="minorHAnsi"/>
        </w:rPr>
      </w:pPr>
      <w:r w:rsidRPr="00D80ACC">
        <w:rPr>
          <w:rFonts w:cstheme="minorHAnsi"/>
          <w:b/>
          <w:bCs/>
        </w:rPr>
        <w:t>Mark Lawrence</w:t>
      </w:r>
    </w:p>
    <w:p w14:paraId="0F7134C1" w14:textId="77777777" w:rsidR="00D80ACC" w:rsidRPr="00D80ACC" w:rsidRDefault="00D80ACC" w:rsidP="00D80ACC">
      <w:pPr>
        <w:widowControl w:val="0"/>
        <w:autoSpaceDE w:val="0"/>
        <w:autoSpaceDN w:val="0"/>
        <w:adjustRightInd w:val="0"/>
        <w:spacing w:after="0" w:line="240" w:lineRule="auto"/>
        <w:rPr>
          <w:rFonts w:cstheme="minorHAnsi"/>
        </w:rPr>
      </w:pPr>
      <w:r w:rsidRPr="00D80ACC">
        <w:rPr>
          <w:rFonts w:cstheme="minorHAnsi"/>
        </w:rPr>
        <w:t>Group Chief Executive Officer</w:t>
      </w:r>
    </w:p>
    <w:p w14:paraId="05017E33" w14:textId="3217D3C7" w:rsidR="00D80ACC" w:rsidRPr="00D80ACC" w:rsidRDefault="000566A1" w:rsidP="00D80ACC">
      <w:pPr>
        <w:widowControl w:val="0"/>
        <w:autoSpaceDE w:val="0"/>
        <w:autoSpaceDN w:val="0"/>
        <w:adjustRightInd w:val="0"/>
        <w:spacing w:after="0" w:line="240" w:lineRule="auto"/>
        <w:rPr>
          <w:rFonts w:cstheme="minorHAnsi"/>
        </w:rPr>
      </w:pPr>
      <w:r>
        <w:rPr>
          <w:rFonts w:cstheme="minorHAnsi"/>
        </w:rPr>
        <w:t>24</w:t>
      </w:r>
      <w:r w:rsidR="00D80ACC" w:rsidRPr="00D80ACC">
        <w:rPr>
          <w:rFonts w:cstheme="minorHAnsi"/>
        </w:rPr>
        <w:t>th March 202</w:t>
      </w:r>
      <w:r>
        <w:rPr>
          <w:rFonts w:cstheme="minorHAnsi"/>
        </w:rPr>
        <w:t>1</w:t>
      </w:r>
    </w:p>
    <w:p w14:paraId="09C564F9" w14:textId="77777777" w:rsidR="008363D5" w:rsidRDefault="008363D5" w:rsidP="008363D5">
      <w:pPr>
        <w:spacing w:after="0" w:line="240" w:lineRule="auto"/>
        <w:jc w:val="both"/>
        <w:rPr>
          <w:b/>
          <w:color w:val="003366"/>
          <w:sz w:val="28"/>
        </w:rPr>
      </w:pPr>
      <w:bookmarkStart w:id="0" w:name="page22"/>
      <w:bookmarkEnd w:id="0"/>
    </w:p>
    <w:p w14:paraId="24EC2696" w14:textId="553FC069" w:rsidR="00D80ACC" w:rsidRPr="008C4CA3" w:rsidRDefault="00D80ACC" w:rsidP="00D80ACC">
      <w:pPr>
        <w:jc w:val="both"/>
        <w:rPr>
          <w:b/>
          <w:color w:val="003366"/>
          <w:sz w:val="28"/>
        </w:rPr>
      </w:pPr>
      <w:r>
        <w:rPr>
          <w:b/>
          <w:color w:val="003366"/>
          <w:sz w:val="28"/>
        </w:rPr>
        <w:t xml:space="preserve">Group </w:t>
      </w:r>
      <w:r w:rsidRPr="008C4CA3">
        <w:rPr>
          <w:b/>
          <w:color w:val="003366"/>
          <w:sz w:val="28"/>
        </w:rPr>
        <w:t>Financial review</w:t>
      </w:r>
    </w:p>
    <w:p w14:paraId="2270C30A" w14:textId="7ACBD920" w:rsidR="00182D80" w:rsidRPr="00182D80" w:rsidRDefault="00182D80" w:rsidP="00182D80">
      <w:pPr>
        <w:widowControl w:val="0"/>
        <w:autoSpaceDE w:val="0"/>
        <w:autoSpaceDN w:val="0"/>
        <w:adjustRightInd w:val="0"/>
        <w:spacing w:before="160" w:after="0" w:line="240" w:lineRule="auto"/>
        <w:rPr>
          <w:rFonts w:cstheme="minorHAnsi"/>
        </w:rPr>
      </w:pPr>
      <w:r w:rsidRPr="00182D80">
        <w:rPr>
          <w:rFonts w:cstheme="minorHAnsi"/>
        </w:rPr>
        <w:t>The Group has shown its strength and resilience in the most difficult of years. Underlying operating profit was maintained at 3% in Q1 2020; broke even in the face of a 50% drop in revenue Q2 v</w:t>
      </w:r>
      <w:r w:rsidR="0042308A">
        <w:rPr>
          <w:rFonts w:cstheme="minorHAnsi"/>
        </w:rPr>
        <w:t>ersus</w:t>
      </w:r>
      <w:r w:rsidRPr="00182D80">
        <w:rPr>
          <w:rFonts w:cstheme="minorHAnsi"/>
        </w:rPr>
        <w:t xml:space="preserve"> Q1; returning to 3% for H2. Underlying earnings per share were 10.29p. TClarke paid its 2019 final dividend in full in July</w:t>
      </w:r>
      <w:r w:rsidR="001133A8">
        <w:rPr>
          <w:rFonts w:cstheme="minorHAnsi"/>
        </w:rPr>
        <w:t xml:space="preserve"> 2020</w:t>
      </w:r>
      <w:r w:rsidRPr="00182D80">
        <w:rPr>
          <w:rFonts w:cstheme="minorHAnsi"/>
        </w:rPr>
        <w:t xml:space="preserve"> and maintained its level of interim dividend. </w:t>
      </w:r>
    </w:p>
    <w:p w14:paraId="38B59573" w14:textId="07F706B8" w:rsidR="00182D80" w:rsidRDefault="00182D80" w:rsidP="00182D80">
      <w:pPr>
        <w:widowControl w:val="0"/>
        <w:autoSpaceDE w:val="0"/>
        <w:autoSpaceDN w:val="0"/>
        <w:adjustRightInd w:val="0"/>
        <w:spacing w:before="160" w:after="0" w:line="240" w:lineRule="auto"/>
        <w:rPr>
          <w:rFonts w:cstheme="minorHAnsi"/>
          <w:b/>
          <w:bCs/>
        </w:rPr>
      </w:pPr>
      <w:r w:rsidRPr="00182D80">
        <w:rPr>
          <w:rFonts w:cstheme="minorHAnsi"/>
        </w:rPr>
        <w:lastRenderedPageBreak/>
        <w:t xml:space="preserve">TClarke remains financially secure; Average daily net cash remained positive throughout 2020 and in addition the </w:t>
      </w:r>
      <w:r w:rsidR="008F2A2C">
        <w:rPr>
          <w:rFonts w:cstheme="minorHAnsi"/>
        </w:rPr>
        <w:t>G</w:t>
      </w:r>
      <w:r w:rsidRPr="00182D80">
        <w:rPr>
          <w:rFonts w:cstheme="minorHAnsi"/>
        </w:rPr>
        <w:t>roup has £25m</w:t>
      </w:r>
      <w:r w:rsidR="002D6094">
        <w:rPr>
          <w:rFonts w:cstheme="minorHAnsi"/>
        </w:rPr>
        <w:t>illion</w:t>
      </w:r>
      <w:r w:rsidRPr="00182D80">
        <w:rPr>
          <w:rFonts w:cstheme="minorHAnsi"/>
        </w:rPr>
        <w:t xml:space="preserve"> of bank facilities at its disposal. The </w:t>
      </w:r>
      <w:r w:rsidR="00097661">
        <w:rPr>
          <w:rFonts w:cstheme="minorHAnsi"/>
        </w:rPr>
        <w:t>£15</w:t>
      </w:r>
      <w:r w:rsidR="002D6094">
        <w:rPr>
          <w:rFonts w:cstheme="minorHAnsi"/>
        </w:rPr>
        <w:t xml:space="preserve"> million </w:t>
      </w:r>
      <w:r w:rsidRPr="00182D80">
        <w:rPr>
          <w:rFonts w:cstheme="minorHAnsi"/>
        </w:rPr>
        <w:t>RCF facility has been extended to August 2024 on its normal terms. The Group has not needed to apply for any of the COVID</w:t>
      </w:r>
      <w:r w:rsidR="006E0711">
        <w:rPr>
          <w:rFonts w:cstheme="minorHAnsi"/>
        </w:rPr>
        <w:t>-19</w:t>
      </w:r>
      <w:r w:rsidRPr="00182D80">
        <w:rPr>
          <w:rFonts w:cstheme="minorHAnsi"/>
        </w:rPr>
        <w:t xml:space="preserve"> loan schemes.</w:t>
      </w:r>
      <w:r w:rsidRPr="00182D80">
        <w:rPr>
          <w:rFonts w:cstheme="minorHAnsi"/>
          <w:b/>
          <w:bCs/>
        </w:rPr>
        <w:t xml:space="preserve"> </w:t>
      </w:r>
    </w:p>
    <w:p w14:paraId="67E8BB2D" w14:textId="3D0D0CEC" w:rsidR="00D80ACC" w:rsidRPr="00D80ACC" w:rsidRDefault="00D80ACC" w:rsidP="00182D80">
      <w:pPr>
        <w:widowControl w:val="0"/>
        <w:autoSpaceDE w:val="0"/>
        <w:autoSpaceDN w:val="0"/>
        <w:adjustRightInd w:val="0"/>
        <w:spacing w:before="160" w:after="0" w:line="240" w:lineRule="auto"/>
        <w:rPr>
          <w:rFonts w:cstheme="minorHAnsi"/>
        </w:rPr>
      </w:pPr>
      <w:r w:rsidRPr="00D80ACC">
        <w:rPr>
          <w:rFonts w:cstheme="minorHAnsi"/>
          <w:b/>
          <w:bCs/>
        </w:rPr>
        <w:t>Performance</w:t>
      </w:r>
    </w:p>
    <w:p w14:paraId="5AA6DBBB" w14:textId="7FBEA03B" w:rsidR="00182D80" w:rsidRPr="00182D80" w:rsidRDefault="00182D80" w:rsidP="00182D80">
      <w:pPr>
        <w:widowControl w:val="0"/>
        <w:overflowPunct w:val="0"/>
        <w:autoSpaceDE w:val="0"/>
        <w:autoSpaceDN w:val="0"/>
        <w:adjustRightInd w:val="0"/>
        <w:spacing w:before="120" w:after="0" w:line="240" w:lineRule="auto"/>
        <w:rPr>
          <w:rFonts w:cstheme="minorHAnsi"/>
        </w:rPr>
      </w:pPr>
      <w:r w:rsidRPr="00182D80">
        <w:rPr>
          <w:rFonts w:cstheme="minorHAnsi"/>
        </w:rPr>
        <w:t>The Group remained profitable for the year ended 31st December 2020 in spite of all the challenges resulting from the C</w:t>
      </w:r>
      <w:r w:rsidR="006E0711">
        <w:rPr>
          <w:rFonts w:cstheme="minorHAnsi"/>
        </w:rPr>
        <w:t>OVID-19</w:t>
      </w:r>
      <w:r w:rsidRPr="00182D80">
        <w:rPr>
          <w:rFonts w:cstheme="minorHAnsi"/>
        </w:rPr>
        <w:t xml:space="preserve"> pandemic. Underlying operating profit was £6 million (2019 £10.2 million) at a time when turnover fell to £231.9 million (2019:</w:t>
      </w:r>
      <w:r w:rsidR="008F2A2C">
        <w:rPr>
          <w:rFonts w:cstheme="minorHAnsi"/>
        </w:rPr>
        <w:t xml:space="preserve"> </w:t>
      </w:r>
      <w:r w:rsidRPr="00182D80">
        <w:rPr>
          <w:rFonts w:cstheme="minorHAnsi"/>
        </w:rPr>
        <w:t xml:space="preserve">£334.6 million). The reduction in turnover was the result of site closures or sites operating with much reduced numbers be-tween </w:t>
      </w:r>
      <w:proofErr w:type="spellStart"/>
      <w:r w:rsidRPr="00182D80">
        <w:rPr>
          <w:rFonts w:cstheme="minorHAnsi"/>
        </w:rPr>
        <w:t>mid March</w:t>
      </w:r>
      <w:proofErr w:type="spellEnd"/>
      <w:r w:rsidRPr="00182D80">
        <w:rPr>
          <w:rFonts w:cstheme="minorHAnsi"/>
        </w:rPr>
        <w:t xml:space="preserve"> and end of July.</w:t>
      </w:r>
    </w:p>
    <w:p w14:paraId="4E486E66" w14:textId="77777777" w:rsidR="00182D80" w:rsidRPr="00182D80" w:rsidRDefault="00182D80" w:rsidP="00182D80">
      <w:pPr>
        <w:widowControl w:val="0"/>
        <w:overflowPunct w:val="0"/>
        <w:autoSpaceDE w:val="0"/>
        <w:autoSpaceDN w:val="0"/>
        <w:adjustRightInd w:val="0"/>
        <w:spacing w:before="120" w:after="0" w:line="240" w:lineRule="auto"/>
        <w:rPr>
          <w:rFonts w:cstheme="minorHAnsi"/>
        </w:rPr>
      </w:pPr>
      <w:r w:rsidRPr="00182D80">
        <w:rPr>
          <w:rFonts w:cstheme="minorHAnsi"/>
        </w:rPr>
        <w:t xml:space="preserve">The Group undertook a swift restructuring programme to protect the health of the business. The cost of the programme was £3.7m accounted for in </w:t>
      </w:r>
      <w:proofErr w:type="spellStart"/>
      <w:r w:rsidRPr="00182D80">
        <w:rPr>
          <w:rFonts w:cstheme="minorHAnsi"/>
        </w:rPr>
        <w:t>non underlying</w:t>
      </w:r>
      <w:proofErr w:type="spellEnd"/>
      <w:r w:rsidRPr="00182D80">
        <w:rPr>
          <w:rFonts w:cstheme="minorHAnsi"/>
        </w:rPr>
        <w:t xml:space="preserve"> items. The programme has reduced the Group’s cost base by in excess of £4 million per annum; 2020 results have benefited by £2.5m of these savings.</w:t>
      </w:r>
    </w:p>
    <w:p w14:paraId="4BC0143F" w14:textId="77777777" w:rsidR="00182D80" w:rsidRPr="00182D80" w:rsidRDefault="00182D80" w:rsidP="00182D80">
      <w:pPr>
        <w:widowControl w:val="0"/>
        <w:overflowPunct w:val="0"/>
        <w:autoSpaceDE w:val="0"/>
        <w:autoSpaceDN w:val="0"/>
        <w:adjustRightInd w:val="0"/>
        <w:spacing w:before="120" w:after="0" w:line="240" w:lineRule="auto"/>
        <w:rPr>
          <w:rFonts w:cstheme="minorHAnsi"/>
        </w:rPr>
      </w:pPr>
      <w:r w:rsidRPr="00182D80">
        <w:rPr>
          <w:rFonts w:cstheme="minorHAnsi"/>
        </w:rPr>
        <w:t>Overall TClarke reported a statutory operating profit of £2.1 million before interest and tax (2019: £10.0 million).</w:t>
      </w:r>
    </w:p>
    <w:p w14:paraId="78D68473" w14:textId="34AAD378" w:rsidR="00182D80" w:rsidRPr="00182D80" w:rsidRDefault="00182D80" w:rsidP="00182D80">
      <w:pPr>
        <w:widowControl w:val="0"/>
        <w:overflowPunct w:val="0"/>
        <w:autoSpaceDE w:val="0"/>
        <w:autoSpaceDN w:val="0"/>
        <w:adjustRightInd w:val="0"/>
        <w:spacing w:before="120" w:after="0" w:line="240" w:lineRule="auto"/>
        <w:rPr>
          <w:rFonts w:cstheme="minorHAnsi"/>
        </w:rPr>
      </w:pPr>
      <w:r w:rsidRPr="00182D80">
        <w:rPr>
          <w:rFonts w:cstheme="minorHAnsi"/>
        </w:rPr>
        <w:t>Finance costs fell to £0.9 million (2019: £1.0 million) Finance costs comprise: £0.3</w:t>
      </w:r>
      <w:r w:rsidR="007951AC">
        <w:rPr>
          <w:rFonts w:cstheme="minorHAnsi"/>
        </w:rPr>
        <w:t xml:space="preserve"> million</w:t>
      </w:r>
      <w:r w:rsidRPr="00182D80">
        <w:rPr>
          <w:rFonts w:cstheme="minorHAnsi"/>
        </w:rPr>
        <w:t xml:space="preserve"> bank interest (2019</w:t>
      </w:r>
      <w:r w:rsidR="007951AC">
        <w:rPr>
          <w:rFonts w:cstheme="minorHAnsi"/>
        </w:rPr>
        <w:t>:</w:t>
      </w:r>
      <w:r w:rsidRPr="00182D80">
        <w:rPr>
          <w:rFonts w:cstheme="minorHAnsi"/>
        </w:rPr>
        <w:t xml:space="preserve"> £0.2</w:t>
      </w:r>
      <w:r w:rsidR="007951AC">
        <w:rPr>
          <w:rFonts w:cstheme="minorHAnsi"/>
        </w:rPr>
        <w:t xml:space="preserve"> </w:t>
      </w:r>
      <w:r w:rsidRPr="00182D80">
        <w:rPr>
          <w:rFonts w:cstheme="minorHAnsi"/>
        </w:rPr>
        <w:t>m</w:t>
      </w:r>
      <w:r w:rsidR="007951AC">
        <w:rPr>
          <w:rFonts w:cstheme="minorHAnsi"/>
        </w:rPr>
        <w:t>illion</w:t>
      </w:r>
      <w:r w:rsidRPr="00182D80">
        <w:rPr>
          <w:rFonts w:cstheme="minorHAnsi"/>
        </w:rPr>
        <w:t>); a reduction in the Group’s defined benefit pension scheme interest charge of £0.2 million to £0.5 million (2019: £0.7 million) and an interest charge of £0.1 million arising from IFRS 16</w:t>
      </w:r>
      <w:r w:rsidR="003A3087">
        <w:rPr>
          <w:rFonts w:cstheme="minorHAnsi"/>
        </w:rPr>
        <w:t xml:space="preserve"> (2019</w:t>
      </w:r>
      <w:r w:rsidR="004C64B6">
        <w:rPr>
          <w:rFonts w:cstheme="minorHAnsi"/>
        </w:rPr>
        <w:t>:</w:t>
      </w:r>
      <w:r w:rsidR="003A3087">
        <w:rPr>
          <w:rFonts w:cstheme="minorHAnsi"/>
        </w:rPr>
        <w:t xml:space="preserve"> £0.1million)</w:t>
      </w:r>
      <w:r w:rsidRPr="00182D80">
        <w:rPr>
          <w:rFonts w:cstheme="minorHAnsi"/>
        </w:rPr>
        <w:t>.</w:t>
      </w:r>
    </w:p>
    <w:p w14:paraId="27E4202D" w14:textId="505331C9" w:rsidR="00182D80" w:rsidRPr="00182D80" w:rsidRDefault="00182D80" w:rsidP="00182D80">
      <w:pPr>
        <w:widowControl w:val="0"/>
        <w:overflowPunct w:val="0"/>
        <w:autoSpaceDE w:val="0"/>
        <w:autoSpaceDN w:val="0"/>
        <w:adjustRightInd w:val="0"/>
        <w:spacing w:before="120" w:after="0" w:line="240" w:lineRule="auto"/>
        <w:rPr>
          <w:rFonts w:cstheme="minorHAnsi"/>
        </w:rPr>
      </w:pPr>
      <w:r w:rsidRPr="00182D80">
        <w:rPr>
          <w:rFonts w:cstheme="minorHAnsi"/>
        </w:rPr>
        <w:t xml:space="preserve">There is no tax charge for the year. (2019: £1.2 million). </w:t>
      </w:r>
      <w:r w:rsidR="004C64B6">
        <w:rPr>
          <w:rFonts w:cstheme="minorHAnsi"/>
        </w:rPr>
        <w:t>This was primarily due to</w:t>
      </w:r>
      <w:r w:rsidR="009B61C0">
        <w:rPr>
          <w:rFonts w:cstheme="minorHAnsi"/>
        </w:rPr>
        <w:t xml:space="preserve"> </w:t>
      </w:r>
      <w:r w:rsidRPr="00182D80">
        <w:rPr>
          <w:rFonts w:cstheme="minorHAnsi"/>
        </w:rPr>
        <w:t>prior year tax adjustments.</w:t>
      </w:r>
    </w:p>
    <w:p w14:paraId="75B32A06" w14:textId="77777777" w:rsidR="00182D80" w:rsidRPr="00182D80" w:rsidRDefault="00182D80" w:rsidP="00182D80">
      <w:pPr>
        <w:widowControl w:val="0"/>
        <w:overflowPunct w:val="0"/>
        <w:autoSpaceDE w:val="0"/>
        <w:autoSpaceDN w:val="0"/>
        <w:adjustRightInd w:val="0"/>
        <w:spacing w:before="120" w:after="0" w:line="240" w:lineRule="auto"/>
        <w:rPr>
          <w:rFonts w:cstheme="minorHAnsi"/>
        </w:rPr>
      </w:pPr>
      <w:r w:rsidRPr="00182D80">
        <w:rPr>
          <w:rFonts w:cstheme="minorHAnsi"/>
        </w:rPr>
        <w:t>TClarke maintains an open and transparent working relationship with HMRC.</w:t>
      </w:r>
    </w:p>
    <w:p w14:paraId="46A09846" w14:textId="1B60EBA9" w:rsidR="00D80ACC" w:rsidRPr="00D80ACC" w:rsidRDefault="00182D80" w:rsidP="00182D80">
      <w:pPr>
        <w:widowControl w:val="0"/>
        <w:overflowPunct w:val="0"/>
        <w:autoSpaceDE w:val="0"/>
        <w:autoSpaceDN w:val="0"/>
        <w:adjustRightInd w:val="0"/>
        <w:spacing w:before="120" w:after="0" w:line="240" w:lineRule="auto"/>
        <w:rPr>
          <w:rFonts w:cstheme="minorHAnsi"/>
        </w:rPr>
      </w:pPr>
      <w:r w:rsidRPr="00182D80">
        <w:rPr>
          <w:rFonts w:cstheme="minorHAnsi"/>
        </w:rPr>
        <w:t xml:space="preserve">The Board is proposing a final dividend of 3.65p (2019: 3.65p), maintaining the 2019 dividend level. Total dividend for the year </w:t>
      </w:r>
      <w:r w:rsidR="00865330">
        <w:rPr>
          <w:rFonts w:cstheme="minorHAnsi"/>
        </w:rPr>
        <w:t xml:space="preserve">therefore </w:t>
      </w:r>
      <w:r w:rsidRPr="00182D80">
        <w:rPr>
          <w:rFonts w:cstheme="minorHAnsi"/>
        </w:rPr>
        <w:t>remains at 4.4p (2019: 4.4p). The dividend is covered 2.2 times by underlying earnings. TClarke recognises that many of its shareholders invest for dividends</w:t>
      </w:r>
      <w:r w:rsidR="00D80ACC" w:rsidRPr="00D80ACC">
        <w:rPr>
          <w:rFonts w:cstheme="minorHAnsi"/>
        </w:rPr>
        <w:t>.</w:t>
      </w:r>
    </w:p>
    <w:p w14:paraId="1CECB26B" w14:textId="3F85848B" w:rsidR="00182D80" w:rsidRDefault="00182D80" w:rsidP="00182D80">
      <w:pPr>
        <w:widowControl w:val="0"/>
        <w:autoSpaceDE w:val="0"/>
        <w:autoSpaceDN w:val="0"/>
        <w:adjustRightInd w:val="0"/>
        <w:spacing w:before="160" w:line="240" w:lineRule="auto"/>
        <w:rPr>
          <w:rFonts w:cstheme="minorHAnsi"/>
          <w:b/>
          <w:bCs/>
        </w:rPr>
      </w:pPr>
      <w:r w:rsidRPr="00182D80">
        <w:rPr>
          <w:rFonts w:cstheme="minorHAnsi"/>
        </w:rPr>
        <w:t>We move into 2020 with a forward order book at £456 million (2019: £403 million) providing excellent revenue visibility.</w:t>
      </w:r>
      <w:r w:rsidRPr="00182D80">
        <w:rPr>
          <w:rFonts w:cstheme="minorHAnsi"/>
          <w:b/>
          <w:bCs/>
        </w:rPr>
        <w:t xml:space="preserve"> </w:t>
      </w:r>
    </w:p>
    <w:p w14:paraId="0D03CEC8" w14:textId="1E1B81C5" w:rsidR="00D80ACC" w:rsidRPr="00D80ACC" w:rsidRDefault="003A673C" w:rsidP="00182D80">
      <w:pPr>
        <w:widowControl w:val="0"/>
        <w:autoSpaceDE w:val="0"/>
        <w:autoSpaceDN w:val="0"/>
        <w:adjustRightInd w:val="0"/>
        <w:spacing w:before="160" w:line="240" w:lineRule="auto"/>
        <w:rPr>
          <w:rFonts w:cstheme="minorHAnsi"/>
        </w:rPr>
      </w:pPr>
      <w:r w:rsidRPr="003A673C">
        <w:rPr>
          <w:rFonts w:cstheme="minorHAnsi"/>
          <w:b/>
          <w:bCs/>
        </w:rPr>
        <w:t>Summary of financial performance</w:t>
      </w:r>
    </w:p>
    <w:tbl>
      <w:tblPr>
        <w:tblW w:w="5000" w:type="pct"/>
        <w:tblCellMar>
          <w:left w:w="0" w:type="dxa"/>
          <w:right w:w="0" w:type="dxa"/>
        </w:tblCellMar>
        <w:tblLook w:val="04A0" w:firstRow="1" w:lastRow="0" w:firstColumn="1" w:lastColumn="0" w:noHBand="0" w:noVBand="1"/>
      </w:tblPr>
      <w:tblGrid>
        <w:gridCol w:w="8640"/>
        <w:gridCol w:w="1080"/>
        <w:gridCol w:w="1080"/>
      </w:tblGrid>
      <w:tr w:rsidR="00D80ACC" w:rsidRPr="00D80ACC" w14:paraId="30EEB846" w14:textId="77777777" w:rsidTr="003A673C">
        <w:tc>
          <w:tcPr>
            <w:tcW w:w="4000" w:type="pct"/>
            <w:vAlign w:val="bottom"/>
          </w:tcPr>
          <w:p w14:paraId="66207CF6" w14:textId="77777777" w:rsidR="00D80ACC" w:rsidRPr="00D80ACC" w:rsidRDefault="00D80ACC">
            <w:pPr>
              <w:widowControl w:val="0"/>
              <w:autoSpaceDE w:val="0"/>
              <w:autoSpaceDN w:val="0"/>
              <w:adjustRightInd w:val="0"/>
              <w:spacing w:after="0" w:line="240" w:lineRule="auto"/>
              <w:rPr>
                <w:rFonts w:cstheme="minorHAnsi"/>
              </w:rPr>
            </w:pPr>
          </w:p>
        </w:tc>
        <w:tc>
          <w:tcPr>
            <w:tcW w:w="500" w:type="pct"/>
            <w:vAlign w:val="bottom"/>
            <w:hideMark/>
          </w:tcPr>
          <w:p w14:paraId="0766CCF3" w14:textId="5A651D4F" w:rsidR="00D80ACC" w:rsidRPr="00D80ACC" w:rsidRDefault="00D80ACC">
            <w:pPr>
              <w:widowControl w:val="0"/>
              <w:autoSpaceDE w:val="0"/>
              <w:autoSpaceDN w:val="0"/>
              <w:adjustRightInd w:val="0"/>
              <w:spacing w:after="0" w:line="240" w:lineRule="auto"/>
              <w:jc w:val="right"/>
              <w:rPr>
                <w:rFonts w:cstheme="minorHAnsi"/>
              </w:rPr>
            </w:pPr>
            <w:r w:rsidRPr="00D80ACC">
              <w:rPr>
                <w:rFonts w:cstheme="minorHAnsi"/>
                <w:b/>
                <w:bCs/>
              </w:rPr>
              <w:t>20</w:t>
            </w:r>
            <w:r w:rsidR="003A673C">
              <w:rPr>
                <w:rFonts w:cstheme="minorHAnsi"/>
                <w:b/>
                <w:bCs/>
              </w:rPr>
              <w:t>20</w:t>
            </w:r>
          </w:p>
        </w:tc>
        <w:tc>
          <w:tcPr>
            <w:tcW w:w="500" w:type="pct"/>
            <w:vAlign w:val="bottom"/>
            <w:hideMark/>
          </w:tcPr>
          <w:p w14:paraId="0DD1491E" w14:textId="60902E98" w:rsidR="00D80ACC" w:rsidRPr="00D80ACC" w:rsidRDefault="00D80ACC">
            <w:pPr>
              <w:widowControl w:val="0"/>
              <w:autoSpaceDE w:val="0"/>
              <w:autoSpaceDN w:val="0"/>
              <w:adjustRightInd w:val="0"/>
              <w:spacing w:after="0" w:line="240" w:lineRule="auto"/>
              <w:jc w:val="right"/>
              <w:rPr>
                <w:rFonts w:cstheme="minorHAnsi"/>
              </w:rPr>
            </w:pPr>
            <w:r w:rsidRPr="00D80ACC">
              <w:rPr>
                <w:rFonts w:cstheme="minorHAnsi"/>
              </w:rPr>
              <w:t>201</w:t>
            </w:r>
            <w:r w:rsidR="003A673C">
              <w:rPr>
                <w:rFonts w:cstheme="minorHAnsi"/>
              </w:rPr>
              <w:t>9</w:t>
            </w:r>
          </w:p>
        </w:tc>
      </w:tr>
      <w:tr w:rsidR="00D80ACC" w:rsidRPr="00D80ACC" w14:paraId="0A89BC81" w14:textId="77777777" w:rsidTr="003A673C">
        <w:tc>
          <w:tcPr>
            <w:tcW w:w="4000" w:type="pct"/>
            <w:tcBorders>
              <w:top w:val="nil"/>
              <w:left w:val="nil"/>
              <w:bottom w:val="single" w:sz="4" w:space="0" w:color="000000" w:themeColor="text1"/>
              <w:right w:val="nil"/>
            </w:tcBorders>
            <w:vAlign w:val="bottom"/>
          </w:tcPr>
          <w:p w14:paraId="51202DFF" w14:textId="77777777" w:rsidR="00D80ACC" w:rsidRPr="00D80ACC" w:rsidRDefault="00D80ACC">
            <w:pPr>
              <w:widowControl w:val="0"/>
              <w:autoSpaceDE w:val="0"/>
              <w:autoSpaceDN w:val="0"/>
              <w:adjustRightInd w:val="0"/>
              <w:spacing w:after="0" w:line="240" w:lineRule="auto"/>
              <w:rPr>
                <w:rFonts w:cstheme="minorHAnsi"/>
              </w:rPr>
            </w:pPr>
          </w:p>
        </w:tc>
        <w:tc>
          <w:tcPr>
            <w:tcW w:w="500" w:type="pct"/>
            <w:tcBorders>
              <w:top w:val="nil"/>
              <w:left w:val="nil"/>
              <w:bottom w:val="single" w:sz="4" w:space="0" w:color="000000" w:themeColor="text1"/>
              <w:right w:val="nil"/>
            </w:tcBorders>
            <w:vAlign w:val="bottom"/>
            <w:hideMark/>
          </w:tcPr>
          <w:p w14:paraId="5A915DEF" w14:textId="77777777" w:rsidR="00D80ACC" w:rsidRPr="00D80ACC" w:rsidRDefault="00D80ACC">
            <w:pPr>
              <w:widowControl w:val="0"/>
              <w:autoSpaceDE w:val="0"/>
              <w:autoSpaceDN w:val="0"/>
              <w:adjustRightInd w:val="0"/>
              <w:spacing w:after="0" w:line="240" w:lineRule="auto"/>
              <w:jc w:val="right"/>
              <w:rPr>
                <w:rFonts w:cstheme="minorHAnsi"/>
              </w:rPr>
            </w:pPr>
            <w:r w:rsidRPr="00D80ACC">
              <w:rPr>
                <w:rFonts w:cstheme="minorHAnsi"/>
                <w:b/>
                <w:bCs/>
              </w:rPr>
              <w:t>£m</w:t>
            </w:r>
          </w:p>
        </w:tc>
        <w:tc>
          <w:tcPr>
            <w:tcW w:w="500" w:type="pct"/>
            <w:tcBorders>
              <w:top w:val="nil"/>
              <w:left w:val="nil"/>
              <w:bottom w:val="single" w:sz="4" w:space="0" w:color="000000" w:themeColor="text1"/>
              <w:right w:val="nil"/>
            </w:tcBorders>
            <w:vAlign w:val="bottom"/>
            <w:hideMark/>
          </w:tcPr>
          <w:p w14:paraId="15CD92E9" w14:textId="77777777" w:rsidR="00D80ACC" w:rsidRPr="00D80ACC" w:rsidRDefault="00D80ACC">
            <w:pPr>
              <w:widowControl w:val="0"/>
              <w:autoSpaceDE w:val="0"/>
              <w:autoSpaceDN w:val="0"/>
              <w:adjustRightInd w:val="0"/>
              <w:spacing w:after="0" w:line="240" w:lineRule="auto"/>
              <w:jc w:val="right"/>
              <w:rPr>
                <w:rFonts w:cstheme="minorHAnsi"/>
              </w:rPr>
            </w:pPr>
            <w:r w:rsidRPr="00D80ACC">
              <w:rPr>
                <w:rFonts w:cstheme="minorHAnsi"/>
              </w:rPr>
              <w:t>£m</w:t>
            </w:r>
          </w:p>
        </w:tc>
      </w:tr>
      <w:tr w:rsidR="00D80ACC" w:rsidRPr="00D80ACC" w14:paraId="239FDD60" w14:textId="77777777" w:rsidTr="003A673C">
        <w:tc>
          <w:tcPr>
            <w:tcW w:w="4000" w:type="pct"/>
            <w:tcBorders>
              <w:top w:val="single" w:sz="4" w:space="0" w:color="000000" w:themeColor="text1"/>
              <w:left w:val="nil"/>
              <w:bottom w:val="single" w:sz="4" w:space="0" w:color="000000" w:themeColor="text1"/>
              <w:right w:val="nil"/>
            </w:tcBorders>
            <w:vAlign w:val="bottom"/>
            <w:hideMark/>
          </w:tcPr>
          <w:p w14:paraId="61115BC1" w14:textId="77777777" w:rsidR="00D80ACC" w:rsidRPr="00D80ACC" w:rsidRDefault="00D80ACC">
            <w:pPr>
              <w:widowControl w:val="0"/>
              <w:autoSpaceDE w:val="0"/>
              <w:autoSpaceDN w:val="0"/>
              <w:adjustRightInd w:val="0"/>
              <w:spacing w:after="0" w:line="240" w:lineRule="auto"/>
              <w:rPr>
                <w:rFonts w:cstheme="minorHAnsi"/>
              </w:rPr>
            </w:pPr>
            <w:r w:rsidRPr="00D80ACC">
              <w:rPr>
                <w:rFonts w:cstheme="minorHAnsi"/>
                <w:b/>
                <w:bCs/>
              </w:rPr>
              <w:t>Revenue</w:t>
            </w:r>
          </w:p>
        </w:tc>
        <w:tc>
          <w:tcPr>
            <w:tcW w:w="500" w:type="pct"/>
            <w:tcBorders>
              <w:top w:val="single" w:sz="4" w:space="0" w:color="000000" w:themeColor="text1"/>
              <w:left w:val="nil"/>
              <w:bottom w:val="single" w:sz="4" w:space="0" w:color="000000" w:themeColor="text1"/>
              <w:right w:val="nil"/>
            </w:tcBorders>
            <w:vAlign w:val="bottom"/>
            <w:hideMark/>
          </w:tcPr>
          <w:p w14:paraId="71F9F279" w14:textId="733D6DD8" w:rsidR="00D80ACC" w:rsidRPr="00D80ACC" w:rsidRDefault="003A673C">
            <w:pPr>
              <w:widowControl w:val="0"/>
              <w:autoSpaceDE w:val="0"/>
              <w:autoSpaceDN w:val="0"/>
              <w:adjustRightInd w:val="0"/>
              <w:spacing w:after="0" w:line="240" w:lineRule="auto"/>
              <w:jc w:val="right"/>
              <w:rPr>
                <w:rFonts w:cstheme="minorHAnsi"/>
              </w:rPr>
            </w:pPr>
            <w:r>
              <w:rPr>
                <w:rFonts w:cstheme="minorHAnsi"/>
                <w:b/>
                <w:bCs/>
              </w:rPr>
              <w:t>231</w:t>
            </w:r>
            <w:r w:rsidR="00D80ACC" w:rsidRPr="00D80ACC">
              <w:rPr>
                <w:rFonts w:cstheme="minorHAnsi"/>
                <w:b/>
                <w:bCs/>
              </w:rPr>
              <w:t>.</w:t>
            </w:r>
            <w:r>
              <w:rPr>
                <w:rFonts w:cstheme="minorHAnsi"/>
                <w:b/>
                <w:bCs/>
              </w:rPr>
              <w:t>9</w:t>
            </w:r>
          </w:p>
        </w:tc>
        <w:tc>
          <w:tcPr>
            <w:tcW w:w="500" w:type="pct"/>
            <w:tcBorders>
              <w:top w:val="single" w:sz="4" w:space="0" w:color="000000" w:themeColor="text1"/>
              <w:left w:val="nil"/>
              <w:bottom w:val="single" w:sz="4" w:space="0" w:color="000000" w:themeColor="text1"/>
              <w:right w:val="nil"/>
            </w:tcBorders>
            <w:vAlign w:val="bottom"/>
            <w:hideMark/>
          </w:tcPr>
          <w:p w14:paraId="1CD7F35C" w14:textId="588F5BD2" w:rsidR="00D80ACC" w:rsidRPr="00D80ACC" w:rsidRDefault="00D80ACC">
            <w:pPr>
              <w:widowControl w:val="0"/>
              <w:autoSpaceDE w:val="0"/>
              <w:autoSpaceDN w:val="0"/>
              <w:adjustRightInd w:val="0"/>
              <w:spacing w:after="0" w:line="240" w:lineRule="auto"/>
              <w:jc w:val="right"/>
              <w:rPr>
                <w:rFonts w:cstheme="minorHAnsi"/>
              </w:rPr>
            </w:pPr>
            <w:r w:rsidRPr="00D80ACC">
              <w:rPr>
                <w:rFonts w:cstheme="minorHAnsi"/>
              </w:rPr>
              <w:t>3</w:t>
            </w:r>
            <w:r w:rsidR="003A673C">
              <w:rPr>
                <w:rFonts w:cstheme="minorHAnsi"/>
              </w:rPr>
              <w:t>34</w:t>
            </w:r>
            <w:r w:rsidRPr="00D80ACC">
              <w:rPr>
                <w:rFonts w:cstheme="minorHAnsi"/>
              </w:rPr>
              <w:t>.</w:t>
            </w:r>
            <w:r w:rsidR="003A673C">
              <w:rPr>
                <w:rFonts w:cstheme="minorHAnsi"/>
              </w:rPr>
              <w:t>6</w:t>
            </w:r>
          </w:p>
        </w:tc>
      </w:tr>
      <w:tr w:rsidR="00D80ACC" w:rsidRPr="00D80ACC" w14:paraId="4AF2D0EE" w14:textId="77777777" w:rsidTr="003A673C">
        <w:tc>
          <w:tcPr>
            <w:tcW w:w="4000" w:type="pct"/>
            <w:tcBorders>
              <w:top w:val="single" w:sz="4" w:space="0" w:color="000000" w:themeColor="text1"/>
              <w:left w:val="nil"/>
              <w:bottom w:val="nil"/>
              <w:right w:val="nil"/>
            </w:tcBorders>
            <w:vAlign w:val="bottom"/>
            <w:hideMark/>
          </w:tcPr>
          <w:p w14:paraId="46FC7441" w14:textId="77777777" w:rsidR="00D80ACC" w:rsidRPr="00D80ACC" w:rsidRDefault="00D80ACC">
            <w:pPr>
              <w:widowControl w:val="0"/>
              <w:autoSpaceDE w:val="0"/>
              <w:autoSpaceDN w:val="0"/>
              <w:adjustRightInd w:val="0"/>
              <w:spacing w:after="0" w:line="240" w:lineRule="auto"/>
              <w:rPr>
                <w:rFonts w:cstheme="minorHAnsi"/>
              </w:rPr>
            </w:pPr>
            <w:r w:rsidRPr="00D80ACC">
              <w:rPr>
                <w:rFonts w:cstheme="minorHAnsi"/>
                <w:b/>
                <w:bCs/>
              </w:rPr>
              <w:t>Operating profit</w:t>
            </w:r>
          </w:p>
        </w:tc>
        <w:tc>
          <w:tcPr>
            <w:tcW w:w="500" w:type="pct"/>
            <w:tcBorders>
              <w:top w:val="single" w:sz="4" w:space="0" w:color="000000" w:themeColor="text1"/>
              <w:left w:val="nil"/>
              <w:bottom w:val="nil"/>
              <w:right w:val="nil"/>
            </w:tcBorders>
            <w:vAlign w:val="bottom"/>
          </w:tcPr>
          <w:p w14:paraId="5E04CD49" w14:textId="77777777" w:rsidR="00D80ACC" w:rsidRPr="00D80ACC" w:rsidRDefault="00D80ACC">
            <w:pPr>
              <w:widowControl w:val="0"/>
              <w:autoSpaceDE w:val="0"/>
              <w:autoSpaceDN w:val="0"/>
              <w:adjustRightInd w:val="0"/>
              <w:spacing w:after="0" w:line="240" w:lineRule="auto"/>
              <w:jc w:val="right"/>
              <w:rPr>
                <w:rFonts w:cstheme="minorHAnsi"/>
              </w:rPr>
            </w:pPr>
          </w:p>
        </w:tc>
        <w:tc>
          <w:tcPr>
            <w:tcW w:w="500" w:type="pct"/>
            <w:tcBorders>
              <w:top w:val="single" w:sz="4" w:space="0" w:color="000000" w:themeColor="text1"/>
              <w:left w:val="nil"/>
              <w:bottom w:val="nil"/>
              <w:right w:val="nil"/>
            </w:tcBorders>
            <w:vAlign w:val="bottom"/>
          </w:tcPr>
          <w:p w14:paraId="79444408" w14:textId="77777777" w:rsidR="00D80ACC" w:rsidRPr="00D80ACC" w:rsidRDefault="00D80ACC">
            <w:pPr>
              <w:widowControl w:val="0"/>
              <w:autoSpaceDE w:val="0"/>
              <w:autoSpaceDN w:val="0"/>
              <w:adjustRightInd w:val="0"/>
              <w:spacing w:after="0" w:line="240" w:lineRule="auto"/>
              <w:jc w:val="right"/>
              <w:rPr>
                <w:rFonts w:cstheme="minorHAnsi"/>
              </w:rPr>
            </w:pPr>
          </w:p>
        </w:tc>
      </w:tr>
      <w:tr w:rsidR="00D80ACC" w:rsidRPr="00D80ACC" w14:paraId="76728B9C" w14:textId="77777777" w:rsidTr="003A673C">
        <w:tc>
          <w:tcPr>
            <w:tcW w:w="4000" w:type="pct"/>
            <w:vAlign w:val="bottom"/>
            <w:hideMark/>
          </w:tcPr>
          <w:p w14:paraId="60461533" w14:textId="77777777" w:rsidR="00D80ACC" w:rsidRPr="00D80ACC" w:rsidRDefault="00D80ACC">
            <w:pPr>
              <w:widowControl w:val="0"/>
              <w:autoSpaceDE w:val="0"/>
              <w:autoSpaceDN w:val="0"/>
              <w:adjustRightInd w:val="0"/>
              <w:spacing w:after="0" w:line="240" w:lineRule="auto"/>
              <w:rPr>
                <w:rFonts w:cstheme="minorHAnsi"/>
              </w:rPr>
            </w:pPr>
            <w:r w:rsidRPr="00D80ACC">
              <w:rPr>
                <w:rFonts w:cstheme="minorHAnsi"/>
              </w:rPr>
              <w:t>– Underlying</w:t>
            </w:r>
            <w:r w:rsidRPr="00D80ACC">
              <w:rPr>
                <w:rFonts w:cstheme="minorHAnsi"/>
                <w:vertAlign w:val="superscript"/>
              </w:rPr>
              <w:t>1</w:t>
            </w:r>
          </w:p>
        </w:tc>
        <w:tc>
          <w:tcPr>
            <w:tcW w:w="500" w:type="pct"/>
            <w:vAlign w:val="bottom"/>
            <w:hideMark/>
          </w:tcPr>
          <w:p w14:paraId="7BA81E17" w14:textId="14F103F4" w:rsidR="00D80ACC" w:rsidRPr="00D80ACC" w:rsidRDefault="003A673C">
            <w:pPr>
              <w:widowControl w:val="0"/>
              <w:autoSpaceDE w:val="0"/>
              <w:autoSpaceDN w:val="0"/>
              <w:adjustRightInd w:val="0"/>
              <w:spacing w:after="0" w:line="240" w:lineRule="auto"/>
              <w:jc w:val="right"/>
              <w:rPr>
                <w:rFonts w:cstheme="minorHAnsi"/>
              </w:rPr>
            </w:pPr>
            <w:r>
              <w:rPr>
                <w:rFonts w:cstheme="minorHAnsi"/>
                <w:b/>
                <w:bCs/>
              </w:rPr>
              <w:t>6</w:t>
            </w:r>
            <w:r w:rsidR="00D80ACC" w:rsidRPr="00D80ACC">
              <w:rPr>
                <w:rFonts w:cstheme="minorHAnsi"/>
                <w:b/>
                <w:bCs/>
              </w:rPr>
              <w:t>.</w:t>
            </w:r>
            <w:r>
              <w:rPr>
                <w:rFonts w:cstheme="minorHAnsi"/>
                <w:b/>
                <w:bCs/>
              </w:rPr>
              <w:t>0</w:t>
            </w:r>
          </w:p>
        </w:tc>
        <w:tc>
          <w:tcPr>
            <w:tcW w:w="500" w:type="pct"/>
            <w:vAlign w:val="bottom"/>
            <w:hideMark/>
          </w:tcPr>
          <w:p w14:paraId="7B974D04" w14:textId="62BED0EC" w:rsidR="00D80ACC" w:rsidRPr="00D80ACC" w:rsidRDefault="003A673C">
            <w:pPr>
              <w:widowControl w:val="0"/>
              <w:autoSpaceDE w:val="0"/>
              <w:autoSpaceDN w:val="0"/>
              <w:adjustRightInd w:val="0"/>
              <w:spacing w:after="0" w:line="240" w:lineRule="auto"/>
              <w:jc w:val="right"/>
              <w:rPr>
                <w:rFonts w:cstheme="minorHAnsi"/>
              </w:rPr>
            </w:pPr>
            <w:r>
              <w:rPr>
                <w:rFonts w:cstheme="minorHAnsi"/>
              </w:rPr>
              <w:t>10</w:t>
            </w:r>
            <w:r w:rsidR="00D80ACC" w:rsidRPr="00D80ACC">
              <w:rPr>
                <w:rFonts w:cstheme="minorHAnsi"/>
              </w:rPr>
              <w:t>.</w:t>
            </w:r>
            <w:r>
              <w:rPr>
                <w:rFonts w:cstheme="minorHAnsi"/>
              </w:rPr>
              <w:t>2</w:t>
            </w:r>
          </w:p>
        </w:tc>
      </w:tr>
      <w:tr w:rsidR="00D80ACC" w:rsidRPr="00D80ACC" w14:paraId="58634743" w14:textId="77777777" w:rsidTr="003A673C">
        <w:tc>
          <w:tcPr>
            <w:tcW w:w="4000" w:type="pct"/>
            <w:tcBorders>
              <w:top w:val="nil"/>
              <w:left w:val="nil"/>
              <w:bottom w:val="single" w:sz="4" w:space="0" w:color="000000" w:themeColor="text1"/>
              <w:right w:val="nil"/>
            </w:tcBorders>
            <w:vAlign w:val="bottom"/>
            <w:hideMark/>
          </w:tcPr>
          <w:p w14:paraId="2362D4F0" w14:textId="77777777" w:rsidR="00D80ACC" w:rsidRPr="00D80ACC" w:rsidRDefault="00D80ACC">
            <w:pPr>
              <w:widowControl w:val="0"/>
              <w:autoSpaceDE w:val="0"/>
              <w:autoSpaceDN w:val="0"/>
              <w:adjustRightInd w:val="0"/>
              <w:spacing w:after="0" w:line="240" w:lineRule="auto"/>
              <w:rPr>
                <w:rFonts w:cstheme="minorHAnsi"/>
              </w:rPr>
            </w:pPr>
            <w:r w:rsidRPr="00D80ACC">
              <w:rPr>
                <w:rFonts w:cstheme="minorHAnsi"/>
              </w:rPr>
              <w:t>– Reported</w:t>
            </w:r>
          </w:p>
        </w:tc>
        <w:tc>
          <w:tcPr>
            <w:tcW w:w="500" w:type="pct"/>
            <w:tcBorders>
              <w:top w:val="nil"/>
              <w:left w:val="nil"/>
              <w:bottom w:val="single" w:sz="4" w:space="0" w:color="000000" w:themeColor="text1"/>
              <w:right w:val="nil"/>
            </w:tcBorders>
            <w:vAlign w:val="bottom"/>
            <w:hideMark/>
          </w:tcPr>
          <w:p w14:paraId="218FB901" w14:textId="256C288D" w:rsidR="00D80ACC" w:rsidRPr="00D80ACC" w:rsidRDefault="003A673C">
            <w:pPr>
              <w:widowControl w:val="0"/>
              <w:autoSpaceDE w:val="0"/>
              <w:autoSpaceDN w:val="0"/>
              <w:adjustRightInd w:val="0"/>
              <w:spacing w:after="0" w:line="240" w:lineRule="auto"/>
              <w:jc w:val="right"/>
              <w:rPr>
                <w:rFonts w:cstheme="minorHAnsi"/>
              </w:rPr>
            </w:pPr>
            <w:r>
              <w:rPr>
                <w:rFonts w:cstheme="minorHAnsi"/>
                <w:b/>
                <w:bCs/>
              </w:rPr>
              <w:t>2</w:t>
            </w:r>
            <w:r w:rsidR="00D80ACC" w:rsidRPr="00D80ACC">
              <w:rPr>
                <w:rFonts w:cstheme="minorHAnsi"/>
                <w:b/>
                <w:bCs/>
              </w:rPr>
              <w:t>.</w:t>
            </w:r>
            <w:r>
              <w:rPr>
                <w:rFonts w:cstheme="minorHAnsi"/>
                <w:b/>
                <w:bCs/>
              </w:rPr>
              <w:t>1</w:t>
            </w:r>
          </w:p>
        </w:tc>
        <w:tc>
          <w:tcPr>
            <w:tcW w:w="500" w:type="pct"/>
            <w:tcBorders>
              <w:top w:val="nil"/>
              <w:left w:val="nil"/>
              <w:bottom w:val="single" w:sz="4" w:space="0" w:color="000000" w:themeColor="text1"/>
              <w:right w:val="nil"/>
            </w:tcBorders>
            <w:vAlign w:val="bottom"/>
            <w:hideMark/>
          </w:tcPr>
          <w:p w14:paraId="21B92F96" w14:textId="658E6507" w:rsidR="00D80ACC" w:rsidRPr="00D80ACC" w:rsidRDefault="003A673C">
            <w:pPr>
              <w:widowControl w:val="0"/>
              <w:autoSpaceDE w:val="0"/>
              <w:autoSpaceDN w:val="0"/>
              <w:adjustRightInd w:val="0"/>
              <w:spacing w:after="0" w:line="240" w:lineRule="auto"/>
              <w:jc w:val="right"/>
              <w:rPr>
                <w:rFonts w:cstheme="minorHAnsi"/>
              </w:rPr>
            </w:pPr>
            <w:r>
              <w:rPr>
                <w:rFonts w:cstheme="minorHAnsi"/>
              </w:rPr>
              <w:t>10</w:t>
            </w:r>
            <w:r w:rsidR="00D80ACC" w:rsidRPr="00D80ACC">
              <w:rPr>
                <w:rFonts w:cstheme="minorHAnsi"/>
              </w:rPr>
              <w:t>.</w:t>
            </w:r>
            <w:r>
              <w:rPr>
                <w:rFonts w:cstheme="minorHAnsi"/>
              </w:rPr>
              <w:t>0</w:t>
            </w:r>
          </w:p>
        </w:tc>
      </w:tr>
      <w:tr w:rsidR="00D80ACC" w:rsidRPr="00D80ACC" w14:paraId="4049AC09" w14:textId="77777777" w:rsidTr="003A673C">
        <w:tc>
          <w:tcPr>
            <w:tcW w:w="4000" w:type="pct"/>
            <w:tcBorders>
              <w:top w:val="single" w:sz="4" w:space="0" w:color="000000" w:themeColor="text1"/>
              <w:left w:val="nil"/>
              <w:bottom w:val="nil"/>
              <w:right w:val="nil"/>
            </w:tcBorders>
            <w:vAlign w:val="bottom"/>
            <w:hideMark/>
          </w:tcPr>
          <w:p w14:paraId="73B1B0E6" w14:textId="77777777" w:rsidR="00D80ACC" w:rsidRPr="00D80ACC" w:rsidRDefault="00D80ACC">
            <w:pPr>
              <w:widowControl w:val="0"/>
              <w:autoSpaceDE w:val="0"/>
              <w:autoSpaceDN w:val="0"/>
              <w:adjustRightInd w:val="0"/>
              <w:spacing w:after="0" w:line="240" w:lineRule="auto"/>
              <w:rPr>
                <w:rFonts w:cstheme="minorHAnsi"/>
              </w:rPr>
            </w:pPr>
            <w:r w:rsidRPr="00D80ACC">
              <w:rPr>
                <w:rFonts w:cstheme="minorHAnsi"/>
                <w:b/>
                <w:bCs/>
              </w:rPr>
              <w:t>Profit before tax</w:t>
            </w:r>
          </w:p>
        </w:tc>
        <w:tc>
          <w:tcPr>
            <w:tcW w:w="500" w:type="pct"/>
            <w:tcBorders>
              <w:top w:val="single" w:sz="4" w:space="0" w:color="000000" w:themeColor="text1"/>
              <w:left w:val="nil"/>
              <w:bottom w:val="nil"/>
              <w:right w:val="nil"/>
            </w:tcBorders>
            <w:vAlign w:val="bottom"/>
          </w:tcPr>
          <w:p w14:paraId="02DC666A" w14:textId="77777777" w:rsidR="00D80ACC" w:rsidRPr="00D80ACC" w:rsidRDefault="00D80ACC">
            <w:pPr>
              <w:widowControl w:val="0"/>
              <w:autoSpaceDE w:val="0"/>
              <w:autoSpaceDN w:val="0"/>
              <w:adjustRightInd w:val="0"/>
              <w:spacing w:after="0" w:line="240" w:lineRule="auto"/>
              <w:jc w:val="right"/>
              <w:rPr>
                <w:rFonts w:cstheme="minorHAnsi"/>
              </w:rPr>
            </w:pPr>
          </w:p>
        </w:tc>
        <w:tc>
          <w:tcPr>
            <w:tcW w:w="500" w:type="pct"/>
            <w:tcBorders>
              <w:top w:val="single" w:sz="4" w:space="0" w:color="000000" w:themeColor="text1"/>
              <w:left w:val="nil"/>
              <w:bottom w:val="nil"/>
              <w:right w:val="nil"/>
            </w:tcBorders>
            <w:vAlign w:val="bottom"/>
          </w:tcPr>
          <w:p w14:paraId="5C51918D" w14:textId="77777777" w:rsidR="00D80ACC" w:rsidRPr="00D80ACC" w:rsidRDefault="00D80ACC">
            <w:pPr>
              <w:widowControl w:val="0"/>
              <w:autoSpaceDE w:val="0"/>
              <w:autoSpaceDN w:val="0"/>
              <w:adjustRightInd w:val="0"/>
              <w:spacing w:after="0" w:line="240" w:lineRule="auto"/>
              <w:jc w:val="right"/>
              <w:rPr>
                <w:rFonts w:cstheme="minorHAnsi"/>
              </w:rPr>
            </w:pPr>
          </w:p>
        </w:tc>
      </w:tr>
      <w:tr w:rsidR="00D80ACC" w:rsidRPr="00D80ACC" w14:paraId="1CE5B892" w14:textId="77777777" w:rsidTr="003A673C">
        <w:tc>
          <w:tcPr>
            <w:tcW w:w="4000" w:type="pct"/>
            <w:vAlign w:val="bottom"/>
            <w:hideMark/>
          </w:tcPr>
          <w:p w14:paraId="6559AFA2" w14:textId="77777777" w:rsidR="00D80ACC" w:rsidRPr="00D80ACC" w:rsidRDefault="00D80ACC">
            <w:pPr>
              <w:widowControl w:val="0"/>
              <w:autoSpaceDE w:val="0"/>
              <w:autoSpaceDN w:val="0"/>
              <w:adjustRightInd w:val="0"/>
              <w:spacing w:after="0" w:line="240" w:lineRule="auto"/>
              <w:rPr>
                <w:rFonts w:cstheme="minorHAnsi"/>
              </w:rPr>
            </w:pPr>
            <w:r w:rsidRPr="00D80ACC">
              <w:rPr>
                <w:rFonts w:cstheme="minorHAnsi"/>
              </w:rPr>
              <w:t>– Underlying</w:t>
            </w:r>
            <w:r w:rsidRPr="00D80ACC">
              <w:rPr>
                <w:rFonts w:cstheme="minorHAnsi"/>
                <w:vertAlign w:val="superscript"/>
              </w:rPr>
              <w:t>1</w:t>
            </w:r>
          </w:p>
        </w:tc>
        <w:tc>
          <w:tcPr>
            <w:tcW w:w="500" w:type="pct"/>
            <w:vAlign w:val="bottom"/>
            <w:hideMark/>
          </w:tcPr>
          <w:p w14:paraId="3CB3B5F0" w14:textId="50404BCB" w:rsidR="00D80ACC" w:rsidRPr="00D80ACC" w:rsidRDefault="003A673C">
            <w:pPr>
              <w:widowControl w:val="0"/>
              <w:autoSpaceDE w:val="0"/>
              <w:autoSpaceDN w:val="0"/>
              <w:adjustRightInd w:val="0"/>
              <w:spacing w:after="0" w:line="240" w:lineRule="auto"/>
              <w:jc w:val="right"/>
              <w:rPr>
                <w:rFonts w:cstheme="minorHAnsi"/>
              </w:rPr>
            </w:pPr>
            <w:r>
              <w:rPr>
                <w:rFonts w:cstheme="minorHAnsi"/>
                <w:b/>
                <w:bCs/>
              </w:rPr>
              <w:t>5</w:t>
            </w:r>
            <w:r w:rsidR="00D80ACC" w:rsidRPr="00D80ACC">
              <w:rPr>
                <w:rFonts w:cstheme="minorHAnsi"/>
                <w:b/>
                <w:bCs/>
              </w:rPr>
              <w:t>.</w:t>
            </w:r>
            <w:r>
              <w:rPr>
                <w:rFonts w:cstheme="minorHAnsi"/>
                <w:b/>
                <w:bCs/>
              </w:rPr>
              <w:t>1</w:t>
            </w:r>
          </w:p>
        </w:tc>
        <w:tc>
          <w:tcPr>
            <w:tcW w:w="500" w:type="pct"/>
            <w:vAlign w:val="bottom"/>
            <w:hideMark/>
          </w:tcPr>
          <w:p w14:paraId="55579B18" w14:textId="7FB02CB4" w:rsidR="00D80ACC" w:rsidRPr="00D80ACC" w:rsidRDefault="003A673C">
            <w:pPr>
              <w:widowControl w:val="0"/>
              <w:autoSpaceDE w:val="0"/>
              <w:autoSpaceDN w:val="0"/>
              <w:adjustRightInd w:val="0"/>
              <w:spacing w:after="0" w:line="240" w:lineRule="auto"/>
              <w:jc w:val="right"/>
              <w:rPr>
                <w:rFonts w:cstheme="minorHAnsi"/>
              </w:rPr>
            </w:pPr>
            <w:r>
              <w:rPr>
                <w:rFonts w:cstheme="minorHAnsi"/>
              </w:rPr>
              <w:t>9</w:t>
            </w:r>
            <w:r w:rsidR="00D80ACC" w:rsidRPr="00D80ACC">
              <w:rPr>
                <w:rFonts w:cstheme="minorHAnsi"/>
              </w:rPr>
              <w:t>.</w:t>
            </w:r>
            <w:r>
              <w:rPr>
                <w:rFonts w:cstheme="minorHAnsi"/>
              </w:rPr>
              <w:t>2</w:t>
            </w:r>
          </w:p>
        </w:tc>
      </w:tr>
      <w:tr w:rsidR="00D80ACC" w:rsidRPr="00D80ACC" w14:paraId="6EC2E929" w14:textId="77777777" w:rsidTr="003A673C">
        <w:tc>
          <w:tcPr>
            <w:tcW w:w="4000" w:type="pct"/>
            <w:tcBorders>
              <w:top w:val="nil"/>
              <w:left w:val="nil"/>
              <w:bottom w:val="single" w:sz="4" w:space="0" w:color="000000" w:themeColor="text1"/>
              <w:right w:val="nil"/>
            </w:tcBorders>
            <w:vAlign w:val="bottom"/>
            <w:hideMark/>
          </w:tcPr>
          <w:p w14:paraId="33E66C24" w14:textId="77777777" w:rsidR="00D80ACC" w:rsidRPr="00D80ACC" w:rsidRDefault="00D80ACC">
            <w:pPr>
              <w:widowControl w:val="0"/>
              <w:autoSpaceDE w:val="0"/>
              <w:autoSpaceDN w:val="0"/>
              <w:adjustRightInd w:val="0"/>
              <w:spacing w:after="0" w:line="240" w:lineRule="auto"/>
              <w:rPr>
                <w:rFonts w:cstheme="minorHAnsi"/>
              </w:rPr>
            </w:pPr>
            <w:r w:rsidRPr="00D80ACC">
              <w:rPr>
                <w:rFonts w:cstheme="minorHAnsi"/>
              </w:rPr>
              <w:t>– Reported</w:t>
            </w:r>
          </w:p>
        </w:tc>
        <w:tc>
          <w:tcPr>
            <w:tcW w:w="500" w:type="pct"/>
            <w:tcBorders>
              <w:top w:val="nil"/>
              <w:left w:val="nil"/>
              <w:bottom w:val="single" w:sz="4" w:space="0" w:color="000000" w:themeColor="text1"/>
              <w:right w:val="nil"/>
            </w:tcBorders>
            <w:vAlign w:val="bottom"/>
            <w:hideMark/>
          </w:tcPr>
          <w:p w14:paraId="29CF7646" w14:textId="75B0419B" w:rsidR="00D80ACC" w:rsidRPr="00D80ACC" w:rsidRDefault="003A673C">
            <w:pPr>
              <w:widowControl w:val="0"/>
              <w:autoSpaceDE w:val="0"/>
              <w:autoSpaceDN w:val="0"/>
              <w:adjustRightInd w:val="0"/>
              <w:spacing w:after="0" w:line="240" w:lineRule="auto"/>
              <w:jc w:val="right"/>
              <w:rPr>
                <w:rFonts w:cstheme="minorHAnsi"/>
              </w:rPr>
            </w:pPr>
            <w:r>
              <w:rPr>
                <w:rFonts w:cstheme="minorHAnsi"/>
                <w:b/>
                <w:bCs/>
              </w:rPr>
              <w:t>1</w:t>
            </w:r>
            <w:r w:rsidR="00D80ACC" w:rsidRPr="00D80ACC">
              <w:rPr>
                <w:rFonts w:cstheme="minorHAnsi"/>
                <w:b/>
                <w:bCs/>
              </w:rPr>
              <w:t>.</w:t>
            </w:r>
            <w:r>
              <w:rPr>
                <w:rFonts w:cstheme="minorHAnsi"/>
                <w:b/>
                <w:bCs/>
              </w:rPr>
              <w:t>2</w:t>
            </w:r>
          </w:p>
        </w:tc>
        <w:tc>
          <w:tcPr>
            <w:tcW w:w="500" w:type="pct"/>
            <w:tcBorders>
              <w:top w:val="nil"/>
              <w:left w:val="nil"/>
              <w:bottom w:val="single" w:sz="4" w:space="0" w:color="000000" w:themeColor="text1"/>
              <w:right w:val="nil"/>
            </w:tcBorders>
            <w:vAlign w:val="bottom"/>
            <w:hideMark/>
          </w:tcPr>
          <w:p w14:paraId="16F92310" w14:textId="15CA912E" w:rsidR="00D80ACC" w:rsidRPr="00D80ACC" w:rsidRDefault="003A673C">
            <w:pPr>
              <w:widowControl w:val="0"/>
              <w:autoSpaceDE w:val="0"/>
              <w:autoSpaceDN w:val="0"/>
              <w:adjustRightInd w:val="0"/>
              <w:spacing w:after="0" w:line="240" w:lineRule="auto"/>
              <w:jc w:val="right"/>
              <w:rPr>
                <w:rFonts w:cstheme="minorHAnsi"/>
              </w:rPr>
            </w:pPr>
            <w:r>
              <w:rPr>
                <w:rFonts w:cstheme="minorHAnsi"/>
              </w:rPr>
              <w:t>9</w:t>
            </w:r>
            <w:r w:rsidR="00D80ACC" w:rsidRPr="00D80ACC">
              <w:rPr>
                <w:rFonts w:cstheme="minorHAnsi"/>
              </w:rPr>
              <w:t>.</w:t>
            </w:r>
            <w:r>
              <w:rPr>
                <w:rFonts w:cstheme="minorHAnsi"/>
              </w:rPr>
              <w:t>0</w:t>
            </w:r>
          </w:p>
        </w:tc>
      </w:tr>
      <w:tr w:rsidR="00D80ACC" w:rsidRPr="00D80ACC" w14:paraId="0292438E" w14:textId="77777777" w:rsidTr="003A673C">
        <w:tc>
          <w:tcPr>
            <w:tcW w:w="4000" w:type="pct"/>
            <w:tcBorders>
              <w:top w:val="single" w:sz="4" w:space="0" w:color="000000" w:themeColor="text1"/>
              <w:left w:val="nil"/>
              <w:bottom w:val="nil"/>
              <w:right w:val="nil"/>
            </w:tcBorders>
            <w:vAlign w:val="bottom"/>
            <w:hideMark/>
          </w:tcPr>
          <w:p w14:paraId="4677CD9E" w14:textId="77777777" w:rsidR="00D80ACC" w:rsidRPr="00D80ACC" w:rsidRDefault="00D80ACC">
            <w:pPr>
              <w:widowControl w:val="0"/>
              <w:autoSpaceDE w:val="0"/>
              <w:autoSpaceDN w:val="0"/>
              <w:adjustRightInd w:val="0"/>
              <w:spacing w:after="0" w:line="240" w:lineRule="auto"/>
              <w:rPr>
                <w:rFonts w:cstheme="minorHAnsi"/>
              </w:rPr>
            </w:pPr>
            <w:r w:rsidRPr="00D80ACC">
              <w:rPr>
                <w:rFonts w:cstheme="minorHAnsi"/>
                <w:b/>
                <w:bCs/>
              </w:rPr>
              <w:t>Profit after tax</w:t>
            </w:r>
          </w:p>
        </w:tc>
        <w:tc>
          <w:tcPr>
            <w:tcW w:w="500" w:type="pct"/>
            <w:tcBorders>
              <w:top w:val="single" w:sz="4" w:space="0" w:color="000000" w:themeColor="text1"/>
              <w:left w:val="nil"/>
              <w:bottom w:val="nil"/>
              <w:right w:val="nil"/>
            </w:tcBorders>
            <w:vAlign w:val="bottom"/>
          </w:tcPr>
          <w:p w14:paraId="7D180CD2" w14:textId="77777777" w:rsidR="00D80ACC" w:rsidRPr="00D80ACC" w:rsidRDefault="00D80ACC">
            <w:pPr>
              <w:widowControl w:val="0"/>
              <w:autoSpaceDE w:val="0"/>
              <w:autoSpaceDN w:val="0"/>
              <w:adjustRightInd w:val="0"/>
              <w:spacing w:after="0" w:line="240" w:lineRule="auto"/>
              <w:jc w:val="right"/>
              <w:rPr>
                <w:rFonts w:cstheme="minorHAnsi"/>
              </w:rPr>
            </w:pPr>
          </w:p>
        </w:tc>
        <w:tc>
          <w:tcPr>
            <w:tcW w:w="500" w:type="pct"/>
            <w:tcBorders>
              <w:top w:val="single" w:sz="4" w:space="0" w:color="000000" w:themeColor="text1"/>
              <w:left w:val="nil"/>
              <w:bottom w:val="nil"/>
              <w:right w:val="nil"/>
            </w:tcBorders>
            <w:vAlign w:val="bottom"/>
          </w:tcPr>
          <w:p w14:paraId="1EB0E01C" w14:textId="77777777" w:rsidR="00D80ACC" w:rsidRPr="00D80ACC" w:rsidRDefault="00D80ACC">
            <w:pPr>
              <w:widowControl w:val="0"/>
              <w:autoSpaceDE w:val="0"/>
              <w:autoSpaceDN w:val="0"/>
              <w:adjustRightInd w:val="0"/>
              <w:spacing w:after="0" w:line="240" w:lineRule="auto"/>
              <w:jc w:val="right"/>
              <w:rPr>
                <w:rFonts w:cstheme="minorHAnsi"/>
              </w:rPr>
            </w:pPr>
          </w:p>
        </w:tc>
      </w:tr>
      <w:tr w:rsidR="00D80ACC" w:rsidRPr="00D80ACC" w14:paraId="755FDF42" w14:textId="77777777" w:rsidTr="003A673C">
        <w:tc>
          <w:tcPr>
            <w:tcW w:w="4000" w:type="pct"/>
            <w:vAlign w:val="bottom"/>
            <w:hideMark/>
          </w:tcPr>
          <w:p w14:paraId="40364699" w14:textId="77777777" w:rsidR="00D80ACC" w:rsidRPr="00D80ACC" w:rsidRDefault="00D80ACC">
            <w:pPr>
              <w:widowControl w:val="0"/>
              <w:autoSpaceDE w:val="0"/>
              <w:autoSpaceDN w:val="0"/>
              <w:adjustRightInd w:val="0"/>
              <w:spacing w:after="0" w:line="240" w:lineRule="auto"/>
              <w:rPr>
                <w:rFonts w:cstheme="minorHAnsi"/>
              </w:rPr>
            </w:pPr>
            <w:r w:rsidRPr="00D80ACC">
              <w:rPr>
                <w:rFonts w:cstheme="minorHAnsi"/>
              </w:rPr>
              <w:t>– Underlying</w:t>
            </w:r>
            <w:r w:rsidRPr="00D80ACC">
              <w:rPr>
                <w:rFonts w:cstheme="minorHAnsi"/>
                <w:vertAlign w:val="superscript"/>
              </w:rPr>
              <w:t>1</w:t>
            </w:r>
          </w:p>
        </w:tc>
        <w:tc>
          <w:tcPr>
            <w:tcW w:w="500" w:type="pct"/>
            <w:vAlign w:val="bottom"/>
            <w:hideMark/>
          </w:tcPr>
          <w:p w14:paraId="7D3F3545" w14:textId="3B6B7C73" w:rsidR="00D80ACC" w:rsidRPr="00D80ACC" w:rsidRDefault="003A673C">
            <w:pPr>
              <w:widowControl w:val="0"/>
              <w:autoSpaceDE w:val="0"/>
              <w:autoSpaceDN w:val="0"/>
              <w:adjustRightInd w:val="0"/>
              <w:spacing w:after="0" w:line="240" w:lineRule="auto"/>
              <w:jc w:val="right"/>
              <w:rPr>
                <w:rFonts w:cstheme="minorHAnsi"/>
              </w:rPr>
            </w:pPr>
            <w:r>
              <w:rPr>
                <w:rFonts w:cstheme="minorHAnsi"/>
                <w:b/>
                <w:bCs/>
              </w:rPr>
              <w:t>4</w:t>
            </w:r>
            <w:r w:rsidR="00D80ACC" w:rsidRPr="00D80ACC">
              <w:rPr>
                <w:rFonts w:cstheme="minorHAnsi"/>
                <w:b/>
                <w:bCs/>
              </w:rPr>
              <w:t>.</w:t>
            </w:r>
            <w:r>
              <w:rPr>
                <w:rFonts w:cstheme="minorHAnsi"/>
                <w:b/>
                <w:bCs/>
              </w:rPr>
              <w:t>3</w:t>
            </w:r>
          </w:p>
        </w:tc>
        <w:tc>
          <w:tcPr>
            <w:tcW w:w="500" w:type="pct"/>
            <w:vAlign w:val="bottom"/>
            <w:hideMark/>
          </w:tcPr>
          <w:p w14:paraId="7CEB992A" w14:textId="102AFECF" w:rsidR="00D80ACC" w:rsidRPr="00D80ACC" w:rsidRDefault="003A673C">
            <w:pPr>
              <w:widowControl w:val="0"/>
              <w:autoSpaceDE w:val="0"/>
              <w:autoSpaceDN w:val="0"/>
              <w:adjustRightInd w:val="0"/>
              <w:spacing w:after="0" w:line="240" w:lineRule="auto"/>
              <w:jc w:val="right"/>
              <w:rPr>
                <w:rFonts w:cstheme="minorHAnsi"/>
              </w:rPr>
            </w:pPr>
            <w:r>
              <w:rPr>
                <w:rFonts w:cstheme="minorHAnsi"/>
              </w:rPr>
              <w:t>8</w:t>
            </w:r>
            <w:r w:rsidR="00D80ACC" w:rsidRPr="00D80ACC">
              <w:rPr>
                <w:rFonts w:cstheme="minorHAnsi"/>
              </w:rPr>
              <w:t>.</w:t>
            </w:r>
            <w:r>
              <w:rPr>
                <w:rFonts w:cstheme="minorHAnsi"/>
              </w:rPr>
              <w:t>0</w:t>
            </w:r>
          </w:p>
        </w:tc>
      </w:tr>
      <w:tr w:rsidR="00D80ACC" w:rsidRPr="00D80ACC" w14:paraId="68322D18" w14:textId="77777777" w:rsidTr="003A673C">
        <w:tc>
          <w:tcPr>
            <w:tcW w:w="4000" w:type="pct"/>
            <w:tcBorders>
              <w:top w:val="nil"/>
              <w:left w:val="nil"/>
              <w:bottom w:val="single" w:sz="4" w:space="0" w:color="000000" w:themeColor="text1"/>
              <w:right w:val="nil"/>
            </w:tcBorders>
            <w:vAlign w:val="bottom"/>
            <w:hideMark/>
          </w:tcPr>
          <w:p w14:paraId="7A04E2AE" w14:textId="77777777" w:rsidR="00D80ACC" w:rsidRPr="00D80ACC" w:rsidRDefault="00D80ACC">
            <w:pPr>
              <w:widowControl w:val="0"/>
              <w:autoSpaceDE w:val="0"/>
              <w:autoSpaceDN w:val="0"/>
              <w:adjustRightInd w:val="0"/>
              <w:spacing w:after="0" w:line="240" w:lineRule="auto"/>
              <w:rPr>
                <w:rFonts w:cstheme="minorHAnsi"/>
              </w:rPr>
            </w:pPr>
            <w:r w:rsidRPr="00D80ACC">
              <w:rPr>
                <w:rFonts w:cstheme="minorHAnsi"/>
              </w:rPr>
              <w:t>– Reported</w:t>
            </w:r>
          </w:p>
        </w:tc>
        <w:tc>
          <w:tcPr>
            <w:tcW w:w="500" w:type="pct"/>
            <w:tcBorders>
              <w:top w:val="nil"/>
              <w:left w:val="nil"/>
              <w:bottom w:val="single" w:sz="4" w:space="0" w:color="000000" w:themeColor="text1"/>
              <w:right w:val="nil"/>
            </w:tcBorders>
            <w:vAlign w:val="bottom"/>
            <w:hideMark/>
          </w:tcPr>
          <w:p w14:paraId="28792938" w14:textId="30B336E1" w:rsidR="00D80ACC" w:rsidRPr="00D80ACC" w:rsidRDefault="003A673C">
            <w:pPr>
              <w:widowControl w:val="0"/>
              <w:autoSpaceDE w:val="0"/>
              <w:autoSpaceDN w:val="0"/>
              <w:adjustRightInd w:val="0"/>
              <w:spacing w:after="0" w:line="240" w:lineRule="auto"/>
              <w:jc w:val="right"/>
              <w:rPr>
                <w:rFonts w:cstheme="minorHAnsi"/>
              </w:rPr>
            </w:pPr>
            <w:r>
              <w:rPr>
                <w:rFonts w:cstheme="minorHAnsi"/>
                <w:b/>
                <w:bCs/>
              </w:rPr>
              <w:t>1</w:t>
            </w:r>
            <w:r w:rsidR="00D80ACC" w:rsidRPr="00D80ACC">
              <w:rPr>
                <w:rFonts w:cstheme="minorHAnsi"/>
                <w:b/>
                <w:bCs/>
              </w:rPr>
              <w:t>.</w:t>
            </w:r>
            <w:r>
              <w:rPr>
                <w:rFonts w:cstheme="minorHAnsi"/>
                <w:b/>
                <w:bCs/>
              </w:rPr>
              <w:t>2</w:t>
            </w:r>
          </w:p>
        </w:tc>
        <w:tc>
          <w:tcPr>
            <w:tcW w:w="500" w:type="pct"/>
            <w:tcBorders>
              <w:top w:val="nil"/>
              <w:left w:val="nil"/>
              <w:bottom w:val="single" w:sz="4" w:space="0" w:color="000000" w:themeColor="text1"/>
              <w:right w:val="nil"/>
            </w:tcBorders>
            <w:vAlign w:val="bottom"/>
            <w:hideMark/>
          </w:tcPr>
          <w:p w14:paraId="4B2F147F" w14:textId="4F9FC9C6" w:rsidR="00D80ACC" w:rsidRPr="00D80ACC" w:rsidRDefault="003A673C">
            <w:pPr>
              <w:widowControl w:val="0"/>
              <w:autoSpaceDE w:val="0"/>
              <w:autoSpaceDN w:val="0"/>
              <w:adjustRightInd w:val="0"/>
              <w:spacing w:after="0" w:line="240" w:lineRule="auto"/>
              <w:jc w:val="right"/>
              <w:rPr>
                <w:rFonts w:cstheme="minorHAnsi"/>
              </w:rPr>
            </w:pPr>
            <w:r>
              <w:rPr>
                <w:rFonts w:cstheme="minorHAnsi"/>
              </w:rPr>
              <w:t>7</w:t>
            </w:r>
            <w:r w:rsidR="00D80ACC" w:rsidRPr="00D80ACC">
              <w:rPr>
                <w:rFonts w:cstheme="minorHAnsi"/>
              </w:rPr>
              <w:t>.</w:t>
            </w:r>
            <w:r>
              <w:rPr>
                <w:rFonts w:cstheme="minorHAnsi"/>
              </w:rPr>
              <w:t>8</w:t>
            </w:r>
          </w:p>
        </w:tc>
      </w:tr>
      <w:tr w:rsidR="00D80ACC" w:rsidRPr="00D80ACC" w14:paraId="007CD1DC" w14:textId="77777777" w:rsidTr="003A673C">
        <w:tc>
          <w:tcPr>
            <w:tcW w:w="4000" w:type="pct"/>
            <w:tcBorders>
              <w:top w:val="single" w:sz="4" w:space="0" w:color="000000" w:themeColor="text1"/>
              <w:left w:val="nil"/>
              <w:bottom w:val="single" w:sz="4" w:space="0" w:color="000000" w:themeColor="text1"/>
              <w:right w:val="nil"/>
            </w:tcBorders>
            <w:vAlign w:val="bottom"/>
            <w:hideMark/>
          </w:tcPr>
          <w:p w14:paraId="67F8CD34" w14:textId="77777777" w:rsidR="00D80ACC" w:rsidRPr="00D80ACC" w:rsidRDefault="00D80ACC">
            <w:pPr>
              <w:widowControl w:val="0"/>
              <w:autoSpaceDE w:val="0"/>
              <w:autoSpaceDN w:val="0"/>
              <w:adjustRightInd w:val="0"/>
              <w:spacing w:after="0" w:line="240" w:lineRule="auto"/>
              <w:rPr>
                <w:rFonts w:cstheme="minorHAnsi"/>
              </w:rPr>
            </w:pPr>
            <w:r w:rsidRPr="00D80ACC">
              <w:rPr>
                <w:rFonts w:cstheme="minorHAnsi"/>
                <w:b/>
                <w:bCs/>
              </w:rPr>
              <w:t>Profit for the year</w:t>
            </w:r>
          </w:p>
        </w:tc>
        <w:tc>
          <w:tcPr>
            <w:tcW w:w="500" w:type="pct"/>
            <w:tcBorders>
              <w:top w:val="single" w:sz="4" w:space="0" w:color="000000" w:themeColor="text1"/>
              <w:left w:val="nil"/>
              <w:bottom w:val="single" w:sz="4" w:space="0" w:color="000000" w:themeColor="text1"/>
              <w:right w:val="nil"/>
            </w:tcBorders>
            <w:vAlign w:val="bottom"/>
            <w:hideMark/>
          </w:tcPr>
          <w:p w14:paraId="4EE53BC6" w14:textId="67B0D3FA" w:rsidR="00D80ACC" w:rsidRPr="00D80ACC" w:rsidRDefault="003A673C">
            <w:pPr>
              <w:widowControl w:val="0"/>
              <w:autoSpaceDE w:val="0"/>
              <w:autoSpaceDN w:val="0"/>
              <w:adjustRightInd w:val="0"/>
              <w:spacing w:after="0" w:line="240" w:lineRule="auto"/>
              <w:jc w:val="right"/>
              <w:rPr>
                <w:rFonts w:cstheme="minorHAnsi"/>
              </w:rPr>
            </w:pPr>
            <w:r>
              <w:rPr>
                <w:rFonts w:cstheme="minorHAnsi"/>
                <w:b/>
                <w:bCs/>
              </w:rPr>
              <w:t>1</w:t>
            </w:r>
            <w:r w:rsidR="00D80ACC" w:rsidRPr="00D80ACC">
              <w:rPr>
                <w:rFonts w:cstheme="minorHAnsi"/>
                <w:b/>
                <w:bCs/>
              </w:rPr>
              <w:t>.</w:t>
            </w:r>
            <w:r>
              <w:rPr>
                <w:rFonts w:cstheme="minorHAnsi"/>
                <w:b/>
                <w:bCs/>
              </w:rPr>
              <w:t>2</w:t>
            </w:r>
          </w:p>
        </w:tc>
        <w:tc>
          <w:tcPr>
            <w:tcW w:w="500" w:type="pct"/>
            <w:tcBorders>
              <w:top w:val="single" w:sz="4" w:space="0" w:color="000000" w:themeColor="text1"/>
              <w:left w:val="nil"/>
              <w:bottom w:val="single" w:sz="4" w:space="0" w:color="000000" w:themeColor="text1"/>
              <w:right w:val="nil"/>
            </w:tcBorders>
            <w:vAlign w:val="bottom"/>
            <w:hideMark/>
          </w:tcPr>
          <w:p w14:paraId="4B330CBF" w14:textId="20FB6C0D" w:rsidR="00D80ACC" w:rsidRPr="00D80ACC" w:rsidRDefault="003A673C">
            <w:pPr>
              <w:widowControl w:val="0"/>
              <w:autoSpaceDE w:val="0"/>
              <w:autoSpaceDN w:val="0"/>
              <w:adjustRightInd w:val="0"/>
              <w:spacing w:after="0" w:line="240" w:lineRule="auto"/>
              <w:jc w:val="right"/>
              <w:rPr>
                <w:rFonts w:cstheme="minorHAnsi"/>
              </w:rPr>
            </w:pPr>
            <w:r>
              <w:rPr>
                <w:rFonts w:cstheme="minorHAnsi"/>
              </w:rPr>
              <w:t>7</w:t>
            </w:r>
            <w:r w:rsidR="00D80ACC" w:rsidRPr="00D80ACC">
              <w:rPr>
                <w:rFonts w:cstheme="minorHAnsi"/>
              </w:rPr>
              <w:t>.</w:t>
            </w:r>
            <w:r>
              <w:rPr>
                <w:rFonts w:cstheme="minorHAnsi"/>
              </w:rPr>
              <w:t>8</w:t>
            </w:r>
          </w:p>
        </w:tc>
      </w:tr>
      <w:tr w:rsidR="00D80ACC" w:rsidRPr="00D80ACC" w14:paraId="4BBAA9A8" w14:textId="77777777" w:rsidTr="003A673C">
        <w:tc>
          <w:tcPr>
            <w:tcW w:w="4000" w:type="pct"/>
            <w:tcBorders>
              <w:top w:val="single" w:sz="4" w:space="0" w:color="000000" w:themeColor="text1"/>
              <w:left w:val="nil"/>
              <w:bottom w:val="nil"/>
              <w:right w:val="nil"/>
            </w:tcBorders>
            <w:vAlign w:val="bottom"/>
            <w:hideMark/>
          </w:tcPr>
          <w:p w14:paraId="4F8B8990" w14:textId="77777777" w:rsidR="00D80ACC" w:rsidRPr="00D80ACC" w:rsidRDefault="00D80ACC">
            <w:pPr>
              <w:widowControl w:val="0"/>
              <w:autoSpaceDE w:val="0"/>
              <w:autoSpaceDN w:val="0"/>
              <w:adjustRightInd w:val="0"/>
              <w:spacing w:after="0" w:line="240" w:lineRule="auto"/>
              <w:rPr>
                <w:rFonts w:cstheme="minorHAnsi"/>
              </w:rPr>
            </w:pPr>
            <w:r w:rsidRPr="00D80ACC">
              <w:rPr>
                <w:rFonts w:cstheme="minorHAnsi"/>
                <w:b/>
                <w:bCs/>
              </w:rPr>
              <w:t>Earnings per share</w:t>
            </w:r>
          </w:p>
        </w:tc>
        <w:tc>
          <w:tcPr>
            <w:tcW w:w="500" w:type="pct"/>
            <w:tcBorders>
              <w:top w:val="single" w:sz="4" w:space="0" w:color="000000" w:themeColor="text1"/>
              <w:left w:val="nil"/>
              <w:bottom w:val="nil"/>
              <w:right w:val="nil"/>
            </w:tcBorders>
            <w:vAlign w:val="bottom"/>
          </w:tcPr>
          <w:p w14:paraId="37292C56" w14:textId="77777777" w:rsidR="00D80ACC" w:rsidRPr="00D80ACC" w:rsidRDefault="00D80ACC">
            <w:pPr>
              <w:widowControl w:val="0"/>
              <w:autoSpaceDE w:val="0"/>
              <w:autoSpaceDN w:val="0"/>
              <w:adjustRightInd w:val="0"/>
              <w:spacing w:after="0" w:line="240" w:lineRule="auto"/>
              <w:jc w:val="right"/>
              <w:rPr>
                <w:rFonts w:cstheme="minorHAnsi"/>
              </w:rPr>
            </w:pPr>
          </w:p>
        </w:tc>
        <w:tc>
          <w:tcPr>
            <w:tcW w:w="500" w:type="pct"/>
            <w:tcBorders>
              <w:top w:val="single" w:sz="4" w:space="0" w:color="000000" w:themeColor="text1"/>
              <w:left w:val="nil"/>
              <w:bottom w:val="nil"/>
              <w:right w:val="nil"/>
            </w:tcBorders>
            <w:vAlign w:val="bottom"/>
          </w:tcPr>
          <w:p w14:paraId="4196A813" w14:textId="77777777" w:rsidR="00D80ACC" w:rsidRPr="00D80ACC" w:rsidRDefault="00D80ACC">
            <w:pPr>
              <w:widowControl w:val="0"/>
              <w:autoSpaceDE w:val="0"/>
              <w:autoSpaceDN w:val="0"/>
              <w:adjustRightInd w:val="0"/>
              <w:spacing w:after="0" w:line="240" w:lineRule="auto"/>
              <w:jc w:val="right"/>
              <w:rPr>
                <w:rFonts w:cstheme="minorHAnsi"/>
              </w:rPr>
            </w:pPr>
          </w:p>
        </w:tc>
      </w:tr>
      <w:tr w:rsidR="00D80ACC" w:rsidRPr="00D80ACC" w14:paraId="346965AF" w14:textId="77777777" w:rsidTr="003A673C">
        <w:tc>
          <w:tcPr>
            <w:tcW w:w="4000" w:type="pct"/>
            <w:vAlign w:val="bottom"/>
            <w:hideMark/>
          </w:tcPr>
          <w:p w14:paraId="530B7A2E" w14:textId="77777777" w:rsidR="00D80ACC" w:rsidRPr="00D80ACC" w:rsidRDefault="00D80ACC">
            <w:pPr>
              <w:widowControl w:val="0"/>
              <w:autoSpaceDE w:val="0"/>
              <w:autoSpaceDN w:val="0"/>
              <w:adjustRightInd w:val="0"/>
              <w:spacing w:after="0" w:line="240" w:lineRule="auto"/>
              <w:rPr>
                <w:rFonts w:cstheme="minorHAnsi"/>
              </w:rPr>
            </w:pPr>
            <w:r w:rsidRPr="00D80ACC">
              <w:rPr>
                <w:rFonts w:cstheme="minorHAnsi"/>
              </w:rPr>
              <w:t>– Underlying</w:t>
            </w:r>
            <w:r w:rsidRPr="00D80ACC">
              <w:rPr>
                <w:rFonts w:cstheme="minorHAnsi"/>
                <w:vertAlign w:val="superscript"/>
              </w:rPr>
              <w:t>2</w:t>
            </w:r>
          </w:p>
        </w:tc>
        <w:tc>
          <w:tcPr>
            <w:tcW w:w="500" w:type="pct"/>
            <w:vAlign w:val="bottom"/>
            <w:hideMark/>
          </w:tcPr>
          <w:p w14:paraId="7A5B22FB" w14:textId="17E319B6" w:rsidR="00D80ACC" w:rsidRPr="00D80ACC" w:rsidRDefault="00D80ACC">
            <w:pPr>
              <w:widowControl w:val="0"/>
              <w:autoSpaceDE w:val="0"/>
              <w:autoSpaceDN w:val="0"/>
              <w:adjustRightInd w:val="0"/>
              <w:spacing w:after="0" w:line="240" w:lineRule="auto"/>
              <w:jc w:val="right"/>
              <w:rPr>
                <w:rFonts w:cstheme="minorHAnsi"/>
              </w:rPr>
            </w:pPr>
            <w:r w:rsidRPr="00D80ACC">
              <w:rPr>
                <w:rFonts w:cstheme="minorHAnsi"/>
                <w:b/>
                <w:bCs/>
              </w:rPr>
              <w:t>1</w:t>
            </w:r>
            <w:r w:rsidR="003A673C">
              <w:rPr>
                <w:rFonts w:cstheme="minorHAnsi"/>
                <w:b/>
                <w:bCs/>
              </w:rPr>
              <w:t>0</w:t>
            </w:r>
            <w:r w:rsidRPr="00D80ACC">
              <w:rPr>
                <w:rFonts w:cstheme="minorHAnsi"/>
                <w:b/>
                <w:bCs/>
              </w:rPr>
              <w:t>.</w:t>
            </w:r>
            <w:r w:rsidR="003A673C">
              <w:rPr>
                <w:rFonts w:cstheme="minorHAnsi"/>
                <w:b/>
                <w:bCs/>
              </w:rPr>
              <w:t>29</w:t>
            </w:r>
            <w:r w:rsidRPr="00D80ACC">
              <w:rPr>
                <w:rFonts w:cstheme="minorHAnsi"/>
                <w:b/>
                <w:bCs/>
              </w:rPr>
              <w:t>p</w:t>
            </w:r>
          </w:p>
        </w:tc>
        <w:tc>
          <w:tcPr>
            <w:tcW w:w="500" w:type="pct"/>
            <w:vAlign w:val="bottom"/>
            <w:hideMark/>
          </w:tcPr>
          <w:p w14:paraId="1559E315" w14:textId="31D17276" w:rsidR="00D80ACC" w:rsidRPr="00D80ACC" w:rsidRDefault="00D80ACC">
            <w:pPr>
              <w:widowControl w:val="0"/>
              <w:autoSpaceDE w:val="0"/>
              <w:autoSpaceDN w:val="0"/>
              <w:adjustRightInd w:val="0"/>
              <w:spacing w:after="0" w:line="240" w:lineRule="auto"/>
              <w:jc w:val="right"/>
              <w:rPr>
                <w:rFonts w:cstheme="minorHAnsi"/>
              </w:rPr>
            </w:pPr>
            <w:r w:rsidRPr="00D80ACC">
              <w:rPr>
                <w:rFonts w:cstheme="minorHAnsi"/>
              </w:rPr>
              <w:t>1</w:t>
            </w:r>
            <w:r w:rsidR="003A673C">
              <w:rPr>
                <w:rFonts w:cstheme="minorHAnsi"/>
              </w:rPr>
              <w:t>8</w:t>
            </w:r>
            <w:r w:rsidRPr="00D80ACC">
              <w:rPr>
                <w:rFonts w:cstheme="minorHAnsi"/>
              </w:rPr>
              <w:t>.</w:t>
            </w:r>
            <w:r w:rsidR="003A673C">
              <w:rPr>
                <w:rFonts w:cstheme="minorHAnsi"/>
              </w:rPr>
              <w:t>81</w:t>
            </w:r>
            <w:r w:rsidRPr="00D80ACC">
              <w:rPr>
                <w:rFonts w:cstheme="minorHAnsi"/>
              </w:rPr>
              <w:t>p</w:t>
            </w:r>
          </w:p>
        </w:tc>
      </w:tr>
      <w:tr w:rsidR="00D80ACC" w:rsidRPr="00D80ACC" w14:paraId="575BDC03" w14:textId="77777777" w:rsidTr="003A673C">
        <w:tc>
          <w:tcPr>
            <w:tcW w:w="4000" w:type="pct"/>
            <w:tcBorders>
              <w:top w:val="nil"/>
              <w:left w:val="nil"/>
              <w:bottom w:val="single" w:sz="4" w:space="0" w:color="000000" w:themeColor="text1"/>
              <w:right w:val="nil"/>
            </w:tcBorders>
            <w:vAlign w:val="bottom"/>
            <w:hideMark/>
          </w:tcPr>
          <w:p w14:paraId="4A6EC83C" w14:textId="77777777" w:rsidR="00D80ACC" w:rsidRPr="00D80ACC" w:rsidRDefault="00D80ACC">
            <w:pPr>
              <w:widowControl w:val="0"/>
              <w:autoSpaceDE w:val="0"/>
              <w:autoSpaceDN w:val="0"/>
              <w:adjustRightInd w:val="0"/>
              <w:spacing w:after="0" w:line="240" w:lineRule="auto"/>
              <w:rPr>
                <w:rFonts w:cstheme="minorHAnsi"/>
              </w:rPr>
            </w:pPr>
            <w:r w:rsidRPr="00D80ACC">
              <w:rPr>
                <w:rFonts w:cstheme="minorHAnsi"/>
              </w:rPr>
              <w:t>– Reported</w:t>
            </w:r>
          </w:p>
        </w:tc>
        <w:tc>
          <w:tcPr>
            <w:tcW w:w="500" w:type="pct"/>
            <w:tcBorders>
              <w:top w:val="nil"/>
              <w:left w:val="nil"/>
              <w:bottom w:val="single" w:sz="4" w:space="0" w:color="000000" w:themeColor="text1"/>
              <w:right w:val="nil"/>
            </w:tcBorders>
            <w:vAlign w:val="bottom"/>
            <w:hideMark/>
          </w:tcPr>
          <w:p w14:paraId="17048196" w14:textId="7D7C3077" w:rsidR="00D80ACC" w:rsidRPr="00D80ACC" w:rsidRDefault="008F2A2C">
            <w:pPr>
              <w:widowControl w:val="0"/>
              <w:autoSpaceDE w:val="0"/>
              <w:autoSpaceDN w:val="0"/>
              <w:adjustRightInd w:val="0"/>
              <w:spacing w:after="0" w:line="240" w:lineRule="auto"/>
              <w:jc w:val="right"/>
              <w:rPr>
                <w:rFonts w:cstheme="minorHAnsi"/>
              </w:rPr>
            </w:pPr>
            <w:r>
              <w:rPr>
                <w:rFonts w:cstheme="minorHAnsi"/>
                <w:b/>
                <w:bCs/>
              </w:rPr>
              <w:t>2</w:t>
            </w:r>
            <w:r w:rsidR="00D80ACC" w:rsidRPr="00D80ACC">
              <w:rPr>
                <w:rFonts w:cstheme="minorHAnsi"/>
                <w:b/>
                <w:bCs/>
              </w:rPr>
              <w:t>.</w:t>
            </w:r>
            <w:r>
              <w:rPr>
                <w:rFonts w:cstheme="minorHAnsi"/>
                <w:b/>
                <w:bCs/>
              </w:rPr>
              <w:t>8</w:t>
            </w:r>
            <w:r w:rsidR="00D80ACC" w:rsidRPr="00D80ACC">
              <w:rPr>
                <w:rFonts w:cstheme="minorHAnsi"/>
                <w:b/>
                <w:bCs/>
              </w:rPr>
              <w:t>7p</w:t>
            </w:r>
          </w:p>
        </w:tc>
        <w:tc>
          <w:tcPr>
            <w:tcW w:w="500" w:type="pct"/>
            <w:tcBorders>
              <w:top w:val="nil"/>
              <w:left w:val="nil"/>
              <w:bottom w:val="single" w:sz="4" w:space="0" w:color="000000" w:themeColor="text1"/>
              <w:right w:val="nil"/>
            </w:tcBorders>
            <w:vAlign w:val="bottom"/>
            <w:hideMark/>
          </w:tcPr>
          <w:p w14:paraId="22EC1E87" w14:textId="3A12A3D3" w:rsidR="00D80ACC" w:rsidRPr="00D80ACC" w:rsidRDefault="00D80ACC">
            <w:pPr>
              <w:widowControl w:val="0"/>
              <w:autoSpaceDE w:val="0"/>
              <w:autoSpaceDN w:val="0"/>
              <w:adjustRightInd w:val="0"/>
              <w:spacing w:after="0" w:line="240" w:lineRule="auto"/>
              <w:jc w:val="right"/>
              <w:rPr>
                <w:rFonts w:cstheme="minorHAnsi"/>
              </w:rPr>
            </w:pPr>
            <w:r w:rsidRPr="00D80ACC">
              <w:rPr>
                <w:rFonts w:cstheme="minorHAnsi"/>
              </w:rPr>
              <w:t>1</w:t>
            </w:r>
            <w:r w:rsidR="008F2A2C">
              <w:rPr>
                <w:rFonts w:cstheme="minorHAnsi"/>
              </w:rPr>
              <w:t>8</w:t>
            </w:r>
            <w:r w:rsidRPr="00D80ACC">
              <w:rPr>
                <w:rFonts w:cstheme="minorHAnsi"/>
              </w:rPr>
              <w:t>.</w:t>
            </w:r>
            <w:r w:rsidR="008F2A2C">
              <w:rPr>
                <w:rFonts w:cstheme="minorHAnsi"/>
              </w:rPr>
              <w:t>37</w:t>
            </w:r>
            <w:r w:rsidRPr="00D80ACC">
              <w:rPr>
                <w:rFonts w:cstheme="minorHAnsi"/>
              </w:rPr>
              <w:t>p</w:t>
            </w:r>
          </w:p>
        </w:tc>
      </w:tr>
      <w:tr w:rsidR="00D80ACC" w:rsidRPr="00D80ACC" w14:paraId="46C55320" w14:textId="77777777" w:rsidTr="003A673C">
        <w:tc>
          <w:tcPr>
            <w:tcW w:w="4000" w:type="pct"/>
            <w:tcBorders>
              <w:top w:val="single" w:sz="4" w:space="0" w:color="000000" w:themeColor="text1"/>
              <w:left w:val="nil"/>
              <w:bottom w:val="single" w:sz="12" w:space="0" w:color="000000" w:themeColor="text1"/>
              <w:right w:val="nil"/>
            </w:tcBorders>
            <w:vAlign w:val="bottom"/>
            <w:hideMark/>
          </w:tcPr>
          <w:p w14:paraId="7A14370D" w14:textId="77777777" w:rsidR="00D80ACC" w:rsidRPr="00D80ACC" w:rsidRDefault="00D80ACC">
            <w:pPr>
              <w:widowControl w:val="0"/>
              <w:autoSpaceDE w:val="0"/>
              <w:autoSpaceDN w:val="0"/>
              <w:adjustRightInd w:val="0"/>
              <w:spacing w:after="0" w:line="240" w:lineRule="auto"/>
              <w:rPr>
                <w:rFonts w:cstheme="minorHAnsi"/>
              </w:rPr>
            </w:pPr>
            <w:r w:rsidRPr="00D80ACC">
              <w:rPr>
                <w:rFonts w:cstheme="minorHAnsi"/>
              </w:rPr>
              <w:t>Dividend per share</w:t>
            </w:r>
          </w:p>
        </w:tc>
        <w:tc>
          <w:tcPr>
            <w:tcW w:w="500" w:type="pct"/>
            <w:tcBorders>
              <w:top w:val="single" w:sz="4" w:space="0" w:color="000000" w:themeColor="text1"/>
              <w:left w:val="nil"/>
              <w:bottom w:val="single" w:sz="12" w:space="0" w:color="000000" w:themeColor="text1"/>
              <w:right w:val="nil"/>
            </w:tcBorders>
            <w:vAlign w:val="bottom"/>
            <w:hideMark/>
          </w:tcPr>
          <w:p w14:paraId="7490F75D" w14:textId="77777777" w:rsidR="00D80ACC" w:rsidRPr="00D80ACC" w:rsidRDefault="00D80ACC">
            <w:pPr>
              <w:widowControl w:val="0"/>
              <w:autoSpaceDE w:val="0"/>
              <w:autoSpaceDN w:val="0"/>
              <w:adjustRightInd w:val="0"/>
              <w:spacing w:after="0" w:line="240" w:lineRule="auto"/>
              <w:jc w:val="right"/>
              <w:rPr>
                <w:rFonts w:cstheme="minorHAnsi"/>
              </w:rPr>
            </w:pPr>
            <w:r w:rsidRPr="00D80ACC">
              <w:rPr>
                <w:rFonts w:cstheme="minorHAnsi"/>
                <w:b/>
                <w:bCs/>
              </w:rPr>
              <w:t>4.4p</w:t>
            </w:r>
          </w:p>
        </w:tc>
        <w:tc>
          <w:tcPr>
            <w:tcW w:w="500" w:type="pct"/>
            <w:tcBorders>
              <w:top w:val="single" w:sz="4" w:space="0" w:color="000000" w:themeColor="text1"/>
              <w:left w:val="nil"/>
              <w:bottom w:val="single" w:sz="12" w:space="0" w:color="000000" w:themeColor="text1"/>
              <w:right w:val="nil"/>
            </w:tcBorders>
            <w:vAlign w:val="bottom"/>
            <w:hideMark/>
          </w:tcPr>
          <w:p w14:paraId="786E9E8C" w14:textId="47377C04" w:rsidR="00D80ACC" w:rsidRPr="00D80ACC" w:rsidRDefault="00D80ACC">
            <w:pPr>
              <w:widowControl w:val="0"/>
              <w:autoSpaceDE w:val="0"/>
              <w:autoSpaceDN w:val="0"/>
              <w:adjustRightInd w:val="0"/>
              <w:spacing w:after="0" w:line="240" w:lineRule="auto"/>
              <w:jc w:val="right"/>
              <w:rPr>
                <w:rFonts w:cstheme="minorHAnsi"/>
              </w:rPr>
            </w:pPr>
            <w:r w:rsidRPr="00D80ACC">
              <w:rPr>
                <w:rFonts w:cstheme="minorHAnsi"/>
              </w:rPr>
              <w:t>4.</w:t>
            </w:r>
            <w:r w:rsidR="003A673C">
              <w:rPr>
                <w:rFonts w:cstheme="minorHAnsi"/>
              </w:rPr>
              <w:t>4</w:t>
            </w:r>
            <w:r w:rsidRPr="00D80ACC">
              <w:rPr>
                <w:rFonts w:cstheme="minorHAnsi"/>
              </w:rPr>
              <w:t>p</w:t>
            </w:r>
          </w:p>
        </w:tc>
      </w:tr>
    </w:tbl>
    <w:p w14:paraId="70BBFD46" w14:textId="77777777" w:rsidR="00E319AB" w:rsidRDefault="00E319AB" w:rsidP="00E319AB">
      <w:pPr>
        <w:widowControl w:val="0"/>
        <w:tabs>
          <w:tab w:val="left" w:pos="518"/>
        </w:tabs>
        <w:overflowPunct w:val="0"/>
        <w:autoSpaceDE w:val="0"/>
        <w:autoSpaceDN w:val="0"/>
        <w:adjustRightInd w:val="0"/>
        <w:spacing w:after="0" w:line="240" w:lineRule="auto"/>
        <w:ind w:left="516" w:hanging="516"/>
        <w:rPr>
          <w:rFonts w:cstheme="minorHAnsi"/>
          <w:sz w:val="16"/>
          <w:szCs w:val="16"/>
        </w:rPr>
      </w:pPr>
    </w:p>
    <w:p w14:paraId="2AA9E9B9" w14:textId="4475B626" w:rsidR="00E319AB" w:rsidRDefault="00D80ACC" w:rsidP="00A32F72">
      <w:pPr>
        <w:widowControl w:val="0"/>
        <w:tabs>
          <w:tab w:val="left" w:pos="518"/>
        </w:tabs>
        <w:overflowPunct w:val="0"/>
        <w:autoSpaceDE w:val="0"/>
        <w:autoSpaceDN w:val="0"/>
        <w:adjustRightInd w:val="0"/>
        <w:spacing w:after="0" w:line="240" w:lineRule="auto"/>
        <w:ind w:left="516" w:hanging="516"/>
        <w:rPr>
          <w:rFonts w:cstheme="minorHAnsi"/>
          <w:sz w:val="16"/>
          <w:szCs w:val="16"/>
        </w:rPr>
      </w:pPr>
      <w:r w:rsidRPr="00A32F72">
        <w:rPr>
          <w:rFonts w:cstheme="minorHAnsi"/>
          <w:sz w:val="16"/>
          <w:szCs w:val="16"/>
        </w:rPr>
        <w:t>1.</w:t>
      </w:r>
      <w:r w:rsidRPr="00A32F72">
        <w:rPr>
          <w:rFonts w:cstheme="minorHAnsi"/>
          <w:sz w:val="16"/>
          <w:szCs w:val="16"/>
        </w:rPr>
        <w:tab/>
      </w:r>
      <w:r w:rsidR="003A673C" w:rsidRPr="003A673C">
        <w:rPr>
          <w:rFonts w:cstheme="minorHAnsi"/>
          <w:sz w:val="16"/>
          <w:szCs w:val="16"/>
        </w:rPr>
        <w:t>Underlying operating profit, profit before tax and operating margin are stated before amortisation of intangible assets and restructuring costs</w:t>
      </w:r>
      <w:r w:rsidR="00F0642C" w:rsidRPr="00A32F72">
        <w:rPr>
          <w:rFonts w:cstheme="minorHAnsi"/>
          <w:sz w:val="16"/>
          <w:szCs w:val="16"/>
        </w:rPr>
        <w:t>.</w:t>
      </w:r>
    </w:p>
    <w:p w14:paraId="03FAD9E7" w14:textId="77777777" w:rsidR="00AF45F0" w:rsidRDefault="00D80ACC" w:rsidP="00A32F72">
      <w:pPr>
        <w:widowControl w:val="0"/>
        <w:tabs>
          <w:tab w:val="left" w:pos="518"/>
        </w:tabs>
        <w:overflowPunct w:val="0"/>
        <w:autoSpaceDE w:val="0"/>
        <w:autoSpaceDN w:val="0"/>
        <w:adjustRightInd w:val="0"/>
        <w:spacing w:after="0" w:line="240" w:lineRule="auto"/>
        <w:ind w:left="516" w:hanging="516"/>
        <w:rPr>
          <w:rFonts w:cstheme="minorHAnsi"/>
          <w:sz w:val="16"/>
          <w:szCs w:val="16"/>
        </w:rPr>
      </w:pPr>
      <w:r w:rsidRPr="00A32F72">
        <w:rPr>
          <w:rFonts w:cstheme="minorHAnsi"/>
          <w:sz w:val="16"/>
          <w:szCs w:val="16"/>
        </w:rPr>
        <w:t>2.</w:t>
      </w:r>
      <w:r w:rsidRPr="00A32F72">
        <w:rPr>
          <w:rFonts w:cstheme="minorHAnsi"/>
          <w:sz w:val="16"/>
          <w:szCs w:val="16"/>
        </w:rPr>
        <w:tab/>
      </w:r>
      <w:r w:rsidR="003A673C" w:rsidRPr="003A673C">
        <w:rPr>
          <w:rFonts w:cstheme="minorHAnsi"/>
          <w:sz w:val="16"/>
          <w:szCs w:val="16"/>
        </w:rPr>
        <w:t>Underlying earnings per share is calculated by dividing underlying profit after tax by the weighted average number of shares in issue</w:t>
      </w:r>
      <w:r w:rsidRPr="00A32F72">
        <w:rPr>
          <w:rFonts w:cstheme="minorHAnsi"/>
          <w:sz w:val="16"/>
          <w:szCs w:val="16"/>
        </w:rPr>
        <w:t>.</w:t>
      </w:r>
    </w:p>
    <w:p w14:paraId="3B4082A5" w14:textId="669F51D9" w:rsidR="00D80ACC" w:rsidRPr="00A32F72" w:rsidRDefault="00AF45F0" w:rsidP="00A32F72">
      <w:pPr>
        <w:widowControl w:val="0"/>
        <w:tabs>
          <w:tab w:val="left" w:pos="518"/>
        </w:tabs>
        <w:overflowPunct w:val="0"/>
        <w:autoSpaceDE w:val="0"/>
        <w:autoSpaceDN w:val="0"/>
        <w:adjustRightInd w:val="0"/>
        <w:spacing w:after="0" w:line="240" w:lineRule="auto"/>
        <w:ind w:left="516" w:hanging="516"/>
        <w:rPr>
          <w:rFonts w:cstheme="minorHAnsi"/>
          <w:sz w:val="16"/>
          <w:szCs w:val="16"/>
        </w:rPr>
      </w:pPr>
      <w:r>
        <w:rPr>
          <w:rFonts w:cstheme="minorHAnsi"/>
          <w:sz w:val="16"/>
          <w:szCs w:val="16"/>
        </w:rPr>
        <w:t xml:space="preserve">3. </w:t>
      </w:r>
      <w:r>
        <w:rPr>
          <w:rFonts w:cstheme="minorHAnsi"/>
          <w:sz w:val="16"/>
          <w:szCs w:val="16"/>
        </w:rPr>
        <w:tab/>
        <w:t>Dividend per shar</w:t>
      </w:r>
      <w:r w:rsidR="00A1585B">
        <w:rPr>
          <w:rFonts w:cstheme="minorHAnsi"/>
          <w:sz w:val="16"/>
          <w:szCs w:val="16"/>
        </w:rPr>
        <w:t xml:space="preserve">e represents the interim and final dividend proposed or paid </w:t>
      </w:r>
      <w:r w:rsidR="00C046E1">
        <w:rPr>
          <w:rFonts w:cstheme="minorHAnsi"/>
          <w:sz w:val="16"/>
          <w:szCs w:val="16"/>
        </w:rPr>
        <w:t>for the year in question.</w:t>
      </w:r>
      <w:r w:rsidR="00D80ACC" w:rsidRPr="00A32F72">
        <w:rPr>
          <w:rFonts w:cstheme="minorHAnsi"/>
          <w:sz w:val="16"/>
          <w:szCs w:val="16"/>
        </w:rPr>
        <w:t xml:space="preserve"> </w:t>
      </w:r>
    </w:p>
    <w:p w14:paraId="34E0C517" w14:textId="3D46D1C1" w:rsidR="00D80ACC" w:rsidRPr="00D80ACC" w:rsidRDefault="00D80ACC" w:rsidP="00D80ACC">
      <w:pPr>
        <w:widowControl w:val="0"/>
        <w:autoSpaceDE w:val="0"/>
        <w:autoSpaceDN w:val="0"/>
        <w:adjustRightInd w:val="0"/>
        <w:spacing w:before="160" w:line="240" w:lineRule="auto"/>
        <w:rPr>
          <w:rFonts w:cstheme="minorHAnsi"/>
        </w:rPr>
      </w:pPr>
      <w:r w:rsidRPr="00D80ACC">
        <w:rPr>
          <w:rFonts w:cstheme="minorHAnsi"/>
          <w:b/>
          <w:bCs/>
        </w:rPr>
        <w:t>Forward Order Book</w:t>
      </w:r>
    </w:p>
    <w:tbl>
      <w:tblPr>
        <w:tblW w:w="5000" w:type="pct"/>
        <w:tblCellMar>
          <w:left w:w="0" w:type="dxa"/>
          <w:right w:w="0" w:type="dxa"/>
        </w:tblCellMar>
        <w:tblLook w:val="04A0" w:firstRow="1" w:lastRow="0" w:firstColumn="1" w:lastColumn="0" w:noHBand="0" w:noVBand="1"/>
      </w:tblPr>
      <w:tblGrid>
        <w:gridCol w:w="7560"/>
        <w:gridCol w:w="1080"/>
        <w:gridCol w:w="1080"/>
        <w:gridCol w:w="1080"/>
      </w:tblGrid>
      <w:tr w:rsidR="00D80ACC" w:rsidRPr="00D80ACC" w14:paraId="40330617" w14:textId="77777777" w:rsidTr="00D80ACC">
        <w:tc>
          <w:tcPr>
            <w:tcW w:w="3500" w:type="pct"/>
            <w:vAlign w:val="bottom"/>
          </w:tcPr>
          <w:p w14:paraId="2DF5D255" w14:textId="77777777" w:rsidR="00D80ACC" w:rsidRPr="00D80ACC" w:rsidRDefault="00D80ACC">
            <w:pPr>
              <w:widowControl w:val="0"/>
              <w:autoSpaceDE w:val="0"/>
              <w:autoSpaceDN w:val="0"/>
              <w:adjustRightInd w:val="0"/>
              <w:spacing w:after="0" w:line="240" w:lineRule="auto"/>
              <w:rPr>
                <w:rFonts w:cstheme="minorHAnsi"/>
              </w:rPr>
            </w:pPr>
          </w:p>
        </w:tc>
        <w:tc>
          <w:tcPr>
            <w:tcW w:w="500" w:type="pct"/>
            <w:vAlign w:val="bottom"/>
            <w:hideMark/>
          </w:tcPr>
          <w:p w14:paraId="4A92CB96" w14:textId="427A0722" w:rsidR="00D80ACC" w:rsidRPr="00D80ACC" w:rsidRDefault="00D80ACC">
            <w:pPr>
              <w:widowControl w:val="0"/>
              <w:autoSpaceDE w:val="0"/>
              <w:autoSpaceDN w:val="0"/>
              <w:adjustRightInd w:val="0"/>
              <w:spacing w:after="0" w:line="240" w:lineRule="auto"/>
              <w:jc w:val="right"/>
              <w:rPr>
                <w:rFonts w:cstheme="minorHAnsi"/>
              </w:rPr>
            </w:pPr>
            <w:r w:rsidRPr="00D80ACC">
              <w:rPr>
                <w:rFonts w:cstheme="minorHAnsi"/>
                <w:b/>
                <w:bCs/>
              </w:rPr>
              <w:t>20</w:t>
            </w:r>
            <w:r w:rsidR="003A673C">
              <w:rPr>
                <w:rFonts w:cstheme="minorHAnsi"/>
                <w:b/>
                <w:bCs/>
              </w:rPr>
              <w:t>20</w:t>
            </w:r>
          </w:p>
        </w:tc>
        <w:tc>
          <w:tcPr>
            <w:tcW w:w="500" w:type="pct"/>
            <w:vAlign w:val="bottom"/>
            <w:hideMark/>
          </w:tcPr>
          <w:p w14:paraId="7C9928FB" w14:textId="1EFDB5C4" w:rsidR="00D80ACC" w:rsidRPr="00D80ACC" w:rsidRDefault="00D80ACC">
            <w:pPr>
              <w:widowControl w:val="0"/>
              <w:autoSpaceDE w:val="0"/>
              <w:autoSpaceDN w:val="0"/>
              <w:adjustRightInd w:val="0"/>
              <w:spacing w:after="0" w:line="240" w:lineRule="auto"/>
              <w:jc w:val="right"/>
              <w:rPr>
                <w:rFonts w:cstheme="minorHAnsi"/>
              </w:rPr>
            </w:pPr>
            <w:r w:rsidRPr="00D80ACC">
              <w:rPr>
                <w:rFonts w:cstheme="minorHAnsi"/>
              </w:rPr>
              <w:t>201</w:t>
            </w:r>
            <w:r w:rsidR="003A673C">
              <w:rPr>
                <w:rFonts w:cstheme="minorHAnsi"/>
              </w:rPr>
              <w:t>9</w:t>
            </w:r>
          </w:p>
        </w:tc>
        <w:tc>
          <w:tcPr>
            <w:tcW w:w="500" w:type="pct"/>
            <w:vAlign w:val="bottom"/>
            <w:hideMark/>
          </w:tcPr>
          <w:p w14:paraId="1AC6302E" w14:textId="77777777" w:rsidR="00D80ACC" w:rsidRPr="00D80ACC" w:rsidRDefault="00D80ACC">
            <w:pPr>
              <w:widowControl w:val="0"/>
              <w:autoSpaceDE w:val="0"/>
              <w:autoSpaceDN w:val="0"/>
              <w:adjustRightInd w:val="0"/>
              <w:spacing w:after="0" w:line="240" w:lineRule="auto"/>
              <w:jc w:val="right"/>
              <w:rPr>
                <w:rFonts w:cstheme="minorHAnsi"/>
              </w:rPr>
            </w:pPr>
            <w:r w:rsidRPr="00D80ACC">
              <w:rPr>
                <w:rFonts w:cstheme="minorHAnsi"/>
              </w:rPr>
              <w:t>%</w:t>
            </w:r>
          </w:p>
        </w:tc>
      </w:tr>
      <w:tr w:rsidR="00D80ACC" w:rsidRPr="00D80ACC" w14:paraId="1DC64447" w14:textId="77777777" w:rsidTr="00D80ACC">
        <w:tc>
          <w:tcPr>
            <w:tcW w:w="3500" w:type="pct"/>
            <w:tcBorders>
              <w:top w:val="nil"/>
              <w:left w:val="nil"/>
              <w:bottom w:val="single" w:sz="4" w:space="0" w:color="000000" w:themeColor="text1"/>
              <w:right w:val="nil"/>
            </w:tcBorders>
            <w:vAlign w:val="bottom"/>
            <w:hideMark/>
          </w:tcPr>
          <w:p w14:paraId="007D6EBC" w14:textId="77777777" w:rsidR="00D80ACC" w:rsidRPr="00D80ACC" w:rsidRDefault="00D80ACC">
            <w:pPr>
              <w:widowControl w:val="0"/>
              <w:autoSpaceDE w:val="0"/>
              <w:autoSpaceDN w:val="0"/>
              <w:adjustRightInd w:val="0"/>
              <w:spacing w:after="0" w:line="240" w:lineRule="auto"/>
              <w:rPr>
                <w:rFonts w:cstheme="minorHAnsi"/>
              </w:rPr>
            </w:pPr>
            <w:r w:rsidRPr="00D80ACC">
              <w:rPr>
                <w:rFonts w:cstheme="minorHAnsi"/>
              </w:rPr>
              <w:t>Market sector</w:t>
            </w:r>
          </w:p>
        </w:tc>
        <w:tc>
          <w:tcPr>
            <w:tcW w:w="500" w:type="pct"/>
            <w:tcBorders>
              <w:top w:val="nil"/>
              <w:left w:val="nil"/>
              <w:bottom w:val="single" w:sz="4" w:space="0" w:color="000000" w:themeColor="text1"/>
              <w:right w:val="nil"/>
            </w:tcBorders>
            <w:vAlign w:val="bottom"/>
            <w:hideMark/>
          </w:tcPr>
          <w:p w14:paraId="670DD59F" w14:textId="77777777" w:rsidR="00D80ACC" w:rsidRPr="00D80ACC" w:rsidRDefault="00D80ACC">
            <w:pPr>
              <w:widowControl w:val="0"/>
              <w:autoSpaceDE w:val="0"/>
              <w:autoSpaceDN w:val="0"/>
              <w:adjustRightInd w:val="0"/>
              <w:spacing w:after="0" w:line="240" w:lineRule="auto"/>
              <w:jc w:val="right"/>
              <w:rPr>
                <w:rFonts w:cstheme="minorHAnsi"/>
              </w:rPr>
            </w:pPr>
            <w:r w:rsidRPr="00D80ACC">
              <w:rPr>
                <w:rFonts w:cstheme="minorHAnsi"/>
                <w:b/>
                <w:bCs/>
              </w:rPr>
              <w:t>£m</w:t>
            </w:r>
          </w:p>
        </w:tc>
        <w:tc>
          <w:tcPr>
            <w:tcW w:w="500" w:type="pct"/>
            <w:tcBorders>
              <w:top w:val="nil"/>
              <w:left w:val="nil"/>
              <w:bottom w:val="single" w:sz="4" w:space="0" w:color="000000" w:themeColor="text1"/>
              <w:right w:val="nil"/>
            </w:tcBorders>
            <w:vAlign w:val="bottom"/>
            <w:hideMark/>
          </w:tcPr>
          <w:p w14:paraId="18C91EDD" w14:textId="77777777" w:rsidR="00D80ACC" w:rsidRPr="00D80ACC" w:rsidRDefault="00D80ACC">
            <w:pPr>
              <w:widowControl w:val="0"/>
              <w:autoSpaceDE w:val="0"/>
              <w:autoSpaceDN w:val="0"/>
              <w:adjustRightInd w:val="0"/>
              <w:spacing w:after="0" w:line="240" w:lineRule="auto"/>
              <w:jc w:val="right"/>
              <w:rPr>
                <w:rFonts w:cstheme="minorHAnsi"/>
              </w:rPr>
            </w:pPr>
            <w:r w:rsidRPr="00D80ACC">
              <w:rPr>
                <w:rFonts w:cstheme="minorHAnsi"/>
              </w:rPr>
              <w:t>£m</w:t>
            </w:r>
          </w:p>
        </w:tc>
        <w:tc>
          <w:tcPr>
            <w:tcW w:w="500" w:type="pct"/>
            <w:tcBorders>
              <w:top w:val="nil"/>
              <w:left w:val="nil"/>
              <w:bottom w:val="single" w:sz="4" w:space="0" w:color="000000" w:themeColor="text1"/>
              <w:right w:val="nil"/>
            </w:tcBorders>
            <w:vAlign w:val="bottom"/>
            <w:hideMark/>
          </w:tcPr>
          <w:p w14:paraId="76B1CB04" w14:textId="77777777" w:rsidR="00D80ACC" w:rsidRPr="00D80ACC" w:rsidRDefault="00D80ACC">
            <w:pPr>
              <w:widowControl w:val="0"/>
              <w:autoSpaceDE w:val="0"/>
              <w:autoSpaceDN w:val="0"/>
              <w:adjustRightInd w:val="0"/>
              <w:spacing w:after="0" w:line="240" w:lineRule="auto"/>
              <w:jc w:val="right"/>
              <w:rPr>
                <w:rFonts w:cstheme="minorHAnsi"/>
              </w:rPr>
            </w:pPr>
            <w:r w:rsidRPr="00D80ACC">
              <w:rPr>
                <w:rFonts w:cstheme="minorHAnsi"/>
              </w:rPr>
              <w:t>change</w:t>
            </w:r>
          </w:p>
        </w:tc>
      </w:tr>
      <w:tr w:rsidR="00D80ACC" w:rsidRPr="00D80ACC" w14:paraId="1B41295B" w14:textId="77777777" w:rsidTr="00D80ACC">
        <w:tc>
          <w:tcPr>
            <w:tcW w:w="3500" w:type="pct"/>
            <w:tcBorders>
              <w:top w:val="single" w:sz="4" w:space="0" w:color="000000" w:themeColor="text1"/>
              <w:left w:val="nil"/>
              <w:bottom w:val="nil"/>
              <w:right w:val="nil"/>
            </w:tcBorders>
            <w:vAlign w:val="bottom"/>
            <w:hideMark/>
          </w:tcPr>
          <w:p w14:paraId="5A3619F4" w14:textId="77777777" w:rsidR="00D80ACC" w:rsidRPr="00D80ACC" w:rsidRDefault="00D80ACC">
            <w:pPr>
              <w:widowControl w:val="0"/>
              <w:autoSpaceDE w:val="0"/>
              <w:autoSpaceDN w:val="0"/>
              <w:adjustRightInd w:val="0"/>
              <w:spacing w:after="0" w:line="240" w:lineRule="auto"/>
              <w:rPr>
                <w:rFonts w:cstheme="minorHAnsi"/>
              </w:rPr>
            </w:pPr>
            <w:r w:rsidRPr="00D80ACC">
              <w:rPr>
                <w:rFonts w:cstheme="minorHAnsi"/>
              </w:rPr>
              <w:t>Infrastructure</w:t>
            </w:r>
          </w:p>
        </w:tc>
        <w:tc>
          <w:tcPr>
            <w:tcW w:w="500" w:type="pct"/>
            <w:tcBorders>
              <w:top w:val="single" w:sz="4" w:space="0" w:color="000000" w:themeColor="text1"/>
              <w:left w:val="nil"/>
              <w:bottom w:val="nil"/>
              <w:right w:val="nil"/>
            </w:tcBorders>
            <w:vAlign w:val="bottom"/>
            <w:hideMark/>
          </w:tcPr>
          <w:p w14:paraId="688E8E63" w14:textId="386BDC99" w:rsidR="00D80ACC" w:rsidRPr="00D80ACC" w:rsidRDefault="003A673C">
            <w:pPr>
              <w:widowControl w:val="0"/>
              <w:autoSpaceDE w:val="0"/>
              <w:autoSpaceDN w:val="0"/>
              <w:adjustRightInd w:val="0"/>
              <w:spacing w:after="0" w:line="240" w:lineRule="auto"/>
              <w:jc w:val="right"/>
              <w:rPr>
                <w:rFonts w:cstheme="minorHAnsi"/>
              </w:rPr>
            </w:pPr>
            <w:r>
              <w:rPr>
                <w:rFonts w:cstheme="minorHAnsi"/>
                <w:b/>
                <w:bCs/>
              </w:rPr>
              <w:t>9</w:t>
            </w:r>
            <w:r w:rsidR="00D80ACC" w:rsidRPr="00D80ACC">
              <w:rPr>
                <w:rFonts w:cstheme="minorHAnsi"/>
                <w:b/>
                <w:bCs/>
              </w:rPr>
              <w:t>9.</w:t>
            </w:r>
            <w:r>
              <w:rPr>
                <w:rFonts w:cstheme="minorHAnsi"/>
                <w:b/>
                <w:bCs/>
              </w:rPr>
              <w:t>9</w:t>
            </w:r>
          </w:p>
        </w:tc>
        <w:tc>
          <w:tcPr>
            <w:tcW w:w="500" w:type="pct"/>
            <w:tcBorders>
              <w:top w:val="single" w:sz="4" w:space="0" w:color="000000" w:themeColor="text1"/>
              <w:left w:val="nil"/>
              <w:bottom w:val="nil"/>
              <w:right w:val="nil"/>
            </w:tcBorders>
            <w:vAlign w:val="bottom"/>
            <w:hideMark/>
          </w:tcPr>
          <w:p w14:paraId="3FF9699F" w14:textId="6D125113" w:rsidR="00D80ACC" w:rsidRPr="00D80ACC" w:rsidRDefault="003A673C">
            <w:pPr>
              <w:widowControl w:val="0"/>
              <w:autoSpaceDE w:val="0"/>
              <w:autoSpaceDN w:val="0"/>
              <w:adjustRightInd w:val="0"/>
              <w:spacing w:after="0" w:line="240" w:lineRule="auto"/>
              <w:jc w:val="right"/>
              <w:rPr>
                <w:rFonts w:cstheme="minorHAnsi"/>
              </w:rPr>
            </w:pPr>
            <w:r>
              <w:rPr>
                <w:rFonts w:cstheme="minorHAnsi"/>
              </w:rPr>
              <w:t>89</w:t>
            </w:r>
            <w:r w:rsidR="00D80ACC" w:rsidRPr="00D80ACC">
              <w:rPr>
                <w:rFonts w:cstheme="minorHAnsi"/>
              </w:rPr>
              <w:t>.</w:t>
            </w:r>
            <w:r>
              <w:rPr>
                <w:rFonts w:cstheme="minorHAnsi"/>
              </w:rPr>
              <w:t>0</w:t>
            </w:r>
          </w:p>
        </w:tc>
        <w:tc>
          <w:tcPr>
            <w:tcW w:w="500" w:type="pct"/>
            <w:tcBorders>
              <w:top w:val="single" w:sz="4" w:space="0" w:color="000000" w:themeColor="text1"/>
              <w:left w:val="nil"/>
              <w:bottom w:val="nil"/>
              <w:right w:val="nil"/>
            </w:tcBorders>
            <w:vAlign w:val="bottom"/>
            <w:hideMark/>
          </w:tcPr>
          <w:p w14:paraId="5E55C3B0" w14:textId="61E92884" w:rsidR="00D80ACC" w:rsidRPr="00D80ACC" w:rsidRDefault="003A673C">
            <w:pPr>
              <w:widowControl w:val="0"/>
              <w:autoSpaceDE w:val="0"/>
              <w:autoSpaceDN w:val="0"/>
              <w:adjustRightInd w:val="0"/>
              <w:spacing w:after="0" w:line="240" w:lineRule="auto"/>
              <w:jc w:val="right"/>
              <w:rPr>
                <w:rFonts w:cstheme="minorHAnsi"/>
              </w:rPr>
            </w:pPr>
            <w:r>
              <w:rPr>
                <w:rFonts w:cstheme="minorHAnsi"/>
              </w:rPr>
              <w:t>11</w:t>
            </w:r>
            <w:r w:rsidR="00D80ACC" w:rsidRPr="00D80ACC">
              <w:rPr>
                <w:rFonts w:cstheme="minorHAnsi"/>
              </w:rPr>
              <w:t>%</w:t>
            </w:r>
          </w:p>
        </w:tc>
      </w:tr>
      <w:tr w:rsidR="00D80ACC" w:rsidRPr="00D80ACC" w14:paraId="12325A8D" w14:textId="77777777" w:rsidTr="00D80ACC">
        <w:tc>
          <w:tcPr>
            <w:tcW w:w="3500" w:type="pct"/>
            <w:vAlign w:val="bottom"/>
            <w:hideMark/>
          </w:tcPr>
          <w:p w14:paraId="2DDC498C" w14:textId="77777777" w:rsidR="00D80ACC" w:rsidRPr="00D80ACC" w:rsidRDefault="00D80ACC">
            <w:pPr>
              <w:widowControl w:val="0"/>
              <w:autoSpaceDE w:val="0"/>
              <w:autoSpaceDN w:val="0"/>
              <w:adjustRightInd w:val="0"/>
              <w:spacing w:after="0" w:line="240" w:lineRule="auto"/>
              <w:rPr>
                <w:rFonts w:cstheme="minorHAnsi"/>
              </w:rPr>
            </w:pPr>
            <w:r w:rsidRPr="00D80ACC">
              <w:rPr>
                <w:rFonts w:cstheme="minorHAnsi"/>
              </w:rPr>
              <w:lastRenderedPageBreak/>
              <w:t>Residential &amp; Hotels</w:t>
            </w:r>
          </w:p>
        </w:tc>
        <w:tc>
          <w:tcPr>
            <w:tcW w:w="500" w:type="pct"/>
            <w:vAlign w:val="bottom"/>
            <w:hideMark/>
          </w:tcPr>
          <w:p w14:paraId="76FE5041" w14:textId="5CD6DF24" w:rsidR="00D80ACC" w:rsidRPr="00D80ACC" w:rsidRDefault="00D80ACC">
            <w:pPr>
              <w:widowControl w:val="0"/>
              <w:autoSpaceDE w:val="0"/>
              <w:autoSpaceDN w:val="0"/>
              <w:adjustRightInd w:val="0"/>
              <w:spacing w:after="0" w:line="240" w:lineRule="auto"/>
              <w:jc w:val="right"/>
              <w:rPr>
                <w:rFonts w:cstheme="minorHAnsi"/>
              </w:rPr>
            </w:pPr>
            <w:r w:rsidRPr="00D80ACC">
              <w:rPr>
                <w:rFonts w:cstheme="minorHAnsi"/>
                <w:b/>
                <w:bCs/>
              </w:rPr>
              <w:t>11</w:t>
            </w:r>
            <w:r w:rsidR="003A673C">
              <w:rPr>
                <w:rFonts w:cstheme="minorHAnsi"/>
                <w:b/>
                <w:bCs/>
              </w:rPr>
              <w:t>5</w:t>
            </w:r>
            <w:r w:rsidRPr="00D80ACC">
              <w:rPr>
                <w:rFonts w:cstheme="minorHAnsi"/>
                <w:b/>
                <w:bCs/>
              </w:rPr>
              <w:t>.</w:t>
            </w:r>
            <w:r w:rsidR="003A673C">
              <w:rPr>
                <w:rFonts w:cstheme="minorHAnsi"/>
                <w:b/>
                <w:bCs/>
              </w:rPr>
              <w:t>1</w:t>
            </w:r>
          </w:p>
        </w:tc>
        <w:tc>
          <w:tcPr>
            <w:tcW w:w="500" w:type="pct"/>
            <w:vAlign w:val="bottom"/>
            <w:hideMark/>
          </w:tcPr>
          <w:p w14:paraId="1559C9FF" w14:textId="11856B90" w:rsidR="00D80ACC" w:rsidRPr="00D80ACC" w:rsidRDefault="003A673C">
            <w:pPr>
              <w:widowControl w:val="0"/>
              <w:autoSpaceDE w:val="0"/>
              <w:autoSpaceDN w:val="0"/>
              <w:adjustRightInd w:val="0"/>
              <w:spacing w:after="0" w:line="240" w:lineRule="auto"/>
              <w:jc w:val="right"/>
              <w:rPr>
                <w:rFonts w:cstheme="minorHAnsi"/>
              </w:rPr>
            </w:pPr>
            <w:r>
              <w:rPr>
                <w:rFonts w:cstheme="minorHAnsi"/>
              </w:rPr>
              <w:t>110</w:t>
            </w:r>
            <w:r w:rsidR="00D80ACC" w:rsidRPr="00D80ACC">
              <w:rPr>
                <w:rFonts w:cstheme="minorHAnsi"/>
              </w:rPr>
              <w:t>.</w:t>
            </w:r>
            <w:r>
              <w:rPr>
                <w:rFonts w:cstheme="minorHAnsi"/>
              </w:rPr>
              <w:t>0</w:t>
            </w:r>
          </w:p>
        </w:tc>
        <w:tc>
          <w:tcPr>
            <w:tcW w:w="500" w:type="pct"/>
            <w:vAlign w:val="bottom"/>
            <w:hideMark/>
          </w:tcPr>
          <w:p w14:paraId="30A70332" w14:textId="2B4462BC" w:rsidR="00D80ACC" w:rsidRPr="00D80ACC" w:rsidRDefault="003A673C">
            <w:pPr>
              <w:widowControl w:val="0"/>
              <w:autoSpaceDE w:val="0"/>
              <w:autoSpaceDN w:val="0"/>
              <w:adjustRightInd w:val="0"/>
              <w:spacing w:after="0" w:line="240" w:lineRule="auto"/>
              <w:jc w:val="right"/>
              <w:rPr>
                <w:rFonts w:cstheme="minorHAnsi"/>
              </w:rPr>
            </w:pPr>
            <w:r>
              <w:rPr>
                <w:rFonts w:cstheme="minorHAnsi"/>
              </w:rPr>
              <w:t>5</w:t>
            </w:r>
            <w:r w:rsidR="00D80ACC" w:rsidRPr="00D80ACC">
              <w:rPr>
                <w:rFonts w:cstheme="minorHAnsi"/>
              </w:rPr>
              <w:t>%</w:t>
            </w:r>
          </w:p>
        </w:tc>
      </w:tr>
      <w:tr w:rsidR="00D80ACC" w:rsidRPr="00D80ACC" w14:paraId="3E321B79" w14:textId="77777777" w:rsidTr="00D80ACC">
        <w:tc>
          <w:tcPr>
            <w:tcW w:w="3500" w:type="pct"/>
            <w:vAlign w:val="bottom"/>
            <w:hideMark/>
          </w:tcPr>
          <w:p w14:paraId="30C88E58" w14:textId="77777777" w:rsidR="00D80ACC" w:rsidRPr="00D80ACC" w:rsidRDefault="00D80ACC">
            <w:pPr>
              <w:widowControl w:val="0"/>
              <w:autoSpaceDE w:val="0"/>
              <w:autoSpaceDN w:val="0"/>
              <w:adjustRightInd w:val="0"/>
              <w:spacing w:after="0" w:line="240" w:lineRule="auto"/>
              <w:rPr>
                <w:rFonts w:cstheme="minorHAnsi"/>
              </w:rPr>
            </w:pPr>
            <w:r w:rsidRPr="00D80ACC">
              <w:rPr>
                <w:rFonts w:cstheme="minorHAnsi"/>
              </w:rPr>
              <w:t>Technologies</w:t>
            </w:r>
          </w:p>
        </w:tc>
        <w:tc>
          <w:tcPr>
            <w:tcW w:w="500" w:type="pct"/>
            <w:vAlign w:val="bottom"/>
            <w:hideMark/>
          </w:tcPr>
          <w:p w14:paraId="19098583" w14:textId="47FF80EC" w:rsidR="00D80ACC" w:rsidRPr="00D80ACC" w:rsidRDefault="003A673C">
            <w:pPr>
              <w:widowControl w:val="0"/>
              <w:autoSpaceDE w:val="0"/>
              <w:autoSpaceDN w:val="0"/>
              <w:adjustRightInd w:val="0"/>
              <w:spacing w:after="0" w:line="240" w:lineRule="auto"/>
              <w:jc w:val="right"/>
              <w:rPr>
                <w:rFonts w:cstheme="minorHAnsi"/>
              </w:rPr>
            </w:pPr>
            <w:r>
              <w:rPr>
                <w:rFonts w:cstheme="minorHAnsi"/>
                <w:b/>
                <w:bCs/>
              </w:rPr>
              <w:t>46</w:t>
            </w:r>
            <w:r w:rsidR="00D80ACC" w:rsidRPr="00D80ACC">
              <w:rPr>
                <w:rFonts w:cstheme="minorHAnsi"/>
                <w:b/>
                <w:bCs/>
              </w:rPr>
              <w:t>.</w:t>
            </w:r>
            <w:r>
              <w:rPr>
                <w:rFonts w:cstheme="minorHAnsi"/>
                <w:b/>
                <w:bCs/>
              </w:rPr>
              <w:t>8</w:t>
            </w:r>
          </w:p>
        </w:tc>
        <w:tc>
          <w:tcPr>
            <w:tcW w:w="500" w:type="pct"/>
            <w:vAlign w:val="bottom"/>
            <w:hideMark/>
          </w:tcPr>
          <w:p w14:paraId="1D53A744" w14:textId="41D42F8E" w:rsidR="00D80ACC" w:rsidRPr="00D80ACC" w:rsidRDefault="00D80ACC">
            <w:pPr>
              <w:widowControl w:val="0"/>
              <w:autoSpaceDE w:val="0"/>
              <w:autoSpaceDN w:val="0"/>
              <w:adjustRightInd w:val="0"/>
              <w:spacing w:after="0" w:line="240" w:lineRule="auto"/>
              <w:jc w:val="right"/>
              <w:rPr>
                <w:rFonts w:cstheme="minorHAnsi"/>
              </w:rPr>
            </w:pPr>
            <w:r w:rsidRPr="00D80ACC">
              <w:rPr>
                <w:rFonts w:cstheme="minorHAnsi"/>
              </w:rPr>
              <w:t>5</w:t>
            </w:r>
            <w:r w:rsidR="003A673C">
              <w:rPr>
                <w:rFonts w:cstheme="minorHAnsi"/>
              </w:rPr>
              <w:t>0</w:t>
            </w:r>
            <w:r w:rsidRPr="00D80ACC">
              <w:rPr>
                <w:rFonts w:cstheme="minorHAnsi"/>
              </w:rPr>
              <w:t>.</w:t>
            </w:r>
            <w:r w:rsidR="003A673C">
              <w:rPr>
                <w:rFonts w:cstheme="minorHAnsi"/>
              </w:rPr>
              <w:t>4</w:t>
            </w:r>
          </w:p>
        </w:tc>
        <w:tc>
          <w:tcPr>
            <w:tcW w:w="500" w:type="pct"/>
            <w:vAlign w:val="bottom"/>
            <w:hideMark/>
          </w:tcPr>
          <w:p w14:paraId="2D44A9C8" w14:textId="36A6B14F" w:rsidR="00D80ACC" w:rsidRPr="00D80ACC" w:rsidRDefault="007951AC">
            <w:pPr>
              <w:widowControl w:val="0"/>
              <w:autoSpaceDE w:val="0"/>
              <w:autoSpaceDN w:val="0"/>
              <w:adjustRightInd w:val="0"/>
              <w:spacing w:after="0" w:line="240" w:lineRule="auto"/>
              <w:jc w:val="right"/>
              <w:rPr>
                <w:rFonts w:cstheme="minorHAnsi"/>
              </w:rPr>
            </w:pPr>
            <w:r>
              <w:rPr>
                <w:rFonts w:cstheme="minorHAnsi"/>
              </w:rPr>
              <w:t>(</w:t>
            </w:r>
            <w:r w:rsidR="003A673C">
              <w:rPr>
                <w:rFonts w:cstheme="minorHAnsi"/>
              </w:rPr>
              <w:t>7</w:t>
            </w:r>
            <w:r>
              <w:rPr>
                <w:rFonts w:cstheme="minorHAnsi"/>
              </w:rPr>
              <w:t>%)</w:t>
            </w:r>
          </w:p>
        </w:tc>
      </w:tr>
      <w:tr w:rsidR="00D80ACC" w:rsidRPr="00D80ACC" w14:paraId="0486DA93" w14:textId="77777777" w:rsidTr="00D80ACC">
        <w:tc>
          <w:tcPr>
            <w:tcW w:w="3500" w:type="pct"/>
            <w:vAlign w:val="bottom"/>
            <w:hideMark/>
          </w:tcPr>
          <w:p w14:paraId="2354C52E" w14:textId="6DF0D60C" w:rsidR="00D80ACC" w:rsidRPr="00D80ACC" w:rsidRDefault="003A673C">
            <w:pPr>
              <w:widowControl w:val="0"/>
              <w:autoSpaceDE w:val="0"/>
              <w:autoSpaceDN w:val="0"/>
              <w:adjustRightInd w:val="0"/>
              <w:spacing w:after="0" w:line="240" w:lineRule="auto"/>
              <w:rPr>
                <w:rFonts w:cstheme="minorHAnsi"/>
              </w:rPr>
            </w:pPr>
            <w:r w:rsidRPr="003A673C">
              <w:rPr>
                <w:rFonts w:cstheme="minorHAnsi"/>
              </w:rPr>
              <w:t>Engineering Services</w:t>
            </w:r>
          </w:p>
        </w:tc>
        <w:tc>
          <w:tcPr>
            <w:tcW w:w="500" w:type="pct"/>
            <w:vAlign w:val="bottom"/>
            <w:hideMark/>
          </w:tcPr>
          <w:p w14:paraId="061D2F7C" w14:textId="7E134DBB" w:rsidR="00D80ACC" w:rsidRPr="00D80ACC" w:rsidRDefault="00D80ACC">
            <w:pPr>
              <w:widowControl w:val="0"/>
              <w:autoSpaceDE w:val="0"/>
              <w:autoSpaceDN w:val="0"/>
              <w:adjustRightInd w:val="0"/>
              <w:spacing w:after="0" w:line="240" w:lineRule="auto"/>
              <w:jc w:val="right"/>
              <w:rPr>
                <w:rFonts w:cstheme="minorHAnsi"/>
              </w:rPr>
            </w:pPr>
            <w:r w:rsidRPr="00D80ACC">
              <w:rPr>
                <w:rFonts w:cstheme="minorHAnsi"/>
                <w:b/>
                <w:bCs/>
              </w:rPr>
              <w:t>1</w:t>
            </w:r>
            <w:r w:rsidR="003A673C">
              <w:rPr>
                <w:rFonts w:cstheme="minorHAnsi"/>
                <w:b/>
                <w:bCs/>
              </w:rPr>
              <w:t>75</w:t>
            </w:r>
            <w:r w:rsidRPr="00D80ACC">
              <w:rPr>
                <w:rFonts w:cstheme="minorHAnsi"/>
                <w:b/>
                <w:bCs/>
              </w:rPr>
              <w:t>.</w:t>
            </w:r>
            <w:r w:rsidR="003A673C">
              <w:rPr>
                <w:rFonts w:cstheme="minorHAnsi"/>
                <w:b/>
                <w:bCs/>
              </w:rPr>
              <w:t>2</w:t>
            </w:r>
          </w:p>
        </w:tc>
        <w:tc>
          <w:tcPr>
            <w:tcW w:w="500" w:type="pct"/>
            <w:vAlign w:val="bottom"/>
            <w:hideMark/>
          </w:tcPr>
          <w:p w14:paraId="28B35D3F" w14:textId="6AAD60A7" w:rsidR="00D80ACC" w:rsidRPr="00D80ACC" w:rsidRDefault="00D80ACC">
            <w:pPr>
              <w:widowControl w:val="0"/>
              <w:autoSpaceDE w:val="0"/>
              <w:autoSpaceDN w:val="0"/>
              <w:adjustRightInd w:val="0"/>
              <w:spacing w:after="0" w:line="240" w:lineRule="auto"/>
              <w:jc w:val="right"/>
              <w:rPr>
                <w:rFonts w:cstheme="minorHAnsi"/>
              </w:rPr>
            </w:pPr>
            <w:r w:rsidRPr="00D80ACC">
              <w:rPr>
                <w:rFonts w:cstheme="minorHAnsi"/>
              </w:rPr>
              <w:t>1</w:t>
            </w:r>
            <w:r w:rsidR="003A673C">
              <w:rPr>
                <w:rFonts w:cstheme="minorHAnsi"/>
              </w:rPr>
              <w:t>41</w:t>
            </w:r>
            <w:r w:rsidRPr="00D80ACC">
              <w:rPr>
                <w:rFonts w:cstheme="minorHAnsi"/>
              </w:rPr>
              <w:t>.</w:t>
            </w:r>
            <w:r w:rsidR="003A673C">
              <w:rPr>
                <w:rFonts w:cstheme="minorHAnsi"/>
              </w:rPr>
              <w:t>9</w:t>
            </w:r>
          </w:p>
        </w:tc>
        <w:tc>
          <w:tcPr>
            <w:tcW w:w="500" w:type="pct"/>
            <w:vAlign w:val="bottom"/>
            <w:hideMark/>
          </w:tcPr>
          <w:p w14:paraId="040D1262" w14:textId="5C895CCD" w:rsidR="00D80ACC" w:rsidRPr="00D80ACC" w:rsidRDefault="00D80ACC">
            <w:pPr>
              <w:widowControl w:val="0"/>
              <w:autoSpaceDE w:val="0"/>
              <w:autoSpaceDN w:val="0"/>
              <w:adjustRightInd w:val="0"/>
              <w:spacing w:after="0" w:line="240" w:lineRule="auto"/>
              <w:jc w:val="right"/>
              <w:rPr>
                <w:rFonts w:cstheme="minorHAnsi"/>
              </w:rPr>
            </w:pPr>
            <w:r w:rsidRPr="00D80ACC">
              <w:rPr>
                <w:rFonts w:cstheme="minorHAnsi"/>
              </w:rPr>
              <w:t>2</w:t>
            </w:r>
            <w:r w:rsidR="003A673C">
              <w:rPr>
                <w:rFonts w:cstheme="minorHAnsi"/>
              </w:rPr>
              <w:t>3</w:t>
            </w:r>
            <w:r w:rsidRPr="00D80ACC">
              <w:rPr>
                <w:rFonts w:cstheme="minorHAnsi"/>
              </w:rPr>
              <w:t>%</w:t>
            </w:r>
          </w:p>
        </w:tc>
      </w:tr>
      <w:tr w:rsidR="00D80ACC" w:rsidRPr="00D80ACC" w14:paraId="014D92A2" w14:textId="77777777" w:rsidTr="00D80ACC">
        <w:tc>
          <w:tcPr>
            <w:tcW w:w="3500" w:type="pct"/>
            <w:tcBorders>
              <w:top w:val="nil"/>
              <w:left w:val="nil"/>
              <w:bottom w:val="single" w:sz="12" w:space="0" w:color="000000" w:themeColor="text1"/>
              <w:right w:val="nil"/>
            </w:tcBorders>
            <w:vAlign w:val="bottom"/>
            <w:hideMark/>
          </w:tcPr>
          <w:p w14:paraId="447BE9E2" w14:textId="77777777" w:rsidR="00D80ACC" w:rsidRPr="00D80ACC" w:rsidRDefault="00D80ACC">
            <w:pPr>
              <w:widowControl w:val="0"/>
              <w:autoSpaceDE w:val="0"/>
              <w:autoSpaceDN w:val="0"/>
              <w:adjustRightInd w:val="0"/>
              <w:spacing w:after="0" w:line="240" w:lineRule="auto"/>
              <w:rPr>
                <w:rFonts w:cstheme="minorHAnsi"/>
              </w:rPr>
            </w:pPr>
            <w:r w:rsidRPr="00D80ACC">
              <w:rPr>
                <w:rFonts w:cstheme="minorHAnsi"/>
              </w:rPr>
              <w:t>Facilities Management</w:t>
            </w:r>
          </w:p>
        </w:tc>
        <w:tc>
          <w:tcPr>
            <w:tcW w:w="500" w:type="pct"/>
            <w:tcBorders>
              <w:top w:val="nil"/>
              <w:left w:val="nil"/>
              <w:bottom w:val="single" w:sz="12" w:space="0" w:color="000000" w:themeColor="text1"/>
              <w:right w:val="nil"/>
            </w:tcBorders>
            <w:vAlign w:val="bottom"/>
            <w:hideMark/>
          </w:tcPr>
          <w:p w14:paraId="60C84A95" w14:textId="72D782DE" w:rsidR="00D80ACC" w:rsidRPr="00D80ACC" w:rsidRDefault="00D80ACC">
            <w:pPr>
              <w:widowControl w:val="0"/>
              <w:autoSpaceDE w:val="0"/>
              <w:autoSpaceDN w:val="0"/>
              <w:adjustRightInd w:val="0"/>
              <w:spacing w:after="0" w:line="240" w:lineRule="auto"/>
              <w:jc w:val="right"/>
              <w:rPr>
                <w:rFonts w:cstheme="minorHAnsi"/>
              </w:rPr>
            </w:pPr>
            <w:r w:rsidRPr="00D80ACC">
              <w:rPr>
                <w:rFonts w:cstheme="minorHAnsi"/>
                <w:b/>
                <w:bCs/>
              </w:rPr>
              <w:t>1</w:t>
            </w:r>
            <w:r w:rsidR="003A673C">
              <w:rPr>
                <w:rFonts w:cstheme="minorHAnsi"/>
                <w:b/>
                <w:bCs/>
              </w:rPr>
              <w:t>9</w:t>
            </w:r>
            <w:r w:rsidRPr="00D80ACC">
              <w:rPr>
                <w:rFonts w:cstheme="minorHAnsi"/>
                <w:b/>
                <w:bCs/>
              </w:rPr>
              <w:t>.</w:t>
            </w:r>
            <w:r w:rsidR="003A673C">
              <w:rPr>
                <w:rFonts w:cstheme="minorHAnsi"/>
                <w:b/>
                <w:bCs/>
              </w:rPr>
              <w:t>0</w:t>
            </w:r>
          </w:p>
        </w:tc>
        <w:tc>
          <w:tcPr>
            <w:tcW w:w="500" w:type="pct"/>
            <w:tcBorders>
              <w:top w:val="nil"/>
              <w:left w:val="nil"/>
              <w:bottom w:val="single" w:sz="12" w:space="0" w:color="000000" w:themeColor="text1"/>
              <w:right w:val="nil"/>
            </w:tcBorders>
            <w:vAlign w:val="bottom"/>
            <w:hideMark/>
          </w:tcPr>
          <w:p w14:paraId="7EE21AE7" w14:textId="060F7E52" w:rsidR="00D80ACC" w:rsidRPr="00D80ACC" w:rsidRDefault="003A673C">
            <w:pPr>
              <w:widowControl w:val="0"/>
              <w:autoSpaceDE w:val="0"/>
              <w:autoSpaceDN w:val="0"/>
              <w:adjustRightInd w:val="0"/>
              <w:spacing w:after="0" w:line="240" w:lineRule="auto"/>
              <w:jc w:val="right"/>
              <w:rPr>
                <w:rFonts w:cstheme="minorHAnsi"/>
              </w:rPr>
            </w:pPr>
            <w:r>
              <w:rPr>
                <w:rFonts w:cstheme="minorHAnsi"/>
              </w:rPr>
              <w:t>11</w:t>
            </w:r>
            <w:r w:rsidR="00D80ACC" w:rsidRPr="00D80ACC">
              <w:rPr>
                <w:rFonts w:cstheme="minorHAnsi"/>
              </w:rPr>
              <w:t>.</w:t>
            </w:r>
            <w:r>
              <w:rPr>
                <w:rFonts w:cstheme="minorHAnsi"/>
              </w:rPr>
              <w:t>7</w:t>
            </w:r>
          </w:p>
        </w:tc>
        <w:tc>
          <w:tcPr>
            <w:tcW w:w="500" w:type="pct"/>
            <w:tcBorders>
              <w:top w:val="nil"/>
              <w:left w:val="nil"/>
              <w:bottom w:val="single" w:sz="12" w:space="0" w:color="000000" w:themeColor="text1"/>
              <w:right w:val="nil"/>
            </w:tcBorders>
            <w:vAlign w:val="bottom"/>
            <w:hideMark/>
          </w:tcPr>
          <w:p w14:paraId="432F1BE2" w14:textId="1F71382E" w:rsidR="00D80ACC" w:rsidRPr="00D80ACC" w:rsidRDefault="003A673C">
            <w:pPr>
              <w:widowControl w:val="0"/>
              <w:autoSpaceDE w:val="0"/>
              <w:autoSpaceDN w:val="0"/>
              <w:adjustRightInd w:val="0"/>
              <w:spacing w:after="0" w:line="240" w:lineRule="auto"/>
              <w:jc w:val="right"/>
              <w:rPr>
                <w:rFonts w:cstheme="minorHAnsi"/>
              </w:rPr>
            </w:pPr>
            <w:r>
              <w:rPr>
                <w:rFonts w:cstheme="minorHAnsi"/>
              </w:rPr>
              <w:t>62</w:t>
            </w:r>
            <w:r w:rsidR="00D80ACC" w:rsidRPr="00D80ACC">
              <w:rPr>
                <w:rFonts w:cstheme="minorHAnsi"/>
              </w:rPr>
              <w:t>%</w:t>
            </w:r>
          </w:p>
        </w:tc>
      </w:tr>
    </w:tbl>
    <w:p w14:paraId="6BB29D29" w14:textId="01ACFA67" w:rsidR="003A673C" w:rsidRDefault="003A673C" w:rsidP="00D80ACC">
      <w:pPr>
        <w:widowControl w:val="0"/>
        <w:autoSpaceDE w:val="0"/>
        <w:autoSpaceDN w:val="0"/>
        <w:adjustRightInd w:val="0"/>
        <w:spacing w:before="160" w:after="0" w:line="240" w:lineRule="auto"/>
        <w:rPr>
          <w:rFonts w:cstheme="minorHAnsi"/>
          <w:sz w:val="16"/>
          <w:szCs w:val="16"/>
        </w:rPr>
      </w:pPr>
      <w:bookmarkStart w:id="1" w:name="page23"/>
      <w:bookmarkEnd w:id="1"/>
      <w:r w:rsidRPr="003A673C">
        <w:rPr>
          <w:rFonts w:cstheme="minorHAnsi"/>
          <w:sz w:val="16"/>
          <w:szCs w:val="16"/>
        </w:rPr>
        <w:t xml:space="preserve">Forward Order Book comprises jobs which are secured through contracts or letters of intent. </w:t>
      </w:r>
    </w:p>
    <w:p w14:paraId="72DACDF5" w14:textId="1CD9D44F" w:rsidR="00D80ACC" w:rsidRPr="00D80ACC" w:rsidRDefault="00D80ACC" w:rsidP="00D80ACC">
      <w:pPr>
        <w:widowControl w:val="0"/>
        <w:autoSpaceDE w:val="0"/>
        <w:autoSpaceDN w:val="0"/>
        <w:adjustRightInd w:val="0"/>
        <w:spacing w:before="160" w:after="0" w:line="240" w:lineRule="auto"/>
        <w:rPr>
          <w:rFonts w:cstheme="minorHAnsi"/>
        </w:rPr>
      </w:pPr>
      <w:r w:rsidRPr="00D80ACC">
        <w:rPr>
          <w:rFonts w:cstheme="minorHAnsi"/>
          <w:b/>
          <w:bCs/>
        </w:rPr>
        <w:t>London</w:t>
      </w:r>
    </w:p>
    <w:p w14:paraId="60E7D55D" w14:textId="43A455EC" w:rsidR="003A673C" w:rsidRPr="003A673C" w:rsidRDefault="003A673C" w:rsidP="003A673C">
      <w:pPr>
        <w:widowControl w:val="0"/>
        <w:overflowPunct w:val="0"/>
        <w:autoSpaceDE w:val="0"/>
        <w:autoSpaceDN w:val="0"/>
        <w:adjustRightInd w:val="0"/>
        <w:spacing w:before="160" w:after="0" w:line="240" w:lineRule="auto"/>
        <w:rPr>
          <w:rFonts w:cstheme="minorHAnsi"/>
        </w:rPr>
      </w:pPr>
      <w:r w:rsidRPr="003A673C">
        <w:rPr>
          <w:rFonts w:cstheme="minorHAnsi"/>
        </w:rPr>
        <w:t>Revenue from our London operations fell to £134.6 million</w:t>
      </w:r>
      <w:r w:rsidR="007201C9">
        <w:rPr>
          <w:rFonts w:cstheme="minorHAnsi"/>
        </w:rPr>
        <w:t xml:space="preserve"> </w:t>
      </w:r>
      <w:r w:rsidRPr="003A673C">
        <w:rPr>
          <w:rFonts w:cstheme="minorHAnsi"/>
        </w:rPr>
        <w:t>(2019: £201 million)</w:t>
      </w:r>
      <w:r w:rsidR="00335B05">
        <w:rPr>
          <w:rFonts w:cstheme="minorHAnsi"/>
        </w:rPr>
        <w:t xml:space="preserve">. The fall in revenue was as a direct result of some large London sites remaining closed during the first national lockdown until a safe </w:t>
      </w:r>
      <w:r w:rsidR="00204C5B">
        <w:rPr>
          <w:rFonts w:cstheme="minorHAnsi"/>
        </w:rPr>
        <w:t xml:space="preserve">method of working could be established. These sites opened during the second half of 2020 and remain open. London generated </w:t>
      </w:r>
      <w:r w:rsidRPr="003A673C">
        <w:rPr>
          <w:rFonts w:cstheme="minorHAnsi"/>
        </w:rPr>
        <w:t>an underlying</w:t>
      </w:r>
      <w:r w:rsidR="00D437C6">
        <w:rPr>
          <w:rFonts w:cstheme="minorHAnsi"/>
        </w:rPr>
        <w:t xml:space="preserve"> operating</w:t>
      </w:r>
      <w:r w:rsidRPr="003A673C">
        <w:rPr>
          <w:rFonts w:cstheme="minorHAnsi"/>
        </w:rPr>
        <w:t xml:space="preserve"> profit of £4.9 million (2019: £8.2 million). Underlying operating margin was 3.6% (2019: 4.1%).</w:t>
      </w:r>
    </w:p>
    <w:p w14:paraId="38F14D8B" w14:textId="12D3B59C" w:rsidR="003A673C" w:rsidRPr="003A673C" w:rsidRDefault="003A673C" w:rsidP="003A673C">
      <w:pPr>
        <w:widowControl w:val="0"/>
        <w:overflowPunct w:val="0"/>
        <w:autoSpaceDE w:val="0"/>
        <w:autoSpaceDN w:val="0"/>
        <w:adjustRightInd w:val="0"/>
        <w:spacing w:before="160" w:after="0" w:line="240" w:lineRule="auto"/>
        <w:rPr>
          <w:rFonts w:cstheme="minorHAnsi"/>
        </w:rPr>
      </w:pPr>
      <w:r w:rsidRPr="003A673C">
        <w:rPr>
          <w:rFonts w:cstheme="minorHAnsi"/>
        </w:rPr>
        <w:t>For 2021 the region is engaged on a number of high-profile shell and core commercial and hotel developments all of which offer future fit-out opportunities. A number of areas continue to be regenerated and offer large -scale mixed</w:t>
      </w:r>
      <w:r>
        <w:rPr>
          <w:rFonts w:cstheme="minorHAnsi"/>
        </w:rPr>
        <w:t xml:space="preserve"> </w:t>
      </w:r>
      <w:r w:rsidRPr="003A673C">
        <w:rPr>
          <w:rFonts w:cstheme="minorHAnsi"/>
        </w:rPr>
        <w:t>commercial and residential opportunities such as the International Quarter London, Battersea Power Station, Kings Cross and the area of Bishopsgate, London.</w:t>
      </w:r>
    </w:p>
    <w:p w14:paraId="1C389189" w14:textId="77777777" w:rsidR="003A673C" w:rsidRPr="003A673C" w:rsidRDefault="003A673C" w:rsidP="003A673C">
      <w:pPr>
        <w:widowControl w:val="0"/>
        <w:overflowPunct w:val="0"/>
        <w:autoSpaceDE w:val="0"/>
        <w:autoSpaceDN w:val="0"/>
        <w:adjustRightInd w:val="0"/>
        <w:spacing w:before="160" w:after="0" w:line="240" w:lineRule="auto"/>
        <w:rPr>
          <w:rFonts w:cstheme="minorHAnsi"/>
        </w:rPr>
      </w:pPr>
      <w:r w:rsidRPr="003A673C">
        <w:rPr>
          <w:rFonts w:cstheme="minorHAnsi"/>
        </w:rPr>
        <w:t>London is currently working on some key data centres and is also bidding a number of data centre opportunities both in the UK and Europe.</w:t>
      </w:r>
    </w:p>
    <w:p w14:paraId="100516D3" w14:textId="4133E58C" w:rsidR="00D80ACC" w:rsidRPr="00D80ACC" w:rsidRDefault="003A673C" w:rsidP="003A673C">
      <w:pPr>
        <w:widowControl w:val="0"/>
        <w:overflowPunct w:val="0"/>
        <w:autoSpaceDE w:val="0"/>
        <w:autoSpaceDN w:val="0"/>
        <w:adjustRightInd w:val="0"/>
        <w:spacing w:before="160" w:after="0" w:line="240" w:lineRule="auto"/>
        <w:rPr>
          <w:rFonts w:cstheme="minorHAnsi"/>
        </w:rPr>
      </w:pPr>
      <w:r w:rsidRPr="003A673C">
        <w:rPr>
          <w:rFonts w:cstheme="minorHAnsi"/>
        </w:rPr>
        <w:t xml:space="preserve">In addition, TClarke has an exclusive contract to sell, install and maintain the </w:t>
      </w:r>
      <w:proofErr w:type="spellStart"/>
      <w:r w:rsidRPr="003A673C">
        <w:rPr>
          <w:rFonts w:cstheme="minorHAnsi"/>
        </w:rPr>
        <w:t>Gooee</w:t>
      </w:r>
      <w:proofErr w:type="spellEnd"/>
      <w:r w:rsidRPr="003A673C">
        <w:rPr>
          <w:rFonts w:cstheme="minorHAnsi"/>
        </w:rPr>
        <w:t xml:space="preserve"> suite of products offering both initial and recurring revenue streams</w:t>
      </w:r>
      <w:r w:rsidR="00D80ACC" w:rsidRPr="00D80ACC">
        <w:rPr>
          <w:rFonts w:cstheme="minorHAnsi"/>
        </w:rPr>
        <w:t>.</w:t>
      </w:r>
    </w:p>
    <w:p w14:paraId="2E495526" w14:textId="77777777" w:rsidR="00D80ACC" w:rsidRPr="00D80ACC" w:rsidRDefault="00D80ACC" w:rsidP="00D80ACC">
      <w:pPr>
        <w:widowControl w:val="0"/>
        <w:autoSpaceDE w:val="0"/>
        <w:autoSpaceDN w:val="0"/>
        <w:adjustRightInd w:val="0"/>
        <w:spacing w:before="160" w:after="0" w:line="240" w:lineRule="auto"/>
        <w:rPr>
          <w:rFonts w:cstheme="minorHAnsi"/>
        </w:rPr>
      </w:pPr>
      <w:r w:rsidRPr="00D80ACC">
        <w:rPr>
          <w:rFonts w:cstheme="minorHAnsi"/>
          <w:b/>
          <w:bCs/>
        </w:rPr>
        <w:t>UK South</w:t>
      </w:r>
    </w:p>
    <w:p w14:paraId="44FE92B2" w14:textId="74016A65" w:rsidR="003A673C" w:rsidRPr="003A673C" w:rsidRDefault="003A673C" w:rsidP="003A673C">
      <w:pPr>
        <w:widowControl w:val="0"/>
        <w:overflowPunct w:val="0"/>
        <w:autoSpaceDE w:val="0"/>
        <w:autoSpaceDN w:val="0"/>
        <w:adjustRightInd w:val="0"/>
        <w:spacing w:before="160" w:after="0" w:line="240" w:lineRule="auto"/>
        <w:rPr>
          <w:rFonts w:cstheme="minorHAnsi"/>
        </w:rPr>
      </w:pPr>
      <w:r w:rsidRPr="003A673C">
        <w:rPr>
          <w:rFonts w:cstheme="minorHAnsi"/>
        </w:rPr>
        <w:t xml:space="preserve">Revenue from UK South fell by 17% to £55.1 million (2019: £66.3 million) but the focus on higher-quality projects has resulted in </w:t>
      </w:r>
      <w:r w:rsidR="00D437C6">
        <w:rPr>
          <w:rFonts w:cstheme="minorHAnsi"/>
        </w:rPr>
        <w:t>an underlying operating profit</w:t>
      </w:r>
      <w:r w:rsidRPr="003A673C">
        <w:rPr>
          <w:rFonts w:cstheme="minorHAnsi"/>
        </w:rPr>
        <w:t xml:space="preserve"> of £2.7 million (2019: £3.6 million) giving rise to an underlying operating margin of £4.9% (2019: 5.4%). The region has developed a high-quality customer base providing a significant quantity of repeat business.</w:t>
      </w:r>
    </w:p>
    <w:p w14:paraId="754E81BD" w14:textId="755B9EBF" w:rsidR="003A673C" w:rsidRPr="003A673C" w:rsidRDefault="003A673C" w:rsidP="003A673C">
      <w:pPr>
        <w:widowControl w:val="0"/>
        <w:overflowPunct w:val="0"/>
        <w:autoSpaceDE w:val="0"/>
        <w:autoSpaceDN w:val="0"/>
        <w:adjustRightInd w:val="0"/>
        <w:spacing w:before="160" w:after="0" w:line="240" w:lineRule="auto"/>
        <w:rPr>
          <w:rFonts w:cstheme="minorHAnsi"/>
        </w:rPr>
      </w:pPr>
      <w:r w:rsidRPr="003A673C">
        <w:rPr>
          <w:rFonts w:cstheme="minorHAnsi"/>
        </w:rPr>
        <w:t xml:space="preserve">The region is particularly strong in Infrastructure with many projects being undertaken in defence, </w:t>
      </w:r>
      <w:proofErr w:type="gramStart"/>
      <w:r w:rsidRPr="003A673C">
        <w:rPr>
          <w:rFonts w:cstheme="minorHAnsi"/>
        </w:rPr>
        <w:t>education</w:t>
      </w:r>
      <w:proofErr w:type="gramEnd"/>
      <w:r w:rsidRPr="003A673C">
        <w:rPr>
          <w:rFonts w:cstheme="minorHAnsi"/>
        </w:rPr>
        <w:t xml:space="preserve"> and healthcare. Of particular note TClarke delivered the Exeter Nightingale Hospital in 6 weeks during May and June 2020.</w:t>
      </w:r>
    </w:p>
    <w:p w14:paraId="786191D4" w14:textId="5FD43003" w:rsidR="00D80ACC" w:rsidRPr="00D80ACC" w:rsidRDefault="003A673C" w:rsidP="003A673C">
      <w:pPr>
        <w:widowControl w:val="0"/>
        <w:overflowPunct w:val="0"/>
        <w:autoSpaceDE w:val="0"/>
        <w:autoSpaceDN w:val="0"/>
        <w:adjustRightInd w:val="0"/>
        <w:spacing w:before="160" w:after="0" w:line="240" w:lineRule="auto"/>
        <w:rPr>
          <w:rFonts w:cstheme="minorHAnsi"/>
        </w:rPr>
      </w:pPr>
      <w:r w:rsidRPr="003A673C">
        <w:rPr>
          <w:rFonts w:cstheme="minorHAnsi"/>
        </w:rPr>
        <w:t>Our established FM operation in Birmingham is performing well and has a pipeline of opportunities, many with repeat customers</w:t>
      </w:r>
      <w:r w:rsidR="00D80ACC" w:rsidRPr="00D80ACC">
        <w:rPr>
          <w:rFonts w:cstheme="minorHAnsi"/>
        </w:rPr>
        <w:t>.</w:t>
      </w:r>
    </w:p>
    <w:p w14:paraId="52245E5C" w14:textId="77777777" w:rsidR="00D80ACC" w:rsidRPr="00D80ACC" w:rsidRDefault="00D80ACC" w:rsidP="00D80ACC">
      <w:pPr>
        <w:widowControl w:val="0"/>
        <w:autoSpaceDE w:val="0"/>
        <w:autoSpaceDN w:val="0"/>
        <w:adjustRightInd w:val="0"/>
        <w:spacing w:before="160" w:after="0" w:line="240" w:lineRule="auto"/>
        <w:rPr>
          <w:rFonts w:cstheme="minorHAnsi"/>
        </w:rPr>
      </w:pPr>
      <w:r w:rsidRPr="00D80ACC">
        <w:rPr>
          <w:rFonts w:cstheme="minorHAnsi"/>
          <w:b/>
          <w:bCs/>
        </w:rPr>
        <w:t>UK North</w:t>
      </w:r>
    </w:p>
    <w:p w14:paraId="5844E270" w14:textId="333D819B" w:rsidR="00D80ACC" w:rsidRPr="00D80ACC" w:rsidRDefault="003A673C" w:rsidP="00D80ACC">
      <w:pPr>
        <w:widowControl w:val="0"/>
        <w:overflowPunct w:val="0"/>
        <w:autoSpaceDE w:val="0"/>
        <w:autoSpaceDN w:val="0"/>
        <w:adjustRightInd w:val="0"/>
        <w:spacing w:before="160" w:after="0" w:line="240" w:lineRule="auto"/>
        <w:rPr>
          <w:rFonts w:cstheme="minorHAnsi"/>
        </w:rPr>
      </w:pPr>
      <w:r w:rsidRPr="003A673C">
        <w:rPr>
          <w:rFonts w:cstheme="minorHAnsi"/>
        </w:rPr>
        <w:t>Revenue fell to £42.2 million (2019: £67.3 million), in part the result from Scotland being unable to work on any sites for a number of months. UK North generated an underlying</w:t>
      </w:r>
      <w:r w:rsidR="00BD4865">
        <w:rPr>
          <w:rFonts w:cstheme="minorHAnsi"/>
        </w:rPr>
        <w:t xml:space="preserve"> operating</w:t>
      </w:r>
      <w:r w:rsidRPr="003A673C">
        <w:rPr>
          <w:rFonts w:cstheme="minorHAnsi"/>
        </w:rPr>
        <w:t xml:space="preserve"> profit of £0.7m million (2019: £1.4 million) in spite of the site closures. Underlying operating margin was 1.7% (2019: 2.1%). Within the region, Scotland’s residential work performed well in the lat</w:t>
      </w:r>
      <w:r w:rsidR="008F2A2C">
        <w:rPr>
          <w:rFonts w:cstheme="minorHAnsi"/>
        </w:rPr>
        <w:t>t</w:t>
      </w:r>
      <w:r w:rsidRPr="003A673C">
        <w:rPr>
          <w:rFonts w:cstheme="minorHAnsi"/>
        </w:rPr>
        <w:t>er part of the year; a number of educational projects were delivered by the Leeds office and our recently opened offices in Manchester is well on the way to completing its first major project</w:t>
      </w:r>
      <w:r w:rsidR="00D80ACC" w:rsidRPr="00D80ACC">
        <w:rPr>
          <w:rFonts w:cstheme="minorHAnsi"/>
        </w:rPr>
        <w:t>.</w:t>
      </w:r>
    </w:p>
    <w:p w14:paraId="65AFB58E" w14:textId="77777777" w:rsidR="00D80ACC" w:rsidRPr="00D80ACC" w:rsidRDefault="00D80ACC" w:rsidP="00D80ACC">
      <w:pPr>
        <w:widowControl w:val="0"/>
        <w:autoSpaceDE w:val="0"/>
        <w:autoSpaceDN w:val="0"/>
        <w:adjustRightInd w:val="0"/>
        <w:spacing w:before="160" w:after="0" w:line="240" w:lineRule="auto"/>
        <w:rPr>
          <w:rFonts w:cstheme="minorHAnsi"/>
        </w:rPr>
      </w:pPr>
      <w:r w:rsidRPr="00D80ACC">
        <w:rPr>
          <w:rFonts w:cstheme="minorHAnsi"/>
          <w:b/>
          <w:bCs/>
        </w:rPr>
        <w:t>Pension obligations</w:t>
      </w:r>
    </w:p>
    <w:p w14:paraId="113FB017" w14:textId="77777777" w:rsidR="003A673C" w:rsidRPr="003A673C" w:rsidRDefault="003A673C" w:rsidP="003A673C">
      <w:pPr>
        <w:widowControl w:val="0"/>
        <w:overflowPunct w:val="0"/>
        <w:autoSpaceDE w:val="0"/>
        <w:autoSpaceDN w:val="0"/>
        <w:adjustRightInd w:val="0"/>
        <w:spacing w:before="160" w:after="0" w:line="240" w:lineRule="auto"/>
        <w:rPr>
          <w:rFonts w:cstheme="minorHAnsi"/>
        </w:rPr>
      </w:pPr>
      <w:r w:rsidRPr="003A673C">
        <w:rPr>
          <w:rFonts w:cstheme="minorHAnsi"/>
        </w:rPr>
        <w:t xml:space="preserve">The triennial valuation of the pension scheme </w:t>
      </w:r>
      <w:proofErr w:type="gramStart"/>
      <w:r w:rsidRPr="003A673C">
        <w:rPr>
          <w:rFonts w:cstheme="minorHAnsi"/>
        </w:rPr>
        <w:t>at</w:t>
      </w:r>
      <w:proofErr w:type="gramEnd"/>
      <w:r w:rsidRPr="003A673C">
        <w:rPr>
          <w:rFonts w:cstheme="minorHAnsi"/>
        </w:rPr>
        <w:t xml:space="preserve"> 31st December 2018 showed a deficit of £24.9 million, representing a funding level of 59% (2015 valuation: deficit £14.9 million, funding level 67%). The principal reason for the increase in deficit is the fall in long-term interest rates over the period.</w:t>
      </w:r>
    </w:p>
    <w:p w14:paraId="53531A7A" w14:textId="26E57D55" w:rsidR="003A673C" w:rsidRPr="003A673C" w:rsidRDefault="003A673C" w:rsidP="003A673C">
      <w:pPr>
        <w:widowControl w:val="0"/>
        <w:overflowPunct w:val="0"/>
        <w:autoSpaceDE w:val="0"/>
        <w:autoSpaceDN w:val="0"/>
        <w:adjustRightInd w:val="0"/>
        <w:spacing w:before="160" w:after="0" w:line="240" w:lineRule="auto"/>
        <w:rPr>
          <w:rFonts w:cstheme="minorHAnsi"/>
        </w:rPr>
      </w:pPr>
      <w:r w:rsidRPr="003A673C">
        <w:rPr>
          <w:rFonts w:cstheme="minorHAnsi"/>
        </w:rPr>
        <w:t>The Group has been pursuing an agreed deficit reduction plan over a number of years; however, market factors have meant that the deficit has not been reduced as intended and the cost of funding current pension commitments has increased. Following agreement of the 2018 valuation, the Group has agreed to continue the deficit reduction contributions of £1.5 million per annum. The recovery plan period is 12 years. The Group continues to provide security to the pension scheme in the form of a charge over property assets up to a combined market value of £3.1 million.</w:t>
      </w:r>
    </w:p>
    <w:p w14:paraId="362B9609" w14:textId="4D05FD78" w:rsidR="003A673C" w:rsidRPr="003A673C" w:rsidRDefault="003A673C" w:rsidP="003A673C">
      <w:pPr>
        <w:widowControl w:val="0"/>
        <w:overflowPunct w:val="0"/>
        <w:autoSpaceDE w:val="0"/>
        <w:autoSpaceDN w:val="0"/>
        <w:adjustRightInd w:val="0"/>
        <w:spacing w:before="160" w:after="0" w:line="240" w:lineRule="auto"/>
        <w:rPr>
          <w:rFonts w:cstheme="minorHAnsi"/>
        </w:rPr>
      </w:pPr>
      <w:r w:rsidRPr="003A673C">
        <w:rPr>
          <w:rFonts w:cstheme="minorHAnsi"/>
        </w:rPr>
        <w:t>From 1st April 2020 the future service contribution increased to 22.4% of pensionable payroll (including employee contributions). Employee contributions increased from 10% to 12% from 1 July 2020.</w:t>
      </w:r>
    </w:p>
    <w:p w14:paraId="31F3A6C2" w14:textId="77777777" w:rsidR="00460D0F" w:rsidRDefault="003A673C" w:rsidP="003A673C">
      <w:pPr>
        <w:widowControl w:val="0"/>
        <w:overflowPunct w:val="0"/>
        <w:autoSpaceDE w:val="0"/>
        <w:autoSpaceDN w:val="0"/>
        <w:adjustRightInd w:val="0"/>
        <w:spacing w:before="160" w:after="0" w:line="240" w:lineRule="auto"/>
      </w:pPr>
      <w:r w:rsidRPr="003A673C">
        <w:rPr>
          <w:rFonts w:cstheme="minorHAnsi"/>
        </w:rPr>
        <w:lastRenderedPageBreak/>
        <w:t>The scheme is closed to new members and the Group continues to meet its ongoing obligations to the scheme</w:t>
      </w:r>
      <w:r w:rsidR="00D80ACC" w:rsidRPr="00D80ACC">
        <w:rPr>
          <w:rFonts w:cstheme="minorHAnsi"/>
        </w:rPr>
        <w:t>.</w:t>
      </w:r>
      <w:r w:rsidR="00460D0F" w:rsidRPr="00460D0F">
        <w:t xml:space="preserve"> </w:t>
      </w:r>
    </w:p>
    <w:p w14:paraId="32C35324" w14:textId="03E2FFAA" w:rsidR="00D80ACC" w:rsidRPr="00D80ACC" w:rsidRDefault="00460D0F" w:rsidP="003A673C">
      <w:pPr>
        <w:widowControl w:val="0"/>
        <w:overflowPunct w:val="0"/>
        <w:autoSpaceDE w:val="0"/>
        <w:autoSpaceDN w:val="0"/>
        <w:adjustRightInd w:val="0"/>
        <w:spacing w:before="160" w:after="0" w:line="240" w:lineRule="auto"/>
        <w:rPr>
          <w:rFonts w:cstheme="minorHAnsi"/>
        </w:rPr>
      </w:pPr>
      <w:r w:rsidRPr="00460D0F">
        <w:rPr>
          <w:rFonts w:cstheme="minorHAnsi"/>
        </w:rPr>
        <w:t xml:space="preserve">In accordance with IAS 19 ‘Employee </w:t>
      </w:r>
      <w:r w:rsidR="008F2A2C">
        <w:rPr>
          <w:rFonts w:cstheme="minorHAnsi"/>
        </w:rPr>
        <w:t>B</w:t>
      </w:r>
      <w:r w:rsidRPr="00460D0F">
        <w:rPr>
          <w:rFonts w:cstheme="minorHAnsi"/>
        </w:rPr>
        <w:t>enefits’, an actuarial loss net of tax of £4.8 million (2019: loss of £5.7 million), has been recognised in reserves, with the pension scheme deficit rising by £3.8 million to £30.2 million (2019: £26.4 million).</w:t>
      </w:r>
    </w:p>
    <w:p w14:paraId="0A595B81" w14:textId="77777777" w:rsidR="00D80ACC" w:rsidRPr="00D80ACC" w:rsidRDefault="00D80ACC" w:rsidP="00D80ACC">
      <w:pPr>
        <w:widowControl w:val="0"/>
        <w:autoSpaceDE w:val="0"/>
        <w:autoSpaceDN w:val="0"/>
        <w:adjustRightInd w:val="0"/>
        <w:spacing w:before="160" w:after="0" w:line="240" w:lineRule="auto"/>
        <w:rPr>
          <w:rFonts w:cstheme="minorHAnsi"/>
        </w:rPr>
      </w:pPr>
      <w:r w:rsidRPr="00D80ACC">
        <w:rPr>
          <w:rFonts w:cstheme="minorHAnsi"/>
          <w:b/>
          <w:bCs/>
        </w:rPr>
        <w:t>Cash flow and funding</w:t>
      </w:r>
    </w:p>
    <w:p w14:paraId="5703B7A4" w14:textId="77777777" w:rsidR="00460D0F" w:rsidRPr="00460D0F" w:rsidRDefault="00460D0F" w:rsidP="00460D0F">
      <w:pPr>
        <w:widowControl w:val="0"/>
        <w:overflowPunct w:val="0"/>
        <w:autoSpaceDE w:val="0"/>
        <w:autoSpaceDN w:val="0"/>
        <w:adjustRightInd w:val="0"/>
        <w:spacing w:before="160" w:after="0" w:line="240" w:lineRule="auto"/>
        <w:rPr>
          <w:rFonts w:cstheme="minorHAnsi"/>
        </w:rPr>
      </w:pPr>
      <w:r w:rsidRPr="00460D0F">
        <w:rPr>
          <w:rFonts w:cstheme="minorHAnsi"/>
        </w:rPr>
        <w:t xml:space="preserve">Cash balances totalled £25.2 million </w:t>
      </w:r>
      <w:proofErr w:type="gramStart"/>
      <w:r w:rsidRPr="00460D0F">
        <w:rPr>
          <w:rFonts w:cstheme="minorHAnsi"/>
        </w:rPr>
        <w:t>at</w:t>
      </w:r>
      <w:proofErr w:type="gramEnd"/>
      <w:r w:rsidRPr="00460D0F">
        <w:rPr>
          <w:rFonts w:cstheme="minorHAnsi"/>
        </w:rPr>
        <w:t xml:space="preserve"> 31st December 2020 (2019: £12.4 million). £15 million RCF was drawdown </w:t>
      </w:r>
      <w:proofErr w:type="gramStart"/>
      <w:r w:rsidRPr="00460D0F">
        <w:rPr>
          <w:rFonts w:cstheme="minorHAnsi"/>
        </w:rPr>
        <w:t>at</w:t>
      </w:r>
      <w:proofErr w:type="gramEnd"/>
      <w:r w:rsidRPr="00460D0F">
        <w:rPr>
          <w:rFonts w:cstheme="minorHAnsi"/>
        </w:rPr>
        <w:t xml:space="preserve"> 31 December 2020 (2019: Nil) resulting in net cash of £10.2 million (2019: £12.4 million).</w:t>
      </w:r>
    </w:p>
    <w:p w14:paraId="44A8EE09" w14:textId="3722D71F" w:rsidR="00460D0F" w:rsidRPr="00460D0F" w:rsidRDefault="00460D0F" w:rsidP="00460D0F">
      <w:pPr>
        <w:widowControl w:val="0"/>
        <w:overflowPunct w:val="0"/>
        <w:autoSpaceDE w:val="0"/>
        <w:autoSpaceDN w:val="0"/>
        <w:adjustRightInd w:val="0"/>
        <w:spacing w:before="160" w:after="0" w:line="240" w:lineRule="auto"/>
        <w:rPr>
          <w:rFonts w:cstheme="minorHAnsi"/>
        </w:rPr>
      </w:pPr>
      <w:r w:rsidRPr="00460D0F">
        <w:rPr>
          <w:rFonts w:cstheme="minorHAnsi"/>
        </w:rPr>
        <w:t>The Group has a £15.0 million revolving credit facility, which is committed until 31st August 2024, and a £10.0 million overdraft facility, renewable annually</w:t>
      </w:r>
      <w:r w:rsidR="00E7494C">
        <w:rPr>
          <w:rFonts w:cstheme="minorHAnsi"/>
        </w:rPr>
        <w:t xml:space="preserve"> and repayable on demand</w:t>
      </w:r>
      <w:r w:rsidRPr="00460D0F">
        <w:rPr>
          <w:rFonts w:cstheme="minorHAnsi"/>
        </w:rPr>
        <w:t>. Interest on overdrawn balances is charged at 2.0% above base rate, and interest on balances drawn down under the revolving credit facility is charged at 1.7% above LIBOR, fixed for the duration of each drawdown. The Group was compliant with the terms of the facilities throughout the year ended 31st December 2020 and the Board’s detailed projections demonstrate that the Group will continue to meet its obligations in the future.</w:t>
      </w:r>
    </w:p>
    <w:p w14:paraId="1FC0B8D9" w14:textId="2FD3F648" w:rsidR="00460D0F" w:rsidRPr="00460D0F" w:rsidRDefault="00460D0F" w:rsidP="00460D0F">
      <w:pPr>
        <w:widowControl w:val="0"/>
        <w:overflowPunct w:val="0"/>
        <w:autoSpaceDE w:val="0"/>
        <w:autoSpaceDN w:val="0"/>
        <w:adjustRightInd w:val="0"/>
        <w:spacing w:before="160" w:after="0" w:line="240" w:lineRule="auto"/>
        <w:rPr>
          <w:rFonts w:cstheme="minorHAnsi"/>
        </w:rPr>
      </w:pPr>
      <w:r w:rsidRPr="00460D0F">
        <w:rPr>
          <w:rFonts w:cstheme="minorHAnsi"/>
        </w:rPr>
        <w:t>The Board’s detailed cash flow projections include an allowance for the impact of a change in the VAT regime from 1st March 2021. From this date the Government has introduced a VAT domestic reverse charge for building and construction services. Under this scheme TClarke will continue to charge VAT to end customers but will no longer be able to charge VAT to contractors and will not pay VAT on costs incurred with subcontractors.</w:t>
      </w:r>
    </w:p>
    <w:p w14:paraId="3F800DB0" w14:textId="6A225380" w:rsidR="00460D0F" w:rsidRPr="00460D0F" w:rsidRDefault="00460D0F" w:rsidP="00460D0F">
      <w:pPr>
        <w:widowControl w:val="0"/>
        <w:overflowPunct w:val="0"/>
        <w:autoSpaceDE w:val="0"/>
        <w:autoSpaceDN w:val="0"/>
        <w:adjustRightInd w:val="0"/>
        <w:spacing w:before="160" w:after="0" w:line="240" w:lineRule="auto"/>
        <w:rPr>
          <w:rFonts w:cstheme="minorHAnsi"/>
        </w:rPr>
      </w:pPr>
      <w:r w:rsidRPr="00460D0F">
        <w:rPr>
          <w:rFonts w:cstheme="minorHAnsi"/>
        </w:rPr>
        <w:t xml:space="preserve">The Board’s projections show </w:t>
      </w:r>
      <w:r w:rsidR="004058A7">
        <w:rPr>
          <w:rFonts w:cstheme="minorHAnsi"/>
        </w:rPr>
        <w:t xml:space="preserve">that TClarke is expected to maintain a healthy cash position throughout the next </w:t>
      </w:r>
      <w:proofErr w:type="gramStart"/>
      <w:r w:rsidR="004058A7">
        <w:rPr>
          <w:rFonts w:cstheme="minorHAnsi"/>
        </w:rPr>
        <w:t>three year</w:t>
      </w:r>
      <w:proofErr w:type="gramEnd"/>
      <w:r w:rsidR="004058A7">
        <w:rPr>
          <w:rFonts w:cstheme="minorHAnsi"/>
        </w:rPr>
        <w:t xml:space="preserve"> period.</w:t>
      </w:r>
    </w:p>
    <w:p w14:paraId="342F96BA" w14:textId="02025AEB" w:rsidR="00D80ACC" w:rsidRPr="00D80ACC" w:rsidRDefault="00460D0F" w:rsidP="00460D0F">
      <w:pPr>
        <w:widowControl w:val="0"/>
        <w:overflowPunct w:val="0"/>
        <w:autoSpaceDE w:val="0"/>
        <w:autoSpaceDN w:val="0"/>
        <w:adjustRightInd w:val="0"/>
        <w:spacing w:before="160" w:after="0" w:line="240" w:lineRule="auto"/>
        <w:rPr>
          <w:rFonts w:cstheme="minorHAnsi"/>
        </w:rPr>
      </w:pPr>
      <w:r w:rsidRPr="00460D0F">
        <w:rPr>
          <w:rFonts w:cstheme="minorHAnsi"/>
        </w:rPr>
        <w:t>The Group also has in place £40.1 million of bonding facilities</w:t>
      </w:r>
      <w:r w:rsidR="001E3FCE">
        <w:rPr>
          <w:rFonts w:cstheme="minorHAnsi"/>
        </w:rPr>
        <w:t xml:space="preserve"> (2019: £40.1 million)</w:t>
      </w:r>
      <w:r w:rsidRPr="00460D0F">
        <w:rPr>
          <w:rFonts w:cstheme="minorHAnsi"/>
        </w:rPr>
        <w:t xml:space="preserve">, of which £27.0 million were unutilised </w:t>
      </w:r>
      <w:proofErr w:type="gramStart"/>
      <w:r w:rsidRPr="00460D0F">
        <w:rPr>
          <w:rFonts w:cstheme="minorHAnsi"/>
        </w:rPr>
        <w:t>at</w:t>
      </w:r>
      <w:proofErr w:type="gramEnd"/>
      <w:r w:rsidRPr="00460D0F">
        <w:rPr>
          <w:rFonts w:cstheme="minorHAnsi"/>
        </w:rPr>
        <w:t xml:space="preserve"> 31st December 2020</w:t>
      </w:r>
      <w:r w:rsidR="001E3FCE">
        <w:rPr>
          <w:rFonts w:cstheme="minorHAnsi"/>
        </w:rPr>
        <w:t xml:space="preserve"> (2019: £21.7 million)</w:t>
      </w:r>
      <w:r w:rsidR="00D80ACC" w:rsidRPr="00D80ACC">
        <w:rPr>
          <w:rFonts w:cstheme="minorHAnsi"/>
        </w:rPr>
        <w:t>.</w:t>
      </w:r>
    </w:p>
    <w:p w14:paraId="20B62A60" w14:textId="77777777" w:rsidR="00D80ACC" w:rsidRPr="00D80ACC" w:rsidRDefault="00D80ACC" w:rsidP="00D80ACC">
      <w:pPr>
        <w:widowControl w:val="0"/>
        <w:autoSpaceDE w:val="0"/>
        <w:autoSpaceDN w:val="0"/>
        <w:adjustRightInd w:val="0"/>
        <w:spacing w:before="160" w:after="0" w:line="240" w:lineRule="auto"/>
        <w:rPr>
          <w:rFonts w:cstheme="minorHAnsi"/>
        </w:rPr>
      </w:pPr>
      <w:r w:rsidRPr="00D80ACC">
        <w:rPr>
          <w:rFonts w:cstheme="minorHAnsi"/>
          <w:b/>
          <w:bCs/>
        </w:rPr>
        <w:t>Net assets and capital structure</w:t>
      </w:r>
    </w:p>
    <w:p w14:paraId="46040448" w14:textId="0ACF37CA" w:rsidR="00460D0F" w:rsidRPr="00460D0F" w:rsidRDefault="00460D0F" w:rsidP="00460D0F">
      <w:pPr>
        <w:widowControl w:val="0"/>
        <w:overflowPunct w:val="0"/>
        <w:autoSpaceDE w:val="0"/>
        <w:autoSpaceDN w:val="0"/>
        <w:adjustRightInd w:val="0"/>
        <w:spacing w:before="160" w:after="0" w:line="240" w:lineRule="auto"/>
        <w:rPr>
          <w:rFonts w:cstheme="minorHAnsi"/>
        </w:rPr>
      </w:pPr>
      <w:r w:rsidRPr="00460D0F">
        <w:rPr>
          <w:rFonts w:cstheme="minorHAnsi"/>
        </w:rPr>
        <w:t>The Group is funded by equity capital, retained reserves and bank facilities, and there are no plans to change this structure. Shareholders’ equity is £15.7 million (2019: £22.9 million).</w:t>
      </w:r>
    </w:p>
    <w:p w14:paraId="7C499A56" w14:textId="4A9BE552" w:rsidR="00D80ACC" w:rsidRPr="00D80ACC" w:rsidRDefault="00460D0F" w:rsidP="00460D0F">
      <w:pPr>
        <w:widowControl w:val="0"/>
        <w:overflowPunct w:val="0"/>
        <w:autoSpaceDE w:val="0"/>
        <w:autoSpaceDN w:val="0"/>
        <w:adjustRightInd w:val="0"/>
        <w:spacing w:before="160" w:after="0" w:line="240" w:lineRule="auto"/>
        <w:rPr>
          <w:rFonts w:cstheme="minorHAnsi"/>
        </w:rPr>
      </w:pPr>
      <w:r w:rsidRPr="00460D0F">
        <w:rPr>
          <w:rFonts w:cstheme="minorHAnsi"/>
        </w:rPr>
        <w:t xml:space="preserve">Goodwill and intangible assets were £25.3 million (2019: £25.5 million). The Board has undertaken a rigorous impairment review in respect of the intangible assets </w:t>
      </w:r>
      <w:proofErr w:type="gramStart"/>
      <w:r w:rsidRPr="00460D0F">
        <w:rPr>
          <w:rFonts w:cstheme="minorHAnsi"/>
        </w:rPr>
        <w:t>at</w:t>
      </w:r>
      <w:proofErr w:type="gramEnd"/>
      <w:r w:rsidRPr="00460D0F">
        <w:rPr>
          <w:rFonts w:cstheme="minorHAnsi"/>
        </w:rPr>
        <w:t xml:space="preserve"> 31st December 2020 and concluded that no impairment is necessary</w:t>
      </w:r>
      <w:r w:rsidR="00D80ACC" w:rsidRPr="00D80ACC">
        <w:rPr>
          <w:rFonts w:cstheme="minorHAnsi"/>
        </w:rPr>
        <w:t>.</w:t>
      </w:r>
    </w:p>
    <w:p w14:paraId="2EB2D55F" w14:textId="77777777" w:rsidR="00D80ACC" w:rsidRPr="00D80ACC" w:rsidRDefault="00D80ACC" w:rsidP="00D80ACC">
      <w:pPr>
        <w:widowControl w:val="0"/>
        <w:autoSpaceDE w:val="0"/>
        <w:autoSpaceDN w:val="0"/>
        <w:adjustRightInd w:val="0"/>
        <w:spacing w:before="160" w:after="0" w:line="240" w:lineRule="auto"/>
        <w:rPr>
          <w:rFonts w:cstheme="minorHAnsi"/>
        </w:rPr>
      </w:pPr>
      <w:r w:rsidRPr="00D80ACC">
        <w:rPr>
          <w:rFonts w:cstheme="minorHAnsi"/>
          <w:b/>
          <w:bCs/>
        </w:rPr>
        <w:t>Accounting policies</w:t>
      </w:r>
    </w:p>
    <w:p w14:paraId="0493B126" w14:textId="506399E8" w:rsidR="00D80ACC" w:rsidRPr="00D80ACC" w:rsidRDefault="00460D0F" w:rsidP="00D80ACC">
      <w:pPr>
        <w:widowControl w:val="0"/>
        <w:overflowPunct w:val="0"/>
        <w:autoSpaceDE w:val="0"/>
        <w:autoSpaceDN w:val="0"/>
        <w:adjustRightInd w:val="0"/>
        <w:spacing w:before="160" w:after="0" w:line="240" w:lineRule="auto"/>
        <w:rPr>
          <w:rFonts w:cstheme="minorHAnsi"/>
        </w:rPr>
      </w:pPr>
      <w:r w:rsidRPr="00460D0F">
        <w:rPr>
          <w:rFonts w:cstheme="minorHAnsi"/>
        </w:rPr>
        <w:t xml:space="preserve">The Group’s consolidated financial statements are prepared in accordance with </w:t>
      </w:r>
      <w:r w:rsidR="0092098D">
        <w:rPr>
          <w:rFonts w:cstheme="minorHAnsi"/>
        </w:rPr>
        <w:t>international accounting standards in conformity with the requirements of the Companies Act 2006</w:t>
      </w:r>
      <w:r w:rsidR="001D290C">
        <w:rPr>
          <w:rFonts w:cstheme="minorHAnsi"/>
        </w:rPr>
        <w:t>, and international financial reporting standards adopted pursuant to Regulation (EC) No 1606/2002 as it applies in the European Union</w:t>
      </w:r>
      <w:r w:rsidRPr="00460D0F">
        <w:rPr>
          <w:rFonts w:cstheme="minorHAnsi"/>
        </w:rPr>
        <w:t>. There have been no new Accounting policies adopted in the year</w:t>
      </w:r>
      <w:r w:rsidR="00D80ACC" w:rsidRPr="00D80ACC">
        <w:rPr>
          <w:rFonts w:cstheme="minorHAnsi"/>
        </w:rPr>
        <w:t>.</w:t>
      </w:r>
    </w:p>
    <w:p w14:paraId="5A703C75" w14:textId="77777777" w:rsidR="00D80ACC" w:rsidRPr="00D80ACC" w:rsidRDefault="00D80ACC" w:rsidP="00D80ACC">
      <w:pPr>
        <w:widowControl w:val="0"/>
        <w:autoSpaceDE w:val="0"/>
        <w:autoSpaceDN w:val="0"/>
        <w:adjustRightInd w:val="0"/>
        <w:spacing w:before="160" w:after="0" w:line="240" w:lineRule="auto"/>
        <w:rPr>
          <w:rFonts w:cstheme="minorHAnsi"/>
        </w:rPr>
      </w:pPr>
      <w:r w:rsidRPr="00D80ACC">
        <w:rPr>
          <w:rFonts w:cstheme="minorHAnsi"/>
          <w:b/>
          <w:bCs/>
        </w:rPr>
        <w:t>Financial risk management</w:t>
      </w:r>
    </w:p>
    <w:p w14:paraId="6E0546C0" w14:textId="3D6B930D" w:rsidR="00460D0F" w:rsidRPr="00460D0F" w:rsidRDefault="00460D0F" w:rsidP="00460D0F">
      <w:pPr>
        <w:keepNext/>
        <w:keepLines/>
        <w:widowControl w:val="0"/>
        <w:overflowPunct w:val="0"/>
        <w:autoSpaceDE w:val="0"/>
        <w:autoSpaceDN w:val="0"/>
        <w:adjustRightInd w:val="0"/>
        <w:spacing w:before="160" w:after="0" w:line="240" w:lineRule="auto"/>
        <w:rPr>
          <w:rFonts w:cstheme="minorHAnsi"/>
        </w:rPr>
      </w:pPr>
      <w:r w:rsidRPr="00460D0F">
        <w:rPr>
          <w:rFonts w:cstheme="minorHAnsi"/>
        </w:rPr>
        <w:t xml:space="preserve">The Group’s main financial assets are contract and other trade receivables, </w:t>
      </w:r>
      <w:proofErr w:type="gramStart"/>
      <w:r w:rsidRPr="00460D0F">
        <w:rPr>
          <w:rFonts w:cstheme="minorHAnsi"/>
        </w:rPr>
        <w:t>cash</w:t>
      </w:r>
      <w:proofErr w:type="gramEnd"/>
      <w:r w:rsidRPr="00460D0F">
        <w:rPr>
          <w:rFonts w:cstheme="minorHAnsi"/>
        </w:rPr>
        <w:t xml:space="preserve"> and bank balances. These assets represent the Group’s main exposure to credit risk, which is the risk that a counterparty will fail to discharge its obligations, resulting in financial loss to the Group. The Group may also be exposed to financial and reputational risk through the failure of a subcontractor or supplier.</w:t>
      </w:r>
    </w:p>
    <w:p w14:paraId="1EA12386" w14:textId="62F5350F" w:rsidR="00D80ACC" w:rsidRPr="00D80ACC" w:rsidRDefault="00460D0F" w:rsidP="00460D0F">
      <w:pPr>
        <w:keepNext/>
        <w:keepLines/>
        <w:widowControl w:val="0"/>
        <w:overflowPunct w:val="0"/>
        <w:autoSpaceDE w:val="0"/>
        <w:autoSpaceDN w:val="0"/>
        <w:adjustRightInd w:val="0"/>
        <w:spacing w:before="160" w:after="0" w:line="240" w:lineRule="auto"/>
        <w:rPr>
          <w:rFonts w:cstheme="minorHAnsi"/>
        </w:rPr>
      </w:pPr>
      <w:r w:rsidRPr="00460D0F">
        <w:rPr>
          <w:rFonts w:cstheme="minorHAnsi"/>
        </w:rPr>
        <w:t>The financial strength of counterparties is considered prior to signing contracts and reviewed as contracts progress where there are indications that a counterparty may be experiencing financial difficulty. Procedures include the use of credit agencies to check the creditworthiness of existing and new clients and the use of approved suppliers’ lists and Group-wide framework agreements with key suppliers</w:t>
      </w:r>
      <w:r w:rsidR="00D80ACC" w:rsidRPr="00D80ACC">
        <w:rPr>
          <w:rFonts w:cstheme="minorHAnsi"/>
        </w:rPr>
        <w:t>.</w:t>
      </w:r>
    </w:p>
    <w:p w14:paraId="26DC99E8" w14:textId="77777777" w:rsidR="00D80ACC" w:rsidRPr="00D80ACC" w:rsidRDefault="00D80ACC" w:rsidP="00D80ACC">
      <w:pPr>
        <w:widowControl w:val="0"/>
        <w:autoSpaceDE w:val="0"/>
        <w:autoSpaceDN w:val="0"/>
        <w:adjustRightInd w:val="0"/>
        <w:spacing w:before="160" w:after="0" w:line="240" w:lineRule="auto"/>
        <w:rPr>
          <w:rFonts w:cstheme="minorHAnsi"/>
        </w:rPr>
      </w:pPr>
      <w:r w:rsidRPr="00D80ACC">
        <w:rPr>
          <w:rFonts w:cstheme="minorHAnsi"/>
          <w:b/>
          <w:bCs/>
        </w:rPr>
        <w:t>Trevor Mitchell</w:t>
      </w:r>
    </w:p>
    <w:p w14:paraId="78092508" w14:textId="77777777" w:rsidR="00D80ACC" w:rsidRPr="00D80ACC" w:rsidRDefault="00D80ACC" w:rsidP="00D80ACC">
      <w:pPr>
        <w:widowControl w:val="0"/>
        <w:autoSpaceDE w:val="0"/>
        <w:autoSpaceDN w:val="0"/>
        <w:adjustRightInd w:val="0"/>
        <w:spacing w:after="0" w:line="240" w:lineRule="auto"/>
        <w:rPr>
          <w:rFonts w:cstheme="minorHAnsi"/>
        </w:rPr>
      </w:pPr>
      <w:r w:rsidRPr="00D80ACC">
        <w:rPr>
          <w:rFonts w:cstheme="minorHAnsi"/>
        </w:rPr>
        <w:t>Finance Director</w:t>
      </w:r>
    </w:p>
    <w:p w14:paraId="11DE9640" w14:textId="3381F931" w:rsidR="00D80ACC" w:rsidRPr="00D80ACC" w:rsidRDefault="00460D0F" w:rsidP="00D80ACC">
      <w:pPr>
        <w:widowControl w:val="0"/>
        <w:autoSpaceDE w:val="0"/>
        <w:autoSpaceDN w:val="0"/>
        <w:adjustRightInd w:val="0"/>
        <w:spacing w:after="0" w:line="240" w:lineRule="auto"/>
        <w:rPr>
          <w:rFonts w:cstheme="minorHAnsi"/>
        </w:rPr>
      </w:pPr>
      <w:r>
        <w:rPr>
          <w:rFonts w:cstheme="minorHAnsi"/>
        </w:rPr>
        <w:t>24</w:t>
      </w:r>
      <w:r w:rsidR="00D80ACC" w:rsidRPr="00D80ACC">
        <w:rPr>
          <w:rFonts w:cstheme="minorHAnsi"/>
        </w:rPr>
        <w:t>th March 202</w:t>
      </w:r>
      <w:r>
        <w:rPr>
          <w:rFonts w:cstheme="minorHAnsi"/>
        </w:rPr>
        <w:t>1</w:t>
      </w:r>
    </w:p>
    <w:p w14:paraId="5195BAA0" w14:textId="77777777" w:rsidR="00797C3F" w:rsidRDefault="00797C3F" w:rsidP="00D75CA8">
      <w:pPr>
        <w:widowControl w:val="0"/>
        <w:autoSpaceDE w:val="0"/>
        <w:autoSpaceDN w:val="0"/>
        <w:adjustRightInd w:val="0"/>
        <w:spacing w:after="0"/>
        <w:rPr>
          <w:rFonts w:cstheme="minorHAnsi"/>
        </w:rPr>
      </w:pPr>
      <w:bookmarkStart w:id="2" w:name="page1"/>
      <w:bookmarkEnd w:id="2"/>
    </w:p>
    <w:p w14:paraId="2550DAC8" w14:textId="77777777" w:rsidR="00D75CA8" w:rsidRPr="00D75CA8" w:rsidRDefault="00D75CA8" w:rsidP="00D75CA8">
      <w:pPr>
        <w:widowControl w:val="0"/>
        <w:autoSpaceDE w:val="0"/>
        <w:autoSpaceDN w:val="0"/>
        <w:adjustRightInd w:val="0"/>
        <w:spacing w:after="0"/>
        <w:rPr>
          <w:rFonts w:cs="Times New Roman"/>
          <w:b/>
          <w:bCs/>
          <w:color w:val="002060"/>
          <w:sz w:val="28"/>
          <w:szCs w:val="28"/>
        </w:rPr>
      </w:pPr>
      <w:r w:rsidRPr="00D75CA8">
        <w:rPr>
          <w:rFonts w:cs="Times New Roman"/>
          <w:b/>
          <w:bCs/>
          <w:color w:val="002060"/>
          <w:sz w:val="28"/>
          <w:szCs w:val="28"/>
        </w:rPr>
        <w:lastRenderedPageBreak/>
        <w:t>Consolidated income statement</w:t>
      </w:r>
    </w:p>
    <w:p w14:paraId="29E5F91C" w14:textId="77777777" w:rsidR="00D75CA8" w:rsidRPr="00D75CA8" w:rsidRDefault="00D75CA8" w:rsidP="00D75CA8">
      <w:pPr>
        <w:widowControl w:val="0"/>
        <w:autoSpaceDE w:val="0"/>
        <w:autoSpaceDN w:val="0"/>
        <w:adjustRightInd w:val="0"/>
        <w:spacing w:after="0"/>
        <w:rPr>
          <w:rFonts w:cs="Times New Roman"/>
        </w:rPr>
      </w:pPr>
      <w:r w:rsidRPr="00D75CA8">
        <w:rPr>
          <w:rFonts w:cs="Times New Roman"/>
        </w:rPr>
        <w:t>for the year ended 31st December 2020</w:t>
      </w:r>
    </w:p>
    <w:tbl>
      <w:tblPr>
        <w:tblW w:w="5035" w:type="pct"/>
        <w:tblCellMar>
          <w:left w:w="0" w:type="dxa"/>
          <w:right w:w="0" w:type="dxa"/>
        </w:tblCellMar>
        <w:tblLook w:val="04A0" w:firstRow="1" w:lastRow="0" w:firstColumn="1" w:lastColumn="0" w:noHBand="0" w:noVBand="1"/>
      </w:tblPr>
      <w:tblGrid>
        <w:gridCol w:w="3546"/>
        <w:gridCol w:w="848"/>
        <w:gridCol w:w="1079"/>
        <w:gridCol w:w="1079"/>
        <w:gridCol w:w="1083"/>
        <w:gridCol w:w="1079"/>
        <w:gridCol w:w="1079"/>
        <w:gridCol w:w="1083"/>
      </w:tblGrid>
      <w:tr w:rsidR="00D75CA8" w:rsidRPr="00D80ACC" w14:paraId="77F74183" w14:textId="77777777" w:rsidTr="00D75CA8">
        <w:tc>
          <w:tcPr>
            <w:tcW w:w="1630" w:type="pct"/>
            <w:vAlign w:val="bottom"/>
          </w:tcPr>
          <w:p w14:paraId="41728A6B" w14:textId="77777777" w:rsidR="00D75CA8" w:rsidRPr="00D80ACC" w:rsidRDefault="00D75CA8" w:rsidP="00D75CA8">
            <w:pPr>
              <w:widowControl w:val="0"/>
              <w:autoSpaceDE w:val="0"/>
              <w:autoSpaceDN w:val="0"/>
              <w:adjustRightInd w:val="0"/>
              <w:spacing w:after="0" w:line="240" w:lineRule="auto"/>
              <w:rPr>
                <w:rFonts w:cstheme="minorHAnsi"/>
              </w:rPr>
            </w:pPr>
          </w:p>
        </w:tc>
        <w:tc>
          <w:tcPr>
            <w:tcW w:w="390" w:type="pct"/>
            <w:vAlign w:val="bottom"/>
          </w:tcPr>
          <w:p w14:paraId="6234FE31"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1490" w:type="pct"/>
            <w:gridSpan w:val="3"/>
            <w:tcBorders>
              <w:top w:val="nil"/>
              <w:left w:val="nil"/>
              <w:bottom w:val="single" w:sz="4" w:space="0" w:color="000000" w:themeColor="text1"/>
              <w:right w:val="nil"/>
            </w:tcBorders>
            <w:vAlign w:val="bottom"/>
            <w:hideMark/>
          </w:tcPr>
          <w:p w14:paraId="2608770B" w14:textId="77777777" w:rsidR="00D75CA8" w:rsidRPr="00A07609" w:rsidRDefault="00D75CA8" w:rsidP="00D75CA8">
            <w:pPr>
              <w:widowControl w:val="0"/>
              <w:autoSpaceDE w:val="0"/>
              <w:autoSpaceDN w:val="0"/>
              <w:adjustRightInd w:val="0"/>
              <w:spacing w:after="0" w:line="240" w:lineRule="auto"/>
              <w:jc w:val="center"/>
              <w:rPr>
                <w:rFonts w:cstheme="minorHAnsi"/>
              </w:rPr>
            </w:pPr>
            <w:r w:rsidRPr="00A07609">
              <w:rPr>
                <w:rFonts w:cstheme="minorHAnsi"/>
                <w:b/>
                <w:bCs/>
              </w:rPr>
              <w:t>2020</w:t>
            </w:r>
          </w:p>
        </w:tc>
        <w:tc>
          <w:tcPr>
            <w:tcW w:w="1490" w:type="pct"/>
            <w:gridSpan w:val="3"/>
            <w:tcBorders>
              <w:top w:val="nil"/>
              <w:left w:val="nil"/>
              <w:bottom w:val="single" w:sz="4" w:space="0" w:color="000000" w:themeColor="text1"/>
              <w:right w:val="nil"/>
            </w:tcBorders>
            <w:vAlign w:val="bottom"/>
            <w:hideMark/>
          </w:tcPr>
          <w:p w14:paraId="2DCBA149" w14:textId="77777777" w:rsidR="00D75CA8" w:rsidRPr="00A07609" w:rsidRDefault="00D75CA8" w:rsidP="00D75CA8">
            <w:pPr>
              <w:widowControl w:val="0"/>
              <w:autoSpaceDE w:val="0"/>
              <w:autoSpaceDN w:val="0"/>
              <w:adjustRightInd w:val="0"/>
              <w:spacing w:after="0" w:line="240" w:lineRule="auto"/>
              <w:jc w:val="center"/>
              <w:rPr>
                <w:rFonts w:cstheme="minorHAnsi"/>
              </w:rPr>
            </w:pPr>
            <w:r w:rsidRPr="00A07609">
              <w:rPr>
                <w:rFonts w:cstheme="minorHAnsi"/>
                <w:b/>
                <w:bCs/>
              </w:rPr>
              <w:t>2019</w:t>
            </w:r>
          </w:p>
        </w:tc>
      </w:tr>
      <w:tr w:rsidR="00D75CA8" w:rsidRPr="00D80ACC" w14:paraId="3FD75709" w14:textId="77777777" w:rsidTr="00D75CA8">
        <w:tc>
          <w:tcPr>
            <w:tcW w:w="1630" w:type="pct"/>
            <w:vAlign w:val="bottom"/>
          </w:tcPr>
          <w:p w14:paraId="6399302E" w14:textId="77777777" w:rsidR="00D75CA8" w:rsidRPr="00D80ACC" w:rsidRDefault="00D75CA8" w:rsidP="00D75CA8">
            <w:pPr>
              <w:widowControl w:val="0"/>
              <w:autoSpaceDE w:val="0"/>
              <w:autoSpaceDN w:val="0"/>
              <w:adjustRightInd w:val="0"/>
              <w:spacing w:after="0" w:line="240" w:lineRule="auto"/>
              <w:rPr>
                <w:rFonts w:cstheme="minorHAnsi"/>
              </w:rPr>
            </w:pPr>
          </w:p>
        </w:tc>
        <w:tc>
          <w:tcPr>
            <w:tcW w:w="390" w:type="pct"/>
            <w:vAlign w:val="bottom"/>
          </w:tcPr>
          <w:p w14:paraId="06DA3CA4"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496" w:type="pct"/>
            <w:tcBorders>
              <w:top w:val="single" w:sz="4" w:space="0" w:color="000000" w:themeColor="text1"/>
              <w:left w:val="nil"/>
              <w:bottom w:val="nil"/>
              <w:right w:val="nil"/>
            </w:tcBorders>
            <w:vAlign w:val="bottom"/>
          </w:tcPr>
          <w:p w14:paraId="7D551094" w14:textId="77777777" w:rsidR="00D75CA8" w:rsidRPr="00A07609" w:rsidRDefault="00D75CA8" w:rsidP="00D75CA8">
            <w:pPr>
              <w:widowControl w:val="0"/>
              <w:autoSpaceDE w:val="0"/>
              <w:autoSpaceDN w:val="0"/>
              <w:adjustRightInd w:val="0"/>
              <w:spacing w:after="0" w:line="240" w:lineRule="auto"/>
              <w:jc w:val="right"/>
              <w:rPr>
                <w:rFonts w:cstheme="minorHAnsi"/>
              </w:rPr>
            </w:pPr>
          </w:p>
        </w:tc>
        <w:tc>
          <w:tcPr>
            <w:tcW w:w="496" w:type="pct"/>
            <w:tcBorders>
              <w:top w:val="single" w:sz="4" w:space="0" w:color="000000" w:themeColor="text1"/>
              <w:left w:val="nil"/>
              <w:bottom w:val="nil"/>
              <w:right w:val="nil"/>
            </w:tcBorders>
            <w:vAlign w:val="bottom"/>
            <w:hideMark/>
          </w:tcPr>
          <w:p w14:paraId="4369F607"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Non-</w:t>
            </w:r>
          </w:p>
        </w:tc>
        <w:tc>
          <w:tcPr>
            <w:tcW w:w="498" w:type="pct"/>
            <w:tcBorders>
              <w:top w:val="single" w:sz="4" w:space="0" w:color="000000" w:themeColor="text1"/>
              <w:left w:val="nil"/>
              <w:bottom w:val="nil"/>
              <w:right w:val="nil"/>
            </w:tcBorders>
            <w:vAlign w:val="bottom"/>
          </w:tcPr>
          <w:p w14:paraId="5310328C" w14:textId="77777777" w:rsidR="00D75CA8" w:rsidRPr="00A07609" w:rsidRDefault="00D75CA8" w:rsidP="00D75CA8">
            <w:pPr>
              <w:widowControl w:val="0"/>
              <w:autoSpaceDE w:val="0"/>
              <w:autoSpaceDN w:val="0"/>
              <w:adjustRightInd w:val="0"/>
              <w:spacing w:after="0" w:line="240" w:lineRule="auto"/>
              <w:jc w:val="right"/>
              <w:rPr>
                <w:rFonts w:cstheme="minorHAnsi"/>
              </w:rPr>
            </w:pPr>
          </w:p>
        </w:tc>
        <w:tc>
          <w:tcPr>
            <w:tcW w:w="496" w:type="pct"/>
            <w:tcBorders>
              <w:top w:val="single" w:sz="4" w:space="0" w:color="000000" w:themeColor="text1"/>
              <w:left w:val="nil"/>
              <w:bottom w:val="nil"/>
              <w:right w:val="nil"/>
            </w:tcBorders>
            <w:vAlign w:val="bottom"/>
          </w:tcPr>
          <w:p w14:paraId="2F70140E" w14:textId="77777777" w:rsidR="00D75CA8" w:rsidRPr="00A07609" w:rsidRDefault="00D75CA8" w:rsidP="00D75CA8">
            <w:pPr>
              <w:widowControl w:val="0"/>
              <w:autoSpaceDE w:val="0"/>
              <w:autoSpaceDN w:val="0"/>
              <w:adjustRightInd w:val="0"/>
              <w:spacing w:after="0" w:line="240" w:lineRule="auto"/>
              <w:jc w:val="right"/>
              <w:rPr>
                <w:rFonts w:cstheme="minorHAnsi"/>
              </w:rPr>
            </w:pPr>
          </w:p>
        </w:tc>
        <w:tc>
          <w:tcPr>
            <w:tcW w:w="496" w:type="pct"/>
            <w:tcBorders>
              <w:top w:val="single" w:sz="4" w:space="0" w:color="000000" w:themeColor="text1"/>
              <w:left w:val="nil"/>
              <w:bottom w:val="nil"/>
              <w:right w:val="nil"/>
            </w:tcBorders>
            <w:vAlign w:val="bottom"/>
            <w:hideMark/>
          </w:tcPr>
          <w:p w14:paraId="79BE25D7"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rPr>
              <w:t>Non-</w:t>
            </w:r>
          </w:p>
        </w:tc>
        <w:tc>
          <w:tcPr>
            <w:tcW w:w="498" w:type="pct"/>
            <w:tcBorders>
              <w:top w:val="single" w:sz="4" w:space="0" w:color="000000" w:themeColor="text1"/>
              <w:left w:val="nil"/>
              <w:bottom w:val="nil"/>
              <w:right w:val="nil"/>
            </w:tcBorders>
            <w:vAlign w:val="bottom"/>
          </w:tcPr>
          <w:p w14:paraId="0EBE9142" w14:textId="77777777" w:rsidR="00D75CA8" w:rsidRPr="00D80ACC" w:rsidRDefault="00D75CA8" w:rsidP="00D75CA8">
            <w:pPr>
              <w:widowControl w:val="0"/>
              <w:autoSpaceDE w:val="0"/>
              <w:autoSpaceDN w:val="0"/>
              <w:adjustRightInd w:val="0"/>
              <w:spacing w:after="0" w:line="240" w:lineRule="auto"/>
              <w:jc w:val="right"/>
              <w:rPr>
                <w:rFonts w:cstheme="minorHAnsi"/>
              </w:rPr>
            </w:pPr>
          </w:p>
        </w:tc>
      </w:tr>
      <w:tr w:rsidR="00D75CA8" w:rsidRPr="00D80ACC" w14:paraId="0A6257A1" w14:textId="77777777" w:rsidTr="00D75CA8">
        <w:tc>
          <w:tcPr>
            <w:tcW w:w="1630" w:type="pct"/>
            <w:vAlign w:val="bottom"/>
          </w:tcPr>
          <w:p w14:paraId="4332C7BD" w14:textId="77777777" w:rsidR="00D75CA8" w:rsidRPr="00D80ACC" w:rsidRDefault="00D75CA8" w:rsidP="00D75CA8">
            <w:pPr>
              <w:widowControl w:val="0"/>
              <w:autoSpaceDE w:val="0"/>
              <w:autoSpaceDN w:val="0"/>
              <w:adjustRightInd w:val="0"/>
              <w:spacing w:after="0" w:line="240" w:lineRule="auto"/>
              <w:rPr>
                <w:rFonts w:cstheme="minorHAnsi"/>
              </w:rPr>
            </w:pPr>
          </w:p>
        </w:tc>
        <w:tc>
          <w:tcPr>
            <w:tcW w:w="390" w:type="pct"/>
            <w:vAlign w:val="bottom"/>
          </w:tcPr>
          <w:p w14:paraId="0E2584D7"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496" w:type="pct"/>
            <w:vAlign w:val="bottom"/>
            <w:hideMark/>
          </w:tcPr>
          <w:p w14:paraId="5065E427"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Underlying</w:t>
            </w:r>
          </w:p>
        </w:tc>
        <w:tc>
          <w:tcPr>
            <w:tcW w:w="496" w:type="pct"/>
            <w:vAlign w:val="bottom"/>
            <w:hideMark/>
          </w:tcPr>
          <w:p w14:paraId="6FEE80E9"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underlying</w:t>
            </w:r>
          </w:p>
        </w:tc>
        <w:tc>
          <w:tcPr>
            <w:tcW w:w="498" w:type="pct"/>
            <w:vAlign w:val="bottom"/>
          </w:tcPr>
          <w:p w14:paraId="2BD45532" w14:textId="77777777" w:rsidR="00D75CA8" w:rsidRPr="00A07609" w:rsidRDefault="00D75CA8" w:rsidP="00D75CA8">
            <w:pPr>
              <w:widowControl w:val="0"/>
              <w:autoSpaceDE w:val="0"/>
              <w:autoSpaceDN w:val="0"/>
              <w:adjustRightInd w:val="0"/>
              <w:spacing w:after="0" w:line="240" w:lineRule="auto"/>
              <w:jc w:val="right"/>
              <w:rPr>
                <w:rFonts w:cstheme="minorHAnsi"/>
              </w:rPr>
            </w:pPr>
          </w:p>
        </w:tc>
        <w:tc>
          <w:tcPr>
            <w:tcW w:w="496" w:type="pct"/>
            <w:vAlign w:val="bottom"/>
            <w:hideMark/>
          </w:tcPr>
          <w:p w14:paraId="0BD51E08"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rPr>
              <w:t>Underlying</w:t>
            </w:r>
          </w:p>
        </w:tc>
        <w:tc>
          <w:tcPr>
            <w:tcW w:w="496" w:type="pct"/>
            <w:vAlign w:val="bottom"/>
            <w:hideMark/>
          </w:tcPr>
          <w:p w14:paraId="09EDDB99"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rPr>
              <w:t>underlying</w:t>
            </w:r>
          </w:p>
        </w:tc>
        <w:tc>
          <w:tcPr>
            <w:tcW w:w="498" w:type="pct"/>
            <w:vAlign w:val="bottom"/>
          </w:tcPr>
          <w:p w14:paraId="050E2306" w14:textId="77777777" w:rsidR="00D75CA8" w:rsidRPr="00D80ACC" w:rsidRDefault="00D75CA8" w:rsidP="00D75CA8">
            <w:pPr>
              <w:widowControl w:val="0"/>
              <w:autoSpaceDE w:val="0"/>
              <w:autoSpaceDN w:val="0"/>
              <w:adjustRightInd w:val="0"/>
              <w:spacing w:after="0" w:line="240" w:lineRule="auto"/>
              <w:jc w:val="right"/>
              <w:rPr>
                <w:rFonts w:cstheme="minorHAnsi"/>
              </w:rPr>
            </w:pPr>
          </w:p>
        </w:tc>
      </w:tr>
      <w:tr w:rsidR="00D75CA8" w:rsidRPr="00D80ACC" w14:paraId="7A3E3F3A" w14:textId="77777777" w:rsidTr="00D75CA8">
        <w:tc>
          <w:tcPr>
            <w:tcW w:w="1630" w:type="pct"/>
            <w:vAlign w:val="bottom"/>
          </w:tcPr>
          <w:p w14:paraId="79C862AC" w14:textId="77777777" w:rsidR="00D75CA8" w:rsidRPr="00D80ACC" w:rsidRDefault="00D75CA8" w:rsidP="00D75CA8">
            <w:pPr>
              <w:widowControl w:val="0"/>
              <w:autoSpaceDE w:val="0"/>
              <w:autoSpaceDN w:val="0"/>
              <w:adjustRightInd w:val="0"/>
              <w:spacing w:after="0" w:line="240" w:lineRule="auto"/>
              <w:rPr>
                <w:rFonts w:cstheme="minorHAnsi"/>
              </w:rPr>
            </w:pPr>
          </w:p>
        </w:tc>
        <w:tc>
          <w:tcPr>
            <w:tcW w:w="390" w:type="pct"/>
            <w:vAlign w:val="bottom"/>
          </w:tcPr>
          <w:p w14:paraId="177E609D"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496" w:type="pct"/>
            <w:vAlign w:val="bottom"/>
            <w:hideMark/>
          </w:tcPr>
          <w:p w14:paraId="664D31E3"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items</w:t>
            </w:r>
          </w:p>
        </w:tc>
        <w:tc>
          <w:tcPr>
            <w:tcW w:w="496" w:type="pct"/>
            <w:vAlign w:val="bottom"/>
            <w:hideMark/>
          </w:tcPr>
          <w:p w14:paraId="3A7FBCEA"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items</w:t>
            </w:r>
          </w:p>
        </w:tc>
        <w:tc>
          <w:tcPr>
            <w:tcW w:w="498" w:type="pct"/>
            <w:vAlign w:val="bottom"/>
            <w:hideMark/>
          </w:tcPr>
          <w:p w14:paraId="517F229E"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Total</w:t>
            </w:r>
          </w:p>
        </w:tc>
        <w:tc>
          <w:tcPr>
            <w:tcW w:w="496" w:type="pct"/>
            <w:vAlign w:val="bottom"/>
            <w:hideMark/>
          </w:tcPr>
          <w:p w14:paraId="155FD76D"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rPr>
              <w:t>items</w:t>
            </w:r>
          </w:p>
        </w:tc>
        <w:tc>
          <w:tcPr>
            <w:tcW w:w="496" w:type="pct"/>
            <w:vAlign w:val="bottom"/>
            <w:hideMark/>
          </w:tcPr>
          <w:p w14:paraId="18D823C7"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rPr>
              <w:t>items</w:t>
            </w:r>
          </w:p>
        </w:tc>
        <w:tc>
          <w:tcPr>
            <w:tcW w:w="498" w:type="pct"/>
            <w:vAlign w:val="bottom"/>
            <w:hideMark/>
          </w:tcPr>
          <w:p w14:paraId="36E13F18"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rPr>
              <w:t>Total</w:t>
            </w:r>
          </w:p>
        </w:tc>
      </w:tr>
      <w:tr w:rsidR="00D75CA8" w:rsidRPr="00D80ACC" w14:paraId="412A67DE" w14:textId="77777777" w:rsidTr="00D75CA8">
        <w:tc>
          <w:tcPr>
            <w:tcW w:w="1630" w:type="pct"/>
            <w:tcBorders>
              <w:top w:val="nil"/>
              <w:left w:val="nil"/>
              <w:bottom w:val="single" w:sz="4" w:space="0" w:color="000000" w:themeColor="text1"/>
              <w:right w:val="nil"/>
            </w:tcBorders>
            <w:vAlign w:val="bottom"/>
          </w:tcPr>
          <w:p w14:paraId="410C8729" w14:textId="77777777" w:rsidR="00D75CA8" w:rsidRPr="00D80ACC" w:rsidRDefault="00D75CA8" w:rsidP="00D75CA8">
            <w:pPr>
              <w:widowControl w:val="0"/>
              <w:autoSpaceDE w:val="0"/>
              <w:autoSpaceDN w:val="0"/>
              <w:adjustRightInd w:val="0"/>
              <w:spacing w:after="0" w:line="240" w:lineRule="auto"/>
              <w:rPr>
                <w:rFonts w:cstheme="minorHAnsi"/>
              </w:rPr>
            </w:pPr>
          </w:p>
        </w:tc>
        <w:tc>
          <w:tcPr>
            <w:tcW w:w="390" w:type="pct"/>
            <w:tcBorders>
              <w:top w:val="nil"/>
              <w:left w:val="nil"/>
              <w:bottom w:val="single" w:sz="4" w:space="0" w:color="000000" w:themeColor="text1"/>
              <w:right w:val="nil"/>
            </w:tcBorders>
            <w:vAlign w:val="bottom"/>
            <w:hideMark/>
          </w:tcPr>
          <w:p w14:paraId="18AA09BC"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rPr>
              <w:t>Note</w:t>
            </w:r>
          </w:p>
        </w:tc>
        <w:tc>
          <w:tcPr>
            <w:tcW w:w="496" w:type="pct"/>
            <w:tcBorders>
              <w:top w:val="nil"/>
              <w:left w:val="nil"/>
              <w:bottom w:val="single" w:sz="4" w:space="0" w:color="000000" w:themeColor="text1"/>
              <w:right w:val="nil"/>
            </w:tcBorders>
            <w:vAlign w:val="bottom"/>
            <w:hideMark/>
          </w:tcPr>
          <w:p w14:paraId="4E4442F8"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£m</w:t>
            </w:r>
          </w:p>
        </w:tc>
        <w:tc>
          <w:tcPr>
            <w:tcW w:w="496" w:type="pct"/>
            <w:tcBorders>
              <w:top w:val="nil"/>
              <w:left w:val="nil"/>
              <w:bottom w:val="single" w:sz="4" w:space="0" w:color="000000" w:themeColor="text1"/>
              <w:right w:val="nil"/>
            </w:tcBorders>
            <w:vAlign w:val="bottom"/>
            <w:hideMark/>
          </w:tcPr>
          <w:p w14:paraId="2BC9FD7C"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£m</w:t>
            </w:r>
          </w:p>
        </w:tc>
        <w:tc>
          <w:tcPr>
            <w:tcW w:w="498" w:type="pct"/>
            <w:tcBorders>
              <w:top w:val="nil"/>
              <w:left w:val="nil"/>
              <w:bottom w:val="single" w:sz="4" w:space="0" w:color="000000" w:themeColor="text1"/>
              <w:right w:val="nil"/>
            </w:tcBorders>
            <w:vAlign w:val="bottom"/>
            <w:hideMark/>
          </w:tcPr>
          <w:p w14:paraId="7F0E4C45"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£m</w:t>
            </w:r>
          </w:p>
        </w:tc>
        <w:tc>
          <w:tcPr>
            <w:tcW w:w="496" w:type="pct"/>
            <w:tcBorders>
              <w:top w:val="nil"/>
              <w:left w:val="nil"/>
              <w:bottom w:val="single" w:sz="4" w:space="0" w:color="000000" w:themeColor="text1"/>
              <w:right w:val="nil"/>
            </w:tcBorders>
            <w:vAlign w:val="bottom"/>
            <w:hideMark/>
          </w:tcPr>
          <w:p w14:paraId="6290E52E"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rPr>
              <w:t>£m</w:t>
            </w:r>
          </w:p>
        </w:tc>
        <w:tc>
          <w:tcPr>
            <w:tcW w:w="496" w:type="pct"/>
            <w:tcBorders>
              <w:top w:val="nil"/>
              <w:left w:val="nil"/>
              <w:bottom w:val="single" w:sz="4" w:space="0" w:color="000000" w:themeColor="text1"/>
              <w:right w:val="nil"/>
            </w:tcBorders>
            <w:vAlign w:val="bottom"/>
            <w:hideMark/>
          </w:tcPr>
          <w:p w14:paraId="6BB50820"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rPr>
              <w:t>£m</w:t>
            </w:r>
          </w:p>
        </w:tc>
        <w:tc>
          <w:tcPr>
            <w:tcW w:w="498" w:type="pct"/>
            <w:tcBorders>
              <w:top w:val="nil"/>
              <w:left w:val="nil"/>
              <w:bottom w:val="single" w:sz="4" w:space="0" w:color="000000" w:themeColor="text1"/>
              <w:right w:val="nil"/>
            </w:tcBorders>
            <w:vAlign w:val="bottom"/>
            <w:hideMark/>
          </w:tcPr>
          <w:p w14:paraId="1B059B7A"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rPr>
              <w:t>£m</w:t>
            </w:r>
          </w:p>
        </w:tc>
      </w:tr>
      <w:tr w:rsidR="00D75CA8" w:rsidRPr="00D80ACC" w14:paraId="3113E2BF" w14:textId="77777777" w:rsidTr="00D75CA8">
        <w:tc>
          <w:tcPr>
            <w:tcW w:w="1630" w:type="pct"/>
            <w:tcBorders>
              <w:top w:val="single" w:sz="4" w:space="0" w:color="000000" w:themeColor="text1"/>
              <w:left w:val="nil"/>
              <w:bottom w:val="nil"/>
              <w:right w:val="nil"/>
            </w:tcBorders>
            <w:vAlign w:val="bottom"/>
            <w:hideMark/>
          </w:tcPr>
          <w:p w14:paraId="12DF939B"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t>Revenue</w:t>
            </w:r>
          </w:p>
        </w:tc>
        <w:tc>
          <w:tcPr>
            <w:tcW w:w="390" w:type="pct"/>
            <w:tcBorders>
              <w:top w:val="single" w:sz="4" w:space="0" w:color="000000" w:themeColor="text1"/>
              <w:left w:val="nil"/>
              <w:bottom w:val="nil"/>
              <w:right w:val="nil"/>
            </w:tcBorders>
            <w:vAlign w:val="bottom"/>
            <w:hideMark/>
          </w:tcPr>
          <w:p w14:paraId="262E60A0" w14:textId="77777777" w:rsidR="00D75CA8" w:rsidRPr="00D80ACC" w:rsidRDefault="00D75CA8" w:rsidP="00D75CA8">
            <w:pPr>
              <w:widowControl w:val="0"/>
              <w:autoSpaceDE w:val="0"/>
              <w:autoSpaceDN w:val="0"/>
              <w:adjustRightInd w:val="0"/>
              <w:spacing w:after="0" w:line="240" w:lineRule="auto"/>
              <w:jc w:val="right"/>
              <w:rPr>
                <w:rFonts w:cstheme="minorHAnsi"/>
              </w:rPr>
            </w:pPr>
            <w:r>
              <w:rPr>
                <w:rFonts w:cstheme="minorHAnsi"/>
              </w:rPr>
              <w:t>3</w:t>
            </w:r>
          </w:p>
        </w:tc>
        <w:tc>
          <w:tcPr>
            <w:tcW w:w="496" w:type="pct"/>
            <w:tcBorders>
              <w:top w:val="single" w:sz="4" w:space="0" w:color="000000" w:themeColor="text1"/>
              <w:left w:val="nil"/>
              <w:bottom w:val="nil"/>
              <w:right w:val="nil"/>
            </w:tcBorders>
            <w:vAlign w:val="bottom"/>
            <w:hideMark/>
          </w:tcPr>
          <w:p w14:paraId="5C3DA042"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231.9</w:t>
            </w:r>
          </w:p>
        </w:tc>
        <w:tc>
          <w:tcPr>
            <w:tcW w:w="496" w:type="pct"/>
            <w:tcBorders>
              <w:top w:val="single" w:sz="4" w:space="0" w:color="000000" w:themeColor="text1"/>
              <w:left w:val="nil"/>
              <w:bottom w:val="nil"/>
              <w:right w:val="nil"/>
            </w:tcBorders>
            <w:vAlign w:val="bottom"/>
            <w:hideMark/>
          </w:tcPr>
          <w:p w14:paraId="4339DE6A"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w:t>
            </w:r>
          </w:p>
        </w:tc>
        <w:tc>
          <w:tcPr>
            <w:tcW w:w="498" w:type="pct"/>
            <w:tcBorders>
              <w:top w:val="single" w:sz="4" w:space="0" w:color="000000" w:themeColor="text1"/>
              <w:left w:val="nil"/>
              <w:bottom w:val="nil"/>
              <w:right w:val="nil"/>
            </w:tcBorders>
            <w:vAlign w:val="bottom"/>
            <w:hideMark/>
          </w:tcPr>
          <w:p w14:paraId="1E166B91" w14:textId="77777777" w:rsidR="00D75CA8" w:rsidRPr="00B45829" w:rsidRDefault="00D75CA8" w:rsidP="00D75CA8">
            <w:pPr>
              <w:widowControl w:val="0"/>
              <w:autoSpaceDE w:val="0"/>
              <w:autoSpaceDN w:val="0"/>
              <w:adjustRightInd w:val="0"/>
              <w:spacing w:after="0" w:line="240" w:lineRule="auto"/>
              <w:jc w:val="right"/>
              <w:rPr>
                <w:rFonts w:cstheme="minorHAnsi"/>
                <w:b/>
                <w:bCs/>
              </w:rPr>
            </w:pPr>
            <w:r w:rsidRPr="00B45829">
              <w:rPr>
                <w:rFonts w:cstheme="minorHAnsi"/>
                <w:b/>
                <w:bCs/>
              </w:rPr>
              <w:t>231.9</w:t>
            </w:r>
          </w:p>
        </w:tc>
        <w:tc>
          <w:tcPr>
            <w:tcW w:w="496" w:type="pct"/>
            <w:tcBorders>
              <w:top w:val="single" w:sz="4" w:space="0" w:color="000000" w:themeColor="text1"/>
              <w:left w:val="nil"/>
              <w:bottom w:val="nil"/>
              <w:right w:val="nil"/>
            </w:tcBorders>
            <w:vAlign w:val="bottom"/>
            <w:hideMark/>
          </w:tcPr>
          <w:p w14:paraId="5D295218"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rPr>
              <w:t>334.6</w:t>
            </w:r>
          </w:p>
        </w:tc>
        <w:tc>
          <w:tcPr>
            <w:tcW w:w="496" w:type="pct"/>
            <w:tcBorders>
              <w:top w:val="single" w:sz="4" w:space="0" w:color="000000" w:themeColor="text1"/>
              <w:left w:val="nil"/>
              <w:bottom w:val="nil"/>
              <w:right w:val="nil"/>
            </w:tcBorders>
            <w:vAlign w:val="bottom"/>
            <w:hideMark/>
          </w:tcPr>
          <w:p w14:paraId="153F5A4F"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w:t>
            </w:r>
          </w:p>
        </w:tc>
        <w:tc>
          <w:tcPr>
            <w:tcW w:w="498" w:type="pct"/>
            <w:tcBorders>
              <w:top w:val="single" w:sz="4" w:space="0" w:color="000000" w:themeColor="text1"/>
              <w:left w:val="nil"/>
              <w:bottom w:val="nil"/>
              <w:right w:val="nil"/>
            </w:tcBorders>
            <w:vAlign w:val="bottom"/>
            <w:hideMark/>
          </w:tcPr>
          <w:p w14:paraId="3A783848"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334.6</w:t>
            </w:r>
          </w:p>
        </w:tc>
      </w:tr>
      <w:tr w:rsidR="00D75CA8" w:rsidRPr="00D80ACC" w14:paraId="30C2DEE2" w14:textId="77777777" w:rsidTr="00D75CA8">
        <w:tc>
          <w:tcPr>
            <w:tcW w:w="1630" w:type="pct"/>
            <w:tcBorders>
              <w:top w:val="nil"/>
              <w:left w:val="nil"/>
              <w:bottom w:val="single" w:sz="4" w:space="0" w:color="000000" w:themeColor="text1"/>
              <w:right w:val="nil"/>
            </w:tcBorders>
            <w:vAlign w:val="bottom"/>
            <w:hideMark/>
          </w:tcPr>
          <w:p w14:paraId="62EE82E4"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Cost of sales</w:t>
            </w:r>
          </w:p>
        </w:tc>
        <w:tc>
          <w:tcPr>
            <w:tcW w:w="390" w:type="pct"/>
            <w:tcBorders>
              <w:top w:val="nil"/>
              <w:left w:val="nil"/>
              <w:bottom w:val="single" w:sz="4" w:space="0" w:color="000000" w:themeColor="text1"/>
              <w:right w:val="nil"/>
            </w:tcBorders>
            <w:vAlign w:val="bottom"/>
          </w:tcPr>
          <w:p w14:paraId="732045EF"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496" w:type="pct"/>
            <w:tcBorders>
              <w:top w:val="nil"/>
              <w:left w:val="nil"/>
              <w:bottom w:val="single" w:sz="4" w:space="0" w:color="000000" w:themeColor="text1"/>
              <w:right w:val="nil"/>
            </w:tcBorders>
            <w:vAlign w:val="bottom"/>
            <w:hideMark/>
          </w:tcPr>
          <w:p w14:paraId="3827CB40"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(199.0)</w:t>
            </w:r>
          </w:p>
        </w:tc>
        <w:tc>
          <w:tcPr>
            <w:tcW w:w="496" w:type="pct"/>
            <w:tcBorders>
              <w:top w:val="nil"/>
              <w:left w:val="nil"/>
              <w:bottom w:val="single" w:sz="4" w:space="0" w:color="000000" w:themeColor="text1"/>
              <w:right w:val="nil"/>
            </w:tcBorders>
            <w:vAlign w:val="bottom"/>
            <w:hideMark/>
          </w:tcPr>
          <w:p w14:paraId="69AD1F9A"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w:t>
            </w:r>
          </w:p>
        </w:tc>
        <w:tc>
          <w:tcPr>
            <w:tcW w:w="498" w:type="pct"/>
            <w:tcBorders>
              <w:top w:val="nil"/>
              <w:left w:val="nil"/>
              <w:bottom w:val="single" w:sz="4" w:space="0" w:color="000000" w:themeColor="text1"/>
              <w:right w:val="nil"/>
            </w:tcBorders>
            <w:vAlign w:val="bottom"/>
            <w:hideMark/>
          </w:tcPr>
          <w:p w14:paraId="31A2507B"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w:t>
            </w:r>
            <w:r>
              <w:rPr>
                <w:rFonts w:cstheme="minorHAnsi"/>
                <w:b/>
                <w:bCs/>
              </w:rPr>
              <w:t>199.0</w:t>
            </w:r>
            <w:r w:rsidRPr="00A07609">
              <w:rPr>
                <w:rFonts w:cstheme="minorHAnsi"/>
                <w:b/>
                <w:bCs/>
              </w:rPr>
              <w:t>)</w:t>
            </w:r>
          </w:p>
        </w:tc>
        <w:tc>
          <w:tcPr>
            <w:tcW w:w="496" w:type="pct"/>
            <w:tcBorders>
              <w:top w:val="nil"/>
              <w:left w:val="nil"/>
              <w:bottom w:val="single" w:sz="4" w:space="0" w:color="000000" w:themeColor="text1"/>
              <w:right w:val="nil"/>
            </w:tcBorders>
            <w:vAlign w:val="bottom"/>
            <w:hideMark/>
          </w:tcPr>
          <w:p w14:paraId="3AF649FD"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rPr>
              <w:t>(296.1)</w:t>
            </w:r>
          </w:p>
        </w:tc>
        <w:tc>
          <w:tcPr>
            <w:tcW w:w="496" w:type="pct"/>
            <w:tcBorders>
              <w:top w:val="nil"/>
              <w:left w:val="nil"/>
              <w:bottom w:val="single" w:sz="4" w:space="0" w:color="000000" w:themeColor="text1"/>
              <w:right w:val="nil"/>
            </w:tcBorders>
            <w:vAlign w:val="bottom"/>
            <w:hideMark/>
          </w:tcPr>
          <w:p w14:paraId="15813772"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w:t>
            </w:r>
          </w:p>
        </w:tc>
        <w:tc>
          <w:tcPr>
            <w:tcW w:w="498" w:type="pct"/>
            <w:tcBorders>
              <w:top w:val="nil"/>
              <w:left w:val="nil"/>
              <w:bottom w:val="single" w:sz="4" w:space="0" w:color="000000" w:themeColor="text1"/>
              <w:right w:val="nil"/>
            </w:tcBorders>
            <w:vAlign w:val="bottom"/>
            <w:hideMark/>
          </w:tcPr>
          <w:p w14:paraId="1938BD4C"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(296.1)</w:t>
            </w:r>
          </w:p>
        </w:tc>
      </w:tr>
      <w:tr w:rsidR="00D75CA8" w:rsidRPr="00D80ACC" w14:paraId="689676CF" w14:textId="77777777" w:rsidTr="00D75CA8">
        <w:tc>
          <w:tcPr>
            <w:tcW w:w="1630" w:type="pct"/>
            <w:tcBorders>
              <w:top w:val="single" w:sz="4" w:space="0" w:color="000000" w:themeColor="text1"/>
              <w:left w:val="nil"/>
              <w:bottom w:val="single" w:sz="4" w:space="0" w:color="000000" w:themeColor="text1"/>
              <w:right w:val="nil"/>
            </w:tcBorders>
            <w:vAlign w:val="bottom"/>
            <w:hideMark/>
          </w:tcPr>
          <w:p w14:paraId="3EED4883"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t>Gross profit</w:t>
            </w:r>
          </w:p>
        </w:tc>
        <w:tc>
          <w:tcPr>
            <w:tcW w:w="390" w:type="pct"/>
            <w:tcBorders>
              <w:top w:val="single" w:sz="4" w:space="0" w:color="000000" w:themeColor="text1"/>
              <w:left w:val="nil"/>
              <w:bottom w:val="single" w:sz="4" w:space="0" w:color="000000" w:themeColor="text1"/>
              <w:right w:val="nil"/>
            </w:tcBorders>
            <w:vAlign w:val="bottom"/>
          </w:tcPr>
          <w:p w14:paraId="30039D36"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496" w:type="pct"/>
            <w:tcBorders>
              <w:top w:val="single" w:sz="4" w:space="0" w:color="000000" w:themeColor="text1"/>
              <w:left w:val="nil"/>
              <w:bottom w:val="single" w:sz="4" w:space="0" w:color="000000" w:themeColor="text1"/>
              <w:right w:val="nil"/>
            </w:tcBorders>
            <w:vAlign w:val="bottom"/>
            <w:hideMark/>
          </w:tcPr>
          <w:p w14:paraId="15B2EF5F" w14:textId="77777777" w:rsidR="00D75CA8" w:rsidRPr="00D14609" w:rsidRDefault="00D75CA8" w:rsidP="00D75CA8">
            <w:pPr>
              <w:widowControl w:val="0"/>
              <w:autoSpaceDE w:val="0"/>
              <w:autoSpaceDN w:val="0"/>
              <w:adjustRightInd w:val="0"/>
              <w:spacing w:after="0" w:line="240" w:lineRule="auto"/>
              <w:jc w:val="right"/>
              <w:rPr>
                <w:rFonts w:cstheme="minorHAnsi"/>
                <w:b/>
                <w:bCs/>
              </w:rPr>
            </w:pPr>
            <w:r w:rsidRPr="00D14609">
              <w:rPr>
                <w:rFonts w:cstheme="minorHAnsi"/>
                <w:b/>
                <w:bCs/>
              </w:rPr>
              <w:t>32.</w:t>
            </w:r>
            <w:r>
              <w:rPr>
                <w:rFonts w:cstheme="minorHAnsi"/>
                <w:b/>
                <w:bCs/>
              </w:rPr>
              <w:t>9</w:t>
            </w:r>
          </w:p>
        </w:tc>
        <w:tc>
          <w:tcPr>
            <w:tcW w:w="496" w:type="pct"/>
            <w:tcBorders>
              <w:top w:val="single" w:sz="4" w:space="0" w:color="000000" w:themeColor="text1"/>
              <w:left w:val="nil"/>
              <w:bottom w:val="single" w:sz="4" w:space="0" w:color="000000" w:themeColor="text1"/>
              <w:right w:val="nil"/>
            </w:tcBorders>
            <w:vAlign w:val="bottom"/>
            <w:hideMark/>
          </w:tcPr>
          <w:p w14:paraId="0C95BF52"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w:t>
            </w:r>
          </w:p>
        </w:tc>
        <w:tc>
          <w:tcPr>
            <w:tcW w:w="498" w:type="pct"/>
            <w:tcBorders>
              <w:top w:val="single" w:sz="4" w:space="0" w:color="000000" w:themeColor="text1"/>
              <w:left w:val="nil"/>
              <w:bottom w:val="single" w:sz="4" w:space="0" w:color="000000" w:themeColor="text1"/>
              <w:right w:val="nil"/>
            </w:tcBorders>
            <w:vAlign w:val="bottom"/>
            <w:hideMark/>
          </w:tcPr>
          <w:p w14:paraId="67D95BEB" w14:textId="77777777" w:rsidR="00D75CA8" w:rsidRPr="00A07609" w:rsidRDefault="00D75CA8" w:rsidP="00D75CA8">
            <w:pPr>
              <w:widowControl w:val="0"/>
              <w:autoSpaceDE w:val="0"/>
              <w:autoSpaceDN w:val="0"/>
              <w:adjustRightInd w:val="0"/>
              <w:spacing w:after="0" w:line="240" w:lineRule="auto"/>
              <w:jc w:val="right"/>
              <w:rPr>
                <w:rFonts w:cstheme="minorHAnsi"/>
              </w:rPr>
            </w:pPr>
            <w:r>
              <w:rPr>
                <w:rFonts w:cstheme="minorHAnsi"/>
                <w:b/>
                <w:bCs/>
              </w:rPr>
              <w:t>32.9</w:t>
            </w:r>
          </w:p>
        </w:tc>
        <w:tc>
          <w:tcPr>
            <w:tcW w:w="496" w:type="pct"/>
            <w:tcBorders>
              <w:top w:val="single" w:sz="4" w:space="0" w:color="000000" w:themeColor="text1"/>
              <w:left w:val="nil"/>
              <w:bottom w:val="single" w:sz="4" w:space="0" w:color="000000" w:themeColor="text1"/>
              <w:right w:val="nil"/>
            </w:tcBorders>
            <w:vAlign w:val="bottom"/>
            <w:hideMark/>
          </w:tcPr>
          <w:p w14:paraId="18A829E1"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rPr>
              <w:t>38.5</w:t>
            </w:r>
          </w:p>
        </w:tc>
        <w:tc>
          <w:tcPr>
            <w:tcW w:w="496" w:type="pct"/>
            <w:tcBorders>
              <w:top w:val="single" w:sz="4" w:space="0" w:color="000000" w:themeColor="text1"/>
              <w:left w:val="nil"/>
              <w:bottom w:val="single" w:sz="4" w:space="0" w:color="000000" w:themeColor="text1"/>
              <w:right w:val="nil"/>
            </w:tcBorders>
            <w:vAlign w:val="bottom"/>
            <w:hideMark/>
          </w:tcPr>
          <w:p w14:paraId="065B589C"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w:t>
            </w:r>
          </w:p>
        </w:tc>
        <w:tc>
          <w:tcPr>
            <w:tcW w:w="498" w:type="pct"/>
            <w:tcBorders>
              <w:top w:val="single" w:sz="4" w:space="0" w:color="000000" w:themeColor="text1"/>
              <w:left w:val="nil"/>
              <w:bottom w:val="single" w:sz="4" w:space="0" w:color="000000" w:themeColor="text1"/>
              <w:right w:val="nil"/>
            </w:tcBorders>
            <w:vAlign w:val="bottom"/>
            <w:hideMark/>
          </w:tcPr>
          <w:p w14:paraId="7963112A"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38.5</w:t>
            </w:r>
          </w:p>
        </w:tc>
      </w:tr>
      <w:tr w:rsidR="00D75CA8" w:rsidRPr="00D80ACC" w14:paraId="662B6980" w14:textId="77777777" w:rsidTr="00D75CA8">
        <w:tc>
          <w:tcPr>
            <w:tcW w:w="1630" w:type="pct"/>
            <w:tcBorders>
              <w:top w:val="single" w:sz="4" w:space="0" w:color="000000" w:themeColor="text1"/>
              <w:left w:val="nil"/>
              <w:bottom w:val="nil"/>
              <w:right w:val="nil"/>
            </w:tcBorders>
            <w:vAlign w:val="bottom"/>
            <w:hideMark/>
          </w:tcPr>
          <w:p w14:paraId="6F58DB75"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Administrative expenses</w:t>
            </w:r>
          </w:p>
        </w:tc>
        <w:tc>
          <w:tcPr>
            <w:tcW w:w="390" w:type="pct"/>
            <w:tcBorders>
              <w:top w:val="single" w:sz="4" w:space="0" w:color="000000" w:themeColor="text1"/>
              <w:left w:val="nil"/>
              <w:bottom w:val="nil"/>
              <w:right w:val="nil"/>
            </w:tcBorders>
            <w:vAlign w:val="bottom"/>
          </w:tcPr>
          <w:p w14:paraId="3EE805CC"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496" w:type="pct"/>
            <w:tcBorders>
              <w:top w:val="single" w:sz="4" w:space="0" w:color="000000" w:themeColor="text1"/>
              <w:left w:val="nil"/>
              <w:bottom w:val="nil"/>
              <w:right w:val="nil"/>
            </w:tcBorders>
            <w:vAlign w:val="bottom"/>
          </w:tcPr>
          <w:p w14:paraId="66334B55" w14:textId="77777777" w:rsidR="00D75CA8" w:rsidRPr="00A07609" w:rsidRDefault="00D75CA8" w:rsidP="00D75CA8">
            <w:pPr>
              <w:widowControl w:val="0"/>
              <w:autoSpaceDE w:val="0"/>
              <w:autoSpaceDN w:val="0"/>
              <w:adjustRightInd w:val="0"/>
              <w:spacing w:after="0" w:line="240" w:lineRule="auto"/>
              <w:jc w:val="right"/>
              <w:rPr>
                <w:rFonts w:cstheme="minorHAnsi"/>
              </w:rPr>
            </w:pPr>
          </w:p>
        </w:tc>
        <w:tc>
          <w:tcPr>
            <w:tcW w:w="496" w:type="pct"/>
            <w:tcBorders>
              <w:top w:val="single" w:sz="4" w:space="0" w:color="000000" w:themeColor="text1"/>
              <w:left w:val="nil"/>
              <w:bottom w:val="nil"/>
              <w:right w:val="nil"/>
            </w:tcBorders>
            <w:vAlign w:val="bottom"/>
          </w:tcPr>
          <w:p w14:paraId="58DDEF1E" w14:textId="77777777" w:rsidR="00D75CA8" w:rsidRPr="00A07609" w:rsidRDefault="00D75CA8" w:rsidP="00D75CA8">
            <w:pPr>
              <w:widowControl w:val="0"/>
              <w:autoSpaceDE w:val="0"/>
              <w:autoSpaceDN w:val="0"/>
              <w:adjustRightInd w:val="0"/>
              <w:spacing w:after="0" w:line="240" w:lineRule="auto"/>
              <w:jc w:val="right"/>
              <w:rPr>
                <w:rFonts w:cstheme="minorHAnsi"/>
              </w:rPr>
            </w:pPr>
          </w:p>
        </w:tc>
        <w:tc>
          <w:tcPr>
            <w:tcW w:w="498" w:type="pct"/>
            <w:tcBorders>
              <w:top w:val="single" w:sz="4" w:space="0" w:color="000000" w:themeColor="text1"/>
              <w:left w:val="nil"/>
              <w:bottom w:val="nil"/>
              <w:right w:val="nil"/>
            </w:tcBorders>
            <w:vAlign w:val="bottom"/>
          </w:tcPr>
          <w:p w14:paraId="552B39AC" w14:textId="77777777" w:rsidR="00D75CA8" w:rsidRPr="00A07609" w:rsidRDefault="00D75CA8" w:rsidP="00D75CA8">
            <w:pPr>
              <w:widowControl w:val="0"/>
              <w:autoSpaceDE w:val="0"/>
              <w:autoSpaceDN w:val="0"/>
              <w:adjustRightInd w:val="0"/>
              <w:spacing w:after="0" w:line="240" w:lineRule="auto"/>
              <w:jc w:val="right"/>
              <w:rPr>
                <w:rFonts w:cstheme="minorHAnsi"/>
              </w:rPr>
            </w:pPr>
          </w:p>
        </w:tc>
        <w:tc>
          <w:tcPr>
            <w:tcW w:w="496" w:type="pct"/>
            <w:tcBorders>
              <w:top w:val="single" w:sz="4" w:space="0" w:color="000000" w:themeColor="text1"/>
              <w:left w:val="nil"/>
              <w:bottom w:val="nil"/>
              <w:right w:val="nil"/>
            </w:tcBorders>
            <w:vAlign w:val="bottom"/>
          </w:tcPr>
          <w:p w14:paraId="76506B46" w14:textId="77777777" w:rsidR="00D75CA8" w:rsidRPr="00A07609" w:rsidRDefault="00D75CA8" w:rsidP="00D75CA8">
            <w:pPr>
              <w:widowControl w:val="0"/>
              <w:autoSpaceDE w:val="0"/>
              <w:autoSpaceDN w:val="0"/>
              <w:adjustRightInd w:val="0"/>
              <w:spacing w:after="0" w:line="240" w:lineRule="auto"/>
              <w:jc w:val="right"/>
              <w:rPr>
                <w:rFonts w:cstheme="minorHAnsi"/>
              </w:rPr>
            </w:pPr>
          </w:p>
        </w:tc>
        <w:tc>
          <w:tcPr>
            <w:tcW w:w="496" w:type="pct"/>
            <w:tcBorders>
              <w:top w:val="single" w:sz="4" w:space="0" w:color="000000" w:themeColor="text1"/>
              <w:left w:val="nil"/>
              <w:bottom w:val="nil"/>
              <w:right w:val="nil"/>
            </w:tcBorders>
            <w:vAlign w:val="bottom"/>
          </w:tcPr>
          <w:p w14:paraId="06305CF0" w14:textId="77777777" w:rsidR="00D75CA8" w:rsidRPr="004B30F5" w:rsidRDefault="00D75CA8" w:rsidP="00D75CA8">
            <w:pPr>
              <w:widowControl w:val="0"/>
              <w:autoSpaceDE w:val="0"/>
              <w:autoSpaceDN w:val="0"/>
              <w:adjustRightInd w:val="0"/>
              <w:spacing w:after="0" w:line="240" w:lineRule="auto"/>
              <w:jc w:val="right"/>
              <w:rPr>
                <w:rFonts w:cstheme="minorHAnsi"/>
              </w:rPr>
            </w:pPr>
          </w:p>
        </w:tc>
        <w:tc>
          <w:tcPr>
            <w:tcW w:w="498" w:type="pct"/>
            <w:tcBorders>
              <w:top w:val="single" w:sz="4" w:space="0" w:color="000000" w:themeColor="text1"/>
              <w:left w:val="nil"/>
              <w:bottom w:val="nil"/>
              <w:right w:val="nil"/>
            </w:tcBorders>
            <w:vAlign w:val="bottom"/>
          </w:tcPr>
          <w:p w14:paraId="086A0416" w14:textId="77777777" w:rsidR="00D75CA8" w:rsidRPr="004B30F5" w:rsidRDefault="00D75CA8" w:rsidP="00D75CA8">
            <w:pPr>
              <w:widowControl w:val="0"/>
              <w:autoSpaceDE w:val="0"/>
              <w:autoSpaceDN w:val="0"/>
              <w:adjustRightInd w:val="0"/>
              <w:spacing w:after="0" w:line="240" w:lineRule="auto"/>
              <w:jc w:val="right"/>
              <w:rPr>
                <w:rFonts w:cstheme="minorHAnsi"/>
              </w:rPr>
            </w:pPr>
          </w:p>
        </w:tc>
      </w:tr>
      <w:tr w:rsidR="00D75CA8" w:rsidRPr="00D80ACC" w14:paraId="08280B3F" w14:textId="77777777" w:rsidTr="00D75CA8">
        <w:tc>
          <w:tcPr>
            <w:tcW w:w="1630" w:type="pct"/>
            <w:vAlign w:val="bottom"/>
            <w:hideMark/>
          </w:tcPr>
          <w:p w14:paraId="2A7B4578" w14:textId="77777777" w:rsidR="00D75CA8" w:rsidRPr="00D80ACC" w:rsidRDefault="00D75CA8" w:rsidP="00D75CA8">
            <w:pPr>
              <w:widowControl w:val="0"/>
              <w:autoSpaceDE w:val="0"/>
              <w:autoSpaceDN w:val="0"/>
              <w:adjustRightInd w:val="0"/>
              <w:spacing w:after="0" w:line="240" w:lineRule="auto"/>
              <w:ind w:left="144"/>
              <w:rPr>
                <w:rFonts w:cstheme="minorHAnsi"/>
              </w:rPr>
            </w:pPr>
            <w:r w:rsidRPr="00D80ACC">
              <w:rPr>
                <w:rFonts w:cstheme="minorHAnsi"/>
              </w:rPr>
              <w:t>Amortisation of intangible assets</w:t>
            </w:r>
          </w:p>
        </w:tc>
        <w:tc>
          <w:tcPr>
            <w:tcW w:w="390" w:type="pct"/>
            <w:vAlign w:val="bottom"/>
          </w:tcPr>
          <w:p w14:paraId="5624CAA2"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496" w:type="pct"/>
            <w:vAlign w:val="bottom"/>
            <w:hideMark/>
          </w:tcPr>
          <w:p w14:paraId="5C7E91F9"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w:t>
            </w:r>
          </w:p>
        </w:tc>
        <w:tc>
          <w:tcPr>
            <w:tcW w:w="496" w:type="pct"/>
            <w:vAlign w:val="bottom"/>
            <w:hideMark/>
          </w:tcPr>
          <w:p w14:paraId="7EB2F796"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(0.2)</w:t>
            </w:r>
          </w:p>
        </w:tc>
        <w:tc>
          <w:tcPr>
            <w:tcW w:w="498" w:type="pct"/>
            <w:vAlign w:val="bottom"/>
            <w:hideMark/>
          </w:tcPr>
          <w:p w14:paraId="32D1388B"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(0.2)</w:t>
            </w:r>
          </w:p>
        </w:tc>
        <w:tc>
          <w:tcPr>
            <w:tcW w:w="496" w:type="pct"/>
            <w:vAlign w:val="bottom"/>
            <w:hideMark/>
          </w:tcPr>
          <w:p w14:paraId="1F72FA80"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rPr>
              <w:t>—</w:t>
            </w:r>
          </w:p>
        </w:tc>
        <w:tc>
          <w:tcPr>
            <w:tcW w:w="496" w:type="pct"/>
            <w:vAlign w:val="bottom"/>
            <w:hideMark/>
          </w:tcPr>
          <w:p w14:paraId="1900B75A"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(0.2)</w:t>
            </w:r>
          </w:p>
        </w:tc>
        <w:tc>
          <w:tcPr>
            <w:tcW w:w="498" w:type="pct"/>
            <w:vAlign w:val="bottom"/>
            <w:hideMark/>
          </w:tcPr>
          <w:p w14:paraId="4B86A9AC"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(0.2)</w:t>
            </w:r>
          </w:p>
        </w:tc>
      </w:tr>
      <w:tr w:rsidR="00D75CA8" w:rsidRPr="00D80ACC" w14:paraId="04198C1E" w14:textId="77777777" w:rsidTr="00D75CA8">
        <w:tc>
          <w:tcPr>
            <w:tcW w:w="1630" w:type="pct"/>
            <w:vAlign w:val="bottom"/>
          </w:tcPr>
          <w:p w14:paraId="0344289D" w14:textId="77777777" w:rsidR="00D75CA8" w:rsidRPr="00D80ACC" w:rsidRDefault="00D75CA8" w:rsidP="00D75CA8">
            <w:pPr>
              <w:widowControl w:val="0"/>
              <w:autoSpaceDE w:val="0"/>
              <w:autoSpaceDN w:val="0"/>
              <w:adjustRightInd w:val="0"/>
              <w:spacing w:after="0" w:line="240" w:lineRule="auto"/>
              <w:ind w:left="144"/>
              <w:rPr>
                <w:rFonts w:cstheme="minorHAnsi"/>
              </w:rPr>
            </w:pPr>
            <w:r>
              <w:rPr>
                <w:rFonts w:cstheme="minorHAnsi"/>
              </w:rPr>
              <w:t>Restructuring costs</w:t>
            </w:r>
          </w:p>
        </w:tc>
        <w:tc>
          <w:tcPr>
            <w:tcW w:w="390" w:type="pct"/>
            <w:vAlign w:val="bottom"/>
          </w:tcPr>
          <w:p w14:paraId="68D6AF67"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496" w:type="pct"/>
            <w:vAlign w:val="bottom"/>
          </w:tcPr>
          <w:p w14:paraId="0F13EE3F" w14:textId="77777777" w:rsidR="00D75CA8" w:rsidRPr="00A07609" w:rsidRDefault="00D75CA8" w:rsidP="00D75CA8">
            <w:pPr>
              <w:widowControl w:val="0"/>
              <w:autoSpaceDE w:val="0"/>
              <w:autoSpaceDN w:val="0"/>
              <w:adjustRightInd w:val="0"/>
              <w:spacing w:after="0" w:line="240" w:lineRule="auto"/>
              <w:jc w:val="right"/>
              <w:rPr>
                <w:rFonts w:cstheme="minorHAnsi"/>
                <w:b/>
                <w:bCs/>
              </w:rPr>
            </w:pPr>
            <w:r w:rsidRPr="00A07609">
              <w:rPr>
                <w:rFonts w:cstheme="minorHAnsi"/>
                <w:b/>
                <w:bCs/>
              </w:rPr>
              <w:t>—</w:t>
            </w:r>
          </w:p>
        </w:tc>
        <w:tc>
          <w:tcPr>
            <w:tcW w:w="496" w:type="pct"/>
            <w:vAlign w:val="bottom"/>
          </w:tcPr>
          <w:p w14:paraId="0AA7999E" w14:textId="77777777" w:rsidR="00D75CA8" w:rsidRPr="00A07609" w:rsidRDefault="00D75CA8" w:rsidP="00D75CA8">
            <w:pPr>
              <w:widowControl w:val="0"/>
              <w:autoSpaceDE w:val="0"/>
              <w:autoSpaceDN w:val="0"/>
              <w:adjustRightInd w:val="0"/>
              <w:spacing w:after="0" w:line="240" w:lineRule="auto"/>
              <w:jc w:val="right"/>
              <w:rPr>
                <w:rFonts w:cstheme="minorHAnsi"/>
                <w:b/>
                <w:bCs/>
              </w:rPr>
            </w:pPr>
            <w:r w:rsidRPr="00A07609">
              <w:rPr>
                <w:rFonts w:cstheme="minorHAnsi"/>
                <w:b/>
                <w:bCs/>
              </w:rPr>
              <w:t>(3.7)</w:t>
            </w:r>
          </w:p>
        </w:tc>
        <w:tc>
          <w:tcPr>
            <w:tcW w:w="498" w:type="pct"/>
            <w:vAlign w:val="bottom"/>
          </w:tcPr>
          <w:p w14:paraId="5ABCF4C0" w14:textId="77777777" w:rsidR="00D75CA8" w:rsidRPr="00A07609" w:rsidRDefault="00D75CA8" w:rsidP="00D75CA8">
            <w:pPr>
              <w:widowControl w:val="0"/>
              <w:autoSpaceDE w:val="0"/>
              <w:autoSpaceDN w:val="0"/>
              <w:adjustRightInd w:val="0"/>
              <w:spacing w:after="0" w:line="240" w:lineRule="auto"/>
              <w:jc w:val="right"/>
              <w:rPr>
                <w:rFonts w:cstheme="minorHAnsi"/>
                <w:b/>
                <w:bCs/>
              </w:rPr>
            </w:pPr>
            <w:r w:rsidRPr="00A07609">
              <w:rPr>
                <w:rFonts w:cstheme="minorHAnsi"/>
                <w:b/>
                <w:bCs/>
              </w:rPr>
              <w:t>(3.7)</w:t>
            </w:r>
          </w:p>
        </w:tc>
        <w:tc>
          <w:tcPr>
            <w:tcW w:w="496" w:type="pct"/>
            <w:vAlign w:val="bottom"/>
          </w:tcPr>
          <w:p w14:paraId="1E0645FD"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rPr>
              <w:t>—</w:t>
            </w:r>
          </w:p>
        </w:tc>
        <w:tc>
          <w:tcPr>
            <w:tcW w:w="496" w:type="pct"/>
            <w:vAlign w:val="bottom"/>
          </w:tcPr>
          <w:p w14:paraId="71B7C563"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rPr>
              <w:t>—</w:t>
            </w:r>
          </w:p>
        </w:tc>
        <w:tc>
          <w:tcPr>
            <w:tcW w:w="498" w:type="pct"/>
            <w:vAlign w:val="bottom"/>
          </w:tcPr>
          <w:p w14:paraId="321C55EF"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rPr>
              <w:t>—</w:t>
            </w:r>
          </w:p>
        </w:tc>
      </w:tr>
      <w:tr w:rsidR="00D75CA8" w:rsidRPr="00D80ACC" w14:paraId="4A794189" w14:textId="77777777" w:rsidTr="00D75CA8">
        <w:tc>
          <w:tcPr>
            <w:tcW w:w="1630" w:type="pct"/>
            <w:tcBorders>
              <w:top w:val="nil"/>
              <w:left w:val="nil"/>
              <w:bottom w:val="single" w:sz="4" w:space="0" w:color="000000" w:themeColor="text1"/>
              <w:right w:val="nil"/>
            </w:tcBorders>
            <w:vAlign w:val="bottom"/>
            <w:hideMark/>
          </w:tcPr>
          <w:p w14:paraId="632109A7" w14:textId="77777777" w:rsidR="00D75CA8" w:rsidRPr="00D80ACC" w:rsidRDefault="00D75CA8" w:rsidP="00D75CA8">
            <w:pPr>
              <w:widowControl w:val="0"/>
              <w:autoSpaceDE w:val="0"/>
              <w:autoSpaceDN w:val="0"/>
              <w:adjustRightInd w:val="0"/>
              <w:spacing w:after="0" w:line="240" w:lineRule="auto"/>
              <w:ind w:left="144"/>
              <w:rPr>
                <w:rFonts w:cstheme="minorHAnsi"/>
              </w:rPr>
            </w:pPr>
            <w:r w:rsidRPr="00D80ACC">
              <w:rPr>
                <w:rFonts w:cstheme="minorHAnsi"/>
              </w:rPr>
              <w:t>Other administrative expenses</w:t>
            </w:r>
          </w:p>
        </w:tc>
        <w:tc>
          <w:tcPr>
            <w:tcW w:w="390" w:type="pct"/>
            <w:tcBorders>
              <w:top w:val="nil"/>
              <w:left w:val="nil"/>
              <w:bottom w:val="single" w:sz="4" w:space="0" w:color="000000" w:themeColor="text1"/>
              <w:right w:val="nil"/>
            </w:tcBorders>
            <w:vAlign w:val="bottom"/>
          </w:tcPr>
          <w:p w14:paraId="057C32B3"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496" w:type="pct"/>
            <w:tcBorders>
              <w:top w:val="nil"/>
              <w:left w:val="nil"/>
              <w:bottom w:val="single" w:sz="4" w:space="0" w:color="000000" w:themeColor="text1"/>
              <w:right w:val="nil"/>
            </w:tcBorders>
            <w:vAlign w:val="bottom"/>
            <w:hideMark/>
          </w:tcPr>
          <w:p w14:paraId="08B1A724"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(26.9)</w:t>
            </w:r>
          </w:p>
        </w:tc>
        <w:tc>
          <w:tcPr>
            <w:tcW w:w="496" w:type="pct"/>
            <w:tcBorders>
              <w:top w:val="nil"/>
              <w:left w:val="nil"/>
              <w:bottom w:val="single" w:sz="4" w:space="0" w:color="000000" w:themeColor="text1"/>
              <w:right w:val="nil"/>
            </w:tcBorders>
            <w:vAlign w:val="bottom"/>
            <w:hideMark/>
          </w:tcPr>
          <w:p w14:paraId="2265C6B4"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w:t>
            </w:r>
          </w:p>
        </w:tc>
        <w:tc>
          <w:tcPr>
            <w:tcW w:w="498" w:type="pct"/>
            <w:tcBorders>
              <w:top w:val="nil"/>
              <w:left w:val="nil"/>
              <w:bottom w:val="single" w:sz="4" w:space="0" w:color="000000" w:themeColor="text1"/>
              <w:right w:val="nil"/>
            </w:tcBorders>
            <w:vAlign w:val="bottom"/>
            <w:hideMark/>
          </w:tcPr>
          <w:p w14:paraId="3584AAD4"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(26.9)</w:t>
            </w:r>
          </w:p>
        </w:tc>
        <w:tc>
          <w:tcPr>
            <w:tcW w:w="496" w:type="pct"/>
            <w:tcBorders>
              <w:top w:val="nil"/>
              <w:left w:val="nil"/>
              <w:bottom w:val="single" w:sz="4" w:space="0" w:color="000000" w:themeColor="text1"/>
              <w:right w:val="nil"/>
            </w:tcBorders>
            <w:vAlign w:val="bottom"/>
            <w:hideMark/>
          </w:tcPr>
          <w:p w14:paraId="3D9A4CC6"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rPr>
              <w:t>(28.3)</w:t>
            </w:r>
          </w:p>
        </w:tc>
        <w:tc>
          <w:tcPr>
            <w:tcW w:w="496" w:type="pct"/>
            <w:tcBorders>
              <w:top w:val="nil"/>
              <w:left w:val="nil"/>
              <w:bottom w:val="single" w:sz="4" w:space="0" w:color="000000" w:themeColor="text1"/>
              <w:right w:val="nil"/>
            </w:tcBorders>
            <w:vAlign w:val="bottom"/>
            <w:hideMark/>
          </w:tcPr>
          <w:p w14:paraId="638025E3"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w:t>
            </w:r>
          </w:p>
        </w:tc>
        <w:tc>
          <w:tcPr>
            <w:tcW w:w="498" w:type="pct"/>
            <w:tcBorders>
              <w:top w:val="nil"/>
              <w:left w:val="nil"/>
              <w:bottom w:val="single" w:sz="4" w:space="0" w:color="000000" w:themeColor="text1"/>
              <w:right w:val="nil"/>
            </w:tcBorders>
            <w:vAlign w:val="bottom"/>
            <w:hideMark/>
          </w:tcPr>
          <w:p w14:paraId="463A6D20"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(28.3)</w:t>
            </w:r>
          </w:p>
        </w:tc>
      </w:tr>
      <w:tr w:rsidR="00D75CA8" w:rsidRPr="00D80ACC" w14:paraId="514B4C37" w14:textId="77777777" w:rsidTr="00D75CA8">
        <w:tc>
          <w:tcPr>
            <w:tcW w:w="1630" w:type="pct"/>
            <w:tcBorders>
              <w:top w:val="single" w:sz="4" w:space="0" w:color="000000" w:themeColor="text1"/>
              <w:left w:val="nil"/>
              <w:bottom w:val="single" w:sz="4" w:space="0" w:color="000000" w:themeColor="text1"/>
              <w:right w:val="nil"/>
            </w:tcBorders>
            <w:vAlign w:val="bottom"/>
            <w:hideMark/>
          </w:tcPr>
          <w:p w14:paraId="28D4079A"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Total administrative expenses</w:t>
            </w:r>
          </w:p>
        </w:tc>
        <w:tc>
          <w:tcPr>
            <w:tcW w:w="390" w:type="pct"/>
            <w:tcBorders>
              <w:top w:val="single" w:sz="4" w:space="0" w:color="000000" w:themeColor="text1"/>
              <w:left w:val="nil"/>
              <w:bottom w:val="single" w:sz="4" w:space="0" w:color="000000" w:themeColor="text1"/>
              <w:right w:val="nil"/>
            </w:tcBorders>
            <w:vAlign w:val="bottom"/>
          </w:tcPr>
          <w:p w14:paraId="693468D3"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496" w:type="pct"/>
            <w:tcBorders>
              <w:top w:val="single" w:sz="4" w:space="0" w:color="000000" w:themeColor="text1"/>
              <w:left w:val="nil"/>
              <w:bottom w:val="single" w:sz="4" w:space="0" w:color="000000" w:themeColor="text1"/>
              <w:right w:val="nil"/>
            </w:tcBorders>
            <w:vAlign w:val="bottom"/>
            <w:hideMark/>
          </w:tcPr>
          <w:p w14:paraId="1AA6443E"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(26.9)</w:t>
            </w:r>
          </w:p>
        </w:tc>
        <w:tc>
          <w:tcPr>
            <w:tcW w:w="496" w:type="pct"/>
            <w:tcBorders>
              <w:top w:val="single" w:sz="4" w:space="0" w:color="000000" w:themeColor="text1"/>
              <w:left w:val="nil"/>
              <w:bottom w:val="single" w:sz="4" w:space="0" w:color="000000" w:themeColor="text1"/>
              <w:right w:val="nil"/>
            </w:tcBorders>
            <w:vAlign w:val="bottom"/>
            <w:hideMark/>
          </w:tcPr>
          <w:p w14:paraId="7794ACFA" w14:textId="77777777" w:rsidR="00D75CA8" w:rsidRPr="00A07609" w:rsidRDefault="00D75CA8" w:rsidP="00D75CA8">
            <w:pPr>
              <w:widowControl w:val="0"/>
              <w:autoSpaceDE w:val="0"/>
              <w:autoSpaceDN w:val="0"/>
              <w:adjustRightInd w:val="0"/>
              <w:spacing w:after="0" w:line="240" w:lineRule="auto"/>
              <w:jc w:val="right"/>
              <w:rPr>
                <w:rFonts w:cstheme="minorHAnsi"/>
                <w:b/>
                <w:bCs/>
              </w:rPr>
            </w:pPr>
            <w:r w:rsidRPr="00A07609">
              <w:rPr>
                <w:rFonts w:cstheme="minorHAnsi"/>
                <w:b/>
                <w:bCs/>
              </w:rPr>
              <w:t>(3.9)</w:t>
            </w:r>
          </w:p>
        </w:tc>
        <w:tc>
          <w:tcPr>
            <w:tcW w:w="498" w:type="pct"/>
            <w:tcBorders>
              <w:top w:val="single" w:sz="4" w:space="0" w:color="000000" w:themeColor="text1"/>
              <w:left w:val="nil"/>
              <w:bottom w:val="single" w:sz="4" w:space="0" w:color="000000" w:themeColor="text1"/>
              <w:right w:val="nil"/>
            </w:tcBorders>
            <w:vAlign w:val="bottom"/>
            <w:hideMark/>
          </w:tcPr>
          <w:p w14:paraId="1DBCE457"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(30.</w:t>
            </w:r>
            <w:r>
              <w:rPr>
                <w:rFonts w:cstheme="minorHAnsi"/>
                <w:b/>
                <w:bCs/>
              </w:rPr>
              <w:t>8</w:t>
            </w:r>
            <w:r w:rsidRPr="00A07609">
              <w:rPr>
                <w:rFonts w:cstheme="minorHAnsi"/>
                <w:b/>
                <w:bCs/>
              </w:rPr>
              <w:t>)</w:t>
            </w:r>
          </w:p>
        </w:tc>
        <w:tc>
          <w:tcPr>
            <w:tcW w:w="496" w:type="pct"/>
            <w:tcBorders>
              <w:top w:val="single" w:sz="4" w:space="0" w:color="000000" w:themeColor="text1"/>
              <w:left w:val="nil"/>
              <w:bottom w:val="single" w:sz="4" w:space="0" w:color="000000" w:themeColor="text1"/>
              <w:right w:val="nil"/>
            </w:tcBorders>
            <w:vAlign w:val="bottom"/>
            <w:hideMark/>
          </w:tcPr>
          <w:p w14:paraId="72909846"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rPr>
              <w:t>(28.3)</w:t>
            </w:r>
          </w:p>
        </w:tc>
        <w:tc>
          <w:tcPr>
            <w:tcW w:w="496" w:type="pct"/>
            <w:tcBorders>
              <w:top w:val="single" w:sz="4" w:space="0" w:color="000000" w:themeColor="text1"/>
              <w:left w:val="nil"/>
              <w:bottom w:val="single" w:sz="4" w:space="0" w:color="000000" w:themeColor="text1"/>
              <w:right w:val="nil"/>
            </w:tcBorders>
            <w:vAlign w:val="bottom"/>
            <w:hideMark/>
          </w:tcPr>
          <w:p w14:paraId="302E97E3"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(0.2)</w:t>
            </w:r>
          </w:p>
        </w:tc>
        <w:tc>
          <w:tcPr>
            <w:tcW w:w="498" w:type="pct"/>
            <w:tcBorders>
              <w:top w:val="single" w:sz="4" w:space="0" w:color="000000" w:themeColor="text1"/>
              <w:left w:val="nil"/>
              <w:bottom w:val="single" w:sz="4" w:space="0" w:color="000000" w:themeColor="text1"/>
              <w:right w:val="nil"/>
            </w:tcBorders>
            <w:vAlign w:val="bottom"/>
            <w:hideMark/>
          </w:tcPr>
          <w:p w14:paraId="0685AD05"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(28.5)</w:t>
            </w:r>
          </w:p>
        </w:tc>
      </w:tr>
      <w:tr w:rsidR="00D75CA8" w:rsidRPr="00D80ACC" w14:paraId="2718A107" w14:textId="77777777" w:rsidTr="00D75CA8">
        <w:tc>
          <w:tcPr>
            <w:tcW w:w="1630" w:type="pct"/>
            <w:tcBorders>
              <w:top w:val="single" w:sz="4" w:space="0" w:color="000000" w:themeColor="text1"/>
              <w:left w:val="nil"/>
              <w:bottom w:val="nil"/>
              <w:right w:val="nil"/>
            </w:tcBorders>
            <w:vAlign w:val="bottom"/>
            <w:hideMark/>
          </w:tcPr>
          <w:p w14:paraId="50B7CB0C"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t>Operating profit</w:t>
            </w:r>
          </w:p>
        </w:tc>
        <w:tc>
          <w:tcPr>
            <w:tcW w:w="390" w:type="pct"/>
            <w:tcBorders>
              <w:top w:val="single" w:sz="4" w:space="0" w:color="000000" w:themeColor="text1"/>
              <w:left w:val="nil"/>
              <w:bottom w:val="nil"/>
              <w:right w:val="nil"/>
            </w:tcBorders>
            <w:vAlign w:val="bottom"/>
            <w:hideMark/>
          </w:tcPr>
          <w:p w14:paraId="35F568DF"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496" w:type="pct"/>
            <w:tcBorders>
              <w:top w:val="single" w:sz="4" w:space="0" w:color="000000" w:themeColor="text1"/>
              <w:left w:val="nil"/>
              <w:bottom w:val="nil"/>
              <w:right w:val="nil"/>
            </w:tcBorders>
            <w:vAlign w:val="bottom"/>
            <w:hideMark/>
          </w:tcPr>
          <w:p w14:paraId="22C500DD"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6.0</w:t>
            </w:r>
          </w:p>
        </w:tc>
        <w:tc>
          <w:tcPr>
            <w:tcW w:w="496" w:type="pct"/>
            <w:tcBorders>
              <w:top w:val="single" w:sz="4" w:space="0" w:color="000000" w:themeColor="text1"/>
              <w:left w:val="nil"/>
              <w:bottom w:val="nil"/>
              <w:right w:val="nil"/>
            </w:tcBorders>
            <w:vAlign w:val="bottom"/>
            <w:hideMark/>
          </w:tcPr>
          <w:p w14:paraId="7ABEED8E"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(3.9)</w:t>
            </w:r>
          </w:p>
        </w:tc>
        <w:tc>
          <w:tcPr>
            <w:tcW w:w="498" w:type="pct"/>
            <w:tcBorders>
              <w:top w:val="single" w:sz="4" w:space="0" w:color="000000" w:themeColor="text1"/>
              <w:left w:val="nil"/>
              <w:bottom w:val="nil"/>
              <w:right w:val="nil"/>
            </w:tcBorders>
            <w:vAlign w:val="bottom"/>
            <w:hideMark/>
          </w:tcPr>
          <w:p w14:paraId="09AC6789"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2.1</w:t>
            </w:r>
          </w:p>
        </w:tc>
        <w:tc>
          <w:tcPr>
            <w:tcW w:w="496" w:type="pct"/>
            <w:tcBorders>
              <w:top w:val="single" w:sz="4" w:space="0" w:color="000000" w:themeColor="text1"/>
              <w:left w:val="nil"/>
              <w:bottom w:val="nil"/>
              <w:right w:val="nil"/>
            </w:tcBorders>
            <w:vAlign w:val="bottom"/>
            <w:hideMark/>
          </w:tcPr>
          <w:p w14:paraId="360CAB7E"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rPr>
              <w:t>10.2</w:t>
            </w:r>
          </w:p>
        </w:tc>
        <w:tc>
          <w:tcPr>
            <w:tcW w:w="496" w:type="pct"/>
            <w:tcBorders>
              <w:top w:val="single" w:sz="4" w:space="0" w:color="000000" w:themeColor="text1"/>
              <w:left w:val="nil"/>
              <w:bottom w:val="nil"/>
              <w:right w:val="nil"/>
            </w:tcBorders>
            <w:vAlign w:val="bottom"/>
            <w:hideMark/>
          </w:tcPr>
          <w:p w14:paraId="1F1BC782"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(0.2)</w:t>
            </w:r>
          </w:p>
        </w:tc>
        <w:tc>
          <w:tcPr>
            <w:tcW w:w="498" w:type="pct"/>
            <w:tcBorders>
              <w:top w:val="single" w:sz="4" w:space="0" w:color="000000" w:themeColor="text1"/>
              <w:left w:val="nil"/>
              <w:bottom w:val="nil"/>
              <w:right w:val="nil"/>
            </w:tcBorders>
            <w:vAlign w:val="bottom"/>
            <w:hideMark/>
          </w:tcPr>
          <w:p w14:paraId="07C18BB0"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10.0</w:t>
            </w:r>
          </w:p>
        </w:tc>
      </w:tr>
      <w:tr w:rsidR="00D75CA8" w:rsidRPr="00D80ACC" w14:paraId="32DAEDB1" w14:textId="77777777" w:rsidTr="00D75CA8">
        <w:tc>
          <w:tcPr>
            <w:tcW w:w="1630" w:type="pct"/>
            <w:tcBorders>
              <w:top w:val="nil"/>
              <w:left w:val="nil"/>
              <w:bottom w:val="single" w:sz="4" w:space="0" w:color="000000" w:themeColor="text1"/>
              <w:right w:val="nil"/>
            </w:tcBorders>
            <w:vAlign w:val="bottom"/>
            <w:hideMark/>
          </w:tcPr>
          <w:p w14:paraId="76E644F5"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Finance costs</w:t>
            </w:r>
          </w:p>
        </w:tc>
        <w:tc>
          <w:tcPr>
            <w:tcW w:w="390" w:type="pct"/>
            <w:tcBorders>
              <w:top w:val="nil"/>
              <w:left w:val="nil"/>
              <w:bottom w:val="single" w:sz="4" w:space="0" w:color="000000" w:themeColor="text1"/>
              <w:right w:val="nil"/>
            </w:tcBorders>
            <w:vAlign w:val="bottom"/>
            <w:hideMark/>
          </w:tcPr>
          <w:p w14:paraId="7AF06CC7"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496" w:type="pct"/>
            <w:tcBorders>
              <w:top w:val="nil"/>
              <w:left w:val="nil"/>
              <w:bottom w:val="single" w:sz="4" w:space="0" w:color="000000" w:themeColor="text1"/>
              <w:right w:val="nil"/>
            </w:tcBorders>
            <w:vAlign w:val="bottom"/>
            <w:hideMark/>
          </w:tcPr>
          <w:p w14:paraId="7489FF35"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(0.9)</w:t>
            </w:r>
          </w:p>
        </w:tc>
        <w:tc>
          <w:tcPr>
            <w:tcW w:w="496" w:type="pct"/>
            <w:tcBorders>
              <w:top w:val="nil"/>
              <w:left w:val="nil"/>
              <w:bottom w:val="single" w:sz="4" w:space="0" w:color="000000" w:themeColor="text1"/>
              <w:right w:val="nil"/>
            </w:tcBorders>
            <w:vAlign w:val="bottom"/>
            <w:hideMark/>
          </w:tcPr>
          <w:p w14:paraId="6D108A43"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w:t>
            </w:r>
          </w:p>
        </w:tc>
        <w:tc>
          <w:tcPr>
            <w:tcW w:w="498" w:type="pct"/>
            <w:tcBorders>
              <w:top w:val="nil"/>
              <w:left w:val="nil"/>
              <w:bottom w:val="single" w:sz="4" w:space="0" w:color="000000" w:themeColor="text1"/>
              <w:right w:val="nil"/>
            </w:tcBorders>
            <w:vAlign w:val="bottom"/>
            <w:hideMark/>
          </w:tcPr>
          <w:p w14:paraId="2E952FD7"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(0.9)</w:t>
            </w:r>
          </w:p>
        </w:tc>
        <w:tc>
          <w:tcPr>
            <w:tcW w:w="496" w:type="pct"/>
            <w:tcBorders>
              <w:top w:val="nil"/>
              <w:left w:val="nil"/>
              <w:bottom w:val="single" w:sz="4" w:space="0" w:color="000000" w:themeColor="text1"/>
              <w:right w:val="nil"/>
            </w:tcBorders>
            <w:vAlign w:val="bottom"/>
            <w:hideMark/>
          </w:tcPr>
          <w:p w14:paraId="2C591C8E"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rPr>
              <w:t>(1.0)</w:t>
            </w:r>
          </w:p>
        </w:tc>
        <w:tc>
          <w:tcPr>
            <w:tcW w:w="496" w:type="pct"/>
            <w:tcBorders>
              <w:top w:val="nil"/>
              <w:left w:val="nil"/>
              <w:bottom w:val="single" w:sz="4" w:space="0" w:color="000000" w:themeColor="text1"/>
              <w:right w:val="nil"/>
            </w:tcBorders>
            <w:vAlign w:val="bottom"/>
            <w:hideMark/>
          </w:tcPr>
          <w:p w14:paraId="71A93811"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w:t>
            </w:r>
          </w:p>
        </w:tc>
        <w:tc>
          <w:tcPr>
            <w:tcW w:w="498" w:type="pct"/>
            <w:tcBorders>
              <w:top w:val="nil"/>
              <w:left w:val="nil"/>
              <w:bottom w:val="single" w:sz="4" w:space="0" w:color="000000" w:themeColor="text1"/>
              <w:right w:val="nil"/>
            </w:tcBorders>
            <w:vAlign w:val="bottom"/>
            <w:hideMark/>
          </w:tcPr>
          <w:p w14:paraId="03D8E522"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(1.0)</w:t>
            </w:r>
          </w:p>
        </w:tc>
      </w:tr>
      <w:tr w:rsidR="00D75CA8" w:rsidRPr="00D80ACC" w14:paraId="6DD65028" w14:textId="77777777" w:rsidTr="00D75CA8">
        <w:tc>
          <w:tcPr>
            <w:tcW w:w="1630" w:type="pct"/>
            <w:tcBorders>
              <w:top w:val="single" w:sz="4" w:space="0" w:color="000000" w:themeColor="text1"/>
              <w:left w:val="nil"/>
              <w:bottom w:val="nil"/>
              <w:right w:val="nil"/>
            </w:tcBorders>
            <w:vAlign w:val="bottom"/>
            <w:hideMark/>
          </w:tcPr>
          <w:p w14:paraId="13DD7CD0"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t>Profit before taxation</w:t>
            </w:r>
          </w:p>
        </w:tc>
        <w:tc>
          <w:tcPr>
            <w:tcW w:w="390" w:type="pct"/>
            <w:tcBorders>
              <w:top w:val="single" w:sz="4" w:space="0" w:color="000000" w:themeColor="text1"/>
              <w:left w:val="nil"/>
              <w:bottom w:val="nil"/>
              <w:right w:val="nil"/>
            </w:tcBorders>
            <w:vAlign w:val="bottom"/>
          </w:tcPr>
          <w:p w14:paraId="330A056A"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496" w:type="pct"/>
            <w:tcBorders>
              <w:top w:val="single" w:sz="4" w:space="0" w:color="000000" w:themeColor="text1"/>
              <w:left w:val="nil"/>
              <w:bottom w:val="nil"/>
              <w:right w:val="nil"/>
            </w:tcBorders>
            <w:vAlign w:val="bottom"/>
            <w:hideMark/>
          </w:tcPr>
          <w:p w14:paraId="227E82C9" w14:textId="77777777" w:rsidR="00D75CA8" w:rsidRPr="00A07609" w:rsidRDefault="00D75CA8" w:rsidP="00D75CA8">
            <w:pPr>
              <w:widowControl w:val="0"/>
              <w:autoSpaceDE w:val="0"/>
              <w:autoSpaceDN w:val="0"/>
              <w:adjustRightInd w:val="0"/>
              <w:spacing w:after="0" w:line="240" w:lineRule="auto"/>
              <w:jc w:val="right"/>
              <w:rPr>
                <w:rFonts w:cstheme="minorHAnsi"/>
                <w:b/>
                <w:bCs/>
              </w:rPr>
            </w:pPr>
            <w:r w:rsidRPr="00A07609">
              <w:rPr>
                <w:rFonts w:cstheme="minorHAnsi"/>
                <w:b/>
                <w:bCs/>
              </w:rPr>
              <w:t>5.1</w:t>
            </w:r>
          </w:p>
        </w:tc>
        <w:tc>
          <w:tcPr>
            <w:tcW w:w="496" w:type="pct"/>
            <w:tcBorders>
              <w:top w:val="single" w:sz="4" w:space="0" w:color="000000" w:themeColor="text1"/>
              <w:left w:val="nil"/>
              <w:bottom w:val="nil"/>
              <w:right w:val="nil"/>
            </w:tcBorders>
            <w:vAlign w:val="bottom"/>
            <w:hideMark/>
          </w:tcPr>
          <w:p w14:paraId="6A6C133D" w14:textId="77777777" w:rsidR="00D75CA8" w:rsidRPr="00A07609" w:rsidRDefault="00D75CA8" w:rsidP="00D75CA8">
            <w:pPr>
              <w:widowControl w:val="0"/>
              <w:autoSpaceDE w:val="0"/>
              <w:autoSpaceDN w:val="0"/>
              <w:adjustRightInd w:val="0"/>
              <w:spacing w:after="0" w:line="240" w:lineRule="auto"/>
              <w:jc w:val="right"/>
              <w:rPr>
                <w:rFonts w:cstheme="minorHAnsi"/>
                <w:b/>
                <w:bCs/>
              </w:rPr>
            </w:pPr>
            <w:r w:rsidRPr="00A07609">
              <w:rPr>
                <w:rFonts w:cstheme="minorHAnsi"/>
                <w:b/>
                <w:bCs/>
              </w:rPr>
              <w:t>(3.9)</w:t>
            </w:r>
          </w:p>
        </w:tc>
        <w:tc>
          <w:tcPr>
            <w:tcW w:w="498" w:type="pct"/>
            <w:tcBorders>
              <w:top w:val="single" w:sz="4" w:space="0" w:color="000000" w:themeColor="text1"/>
              <w:left w:val="nil"/>
              <w:bottom w:val="nil"/>
              <w:right w:val="nil"/>
            </w:tcBorders>
            <w:vAlign w:val="bottom"/>
            <w:hideMark/>
          </w:tcPr>
          <w:p w14:paraId="4F2AEA2B" w14:textId="77777777" w:rsidR="00D75CA8" w:rsidRPr="00A07609" w:rsidRDefault="00D75CA8" w:rsidP="00D75CA8">
            <w:pPr>
              <w:widowControl w:val="0"/>
              <w:autoSpaceDE w:val="0"/>
              <w:autoSpaceDN w:val="0"/>
              <w:adjustRightInd w:val="0"/>
              <w:spacing w:after="0" w:line="240" w:lineRule="auto"/>
              <w:jc w:val="right"/>
              <w:rPr>
                <w:rFonts w:cstheme="minorHAnsi"/>
                <w:b/>
                <w:bCs/>
              </w:rPr>
            </w:pPr>
            <w:r w:rsidRPr="00A07609">
              <w:rPr>
                <w:rFonts w:cstheme="minorHAnsi"/>
                <w:b/>
                <w:bCs/>
              </w:rPr>
              <w:t>1.2</w:t>
            </w:r>
          </w:p>
        </w:tc>
        <w:tc>
          <w:tcPr>
            <w:tcW w:w="496" w:type="pct"/>
            <w:tcBorders>
              <w:top w:val="single" w:sz="4" w:space="0" w:color="000000" w:themeColor="text1"/>
              <w:left w:val="nil"/>
              <w:bottom w:val="nil"/>
              <w:right w:val="nil"/>
            </w:tcBorders>
            <w:vAlign w:val="bottom"/>
            <w:hideMark/>
          </w:tcPr>
          <w:p w14:paraId="3C6659C0"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rPr>
              <w:t>9.2</w:t>
            </w:r>
          </w:p>
        </w:tc>
        <w:tc>
          <w:tcPr>
            <w:tcW w:w="496" w:type="pct"/>
            <w:tcBorders>
              <w:top w:val="single" w:sz="4" w:space="0" w:color="000000" w:themeColor="text1"/>
              <w:left w:val="nil"/>
              <w:bottom w:val="nil"/>
              <w:right w:val="nil"/>
            </w:tcBorders>
            <w:vAlign w:val="bottom"/>
            <w:hideMark/>
          </w:tcPr>
          <w:p w14:paraId="3D8DE454"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(0.2)</w:t>
            </w:r>
          </w:p>
        </w:tc>
        <w:tc>
          <w:tcPr>
            <w:tcW w:w="498" w:type="pct"/>
            <w:tcBorders>
              <w:top w:val="single" w:sz="4" w:space="0" w:color="000000" w:themeColor="text1"/>
              <w:left w:val="nil"/>
              <w:bottom w:val="nil"/>
              <w:right w:val="nil"/>
            </w:tcBorders>
            <w:vAlign w:val="bottom"/>
            <w:hideMark/>
          </w:tcPr>
          <w:p w14:paraId="077D5298"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9.0</w:t>
            </w:r>
          </w:p>
        </w:tc>
      </w:tr>
      <w:tr w:rsidR="00D75CA8" w:rsidRPr="00D80ACC" w14:paraId="5D1A7153" w14:textId="77777777" w:rsidTr="00D75CA8">
        <w:tc>
          <w:tcPr>
            <w:tcW w:w="1630" w:type="pct"/>
            <w:tcBorders>
              <w:top w:val="nil"/>
              <w:left w:val="nil"/>
              <w:bottom w:val="single" w:sz="4" w:space="0" w:color="000000" w:themeColor="text1"/>
              <w:right w:val="nil"/>
            </w:tcBorders>
            <w:vAlign w:val="bottom"/>
            <w:hideMark/>
          </w:tcPr>
          <w:p w14:paraId="51CDFE8C"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Taxation</w:t>
            </w:r>
          </w:p>
        </w:tc>
        <w:tc>
          <w:tcPr>
            <w:tcW w:w="390" w:type="pct"/>
            <w:tcBorders>
              <w:top w:val="nil"/>
              <w:left w:val="nil"/>
              <w:bottom w:val="single" w:sz="4" w:space="0" w:color="000000" w:themeColor="text1"/>
              <w:right w:val="nil"/>
            </w:tcBorders>
            <w:vAlign w:val="bottom"/>
            <w:hideMark/>
          </w:tcPr>
          <w:p w14:paraId="66AB2FFA" w14:textId="77777777" w:rsidR="00D75CA8" w:rsidRPr="00D80ACC" w:rsidRDefault="00D75CA8" w:rsidP="00D75CA8">
            <w:pPr>
              <w:widowControl w:val="0"/>
              <w:autoSpaceDE w:val="0"/>
              <w:autoSpaceDN w:val="0"/>
              <w:adjustRightInd w:val="0"/>
              <w:spacing w:after="0" w:line="240" w:lineRule="auto"/>
              <w:jc w:val="right"/>
              <w:rPr>
                <w:rFonts w:cstheme="minorHAnsi"/>
              </w:rPr>
            </w:pPr>
            <w:r>
              <w:rPr>
                <w:rFonts w:cstheme="minorHAnsi"/>
              </w:rPr>
              <w:t>4</w:t>
            </w:r>
          </w:p>
        </w:tc>
        <w:tc>
          <w:tcPr>
            <w:tcW w:w="496" w:type="pct"/>
            <w:tcBorders>
              <w:top w:val="nil"/>
              <w:left w:val="nil"/>
              <w:bottom w:val="single" w:sz="4" w:space="0" w:color="000000" w:themeColor="text1"/>
              <w:right w:val="nil"/>
            </w:tcBorders>
            <w:vAlign w:val="bottom"/>
            <w:hideMark/>
          </w:tcPr>
          <w:p w14:paraId="505C71F8"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 xml:space="preserve">     (0.8)</w:t>
            </w:r>
          </w:p>
        </w:tc>
        <w:tc>
          <w:tcPr>
            <w:tcW w:w="496" w:type="pct"/>
            <w:tcBorders>
              <w:top w:val="nil"/>
              <w:left w:val="nil"/>
              <w:bottom w:val="single" w:sz="4" w:space="0" w:color="000000" w:themeColor="text1"/>
              <w:right w:val="nil"/>
            </w:tcBorders>
            <w:vAlign w:val="bottom"/>
            <w:hideMark/>
          </w:tcPr>
          <w:p w14:paraId="058D235E"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0.8</w:t>
            </w:r>
          </w:p>
        </w:tc>
        <w:tc>
          <w:tcPr>
            <w:tcW w:w="498" w:type="pct"/>
            <w:tcBorders>
              <w:top w:val="nil"/>
              <w:left w:val="nil"/>
              <w:bottom w:val="single" w:sz="4" w:space="0" w:color="000000" w:themeColor="text1"/>
              <w:right w:val="nil"/>
            </w:tcBorders>
            <w:vAlign w:val="bottom"/>
            <w:hideMark/>
          </w:tcPr>
          <w:p w14:paraId="129292AF"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w:t>
            </w:r>
          </w:p>
        </w:tc>
        <w:tc>
          <w:tcPr>
            <w:tcW w:w="496" w:type="pct"/>
            <w:tcBorders>
              <w:top w:val="nil"/>
              <w:left w:val="nil"/>
              <w:bottom w:val="single" w:sz="4" w:space="0" w:color="000000" w:themeColor="text1"/>
              <w:right w:val="nil"/>
            </w:tcBorders>
            <w:vAlign w:val="bottom"/>
            <w:hideMark/>
          </w:tcPr>
          <w:p w14:paraId="1C120CA2"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 xml:space="preserve">     (1.2)</w:t>
            </w:r>
          </w:p>
        </w:tc>
        <w:tc>
          <w:tcPr>
            <w:tcW w:w="496" w:type="pct"/>
            <w:tcBorders>
              <w:top w:val="nil"/>
              <w:left w:val="nil"/>
              <w:bottom w:val="single" w:sz="4" w:space="0" w:color="000000" w:themeColor="text1"/>
              <w:right w:val="nil"/>
            </w:tcBorders>
            <w:vAlign w:val="bottom"/>
            <w:hideMark/>
          </w:tcPr>
          <w:p w14:paraId="7B7B5A25"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w:t>
            </w:r>
          </w:p>
        </w:tc>
        <w:tc>
          <w:tcPr>
            <w:tcW w:w="498" w:type="pct"/>
            <w:tcBorders>
              <w:top w:val="nil"/>
              <w:left w:val="nil"/>
              <w:bottom w:val="single" w:sz="4" w:space="0" w:color="000000" w:themeColor="text1"/>
              <w:right w:val="nil"/>
            </w:tcBorders>
            <w:vAlign w:val="bottom"/>
            <w:hideMark/>
          </w:tcPr>
          <w:p w14:paraId="463E3F98"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(1.2)</w:t>
            </w:r>
          </w:p>
        </w:tc>
      </w:tr>
      <w:tr w:rsidR="00D75CA8" w:rsidRPr="00D80ACC" w14:paraId="6CB90925" w14:textId="77777777" w:rsidTr="00D75CA8">
        <w:tc>
          <w:tcPr>
            <w:tcW w:w="1630" w:type="pct"/>
            <w:tcBorders>
              <w:top w:val="single" w:sz="4" w:space="0" w:color="000000" w:themeColor="text1"/>
              <w:left w:val="nil"/>
              <w:bottom w:val="single" w:sz="12" w:space="0" w:color="000000" w:themeColor="text1"/>
              <w:right w:val="nil"/>
            </w:tcBorders>
            <w:vAlign w:val="bottom"/>
            <w:hideMark/>
          </w:tcPr>
          <w:p w14:paraId="5A7A6574"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t>Profit for the financial year</w:t>
            </w:r>
          </w:p>
        </w:tc>
        <w:tc>
          <w:tcPr>
            <w:tcW w:w="390" w:type="pct"/>
            <w:tcBorders>
              <w:top w:val="single" w:sz="4" w:space="0" w:color="000000" w:themeColor="text1"/>
              <w:left w:val="nil"/>
              <w:bottom w:val="single" w:sz="12" w:space="0" w:color="000000" w:themeColor="text1"/>
              <w:right w:val="nil"/>
            </w:tcBorders>
            <w:vAlign w:val="bottom"/>
          </w:tcPr>
          <w:p w14:paraId="2492E6FD"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496" w:type="pct"/>
            <w:tcBorders>
              <w:top w:val="single" w:sz="4" w:space="0" w:color="000000" w:themeColor="text1"/>
              <w:left w:val="nil"/>
              <w:bottom w:val="single" w:sz="12" w:space="0" w:color="000000" w:themeColor="text1"/>
              <w:right w:val="nil"/>
            </w:tcBorders>
            <w:vAlign w:val="bottom"/>
            <w:hideMark/>
          </w:tcPr>
          <w:p w14:paraId="32B43534" w14:textId="77777777" w:rsidR="00D75CA8" w:rsidRPr="00A07609" w:rsidRDefault="00D75CA8" w:rsidP="00D75CA8">
            <w:pPr>
              <w:widowControl w:val="0"/>
              <w:autoSpaceDE w:val="0"/>
              <w:autoSpaceDN w:val="0"/>
              <w:adjustRightInd w:val="0"/>
              <w:spacing w:after="0" w:line="240" w:lineRule="auto"/>
              <w:jc w:val="right"/>
              <w:rPr>
                <w:rFonts w:cstheme="minorHAnsi"/>
                <w:b/>
                <w:bCs/>
              </w:rPr>
            </w:pPr>
            <w:r w:rsidRPr="00A07609">
              <w:rPr>
                <w:rFonts w:cstheme="minorHAnsi"/>
                <w:b/>
                <w:bCs/>
              </w:rPr>
              <w:t>4.3</w:t>
            </w:r>
          </w:p>
        </w:tc>
        <w:tc>
          <w:tcPr>
            <w:tcW w:w="496" w:type="pct"/>
            <w:tcBorders>
              <w:top w:val="single" w:sz="4" w:space="0" w:color="000000" w:themeColor="text1"/>
              <w:left w:val="nil"/>
              <w:bottom w:val="single" w:sz="12" w:space="0" w:color="000000" w:themeColor="text1"/>
              <w:right w:val="nil"/>
            </w:tcBorders>
            <w:vAlign w:val="bottom"/>
            <w:hideMark/>
          </w:tcPr>
          <w:p w14:paraId="4669D5B2" w14:textId="77777777" w:rsidR="00D75CA8" w:rsidRPr="00A07609" w:rsidRDefault="00D75CA8" w:rsidP="00D75CA8">
            <w:pPr>
              <w:widowControl w:val="0"/>
              <w:autoSpaceDE w:val="0"/>
              <w:autoSpaceDN w:val="0"/>
              <w:adjustRightInd w:val="0"/>
              <w:spacing w:after="0" w:line="240" w:lineRule="auto"/>
              <w:jc w:val="right"/>
              <w:rPr>
                <w:rFonts w:cstheme="minorHAnsi"/>
                <w:b/>
                <w:bCs/>
              </w:rPr>
            </w:pPr>
            <w:r w:rsidRPr="00A07609">
              <w:rPr>
                <w:rFonts w:cstheme="minorHAnsi"/>
                <w:b/>
                <w:bCs/>
              </w:rPr>
              <w:t>(3.1)</w:t>
            </w:r>
          </w:p>
        </w:tc>
        <w:tc>
          <w:tcPr>
            <w:tcW w:w="498" w:type="pct"/>
            <w:tcBorders>
              <w:top w:val="single" w:sz="4" w:space="0" w:color="000000" w:themeColor="text1"/>
              <w:left w:val="nil"/>
              <w:bottom w:val="single" w:sz="12" w:space="0" w:color="000000" w:themeColor="text1"/>
              <w:right w:val="nil"/>
            </w:tcBorders>
            <w:vAlign w:val="bottom"/>
            <w:hideMark/>
          </w:tcPr>
          <w:p w14:paraId="6537E447" w14:textId="77777777" w:rsidR="00D75CA8" w:rsidRPr="00A07609" w:rsidRDefault="00D75CA8" w:rsidP="00D75CA8">
            <w:pPr>
              <w:widowControl w:val="0"/>
              <w:autoSpaceDE w:val="0"/>
              <w:autoSpaceDN w:val="0"/>
              <w:adjustRightInd w:val="0"/>
              <w:spacing w:after="0" w:line="240" w:lineRule="auto"/>
              <w:jc w:val="right"/>
              <w:rPr>
                <w:rFonts w:cstheme="minorHAnsi"/>
                <w:b/>
                <w:bCs/>
              </w:rPr>
            </w:pPr>
            <w:r w:rsidRPr="00A07609">
              <w:rPr>
                <w:rFonts w:cstheme="minorHAnsi"/>
                <w:b/>
                <w:bCs/>
              </w:rPr>
              <w:t>1.2</w:t>
            </w:r>
          </w:p>
        </w:tc>
        <w:tc>
          <w:tcPr>
            <w:tcW w:w="496" w:type="pct"/>
            <w:tcBorders>
              <w:top w:val="single" w:sz="4" w:space="0" w:color="000000" w:themeColor="text1"/>
              <w:left w:val="nil"/>
              <w:bottom w:val="single" w:sz="12" w:space="0" w:color="000000" w:themeColor="text1"/>
              <w:right w:val="nil"/>
            </w:tcBorders>
            <w:vAlign w:val="bottom"/>
            <w:hideMark/>
          </w:tcPr>
          <w:p w14:paraId="2C3D7719"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8.0</w:t>
            </w:r>
          </w:p>
        </w:tc>
        <w:tc>
          <w:tcPr>
            <w:tcW w:w="496" w:type="pct"/>
            <w:tcBorders>
              <w:top w:val="single" w:sz="4" w:space="0" w:color="000000" w:themeColor="text1"/>
              <w:left w:val="nil"/>
              <w:bottom w:val="single" w:sz="12" w:space="0" w:color="000000" w:themeColor="text1"/>
              <w:right w:val="nil"/>
            </w:tcBorders>
            <w:vAlign w:val="bottom"/>
            <w:hideMark/>
          </w:tcPr>
          <w:p w14:paraId="4D0EC4DC"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(0.2)</w:t>
            </w:r>
          </w:p>
        </w:tc>
        <w:tc>
          <w:tcPr>
            <w:tcW w:w="498" w:type="pct"/>
            <w:tcBorders>
              <w:top w:val="single" w:sz="4" w:space="0" w:color="000000" w:themeColor="text1"/>
              <w:left w:val="nil"/>
              <w:bottom w:val="single" w:sz="12" w:space="0" w:color="000000" w:themeColor="text1"/>
              <w:right w:val="nil"/>
            </w:tcBorders>
            <w:vAlign w:val="bottom"/>
            <w:hideMark/>
          </w:tcPr>
          <w:p w14:paraId="4AA31066"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7.8</w:t>
            </w:r>
          </w:p>
        </w:tc>
      </w:tr>
      <w:tr w:rsidR="00D75CA8" w:rsidRPr="00D80ACC" w14:paraId="124BCC9E" w14:textId="77777777" w:rsidTr="00D75CA8">
        <w:tc>
          <w:tcPr>
            <w:tcW w:w="1630" w:type="pct"/>
            <w:tcBorders>
              <w:top w:val="single" w:sz="12" w:space="0" w:color="000000" w:themeColor="text1"/>
              <w:left w:val="nil"/>
              <w:bottom w:val="nil"/>
              <w:right w:val="nil"/>
            </w:tcBorders>
            <w:vAlign w:val="bottom"/>
            <w:hideMark/>
          </w:tcPr>
          <w:p w14:paraId="11A0C675"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t>Earnings per share</w:t>
            </w:r>
          </w:p>
        </w:tc>
        <w:tc>
          <w:tcPr>
            <w:tcW w:w="390" w:type="pct"/>
            <w:tcBorders>
              <w:top w:val="single" w:sz="12" w:space="0" w:color="000000" w:themeColor="text1"/>
              <w:left w:val="nil"/>
              <w:bottom w:val="nil"/>
              <w:right w:val="nil"/>
            </w:tcBorders>
            <w:vAlign w:val="bottom"/>
          </w:tcPr>
          <w:p w14:paraId="5FEA2D46"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496" w:type="pct"/>
            <w:tcBorders>
              <w:top w:val="single" w:sz="12" w:space="0" w:color="000000" w:themeColor="text1"/>
              <w:left w:val="nil"/>
              <w:bottom w:val="nil"/>
              <w:right w:val="nil"/>
            </w:tcBorders>
            <w:vAlign w:val="bottom"/>
          </w:tcPr>
          <w:p w14:paraId="35D7CE2B" w14:textId="77777777" w:rsidR="00D75CA8" w:rsidRPr="004B30F5" w:rsidRDefault="00D75CA8" w:rsidP="00D75CA8">
            <w:pPr>
              <w:widowControl w:val="0"/>
              <w:autoSpaceDE w:val="0"/>
              <w:autoSpaceDN w:val="0"/>
              <w:adjustRightInd w:val="0"/>
              <w:spacing w:after="0" w:line="240" w:lineRule="auto"/>
              <w:jc w:val="right"/>
              <w:rPr>
                <w:rFonts w:cstheme="minorHAnsi"/>
                <w:highlight w:val="yellow"/>
              </w:rPr>
            </w:pPr>
          </w:p>
        </w:tc>
        <w:tc>
          <w:tcPr>
            <w:tcW w:w="496" w:type="pct"/>
            <w:tcBorders>
              <w:top w:val="single" w:sz="12" w:space="0" w:color="000000" w:themeColor="text1"/>
              <w:left w:val="nil"/>
              <w:bottom w:val="nil"/>
              <w:right w:val="nil"/>
            </w:tcBorders>
            <w:vAlign w:val="bottom"/>
          </w:tcPr>
          <w:p w14:paraId="330D0523" w14:textId="77777777" w:rsidR="00D75CA8" w:rsidRPr="004B30F5" w:rsidRDefault="00D75CA8" w:rsidP="00D75CA8">
            <w:pPr>
              <w:widowControl w:val="0"/>
              <w:autoSpaceDE w:val="0"/>
              <w:autoSpaceDN w:val="0"/>
              <w:adjustRightInd w:val="0"/>
              <w:spacing w:after="0" w:line="240" w:lineRule="auto"/>
              <w:jc w:val="right"/>
              <w:rPr>
                <w:rFonts w:cstheme="minorHAnsi"/>
                <w:highlight w:val="yellow"/>
              </w:rPr>
            </w:pPr>
          </w:p>
        </w:tc>
        <w:tc>
          <w:tcPr>
            <w:tcW w:w="498" w:type="pct"/>
            <w:tcBorders>
              <w:top w:val="single" w:sz="12" w:space="0" w:color="000000" w:themeColor="text1"/>
              <w:left w:val="nil"/>
              <w:bottom w:val="nil"/>
              <w:right w:val="nil"/>
            </w:tcBorders>
            <w:vAlign w:val="bottom"/>
          </w:tcPr>
          <w:p w14:paraId="158AEE6D" w14:textId="77777777" w:rsidR="00D75CA8" w:rsidRPr="004B30F5" w:rsidRDefault="00D75CA8" w:rsidP="00D75CA8">
            <w:pPr>
              <w:widowControl w:val="0"/>
              <w:autoSpaceDE w:val="0"/>
              <w:autoSpaceDN w:val="0"/>
              <w:adjustRightInd w:val="0"/>
              <w:spacing w:after="0" w:line="240" w:lineRule="auto"/>
              <w:jc w:val="right"/>
              <w:rPr>
                <w:rFonts w:cstheme="minorHAnsi"/>
                <w:highlight w:val="yellow"/>
              </w:rPr>
            </w:pPr>
          </w:p>
        </w:tc>
        <w:tc>
          <w:tcPr>
            <w:tcW w:w="496" w:type="pct"/>
            <w:tcBorders>
              <w:top w:val="single" w:sz="12" w:space="0" w:color="000000" w:themeColor="text1"/>
              <w:left w:val="nil"/>
              <w:bottom w:val="nil"/>
              <w:right w:val="nil"/>
            </w:tcBorders>
            <w:vAlign w:val="bottom"/>
          </w:tcPr>
          <w:p w14:paraId="0DE995DB" w14:textId="77777777" w:rsidR="00D75CA8" w:rsidRPr="004B30F5" w:rsidRDefault="00D75CA8" w:rsidP="00D75CA8">
            <w:pPr>
              <w:widowControl w:val="0"/>
              <w:autoSpaceDE w:val="0"/>
              <w:autoSpaceDN w:val="0"/>
              <w:adjustRightInd w:val="0"/>
              <w:spacing w:after="0" w:line="240" w:lineRule="auto"/>
              <w:jc w:val="right"/>
              <w:rPr>
                <w:rFonts w:cstheme="minorHAnsi"/>
              </w:rPr>
            </w:pPr>
          </w:p>
        </w:tc>
        <w:tc>
          <w:tcPr>
            <w:tcW w:w="496" w:type="pct"/>
            <w:tcBorders>
              <w:top w:val="single" w:sz="12" w:space="0" w:color="000000" w:themeColor="text1"/>
              <w:left w:val="nil"/>
              <w:bottom w:val="nil"/>
              <w:right w:val="nil"/>
            </w:tcBorders>
            <w:vAlign w:val="bottom"/>
          </w:tcPr>
          <w:p w14:paraId="5526A642" w14:textId="77777777" w:rsidR="00D75CA8" w:rsidRPr="004B30F5" w:rsidRDefault="00D75CA8" w:rsidP="00D75CA8">
            <w:pPr>
              <w:widowControl w:val="0"/>
              <w:autoSpaceDE w:val="0"/>
              <w:autoSpaceDN w:val="0"/>
              <w:adjustRightInd w:val="0"/>
              <w:spacing w:after="0" w:line="240" w:lineRule="auto"/>
              <w:jc w:val="right"/>
              <w:rPr>
                <w:rFonts w:cstheme="minorHAnsi"/>
              </w:rPr>
            </w:pPr>
          </w:p>
        </w:tc>
        <w:tc>
          <w:tcPr>
            <w:tcW w:w="498" w:type="pct"/>
            <w:tcBorders>
              <w:top w:val="single" w:sz="12" w:space="0" w:color="000000" w:themeColor="text1"/>
              <w:left w:val="nil"/>
              <w:bottom w:val="nil"/>
              <w:right w:val="nil"/>
            </w:tcBorders>
            <w:vAlign w:val="bottom"/>
          </w:tcPr>
          <w:p w14:paraId="46C5188E" w14:textId="77777777" w:rsidR="00D75CA8" w:rsidRPr="004B30F5" w:rsidRDefault="00D75CA8" w:rsidP="00D75CA8">
            <w:pPr>
              <w:widowControl w:val="0"/>
              <w:autoSpaceDE w:val="0"/>
              <w:autoSpaceDN w:val="0"/>
              <w:adjustRightInd w:val="0"/>
              <w:spacing w:after="0" w:line="240" w:lineRule="auto"/>
              <w:jc w:val="right"/>
              <w:rPr>
                <w:rFonts w:cstheme="minorHAnsi"/>
              </w:rPr>
            </w:pPr>
          </w:p>
        </w:tc>
      </w:tr>
      <w:tr w:rsidR="00D75CA8" w:rsidRPr="00D80ACC" w14:paraId="25FB9E4A" w14:textId="77777777" w:rsidTr="00D75CA8">
        <w:tc>
          <w:tcPr>
            <w:tcW w:w="1630" w:type="pct"/>
            <w:vAlign w:val="bottom"/>
            <w:hideMark/>
          </w:tcPr>
          <w:p w14:paraId="00F57263"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Attributable to owners of TClarke plc</w:t>
            </w:r>
          </w:p>
        </w:tc>
        <w:tc>
          <w:tcPr>
            <w:tcW w:w="390" w:type="pct"/>
            <w:vAlign w:val="bottom"/>
          </w:tcPr>
          <w:p w14:paraId="63320127"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496" w:type="pct"/>
            <w:vAlign w:val="bottom"/>
          </w:tcPr>
          <w:p w14:paraId="1063100F" w14:textId="77777777" w:rsidR="00D75CA8" w:rsidRPr="004B30F5" w:rsidRDefault="00D75CA8" w:rsidP="00D75CA8">
            <w:pPr>
              <w:widowControl w:val="0"/>
              <w:autoSpaceDE w:val="0"/>
              <w:autoSpaceDN w:val="0"/>
              <w:adjustRightInd w:val="0"/>
              <w:spacing w:after="0" w:line="240" w:lineRule="auto"/>
              <w:jc w:val="right"/>
              <w:rPr>
                <w:rFonts w:cstheme="minorHAnsi"/>
                <w:highlight w:val="yellow"/>
              </w:rPr>
            </w:pPr>
          </w:p>
        </w:tc>
        <w:tc>
          <w:tcPr>
            <w:tcW w:w="496" w:type="pct"/>
            <w:vAlign w:val="bottom"/>
          </w:tcPr>
          <w:p w14:paraId="436BDB0D" w14:textId="77777777" w:rsidR="00D75CA8" w:rsidRPr="004B30F5" w:rsidRDefault="00D75CA8" w:rsidP="00D75CA8">
            <w:pPr>
              <w:widowControl w:val="0"/>
              <w:autoSpaceDE w:val="0"/>
              <w:autoSpaceDN w:val="0"/>
              <w:adjustRightInd w:val="0"/>
              <w:spacing w:after="0" w:line="240" w:lineRule="auto"/>
              <w:jc w:val="right"/>
              <w:rPr>
                <w:rFonts w:cstheme="minorHAnsi"/>
                <w:highlight w:val="yellow"/>
              </w:rPr>
            </w:pPr>
          </w:p>
        </w:tc>
        <w:tc>
          <w:tcPr>
            <w:tcW w:w="498" w:type="pct"/>
            <w:vAlign w:val="bottom"/>
          </w:tcPr>
          <w:p w14:paraId="1BBF6621" w14:textId="77777777" w:rsidR="00D75CA8" w:rsidRPr="004B30F5" w:rsidRDefault="00D75CA8" w:rsidP="00D75CA8">
            <w:pPr>
              <w:widowControl w:val="0"/>
              <w:autoSpaceDE w:val="0"/>
              <w:autoSpaceDN w:val="0"/>
              <w:adjustRightInd w:val="0"/>
              <w:spacing w:after="0" w:line="240" w:lineRule="auto"/>
              <w:jc w:val="right"/>
              <w:rPr>
                <w:rFonts w:cstheme="minorHAnsi"/>
                <w:highlight w:val="yellow"/>
              </w:rPr>
            </w:pPr>
          </w:p>
        </w:tc>
        <w:tc>
          <w:tcPr>
            <w:tcW w:w="496" w:type="pct"/>
            <w:vAlign w:val="bottom"/>
          </w:tcPr>
          <w:p w14:paraId="18BDC2C1" w14:textId="77777777" w:rsidR="00D75CA8" w:rsidRPr="004B30F5" w:rsidRDefault="00D75CA8" w:rsidP="00D75CA8">
            <w:pPr>
              <w:widowControl w:val="0"/>
              <w:autoSpaceDE w:val="0"/>
              <w:autoSpaceDN w:val="0"/>
              <w:adjustRightInd w:val="0"/>
              <w:spacing w:after="0" w:line="240" w:lineRule="auto"/>
              <w:jc w:val="right"/>
              <w:rPr>
                <w:rFonts w:cstheme="minorHAnsi"/>
              </w:rPr>
            </w:pPr>
          </w:p>
        </w:tc>
        <w:tc>
          <w:tcPr>
            <w:tcW w:w="496" w:type="pct"/>
            <w:vAlign w:val="bottom"/>
          </w:tcPr>
          <w:p w14:paraId="42E51385" w14:textId="77777777" w:rsidR="00D75CA8" w:rsidRPr="004B30F5" w:rsidRDefault="00D75CA8" w:rsidP="00D75CA8">
            <w:pPr>
              <w:widowControl w:val="0"/>
              <w:autoSpaceDE w:val="0"/>
              <w:autoSpaceDN w:val="0"/>
              <w:adjustRightInd w:val="0"/>
              <w:spacing w:after="0" w:line="240" w:lineRule="auto"/>
              <w:jc w:val="right"/>
              <w:rPr>
                <w:rFonts w:cstheme="minorHAnsi"/>
              </w:rPr>
            </w:pPr>
          </w:p>
        </w:tc>
        <w:tc>
          <w:tcPr>
            <w:tcW w:w="498" w:type="pct"/>
            <w:vAlign w:val="bottom"/>
          </w:tcPr>
          <w:p w14:paraId="692AB200" w14:textId="77777777" w:rsidR="00D75CA8" w:rsidRPr="004B30F5" w:rsidRDefault="00D75CA8" w:rsidP="00D75CA8">
            <w:pPr>
              <w:widowControl w:val="0"/>
              <w:autoSpaceDE w:val="0"/>
              <w:autoSpaceDN w:val="0"/>
              <w:adjustRightInd w:val="0"/>
              <w:spacing w:after="0" w:line="240" w:lineRule="auto"/>
              <w:jc w:val="right"/>
              <w:rPr>
                <w:rFonts w:cstheme="minorHAnsi"/>
              </w:rPr>
            </w:pPr>
          </w:p>
        </w:tc>
      </w:tr>
      <w:tr w:rsidR="00D75CA8" w:rsidRPr="00D80ACC" w14:paraId="352D9375" w14:textId="77777777" w:rsidTr="00D75CA8">
        <w:tc>
          <w:tcPr>
            <w:tcW w:w="1630" w:type="pct"/>
            <w:vAlign w:val="bottom"/>
            <w:hideMark/>
          </w:tcPr>
          <w:p w14:paraId="40F45320" w14:textId="77777777" w:rsidR="00D75CA8" w:rsidRPr="00D80ACC" w:rsidRDefault="00D75CA8" w:rsidP="00D75CA8">
            <w:pPr>
              <w:widowControl w:val="0"/>
              <w:autoSpaceDE w:val="0"/>
              <w:autoSpaceDN w:val="0"/>
              <w:adjustRightInd w:val="0"/>
              <w:spacing w:after="0" w:line="240" w:lineRule="auto"/>
              <w:ind w:left="144"/>
              <w:rPr>
                <w:rFonts w:cstheme="minorHAnsi"/>
              </w:rPr>
            </w:pPr>
            <w:r w:rsidRPr="00D80ACC">
              <w:rPr>
                <w:rFonts w:cstheme="minorHAnsi"/>
              </w:rPr>
              <w:t>Basic</w:t>
            </w:r>
          </w:p>
        </w:tc>
        <w:tc>
          <w:tcPr>
            <w:tcW w:w="390" w:type="pct"/>
            <w:vAlign w:val="bottom"/>
            <w:hideMark/>
          </w:tcPr>
          <w:p w14:paraId="7825CF15" w14:textId="77777777" w:rsidR="00D75CA8" w:rsidRPr="00D80ACC" w:rsidRDefault="00D75CA8" w:rsidP="00D75CA8">
            <w:pPr>
              <w:widowControl w:val="0"/>
              <w:autoSpaceDE w:val="0"/>
              <w:autoSpaceDN w:val="0"/>
              <w:adjustRightInd w:val="0"/>
              <w:spacing w:after="0" w:line="240" w:lineRule="auto"/>
              <w:jc w:val="right"/>
              <w:rPr>
                <w:rFonts w:cstheme="minorHAnsi"/>
              </w:rPr>
            </w:pPr>
            <w:r>
              <w:rPr>
                <w:rFonts w:cstheme="minorHAnsi"/>
              </w:rPr>
              <w:t>5</w:t>
            </w:r>
          </w:p>
        </w:tc>
        <w:tc>
          <w:tcPr>
            <w:tcW w:w="496" w:type="pct"/>
            <w:vAlign w:val="bottom"/>
            <w:hideMark/>
          </w:tcPr>
          <w:p w14:paraId="5D865E60"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10.29p</w:t>
            </w:r>
          </w:p>
        </w:tc>
        <w:tc>
          <w:tcPr>
            <w:tcW w:w="496" w:type="pct"/>
            <w:vAlign w:val="bottom"/>
            <w:hideMark/>
          </w:tcPr>
          <w:p w14:paraId="06DF6B8F"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w:t>
            </w:r>
            <w:proofErr w:type="gramStart"/>
            <w:r w:rsidRPr="00A07609">
              <w:rPr>
                <w:rFonts w:cstheme="minorHAnsi"/>
                <w:b/>
                <w:bCs/>
              </w:rPr>
              <w:t>7.42)p</w:t>
            </w:r>
            <w:proofErr w:type="gramEnd"/>
          </w:p>
        </w:tc>
        <w:tc>
          <w:tcPr>
            <w:tcW w:w="498" w:type="pct"/>
            <w:vAlign w:val="bottom"/>
            <w:hideMark/>
          </w:tcPr>
          <w:p w14:paraId="442E08E4"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2.87p</w:t>
            </w:r>
          </w:p>
        </w:tc>
        <w:tc>
          <w:tcPr>
            <w:tcW w:w="496" w:type="pct"/>
            <w:vAlign w:val="bottom"/>
            <w:hideMark/>
          </w:tcPr>
          <w:p w14:paraId="3517F8A8"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18.81p</w:t>
            </w:r>
          </w:p>
        </w:tc>
        <w:tc>
          <w:tcPr>
            <w:tcW w:w="496" w:type="pct"/>
            <w:vAlign w:val="bottom"/>
            <w:hideMark/>
          </w:tcPr>
          <w:p w14:paraId="73AB1919"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w:t>
            </w:r>
            <w:proofErr w:type="gramStart"/>
            <w:r w:rsidRPr="004B30F5">
              <w:rPr>
                <w:rFonts w:cstheme="minorHAnsi"/>
              </w:rPr>
              <w:t>0.44)p</w:t>
            </w:r>
            <w:proofErr w:type="gramEnd"/>
          </w:p>
        </w:tc>
        <w:tc>
          <w:tcPr>
            <w:tcW w:w="498" w:type="pct"/>
            <w:vAlign w:val="bottom"/>
            <w:hideMark/>
          </w:tcPr>
          <w:p w14:paraId="05EECCA5"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18.37p</w:t>
            </w:r>
          </w:p>
        </w:tc>
      </w:tr>
      <w:tr w:rsidR="00D75CA8" w:rsidRPr="00D80ACC" w14:paraId="473660F3" w14:textId="77777777" w:rsidTr="00D75CA8">
        <w:tc>
          <w:tcPr>
            <w:tcW w:w="1630" w:type="pct"/>
            <w:tcBorders>
              <w:top w:val="nil"/>
              <w:left w:val="nil"/>
              <w:bottom w:val="single" w:sz="12" w:space="0" w:color="000000" w:themeColor="text1"/>
              <w:right w:val="nil"/>
            </w:tcBorders>
            <w:vAlign w:val="bottom"/>
            <w:hideMark/>
          </w:tcPr>
          <w:p w14:paraId="307ECE37" w14:textId="77777777" w:rsidR="00D75CA8" w:rsidRPr="00D80ACC" w:rsidRDefault="00D75CA8" w:rsidP="00D75CA8">
            <w:pPr>
              <w:widowControl w:val="0"/>
              <w:autoSpaceDE w:val="0"/>
              <w:autoSpaceDN w:val="0"/>
              <w:adjustRightInd w:val="0"/>
              <w:spacing w:after="0" w:line="240" w:lineRule="auto"/>
              <w:ind w:left="144"/>
              <w:rPr>
                <w:rFonts w:cstheme="minorHAnsi"/>
              </w:rPr>
            </w:pPr>
            <w:r w:rsidRPr="00D80ACC">
              <w:rPr>
                <w:rFonts w:cstheme="minorHAnsi"/>
              </w:rPr>
              <w:t>Diluted</w:t>
            </w:r>
          </w:p>
        </w:tc>
        <w:tc>
          <w:tcPr>
            <w:tcW w:w="390" w:type="pct"/>
            <w:tcBorders>
              <w:top w:val="nil"/>
              <w:left w:val="nil"/>
              <w:bottom w:val="single" w:sz="12" w:space="0" w:color="000000" w:themeColor="text1"/>
              <w:right w:val="nil"/>
            </w:tcBorders>
            <w:vAlign w:val="bottom"/>
            <w:hideMark/>
          </w:tcPr>
          <w:p w14:paraId="0BB9DE3D" w14:textId="77777777" w:rsidR="00D75CA8" w:rsidRPr="00D80ACC" w:rsidRDefault="00D75CA8" w:rsidP="00D75CA8">
            <w:pPr>
              <w:widowControl w:val="0"/>
              <w:autoSpaceDE w:val="0"/>
              <w:autoSpaceDN w:val="0"/>
              <w:adjustRightInd w:val="0"/>
              <w:spacing w:after="0" w:line="240" w:lineRule="auto"/>
              <w:jc w:val="right"/>
              <w:rPr>
                <w:rFonts w:cstheme="minorHAnsi"/>
              </w:rPr>
            </w:pPr>
            <w:r>
              <w:rPr>
                <w:rFonts w:cstheme="minorHAnsi"/>
              </w:rPr>
              <w:t>5</w:t>
            </w:r>
          </w:p>
        </w:tc>
        <w:tc>
          <w:tcPr>
            <w:tcW w:w="496" w:type="pct"/>
            <w:tcBorders>
              <w:top w:val="nil"/>
              <w:left w:val="nil"/>
              <w:bottom w:val="single" w:sz="12" w:space="0" w:color="000000" w:themeColor="text1"/>
              <w:right w:val="nil"/>
            </w:tcBorders>
            <w:vAlign w:val="bottom"/>
            <w:hideMark/>
          </w:tcPr>
          <w:p w14:paraId="748F7DDC"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9.66p</w:t>
            </w:r>
          </w:p>
        </w:tc>
        <w:tc>
          <w:tcPr>
            <w:tcW w:w="496" w:type="pct"/>
            <w:tcBorders>
              <w:top w:val="nil"/>
              <w:left w:val="nil"/>
              <w:bottom w:val="single" w:sz="12" w:space="0" w:color="000000" w:themeColor="text1"/>
              <w:right w:val="nil"/>
            </w:tcBorders>
            <w:vAlign w:val="bottom"/>
            <w:hideMark/>
          </w:tcPr>
          <w:p w14:paraId="3FDC4780"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w:t>
            </w:r>
            <w:proofErr w:type="gramStart"/>
            <w:r w:rsidRPr="00A07609">
              <w:rPr>
                <w:rFonts w:cstheme="minorHAnsi"/>
                <w:b/>
                <w:bCs/>
              </w:rPr>
              <w:t>6.97)p</w:t>
            </w:r>
            <w:proofErr w:type="gramEnd"/>
          </w:p>
        </w:tc>
        <w:tc>
          <w:tcPr>
            <w:tcW w:w="498" w:type="pct"/>
            <w:tcBorders>
              <w:top w:val="nil"/>
              <w:left w:val="nil"/>
              <w:bottom w:val="single" w:sz="12" w:space="0" w:color="000000" w:themeColor="text1"/>
              <w:right w:val="nil"/>
            </w:tcBorders>
            <w:vAlign w:val="bottom"/>
            <w:hideMark/>
          </w:tcPr>
          <w:p w14:paraId="00AFC69B"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2.69p</w:t>
            </w:r>
          </w:p>
        </w:tc>
        <w:tc>
          <w:tcPr>
            <w:tcW w:w="496" w:type="pct"/>
            <w:tcBorders>
              <w:top w:val="nil"/>
              <w:left w:val="nil"/>
              <w:bottom w:val="single" w:sz="12" w:space="0" w:color="000000" w:themeColor="text1"/>
              <w:right w:val="nil"/>
            </w:tcBorders>
            <w:vAlign w:val="bottom"/>
            <w:hideMark/>
          </w:tcPr>
          <w:p w14:paraId="7262D843"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17.90p</w:t>
            </w:r>
          </w:p>
        </w:tc>
        <w:tc>
          <w:tcPr>
            <w:tcW w:w="496" w:type="pct"/>
            <w:tcBorders>
              <w:top w:val="nil"/>
              <w:left w:val="nil"/>
              <w:bottom w:val="single" w:sz="12" w:space="0" w:color="000000" w:themeColor="text1"/>
              <w:right w:val="nil"/>
            </w:tcBorders>
            <w:vAlign w:val="bottom"/>
            <w:hideMark/>
          </w:tcPr>
          <w:p w14:paraId="550F65C5"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w:t>
            </w:r>
            <w:proofErr w:type="gramStart"/>
            <w:r w:rsidRPr="004B30F5">
              <w:rPr>
                <w:rFonts w:cstheme="minorHAnsi"/>
              </w:rPr>
              <w:t>0.41)p</w:t>
            </w:r>
            <w:proofErr w:type="gramEnd"/>
          </w:p>
        </w:tc>
        <w:tc>
          <w:tcPr>
            <w:tcW w:w="498" w:type="pct"/>
            <w:tcBorders>
              <w:top w:val="nil"/>
              <w:left w:val="nil"/>
              <w:bottom w:val="single" w:sz="12" w:space="0" w:color="000000" w:themeColor="text1"/>
              <w:right w:val="nil"/>
            </w:tcBorders>
            <w:vAlign w:val="bottom"/>
            <w:hideMark/>
          </w:tcPr>
          <w:p w14:paraId="4AC01D71"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17.49p</w:t>
            </w:r>
          </w:p>
        </w:tc>
      </w:tr>
    </w:tbl>
    <w:p w14:paraId="20CB485B" w14:textId="77777777" w:rsidR="00D75CA8" w:rsidRDefault="00D75CA8" w:rsidP="00D75CA8">
      <w:pPr>
        <w:widowControl w:val="0"/>
        <w:autoSpaceDE w:val="0"/>
        <w:autoSpaceDN w:val="0"/>
        <w:adjustRightInd w:val="0"/>
        <w:spacing w:after="0"/>
        <w:rPr>
          <w:rFonts w:cs="Times New Roman"/>
          <w:b/>
          <w:bCs/>
          <w:color w:val="002060"/>
          <w:sz w:val="28"/>
          <w:szCs w:val="28"/>
        </w:rPr>
      </w:pPr>
    </w:p>
    <w:p w14:paraId="700DEDCF" w14:textId="2B421278" w:rsidR="00D75CA8" w:rsidRDefault="00D75CA8" w:rsidP="00462821">
      <w:pPr>
        <w:widowControl w:val="0"/>
        <w:autoSpaceDE w:val="0"/>
        <w:autoSpaceDN w:val="0"/>
        <w:adjustRightInd w:val="0"/>
        <w:spacing w:after="0" w:line="240" w:lineRule="auto"/>
        <w:rPr>
          <w:rFonts w:cs="Times New Roman"/>
          <w:b/>
          <w:bCs/>
          <w:color w:val="002060"/>
          <w:sz w:val="28"/>
          <w:szCs w:val="28"/>
        </w:rPr>
      </w:pPr>
      <w:r w:rsidRPr="00D75CA8">
        <w:rPr>
          <w:rFonts w:cs="Times New Roman"/>
          <w:b/>
          <w:bCs/>
          <w:color w:val="002060"/>
          <w:sz w:val="28"/>
          <w:szCs w:val="28"/>
        </w:rPr>
        <w:t>Consolidated statement of comprehensive income</w:t>
      </w:r>
    </w:p>
    <w:p w14:paraId="02A54FF1" w14:textId="77777777" w:rsidR="00D75CA8" w:rsidRPr="00C46D98" w:rsidRDefault="00D75CA8" w:rsidP="00462821">
      <w:pPr>
        <w:widowControl w:val="0"/>
        <w:autoSpaceDE w:val="0"/>
        <w:autoSpaceDN w:val="0"/>
        <w:adjustRightInd w:val="0"/>
        <w:spacing w:line="240" w:lineRule="auto"/>
        <w:rPr>
          <w:rFonts w:cs="Times New Roman"/>
          <w:color w:val="000000" w:themeColor="text1"/>
          <w:szCs w:val="20"/>
        </w:rPr>
      </w:pPr>
      <w:r w:rsidRPr="00EC1B6E">
        <w:rPr>
          <w:rFonts w:cs="Times New Roman"/>
          <w:color w:val="000000" w:themeColor="text1"/>
          <w:szCs w:val="20"/>
        </w:rPr>
        <w:t>for the year ended 31st December 20</w:t>
      </w:r>
      <w:r>
        <w:rPr>
          <w:rFonts w:cs="Times New Roman"/>
          <w:color w:val="000000" w:themeColor="text1"/>
          <w:szCs w:val="20"/>
        </w:rPr>
        <w:t>20</w:t>
      </w:r>
    </w:p>
    <w:tbl>
      <w:tblPr>
        <w:tblW w:w="5000" w:type="pct"/>
        <w:tblCellMar>
          <w:left w:w="0" w:type="dxa"/>
          <w:right w:w="0" w:type="dxa"/>
        </w:tblCellMar>
        <w:tblLook w:val="04A0" w:firstRow="1" w:lastRow="0" w:firstColumn="1" w:lastColumn="0" w:noHBand="0" w:noVBand="1"/>
      </w:tblPr>
      <w:tblGrid>
        <w:gridCol w:w="8640"/>
        <w:gridCol w:w="1080"/>
        <w:gridCol w:w="1080"/>
      </w:tblGrid>
      <w:tr w:rsidR="00D75CA8" w:rsidRPr="00D80ACC" w14:paraId="22065469" w14:textId="77777777" w:rsidTr="00D75CA8">
        <w:tc>
          <w:tcPr>
            <w:tcW w:w="3999" w:type="pct"/>
            <w:vAlign w:val="bottom"/>
          </w:tcPr>
          <w:p w14:paraId="4D5E16CD" w14:textId="77777777" w:rsidR="00D75CA8" w:rsidRPr="00D80ACC" w:rsidRDefault="00D75CA8" w:rsidP="00D75CA8">
            <w:pPr>
              <w:widowControl w:val="0"/>
              <w:autoSpaceDE w:val="0"/>
              <w:autoSpaceDN w:val="0"/>
              <w:adjustRightInd w:val="0"/>
              <w:spacing w:after="0" w:line="240" w:lineRule="auto"/>
              <w:rPr>
                <w:rFonts w:cstheme="minorHAnsi"/>
              </w:rPr>
            </w:pPr>
          </w:p>
        </w:tc>
        <w:tc>
          <w:tcPr>
            <w:tcW w:w="500" w:type="pct"/>
            <w:vAlign w:val="bottom"/>
            <w:hideMark/>
          </w:tcPr>
          <w:p w14:paraId="2D9D9290" w14:textId="77777777" w:rsidR="00D75CA8" w:rsidRPr="00A07609" w:rsidRDefault="00D75CA8" w:rsidP="00D75CA8">
            <w:pPr>
              <w:widowControl w:val="0"/>
              <w:autoSpaceDE w:val="0"/>
              <w:autoSpaceDN w:val="0"/>
              <w:adjustRightInd w:val="0"/>
              <w:spacing w:after="0" w:line="240" w:lineRule="auto"/>
              <w:jc w:val="right"/>
              <w:rPr>
                <w:rFonts w:cstheme="minorHAnsi"/>
                <w:b/>
                <w:bCs/>
              </w:rPr>
            </w:pPr>
            <w:r w:rsidRPr="00A07609">
              <w:rPr>
                <w:rFonts w:cstheme="minorHAnsi"/>
                <w:b/>
                <w:bCs/>
              </w:rPr>
              <w:t>2020</w:t>
            </w:r>
          </w:p>
        </w:tc>
        <w:tc>
          <w:tcPr>
            <w:tcW w:w="500" w:type="pct"/>
            <w:vAlign w:val="bottom"/>
          </w:tcPr>
          <w:p w14:paraId="110C5ADC"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2019</w:t>
            </w:r>
          </w:p>
        </w:tc>
      </w:tr>
      <w:tr w:rsidR="00D75CA8" w:rsidRPr="00D80ACC" w14:paraId="4B75A4B1" w14:textId="77777777" w:rsidTr="00D75CA8">
        <w:tc>
          <w:tcPr>
            <w:tcW w:w="3999" w:type="pct"/>
            <w:tcBorders>
              <w:top w:val="nil"/>
              <w:left w:val="nil"/>
              <w:bottom w:val="single" w:sz="4" w:space="0" w:color="000000" w:themeColor="text1"/>
              <w:right w:val="nil"/>
            </w:tcBorders>
            <w:vAlign w:val="bottom"/>
          </w:tcPr>
          <w:p w14:paraId="67E0F33E" w14:textId="77777777" w:rsidR="00D75CA8" w:rsidRPr="00D80ACC" w:rsidRDefault="00D75CA8" w:rsidP="00D75CA8">
            <w:pPr>
              <w:widowControl w:val="0"/>
              <w:autoSpaceDE w:val="0"/>
              <w:autoSpaceDN w:val="0"/>
              <w:adjustRightInd w:val="0"/>
              <w:spacing w:after="0" w:line="240" w:lineRule="auto"/>
              <w:rPr>
                <w:rFonts w:cstheme="minorHAnsi"/>
              </w:rPr>
            </w:pPr>
          </w:p>
        </w:tc>
        <w:tc>
          <w:tcPr>
            <w:tcW w:w="500" w:type="pct"/>
            <w:tcBorders>
              <w:top w:val="nil"/>
              <w:left w:val="nil"/>
              <w:bottom w:val="single" w:sz="4" w:space="0" w:color="000000" w:themeColor="text1"/>
              <w:right w:val="nil"/>
            </w:tcBorders>
            <w:vAlign w:val="bottom"/>
            <w:hideMark/>
          </w:tcPr>
          <w:p w14:paraId="3BE08D15" w14:textId="77777777" w:rsidR="00D75CA8" w:rsidRPr="00A07609" w:rsidRDefault="00D75CA8" w:rsidP="00D75CA8">
            <w:pPr>
              <w:widowControl w:val="0"/>
              <w:autoSpaceDE w:val="0"/>
              <w:autoSpaceDN w:val="0"/>
              <w:adjustRightInd w:val="0"/>
              <w:spacing w:after="0" w:line="240" w:lineRule="auto"/>
              <w:jc w:val="right"/>
              <w:rPr>
                <w:rFonts w:cstheme="minorHAnsi"/>
                <w:b/>
                <w:bCs/>
              </w:rPr>
            </w:pPr>
            <w:r w:rsidRPr="00A07609">
              <w:rPr>
                <w:rFonts w:cstheme="minorHAnsi"/>
                <w:b/>
                <w:bCs/>
              </w:rPr>
              <w:t>£m</w:t>
            </w:r>
          </w:p>
        </w:tc>
        <w:tc>
          <w:tcPr>
            <w:tcW w:w="500" w:type="pct"/>
            <w:tcBorders>
              <w:top w:val="nil"/>
              <w:left w:val="nil"/>
              <w:bottom w:val="single" w:sz="4" w:space="0" w:color="000000" w:themeColor="text1"/>
              <w:right w:val="nil"/>
            </w:tcBorders>
            <w:vAlign w:val="bottom"/>
          </w:tcPr>
          <w:p w14:paraId="30912643"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£m</w:t>
            </w:r>
          </w:p>
        </w:tc>
      </w:tr>
      <w:tr w:rsidR="00D75CA8" w:rsidRPr="00D80ACC" w14:paraId="19C6B9B5" w14:textId="77777777" w:rsidTr="00D75CA8">
        <w:tc>
          <w:tcPr>
            <w:tcW w:w="3999" w:type="pct"/>
            <w:tcBorders>
              <w:top w:val="single" w:sz="4" w:space="0" w:color="000000" w:themeColor="text1"/>
              <w:left w:val="nil"/>
              <w:bottom w:val="nil"/>
              <w:right w:val="nil"/>
            </w:tcBorders>
            <w:vAlign w:val="bottom"/>
            <w:hideMark/>
          </w:tcPr>
          <w:p w14:paraId="7B3BF7A8"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t>Profit for the year</w:t>
            </w:r>
          </w:p>
        </w:tc>
        <w:tc>
          <w:tcPr>
            <w:tcW w:w="500" w:type="pct"/>
            <w:tcBorders>
              <w:top w:val="single" w:sz="4" w:space="0" w:color="000000" w:themeColor="text1"/>
              <w:left w:val="nil"/>
              <w:bottom w:val="nil"/>
              <w:right w:val="nil"/>
            </w:tcBorders>
            <w:vAlign w:val="bottom"/>
            <w:hideMark/>
          </w:tcPr>
          <w:p w14:paraId="4698F4AC" w14:textId="77777777" w:rsidR="00D75CA8" w:rsidRPr="00A07609" w:rsidRDefault="00D75CA8" w:rsidP="00D75CA8">
            <w:pPr>
              <w:widowControl w:val="0"/>
              <w:autoSpaceDE w:val="0"/>
              <w:autoSpaceDN w:val="0"/>
              <w:adjustRightInd w:val="0"/>
              <w:spacing w:after="0" w:line="240" w:lineRule="auto"/>
              <w:jc w:val="right"/>
              <w:rPr>
                <w:rFonts w:cstheme="minorHAnsi"/>
                <w:b/>
                <w:bCs/>
              </w:rPr>
            </w:pPr>
            <w:r w:rsidRPr="00A07609">
              <w:rPr>
                <w:rFonts w:cstheme="minorHAnsi"/>
                <w:b/>
                <w:bCs/>
              </w:rPr>
              <w:t>1.2</w:t>
            </w:r>
          </w:p>
        </w:tc>
        <w:tc>
          <w:tcPr>
            <w:tcW w:w="500" w:type="pct"/>
            <w:tcBorders>
              <w:top w:val="single" w:sz="4" w:space="0" w:color="000000" w:themeColor="text1"/>
              <w:left w:val="nil"/>
              <w:bottom w:val="nil"/>
              <w:right w:val="nil"/>
            </w:tcBorders>
            <w:vAlign w:val="bottom"/>
          </w:tcPr>
          <w:p w14:paraId="74EF4213"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7.8</w:t>
            </w:r>
          </w:p>
        </w:tc>
      </w:tr>
      <w:tr w:rsidR="00D75CA8" w:rsidRPr="00D80ACC" w14:paraId="5C7F1264" w14:textId="77777777" w:rsidTr="00D75CA8">
        <w:tc>
          <w:tcPr>
            <w:tcW w:w="3999" w:type="pct"/>
            <w:vAlign w:val="bottom"/>
            <w:hideMark/>
          </w:tcPr>
          <w:p w14:paraId="77CF1052" w14:textId="77777777" w:rsidR="00D75CA8" w:rsidRPr="00D80ACC" w:rsidRDefault="00D75CA8" w:rsidP="00D75CA8">
            <w:pPr>
              <w:widowControl w:val="0"/>
              <w:autoSpaceDE w:val="0"/>
              <w:autoSpaceDN w:val="0"/>
              <w:adjustRightInd w:val="0"/>
              <w:spacing w:after="0" w:line="240" w:lineRule="auto"/>
              <w:rPr>
                <w:rFonts w:cstheme="minorHAnsi"/>
              </w:rPr>
            </w:pPr>
          </w:p>
        </w:tc>
        <w:tc>
          <w:tcPr>
            <w:tcW w:w="500" w:type="pct"/>
            <w:vAlign w:val="bottom"/>
          </w:tcPr>
          <w:p w14:paraId="5DB20323" w14:textId="77777777" w:rsidR="00D75CA8" w:rsidRPr="00A07609" w:rsidRDefault="00D75CA8" w:rsidP="00D75CA8">
            <w:pPr>
              <w:widowControl w:val="0"/>
              <w:autoSpaceDE w:val="0"/>
              <w:autoSpaceDN w:val="0"/>
              <w:adjustRightInd w:val="0"/>
              <w:spacing w:after="0" w:line="240" w:lineRule="auto"/>
              <w:jc w:val="right"/>
              <w:rPr>
                <w:rFonts w:cstheme="minorHAnsi"/>
                <w:b/>
                <w:bCs/>
              </w:rPr>
            </w:pPr>
          </w:p>
        </w:tc>
        <w:tc>
          <w:tcPr>
            <w:tcW w:w="500" w:type="pct"/>
            <w:vAlign w:val="bottom"/>
          </w:tcPr>
          <w:p w14:paraId="112F3E8B" w14:textId="77777777" w:rsidR="00D75CA8" w:rsidRPr="004B30F5" w:rsidRDefault="00D75CA8" w:rsidP="00D75CA8">
            <w:pPr>
              <w:widowControl w:val="0"/>
              <w:autoSpaceDE w:val="0"/>
              <w:autoSpaceDN w:val="0"/>
              <w:adjustRightInd w:val="0"/>
              <w:spacing w:after="0" w:line="240" w:lineRule="auto"/>
              <w:jc w:val="right"/>
              <w:rPr>
                <w:rFonts w:cstheme="minorHAnsi"/>
              </w:rPr>
            </w:pPr>
          </w:p>
        </w:tc>
      </w:tr>
      <w:tr w:rsidR="00D75CA8" w:rsidRPr="00D80ACC" w14:paraId="5D5F88D4" w14:textId="77777777" w:rsidTr="00D75CA8">
        <w:tc>
          <w:tcPr>
            <w:tcW w:w="3999" w:type="pct"/>
            <w:vAlign w:val="bottom"/>
            <w:hideMark/>
          </w:tcPr>
          <w:p w14:paraId="11F17380"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t xml:space="preserve">Items that will not be reclassified to </w:t>
            </w:r>
            <w:r>
              <w:rPr>
                <w:rFonts w:cstheme="minorHAnsi"/>
                <w:b/>
                <w:bCs/>
              </w:rPr>
              <w:t>the income statement</w:t>
            </w:r>
          </w:p>
        </w:tc>
        <w:tc>
          <w:tcPr>
            <w:tcW w:w="500" w:type="pct"/>
            <w:vAlign w:val="bottom"/>
          </w:tcPr>
          <w:p w14:paraId="76E8C1ED" w14:textId="77777777" w:rsidR="00D75CA8" w:rsidRPr="00A07609" w:rsidRDefault="00D75CA8" w:rsidP="00D75CA8">
            <w:pPr>
              <w:widowControl w:val="0"/>
              <w:autoSpaceDE w:val="0"/>
              <w:autoSpaceDN w:val="0"/>
              <w:adjustRightInd w:val="0"/>
              <w:spacing w:after="0" w:line="240" w:lineRule="auto"/>
              <w:jc w:val="right"/>
              <w:rPr>
                <w:rFonts w:cstheme="minorHAnsi"/>
                <w:b/>
                <w:bCs/>
              </w:rPr>
            </w:pPr>
          </w:p>
        </w:tc>
        <w:tc>
          <w:tcPr>
            <w:tcW w:w="500" w:type="pct"/>
            <w:vAlign w:val="bottom"/>
          </w:tcPr>
          <w:p w14:paraId="5A64856D" w14:textId="77777777" w:rsidR="00D75CA8" w:rsidRPr="004B30F5" w:rsidRDefault="00D75CA8" w:rsidP="00D75CA8">
            <w:pPr>
              <w:widowControl w:val="0"/>
              <w:autoSpaceDE w:val="0"/>
              <w:autoSpaceDN w:val="0"/>
              <w:adjustRightInd w:val="0"/>
              <w:spacing w:after="0" w:line="240" w:lineRule="auto"/>
              <w:jc w:val="right"/>
              <w:rPr>
                <w:rFonts w:cstheme="minorHAnsi"/>
              </w:rPr>
            </w:pPr>
          </w:p>
        </w:tc>
      </w:tr>
      <w:tr w:rsidR="00D75CA8" w:rsidRPr="00D80ACC" w14:paraId="74577376" w14:textId="77777777" w:rsidTr="00D75CA8">
        <w:tc>
          <w:tcPr>
            <w:tcW w:w="3999" w:type="pct"/>
            <w:vAlign w:val="bottom"/>
            <w:hideMark/>
          </w:tcPr>
          <w:p w14:paraId="35110BE0"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 xml:space="preserve">Actuarial </w:t>
            </w:r>
            <w:r>
              <w:rPr>
                <w:rFonts w:cstheme="minorHAnsi"/>
              </w:rPr>
              <w:t>(</w:t>
            </w:r>
            <w:r w:rsidRPr="00D80ACC">
              <w:rPr>
                <w:rFonts w:cstheme="minorHAnsi"/>
              </w:rPr>
              <w:t>loss)</w:t>
            </w:r>
            <w:r>
              <w:rPr>
                <w:rFonts w:cstheme="minorHAnsi"/>
              </w:rPr>
              <w:t>/gain</w:t>
            </w:r>
            <w:r w:rsidRPr="00D80ACC">
              <w:rPr>
                <w:rFonts w:cstheme="minorHAnsi"/>
              </w:rPr>
              <w:t xml:space="preserve"> on defined benefit pension scheme</w:t>
            </w:r>
          </w:p>
        </w:tc>
        <w:tc>
          <w:tcPr>
            <w:tcW w:w="500" w:type="pct"/>
            <w:vAlign w:val="bottom"/>
            <w:hideMark/>
          </w:tcPr>
          <w:p w14:paraId="6A016890" w14:textId="77777777" w:rsidR="00D75CA8" w:rsidRPr="00A07609" w:rsidRDefault="00D75CA8" w:rsidP="00D75CA8">
            <w:pPr>
              <w:widowControl w:val="0"/>
              <w:autoSpaceDE w:val="0"/>
              <w:autoSpaceDN w:val="0"/>
              <w:adjustRightInd w:val="0"/>
              <w:spacing w:after="0" w:line="240" w:lineRule="auto"/>
              <w:jc w:val="right"/>
              <w:rPr>
                <w:rFonts w:cstheme="minorHAnsi"/>
                <w:b/>
                <w:bCs/>
              </w:rPr>
            </w:pPr>
            <w:r w:rsidRPr="00A07609">
              <w:rPr>
                <w:rFonts w:cstheme="minorHAnsi"/>
                <w:b/>
                <w:bCs/>
              </w:rPr>
              <w:t>(6.5)</w:t>
            </w:r>
          </w:p>
        </w:tc>
        <w:tc>
          <w:tcPr>
            <w:tcW w:w="500" w:type="pct"/>
            <w:vAlign w:val="bottom"/>
          </w:tcPr>
          <w:p w14:paraId="5315547F"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(6.9)</w:t>
            </w:r>
          </w:p>
        </w:tc>
      </w:tr>
      <w:tr w:rsidR="00D75CA8" w:rsidRPr="00D80ACC" w14:paraId="779A67FF" w14:textId="77777777" w:rsidTr="00D75CA8">
        <w:tc>
          <w:tcPr>
            <w:tcW w:w="3999" w:type="pct"/>
            <w:vAlign w:val="bottom"/>
          </w:tcPr>
          <w:p w14:paraId="59F56236" w14:textId="77777777" w:rsidR="00D75CA8" w:rsidRPr="00D80ACC" w:rsidRDefault="00D75CA8" w:rsidP="00D75CA8">
            <w:pPr>
              <w:widowControl w:val="0"/>
              <w:autoSpaceDE w:val="0"/>
              <w:autoSpaceDN w:val="0"/>
              <w:adjustRightInd w:val="0"/>
              <w:spacing w:after="0" w:line="240" w:lineRule="auto"/>
              <w:rPr>
                <w:rFonts w:cstheme="minorHAnsi"/>
              </w:rPr>
            </w:pPr>
            <w:r>
              <w:rPr>
                <w:rFonts w:cstheme="minorHAnsi"/>
              </w:rPr>
              <w:t>Revaluation of freehold property</w:t>
            </w:r>
          </w:p>
        </w:tc>
        <w:tc>
          <w:tcPr>
            <w:tcW w:w="500" w:type="pct"/>
            <w:vAlign w:val="bottom"/>
          </w:tcPr>
          <w:p w14:paraId="35C5A4A2" w14:textId="77777777" w:rsidR="00D75CA8" w:rsidRPr="00A07609" w:rsidRDefault="00D75CA8" w:rsidP="00D75CA8">
            <w:pPr>
              <w:widowControl w:val="0"/>
              <w:autoSpaceDE w:val="0"/>
              <w:autoSpaceDN w:val="0"/>
              <w:adjustRightInd w:val="0"/>
              <w:spacing w:after="0" w:line="240" w:lineRule="auto"/>
              <w:jc w:val="right"/>
              <w:rPr>
                <w:rFonts w:cstheme="minorHAnsi"/>
                <w:b/>
                <w:bCs/>
              </w:rPr>
            </w:pPr>
            <w:r w:rsidRPr="00A07609">
              <w:rPr>
                <w:rFonts w:cstheme="minorHAnsi"/>
                <w:b/>
                <w:bCs/>
              </w:rPr>
              <w:t>—</w:t>
            </w:r>
          </w:p>
        </w:tc>
        <w:tc>
          <w:tcPr>
            <w:tcW w:w="500" w:type="pct"/>
            <w:vAlign w:val="bottom"/>
          </w:tcPr>
          <w:p w14:paraId="7A49ADB8"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0.4</w:t>
            </w:r>
          </w:p>
        </w:tc>
      </w:tr>
      <w:tr w:rsidR="00D75CA8" w:rsidRPr="00D80ACC" w14:paraId="1A078489" w14:textId="77777777" w:rsidTr="00D75CA8">
        <w:tc>
          <w:tcPr>
            <w:tcW w:w="3999" w:type="pct"/>
            <w:vAlign w:val="bottom"/>
          </w:tcPr>
          <w:p w14:paraId="7994A116" w14:textId="77777777" w:rsidR="00D75CA8" w:rsidRDefault="00D75CA8" w:rsidP="00D75CA8">
            <w:pPr>
              <w:widowControl w:val="0"/>
              <w:autoSpaceDE w:val="0"/>
              <w:autoSpaceDN w:val="0"/>
              <w:adjustRightInd w:val="0"/>
              <w:spacing w:after="0" w:line="240" w:lineRule="auto"/>
              <w:rPr>
                <w:rFonts w:cstheme="minorHAnsi"/>
              </w:rPr>
            </w:pPr>
            <w:r>
              <w:rPr>
                <w:rFonts w:cstheme="minorHAnsi"/>
              </w:rPr>
              <w:t>Revaluation of minority shareholding equity investment</w:t>
            </w:r>
          </w:p>
        </w:tc>
        <w:tc>
          <w:tcPr>
            <w:tcW w:w="500" w:type="pct"/>
            <w:vAlign w:val="bottom"/>
          </w:tcPr>
          <w:p w14:paraId="55F4C825" w14:textId="77777777" w:rsidR="00D75CA8" w:rsidRPr="00A07609" w:rsidRDefault="00D75CA8" w:rsidP="00D75CA8">
            <w:pPr>
              <w:widowControl w:val="0"/>
              <w:autoSpaceDE w:val="0"/>
              <w:autoSpaceDN w:val="0"/>
              <w:adjustRightInd w:val="0"/>
              <w:spacing w:after="0" w:line="240" w:lineRule="auto"/>
              <w:jc w:val="right"/>
              <w:rPr>
                <w:rFonts w:cstheme="minorHAnsi"/>
                <w:b/>
                <w:bCs/>
              </w:rPr>
            </w:pPr>
            <w:r w:rsidRPr="00A07609">
              <w:rPr>
                <w:rFonts w:cstheme="minorHAnsi"/>
                <w:b/>
                <w:bCs/>
              </w:rPr>
              <w:t>(2.0)</w:t>
            </w:r>
          </w:p>
        </w:tc>
        <w:tc>
          <w:tcPr>
            <w:tcW w:w="500" w:type="pct"/>
            <w:vAlign w:val="bottom"/>
          </w:tcPr>
          <w:p w14:paraId="2AAF16B9"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w:t>
            </w:r>
          </w:p>
        </w:tc>
      </w:tr>
      <w:tr w:rsidR="00D75CA8" w:rsidRPr="00D80ACC" w14:paraId="60710EDF" w14:textId="77777777" w:rsidTr="00D75CA8">
        <w:tc>
          <w:tcPr>
            <w:tcW w:w="3999" w:type="pct"/>
            <w:tcBorders>
              <w:top w:val="nil"/>
              <w:left w:val="nil"/>
              <w:right w:val="nil"/>
            </w:tcBorders>
            <w:vAlign w:val="bottom"/>
            <w:hideMark/>
          </w:tcPr>
          <w:p w14:paraId="2D7440A1" w14:textId="77777777" w:rsidR="00D75CA8" w:rsidRPr="00D80ACC" w:rsidRDefault="00D75CA8" w:rsidP="00D75CA8">
            <w:pPr>
              <w:widowControl w:val="0"/>
              <w:autoSpaceDE w:val="0"/>
              <w:autoSpaceDN w:val="0"/>
              <w:adjustRightInd w:val="0"/>
              <w:spacing w:after="0" w:line="240" w:lineRule="auto"/>
              <w:rPr>
                <w:rFonts w:cstheme="minorHAnsi"/>
              </w:rPr>
            </w:pPr>
            <w:r>
              <w:rPr>
                <w:rFonts w:cstheme="minorHAnsi"/>
              </w:rPr>
              <w:t>Deferred tax relating to items that will not be reclassified</w:t>
            </w:r>
          </w:p>
        </w:tc>
        <w:tc>
          <w:tcPr>
            <w:tcW w:w="500" w:type="pct"/>
            <w:tcBorders>
              <w:top w:val="nil"/>
              <w:left w:val="nil"/>
              <w:right w:val="nil"/>
            </w:tcBorders>
            <w:vAlign w:val="bottom"/>
            <w:hideMark/>
          </w:tcPr>
          <w:p w14:paraId="5FE0378E" w14:textId="77777777" w:rsidR="00D75CA8" w:rsidRPr="00A07609" w:rsidRDefault="00D75CA8" w:rsidP="00D75CA8">
            <w:pPr>
              <w:widowControl w:val="0"/>
              <w:autoSpaceDE w:val="0"/>
              <w:autoSpaceDN w:val="0"/>
              <w:adjustRightInd w:val="0"/>
              <w:spacing w:after="0" w:line="240" w:lineRule="auto"/>
              <w:jc w:val="right"/>
              <w:rPr>
                <w:rFonts w:cstheme="minorHAnsi"/>
                <w:b/>
                <w:bCs/>
              </w:rPr>
            </w:pPr>
            <w:r w:rsidRPr="00A07609">
              <w:rPr>
                <w:rFonts w:cstheme="minorHAnsi"/>
                <w:b/>
                <w:bCs/>
              </w:rPr>
              <w:t>1.7</w:t>
            </w:r>
          </w:p>
        </w:tc>
        <w:tc>
          <w:tcPr>
            <w:tcW w:w="500" w:type="pct"/>
            <w:tcBorders>
              <w:top w:val="nil"/>
              <w:left w:val="nil"/>
              <w:right w:val="nil"/>
            </w:tcBorders>
            <w:vAlign w:val="bottom"/>
          </w:tcPr>
          <w:p w14:paraId="37C01EF9"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1.2</w:t>
            </w:r>
          </w:p>
        </w:tc>
      </w:tr>
      <w:tr w:rsidR="00D75CA8" w:rsidRPr="00D80ACC" w14:paraId="2BC6F48D" w14:textId="77777777" w:rsidTr="00D75CA8">
        <w:tc>
          <w:tcPr>
            <w:tcW w:w="3999" w:type="pct"/>
            <w:tcBorders>
              <w:top w:val="nil"/>
              <w:left w:val="nil"/>
              <w:bottom w:val="single" w:sz="4" w:space="0" w:color="000000" w:themeColor="text1"/>
              <w:right w:val="nil"/>
            </w:tcBorders>
            <w:vAlign w:val="bottom"/>
          </w:tcPr>
          <w:p w14:paraId="6C5467BC" w14:textId="77777777" w:rsidR="00D75CA8" w:rsidRDefault="00D75CA8" w:rsidP="00D75CA8">
            <w:pPr>
              <w:widowControl w:val="0"/>
              <w:autoSpaceDE w:val="0"/>
              <w:autoSpaceDN w:val="0"/>
              <w:adjustRightInd w:val="0"/>
              <w:spacing w:after="0" w:line="240" w:lineRule="auto"/>
              <w:rPr>
                <w:rFonts w:cstheme="minorHAnsi"/>
              </w:rPr>
            </w:pPr>
          </w:p>
        </w:tc>
        <w:tc>
          <w:tcPr>
            <w:tcW w:w="500" w:type="pct"/>
            <w:tcBorders>
              <w:top w:val="nil"/>
              <w:left w:val="nil"/>
              <w:bottom w:val="single" w:sz="4" w:space="0" w:color="000000" w:themeColor="text1"/>
              <w:right w:val="nil"/>
            </w:tcBorders>
            <w:vAlign w:val="bottom"/>
          </w:tcPr>
          <w:p w14:paraId="7D1C989F" w14:textId="77777777" w:rsidR="00D75CA8" w:rsidRPr="00A07609" w:rsidRDefault="00D75CA8" w:rsidP="00D75CA8">
            <w:pPr>
              <w:widowControl w:val="0"/>
              <w:autoSpaceDE w:val="0"/>
              <w:autoSpaceDN w:val="0"/>
              <w:adjustRightInd w:val="0"/>
              <w:spacing w:after="0" w:line="240" w:lineRule="auto"/>
              <w:jc w:val="right"/>
              <w:rPr>
                <w:rFonts w:cstheme="minorHAnsi"/>
                <w:b/>
                <w:bCs/>
              </w:rPr>
            </w:pPr>
          </w:p>
        </w:tc>
        <w:tc>
          <w:tcPr>
            <w:tcW w:w="500" w:type="pct"/>
            <w:tcBorders>
              <w:top w:val="nil"/>
              <w:left w:val="nil"/>
              <w:bottom w:val="single" w:sz="4" w:space="0" w:color="000000" w:themeColor="text1"/>
              <w:right w:val="nil"/>
            </w:tcBorders>
            <w:vAlign w:val="bottom"/>
          </w:tcPr>
          <w:p w14:paraId="4D17F962" w14:textId="77777777" w:rsidR="00D75CA8" w:rsidRPr="004B30F5" w:rsidRDefault="00D75CA8" w:rsidP="00D75CA8">
            <w:pPr>
              <w:widowControl w:val="0"/>
              <w:autoSpaceDE w:val="0"/>
              <w:autoSpaceDN w:val="0"/>
              <w:adjustRightInd w:val="0"/>
              <w:spacing w:after="0" w:line="240" w:lineRule="auto"/>
              <w:jc w:val="right"/>
              <w:rPr>
                <w:rFonts w:cstheme="minorHAnsi"/>
              </w:rPr>
            </w:pPr>
          </w:p>
        </w:tc>
      </w:tr>
      <w:tr w:rsidR="00D75CA8" w:rsidRPr="00D80ACC" w14:paraId="21DA733F" w14:textId="77777777" w:rsidTr="00D75CA8">
        <w:tc>
          <w:tcPr>
            <w:tcW w:w="3999" w:type="pct"/>
            <w:tcBorders>
              <w:top w:val="single" w:sz="4" w:space="0" w:color="000000" w:themeColor="text1"/>
              <w:left w:val="nil"/>
              <w:bottom w:val="single" w:sz="4" w:space="0" w:color="000000" w:themeColor="text1"/>
              <w:right w:val="nil"/>
            </w:tcBorders>
            <w:vAlign w:val="bottom"/>
            <w:hideMark/>
          </w:tcPr>
          <w:p w14:paraId="0AA097CC"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t xml:space="preserve">Total other comprehensive </w:t>
            </w:r>
            <w:r>
              <w:rPr>
                <w:rFonts w:cstheme="minorHAnsi"/>
                <w:b/>
                <w:bCs/>
              </w:rPr>
              <w:t>(loss)/</w:t>
            </w:r>
            <w:r w:rsidRPr="00D80ACC">
              <w:rPr>
                <w:rFonts w:cstheme="minorHAnsi"/>
                <w:b/>
                <w:bCs/>
              </w:rPr>
              <w:t>income for the year, net of tax</w:t>
            </w:r>
          </w:p>
        </w:tc>
        <w:tc>
          <w:tcPr>
            <w:tcW w:w="500" w:type="pct"/>
            <w:tcBorders>
              <w:top w:val="single" w:sz="4" w:space="0" w:color="000000" w:themeColor="text1"/>
              <w:left w:val="nil"/>
              <w:bottom w:val="single" w:sz="4" w:space="0" w:color="000000" w:themeColor="text1"/>
              <w:right w:val="nil"/>
            </w:tcBorders>
            <w:vAlign w:val="bottom"/>
            <w:hideMark/>
          </w:tcPr>
          <w:p w14:paraId="4DEC2707" w14:textId="77777777" w:rsidR="00D75CA8" w:rsidRPr="00A07609" w:rsidRDefault="00D75CA8" w:rsidP="00D75CA8">
            <w:pPr>
              <w:widowControl w:val="0"/>
              <w:autoSpaceDE w:val="0"/>
              <w:autoSpaceDN w:val="0"/>
              <w:adjustRightInd w:val="0"/>
              <w:spacing w:after="0" w:line="240" w:lineRule="auto"/>
              <w:jc w:val="right"/>
              <w:rPr>
                <w:rFonts w:cstheme="minorHAnsi"/>
                <w:b/>
                <w:bCs/>
              </w:rPr>
            </w:pPr>
            <w:r w:rsidRPr="00A07609">
              <w:rPr>
                <w:rFonts w:cstheme="minorHAnsi"/>
                <w:b/>
                <w:bCs/>
              </w:rPr>
              <w:t>(6.8)</w:t>
            </w:r>
          </w:p>
        </w:tc>
        <w:tc>
          <w:tcPr>
            <w:tcW w:w="500" w:type="pct"/>
            <w:tcBorders>
              <w:top w:val="single" w:sz="4" w:space="0" w:color="000000" w:themeColor="text1"/>
              <w:left w:val="nil"/>
              <w:bottom w:val="single" w:sz="4" w:space="0" w:color="000000" w:themeColor="text1"/>
              <w:right w:val="nil"/>
            </w:tcBorders>
            <w:vAlign w:val="bottom"/>
          </w:tcPr>
          <w:p w14:paraId="77A2210A"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(5.3)</w:t>
            </w:r>
          </w:p>
        </w:tc>
      </w:tr>
      <w:tr w:rsidR="00D75CA8" w:rsidRPr="00D80ACC" w14:paraId="748EF461" w14:textId="77777777" w:rsidTr="00D75CA8">
        <w:tc>
          <w:tcPr>
            <w:tcW w:w="3999" w:type="pct"/>
            <w:tcBorders>
              <w:top w:val="single" w:sz="4" w:space="0" w:color="000000" w:themeColor="text1"/>
              <w:left w:val="nil"/>
              <w:bottom w:val="single" w:sz="12" w:space="0" w:color="000000" w:themeColor="text1"/>
              <w:right w:val="nil"/>
            </w:tcBorders>
            <w:vAlign w:val="bottom"/>
            <w:hideMark/>
          </w:tcPr>
          <w:p w14:paraId="5484000B"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t xml:space="preserve">Total comprehensive </w:t>
            </w:r>
            <w:r>
              <w:rPr>
                <w:rFonts w:cstheme="minorHAnsi"/>
                <w:b/>
                <w:bCs/>
              </w:rPr>
              <w:t>(loss)/</w:t>
            </w:r>
            <w:r w:rsidRPr="00D80ACC">
              <w:rPr>
                <w:rFonts w:cstheme="minorHAnsi"/>
                <w:b/>
                <w:bCs/>
              </w:rPr>
              <w:t>income for the year</w:t>
            </w:r>
          </w:p>
        </w:tc>
        <w:tc>
          <w:tcPr>
            <w:tcW w:w="500" w:type="pct"/>
            <w:tcBorders>
              <w:top w:val="single" w:sz="4" w:space="0" w:color="000000" w:themeColor="text1"/>
              <w:left w:val="nil"/>
              <w:bottom w:val="single" w:sz="12" w:space="0" w:color="000000" w:themeColor="text1"/>
              <w:right w:val="nil"/>
            </w:tcBorders>
            <w:vAlign w:val="bottom"/>
            <w:hideMark/>
          </w:tcPr>
          <w:p w14:paraId="67027CC3" w14:textId="77777777" w:rsidR="00D75CA8" w:rsidRPr="00A07609" w:rsidRDefault="00D75CA8" w:rsidP="00D75CA8">
            <w:pPr>
              <w:widowControl w:val="0"/>
              <w:autoSpaceDE w:val="0"/>
              <w:autoSpaceDN w:val="0"/>
              <w:adjustRightInd w:val="0"/>
              <w:spacing w:after="0" w:line="240" w:lineRule="auto"/>
              <w:jc w:val="right"/>
              <w:rPr>
                <w:rFonts w:cstheme="minorHAnsi"/>
                <w:b/>
                <w:bCs/>
              </w:rPr>
            </w:pPr>
            <w:r>
              <w:rPr>
                <w:rFonts w:cstheme="minorHAnsi"/>
                <w:b/>
                <w:bCs/>
              </w:rPr>
              <w:t>(</w:t>
            </w:r>
            <w:r w:rsidRPr="00A07609">
              <w:rPr>
                <w:rFonts w:cstheme="minorHAnsi"/>
                <w:b/>
                <w:bCs/>
              </w:rPr>
              <w:t>5.6</w:t>
            </w:r>
            <w:r>
              <w:rPr>
                <w:rFonts w:cstheme="minorHAnsi"/>
                <w:b/>
                <w:bCs/>
              </w:rPr>
              <w:t>)</w:t>
            </w:r>
          </w:p>
        </w:tc>
        <w:tc>
          <w:tcPr>
            <w:tcW w:w="500" w:type="pct"/>
            <w:tcBorders>
              <w:top w:val="single" w:sz="4" w:space="0" w:color="000000" w:themeColor="text1"/>
              <w:left w:val="nil"/>
              <w:bottom w:val="single" w:sz="12" w:space="0" w:color="000000" w:themeColor="text1"/>
              <w:right w:val="nil"/>
            </w:tcBorders>
            <w:vAlign w:val="bottom"/>
          </w:tcPr>
          <w:p w14:paraId="65792BB7"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2.5</w:t>
            </w:r>
          </w:p>
        </w:tc>
      </w:tr>
    </w:tbl>
    <w:p w14:paraId="65EDDB26" w14:textId="31A39ED4" w:rsidR="00D75CA8" w:rsidRDefault="00D75CA8" w:rsidP="00C46D98">
      <w:pPr>
        <w:widowControl w:val="0"/>
        <w:autoSpaceDE w:val="0"/>
        <w:autoSpaceDN w:val="0"/>
        <w:adjustRightInd w:val="0"/>
        <w:rPr>
          <w:rFonts w:cs="Times New Roman"/>
          <w:b/>
          <w:bCs/>
          <w:color w:val="002060"/>
        </w:rPr>
      </w:pPr>
    </w:p>
    <w:p w14:paraId="31A8D386" w14:textId="77777777" w:rsidR="00D75CA8" w:rsidRPr="00776A7F" w:rsidRDefault="00D75CA8" w:rsidP="00D75CA8">
      <w:pPr>
        <w:widowControl w:val="0"/>
        <w:autoSpaceDE w:val="0"/>
        <w:autoSpaceDN w:val="0"/>
        <w:adjustRightInd w:val="0"/>
        <w:spacing w:after="0"/>
        <w:rPr>
          <w:rFonts w:cs="Times New Roman"/>
          <w:b/>
          <w:bCs/>
          <w:color w:val="002060"/>
          <w:sz w:val="28"/>
          <w:szCs w:val="28"/>
        </w:rPr>
      </w:pPr>
      <w:r w:rsidRPr="00E35B48">
        <w:rPr>
          <w:rFonts w:cs="Times New Roman"/>
          <w:b/>
          <w:bCs/>
          <w:color w:val="002060"/>
          <w:sz w:val="28"/>
          <w:szCs w:val="28"/>
        </w:rPr>
        <w:t>Consolidated statement of financial position</w:t>
      </w:r>
    </w:p>
    <w:p w14:paraId="19650698" w14:textId="77777777" w:rsidR="00D75CA8" w:rsidRPr="00D80ACC" w:rsidRDefault="00D75CA8" w:rsidP="00D75CA8">
      <w:pPr>
        <w:widowControl w:val="0"/>
        <w:autoSpaceDE w:val="0"/>
        <w:autoSpaceDN w:val="0"/>
        <w:adjustRightInd w:val="0"/>
        <w:spacing w:line="240" w:lineRule="auto"/>
        <w:rPr>
          <w:rFonts w:cstheme="minorHAnsi"/>
        </w:rPr>
      </w:pPr>
      <w:r w:rsidRPr="002220D0">
        <w:rPr>
          <w:rFonts w:cs="Times New Roman"/>
          <w:bCs/>
          <w:color w:val="000000" w:themeColor="text1"/>
          <w:sz w:val="24"/>
          <w:szCs w:val="20"/>
        </w:rPr>
        <w:t xml:space="preserve">as </w:t>
      </w:r>
      <w:proofErr w:type="gramStart"/>
      <w:r w:rsidRPr="002220D0">
        <w:rPr>
          <w:rFonts w:cs="Times New Roman"/>
          <w:bCs/>
          <w:color w:val="000000" w:themeColor="text1"/>
          <w:sz w:val="24"/>
          <w:szCs w:val="20"/>
        </w:rPr>
        <w:t>at</w:t>
      </w:r>
      <w:proofErr w:type="gramEnd"/>
      <w:r w:rsidRPr="002220D0">
        <w:rPr>
          <w:rFonts w:cs="Times New Roman"/>
          <w:bCs/>
          <w:color w:val="000000" w:themeColor="text1"/>
          <w:sz w:val="24"/>
          <w:szCs w:val="20"/>
        </w:rPr>
        <w:t xml:space="preserve"> 31st December 20</w:t>
      </w:r>
      <w:r>
        <w:rPr>
          <w:rFonts w:cs="Times New Roman"/>
          <w:bCs/>
          <w:color w:val="000000" w:themeColor="text1"/>
          <w:sz w:val="24"/>
          <w:szCs w:val="20"/>
        </w:rPr>
        <w:t>20</w:t>
      </w:r>
    </w:p>
    <w:tbl>
      <w:tblPr>
        <w:tblW w:w="5002" w:type="pct"/>
        <w:tblCellMar>
          <w:left w:w="0" w:type="dxa"/>
          <w:right w:w="0" w:type="dxa"/>
        </w:tblCellMar>
        <w:tblLook w:val="04A0" w:firstRow="1" w:lastRow="0" w:firstColumn="1" w:lastColumn="0" w:noHBand="0" w:noVBand="1"/>
      </w:tblPr>
      <w:tblGrid>
        <w:gridCol w:w="7566"/>
        <w:gridCol w:w="1080"/>
        <w:gridCol w:w="1080"/>
        <w:gridCol w:w="1078"/>
      </w:tblGrid>
      <w:tr w:rsidR="00D75CA8" w:rsidRPr="00D80ACC" w14:paraId="2380C54F" w14:textId="77777777" w:rsidTr="00D75CA8">
        <w:tc>
          <w:tcPr>
            <w:tcW w:w="3501" w:type="pct"/>
            <w:vAlign w:val="bottom"/>
          </w:tcPr>
          <w:p w14:paraId="7FAD4144" w14:textId="77777777" w:rsidR="00D75CA8" w:rsidRPr="00D80ACC" w:rsidRDefault="00D75CA8" w:rsidP="00D75CA8">
            <w:pPr>
              <w:widowControl w:val="0"/>
              <w:autoSpaceDE w:val="0"/>
              <w:autoSpaceDN w:val="0"/>
              <w:adjustRightInd w:val="0"/>
              <w:spacing w:after="0" w:line="240" w:lineRule="auto"/>
              <w:rPr>
                <w:rFonts w:cstheme="minorHAnsi"/>
              </w:rPr>
            </w:pPr>
          </w:p>
        </w:tc>
        <w:tc>
          <w:tcPr>
            <w:tcW w:w="500" w:type="pct"/>
            <w:vAlign w:val="bottom"/>
          </w:tcPr>
          <w:p w14:paraId="34ADCE48"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vAlign w:val="bottom"/>
            <w:hideMark/>
          </w:tcPr>
          <w:p w14:paraId="0ACF79D9"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2020</w:t>
            </w:r>
          </w:p>
        </w:tc>
        <w:tc>
          <w:tcPr>
            <w:tcW w:w="499" w:type="pct"/>
            <w:vAlign w:val="bottom"/>
          </w:tcPr>
          <w:p w14:paraId="54823D91"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2019</w:t>
            </w:r>
          </w:p>
        </w:tc>
      </w:tr>
      <w:tr w:rsidR="00D75CA8" w:rsidRPr="00D80ACC" w14:paraId="03FB867B" w14:textId="77777777" w:rsidTr="00D75CA8">
        <w:tc>
          <w:tcPr>
            <w:tcW w:w="3501" w:type="pct"/>
            <w:tcBorders>
              <w:top w:val="nil"/>
              <w:left w:val="nil"/>
              <w:bottom w:val="single" w:sz="4" w:space="0" w:color="000000" w:themeColor="text1"/>
              <w:right w:val="nil"/>
            </w:tcBorders>
            <w:vAlign w:val="bottom"/>
          </w:tcPr>
          <w:p w14:paraId="1E1E352D" w14:textId="77777777" w:rsidR="00D75CA8" w:rsidRPr="00D80ACC" w:rsidRDefault="00D75CA8" w:rsidP="00D75CA8">
            <w:pPr>
              <w:widowControl w:val="0"/>
              <w:autoSpaceDE w:val="0"/>
              <w:autoSpaceDN w:val="0"/>
              <w:adjustRightInd w:val="0"/>
              <w:spacing w:after="0" w:line="240" w:lineRule="auto"/>
              <w:rPr>
                <w:rFonts w:cstheme="minorHAnsi"/>
              </w:rPr>
            </w:pPr>
          </w:p>
        </w:tc>
        <w:tc>
          <w:tcPr>
            <w:tcW w:w="500" w:type="pct"/>
            <w:tcBorders>
              <w:top w:val="nil"/>
              <w:left w:val="nil"/>
              <w:bottom w:val="single" w:sz="4" w:space="0" w:color="000000" w:themeColor="text1"/>
              <w:right w:val="nil"/>
            </w:tcBorders>
            <w:vAlign w:val="bottom"/>
            <w:hideMark/>
          </w:tcPr>
          <w:p w14:paraId="07EAD226"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rPr>
              <w:t>Note</w:t>
            </w:r>
          </w:p>
        </w:tc>
        <w:tc>
          <w:tcPr>
            <w:tcW w:w="500" w:type="pct"/>
            <w:tcBorders>
              <w:top w:val="nil"/>
              <w:left w:val="nil"/>
              <w:bottom w:val="single" w:sz="4" w:space="0" w:color="000000" w:themeColor="text1"/>
              <w:right w:val="nil"/>
            </w:tcBorders>
            <w:vAlign w:val="bottom"/>
            <w:hideMark/>
          </w:tcPr>
          <w:p w14:paraId="568CA444"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b/>
                <w:bCs/>
              </w:rPr>
              <w:t>£m</w:t>
            </w:r>
          </w:p>
        </w:tc>
        <w:tc>
          <w:tcPr>
            <w:tcW w:w="499" w:type="pct"/>
            <w:tcBorders>
              <w:top w:val="nil"/>
              <w:left w:val="nil"/>
              <w:bottom w:val="single" w:sz="4" w:space="0" w:color="000000" w:themeColor="text1"/>
              <w:right w:val="nil"/>
            </w:tcBorders>
            <w:vAlign w:val="bottom"/>
          </w:tcPr>
          <w:p w14:paraId="6C86A1D6"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£m</w:t>
            </w:r>
          </w:p>
        </w:tc>
      </w:tr>
      <w:tr w:rsidR="00D75CA8" w:rsidRPr="00D80ACC" w14:paraId="7CD3295A" w14:textId="77777777" w:rsidTr="00D75CA8">
        <w:tc>
          <w:tcPr>
            <w:tcW w:w="3501" w:type="pct"/>
            <w:tcBorders>
              <w:top w:val="single" w:sz="4" w:space="0" w:color="000000" w:themeColor="text1"/>
              <w:left w:val="nil"/>
              <w:bottom w:val="nil"/>
              <w:right w:val="nil"/>
            </w:tcBorders>
            <w:vAlign w:val="bottom"/>
            <w:hideMark/>
          </w:tcPr>
          <w:p w14:paraId="6362DA59"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t>Non-current assets</w:t>
            </w:r>
          </w:p>
        </w:tc>
        <w:tc>
          <w:tcPr>
            <w:tcW w:w="500" w:type="pct"/>
            <w:tcBorders>
              <w:top w:val="single" w:sz="4" w:space="0" w:color="000000" w:themeColor="text1"/>
              <w:left w:val="nil"/>
              <w:bottom w:val="nil"/>
              <w:right w:val="nil"/>
            </w:tcBorders>
            <w:vAlign w:val="bottom"/>
          </w:tcPr>
          <w:p w14:paraId="625F74FA"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tcBorders>
              <w:top w:val="single" w:sz="4" w:space="0" w:color="000000" w:themeColor="text1"/>
              <w:left w:val="nil"/>
              <w:bottom w:val="nil"/>
              <w:right w:val="nil"/>
            </w:tcBorders>
            <w:vAlign w:val="bottom"/>
          </w:tcPr>
          <w:p w14:paraId="03178333" w14:textId="77777777" w:rsidR="00D75CA8" w:rsidRPr="004B30F5" w:rsidRDefault="00D75CA8" w:rsidP="00D75CA8">
            <w:pPr>
              <w:widowControl w:val="0"/>
              <w:autoSpaceDE w:val="0"/>
              <w:autoSpaceDN w:val="0"/>
              <w:adjustRightInd w:val="0"/>
              <w:spacing w:after="0" w:line="240" w:lineRule="auto"/>
              <w:jc w:val="right"/>
              <w:rPr>
                <w:rFonts w:cstheme="minorHAnsi"/>
                <w:highlight w:val="yellow"/>
              </w:rPr>
            </w:pPr>
          </w:p>
        </w:tc>
        <w:tc>
          <w:tcPr>
            <w:tcW w:w="499" w:type="pct"/>
            <w:tcBorders>
              <w:top w:val="single" w:sz="4" w:space="0" w:color="000000" w:themeColor="text1"/>
              <w:left w:val="nil"/>
              <w:bottom w:val="nil"/>
              <w:right w:val="nil"/>
            </w:tcBorders>
            <w:vAlign w:val="bottom"/>
          </w:tcPr>
          <w:p w14:paraId="3810EFFA" w14:textId="77777777" w:rsidR="00D75CA8" w:rsidRPr="004B30F5" w:rsidRDefault="00D75CA8" w:rsidP="00D75CA8">
            <w:pPr>
              <w:widowControl w:val="0"/>
              <w:autoSpaceDE w:val="0"/>
              <w:autoSpaceDN w:val="0"/>
              <w:adjustRightInd w:val="0"/>
              <w:spacing w:after="0" w:line="240" w:lineRule="auto"/>
              <w:jc w:val="right"/>
              <w:rPr>
                <w:rFonts w:cstheme="minorHAnsi"/>
              </w:rPr>
            </w:pPr>
          </w:p>
        </w:tc>
      </w:tr>
      <w:tr w:rsidR="00D75CA8" w:rsidRPr="00D80ACC" w14:paraId="156C87D7" w14:textId="77777777" w:rsidTr="00D75CA8">
        <w:tc>
          <w:tcPr>
            <w:tcW w:w="3501" w:type="pct"/>
            <w:vAlign w:val="bottom"/>
            <w:hideMark/>
          </w:tcPr>
          <w:p w14:paraId="4BE6693D"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Intangible assets</w:t>
            </w:r>
          </w:p>
        </w:tc>
        <w:tc>
          <w:tcPr>
            <w:tcW w:w="500" w:type="pct"/>
            <w:vAlign w:val="bottom"/>
            <w:hideMark/>
          </w:tcPr>
          <w:p w14:paraId="616039A0"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vAlign w:val="bottom"/>
            <w:hideMark/>
          </w:tcPr>
          <w:p w14:paraId="438FA19E" w14:textId="77777777" w:rsidR="00D75CA8" w:rsidRPr="00A07609" w:rsidRDefault="00D75CA8" w:rsidP="00D75CA8">
            <w:pPr>
              <w:widowControl w:val="0"/>
              <w:autoSpaceDE w:val="0"/>
              <w:autoSpaceDN w:val="0"/>
              <w:adjustRightInd w:val="0"/>
              <w:spacing w:after="0" w:line="240" w:lineRule="auto"/>
              <w:jc w:val="right"/>
              <w:rPr>
                <w:rFonts w:cstheme="minorHAnsi"/>
                <w:b/>
                <w:bCs/>
              </w:rPr>
            </w:pPr>
            <w:r w:rsidRPr="00A07609">
              <w:rPr>
                <w:rFonts w:cstheme="minorHAnsi"/>
                <w:b/>
                <w:bCs/>
              </w:rPr>
              <w:t>25.3</w:t>
            </w:r>
          </w:p>
        </w:tc>
        <w:tc>
          <w:tcPr>
            <w:tcW w:w="499" w:type="pct"/>
            <w:vAlign w:val="bottom"/>
          </w:tcPr>
          <w:p w14:paraId="7837F2DA"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25.5</w:t>
            </w:r>
          </w:p>
        </w:tc>
      </w:tr>
      <w:tr w:rsidR="00D75CA8" w:rsidRPr="00D80ACC" w14:paraId="1B6E60E4" w14:textId="77777777" w:rsidTr="00D75CA8">
        <w:tc>
          <w:tcPr>
            <w:tcW w:w="3501" w:type="pct"/>
            <w:vAlign w:val="bottom"/>
            <w:hideMark/>
          </w:tcPr>
          <w:p w14:paraId="7FA3F348"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 xml:space="preserve">Property, </w:t>
            </w:r>
            <w:proofErr w:type="gramStart"/>
            <w:r w:rsidRPr="00D80ACC">
              <w:rPr>
                <w:rFonts w:cstheme="minorHAnsi"/>
              </w:rPr>
              <w:t>plant</w:t>
            </w:r>
            <w:proofErr w:type="gramEnd"/>
            <w:r w:rsidRPr="00D80ACC">
              <w:rPr>
                <w:rFonts w:cstheme="minorHAnsi"/>
              </w:rPr>
              <w:t xml:space="preserve"> and equipment</w:t>
            </w:r>
          </w:p>
        </w:tc>
        <w:tc>
          <w:tcPr>
            <w:tcW w:w="500" w:type="pct"/>
            <w:vAlign w:val="bottom"/>
            <w:hideMark/>
          </w:tcPr>
          <w:p w14:paraId="4FB9097E"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vAlign w:val="bottom"/>
            <w:hideMark/>
          </w:tcPr>
          <w:p w14:paraId="08ADF5D4" w14:textId="77777777" w:rsidR="00D75CA8" w:rsidRPr="00A07609" w:rsidRDefault="00D75CA8" w:rsidP="00D75CA8">
            <w:pPr>
              <w:widowControl w:val="0"/>
              <w:autoSpaceDE w:val="0"/>
              <w:autoSpaceDN w:val="0"/>
              <w:adjustRightInd w:val="0"/>
              <w:spacing w:after="0" w:line="240" w:lineRule="auto"/>
              <w:jc w:val="right"/>
              <w:rPr>
                <w:rFonts w:cstheme="minorHAnsi"/>
                <w:b/>
                <w:bCs/>
              </w:rPr>
            </w:pPr>
            <w:r w:rsidRPr="00A07609">
              <w:rPr>
                <w:rFonts w:cstheme="minorHAnsi"/>
                <w:b/>
                <w:bCs/>
              </w:rPr>
              <w:t>8.0</w:t>
            </w:r>
          </w:p>
        </w:tc>
        <w:tc>
          <w:tcPr>
            <w:tcW w:w="499" w:type="pct"/>
            <w:vAlign w:val="bottom"/>
          </w:tcPr>
          <w:p w14:paraId="14BC6B55"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9.0</w:t>
            </w:r>
          </w:p>
        </w:tc>
      </w:tr>
      <w:tr w:rsidR="00D75CA8" w:rsidRPr="00D80ACC" w14:paraId="6B5BD23F" w14:textId="77777777" w:rsidTr="00D97FA1">
        <w:tc>
          <w:tcPr>
            <w:tcW w:w="3501" w:type="pct"/>
            <w:tcBorders>
              <w:top w:val="nil"/>
              <w:left w:val="nil"/>
              <w:right w:val="nil"/>
            </w:tcBorders>
            <w:vAlign w:val="bottom"/>
            <w:hideMark/>
          </w:tcPr>
          <w:p w14:paraId="7487C977"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Deferred tax assets</w:t>
            </w:r>
          </w:p>
        </w:tc>
        <w:tc>
          <w:tcPr>
            <w:tcW w:w="500" w:type="pct"/>
            <w:tcBorders>
              <w:top w:val="nil"/>
              <w:left w:val="nil"/>
              <w:right w:val="nil"/>
            </w:tcBorders>
            <w:vAlign w:val="bottom"/>
            <w:hideMark/>
          </w:tcPr>
          <w:p w14:paraId="1848D4BE"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tcBorders>
              <w:top w:val="nil"/>
              <w:left w:val="nil"/>
              <w:right w:val="nil"/>
            </w:tcBorders>
            <w:vAlign w:val="bottom"/>
            <w:hideMark/>
          </w:tcPr>
          <w:p w14:paraId="3D162FE6" w14:textId="77777777" w:rsidR="00D75CA8" w:rsidRPr="00A07609" w:rsidRDefault="00D75CA8" w:rsidP="00D75CA8">
            <w:pPr>
              <w:widowControl w:val="0"/>
              <w:autoSpaceDE w:val="0"/>
              <w:autoSpaceDN w:val="0"/>
              <w:adjustRightInd w:val="0"/>
              <w:spacing w:after="0" w:line="240" w:lineRule="auto"/>
              <w:jc w:val="right"/>
              <w:rPr>
                <w:rFonts w:cstheme="minorHAnsi"/>
                <w:b/>
                <w:bCs/>
              </w:rPr>
            </w:pPr>
            <w:r w:rsidRPr="00A07609">
              <w:rPr>
                <w:rFonts w:cstheme="minorHAnsi"/>
                <w:b/>
                <w:bCs/>
              </w:rPr>
              <w:t>6.</w:t>
            </w:r>
            <w:r>
              <w:rPr>
                <w:rFonts w:cstheme="minorHAnsi"/>
                <w:b/>
                <w:bCs/>
              </w:rPr>
              <w:t>2</w:t>
            </w:r>
          </w:p>
        </w:tc>
        <w:tc>
          <w:tcPr>
            <w:tcW w:w="499" w:type="pct"/>
            <w:tcBorders>
              <w:top w:val="nil"/>
              <w:left w:val="nil"/>
              <w:right w:val="nil"/>
            </w:tcBorders>
            <w:vAlign w:val="bottom"/>
          </w:tcPr>
          <w:p w14:paraId="17387136"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4.8</w:t>
            </w:r>
          </w:p>
        </w:tc>
      </w:tr>
      <w:tr w:rsidR="00D97FA1" w:rsidRPr="00D80ACC" w14:paraId="25F71EFD" w14:textId="77777777" w:rsidTr="00D75CA8">
        <w:tc>
          <w:tcPr>
            <w:tcW w:w="3501" w:type="pct"/>
            <w:tcBorders>
              <w:top w:val="nil"/>
              <w:left w:val="nil"/>
              <w:bottom w:val="single" w:sz="4" w:space="0" w:color="000000" w:themeColor="text1"/>
              <w:right w:val="nil"/>
            </w:tcBorders>
            <w:vAlign w:val="bottom"/>
          </w:tcPr>
          <w:p w14:paraId="1E33266A" w14:textId="36301200" w:rsidR="00D97FA1" w:rsidRPr="00D80ACC" w:rsidRDefault="00D97FA1" w:rsidP="00D75CA8">
            <w:pPr>
              <w:widowControl w:val="0"/>
              <w:autoSpaceDE w:val="0"/>
              <w:autoSpaceDN w:val="0"/>
              <w:adjustRightInd w:val="0"/>
              <w:spacing w:after="0" w:line="240" w:lineRule="auto"/>
              <w:rPr>
                <w:rFonts w:cstheme="minorHAnsi"/>
              </w:rPr>
            </w:pPr>
            <w:r>
              <w:rPr>
                <w:rFonts w:cstheme="minorHAnsi"/>
              </w:rPr>
              <w:t>Trade and other receivables</w:t>
            </w:r>
          </w:p>
        </w:tc>
        <w:tc>
          <w:tcPr>
            <w:tcW w:w="500" w:type="pct"/>
            <w:tcBorders>
              <w:top w:val="nil"/>
              <w:left w:val="nil"/>
              <w:bottom w:val="single" w:sz="4" w:space="0" w:color="000000" w:themeColor="text1"/>
              <w:right w:val="nil"/>
            </w:tcBorders>
            <w:vAlign w:val="bottom"/>
          </w:tcPr>
          <w:p w14:paraId="2B557B70" w14:textId="77777777" w:rsidR="00D97FA1" w:rsidRPr="00D80ACC" w:rsidRDefault="00D97FA1" w:rsidP="00D75CA8">
            <w:pPr>
              <w:widowControl w:val="0"/>
              <w:autoSpaceDE w:val="0"/>
              <w:autoSpaceDN w:val="0"/>
              <w:adjustRightInd w:val="0"/>
              <w:spacing w:after="0" w:line="240" w:lineRule="auto"/>
              <w:jc w:val="right"/>
              <w:rPr>
                <w:rFonts w:cstheme="minorHAnsi"/>
              </w:rPr>
            </w:pPr>
          </w:p>
        </w:tc>
        <w:tc>
          <w:tcPr>
            <w:tcW w:w="500" w:type="pct"/>
            <w:tcBorders>
              <w:top w:val="nil"/>
              <w:left w:val="nil"/>
              <w:bottom w:val="single" w:sz="4" w:space="0" w:color="000000" w:themeColor="text1"/>
              <w:right w:val="nil"/>
            </w:tcBorders>
            <w:vAlign w:val="bottom"/>
          </w:tcPr>
          <w:p w14:paraId="096D43BE" w14:textId="29EDBAE2" w:rsidR="00D97FA1" w:rsidRPr="00A07609" w:rsidRDefault="00D97FA1" w:rsidP="00D75CA8">
            <w:pPr>
              <w:widowControl w:val="0"/>
              <w:autoSpaceDE w:val="0"/>
              <w:autoSpaceDN w:val="0"/>
              <w:adjustRightInd w:val="0"/>
              <w:spacing w:after="0" w:line="240" w:lineRule="auto"/>
              <w:jc w:val="right"/>
              <w:rPr>
                <w:rFonts w:cstheme="minorHAnsi"/>
                <w:b/>
                <w:bCs/>
              </w:rPr>
            </w:pPr>
            <w:r>
              <w:rPr>
                <w:rFonts w:cstheme="minorHAnsi"/>
                <w:b/>
                <w:bCs/>
              </w:rPr>
              <w:t>3.6</w:t>
            </w:r>
          </w:p>
        </w:tc>
        <w:tc>
          <w:tcPr>
            <w:tcW w:w="499" w:type="pct"/>
            <w:tcBorders>
              <w:top w:val="nil"/>
              <w:left w:val="nil"/>
              <w:bottom w:val="single" w:sz="4" w:space="0" w:color="000000" w:themeColor="text1"/>
              <w:right w:val="nil"/>
            </w:tcBorders>
            <w:vAlign w:val="bottom"/>
          </w:tcPr>
          <w:p w14:paraId="3FCC9183" w14:textId="353F332C" w:rsidR="00D97FA1" w:rsidRPr="004B30F5" w:rsidRDefault="00D97FA1" w:rsidP="00D75CA8">
            <w:pPr>
              <w:widowControl w:val="0"/>
              <w:autoSpaceDE w:val="0"/>
              <w:autoSpaceDN w:val="0"/>
              <w:adjustRightInd w:val="0"/>
              <w:spacing w:after="0" w:line="240" w:lineRule="auto"/>
              <w:jc w:val="right"/>
              <w:rPr>
                <w:rFonts w:cstheme="minorHAnsi"/>
              </w:rPr>
            </w:pPr>
            <w:r>
              <w:rPr>
                <w:rFonts w:cstheme="minorHAnsi"/>
              </w:rPr>
              <w:t>5.0</w:t>
            </w:r>
          </w:p>
        </w:tc>
      </w:tr>
      <w:tr w:rsidR="00D75CA8" w:rsidRPr="00D80ACC" w14:paraId="1D3C4086" w14:textId="77777777" w:rsidTr="00D75CA8">
        <w:tc>
          <w:tcPr>
            <w:tcW w:w="3501" w:type="pct"/>
            <w:tcBorders>
              <w:top w:val="single" w:sz="4" w:space="0" w:color="000000" w:themeColor="text1"/>
              <w:left w:val="nil"/>
              <w:bottom w:val="single" w:sz="4" w:space="0" w:color="000000" w:themeColor="text1"/>
              <w:right w:val="nil"/>
            </w:tcBorders>
            <w:vAlign w:val="bottom"/>
            <w:hideMark/>
          </w:tcPr>
          <w:p w14:paraId="3C9DAC7B"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lastRenderedPageBreak/>
              <w:t>Total non-current assets</w:t>
            </w:r>
          </w:p>
        </w:tc>
        <w:tc>
          <w:tcPr>
            <w:tcW w:w="500" w:type="pct"/>
            <w:tcBorders>
              <w:top w:val="single" w:sz="4" w:space="0" w:color="000000" w:themeColor="text1"/>
              <w:left w:val="nil"/>
              <w:bottom w:val="single" w:sz="4" w:space="0" w:color="000000" w:themeColor="text1"/>
              <w:right w:val="nil"/>
            </w:tcBorders>
            <w:vAlign w:val="bottom"/>
          </w:tcPr>
          <w:p w14:paraId="07EEAC40"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tcBorders>
              <w:top w:val="single" w:sz="4" w:space="0" w:color="000000" w:themeColor="text1"/>
              <w:left w:val="nil"/>
              <w:bottom w:val="single" w:sz="4" w:space="0" w:color="000000" w:themeColor="text1"/>
              <w:right w:val="nil"/>
            </w:tcBorders>
            <w:vAlign w:val="bottom"/>
            <w:hideMark/>
          </w:tcPr>
          <w:p w14:paraId="6A52C440" w14:textId="58658CB5" w:rsidR="00D75CA8" w:rsidRPr="00A07609" w:rsidRDefault="00D97FA1" w:rsidP="00D75CA8">
            <w:pPr>
              <w:widowControl w:val="0"/>
              <w:autoSpaceDE w:val="0"/>
              <w:autoSpaceDN w:val="0"/>
              <w:adjustRightInd w:val="0"/>
              <w:spacing w:after="0" w:line="240" w:lineRule="auto"/>
              <w:jc w:val="right"/>
              <w:rPr>
                <w:rFonts w:cstheme="minorHAnsi"/>
                <w:b/>
                <w:bCs/>
              </w:rPr>
            </w:pPr>
            <w:r>
              <w:rPr>
                <w:rFonts w:cstheme="minorHAnsi"/>
                <w:b/>
                <w:bCs/>
              </w:rPr>
              <w:t>43.1</w:t>
            </w:r>
          </w:p>
        </w:tc>
        <w:tc>
          <w:tcPr>
            <w:tcW w:w="499" w:type="pct"/>
            <w:tcBorders>
              <w:top w:val="single" w:sz="4" w:space="0" w:color="000000" w:themeColor="text1"/>
              <w:left w:val="nil"/>
              <w:bottom w:val="single" w:sz="4" w:space="0" w:color="000000" w:themeColor="text1"/>
              <w:right w:val="nil"/>
            </w:tcBorders>
            <w:vAlign w:val="bottom"/>
          </w:tcPr>
          <w:p w14:paraId="043FC384" w14:textId="56FB2694" w:rsidR="00D75CA8" w:rsidRPr="004B30F5" w:rsidRDefault="00D97FA1" w:rsidP="00D75CA8">
            <w:pPr>
              <w:widowControl w:val="0"/>
              <w:autoSpaceDE w:val="0"/>
              <w:autoSpaceDN w:val="0"/>
              <w:adjustRightInd w:val="0"/>
              <w:spacing w:after="0" w:line="240" w:lineRule="auto"/>
              <w:jc w:val="right"/>
              <w:rPr>
                <w:rFonts w:cstheme="minorHAnsi"/>
              </w:rPr>
            </w:pPr>
            <w:r>
              <w:rPr>
                <w:rFonts w:cstheme="minorHAnsi"/>
              </w:rPr>
              <w:t>44</w:t>
            </w:r>
            <w:r w:rsidR="00D75CA8" w:rsidRPr="004B30F5">
              <w:rPr>
                <w:rFonts w:cstheme="minorHAnsi"/>
              </w:rPr>
              <w:t>.3</w:t>
            </w:r>
          </w:p>
        </w:tc>
      </w:tr>
      <w:tr w:rsidR="00D75CA8" w:rsidRPr="00D80ACC" w14:paraId="18089634" w14:textId="77777777" w:rsidTr="00D75CA8">
        <w:tc>
          <w:tcPr>
            <w:tcW w:w="3501" w:type="pct"/>
            <w:tcBorders>
              <w:top w:val="single" w:sz="4" w:space="0" w:color="000000" w:themeColor="text1"/>
              <w:left w:val="nil"/>
              <w:bottom w:val="nil"/>
              <w:right w:val="nil"/>
            </w:tcBorders>
            <w:vAlign w:val="bottom"/>
            <w:hideMark/>
          </w:tcPr>
          <w:p w14:paraId="2B84168B"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t>Current assets</w:t>
            </w:r>
          </w:p>
        </w:tc>
        <w:tc>
          <w:tcPr>
            <w:tcW w:w="500" w:type="pct"/>
            <w:tcBorders>
              <w:top w:val="single" w:sz="4" w:space="0" w:color="000000" w:themeColor="text1"/>
              <w:left w:val="nil"/>
              <w:bottom w:val="nil"/>
              <w:right w:val="nil"/>
            </w:tcBorders>
            <w:vAlign w:val="bottom"/>
          </w:tcPr>
          <w:p w14:paraId="05619F60"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tcBorders>
              <w:top w:val="single" w:sz="4" w:space="0" w:color="000000" w:themeColor="text1"/>
              <w:left w:val="nil"/>
              <w:bottom w:val="nil"/>
              <w:right w:val="nil"/>
            </w:tcBorders>
            <w:vAlign w:val="bottom"/>
          </w:tcPr>
          <w:p w14:paraId="0D2BE74A" w14:textId="77777777" w:rsidR="00D75CA8" w:rsidRPr="004B30F5" w:rsidRDefault="00D75CA8" w:rsidP="00D75CA8">
            <w:pPr>
              <w:widowControl w:val="0"/>
              <w:autoSpaceDE w:val="0"/>
              <w:autoSpaceDN w:val="0"/>
              <w:adjustRightInd w:val="0"/>
              <w:spacing w:after="0" w:line="240" w:lineRule="auto"/>
              <w:jc w:val="right"/>
              <w:rPr>
                <w:rFonts w:cstheme="minorHAnsi"/>
                <w:highlight w:val="yellow"/>
              </w:rPr>
            </w:pPr>
          </w:p>
        </w:tc>
        <w:tc>
          <w:tcPr>
            <w:tcW w:w="499" w:type="pct"/>
            <w:tcBorders>
              <w:top w:val="single" w:sz="4" w:space="0" w:color="000000" w:themeColor="text1"/>
              <w:left w:val="nil"/>
              <w:bottom w:val="nil"/>
              <w:right w:val="nil"/>
            </w:tcBorders>
            <w:vAlign w:val="bottom"/>
          </w:tcPr>
          <w:p w14:paraId="6854CB4F" w14:textId="77777777" w:rsidR="00D75CA8" w:rsidRPr="004B30F5" w:rsidRDefault="00D75CA8" w:rsidP="00D75CA8">
            <w:pPr>
              <w:widowControl w:val="0"/>
              <w:autoSpaceDE w:val="0"/>
              <w:autoSpaceDN w:val="0"/>
              <w:adjustRightInd w:val="0"/>
              <w:spacing w:after="0" w:line="240" w:lineRule="auto"/>
              <w:jc w:val="right"/>
              <w:rPr>
                <w:rFonts w:cstheme="minorHAnsi"/>
              </w:rPr>
            </w:pPr>
          </w:p>
        </w:tc>
      </w:tr>
      <w:tr w:rsidR="00D75CA8" w:rsidRPr="00D80ACC" w14:paraId="16FF6B90" w14:textId="77777777" w:rsidTr="00D75CA8">
        <w:tc>
          <w:tcPr>
            <w:tcW w:w="3501" w:type="pct"/>
            <w:vAlign w:val="bottom"/>
            <w:hideMark/>
          </w:tcPr>
          <w:p w14:paraId="1C771013"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Inventories</w:t>
            </w:r>
          </w:p>
        </w:tc>
        <w:tc>
          <w:tcPr>
            <w:tcW w:w="500" w:type="pct"/>
            <w:vAlign w:val="bottom"/>
            <w:hideMark/>
          </w:tcPr>
          <w:p w14:paraId="1EB071CF"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vAlign w:val="bottom"/>
            <w:hideMark/>
          </w:tcPr>
          <w:p w14:paraId="720AE1EC" w14:textId="77777777" w:rsidR="00D75CA8" w:rsidRPr="00A07609" w:rsidRDefault="00D75CA8" w:rsidP="00D75CA8">
            <w:pPr>
              <w:widowControl w:val="0"/>
              <w:autoSpaceDE w:val="0"/>
              <w:autoSpaceDN w:val="0"/>
              <w:adjustRightInd w:val="0"/>
              <w:spacing w:after="0" w:line="240" w:lineRule="auto"/>
              <w:jc w:val="right"/>
              <w:rPr>
                <w:rFonts w:cstheme="minorHAnsi"/>
                <w:b/>
                <w:bCs/>
              </w:rPr>
            </w:pPr>
            <w:r w:rsidRPr="00A07609">
              <w:rPr>
                <w:rFonts w:cstheme="minorHAnsi"/>
                <w:b/>
                <w:bCs/>
              </w:rPr>
              <w:t>0.4</w:t>
            </w:r>
          </w:p>
        </w:tc>
        <w:tc>
          <w:tcPr>
            <w:tcW w:w="499" w:type="pct"/>
            <w:vAlign w:val="bottom"/>
          </w:tcPr>
          <w:p w14:paraId="2689FEC4"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0.2</w:t>
            </w:r>
          </w:p>
        </w:tc>
      </w:tr>
      <w:tr w:rsidR="00D75CA8" w:rsidRPr="00D80ACC" w14:paraId="65CEB283" w14:textId="77777777" w:rsidTr="00D75CA8">
        <w:tc>
          <w:tcPr>
            <w:tcW w:w="3501" w:type="pct"/>
            <w:vAlign w:val="bottom"/>
            <w:hideMark/>
          </w:tcPr>
          <w:p w14:paraId="5FCE3C4B"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Amounts due from customers under construction contracts</w:t>
            </w:r>
          </w:p>
        </w:tc>
        <w:tc>
          <w:tcPr>
            <w:tcW w:w="500" w:type="pct"/>
            <w:vAlign w:val="bottom"/>
            <w:hideMark/>
          </w:tcPr>
          <w:p w14:paraId="05EBDFF1"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vAlign w:val="bottom"/>
            <w:hideMark/>
          </w:tcPr>
          <w:p w14:paraId="44FADA19" w14:textId="77777777" w:rsidR="00D75CA8" w:rsidRPr="00A07609" w:rsidRDefault="00D75CA8" w:rsidP="00D75CA8">
            <w:pPr>
              <w:widowControl w:val="0"/>
              <w:autoSpaceDE w:val="0"/>
              <w:autoSpaceDN w:val="0"/>
              <w:adjustRightInd w:val="0"/>
              <w:spacing w:after="0" w:line="240" w:lineRule="auto"/>
              <w:jc w:val="right"/>
              <w:rPr>
                <w:rFonts w:cstheme="minorHAnsi"/>
                <w:b/>
                <w:bCs/>
              </w:rPr>
            </w:pPr>
            <w:r w:rsidRPr="00A07609">
              <w:rPr>
                <w:rFonts w:cstheme="minorHAnsi"/>
                <w:b/>
                <w:bCs/>
              </w:rPr>
              <w:t>41.7</w:t>
            </w:r>
          </w:p>
        </w:tc>
        <w:tc>
          <w:tcPr>
            <w:tcW w:w="499" w:type="pct"/>
            <w:vAlign w:val="bottom"/>
          </w:tcPr>
          <w:p w14:paraId="668DB7BD" w14:textId="77777777" w:rsidR="00D75CA8" w:rsidRPr="004B30F5" w:rsidRDefault="00D75CA8" w:rsidP="00D75CA8">
            <w:pPr>
              <w:widowControl w:val="0"/>
              <w:autoSpaceDE w:val="0"/>
              <w:autoSpaceDN w:val="0"/>
              <w:adjustRightInd w:val="0"/>
              <w:spacing w:after="0" w:line="240" w:lineRule="auto"/>
              <w:jc w:val="right"/>
              <w:rPr>
                <w:rFonts w:cstheme="minorHAnsi"/>
              </w:rPr>
            </w:pPr>
            <w:r>
              <w:rPr>
                <w:rFonts w:cstheme="minorHAnsi"/>
              </w:rPr>
              <w:t>44.6</w:t>
            </w:r>
          </w:p>
        </w:tc>
      </w:tr>
      <w:tr w:rsidR="00D75CA8" w:rsidRPr="00D80ACC" w14:paraId="4C6771C0" w14:textId="77777777" w:rsidTr="00D75CA8">
        <w:tc>
          <w:tcPr>
            <w:tcW w:w="3501" w:type="pct"/>
            <w:vAlign w:val="bottom"/>
            <w:hideMark/>
          </w:tcPr>
          <w:p w14:paraId="45A33829"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Trade and other receivables</w:t>
            </w:r>
          </w:p>
        </w:tc>
        <w:tc>
          <w:tcPr>
            <w:tcW w:w="500" w:type="pct"/>
            <w:vAlign w:val="bottom"/>
            <w:hideMark/>
          </w:tcPr>
          <w:p w14:paraId="21AE5E4E"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vAlign w:val="bottom"/>
            <w:hideMark/>
          </w:tcPr>
          <w:p w14:paraId="39648EE8" w14:textId="069DCB96" w:rsidR="00D75CA8" w:rsidRPr="00A07609" w:rsidRDefault="00D97FA1" w:rsidP="00D75CA8">
            <w:pPr>
              <w:widowControl w:val="0"/>
              <w:autoSpaceDE w:val="0"/>
              <w:autoSpaceDN w:val="0"/>
              <w:adjustRightInd w:val="0"/>
              <w:spacing w:after="0" w:line="240" w:lineRule="auto"/>
              <w:jc w:val="right"/>
              <w:rPr>
                <w:rFonts w:cstheme="minorHAnsi"/>
                <w:b/>
                <w:bCs/>
              </w:rPr>
            </w:pPr>
            <w:r>
              <w:rPr>
                <w:rFonts w:cstheme="minorHAnsi"/>
                <w:b/>
                <w:bCs/>
              </w:rPr>
              <w:t>34.5</w:t>
            </w:r>
          </w:p>
        </w:tc>
        <w:tc>
          <w:tcPr>
            <w:tcW w:w="499" w:type="pct"/>
            <w:vAlign w:val="bottom"/>
          </w:tcPr>
          <w:p w14:paraId="61CB3970" w14:textId="7C6D094F" w:rsidR="00D75CA8" w:rsidRPr="004B30F5" w:rsidRDefault="00297DD4" w:rsidP="00D75CA8">
            <w:pPr>
              <w:widowControl w:val="0"/>
              <w:autoSpaceDE w:val="0"/>
              <w:autoSpaceDN w:val="0"/>
              <w:adjustRightInd w:val="0"/>
              <w:spacing w:after="0" w:line="240" w:lineRule="auto"/>
              <w:jc w:val="right"/>
              <w:rPr>
                <w:rFonts w:cstheme="minorHAnsi"/>
              </w:rPr>
            </w:pPr>
            <w:r>
              <w:rPr>
                <w:rFonts w:cstheme="minorHAnsi"/>
              </w:rPr>
              <w:t>36</w:t>
            </w:r>
            <w:r w:rsidR="00D75CA8">
              <w:rPr>
                <w:rFonts w:cstheme="minorHAnsi"/>
              </w:rPr>
              <w:t>.9</w:t>
            </w:r>
          </w:p>
        </w:tc>
      </w:tr>
      <w:tr w:rsidR="00D75CA8" w:rsidRPr="00D80ACC" w14:paraId="3DE09A3D" w14:textId="77777777" w:rsidTr="00D75CA8">
        <w:tc>
          <w:tcPr>
            <w:tcW w:w="3501" w:type="pct"/>
            <w:vAlign w:val="bottom"/>
          </w:tcPr>
          <w:p w14:paraId="3783BA74" w14:textId="77777777" w:rsidR="00D75CA8" w:rsidRPr="00D80ACC" w:rsidRDefault="00D75CA8" w:rsidP="00D75CA8">
            <w:pPr>
              <w:widowControl w:val="0"/>
              <w:autoSpaceDE w:val="0"/>
              <w:autoSpaceDN w:val="0"/>
              <w:adjustRightInd w:val="0"/>
              <w:spacing w:after="0" w:line="240" w:lineRule="auto"/>
              <w:rPr>
                <w:rFonts w:cstheme="minorHAnsi"/>
              </w:rPr>
            </w:pPr>
            <w:r>
              <w:rPr>
                <w:rFonts w:cstheme="minorHAnsi"/>
              </w:rPr>
              <w:t>Current tax receivables</w:t>
            </w:r>
          </w:p>
        </w:tc>
        <w:tc>
          <w:tcPr>
            <w:tcW w:w="500" w:type="pct"/>
            <w:vAlign w:val="bottom"/>
          </w:tcPr>
          <w:p w14:paraId="5394B69A"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vAlign w:val="bottom"/>
          </w:tcPr>
          <w:p w14:paraId="0B2E1035" w14:textId="77777777" w:rsidR="00D75CA8" w:rsidRPr="00A07609" w:rsidRDefault="00D75CA8" w:rsidP="00D75CA8">
            <w:pPr>
              <w:widowControl w:val="0"/>
              <w:autoSpaceDE w:val="0"/>
              <w:autoSpaceDN w:val="0"/>
              <w:adjustRightInd w:val="0"/>
              <w:spacing w:after="0" w:line="240" w:lineRule="auto"/>
              <w:jc w:val="right"/>
              <w:rPr>
                <w:rFonts w:cstheme="minorHAnsi"/>
                <w:b/>
                <w:bCs/>
              </w:rPr>
            </w:pPr>
            <w:r w:rsidRPr="00A07609">
              <w:rPr>
                <w:rFonts w:cstheme="minorHAnsi"/>
                <w:b/>
                <w:bCs/>
              </w:rPr>
              <w:t>0.7</w:t>
            </w:r>
          </w:p>
        </w:tc>
        <w:tc>
          <w:tcPr>
            <w:tcW w:w="499" w:type="pct"/>
            <w:vAlign w:val="bottom"/>
          </w:tcPr>
          <w:p w14:paraId="01308811" w14:textId="77777777" w:rsidR="00D75CA8" w:rsidRPr="00A07609" w:rsidRDefault="00D75CA8" w:rsidP="00D75CA8">
            <w:pPr>
              <w:widowControl w:val="0"/>
              <w:autoSpaceDE w:val="0"/>
              <w:autoSpaceDN w:val="0"/>
              <w:adjustRightInd w:val="0"/>
              <w:spacing w:after="0" w:line="240" w:lineRule="auto"/>
              <w:jc w:val="right"/>
              <w:rPr>
                <w:rFonts w:cstheme="minorHAnsi"/>
              </w:rPr>
            </w:pPr>
            <w:r w:rsidRPr="00A07609">
              <w:rPr>
                <w:rFonts w:cstheme="minorHAnsi"/>
              </w:rPr>
              <w:t>—</w:t>
            </w:r>
          </w:p>
        </w:tc>
      </w:tr>
      <w:tr w:rsidR="00D75CA8" w:rsidRPr="00D80ACC" w14:paraId="43595F45" w14:textId="77777777" w:rsidTr="00D75CA8">
        <w:tc>
          <w:tcPr>
            <w:tcW w:w="3501" w:type="pct"/>
            <w:tcBorders>
              <w:top w:val="nil"/>
              <w:left w:val="nil"/>
              <w:bottom w:val="single" w:sz="4" w:space="0" w:color="000000" w:themeColor="text1"/>
              <w:right w:val="nil"/>
            </w:tcBorders>
            <w:vAlign w:val="bottom"/>
            <w:hideMark/>
          </w:tcPr>
          <w:p w14:paraId="6C89FA7D"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Cash and cash equivalents</w:t>
            </w:r>
          </w:p>
        </w:tc>
        <w:tc>
          <w:tcPr>
            <w:tcW w:w="500" w:type="pct"/>
            <w:tcBorders>
              <w:top w:val="nil"/>
              <w:left w:val="nil"/>
              <w:bottom w:val="single" w:sz="4" w:space="0" w:color="000000" w:themeColor="text1"/>
              <w:right w:val="nil"/>
            </w:tcBorders>
            <w:vAlign w:val="bottom"/>
            <w:hideMark/>
          </w:tcPr>
          <w:p w14:paraId="045B7B09" w14:textId="77777777" w:rsidR="00D75CA8" w:rsidRPr="00D80ACC" w:rsidRDefault="00D75CA8" w:rsidP="00D75CA8">
            <w:pPr>
              <w:widowControl w:val="0"/>
              <w:autoSpaceDE w:val="0"/>
              <w:autoSpaceDN w:val="0"/>
              <w:adjustRightInd w:val="0"/>
              <w:spacing w:after="0" w:line="240" w:lineRule="auto"/>
              <w:jc w:val="right"/>
              <w:rPr>
                <w:rFonts w:cstheme="minorHAnsi"/>
              </w:rPr>
            </w:pPr>
            <w:r>
              <w:rPr>
                <w:rFonts w:cstheme="minorHAnsi"/>
              </w:rPr>
              <w:t>8</w:t>
            </w:r>
          </w:p>
        </w:tc>
        <w:tc>
          <w:tcPr>
            <w:tcW w:w="500" w:type="pct"/>
            <w:tcBorders>
              <w:top w:val="nil"/>
              <w:left w:val="nil"/>
              <w:bottom w:val="single" w:sz="4" w:space="0" w:color="000000" w:themeColor="text1"/>
              <w:right w:val="nil"/>
            </w:tcBorders>
            <w:vAlign w:val="bottom"/>
            <w:hideMark/>
          </w:tcPr>
          <w:p w14:paraId="448BB1DB" w14:textId="77777777" w:rsidR="00D75CA8" w:rsidRPr="00A07609" w:rsidRDefault="00D75CA8" w:rsidP="00D75CA8">
            <w:pPr>
              <w:widowControl w:val="0"/>
              <w:autoSpaceDE w:val="0"/>
              <w:autoSpaceDN w:val="0"/>
              <w:adjustRightInd w:val="0"/>
              <w:spacing w:after="0" w:line="240" w:lineRule="auto"/>
              <w:jc w:val="right"/>
              <w:rPr>
                <w:rFonts w:cstheme="minorHAnsi"/>
                <w:b/>
                <w:bCs/>
              </w:rPr>
            </w:pPr>
            <w:r w:rsidRPr="00A07609">
              <w:rPr>
                <w:rFonts w:cstheme="minorHAnsi"/>
                <w:b/>
                <w:bCs/>
              </w:rPr>
              <w:t>25.2</w:t>
            </w:r>
          </w:p>
        </w:tc>
        <w:tc>
          <w:tcPr>
            <w:tcW w:w="499" w:type="pct"/>
            <w:tcBorders>
              <w:top w:val="nil"/>
              <w:left w:val="nil"/>
              <w:bottom w:val="single" w:sz="4" w:space="0" w:color="000000" w:themeColor="text1"/>
              <w:right w:val="nil"/>
            </w:tcBorders>
            <w:vAlign w:val="bottom"/>
          </w:tcPr>
          <w:p w14:paraId="3E32F121"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12.4</w:t>
            </w:r>
          </w:p>
        </w:tc>
      </w:tr>
      <w:tr w:rsidR="00D75CA8" w:rsidRPr="00D80ACC" w14:paraId="5AC15B39" w14:textId="77777777" w:rsidTr="00D75CA8">
        <w:tc>
          <w:tcPr>
            <w:tcW w:w="3501" w:type="pct"/>
            <w:tcBorders>
              <w:top w:val="single" w:sz="4" w:space="0" w:color="000000" w:themeColor="text1"/>
              <w:left w:val="nil"/>
              <w:bottom w:val="single" w:sz="4" w:space="0" w:color="000000" w:themeColor="text1"/>
              <w:right w:val="nil"/>
            </w:tcBorders>
            <w:vAlign w:val="bottom"/>
            <w:hideMark/>
          </w:tcPr>
          <w:p w14:paraId="56A8C390"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Total current assets</w:t>
            </w:r>
          </w:p>
        </w:tc>
        <w:tc>
          <w:tcPr>
            <w:tcW w:w="500" w:type="pct"/>
            <w:tcBorders>
              <w:top w:val="single" w:sz="4" w:space="0" w:color="000000" w:themeColor="text1"/>
              <w:left w:val="nil"/>
              <w:bottom w:val="single" w:sz="4" w:space="0" w:color="000000" w:themeColor="text1"/>
              <w:right w:val="nil"/>
            </w:tcBorders>
            <w:vAlign w:val="bottom"/>
          </w:tcPr>
          <w:p w14:paraId="236361ED"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tcBorders>
              <w:top w:val="single" w:sz="4" w:space="0" w:color="000000" w:themeColor="text1"/>
              <w:left w:val="nil"/>
              <w:bottom w:val="single" w:sz="4" w:space="0" w:color="000000" w:themeColor="text1"/>
              <w:right w:val="nil"/>
            </w:tcBorders>
            <w:vAlign w:val="bottom"/>
            <w:hideMark/>
          </w:tcPr>
          <w:p w14:paraId="36B0892E" w14:textId="5F7E4125" w:rsidR="00D75CA8" w:rsidRPr="00A07609" w:rsidRDefault="00297DD4" w:rsidP="00D75CA8">
            <w:pPr>
              <w:widowControl w:val="0"/>
              <w:autoSpaceDE w:val="0"/>
              <w:autoSpaceDN w:val="0"/>
              <w:adjustRightInd w:val="0"/>
              <w:spacing w:after="0" w:line="240" w:lineRule="auto"/>
              <w:jc w:val="right"/>
              <w:rPr>
                <w:rFonts w:cstheme="minorHAnsi"/>
                <w:b/>
                <w:bCs/>
              </w:rPr>
            </w:pPr>
            <w:r>
              <w:rPr>
                <w:rFonts w:cstheme="minorHAnsi"/>
                <w:b/>
                <w:bCs/>
              </w:rPr>
              <w:t>102.5</w:t>
            </w:r>
          </w:p>
        </w:tc>
        <w:tc>
          <w:tcPr>
            <w:tcW w:w="499" w:type="pct"/>
            <w:tcBorders>
              <w:top w:val="single" w:sz="4" w:space="0" w:color="000000" w:themeColor="text1"/>
              <w:left w:val="nil"/>
              <w:bottom w:val="single" w:sz="4" w:space="0" w:color="000000" w:themeColor="text1"/>
              <w:right w:val="nil"/>
            </w:tcBorders>
            <w:vAlign w:val="bottom"/>
          </w:tcPr>
          <w:p w14:paraId="2D8B7983" w14:textId="5CF33E08"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9</w:t>
            </w:r>
            <w:r w:rsidR="00297DD4">
              <w:rPr>
                <w:rFonts w:cstheme="minorHAnsi"/>
              </w:rPr>
              <w:t>4</w:t>
            </w:r>
            <w:r w:rsidRPr="004B30F5">
              <w:rPr>
                <w:rFonts w:cstheme="minorHAnsi"/>
              </w:rPr>
              <w:t>.1</w:t>
            </w:r>
          </w:p>
        </w:tc>
      </w:tr>
      <w:tr w:rsidR="00D75CA8" w:rsidRPr="00D80ACC" w14:paraId="40B9DC51" w14:textId="77777777" w:rsidTr="00D75CA8">
        <w:tc>
          <w:tcPr>
            <w:tcW w:w="3501" w:type="pct"/>
            <w:tcBorders>
              <w:top w:val="single" w:sz="4" w:space="0" w:color="000000" w:themeColor="text1"/>
              <w:left w:val="nil"/>
              <w:bottom w:val="single" w:sz="4" w:space="0" w:color="000000" w:themeColor="text1"/>
              <w:right w:val="nil"/>
            </w:tcBorders>
            <w:vAlign w:val="bottom"/>
            <w:hideMark/>
          </w:tcPr>
          <w:p w14:paraId="46D5823B"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t>Total assets</w:t>
            </w:r>
          </w:p>
        </w:tc>
        <w:tc>
          <w:tcPr>
            <w:tcW w:w="500" w:type="pct"/>
            <w:tcBorders>
              <w:top w:val="single" w:sz="4" w:space="0" w:color="000000" w:themeColor="text1"/>
              <w:left w:val="nil"/>
              <w:bottom w:val="single" w:sz="4" w:space="0" w:color="000000" w:themeColor="text1"/>
              <w:right w:val="nil"/>
            </w:tcBorders>
            <w:vAlign w:val="bottom"/>
          </w:tcPr>
          <w:p w14:paraId="07F1FA30"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tcBorders>
              <w:top w:val="single" w:sz="4" w:space="0" w:color="000000" w:themeColor="text1"/>
              <w:left w:val="nil"/>
              <w:bottom w:val="single" w:sz="4" w:space="0" w:color="000000" w:themeColor="text1"/>
              <w:right w:val="nil"/>
            </w:tcBorders>
            <w:vAlign w:val="bottom"/>
            <w:hideMark/>
          </w:tcPr>
          <w:p w14:paraId="6917B45D" w14:textId="77777777" w:rsidR="00D75CA8" w:rsidRPr="00A07609" w:rsidRDefault="00D75CA8" w:rsidP="00D75CA8">
            <w:pPr>
              <w:widowControl w:val="0"/>
              <w:autoSpaceDE w:val="0"/>
              <w:autoSpaceDN w:val="0"/>
              <w:adjustRightInd w:val="0"/>
              <w:spacing w:after="0" w:line="240" w:lineRule="auto"/>
              <w:jc w:val="right"/>
              <w:rPr>
                <w:rFonts w:cstheme="minorHAnsi"/>
                <w:b/>
                <w:bCs/>
              </w:rPr>
            </w:pPr>
            <w:r w:rsidRPr="00A07609">
              <w:rPr>
                <w:rFonts w:cstheme="minorHAnsi"/>
                <w:b/>
                <w:bCs/>
              </w:rPr>
              <w:t>145.6</w:t>
            </w:r>
          </w:p>
        </w:tc>
        <w:tc>
          <w:tcPr>
            <w:tcW w:w="499" w:type="pct"/>
            <w:tcBorders>
              <w:top w:val="single" w:sz="4" w:space="0" w:color="000000" w:themeColor="text1"/>
              <w:left w:val="nil"/>
              <w:bottom w:val="single" w:sz="4" w:space="0" w:color="000000" w:themeColor="text1"/>
              <w:right w:val="nil"/>
            </w:tcBorders>
            <w:vAlign w:val="bottom"/>
          </w:tcPr>
          <w:p w14:paraId="4D6F4514"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138.4</w:t>
            </w:r>
          </w:p>
        </w:tc>
      </w:tr>
      <w:tr w:rsidR="00D75CA8" w:rsidRPr="00D80ACC" w14:paraId="413F6D37" w14:textId="77777777" w:rsidTr="00D75CA8">
        <w:tc>
          <w:tcPr>
            <w:tcW w:w="3501" w:type="pct"/>
            <w:tcBorders>
              <w:top w:val="single" w:sz="4" w:space="0" w:color="000000" w:themeColor="text1"/>
              <w:left w:val="nil"/>
              <w:right w:val="nil"/>
            </w:tcBorders>
            <w:vAlign w:val="bottom"/>
            <w:hideMark/>
          </w:tcPr>
          <w:p w14:paraId="3545F747"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t>Current liabilities</w:t>
            </w:r>
          </w:p>
        </w:tc>
        <w:tc>
          <w:tcPr>
            <w:tcW w:w="500" w:type="pct"/>
            <w:tcBorders>
              <w:top w:val="single" w:sz="4" w:space="0" w:color="000000" w:themeColor="text1"/>
              <w:left w:val="nil"/>
              <w:right w:val="nil"/>
            </w:tcBorders>
            <w:vAlign w:val="bottom"/>
          </w:tcPr>
          <w:p w14:paraId="582C2F31"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tcBorders>
              <w:top w:val="single" w:sz="4" w:space="0" w:color="000000" w:themeColor="text1"/>
              <w:left w:val="nil"/>
              <w:right w:val="nil"/>
            </w:tcBorders>
            <w:vAlign w:val="bottom"/>
          </w:tcPr>
          <w:p w14:paraId="321B40D2" w14:textId="77777777" w:rsidR="00D75CA8" w:rsidRPr="004B30F5" w:rsidRDefault="00D75CA8" w:rsidP="00D75CA8">
            <w:pPr>
              <w:widowControl w:val="0"/>
              <w:autoSpaceDE w:val="0"/>
              <w:autoSpaceDN w:val="0"/>
              <w:adjustRightInd w:val="0"/>
              <w:spacing w:after="0" w:line="240" w:lineRule="auto"/>
              <w:jc w:val="right"/>
              <w:rPr>
                <w:rFonts w:cstheme="minorHAnsi"/>
                <w:highlight w:val="yellow"/>
              </w:rPr>
            </w:pPr>
          </w:p>
        </w:tc>
        <w:tc>
          <w:tcPr>
            <w:tcW w:w="499" w:type="pct"/>
            <w:tcBorders>
              <w:top w:val="single" w:sz="4" w:space="0" w:color="000000" w:themeColor="text1"/>
              <w:left w:val="nil"/>
              <w:right w:val="nil"/>
            </w:tcBorders>
            <w:vAlign w:val="bottom"/>
          </w:tcPr>
          <w:p w14:paraId="5A927FD8" w14:textId="77777777" w:rsidR="00D75CA8" w:rsidRPr="004B30F5" w:rsidRDefault="00D75CA8" w:rsidP="00D75CA8">
            <w:pPr>
              <w:widowControl w:val="0"/>
              <w:autoSpaceDE w:val="0"/>
              <w:autoSpaceDN w:val="0"/>
              <w:adjustRightInd w:val="0"/>
              <w:spacing w:after="0" w:line="240" w:lineRule="auto"/>
              <w:jc w:val="right"/>
              <w:rPr>
                <w:rFonts w:cstheme="minorHAnsi"/>
              </w:rPr>
            </w:pPr>
          </w:p>
        </w:tc>
      </w:tr>
      <w:tr w:rsidR="00D75CA8" w:rsidRPr="00D80ACC" w14:paraId="023ED7A8" w14:textId="77777777" w:rsidTr="00D75CA8">
        <w:tc>
          <w:tcPr>
            <w:tcW w:w="3501" w:type="pct"/>
            <w:tcBorders>
              <w:left w:val="nil"/>
              <w:bottom w:val="nil"/>
              <w:right w:val="nil"/>
            </w:tcBorders>
            <w:vAlign w:val="bottom"/>
          </w:tcPr>
          <w:p w14:paraId="394DB877" w14:textId="77777777" w:rsidR="00D75CA8" w:rsidRPr="00A07609" w:rsidRDefault="00D75CA8" w:rsidP="00D75CA8">
            <w:pPr>
              <w:widowControl w:val="0"/>
              <w:autoSpaceDE w:val="0"/>
              <w:autoSpaceDN w:val="0"/>
              <w:adjustRightInd w:val="0"/>
              <w:spacing w:after="0" w:line="240" w:lineRule="auto"/>
              <w:rPr>
                <w:rFonts w:cstheme="minorHAnsi"/>
              </w:rPr>
            </w:pPr>
            <w:r w:rsidRPr="00A07609">
              <w:rPr>
                <w:rFonts w:cstheme="minorHAnsi"/>
              </w:rPr>
              <w:t>Bank loans</w:t>
            </w:r>
          </w:p>
        </w:tc>
        <w:tc>
          <w:tcPr>
            <w:tcW w:w="500" w:type="pct"/>
            <w:tcBorders>
              <w:left w:val="nil"/>
              <w:bottom w:val="nil"/>
              <w:right w:val="nil"/>
            </w:tcBorders>
            <w:vAlign w:val="bottom"/>
          </w:tcPr>
          <w:p w14:paraId="75AA6CC4"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tcBorders>
              <w:left w:val="nil"/>
              <w:bottom w:val="nil"/>
              <w:right w:val="nil"/>
            </w:tcBorders>
            <w:vAlign w:val="bottom"/>
          </w:tcPr>
          <w:p w14:paraId="261B9C9B"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(15.0)</w:t>
            </w:r>
          </w:p>
        </w:tc>
        <w:tc>
          <w:tcPr>
            <w:tcW w:w="499" w:type="pct"/>
            <w:tcBorders>
              <w:left w:val="nil"/>
              <w:bottom w:val="nil"/>
              <w:right w:val="nil"/>
            </w:tcBorders>
            <w:vAlign w:val="bottom"/>
          </w:tcPr>
          <w:p w14:paraId="0C53B476"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A07609">
              <w:rPr>
                <w:rFonts w:cstheme="minorHAnsi"/>
              </w:rPr>
              <w:t>—</w:t>
            </w:r>
          </w:p>
        </w:tc>
      </w:tr>
      <w:tr w:rsidR="00D75CA8" w:rsidRPr="00D80ACC" w14:paraId="45A9904C" w14:textId="77777777" w:rsidTr="00D75CA8">
        <w:tc>
          <w:tcPr>
            <w:tcW w:w="3501" w:type="pct"/>
            <w:vAlign w:val="bottom"/>
            <w:hideMark/>
          </w:tcPr>
          <w:p w14:paraId="3FE3F1C4"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Amounts due to customers under construction contracts</w:t>
            </w:r>
          </w:p>
        </w:tc>
        <w:tc>
          <w:tcPr>
            <w:tcW w:w="500" w:type="pct"/>
            <w:vAlign w:val="bottom"/>
            <w:hideMark/>
          </w:tcPr>
          <w:p w14:paraId="26BECCB7"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vAlign w:val="bottom"/>
            <w:hideMark/>
          </w:tcPr>
          <w:p w14:paraId="00C0512A"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(1.1)</w:t>
            </w:r>
          </w:p>
        </w:tc>
        <w:tc>
          <w:tcPr>
            <w:tcW w:w="499" w:type="pct"/>
            <w:vAlign w:val="bottom"/>
          </w:tcPr>
          <w:p w14:paraId="6CF67313"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(0.1)</w:t>
            </w:r>
          </w:p>
        </w:tc>
      </w:tr>
      <w:tr w:rsidR="00D75CA8" w:rsidRPr="00D80ACC" w14:paraId="6ACB6B91" w14:textId="77777777" w:rsidTr="00D75CA8">
        <w:tc>
          <w:tcPr>
            <w:tcW w:w="3501" w:type="pct"/>
            <w:vAlign w:val="bottom"/>
            <w:hideMark/>
          </w:tcPr>
          <w:p w14:paraId="1511844F"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Trade and other payables</w:t>
            </w:r>
          </w:p>
        </w:tc>
        <w:tc>
          <w:tcPr>
            <w:tcW w:w="500" w:type="pct"/>
            <w:vAlign w:val="bottom"/>
            <w:hideMark/>
          </w:tcPr>
          <w:p w14:paraId="5C0D963A"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vAlign w:val="bottom"/>
            <w:hideMark/>
          </w:tcPr>
          <w:p w14:paraId="10490C82" w14:textId="14BBFC21"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w:t>
            </w:r>
            <w:r w:rsidR="00514558">
              <w:rPr>
                <w:rFonts w:cstheme="minorHAnsi"/>
                <w:b/>
                <w:bCs/>
              </w:rPr>
              <w:t>77.5</w:t>
            </w:r>
            <w:r w:rsidRPr="0089211B">
              <w:rPr>
                <w:rFonts w:cstheme="minorHAnsi"/>
                <w:b/>
                <w:bCs/>
              </w:rPr>
              <w:t>)</w:t>
            </w:r>
          </w:p>
        </w:tc>
        <w:tc>
          <w:tcPr>
            <w:tcW w:w="499" w:type="pct"/>
            <w:vAlign w:val="bottom"/>
          </w:tcPr>
          <w:p w14:paraId="5D719E1B" w14:textId="0B6AF74F"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w:t>
            </w:r>
            <w:r w:rsidR="00514558">
              <w:rPr>
                <w:rFonts w:cstheme="minorHAnsi"/>
              </w:rPr>
              <w:t>82.9</w:t>
            </w:r>
            <w:r w:rsidRPr="004B30F5">
              <w:rPr>
                <w:rFonts w:cstheme="minorHAnsi"/>
              </w:rPr>
              <w:t>)</w:t>
            </w:r>
          </w:p>
        </w:tc>
      </w:tr>
      <w:tr w:rsidR="00D75CA8" w:rsidRPr="00D80ACC" w14:paraId="1223FB93" w14:textId="77777777" w:rsidTr="00D75CA8">
        <w:tc>
          <w:tcPr>
            <w:tcW w:w="3501" w:type="pct"/>
            <w:vAlign w:val="bottom"/>
            <w:hideMark/>
          </w:tcPr>
          <w:p w14:paraId="18EA79E3"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Current tax liabilities</w:t>
            </w:r>
          </w:p>
        </w:tc>
        <w:tc>
          <w:tcPr>
            <w:tcW w:w="500" w:type="pct"/>
            <w:vAlign w:val="bottom"/>
          </w:tcPr>
          <w:p w14:paraId="7652B5A1"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vAlign w:val="bottom"/>
            <w:hideMark/>
          </w:tcPr>
          <w:p w14:paraId="5E0EDC38"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w:t>
            </w:r>
          </w:p>
        </w:tc>
        <w:tc>
          <w:tcPr>
            <w:tcW w:w="499" w:type="pct"/>
            <w:vAlign w:val="bottom"/>
          </w:tcPr>
          <w:p w14:paraId="7B233E8F"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(0.2)</w:t>
            </w:r>
          </w:p>
        </w:tc>
      </w:tr>
      <w:tr w:rsidR="00D75CA8" w:rsidRPr="00D80ACC" w14:paraId="76412F95" w14:textId="77777777" w:rsidTr="00D75CA8">
        <w:tc>
          <w:tcPr>
            <w:tcW w:w="3501" w:type="pct"/>
            <w:tcBorders>
              <w:top w:val="nil"/>
              <w:left w:val="nil"/>
              <w:bottom w:val="single" w:sz="4" w:space="0" w:color="000000" w:themeColor="text1"/>
              <w:right w:val="nil"/>
            </w:tcBorders>
            <w:vAlign w:val="bottom"/>
            <w:hideMark/>
          </w:tcPr>
          <w:p w14:paraId="0976E131"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Obligations under</w:t>
            </w:r>
            <w:r>
              <w:rPr>
                <w:rFonts w:cstheme="minorHAnsi"/>
              </w:rPr>
              <w:t xml:space="preserve"> </w:t>
            </w:r>
            <w:r w:rsidRPr="00D80ACC">
              <w:rPr>
                <w:rFonts w:cstheme="minorHAnsi"/>
              </w:rPr>
              <w:t>leases</w:t>
            </w:r>
          </w:p>
        </w:tc>
        <w:tc>
          <w:tcPr>
            <w:tcW w:w="500" w:type="pct"/>
            <w:tcBorders>
              <w:top w:val="nil"/>
              <w:left w:val="nil"/>
              <w:bottom w:val="single" w:sz="4" w:space="0" w:color="000000" w:themeColor="text1"/>
              <w:right w:val="nil"/>
            </w:tcBorders>
            <w:vAlign w:val="bottom"/>
            <w:hideMark/>
          </w:tcPr>
          <w:p w14:paraId="30A9BD6A"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tcBorders>
              <w:top w:val="nil"/>
              <w:left w:val="nil"/>
              <w:bottom w:val="single" w:sz="4" w:space="0" w:color="000000" w:themeColor="text1"/>
              <w:right w:val="nil"/>
            </w:tcBorders>
            <w:vAlign w:val="bottom"/>
            <w:hideMark/>
          </w:tcPr>
          <w:p w14:paraId="7AD45037"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(1.3)</w:t>
            </w:r>
          </w:p>
        </w:tc>
        <w:tc>
          <w:tcPr>
            <w:tcW w:w="499" w:type="pct"/>
            <w:tcBorders>
              <w:top w:val="nil"/>
              <w:left w:val="nil"/>
              <w:bottom w:val="single" w:sz="4" w:space="0" w:color="000000" w:themeColor="text1"/>
              <w:right w:val="nil"/>
            </w:tcBorders>
            <w:vAlign w:val="bottom"/>
          </w:tcPr>
          <w:p w14:paraId="3E163D79"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(1.4)</w:t>
            </w:r>
          </w:p>
        </w:tc>
      </w:tr>
      <w:tr w:rsidR="00D75CA8" w:rsidRPr="00D80ACC" w14:paraId="3D7718CC" w14:textId="77777777" w:rsidTr="00D75CA8">
        <w:tc>
          <w:tcPr>
            <w:tcW w:w="3501" w:type="pct"/>
            <w:tcBorders>
              <w:top w:val="single" w:sz="4" w:space="0" w:color="000000" w:themeColor="text1"/>
              <w:left w:val="nil"/>
              <w:bottom w:val="single" w:sz="4" w:space="0" w:color="000000" w:themeColor="text1"/>
              <w:right w:val="nil"/>
            </w:tcBorders>
            <w:vAlign w:val="bottom"/>
            <w:hideMark/>
          </w:tcPr>
          <w:p w14:paraId="3DCB6529"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Total current liabilities</w:t>
            </w:r>
          </w:p>
        </w:tc>
        <w:tc>
          <w:tcPr>
            <w:tcW w:w="500" w:type="pct"/>
            <w:tcBorders>
              <w:top w:val="single" w:sz="4" w:space="0" w:color="000000" w:themeColor="text1"/>
              <w:left w:val="nil"/>
              <w:bottom w:val="single" w:sz="4" w:space="0" w:color="000000" w:themeColor="text1"/>
              <w:right w:val="nil"/>
            </w:tcBorders>
            <w:vAlign w:val="bottom"/>
          </w:tcPr>
          <w:p w14:paraId="3EF49D74"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tcBorders>
              <w:top w:val="single" w:sz="4" w:space="0" w:color="000000" w:themeColor="text1"/>
              <w:left w:val="nil"/>
              <w:bottom w:val="single" w:sz="4" w:space="0" w:color="000000" w:themeColor="text1"/>
              <w:right w:val="nil"/>
            </w:tcBorders>
            <w:vAlign w:val="bottom"/>
            <w:hideMark/>
          </w:tcPr>
          <w:p w14:paraId="49493086" w14:textId="3CE5B770"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(9</w:t>
            </w:r>
            <w:r w:rsidR="00514558">
              <w:rPr>
                <w:rFonts w:cstheme="minorHAnsi"/>
                <w:b/>
                <w:bCs/>
              </w:rPr>
              <w:t>4.9</w:t>
            </w:r>
            <w:r w:rsidRPr="0089211B">
              <w:rPr>
                <w:rFonts w:cstheme="minorHAnsi"/>
                <w:b/>
                <w:bCs/>
              </w:rPr>
              <w:t>)</w:t>
            </w:r>
          </w:p>
        </w:tc>
        <w:tc>
          <w:tcPr>
            <w:tcW w:w="499" w:type="pct"/>
            <w:tcBorders>
              <w:top w:val="single" w:sz="4" w:space="0" w:color="000000" w:themeColor="text1"/>
              <w:left w:val="nil"/>
              <w:bottom w:val="single" w:sz="4" w:space="0" w:color="000000" w:themeColor="text1"/>
              <w:right w:val="nil"/>
            </w:tcBorders>
            <w:vAlign w:val="bottom"/>
          </w:tcPr>
          <w:p w14:paraId="17D7662A" w14:textId="50B4A5FB"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w:t>
            </w:r>
            <w:r w:rsidR="00514558">
              <w:rPr>
                <w:rFonts w:cstheme="minorHAnsi"/>
              </w:rPr>
              <w:t>84.6</w:t>
            </w:r>
            <w:r w:rsidRPr="004B30F5">
              <w:rPr>
                <w:rFonts w:cstheme="minorHAnsi"/>
              </w:rPr>
              <w:t>)</w:t>
            </w:r>
          </w:p>
        </w:tc>
      </w:tr>
      <w:tr w:rsidR="00D75CA8" w:rsidRPr="00D80ACC" w14:paraId="1E04FA12" w14:textId="77777777" w:rsidTr="00D75CA8">
        <w:tc>
          <w:tcPr>
            <w:tcW w:w="3501" w:type="pct"/>
            <w:tcBorders>
              <w:top w:val="single" w:sz="4" w:space="0" w:color="000000" w:themeColor="text1"/>
              <w:left w:val="nil"/>
              <w:bottom w:val="single" w:sz="4" w:space="0" w:color="000000" w:themeColor="text1"/>
              <w:right w:val="nil"/>
            </w:tcBorders>
            <w:vAlign w:val="bottom"/>
            <w:hideMark/>
          </w:tcPr>
          <w:p w14:paraId="1CFF2526"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t>Net current assets</w:t>
            </w:r>
          </w:p>
        </w:tc>
        <w:tc>
          <w:tcPr>
            <w:tcW w:w="500" w:type="pct"/>
            <w:tcBorders>
              <w:top w:val="single" w:sz="4" w:space="0" w:color="000000" w:themeColor="text1"/>
              <w:left w:val="nil"/>
              <w:bottom w:val="single" w:sz="4" w:space="0" w:color="000000" w:themeColor="text1"/>
              <w:right w:val="nil"/>
            </w:tcBorders>
            <w:vAlign w:val="bottom"/>
          </w:tcPr>
          <w:p w14:paraId="0340F0E2"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tcBorders>
              <w:top w:val="single" w:sz="4" w:space="0" w:color="000000" w:themeColor="text1"/>
              <w:left w:val="nil"/>
              <w:bottom w:val="single" w:sz="4" w:space="0" w:color="000000" w:themeColor="text1"/>
              <w:right w:val="nil"/>
            </w:tcBorders>
            <w:vAlign w:val="bottom"/>
            <w:hideMark/>
          </w:tcPr>
          <w:p w14:paraId="6D65CBEA" w14:textId="507FC22E" w:rsidR="00D75CA8" w:rsidRPr="004B30F5" w:rsidRDefault="00514558" w:rsidP="00D75CA8">
            <w:pPr>
              <w:widowControl w:val="0"/>
              <w:autoSpaceDE w:val="0"/>
              <w:autoSpaceDN w:val="0"/>
              <w:adjustRightInd w:val="0"/>
              <w:spacing w:after="0" w:line="240" w:lineRule="auto"/>
              <w:jc w:val="right"/>
              <w:rPr>
                <w:rFonts w:cstheme="minorHAnsi"/>
                <w:highlight w:val="yellow"/>
              </w:rPr>
            </w:pPr>
            <w:r>
              <w:rPr>
                <w:rFonts w:cstheme="minorHAnsi"/>
                <w:b/>
                <w:bCs/>
              </w:rPr>
              <w:t>7</w:t>
            </w:r>
            <w:r w:rsidR="00D75CA8" w:rsidRPr="0089211B">
              <w:rPr>
                <w:rFonts w:cstheme="minorHAnsi"/>
                <w:b/>
                <w:bCs/>
              </w:rPr>
              <w:t>.</w:t>
            </w:r>
            <w:r w:rsidR="00D75CA8">
              <w:rPr>
                <w:rFonts w:cstheme="minorHAnsi"/>
                <w:b/>
                <w:bCs/>
              </w:rPr>
              <w:t>6</w:t>
            </w:r>
          </w:p>
        </w:tc>
        <w:tc>
          <w:tcPr>
            <w:tcW w:w="499" w:type="pct"/>
            <w:tcBorders>
              <w:top w:val="single" w:sz="4" w:space="0" w:color="000000" w:themeColor="text1"/>
              <w:left w:val="nil"/>
              <w:bottom w:val="single" w:sz="4" w:space="0" w:color="000000" w:themeColor="text1"/>
              <w:right w:val="nil"/>
            </w:tcBorders>
            <w:vAlign w:val="bottom"/>
          </w:tcPr>
          <w:p w14:paraId="754CCA97" w14:textId="29724F0D" w:rsidR="00D75CA8" w:rsidRPr="004B30F5" w:rsidRDefault="00514558" w:rsidP="00D75CA8">
            <w:pPr>
              <w:widowControl w:val="0"/>
              <w:autoSpaceDE w:val="0"/>
              <w:autoSpaceDN w:val="0"/>
              <w:adjustRightInd w:val="0"/>
              <w:spacing w:after="0" w:line="240" w:lineRule="auto"/>
              <w:jc w:val="right"/>
              <w:rPr>
                <w:rFonts w:cstheme="minorHAnsi"/>
              </w:rPr>
            </w:pPr>
            <w:r>
              <w:rPr>
                <w:rFonts w:cstheme="minorHAnsi"/>
              </w:rPr>
              <w:t>9.5</w:t>
            </w:r>
          </w:p>
        </w:tc>
      </w:tr>
      <w:tr w:rsidR="00D75CA8" w:rsidRPr="00D80ACC" w14:paraId="5025286F" w14:textId="77777777" w:rsidTr="00D75CA8">
        <w:tc>
          <w:tcPr>
            <w:tcW w:w="3501" w:type="pct"/>
            <w:tcBorders>
              <w:top w:val="single" w:sz="4" w:space="0" w:color="000000" w:themeColor="text1"/>
              <w:left w:val="nil"/>
              <w:bottom w:val="nil"/>
              <w:right w:val="nil"/>
            </w:tcBorders>
            <w:vAlign w:val="bottom"/>
            <w:hideMark/>
          </w:tcPr>
          <w:p w14:paraId="3FFA37B7"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t>Non-current liabilities</w:t>
            </w:r>
          </w:p>
        </w:tc>
        <w:tc>
          <w:tcPr>
            <w:tcW w:w="500" w:type="pct"/>
            <w:tcBorders>
              <w:top w:val="single" w:sz="4" w:space="0" w:color="000000" w:themeColor="text1"/>
              <w:left w:val="nil"/>
              <w:bottom w:val="nil"/>
              <w:right w:val="nil"/>
            </w:tcBorders>
            <w:vAlign w:val="bottom"/>
          </w:tcPr>
          <w:p w14:paraId="7D3843A4"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tcBorders>
              <w:top w:val="single" w:sz="4" w:space="0" w:color="000000" w:themeColor="text1"/>
              <w:left w:val="nil"/>
              <w:bottom w:val="nil"/>
              <w:right w:val="nil"/>
            </w:tcBorders>
            <w:vAlign w:val="bottom"/>
          </w:tcPr>
          <w:p w14:paraId="7287D473" w14:textId="77777777" w:rsidR="00D75CA8" w:rsidRPr="004B30F5" w:rsidRDefault="00D75CA8" w:rsidP="00D75CA8">
            <w:pPr>
              <w:widowControl w:val="0"/>
              <w:autoSpaceDE w:val="0"/>
              <w:autoSpaceDN w:val="0"/>
              <w:adjustRightInd w:val="0"/>
              <w:spacing w:after="0" w:line="240" w:lineRule="auto"/>
              <w:jc w:val="right"/>
              <w:rPr>
                <w:rFonts w:cstheme="minorHAnsi"/>
                <w:highlight w:val="yellow"/>
              </w:rPr>
            </w:pPr>
          </w:p>
        </w:tc>
        <w:tc>
          <w:tcPr>
            <w:tcW w:w="499" w:type="pct"/>
            <w:tcBorders>
              <w:top w:val="single" w:sz="4" w:space="0" w:color="000000" w:themeColor="text1"/>
              <w:left w:val="nil"/>
              <w:bottom w:val="nil"/>
              <w:right w:val="nil"/>
            </w:tcBorders>
            <w:vAlign w:val="bottom"/>
          </w:tcPr>
          <w:p w14:paraId="5FEE32F1" w14:textId="77777777" w:rsidR="00D75CA8" w:rsidRPr="004B30F5" w:rsidRDefault="00D75CA8" w:rsidP="00D75CA8">
            <w:pPr>
              <w:widowControl w:val="0"/>
              <w:autoSpaceDE w:val="0"/>
              <w:autoSpaceDN w:val="0"/>
              <w:adjustRightInd w:val="0"/>
              <w:spacing w:after="0" w:line="240" w:lineRule="auto"/>
              <w:jc w:val="right"/>
              <w:rPr>
                <w:rFonts w:cstheme="minorHAnsi"/>
              </w:rPr>
            </w:pPr>
          </w:p>
        </w:tc>
      </w:tr>
      <w:tr w:rsidR="00D75CA8" w:rsidRPr="00D80ACC" w14:paraId="7FC5DFC9" w14:textId="77777777" w:rsidTr="00D75CA8">
        <w:tc>
          <w:tcPr>
            <w:tcW w:w="3501" w:type="pct"/>
            <w:vAlign w:val="bottom"/>
            <w:hideMark/>
          </w:tcPr>
          <w:p w14:paraId="3C8CFED8"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Obligations under leases</w:t>
            </w:r>
          </w:p>
        </w:tc>
        <w:tc>
          <w:tcPr>
            <w:tcW w:w="500" w:type="pct"/>
            <w:vAlign w:val="bottom"/>
            <w:hideMark/>
          </w:tcPr>
          <w:p w14:paraId="08197A1E"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vAlign w:val="bottom"/>
            <w:hideMark/>
          </w:tcPr>
          <w:p w14:paraId="546E759D" w14:textId="77777777" w:rsidR="00D75CA8" w:rsidRPr="0089211B" w:rsidRDefault="00D75CA8" w:rsidP="00D75CA8">
            <w:pPr>
              <w:widowControl w:val="0"/>
              <w:autoSpaceDE w:val="0"/>
              <w:autoSpaceDN w:val="0"/>
              <w:adjustRightInd w:val="0"/>
              <w:spacing w:after="0" w:line="240" w:lineRule="auto"/>
              <w:jc w:val="right"/>
              <w:rPr>
                <w:rFonts w:cstheme="minorHAnsi"/>
              </w:rPr>
            </w:pPr>
            <w:r w:rsidRPr="0089211B">
              <w:rPr>
                <w:rFonts w:cstheme="minorHAnsi"/>
                <w:b/>
                <w:bCs/>
              </w:rPr>
              <w:t>(2.2)</w:t>
            </w:r>
          </w:p>
        </w:tc>
        <w:tc>
          <w:tcPr>
            <w:tcW w:w="499" w:type="pct"/>
            <w:vAlign w:val="bottom"/>
          </w:tcPr>
          <w:p w14:paraId="2CA2E207"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(2.8)</w:t>
            </w:r>
          </w:p>
        </w:tc>
      </w:tr>
      <w:tr w:rsidR="007D3195" w:rsidRPr="00D80ACC" w14:paraId="11E66D96" w14:textId="77777777" w:rsidTr="00D75CA8">
        <w:tc>
          <w:tcPr>
            <w:tcW w:w="3501" w:type="pct"/>
            <w:vAlign w:val="bottom"/>
          </w:tcPr>
          <w:p w14:paraId="41CBE48B" w14:textId="31192F30" w:rsidR="007D3195" w:rsidRPr="00D80ACC" w:rsidRDefault="007D3195" w:rsidP="00D75CA8">
            <w:pPr>
              <w:widowControl w:val="0"/>
              <w:autoSpaceDE w:val="0"/>
              <w:autoSpaceDN w:val="0"/>
              <w:adjustRightInd w:val="0"/>
              <w:spacing w:after="0" w:line="240" w:lineRule="auto"/>
              <w:rPr>
                <w:rFonts w:cstheme="minorHAnsi"/>
              </w:rPr>
            </w:pPr>
            <w:r>
              <w:rPr>
                <w:rFonts w:cstheme="minorHAnsi"/>
              </w:rPr>
              <w:t>Trade and other payables</w:t>
            </w:r>
          </w:p>
        </w:tc>
        <w:tc>
          <w:tcPr>
            <w:tcW w:w="500" w:type="pct"/>
            <w:vAlign w:val="bottom"/>
          </w:tcPr>
          <w:p w14:paraId="460B8A94" w14:textId="77777777" w:rsidR="007D3195" w:rsidRPr="00D80ACC" w:rsidRDefault="007D3195" w:rsidP="00D75CA8">
            <w:pPr>
              <w:widowControl w:val="0"/>
              <w:autoSpaceDE w:val="0"/>
              <w:autoSpaceDN w:val="0"/>
              <w:adjustRightInd w:val="0"/>
              <w:spacing w:after="0" w:line="240" w:lineRule="auto"/>
              <w:jc w:val="right"/>
              <w:rPr>
                <w:rFonts w:cstheme="minorHAnsi"/>
              </w:rPr>
            </w:pPr>
          </w:p>
        </w:tc>
        <w:tc>
          <w:tcPr>
            <w:tcW w:w="500" w:type="pct"/>
            <w:vAlign w:val="bottom"/>
          </w:tcPr>
          <w:p w14:paraId="43D020B0" w14:textId="4FC32D14" w:rsidR="007D3195" w:rsidRPr="0089211B" w:rsidRDefault="007D3195" w:rsidP="00D75CA8">
            <w:pPr>
              <w:widowControl w:val="0"/>
              <w:autoSpaceDE w:val="0"/>
              <w:autoSpaceDN w:val="0"/>
              <w:adjustRightInd w:val="0"/>
              <w:spacing w:after="0" w:line="240" w:lineRule="auto"/>
              <w:jc w:val="right"/>
              <w:rPr>
                <w:rFonts w:cstheme="minorHAnsi"/>
                <w:b/>
                <w:bCs/>
              </w:rPr>
            </w:pPr>
            <w:r>
              <w:rPr>
                <w:rFonts w:cstheme="minorHAnsi"/>
                <w:b/>
                <w:bCs/>
              </w:rPr>
              <w:t>(2.6)</w:t>
            </w:r>
          </w:p>
        </w:tc>
        <w:tc>
          <w:tcPr>
            <w:tcW w:w="499" w:type="pct"/>
            <w:vAlign w:val="bottom"/>
          </w:tcPr>
          <w:p w14:paraId="2282E05F" w14:textId="158D75F3" w:rsidR="007D3195" w:rsidRPr="004B30F5" w:rsidRDefault="007D3195" w:rsidP="00D75CA8">
            <w:pPr>
              <w:widowControl w:val="0"/>
              <w:autoSpaceDE w:val="0"/>
              <w:autoSpaceDN w:val="0"/>
              <w:adjustRightInd w:val="0"/>
              <w:spacing w:after="0" w:line="240" w:lineRule="auto"/>
              <w:jc w:val="right"/>
              <w:rPr>
                <w:rFonts w:cstheme="minorHAnsi"/>
              </w:rPr>
            </w:pPr>
            <w:r>
              <w:rPr>
                <w:rFonts w:cstheme="minorHAnsi"/>
              </w:rPr>
              <w:t>(1.7)</w:t>
            </w:r>
          </w:p>
        </w:tc>
      </w:tr>
      <w:tr w:rsidR="00D75CA8" w:rsidRPr="00D80ACC" w14:paraId="3216E7A2" w14:textId="77777777" w:rsidTr="00D75CA8">
        <w:tc>
          <w:tcPr>
            <w:tcW w:w="3501" w:type="pct"/>
            <w:tcBorders>
              <w:top w:val="nil"/>
              <w:left w:val="nil"/>
              <w:bottom w:val="single" w:sz="4" w:space="0" w:color="000000" w:themeColor="text1"/>
              <w:right w:val="nil"/>
            </w:tcBorders>
            <w:vAlign w:val="bottom"/>
            <w:hideMark/>
          </w:tcPr>
          <w:p w14:paraId="65271987"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Retirement benefit obligations</w:t>
            </w:r>
          </w:p>
        </w:tc>
        <w:tc>
          <w:tcPr>
            <w:tcW w:w="500" w:type="pct"/>
            <w:tcBorders>
              <w:top w:val="nil"/>
              <w:left w:val="nil"/>
              <w:bottom w:val="single" w:sz="4" w:space="0" w:color="000000" w:themeColor="text1"/>
              <w:right w:val="nil"/>
            </w:tcBorders>
            <w:vAlign w:val="bottom"/>
            <w:hideMark/>
          </w:tcPr>
          <w:p w14:paraId="280B4575" w14:textId="77777777" w:rsidR="00D75CA8" w:rsidRPr="00D80ACC" w:rsidRDefault="00D75CA8" w:rsidP="00D75CA8">
            <w:pPr>
              <w:widowControl w:val="0"/>
              <w:autoSpaceDE w:val="0"/>
              <w:autoSpaceDN w:val="0"/>
              <w:adjustRightInd w:val="0"/>
              <w:spacing w:after="0" w:line="240" w:lineRule="auto"/>
              <w:jc w:val="right"/>
              <w:rPr>
                <w:rFonts w:cstheme="minorHAnsi"/>
              </w:rPr>
            </w:pPr>
            <w:r>
              <w:rPr>
                <w:rFonts w:cstheme="minorHAnsi"/>
              </w:rPr>
              <w:t>7</w:t>
            </w:r>
          </w:p>
        </w:tc>
        <w:tc>
          <w:tcPr>
            <w:tcW w:w="500" w:type="pct"/>
            <w:tcBorders>
              <w:top w:val="nil"/>
              <w:left w:val="nil"/>
              <w:bottom w:val="single" w:sz="4" w:space="0" w:color="000000" w:themeColor="text1"/>
              <w:right w:val="nil"/>
            </w:tcBorders>
            <w:vAlign w:val="bottom"/>
            <w:hideMark/>
          </w:tcPr>
          <w:p w14:paraId="5374652E" w14:textId="77777777" w:rsidR="00D75CA8" w:rsidRPr="0089211B" w:rsidRDefault="00D75CA8" w:rsidP="00D75CA8">
            <w:pPr>
              <w:widowControl w:val="0"/>
              <w:autoSpaceDE w:val="0"/>
              <w:autoSpaceDN w:val="0"/>
              <w:adjustRightInd w:val="0"/>
              <w:spacing w:after="0" w:line="240" w:lineRule="auto"/>
              <w:jc w:val="right"/>
              <w:rPr>
                <w:rFonts w:cstheme="minorHAnsi"/>
              </w:rPr>
            </w:pPr>
            <w:r w:rsidRPr="0089211B">
              <w:rPr>
                <w:rFonts w:cstheme="minorHAnsi"/>
                <w:b/>
                <w:bCs/>
              </w:rPr>
              <w:t>(30.2)</w:t>
            </w:r>
          </w:p>
        </w:tc>
        <w:tc>
          <w:tcPr>
            <w:tcW w:w="499" w:type="pct"/>
            <w:tcBorders>
              <w:top w:val="nil"/>
              <w:left w:val="nil"/>
              <w:bottom w:val="single" w:sz="4" w:space="0" w:color="000000" w:themeColor="text1"/>
              <w:right w:val="nil"/>
            </w:tcBorders>
            <w:vAlign w:val="bottom"/>
          </w:tcPr>
          <w:p w14:paraId="335A8116"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(26.4)</w:t>
            </w:r>
          </w:p>
        </w:tc>
      </w:tr>
      <w:tr w:rsidR="00D75CA8" w:rsidRPr="00D80ACC" w14:paraId="7B832128" w14:textId="77777777" w:rsidTr="00D75CA8">
        <w:tc>
          <w:tcPr>
            <w:tcW w:w="3501" w:type="pct"/>
            <w:tcBorders>
              <w:top w:val="single" w:sz="4" w:space="0" w:color="000000" w:themeColor="text1"/>
              <w:left w:val="nil"/>
              <w:bottom w:val="single" w:sz="4" w:space="0" w:color="000000" w:themeColor="text1"/>
              <w:right w:val="nil"/>
            </w:tcBorders>
            <w:vAlign w:val="bottom"/>
            <w:hideMark/>
          </w:tcPr>
          <w:p w14:paraId="33C105FF"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Total non-current liabilities</w:t>
            </w:r>
          </w:p>
        </w:tc>
        <w:tc>
          <w:tcPr>
            <w:tcW w:w="500" w:type="pct"/>
            <w:tcBorders>
              <w:top w:val="single" w:sz="4" w:space="0" w:color="000000" w:themeColor="text1"/>
              <w:left w:val="nil"/>
              <w:bottom w:val="single" w:sz="4" w:space="0" w:color="000000" w:themeColor="text1"/>
              <w:right w:val="nil"/>
            </w:tcBorders>
            <w:vAlign w:val="bottom"/>
          </w:tcPr>
          <w:p w14:paraId="0F0FE0CE"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tcBorders>
              <w:top w:val="single" w:sz="4" w:space="0" w:color="000000" w:themeColor="text1"/>
              <w:left w:val="nil"/>
              <w:bottom w:val="single" w:sz="4" w:space="0" w:color="000000" w:themeColor="text1"/>
              <w:right w:val="nil"/>
            </w:tcBorders>
            <w:vAlign w:val="bottom"/>
            <w:hideMark/>
          </w:tcPr>
          <w:p w14:paraId="6F2FF827" w14:textId="11F985D3" w:rsidR="00D75CA8" w:rsidRPr="0089211B" w:rsidRDefault="00D75CA8" w:rsidP="00D75CA8">
            <w:pPr>
              <w:widowControl w:val="0"/>
              <w:autoSpaceDE w:val="0"/>
              <w:autoSpaceDN w:val="0"/>
              <w:adjustRightInd w:val="0"/>
              <w:spacing w:after="0" w:line="240" w:lineRule="auto"/>
              <w:jc w:val="right"/>
              <w:rPr>
                <w:rFonts w:cstheme="minorHAnsi"/>
              </w:rPr>
            </w:pPr>
            <w:r w:rsidRPr="0089211B">
              <w:rPr>
                <w:rFonts w:cstheme="minorHAnsi"/>
                <w:b/>
                <w:bCs/>
              </w:rPr>
              <w:t>(</w:t>
            </w:r>
            <w:r w:rsidR="007D3195">
              <w:rPr>
                <w:rFonts w:cstheme="minorHAnsi"/>
                <w:b/>
                <w:bCs/>
              </w:rPr>
              <w:t>35.0</w:t>
            </w:r>
            <w:r w:rsidRPr="0089211B">
              <w:rPr>
                <w:rFonts w:cstheme="minorHAnsi"/>
                <w:b/>
                <w:bCs/>
              </w:rPr>
              <w:t>)</w:t>
            </w:r>
          </w:p>
        </w:tc>
        <w:tc>
          <w:tcPr>
            <w:tcW w:w="499" w:type="pct"/>
            <w:tcBorders>
              <w:top w:val="single" w:sz="4" w:space="0" w:color="000000" w:themeColor="text1"/>
              <w:left w:val="nil"/>
              <w:bottom w:val="single" w:sz="4" w:space="0" w:color="000000" w:themeColor="text1"/>
              <w:right w:val="nil"/>
            </w:tcBorders>
            <w:vAlign w:val="bottom"/>
          </w:tcPr>
          <w:p w14:paraId="1E4FEEA6" w14:textId="21E89A6C"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w:t>
            </w:r>
            <w:r w:rsidR="007D3195">
              <w:rPr>
                <w:rFonts w:cstheme="minorHAnsi"/>
              </w:rPr>
              <w:t>30.9</w:t>
            </w:r>
            <w:r w:rsidRPr="004B30F5">
              <w:rPr>
                <w:rFonts w:cstheme="minorHAnsi"/>
              </w:rPr>
              <w:t>)</w:t>
            </w:r>
          </w:p>
        </w:tc>
      </w:tr>
      <w:tr w:rsidR="00D75CA8" w:rsidRPr="00D80ACC" w14:paraId="104B7845" w14:textId="77777777" w:rsidTr="00D75CA8">
        <w:tc>
          <w:tcPr>
            <w:tcW w:w="3501" w:type="pct"/>
            <w:tcBorders>
              <w:top w:val="single" w:sz="4" w:space="0" w:color="000000" w:themeColor="text1"/>
              <w:left w:val="nil"/>
              <w:bottom w:val="single" w:sz="4" w:space="0" w:color="000000" w:themeColor="text1"/>
              <w:right w:val="nil"/>
            </w:tcBorders>
            <w:vAlign w:val="bottom"/>
            <w:hideMark/>
          </w:tcPr>
          <w:p w14:paraId="709BE6FA"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t>Total liabilities</w:t>
            </w:r>
          </w:p>
        </w:tc>
        <w:tc>
          <w:tcPr>
            <w:tcW w:w="500" w:type="pct"/>
            <w:tcBorders>
              <w:top w:val="single" w:sz="4" w:space="0" w:color="000000" w:themeColor="text1"/>
              <w:left w:val="nil"/>
              <w:bottom w:val="single" w:sz="4" w:space="0" w:color="000000" w:themeColor="text1"/>
              <w:right w:val="nil"/>
            </w:tcBorders>
            <w:vAlign w:val="bottom"/>
          </w:tcPr>
          <w:p w14:paraId="27F8F0F2"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tcBorders>
              <w:top w:val="single" w:sz="4" w:space="0" w:color="000000" w:themeColor="text1"/>
              <w:left w:val="nil"/>
              <w:bottom w:val="single" w:sz="4" w:space="0" w:color="000000" w:themeColor="text1"/>
              <w:right w:val="nil"/>
            </w:tcBorders>
            <w:vAlign w:val="bottom"/>
            <w:hideMark/>
          </w:tcPr>
          <w:p w14:paraId="14402B97" w14:textId="77777777" w:rsidR="00D75CA8" w:rsidRPr="0089211B" w:rsidRDefault="00D75CA8" w:rsidP="00D75CA8">
            <w:pPr>
              <w:widowControl w:val="0"/>
              <w:autoSpaceDE w:val="0"/>
              <w:autoSpaceDN w:val="0"/>
              <w:adjustRightInd w:val="0"/>
              <w:spacing w:after="0" w:line="240" w:lineRule="auto"/>
              <w:jc w:val="right"/>
              <w:rPr>
                <w:rFonts w:cstheme="minorHAnsi"/>
              </w:rPr>
            </w:pPr>
            <w:r w:rsidRPr="0089211B">
              <w:rPr>
                <w:rFonts w:cstheme="minorHAnsi"/>
                <w:b/>
                <w:bCs/>
              </w:rPr>
              <w:t>(129.9)</w:t>
            </w:r>
          </w:p>
        </w:tc>
        <w:tc>
          <w:tcPr>
            <w:tcW w:w="499" w:type="pct"/>
            <w:tcBorders>
              <w:top w:val="single" w:sz="4" w:space="0" w:color="000000" w:themeColor="text1"/>
              <w:left w:val="nil"/>
              <w:bottom w:val="single" w:sz="4" w:space="0" w:color="000000" w:themeColor="text1"/>
              <w:right w:val="nil"/>
            </w:tcBorders>
            <w:vAlign w:val="bottom"/>
          </w:tcPr>
          <w:p w14:paraId="7CD4F1C1" w14:textId="77777777" w:rsidR="00D75CA8" w:rsidRPr="0089211B" w:rsidRDefault="00D75CA8" w:rsidP="00D75CA8">
            <w:pPr>
              <w:widowControl w:val="0"/>
              <w:autoSpaceDE w:val="0"/>
              <w:autoSpaceDN w:val="0"/>
              <w:adjustRightInd w:val="0"/>
              <w:spacing w:after="0" w:line="240" w:lineRule="auto"/>
              <w:jc w:val="right"/>
              <w:rPr>
                <w:rFonts w:cstheme="minorHAnsi"/>
              </w:rPr>
            </w:pPr>
            <w:r w:rsidRPr="0089211B">
              <w:rPr>
                <w:rFonts w:cstheme="minorHAnsi"/>
              </w:rPr>
              <w:t>(115.5)</w:t>
            </w:r>
          </w:p>
        </w:tc>
      </w:tr>
      <w:tr w:rsidR="00D75CA8" w:rsidRPr="00D80ACC" w14:paraId="7769EFAB" w14:textId="77777777" w:rsidTr="00D75CA8">
        <w:tc>
          <w:tcPr>
            <w:tcW w:w="3501" w:type="pct"/>
            <w:tcBorders>
              <w:top w:val="single" w:sz="4" w:space="0" w:color="000000" w:themeColor="text1"/>
              <w:left w:val="nil"/>
              <w:bottom w:val="single" w:sz="12" w:space="0" w:color="000000" w:themeColor="text1"/>
              <w:right w:val="nil"/>
            </w:tcBorders>
            <w:vAlign w:val="bottom"/>
            <w:hideMark/>
          </w:tcPr>
          <w:p w14:paraId="3A51ABFC"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t>Total net assets</w:t>
            </w:r>
          </w:p>
        </w:tc>
        <w:tc>
          <w:tcPr>
            <w:tcW w:w="500" w:type="pct"/>
            <w:tcBorders>
              <w:top w:val="single" w:sz="4" w:space="0" w:color="000000" w:themeColor="text1"/>
              <w:left w:val="nil"/>
              <w:bottom w:val="single" w:sz="12" w:space="0" w:color="000000" w:themeColor="text1"/>
              <w:right w:val="nil"/>
            </w:tcBorders>
            <w:vAlign w:val="bottom"/>
          </w:tcPr>
          <w:p w14:paraId="6A3FAFDF"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tcBorders>
              <w:top w:val="single" w:sz="4" w:space="0" w:color="000000" w:themeColor="text1"/>
              <w:left w:val="nil"/>
              <w:bottom w:val="single" w:sz="12" w:space="0" w:color="000000" w:themeColor="text1"/>
              <w:right w:val="nil"/>
            </w:tcBorders>
            <w:vAlign w:val="bottom"/>
            <w:hideMark/>
          </w:tcPr>
          <w:p w14:paraId="284AE93C" w14:textId="77777777" w:rsidR="00D75CA8" w:rsidRPr="004B30F5" w:rsidRDefault="00D75CA8" w:rsidP="00D75CA8">
            <w:pPr>
              <w:widowControl w:val="0"/>
              <w:autoSpaceDE w:val="0"/>
              <w:autoSpaceDN w:val="0"/>
              <w:adjustRightInd w:val="0"/>
              <w:spacing w:after="0" w:line="240" w:lineRule="auto"/>
              <w:jc w:val="right"/>
              <w:rPr>
                <w:rFonts w:cstheme="minorHAnsi"/>
                <w:highlight w:val="yellow"/>
              </w:rPr>
            </w:pPr>
            <w:r w:rsidRPr="0089211B">
              <w:rPr>
                <w:rFonts w:cstheme="minorHAnsi"/>
                <w:b/>
                <w:bCs/>
              </w:rPr>
              <w:t>15.7</w:t>
            </w:r>
          </w:p>
        </w:tc>
        <w:tc>
          <w:tcPr>
            <w:tcW w:w="499" w:type="pct"/>
            <w:tcBorders>
              <w:top w:val="single" w:sz="4" w:space="0" w:color="000000" w:themeColor="text1"/>
              <w:left w:val="nil"/>
              <w:bottom w:val="single" w:sz="12" w:space="0" w:color="000000" w:themeColor="text1"/>
              <w:right w:val="nil"/>
            </w:tcBorders>
            <w:vAlign w:val="bottom"/>
          </w:tcPr>
          <w:p w14:paraId="5CE279DD"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22.9</w:t>
            </w:r>
          </w:p>
        </w:tc>
      </w:tr>
      <w:tr w:rsidR="00D75CA8" w:rsidRPr="00D80ACC" w14:paraId="1DEA9E31" w14:textId="77777777" w:rsidTr="00D75CA8">
        <w:tc>
          <w:tcPr>
            <w:tcW w:w="3501" w:type="pct"/>
            <w:tcBorders>
              <w:top w:val="single" w:sz="12" w:space="0" w:color="000000" w:themeColor="text1"/>
              <w:left w:val="nil"/>
              <w:bottom w:val="nil"/>
              <w:right w:val="nil"/>
            </w:tcBorders>
            <w:vAlign w:val="bottom"/>
            <w:hideMark/>
          </w:tcPr>
          <w:p w14:paraId="361C71E7"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t>Equity attributable to owners of the parent</w:t>
            </w:r>
          </w:p>
        </w:tc>
        <w:tc>
          <w:tcPr>
            <w:tcW w:w="500" w:type="pct"/>
            <w:tcBorders>
              <w:top w:val="single" w:sz="12" w:space="0" w:color="000000" w:themeColor="text1"/>
              <w:left w:val="nil"/>
              <w:bottom w:val="nil"/>
              <w:right w:val="nil"/>
            </w:tcBorders>
            <w:vAlign w:val="bottom"/>
          </w:tcPr>
          <w:p w14:paraId="7C4A6B47"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tcBorders>
              <w:top w:val="single" w:sz="12" w:space="0" w:color="000000" w:themeColor="text1"/>
              <w:left w:val="nil"/>
              <w:bottom w:val="nil"/>
              <w:right w:val="nil"/>
            </w:tcBorders>
            <w:vAlign w:val="bottom"/>
          </w:tcPr>
          <w:p w14:paraId="4E02841E" w14:textId="77777777" w:rsidR="00D75CA8" w:rsidRPr="004B30F5" w:rsidRDefault="00D75CA8" w:rsidP="00D75CA8">
            <w:pPr>
              <w:widowControl w:val="0"/>
              <w:autoSpaceDE w:val="0"/>
              <w:autoSpaceDN w:val="0"/>
              <w:adjustRightInd w:val="0"/>
              <w:spacing w:after="0" w:line="240" w:lineRule="auto"/>
              <w:jc w:val="right"/>
              <w:rPr>
                <w:rFonts w:cstheme="minorHAnsi"/>
                <w:highlight w:val="yellow"/>
              </w:rPr>
            </w:pPr>
          </w:p>
        </w:tc>
        <w:tc>
          <w:tcPr>
            <w:tcW w:w="499" w:type="pct"/>
            <w:tcBorders>
              <w:top w:val="single" w:sz="12" w:space="0" w:color="000000" w:themeColor="text1"/>
              <w:left w:val="nil"/>
              <w:bottom w:val="nil"/>
              <w:right w:val="nil"/>
            </w:tcBorders>
            <w:vAlign w:val="bottom"/>
          </w:tcPr>
          <w:p w14:paraId="51936085" w14:textId="77777777" w:rsidR="00D75CA8" w:rsidRPr="004B30F5" w:rsidRDefault="00D75CA8" w:rsidP="00D75CA8">
            <w:pPr>
              <w:widowControl w:val="0"/>
              <w:autoSpaceDE w:val="0"/>
              <w:autoSpaceDN w:val="0"/>
              <w:adjustRightInd w:val="0"/>
              <w:spacing w:after="0" w:line="240" w:lineRule="auto"/>
              <w:jc w:val="right"/>
              <w:rPr>
                <w:rFonts w:cstheme="minorHAnsi"/>
              </w:rPr>
            </w:pPr>
          </w:p>
        </w:tc>
      </w:tr>
      <w:tr w:rsidR="00D75CA8" w:rsidRPr="00D80ACC" w14:paraId="39263F7B" w14:textId="77777777" w:rsidTr="00D75CA8">
        <w:tc>
          <w:tcPr>
            <w:tcW w:w="3501" w:type="pct"/>
            <w:vAlign w:val="bottom"/>
            <w:hideMark/>
          </w:tcPr>
          <w:p w14:paraId="4CC38967"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Share capital</w:t>
            </w:r>
          </w:p>
        </w:tc>
        <w:tc>
          <w:tcPr>
            <w:tcW w:w="500" w:type="pct"/>
            <w:vAlign w:val="bottom"/>
            <w:hideMark/>
          </w:tcPr>
          <w:p w14:paraId="047B18D3"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vAlign w:val="bottom"/>
            <w:hideMark/>
          </w:tcPr>
          <w:p w14:paraId="0174196B"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4.3</w:t>
            </w:r>
          </w:p>
        </w:tc>
        <w:tc>
          <w:tcPr>
            <w:tcW w:w="499" w:type="pct"/>
            <w:vAlign w:val="bottom"/>
          </w:tcPr>
          <w:p w14:paraId="5DFFCB47"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4.3</w:t>
            </w:r>
          </w:p>
        </w:tc>
      </w:tr>
      <w:tr w:rsidR="00D75CA8" w:rsidRPr="00D80ACC" w14:paraId="67B3B4E1" w14:textId="77777777" w:rsidTr="00D75CA8">
        <w:tc>
          <w:tcPr>
            <w:tcW w:w="3501" w:type="pct"/>
            <w:vAlign w:val="bottom"/>
            <w:hideMark/>
          </w:tcPr>
          <w:p w14:paraId="0B5E2B14"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Share premium</w:t>
            </w:r>
          </w:p>
        </w:tc>
        <w:tc>
          <w:tcPr>
            <w:tcW w:w="500" w:type="pct"/>
            <w:vAlign w:val="bottom"/>
            <w:hideMark/>
          </w:tcPr>
          <w:p w14:paraId="36A74621"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vAlign w:val="bottom"/>
            <w:hideMark/>
          </w:tcPr>
          <w:p w14:paraId="4A3A2BBE"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3.8</w:t>
            </w:r>
          </w:p>
        </w:tc>
        <w:tc>
          <w:tcPr>
            <w:tcW w:w="499" w:type="pct"/>
            <w:vAlign w:val="bottom"/>
          </w:tcPr>
          <w:p w14:paraId="34ACE400"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3.8</w:t>
            </w:r>
          </w:p>
        </w:tc>
      </w:tr>
      <w:tr w:rsidR="00D75CA8" w:rsidRPr="00D80ACC" w14:paraId="1552C426" w14:textId="77777777" w:rsidTr="00D75CA8">
        <w:tc>
          <w:tcPr>
            <w:tcW w:w="3501" w:type="pct"/>
            <w:vAlign w:val="bottom"/>
            <w:hideMark/>
          </w:tcPr>
          <w:p w14:paraId="742F169E"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ESOT reserve</w:t>
            </w:r>
          </w:p>
        </w:tc>
        <w:tc>
          <w:tcPr>
            <w:tcW w:w="500" w:type="pct"/>
            <w:vAlign w:val="bottom"/>
          </w:tcPr>
          <w:p w14:paraId="4D83A767"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vAlign w:val="bottom"/>
            <w:hideMark/>
          </w:tcPr>
          <w:p w14:paraId="4EBA0BEF"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(2.1)</w:t>
            </w:r>
          </w:p>
        </w:tc>
        <w:tc>
          <w:tcPr>
            <w:tcW w:w="499" w:type="pct"/>
            <w:vAlign w:val="bottom"/>
          </w:tcPr>
          <w:p w14:paraId="5268B0C8"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(2.0)</w:t>
            </w:r>
          </w:p>
        </w:tc>
      </w:tr>
      <w:tr w:rsidR="00D75CA8" w:rsidRPr="00D80ACC" w14:paraId="0BEB0899" w14:textId="77777777" w:rsidTr="00D75CA8">
        <w:tc>
          <w:tcPr>
            <w:tcW w:w="3501" w:type="pct"/>
            <w:vAlign w:val="bottom"/>
            <w:hideMark/>
          </w:tcPr>
          <w:p w14:paraId="233B90F7"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Revaluation reserve</w:t>
            </w:r>
          </w:p>
        </w:tc>
        <w:tc>
          <w:tcPr>
            <w:tcW w:w="500" w:type="pct"/>
            <w:vAlign w:val="bottom"/>
          </w:tcPr>
          <w:p w14:paraId="3F351F2F"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vAlign w:val="bottom"/>
            <w:hideMark/>
          </w:tcPr>
          <w:p w14:paraId="73FA248A"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0.8</w:t>
            </w:r>
          </w:p>
        </w:tc>
        <w:tc>
          <w:tcPr>
            <w:tcW w:w="499" w:type="pct"/>
            <w:vAlign w:val="bottom"/>
          </w:tcPr>
          <w:p w14:paraId="5E58B37F"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0.9</w:t>
            </w:r>
          </w:p>
        </w:tc>
      </w:tr>
      <w:tr w:rsidR="00D75CA8" w:rsidRPr="00D80ACC" w14:paraId="156B86F9" w14:textId="77777777" w:rsidTr="00D75CA8">
        <w:tc>
          <w:tcPr>
            <w:tcW w:w="3501" w:type="pct"/>
            <w:tcBorders>
              <w:top w:val="nil"/>
              <w:left w:val="nil"/>
              <w:bottom w:val="single" w:sz="4" w:space="0" w:color="000000" w:themeColor="text1"/>
              <w:right w:val="nil"/>
            </w:tcBorders>
            <w:vAlign w:val="bottom"/>
            <w:hideMark/>
          </w:tcPr>
          <w:p w14:paraId="52B599EA"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Retained earnings</w:t>
            </w:r>
          </w:p>
        </w:tc>
        <w:tc>
          <w:tcPr>
            <w:tcW w:w="500" w:type="pct"/>
            <w:tcBorders>
              <w:top w:val="nil"/>
              <w:left w:val="nil"/>
              <w:bottom w:val="single" w:sz="4" w:space="0" w:color="000000" w:themeColor="text1"/>
              <w:right w:val="nil"/>
            </w:tcBorders>
            <w:vAlign w:val="bottom"/>
          </w:tcPr>
          <w:p w14:paraId="1BDE9906"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tcBorders>
              <w:top w:val="nil"/>
              <w:left w:val="nil"/>
              <w:bottom w:val="single" w:sz="4" w:space="0" w:color="000000" w:themeColor="text1"/>
              <w:right w:val="nil"/>
            </w:tcBorders>
            <w:vAlign w:val="bottom"/>
            <w:hideMark/>
          </w:tcPr>
          <w:p w14:paraId="45A14E0D"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8.9</w:t>
            </w:r>
          </w:p>
        </w:tc>
        <w:tc>
          <w:tcPr>
            <w:tcW w:w="499" w:type="pct"/>
            <w:tcBorders>
              <w:top w:val="nil"/>
              <w:left w:val="nil"/>
              <w:bottom w:val="single" w:sz="4" w:space="0" w:color="000000" w:themeColor="text1"/>
              <w:right w:val="nil"/>
            </w:tcBorders>
            <w:vAlign w:val="bottom"/>
          </w:tcPr>
          <w:p w14:paraId="583C1E84"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15.9</w:t>
            </w:r>
          </w:p>
        </w:tc>
      </w:tr>
      <w:tr w:rsidR="00D75CA8" w:rsidRPr="00D80ACC" w14:paraId="6436DFF7" w14:textId="77777777" w:rsidTr="00D75CA8">
        <w:tc>
          <w:tcPr>
            <w:tcW w:w="3501" w:type="pct"/>
            <w:tcBorders>
              <w:top w:val="single" w:sz="4" w:space="0" w:color="000000" w:themeColor="text1"/>
              <w:left w:val="nil"/>
              <w:bottom w:val="single" w:sz="12" w:space="0" w:color="000000" w:themeColor="text1"/>
              <w:right w:val="nil"/>
            </w:tcBorders>
            <w:vAlign w:val="bottom"/>
            <w:hideMark/>
          </w:tcPr>
          <w:p w14:paraId="5925A9D7"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t>Total equity</w:t>
            </w:r>
          </w:p>
        </w:tc>
        <w:tc>
          <w:tcPr>
            <w:tcW w:w="500" w:type="pct"/>
            <w:tcBorders>
              <w:top w:val="single" w:sz="4" w:space="0" w:color="000000" w:themeColor="text1"/>
              <w:left w:val="nil"/>
              <w:bottom w:val="single" w:sz="12" w:space="0" w:color="000000" w:themeColor="text1"/>
              <w:right w:val="nil"/>
            </w:tcBorders>
            <w:vAlign w:val="bottom"/>
          </w:tcPr>
          <w:p w14:paraId="14F17D77"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tcBorders>
              <w:top w:val="single" w:sz="4" w:space="0" w:color="000000" w:themeColor="text1"/>
              <w:left w:val="nil"/>
              <w:bottom w:val="single" w:sz="12" w:space="0" w:color="000000" w:themeColor="text1"/>
              <w:right w:val="nil"/>
            </w:tcBorders>
            <w:vAlign w:val="bottom"/>
            <w:hideMark/>
          </w:tcPr>
          <w:p w14:paraId="0F670856"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15.7</w:t>
            </w:r>
          </w:p>
        </w:tc>
        <w:tc>
          <w:tcPr>
            <w:tcW w:w="499" w:type="pct"/>
            <w:tcBorders>
              <w:top w:val="single" w:sz="4" w:space="0" w:color="000000" w:themeColor="text1"/>
              <w:left w:val="nil"/>
              <w:bottom w:val="single" w:sz="12" w:space="0" w:color="000000" w:themeColor="text1"/>
              <w:right w:val="nil"/>
            </w:tcBorders>
            <w:vAlign w:val="bottom"/>
          </w:tcPr>
          <w:p w14:paraId="7EB7975E"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22.9</w:t>
            </w:r>
          </w:p>
        </w:tc>
      </w:tr>
    </w:tbl>
    <w:p w14:paraId="6D1107B3" w14:textId="283AF973" w:rsidR="00D75CA8" w:rsidRDefault="00D75CA8" w:rsidP="00C46D98">
      <w:pPr>
        <w:widowControl w:val="0"/>
        <w:autoSpaceDE w:val="0"/>
        <w:autoSpaceDN w:val="0"/>
        <w:adjustRightInd w:val="0"/>
        <w:rPr>
          <w:rFonts w:cs="Times New Roman"/>
          <w:b/>
          <w:bCs/>
          <w:color w:val="002060"/>
        </w:rPr>
      </w:pPr>
    </w:p>
    <w:p w14:paraId="34BED8E0" w14:textId="77777777" w:rsidR="00D75CA8" w:rsidRDefault="00D75CA8" w:rsidP="00D75CA8">
      <w:pPr>
        <w:widowControl w:val="0"/>
        <w:autoSpaceDE w:val="0"/>
        <w:autoSpaceDN w:val="0"/>
        <w:adjustRightInd w:val="0"/>
        <w:spacing w:after="0" w:line="240" w:lineRule="auto"/>
        <w:rPr>
          <w:rFonts w:cstheme="minorHAnsi"/>
        </w:rPr>
      </w:pPr>
      <w:r w:rsidRPr="00A25B72">
        <w:rPr>
          <w:rFonts w:cs="Times New Roman"/>
          <w:b/>
          <w:bCs/>
          <w:color w:val="002060"/>
          <w:sz w:val="28"/>
          <w:szCs w:val="28"/>
        </w:rPr>
        <w:t>Consolidated statement of cash flows</w:t>
      </w:r>
      <w:r w:rsidRPr="00D80ACC">
        <w:rPr>
          <w:rFonts w:cstheme="minorHAnsi"/>
        </w:rPr>
        <w:t xml:space="preserve"> </w:t>
      </w:r>
    </w:p>
    <w:p w14:paraId="1892EC35" w14:textId="77777777" w:rsidR="00D75CA8" w:rsidRPr="00D75CA8" w:rsidRDefault="00D75CA8" w:rsidP="00D75CA8">
      <w:pPr>
        <w:widowControl w:val="0"/>
        <w:autoSpaceDE w:val="0"/>
        <w:autoSpaceDN w:val="0"/>
        <w:adjustRightInd w:val="0"/>
        <w:spacing w:after="0" w:line="240" w:lineRule="auto"/>
        <w:rPr>
          <w:rFonts w:cstheme="minorHAnsi"/>
          <w:sz w:val="20"/>
          <w:szCs w:val="20"/>
        </w:rPr>
      </w:pPr>
      <w:r w:rsidRPr="00D75CA8">
        <w:rPr>
          <w:rFonts w:cs="Times New Roman"/>
          <w:bCs/>
          <w:color w:val="000000" w:themeColor="text1"/>
          <w:szCs w:val="18"/>
        </w:rPr>
        <w:t>for the year ended 31st December 2020</w:t>
      </w:r>
    </w:p>
    <w:tbl>
      <w:tblPr>
        <w:tblW w:w="5002" w:type="pct"/>
        <w:tblCellMar>
          <w:left w:w="0" w:type="dxa"/>
          <w:right w:w="0" w:type="dxa"/>
        </w:tblCellMar>
        <w:tblLook w:val="04A0" w:firstRow="1" w:lastRow="0" w:firstColumn="1" w:lastColumn="0" w:noHBand="0" w:noVBand="1"/>
      </w:tblPr>
      <w:tblGrid>
        <w:gridCol w:w="7566"/>
        <w:gridCol w:w="1080"/>
        <w:gridCol w:w="1080"/>
        <w:gridCol w:w="1078"/>
      </w:tblGrid>
      <w:tr w:rsidR="00D75CA8" w:rsidRPr="00D80ACC" w14:paraId="25842AE0" w14:textId="77777777" w:rsidTr="00D75CA8">
        <w:tc>
          <w:tcPr>
            <w:tcW w:w="3501" w:type="pct"/>
            <w:vAlign w:val="bottom"/>
          </w:tcPr>
          <w:p w14:paraId="1432743F" w14:textId="77777777" w:rsidR="00D75CA8" w:rsidRPr="00D80ACC" w:rsidRDefault="00D75CA8" w:rsidP="00D75CA8">
            <w:pPr>
              <w:widowControl w:val="0"/>
              <w:autoSpaceDE w:val="0"/>
              <w:autoSpaceDN w:val="0"/>
              <w:adjustRightInd w:val="0"/>
              <w:spacing w:after="0" w:line="240" w:lineRule="auto"/>
              <w:rPr>
                <w:rFonts w:cstheme="minorHAnsi"/>
              </w:rPr>
            </w:pPr>
          </w:p>
        </w:tc>
        <w:tc>
          <w:tcPr>
            <w:tcW w:w="500" w:type="pct"/>
            <w:vAlign w:val="bottom"/>
          </w:tcPr>
          <w:p w14:paraId="6EA24D61"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vAlign w:val="bottom"/>
            <w:hideMark/>
          </w:tcPr>
          <w:p w14:paraId="637F80CA"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2020</w:t>
            </w:r>
          </w:p>
        </w:tc>
        <w:tc>
          <w:tcPr>
            <w:tcW w:w="499" w:type="pct"/>
            <w:vAlign w:val="bottom"/>
          </w:tcPr>
          <w:p w14:paraId="2D7CBDA5"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2019</w:t>
            </w:r>
          </w:p>
        </w:tc>
      </w:tr>
      <w:tr w:rsidR="00D75CA8" w:rsidRPr="00D80ACC" w14:paraId="35E2A386" w14:textId="77777777" w:rsidTr="00D75CA8">
        <w:tc>
          <w:tcPr>
            <w:tcW w:w="3501" w:type="pct"/>
            <w:tcBorders>
              <w:top w:val="nil"/>
              <w:left w:val="nil"/>
              <w:bottom w:val="single" w:sz="4" w:space="0" w:color="000000" w:themeColor="text1"/>
              <w:right w:val="nil"/>
            </w:tcBorders>
            <w:vAlign w:val="bottom"/>
          </w:tcPr>
          <w:p w14:paraId="5A6D953C" w14:textId="77777777" w:rsidR="00D75CA8" w:rsidRPr="00D80ACC" w:rsidRDefault="00D75CA8" w:rsidP="00D75CA8">
            <w:pPr>
              <w:widowControl w:val="0"/>
              <w:autoSpaceDE w:val="0"/>
              <w:autoSpaceDN w:val="0"/>
              <w:adjustRightInd w:val="0"/>
              <w:spacing w:after="0" w:line="240" w:lineRule="auto"/>
              <w:rPr>
                <w:rFonts w:cstheme="minorHAnsi"/>
              </w:rPr>
            </w:pPr>
          </w:p>
        </w:tc>
        <w:tc>
          <w:tcPr>
            <w:tcW w:w="500" w:type="pct"/>
            <w:tcBorders>
              <w:top w:val="nil"/>
              <w:left w:val="nil"/>
              <w:bottom w:val="single" w:sz="4" w:space="0" w:color="000000" w:themeColor="text1"/>
              <w:right w:val="nil"/>
            </w:tcBorders>
            <w:vAlign w:val="bottom"/>
            <w:hideMark/>
          </w:tcPr>
          <w:p w14:paraId="3903120A"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rPr>
              <w:t>Note</w:t>
            </w:r>
          </w:p>
        </w:tc>
        <w:tc>
          <w:tcPr>
            <w:tcW w:w="500" w:type="pct"/>
            <w:tcBorders>
              <w:top w:val="nil"/>
              <w:left w:val="nil"/>
              <w:bottom w:val="single" w:sz="4" w:space="0" w:color="000000" w:themeColor="text1"/>
              <w:right w:val="nil"/>
            </w:tcBorders>
            <w:vAlign w:val="bottom"/>
            <w:hideMark/>
          </w:tcPr>
          <w:p w14:paraId="45D7CB0C"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£m</w:t>
            </w:r>
          </w:p>
        </w:tc>
        <w:tc>
          <w:tcPr>
            <w:tcW w:w="499" w:type="pct"/>
            <w:tcBorders>
              <w:top w:val="nil"/>
              <w:left w:val="nil"/>
              <w:bottom w:val="single" w:sz="4" w:space="0" w:color="000000" w:themeColor="text1"/>
              <w:right w:val="nil"/>
            </w:tcBorders>
            <w:vAlign w:val="bottom"/>
          </w:tcPr>
          <w:p w14:paraId="029554CB"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£m</w:t>
            </w:r>
          </w:p>
        </w:tc>
      </w:tr>
      <w:tr w:rsidR="00D75CA8" w:rsidRPr="00D80ACC" w14:paraId="2FE626A7" w14:textId="77777777" w:rsidTr="00D75CA8">
        <w:tc>
          <w:tcPr>
            <w:tcW w:w="3501" w:type="pct"/>
            <w:tcBorders>
              <w:top w:val="single" w:sz="4" w:space="0" w:color="000000" w:themeColor="text1"/>
              <w:left w:val="nil"/>
              <w:bottom w:val="single" w:sz="4" w:space="0" w:color="000000" w:themeColor="text1"/>
              <w:right w:val="nil"/>
            </w:tcBorders>
            <w:vAlign w:val="bottom"/>
            <w:hideMark/>
          </w:tcPr>
          <w:p w14:paraId="52A812DD"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t>Net cash generated from operating activities</w:t>
            </w:r>
          </w:p>
        </w:tc>
        <w:tc>
          <w:tcPr>
            <w:tcW w:w="500" w:type="pct"/>
            <w:tcBorders>
              <w:top w:val="single" w:sz="4" w:space="0" w:color="000000" w:themeColor="text1"/>
              <w:left w:val="nil"/>
              <w:bottom w:val="single" w:sz="4" w:space="0" w:color="000000" w:themeColor="text1"/>
              <w:right w:val="nil"/>
            </w:tcBorders>
            <w:vAlign w:val="bottom"/>
            <w:hideMark/>
          </w:tcPr>
          <w:p w14:paraId="14E88832" w14:textId="77777777" w:rsidR="00D75CA8" w:rsidRPr="00D80ACC" w:rsidRDefault="00D75CA8" w:rsidP="00D75CA8">
            <w:pPr>
              <w:widowControl w:val="0"/>
              <w:autoSpaceDE w:val="0"/>
              <w:autoSpaceDN w:val="0"/>
              <w:adjustRightInd w:val="0"/>
              <w:spacing w:after="0" w:line="240" w:lineRule="auto"/>
              <w:jc w:val="right"/>
              <w:rPr>
                <w:rFonts w:cstheme="minorHAnsi"/>
              </w:rPr>
            </w:pPr>
            <w:r>
              <w:rPr>
                <w:rFonts w:cstheme="minorHAnsi"/>
              </w:rPr>
              <w:t>8</w:t>
            </w:r>
          </w:p>
        </w:tc>
        <w:tc>
          <w:tcPr>
            <w:tcW w:w="500" w:type="pct"/>
            <w:tcBorders>
              <w:top w:val="single" w:sz="4" w:space="0" w:color="000000" w:themeColor="text1"/>
              <w:left w:val="nil"/>
              <w:bottom w:val="single" w:sz="4" w:space="0" w:color="000000" w:themeColor="text1"/>
              <w:right w:val="nil"/>
            </w:tcBorders>
            <w:vAlign w:val="bottom"/>
            <w:hideMark/>
          </w:tcPr>
          <w:p w14:paraId="37BDACD3"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3.7</w:t>
            </w:r>
          </w:p>
        </w:tc>
        <w:tc>
          <w:tcPr>
            <w:tcW w:w="499" w:type="pct"/>
            <w:tcBorders>
              <w:top w:val="single" w:sz="4" w:space="0" w:color="000000" w:themeColor="text1"/>
              <w:left w:val="nil"/>
              <w:bottom w:val="single" w:sz="4" w:space="0" w:color="000000" w:themeColor="text1"/>
              <w:right w:val="nil"/>
            </w:tcBorders>
            <w:vAlign w:val="bottom"/>
          </w:tcPr>
          <w:p w14:paraId="029BD926"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3.9</w:t>
            </w:r>
          </w:p>
        </w:tc>
      </w:tr>
      <w:tr w:rsidR="00D75CA8" w:rsidRPr="00D80ACC" w14:paraId="091B5E4C" w14:textId="77777777" w:rsidTr="00D75CA8">
        <w:tc>
          <w:tcPr>
            <w:tcW w:w="3501" w:type="pct"/>
            <w:tcBorders>
              <w:top w:val="single" w:sz="4" w:space="0" w:color="000000" w:themeColor="text1"/>
              <w:left w:val="nil"/>
              <w:bottom w:val="nil"/>
              <w:right w:val="nil"/>
            </w:tcBorders>
            <w:vAlign w:val="bottom"/>
            <w:hideMark/>
          </w:tcPr>
          <w:p w14:paraId="2B658FB7"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t>Investing activities</w:t>
            </w:r>
          </w:p>
        </w:tc>
        <w:tc>
          <w:tcPr>
            <w:tcW w:w="500" w:type="pct"/>
            <w:tcBorders>
              <w:top w:val="single" w:sz="4" w:space="0" w:color="000000" w:themeColor="text1"/>
              <w:left w:val="nil"/>
              <w:bottom w:val="nil"/>
              <w:right w:val="nil"/>
            </w:tcBorders>
            <w:vAlign w:val="bottom"/>
          </w:tcPr>
          <w:p w14:paraId="72472F0D"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tcBorders>
              <w:top w:val="single" w:sz="4" w:space="0" w:color="000000" w:themeColor="text1"/>
              <w:left w:val="nil"/>
              <w:bottom w:val="nil"/>
              <w:right w:val="nil"/>
            </w:tcBorders>
            <w:vAlign w:val="bottom"/>
          </w:tcPr>
          <w:p w14:paraId="2FE5022E" w14:textId="77777777" w:rsidR="00D75CA8" w:rsidRPr="0089211B" w:rsidRDefault="00D75CA8" w:rsidP="00D75CA8">
            <w:pPr>
              <w:widowControl w:val="0"/>
              <w:autoSpaceDE w:val="0"/>
              <w:autoSpaceDN w:val="0"/>
              <w:adjustRightInd w:val="0"/>
              <w:spacing w:after="0" w:line="240" w:lineRule="auto"/>
              <w:jc w:val="right"/>
              <w:rPr>
                <w:rFonts w:cstheme="minorHAnsi"/>
                <w:b/>
                <w:bCs/>
              </w:rPr>
            </w:pPr>
          </w:p>
        </w:tc>
        <w:tc>
          <w:tcPr>
            <w:tcW w:w="499" w:type="pct"/>
            <w:tcBorders>
              <w:top w:val="single" w:sz="4" w:space="0" w:color="000000" w:themeColor="text1"/>
              <w:left w:val="nil"/>
              <w:bottom w:val="nil"/>
              <w:right w:val="nil"/>
            </w:tcBorders>
            <w:vAlign w:val="bottom"/>
          </w:tcPr>
          <w:p w14:paraId="7F916D4F" w14:textId="77777777" w:rsidR="00D75CA8" w:rsidRPr="004B30F5" w:rsidRDefault="00D75CA8" w:rsidP="00D75CA8">
            <w:pPr>
              <w:widowControl w:val="0"/>
              <w:autoSpaceDE w:val="0"/>
              <w:autoSpaceDN w:val="0"/>
              <w:adjustRightInd w:val="0"/>
              <w:spacing w:after="0" w:line="240" w:lineRule="auto"/>
              <w:jc w:val="right"/>
              <w:rPr>
                <w:rFonts w:cstheme="minorHAnsi"/>
              </w:rPr>
            </w:pPr>
          </w:p>
        </w:tc>
      </w:tr>
      <w:tr w:rsidR="00D75CA8" w:rsidRPr="00D80ACC" w14:paraId="0E9F9AC8" w14:textId="77777777" w:rsidTr="00D75CA8">
        <w:tc>
          <w:tcPr>
            <w:tcW w:w="3501" w:type="pct"/>
            <w:tcBorders>
              <w:top w:val="single" w:sz="4" w:space="0" w:color="000000" w:themeColor="text1"/>
              <w:left w:val="nil"/>
              <w:bottom w:val="nil"/>
              <w:right w:val="nil"/>
            </w:tcBorders>
            <w:vAlign w:val="bottom"/>
          </w:tcPr>
          <w:p w14:paraId="79FD40FA" w14:textId="77777777" w:rsidR="00D75CA8" w:rsidRPr="0089211B" w:rsidRDefault="00D75CA8" w:rsidP="00D75CA8">
            <w:pPr>
              <w:widowControl w:val="0"/>
              <w:autoSpaceDE w:val="0"/>
              <w:autoSpaceDN w:val="0"/>
              <w:adjustRightInd w:val="0"/>
              <w:spacing w:after="0" w:line="240" w:lineRule="auto"/>
              <w:rPr>
                <w:rFonts w:cstheme="minorHAnsi"/>
              </w:rPr>
            </w:pPr>
            <w:r w:rsidRPr="0089211B">
              <w:rPr>
                <w:rFonts w:cstheme="minorHAnsi"/>
              </w:rPr>
              <w:t>Investment in minority shareholding</w:t>
            </w:r>
          </w:p>
        </w:tc>
        <w:tc>
          <w:tcPr>
            <w:tcW w:w="500" w:type="pct"/>
            <w:tcBorders>
              <w:top w:val="single" w:sz="4" w:space="0" w:color="000000" w:themeColor="text1"/>
              <w:left w:val="nil"/>
              <w:bottom w:val="nil"/>
              <w:right w:val="nil"/>
            </w:tcBorders>
            <w:vAlign w:val="bottom"/>
          </w:tcPr>
          <w:p w14:paraId="03B2BFF1"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tcBorders>
              <w:top w:val="single" w:sz="4" w:space="0" w:color="000000" w:themeColor="text1"/>
              <w:left w:val="nil"/>
              <w:bottom w:val="nil"/>
              <w:right w:val="nil"/>
            </w:tcBorders>
            <w:vAlign w:val="bottom"/>
          </w:tcPr>
          <w:p w14:paraId="7B7A439C"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(2.0)</w:t>
            </w:r>
          </w:p>
        </w:tc>
        <w:tc>
          <w:tcPr>
            <w:tcW w:w="499" w:type="pct"/>
            <w:tcBorders>
              <w:top w:val="single" w:sz="4" w:space="0" w:color="000000" w:themeColor="text1"/>
              <w:left w:val="nil"/>
              <w:bottom w:val="nil"/>
              <w:right w:val="nil"/>
            </w:tcBorders>
            <w:vAlign w:val="bottom"/>
          </w:tcPr>
          <w:p w14:paraId="1C80A751"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w:t>
            </w:r>
          </w:p>
        </w:tc>
      </w:tr>
      <w:tr w:rsidR="00D75CA8" w:rsidRPr="00D80ACC" w14:paraId="610DA0CC" w14:textId="77777777" w:rsidTr="00D75CA8">
        <w:tc>
          <w:tcPr>
            <w:tcW w:w="3501" w:type="pct"/>
            <w:tcBorders>
              <w:top w:val="nil"/>
              <w:left w:val="nil"/>
              <w:bottom w:val="single" w:sz="4" w:space="0" w:color="000000" w:themeColor="text1"/>
              <w:right w:val="nil"/>
            </w:tcBorders>
            <w:vAlign w:val="bottom"/>
            <w:hideMark/>
          </w:tcPr>
          <w:p w14:paraId="1C01A1A8"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 xml:space="preserve">Purchase of property, </w:t>
            </w:r>
            <w:proofErr w:type="gramStart"/>
            <w:r w:rsidRPr="00D80ACC">
              <w:rPr>
                <w:rFonts w:cstheme="minorHAnsi"/>
              </w:rPr>
              <w:t>plant</w:t>
            </w:r>
            <w:proofErr w:type="gramEnd"/>
            <w:r w:rsidRPr="00D80ACC">
              <w:rPr>
                <w:rFonts w:cstheme="minorHAnsi"/>
              </w:rPr>
              <w:t xml:space="preserve"> and equipment</w:t>
            </w:r>
          </w:p>
        </w:tc>
        <w:tc>
          <w:tcPr>
            <w:tcW w:w="500" w:type="pct"/>
            <w:tcBorders>
              <w:top w:val="nil"/>
              <w:left w:val="nil"/>
              <w:bottom w:val="single" w:sz="4" w:space="0" w:color="000000" w:themeColor="text1"/>
              <w:right w:val="nil"/>
            </w:tcBorders>
            <w:vAlign w:val="bottom"/>
          </w:tcPr>
          <w:p w14:paraId="05A369F3"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tcBorders>
              <w:top w:val="nil"/>
              <w:left w:val="nil"/>
              <w:bottom w:val="single" w:sz="4" w:space="0" w:color="000000" w:themeColor="text1"/>
              <w:right w:val="nil"/>
            </w:tcBorders>
            <w:vAlign w:val="bottom"/>
            <w:hideMark/>
          </w:tcPr>
          <w:p w14:paraId="6924406E"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(0.2)</w:t>
            </w:r>
          </w:p>
        </w:tc>
        <w:tc>
          <w:tcPr>
            <w:tcW w:w="499" w:type="pct"/>
            <w:tcBorders>
              <w:top w:val="nil"/>
              <w:left w:val="nil"/>
              <w:bottom w:val="single" w:sz="4" w:space="0" w:color="000000" w:themeColor="text1"/>
              <w:right w:val="nil"/>
            </w:tcBorders>
            <w:vAlign w:val="bottom"/>
          </w:tcPr>
          <w:p w14:paraId="2EC89BCC"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(0.3)</w:t>
            </w:r>
          </w:p>
        </w:tc>
      </w:tr>
      <w:tr w:rsidR="00D75CA8" w:rsidRPr="00D80ACC" w14:paraId="5D1D45C5" w14:textId="77777777" w:rsidTr="00D75CA8">
        <w:tc>
          <w:tcPr>
            <w:tcW w:w="3501" w:type="pct"/>
            <w:tcBorders>
              <w:top w:val="single" w:sz="4" w:space="0" w:color="000000" w:themeColor="text1"/>
              <w:left w:val="nil"/>
              <w:bottom w:val="single" w:sz="4" w:space="0" w:color="000000" w:themeColor="text1"/>
              <w:right w:val="nil"/>
            </w:tcBorders>
            <w:vAlign w:val="bottom"/>
            <w:hideMark/>
          </w:tcPr>
          <w:p w14:paraId="62DE9B15"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t>Net cash used in investing activities</w:t>
            </w:r>
          </w:p>
        </w:tc>
        <w:tc>
          <w:tcPr>
            <w:tcW w:w="500" w:type="pct"/>
            <w:tcBorders>
              <w:top w:val="single" w:sz="4" w:space="0" w:color="000000" w:themeColor="text1"/>
              <w:left w:val="nil"/>
              <w:bottom w:val="single" w:sz="4" w:space="0" w:color="000000" w:themeColor="text1"/>
              <w:right w:val="nil"/>
            </w:tcBorders>
            <w:vAlign w:val="bottom"/>
          </w:tcPr>
          <w:p w14:paraId="10F060D4"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tcBorders>
              <w:top w:val="single" w:sz="4" w:space="0" w:color="000000" w:themeColor="text1"/>
              <w:left w:val="nil"/>
              <w:bottom w:val="single" w:sz="4" w:space="0" w:color="000000" w:themeColor="text1"/>
              <w:right w:val="nil"/>
            </w:tcBorders>
            <w:vAlign w:val="bottom"/>
            <w:hideMark/>
          </w:tcPr>
          <w:p w14:paraId="70BF6394"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(2.2)</w:t>
            </w:r>
          </w:p>
        </w:tc>
        <w:tc>
          <w:tcPr>
            <w:tcW w:w="499" w:type="pct"/>
            <w:tcBorders>
              <w:top w:val="single" w:sz="4" w:space="0" w:color="000000" w:themeColor="text1"/>
              <w:left w:val="nil"/>
              <w:bottom w:val="single" w:sz="4" w:space="0" w:color="000000" w:themeColor="text1"/>
              <w:right w:val="nil"/>
            </w:tcBorders>
            <w:vAlign w:val="bottom"/>
          </w:tcPr>
          <w:p w14:paraId="795C184D"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(0.3)</w:t>
            </w:r>
          </w:p>
        </w:tc>
      </w:tr>
      <w:tr w:rsidR="00D75CA8" w:rsidRPr="00D80ACC" w14:paraId="0F71876B" w14:textId="77777777" w:rsidTr="00D75CA8">
        <w:tc>
          <w:tcPr>
            <w:tcW w:w="3501" w:type="pct"/>
            <w:tcBorders>
              <w:top w:val="single" w:sz="4" w:space="0" w:color="000000" w:themeColor="text1"/>
              <w:left w:val="nil"/>
              <w:bottom w:val="nil"/>
              <w:right w:val="nil"/>
            </w:tcBorders>
            <w:vAlign w:val="bottom"/>
            <w:hideMark/>
          </w:tcPr>
          <w:p w14:paraId="470A83E3"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t>Financing activities</w:t>
            </w:r>
          </w:p>
        </w:tc>
        <w:tc>
          <w:tcPr>
            <w:tcW w:w="500" w:type="pct"/>
            <w:tcBorders>
              <w:top w:val="single" w:sz="4" w:space="0" w:color="000000" w:themeColor="text1"/>
              <w:left w:val="nil"/>
              <w:bottom w:val="nil"/>
              <w:right w:val="nil"/>
            </w:tcBorders>
            <w:vAlign w:val="bottom"/>
          </w:tcPr>
          <w:p w14:paraId="797275D3"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tcBorders>
              <w:top w:val="single" w:sz="4" w:space="0" w:color="000000" w:themeColor="text1"/>
              <w:left w:val="nil"/>
              <w:bottom w:val="nil"/>
              <w:right w:val="nil"/>
            </w:tcBorders>
            <w:vAlign w:val="bottom"/>
          </w:tcPr>
          <w:p w14:paraId="371F221A" w14:textId="77777777" w:rsidR="00D75CA8" w:rsidRPr="004B30F5" w:rsidRDefault="00D75CA8" w:rsidP="00D75CA8">
            <w:pPr>
              <w:widowControl w:val="0"/>
              <w:autoSpaceDE w:val="0"/>
              <w:autoSpaceDN w:val="0"/>
              <w:adjustRightInd w:val="0"/>
              <w:spacing w:after="0" w:line="240" w:lineRule="auto"/>
              <w:jc w:val="right"/>
              <w:rPr>
                <w:rFonts w:cstheme="minorHAnsi"/>
                <w:highlight w:val="yellow"/>
              </w:rPr>
            </w:pPr>
          </w:p>
        </w:tc>
        <w:tc>
          <w:tcPr>
            <w:tcW w:w="499" w:type="pct"/>
            <w:tcBorders>
              <w:top w:val="single" w:sz="4" w:space="0" w:color="000000" w:themeColor="text1"/>
              <w:left w:val="nil"/>
              <w:bottom w:val="nil"/>
              <w:right w:val="nil"/>
            </w:tcBorders>
            <w:vAlign w:val="bottom"/>
          </w:tcPr>
          <w:p w14:paraId="406C226D" w14:textId="77777777" w:rsidR="00D75CA8" w:rsidRPr="004B30F5" w:rsidRDefault="00D75CA8" w:rsidP="00D75CA8">
            <w:pPr>
              <w:widowControl w:val="0"/>
              <w:autoSpaceDE w:val="0"/>
              <w:autoSpaceDN w:val="0"/>
              <w:adjustRightInd w:val="0"/>
              <w:spacing w:after="0" w:line="240" w:lineRule="auto"/>
              <w:jc w:val="right"/>
              <w:rPr>
                <w:rFonts w:cstheme="minorHAnsi"/>
              </w:rPr>
            </w:pPr>
          </w:p>
        </w:tc>
      </w:tr>
      <w:tr w:rsidR="00D75CA8" w:rsidRPr="00D80ACC" w14:paraId="41BD6338" w14:textId="77777777" w:rsidTr="00D75CA8">
        <w:tc>
          <w:tcPr>
            <w:tcW w:w="3501" w:type="pct"/>
            <w:vAlign w:val="bottom"/>
            <w:hideMark/>
          </w:tcPr>
          <w:p w14:paraId="1164C2DB"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New shares issuance</w:t>
            </w:r>
          </w:p>
        </w:tc>
        <w:tc>
          <w:tcPr>
            <w:tcW w:w="500" w:type="pct"/>
            <w:vAlign w:val="bottom"/>
          </w:tcPr>
          <w:p w14:paraId="6193FAC3"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vAlign w:val="bottom"/>
            <w:hideMark/>
          </w:tcPr>
          <w:p w14:paraId="0507F551"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w:t>
            </w:r>
          </w:p>
        </w:tc>
        <w:tc>
          <w:tcPr>
            <w:tcW w:w="499" w:type="pct"/>
            <w:vAlign w:val="bottom"/>
          </w:tcPr>
          <w:p w14:paraId="1D5ADC2D"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0.1</w:t>
            </w:r>
          </w:p>
        </w:tc>
      </w:tr>
      <w:tr w:rsidR="00D75CA8" w:rsidRPr="00D80ACC" w14:paraId="7FBF969B" w14:textId="77777777" w:rsidTr="00D75CA8">
        <w:tc>
          <w:tcPr>
            <w:tcW w:w="3501" w:type="pct"/>
            <w:vAlign w:val="bottom"/>
            <w:hideMark/>
          </w:tcPr>
          <w:p w14:paraId="19943004"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Facility fee</w:t>
            </w:r>
          </w:p>
        </w:tc>
        <w:tc>
          <w:tcPr>
            <w:tcW w:w="500" w:type="pct"/>
            <w:vAlign w:val="bottom"/>
          </w:tcPr>
          <w:p w14:paraId="6502C6AB"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vAlign w:val="bottom"/>
            <w:hideMark/>
          </w:tcPr>
          <w:p w14:paraId="368C7752"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(0.1)</w:t>
            </w:r>
          </w:p>
        </w:tc>
        <w:tc>
          <w:tcPr>
            <w:tcW w:w="499" w:type="pct"/>
            <w:vAlign w:val="bottom"/>
          </w:tcPr>
          <w:p w14:paraId="45CA5F87"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(0.1)</w:t>
            </w:r>
          </w:p>
        </w:tc>
      </w:tr>
      <w:tr w:rsidR="00D75CA8" w:rsidRPr="00D80ACC" w14:paraId="15ACB1CA" w14:textId="77777777" w:rsidTr="00D75CA8">
        <w:tc>
          <w:tcPr>
            <w:tcW w:w="3501" w:type="pct"/>
            <w:vAlign w:val="bottom"/>
            <w:hideMark/>
          </w:tcPr>
          <w:p w14:paraId="7401ACF8" w14:textId="77777777" w:rsidR="00D75CA8" w:rsidRPr="00D80ACC" w:rsidRDefault="00D75CA8" w:rsidP="00D75CA8">
            <w:pPr>
              <w:widowControl w:val="0"/>
              <w:autoSpaceDE w:val="0"/>
              <w:autoSpaceDN w:val="0"/>
              <w:adjustRightInd w:val="0"/>
              <w:spacing w:after="0" w:line="240" w:lineRule="auto"/>
              <w:rPr>
                <w:rFonts w:cstheme="minorHAnsi"/>
              </w:rPr>
            </w:pPr>
            <w:r>
              <w:rPr>
                <w:rFonts w:cstheme="minorHAnsi"/>
              </w:rPr>
              <w:t>Proceeds from bank borrowing</w:t>
            </w:r>
          </w:p>
        </w:tc>
        <w:tc>
          <w:tcPr>
            <w:tcW w:w="500" w:type="pct"/>
            <w:vAlign w:val="bottom"/>
            <w:hideMark/>
          </w:tcPr>
          <w:p w14:paraId="7F559F40"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vAlign w:val="bottom"/>
            <w:hideMark/>
          </w:tcPr>
          <w:p w14:paraId="12CB4F84"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15.0</w:t>
            </w:r>
          </w:p>
        </w:tc>
        <w:tc>
          <w:tcPr>
            <w:tcW w:w="499" w:type="pct"/>
            <w:vAlign w:val="bottom"/>
          </w:tcPr>
          <w:p w14:paraId="1CB638C5"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w:t>
            </w:r>
          </w:p>
        </w:tc>
      </w:tr>
      <w:tr w:rsidR="00D75CA8" w:rsidRPr="00D80ACC" w14:paraId="1FAF662D" w14:textId="77777777" w:rsidTr="00D75CA8">
        <w:tc>
          <w:tcPr>
            <w:tcW w:w="3501" w:type="pct"/>
            <w:vAlign w:val="bottom"/>
            <w:hideMark/>
          </w:tcPr>
          <w:p w14:paraId="1D2D4C28"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Equity dividends paid</w:t>
            </w:r>
          </w:p>
        </w:tc>
        <w:tc>
          <w:tcPr>
            <w:tcW w:w="500" w:type="pct"/>
            <w:vAlign w:val="bottom"/>
            <w:hideMark/>
          </w:tcPr>
          <w:p w14:paraId="6DCF4FBA"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vAlign w:val="bottom"/>
            <w:hideMark/>
          </w:tcPr>
          <w:p w14:paraId="4532916D"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(1.9)</w:t>
            </w:r>
          </w:p>
        </w:tc>
        <w:tc>
          <w:tcPr>
            <w:tcW w:w="499" w:type="pct"/>
            <w:vAlign w:val="bottom"/>
          </w:tcPr>
          <w:p w14:paraId="4001CA01"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(1.7)</w:t>
            </w:r>
          </w:p>
        </w:tc>
      </w:tr>
      <w:tr w:rsidR="00D75CA8" w:rsidRPr="00D80ACC" w14:paraId="6F5BE92F" w14:textId="77777777" w:rsidTr="00D75CA8">
        <w:tc>
          <w:tcPr>
            <w:tcW w:w="3501" w:type="pct"/>
            <w:vAlign w:val="bottom"/>
            <w:hideMark/>
          </w:tcPr>
          <w:p w14:paraId="26EF8FB6"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Acquisition of shares by ESOT</w:t>
            </w:r>
          </w:p>
        </w:tc>
        <w:tc>
          <w:tcPr>
            <w:tcW w:w="500" w:type="pct"/>
            <w:vAlign w:val="bottom"/>
            <w:hideMark/>
          </w:tcPr>
          <w:p w14:paraId="4F68F7E8"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vAlign w:val="bottom"/>
            <w:hideMark/>
          </w:tcPr>
          <w:p w14:paraId="08FB615E"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(0.1)</w:t>
            </w:r>
          </w:p>
        </w:tc>
        <w:tc>
          <w:tcPr>
            <w:tcW w:w="499" w:type="pct"/>
            <w:vAlign w:val="bottom"/>
          </w:tcPr>
          <w:p w14:paraId="2ED2FDB6"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(0.6)</w:t>
            </w:r>
          </w:p>
        </w:tc>
      </w:tr>
      <w:tr w:rsidR="00D75CA8" w:rsidRPr="00D80ACC" w14:paraId="74E3FBE5" w14:textId="77777777" w:rsidTr="00D75CA8">
        <w:tc>
          <w:tcPr>
            <w:tcW w:w="3501" w:type="pct"/>
            <w:tcBorders>
              <w:top w:val="nil"/>
              <w:left w:val="nil"/>
              <w:bottom w:val="single" w:sz="4" w:space="0" w:color="000000" w:themeColor="text1"/>
              <w:right w:val="nil"/>
            </w:tcBorders>
            <w:vAlign w:val="bottom"/>
            <w:hideMark/>
          </w:tcPr>
          <w:p w14:paraId="340DA783"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Repayment of</w:t>
            </w:r>
            <w:r>
              <w:rPr>
                <w:rFonts w:cstheme="minorHAnsi"/>
              </w:rPr>
              <w:t xml:space="preserve"> </w:t>
            </w:r>
            <w:r w:rsidRPr="00D80ACC">
              <w:rPr>
                <w:rFonts w:cstheme="minorHAnsi"/>
              </w:rPr>
              <w:t>lease obligations</w:t>
            </w:r>
          </w:p>
        </w:tc>
        <w:tc>
          <w:tcPr>
            <w:tcW w:w="500" w:type="pct"/>
            <w:tcBorders>
              <w:top w:val="nil"/>
              <w:left w:val="nil"/>
              <w:bottom w:val="single" w:sz="4" w:space="0" w:color="000000" w:themeColor="text1"/>
              <w:right w:val="nil"/>
            </w:tcBorders>
            <w:vAlign w:val="bottom"/>
          </w:tcPr>
          <w:p w14:paraId="0AE014C0"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tcBorders>
              <w:top w:val="nil"/>
              <w:left w:val="nil"/>
              <w:bottom w:val="single" w:sz="4" w:space="0" w:color="000000" w:themeColor="text1"/>
              <w:right w:val="nil"/>
            </w:tcBorders>
            <w:vAlign w:val="bottom"/>
            <w:hideMark/>
          </w:tcPr>
          <w:p w14:paraId="5188BA27"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(1.6)</w:t>
            </w:r>
          </w:p>
        </w:tc>
        <w:tc>
          <w:tcPr>
            <w:tcW w:w="499" w:type="pct"/>
            <w:tcBorders>
              <w:top w:val="nil"/>
              <w:left w:val="nil"/>
              <w:bottom w:val="single" w:sz="4" w:space="0" w:color="000000" w:themeColor="text1"/>
              <w:right w:val="nil"/>
            </w:tcBorders>
            <w:vAlign w:val="bottom"/>
          </w:tcPr>
          <w:p w14:paraId="055A510C"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(1.3)</w:t>
            </w:r>
          </w:p>
        </w:tc>
      </w:tr>
      <w:tr w:rsidR="00D75CA8" w:rsidRPr="00D80ACC" w14:paraId="21563786" w14:textId="77777777" w:rsidTr="00D75CA8">
        <w:tc>
          <w:tcPr>
            <w:tcW w:w="3501" w:type="pct"/>
            <w:tcBorders>
              <w:top w:val="single" w:sz="4" w:space="0" w:color="000000" w:themeColor="text1"/>
              <w:left w:val="nil"/>
              <w:bottom w:val="single" w:sz="4" w:space="0" w:color="000000" w:themeColor="text1"/>
              <w:right w:val="nil"/>
            </w:tcBorders>
            <w:vAlign w:val="bottom"/>
            <w:hideMark/>
          </w:tcPr>
          <w:p w14:paraId="6943656B"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t xml:space="preserve">Net cash </w:t>
            </w:r>
            <w:r>
              <w:rPr>
                <w:rFonts w:cstheme="minorHAnsi"/>
                <w:b/>
                <w:bCs/>
              </w:rPr>
              <w:t>(</w:t>
            </w:r>
            <w:r w:rsidRPr="00D80ACC">
              <w:rPr>
                <w:rFonts w:cstheme="minorHAnsi"/>
                <w:b/>
                <w:bCs/>
              </w:rPr>
              <w:t>used in</w:t>
            </w:r>
            <w:r>
              <w:rPr>
                <w:rFonts w:cstheme="minorHAnsi"/>
                <w:b/>
                <w:bCs/>
              </w:rPr>
              <w:t>)/generated from</w:t>
            </w:r>
            <w:r w:rsidRPr="00D80ACC">
              <w:rPr>
                <w:rFonts w:cstheme="minorHAnsi"/>
                <w:b/>
                <w:bCs/>
              </w:rPr>
              <w:t xml:space="preserve"> financing activities</w:t>
            </w:r>
          </w:p>
        </w:tc>
        <w:tc>
          <w:tcPr>
            <w:tcW w:w="500" w:type="pct"/>
            <w:tcBorders>
              <w:top w:val="single" w:sz="4" w:space="0" w:color="000000" w:themeColor="text1"/>
              <w:left w:val="nil"/>
              <w:bottom w:val="single" w:sz="4" w:space="0" w:color="000000" w:themeColor="text1"/>
              <w:right w:val="nil"/>
            </w:tcBorders>
            <w:vAlign w:val="bottom"/>
          </w:tcPr>
          <w:p w14:paraId="5996A2FF"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tcBorders>
              <w:top w:val="single" w:sz="4" w:space="0" w:color="000000" w:themeColor="text1"/>
              <w:left w:val="nil"/>
              <w:bottom w:val="single" w:sz="4" w:space="0" w:color="000000" w:themeColor="text1"/>
              <w:right w:val="nil"/>
            </w:tcBorders>
            <w:vAlign w:val="bottom"/>
            <w:hideMark/>
          </w:tcPr>
          <w:p w14:paraId="02F7E469"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11.3</w:t>
            </w:r>
          </w:p>
        </w:tc>
        <w:tc>
          <w:tcPr>
            <w:tcW w:w="499" w:type="pct"/>
            <w:tcBorders>
              <w:top w:val="single" w:sz="4" w:space="0" w:color="000000" w:themeColor="text1"/>
              <w:left w:val="nil"/>
              <w:bottom w:val="single" w:sz="4" w:space="0" w:color="000000" w:themeColor="text1"/>
              <w:right w:val="nil"/>
            </w:tcBorders>
            <w:vAlign w:val="bottom"/>
          </w:tcPr>
          <w:p w14:paraId="7B024677"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(3.6)</w:t>
            </w:r>
          </w:p>
        </w:tc>
      </w:tr>
      <w:tr w:rsidR="00D75CA8" w:rsidRPr="00D80ACC" w14:paraId="1A2F764C" w14:textId="77777777" w:rsidTr="00D75CA8">
        <w:tc>
          <w:tcPr>
            <w:tcW w:w="3501" w:type="pct"/>
            <w:tcBorders>
              <w:top w:val="single" w:sz="4" w:space="0" w:color="000000" w:themeColor="text1"/>
              <w:left w:val="nil"/>
              <w:bottom w:val="nil"/>
              <w:right w:val="nil"/>
            </w:tcBorders>
            <w:vAlign w:val="bottom"/>
            <w:hideMark/>
          </w:tcPr>
          <w:p w14:paraId="039CD6A4"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t>Net (decrease)/increase in cash and cash equivalents</w:t>
            </w:r>
          </w:p>
        </w:tc>
        <w:tc>
          <w:tcPr>
            <w:tcW w:w="500" w:type="pct"/>
            <w:tcBorders>
              <w:top w:val="single" w:sz="4" w:space="0" w:color="000000" w:themeColor="text1"/>
              <w:left w:val="nil"/>
              <w:bottom w:val="nil"/>
              <w:right w:val="nil"/>
            </w:tcBorders>
            <w:vAlign w:val="bottom"/>
          </w:tcPr>
          <w:p w14:paraId="32E30594"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00" w:type="pct"/>
            <w:tcBorders>
              <w:top w:val="single" w:sz="4" w:space="0" w:color="000000" w:themeColor="text1"/>
              <w:left w:val="nil"/>
              <w:bottom w:val="nil"/>
              <w:right w:val="nil"/>
            </w:tcBorders>
            <w:vAlign w:val="bottom"/>
            <w:hideMark/>
          </w:tcPr>
          <w:p w14:paraId="4A59DADA"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12.8</w:t>
            </w:r>
          </w:p>
        </w:tc>
        <w:tc>
          <w:tcPr>
            <w:tcW w:w="499" w:type="pct"/>
            <w:tcBorders>
              <w:top w:val="single" w:sz="4" w:space="0" w:color="000000" w:themeColor="text1"/>
              <w:left w:val="nil"/>
              <w:bottom w:val="nil"/>
              <w:right w:val="nil"/>
            </w:tcBorders>
            <w:vAlign w:val="bottom"/>
          </w:tcPr>
          <w:p w14:paraId="742DC019"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w:t>
            </w:r>
          </w:p>
        </w:tc>
      </w:tr>
      <w:tr w:rsidR="00D75CA8" w:rsidRPr="00D80ACC" w14:paraId="201DE22F" w14:textId="77777777" w:rsidTr="00D75CA8">
        <w:tc>
          <w:tcPr>
            <w:tcW w:w="3501" w:type="pct"/>
            <w:tcBorders>
              <w:top w:val="nil"/>
              <w:left w:val="nil"/>
              <w:bottom w:val="single" w:sz="4" w:space="0" w:color="000000" w:themeColor="text1"/>
              <w:right w:val="nil"/>
            </w:tcBorders>
            <w:vAlign w:val="bottom"/>
            <w:hideMark/>
          </w:tcPr>
          <w:p w14:paraId="29D9F4C9"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Cash and cash equivalents at the beginning of the year</w:t>
            </w:r>
          </w:p>
        </w:tc>
        <w:tc>
          <w:tcPr>
            <w:tcW w:w="500" w:type="pct"/>
            <w:tcBorders>
              <w:top w:val="nil"/>
              <w:left w:val="nil"/>
              <w:bottom w:val="single" w:sz="4" w:space="0" w:color="000000" w:themeColor="text1"/>
              <w:right w:val="nil"/>
            </w:tcBorders>
            <w:vAlign w:val="bottom"/>
            <w:hideMark/>
          </w:tcPr>
          <w:p w14:paraId="29909F2F" w14:textId="77777777" w:rsidR="00D75CA8" w:rsidRPr="00D80ACC" w:rsidRDefault="00D75CA8" w:rsidP="00D75CA8">
            <w:pPr>
              <w:widowControl w:val="0"/>
              <w:autoSpaceDE w:val="0"/>
              <w:autoSpaceDN w:val="0"/>
              <w:adjustRightInd w:val="0"/>
              <w:spacing w:after="0" w:line="240" w:lineRule="auto"/>
              <w:jc w:val="right"/>
              <w:rPr>
                <w:rFonts w:cstheme="minorHAnsi"/>
              </w:rPr>
            </w:pPr>
            <w:r>
              <w:rPr>
                <w:rFonts w:cstheme="minorHAnsi"/>
              </w:rPr>
              <w:t>8</w:t>
            </w:r>
          </w:p>
        </w:tc>
        <w:tc>
          <w:tcPr>
            <w:tcW w:w="500" w:type="pct"/>
            <w:tcBorders>
              <w:top w:val="nil"/>
              <w:left w:val="nil"/>
              <w:bottom w:val="single" w:sz="4" w:space="0" w:color="000000" w:themeColor="text1"/>
              <w:right w:val="nil"/>
            </w:tcBorders>
            <w:vAlign w:val="bottom"/>
            <w:hideMark/>
          </w:tcPr>
          <w:p w14:paraId="2C379196"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12.4</w:t>
            </w:r>
          </w:p>
        </w:tc>
        <w:tc>
          <w:tcPr>
            <w:tcW w:w="499" w:type="pct"/>
            <w:tcBorders>
              <w:top w:val="nil"/>
              <w:left w:val="nil"/>
              <w:bottom w:val="single" w:sz="4" w:space="0" w:color="000000" w:themeColor="text1"/>
              <w:right w:val="nil"/>
            </w:tcBorders>
            <w:vAlign w:val="bottom"/>
          </w:tcPr>
          <w:p w14:paraId="6AD8F437"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12.4</w:t>
            </w:r>
          </w:p>
        </w:tc>
      </w:tr>
      <w:tr w:rsidR="00D75CA8" w:rsidRPr="00D80ACC" w14:paraId="3CB3B5E3" w14:textId="77777777" w:rsidTr="00D75CA8">
        <w:tc>
          <w:tcPr>
            <w:tcW w:w="3501" w:type="pct"/>
            <w:tcBorders>
              <w:top w:val="single" w:sz="4" w:space="0" w:color="000000" w:themeColor="text1"/>
              <w:left w:val="nil"/>
              <w:bottom w:val="single" w:sz="12" w:space="0" w:color="000000" w:themeColor="text1"/>
              <w:right w:val="nil"/>
            </w:tcBorders>
            <w:vAlign w:val="bottom"/>
            <w:hideMark/>
          </w:tcPr>
          <w:p w14:paraId="357AF6D2"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lastRenderedPageBreak/>
              <w:t>Cash and cash equivalents at the end of the year</w:t>
            </w:r>
          </w:p>
        </w:tc>
        <w:tc>
          <w:tcPr>
            <w:tcW w:w="500" w:type="pct"/>
            <w:tcBorders>
              <w:top w:val="single" w:sz="4" w:space="0" w:color="000000" w:themeColor="text1"/>
              <w:left w:val="nil"/>
              <w:bottom w:val="single" w:sz="12" w:space="0" w:color="000000" w:themeColor="text1"/>
              <w:right w:val="nil"/>
            </w:tcBorders>
            <w:vAlign w:val="bottom"/>
            <w:hideMark/>
          </w:tcPr>
          <w:p w14:paraId="495BB6A6" w14:textId="77777777" w:rsidR="00D75CA8" w:rsidRPr="00D80ACC" w:rsidRDefault="00D75CA8" w:rsidP="00D75CA8">
            <w:pPr>
              <w:widowControl w:val="0"/>
              <w:autoSpaceDE w:val="0"/>
              <w:autoSpaceDN w:val="0"/>
              <w:adjustRightInd w:val="0"/>
              <w:spacing w:after="0" w:line="240" w:lineRule="auto"/>
              <w:jc w:val="right"/>
              <w:rPr>
                <w:rFonts w:cstheme="minorHAnsi"/>
              </w:rPr>
            </w:pPr>
            <w:r>
              <w:rPr>
                <w:rFonts w:cstheme="minorHAnsi"/>
              </w:rPr>
              <w:t>8</w:t>
            </w:r>
          </w:p>
        </w:tc>
        <w:tc>
          <w:tcPr>
            <w:tcW w:w="500" w:type="pct"/>
            <w:tcBorders>
              <w:top w:val="single" w:sz="4" w:space="0" w:color="000000" w:themeColor="text1"/>
              <w:left w:val="nil"/>
              <w:bottom w:val="single" w:sz="12" w:space="0" w:color="000000" w:themeColor="text1"/>
              <w:right w:val="nil"/>
            </w:tcBorders>
            <w:vAlign w:val="bottom"/>
            <w:hideMark/>
          </w:tcPr>
          <w:p w14:paraId="5E7AC868" w14:textId="77777777" w:rsidR="00D75CA8" w:rsidRPr="0089211B" w:rsidRDefault="00D75CA8" w:rsidP="00D75CA8">
            <w:pPr>
              <w:widowControl w:val="0"/>
              <w:autoSpaceDE w:val="0"/>
              <w:autoSpaceDN w:val="0"/>
              <w:adjustRightInd w:val="0"/>
              <w:spacing w:after="0" w:line="240" w:lineRule="auto"/>
              <w:jc w:val="right"/>
              <w:rPr>
                <w:rFonts w:cstheme="minorHAnsi"/>
              </w:rPr>
            </w:pPr>
            <w:r w:rsidRPr="0089211B">
              <w:rPr>
                <w:rFonts w:cstheme="minorHAnsi"/>
                <w:b/>
                <w:bCs/>
              </w:rPr>
              <w:t>25.2</w:t>
            </w:r>
          </w:p>
        </w:tc>
        <w:tc>
          <w:tcPr>
            <w:tcW w:w="499" w:type="pct"/>
            <w:tcBorders>
              <w:top w:val="single" w:sz="4" w:space="0" w:color="000000" w:themeColor="text1"/>
              <w:left w:val="nil"/>
              <w:bottom w:val="single" w:sz="12" w:space="0" w:color="000000" w:themeColor="text1"/>
              <w:right w:val="nil"/>
            </w:tcBorders>
            <w:vAlign w:val="bottom"/>
          </w:tcPr>
          <w:p w14:paraId="27673046" w14:textId="77777777" w:rsidR="00D75CA8" w:rsidRPr="004B30F5" w:rsidRDefault="00D75CA8" w:rsidP="00D75CA8">
            <w:pPr>
              <w:widowControl w:val="0"/>
              <w:autoSpaceDE w:val="0"/>
              <w:autoSpaceDN w:val="0"/>
              <w:adjustRightInd w:val="0"/>
              <w:spacing w:after="0" w:line="240" w:lineRule="auto"/>
              <w:jc w:val="right"/>
              <w:rPr>
                <w:rFonts w:cstheme="minorHAnsi"/>
              </w:rPr>
            </w:pPr>
            <w:r w:rsidRPr="004B30F5">
              <w:rPr>
                <w:rFonts w:cstheme="minorHAnsi"/>
              </w:rPr>
              <w:t>12.4</w:t>
            </w:r>
          </w:p>
        </w:tc>
      </w:tr>
    </w:tbl>
    <w:p w14:paraId="43220E4C" w14:textId="77777777" w:rsidR="00462821" w:rsidRDefault="00462821" w:rsidP="00D75CA8">
      <w:pPr>
        <w:widowControl w:val="0"/>
        <w:autoSpaceDE w:val="0"/>
        <w:autoSpaceDN w:val="0"/>
        <w:adjustRightInd w:val="0"/>
        <w:spacing w:after="0"/>
        <w:rPr>
          <w:rFonts w:cs="Times New Roman"/>
          <w:b/>
          <w:bCs/>
          <w:color w:val="002060"/>
          <w:sz w:val="28"/>
          <w:szCs w:val="28"/>
        </w:rPr>
      </w:pPr>
    </w:p>
    <w:p w14:paraId="4C512C9C" w14:textId="1DCFACBA" w:rsidR="00D75CA8" w:rsidRPr="00DF4420" w:rsidRDefault="00D75CA8" w:rsidP="00D75CA8">
      <w:pPr>
        <w:widowControl w:val="0"/>
        <w:autoSpaceDE w:val="0"/>
        <w:autoSpaceDN w:val="0"/>
        <w:adjustRightInd w:val="0"/>
        <w:spacing w:after="0"/>
        <w:rPr>
          <w:rFonts w:cs="Times New Roman"/>
          <w:b/>
          <w:bCs/>
          <w:color w:val="002060"/>
          <w:sz w:val="28"/>
          <w:szCs w:val="28"/>
        </w:rPr>
      </w:pPr>
      <w:r w:rsidRPr="00895E66">
        <w:rPr>
          <w:rFonts w:cs="Times New Roman"/>
          <w:b/>
          <w:bCs/>
          <w:color w:val="002060"/>
          <w:sz w:val="28"/>
          <w:szCs w:val="28"/>
        </w:rPr>
        <w:t>Consolidated statement of changes in equity</w:t>
      </w:r>
    </w:p>
    <w:p w14:paraId="612937EF" w14:textId="77777777" w:rsidR="00D75CA8" w:rsidRPr="00D80ACC" w:rsidRDefault="00D75CA8" w:rsidP="00D75CA8">
      <w:pPr>
        <w:widowControl w:val="0"/>
        <w:autoSpaceDE w:val="0"/>
        <w:autoSpaceDN w:val="0"/>
        <w:adjustRightInd w:val="0"/>
        <w:spacing w:after="0" w:line="240" w:lineRule="auto"/>
        <w:rPr>
          <w:rFonts w:cstheme="minorHAnsi"/>
        </w:rPr>
      </w:pPr>
      <w:r w:rsidRPr="00DF4420">
        <w:rPr>
          <w:rFonts w:cs="Times New Roman"/>
          <w:bCs/>
          <w:color w:val="000000" w:themeColor="text1"/>
          <w:szCs w:val="20"/>
        </w:rPr>
        <w:t>for the year ended 31st December 20</w:t>
      </w:r>
      <w:r>
        <w:rPr>
          <w:rFonts w:cs="Times New Roman"/>
          <w:bCs/>
          <w:color w:val="000000" w:themeColor="text1"/>
          <w:szCs w:val="20"/>
        </w:rPr>
        <w:t>20</w:t>
      </w:r>
    </w:p>
    <w:tbl>
      <w:tblPr>
        <w:tblW w:w="5000" w:type="pct"/>
        <w:tblCellMar>
          <w:left w:w="0" w:type="dxa"/>
          <w:right w:w="0" w:type="dxa"/>
        </w:tblCellMar>
        <w:tblLook w:val="04A0" w:firstRow="1" w:lastRow="0" w:firstColumn="1" w:lastColumn="0" w:noHBand="0" w:noVBand="1"/>
      </w:tblPr>
      <w:tblGrid>
        <w:gridCol w:w="4462"/>
        <w:gridCol w:w="1114"/>
        <w:gridCol w:w="1114"/>
        <w:gridCol w:w="1115"/>
        <w:gridCol w:w="1115"/>
        <w:gridCol w:w="1115"/>
        <w:gridCol w:w="765"/>
      </w:tblGrid>
      <w:tr w:rsidR="00D75CA8" w:rsidRPr="00D80ACC" w14:paraId="53E30449" w14:textId="77777777" w:rsidTr="00D75CA8">
        <w:tc>
          <w:tcPr>
            <w:tcW w:w="2066" w:type="pct"/>
            <w:vAlign w:val="bottom"/>
          </w:tcPr>
          <w:p w14:paraId="31CDB437" w14:textId="77777777" w:rsidR="00D75CA8" w:rsidRPr="00D80ACC" w:rsidRDefault="00D75CA8" w:rsidP="00D75CA8">
            <w:pPr>
              <w:widowControl w:val="0"/>
              <w:autoSpaceDE w:val="0"/>
              <w:autoSpaceDN w:val="0"/>
              <w:adjustRightInd w:val="0"/>
              <w:spacing w:after="0" w:line="240" w:lineRule="auto"/>
              <w:rPr>
                <w:rFonts w:cstheme="minorHAnsi"/>
              </w:rPr>
            </w:pPr>
          </w:p>
        </w:tc>
        <w:tc>
          <w:tcPr>
            <w:tcW w:w="2934" w:type="pct"/>
            <w:gridSpan w:val="6"/>
            <w:vAlign w:val="bottom"/>
            <w:hideMark/>
          </w:tcPr>
          <w:p w14:paraId="3B8762B8" w14:textId="77777777" w:rsidR="00D75CA8" w:rsidRPr="00D80ACC" w:rsidRDefault="00D75CA8" w:rsidP="00D75CA8">
            <w:pPr>
              <w:widowControl w:val="0"/>
              <w:autoSpaceDE w:val="0"/>
              <w:autoSpaceDN w:val="0"/>
              <w:adjustRightInd w:val="0"/>
              <w:spacing w:after="0" w:line="240" w:lineRule="auto"/>
              <w:jc w:val="center"/>
              <w:rPr>
                <w:rFonts w:cstheme="minorHAnsi"/>
              </w:rPr>
            </w:pPr>
            <w:r w:rsidRPr="00D80ACC">
              <w:rPr>
                <w:rFonts w:cstheme="minorHAnsi"/>
              </w:rPr>
              <w:t>Attributable to owners of the parent</w:t>
            </w:r>
          </w:p>
        </w:tc>
      </w:tr>
      <w:tr w:rsidR="00D75CA8" w:rsidRPr="00D80ACC" w14:paraId="35AFE6F4" w14:textId="77777777" w:rsidTr="00D75CA8">
        <w:tc>
          <w:tcPr>
            <w:tcW w:w="2066" w:type="pct"/>
            <w:vAlign w:val="bottom"/>
          </w:tcPr>
          <w:p w14:paraId="47283D62" w14:textId="77777777" w:rsidR="00D75CA8" w:rsidRPr="00D80ACC" w:rsidRDefault="00D75CA8" w:rsidP="00D75CA8">
            <w:pPr>
              <w:widowControl w:val="0"/>
              <w:autoSpaceDE w:val="0"/>
              <w:autoSpaceDN w:val="0"/>
              <w:adjustRightInd w:val="0"/>
              <w:spacing w:after="0" w:line="240" w:lineRule="auto"/>
              <w:rPr>
                <w:rFonts w:cstheme="minorHAnsi"/>
              </w:rPr>
            </w:pPr>
          </w:p>
        </w:tc>
        <w:tc>
          <w:tcPr>
            <w:tcW w:w="516" w:type="pct"/>
            <w:vAlign w:val="bottom"/>
            <w:hideMark/>
          </w:tcPr>
          <w:p w14:paraId="6DC7C2C6"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rPr>
              <w:t>Share</w:t>
            </w:r>
          </w:p>
        </w:tc>
        <w:tc>
          <w:tcPr>
            <w:tcW w:w="516" w:type="pct"/>
            <w:vAlign w:val="bottom"/>
            <w:hideMark/>
          </w:tcPr>
          <w:p w14:paraId="23880E88"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rPr>
              <w:t>Share</w:t>
            </w:r>
          </w:p>
        </w:tc>
        <w:tc>
          <w:tcPr>
            <w:tcW w:w="516" w:type="pct"/>
            <w:vAlign w:val="bottom"/>
            <w:hideMark/>
          </w:tcPr>
          <w:p w14:paraId="35A240C3"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rPr>
              <w:t>ESOT share</w:t>
            </w:r>
          </w:p>
        </w:tc>
        <w:tc>
          <w:tcPr>
            <w:tcW w:w="516" w:type="pct"/>
            <w:vAlign w:val="bottom"/>
            <w:hideMark/>
          </w:tcPr>
          <w:p w14:paraId="2C9B4C03"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rPr>
              <w:t>Revaluation</w:t>
            </w:r>
          </w:p>
        </w:tc>
        <w:tc>
          <w:tcPr>
            <w:tcW w:w="516" w:type="pct"/>
            <w:vAlign w:val="bottom"/>
            <w:hideMark/>
          </w:tcPr>
          <w:p w14:paraId="5CBFDA64"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rPr>
              <w:t>Retained</w:t>
            </w:r>
          </w:p>
        </w:tc>
        <w:tc>
          <w:tcPr>
            <w:tcW w:w="354" w:type="pct"/>
            <w:vAlign w:val="bottom"/>
          </w:tcPr>
          <w:p w14:paraId="472A1D39" w14:textId="77777777" w:rsidR="00D75CA8" w:rsidRPr="00D80ACC" w:rsidRDefault="00D75CA8" w:rsidP="00D75CA8">
            <w:pPr>
              <w:widowControl w:val="0"/>
              <w:autoSpaceDE w:val="0"/>
              <w:autoSpaceDN w:val="0"/>
              <w:adjustRightInd w:val="0"/>
              <w:spacing w:after="0" w:line="240" w:lineRule="auto"/>
              <w:jc w:val="right"/>
              <w:rPr>
                <w:rFonts w:cstheme="minorHAnsi"/>
              </w:rPr>
            </w:pPr>
          </w:p>
        </w:tc>
      </w:tr>
      <w:tr w:rsidR="00D75CA8" w:rsidRPr="00D80ACC" w14:paraId="4BDA4B43" w14:textId="77777777" w:rsidTr="00D75CA8">
        <w:tc>
          <w:tcPr>
            <w:tcW w:w="2066" w:type="pct"/>
            <w:vAlign w:val="bottom"/>
          </w:tcPr>
          <w:p w14:paraId="383BF0EA" w14:textId="77777777" w:rsidR="00D75CA8" w:rsidRPr="00D80ACC" w:rsidRDefault="00D75CA8" w:rsidP="00D75CA8">
            <w:pPr>
              <w:widowControl w:val="0"/>
              <w:autoSpaceDE w:val="0"/>
              <w:autoSpaceDN w:val="0"/>
              <w:adjustRightInd w:val="0"/>
              <w:spacing w:after="0" w:line="240" w:lineRule="auto"/>
              <w:rPr>
                <w:rFonts w:cstheme="minorHAnsi"/>
              </w:rPr>
            </w:pPr>
          </w:p>
        </w:tc>
        <w:tc>
          <w:tcPr>
            <w:tcW w:w="516" w:type="pct"/>
            <w:vAlign w:val="bottom"/>
            <w:hideMark/>
          </w:tcPr>
          <w:p w14:paraId="6E96056A"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rPr>
              <w:t>capital</w:t>
            </w:r>
          </w:p>
        </w:tc>
        <w:tc>
          <w:tcPr>
            <w:tcW w:w="516" w:type="pct"/>
            <w:vAlign w:val="bottom"/>
            <w:hideMark/>
          </w:tcPr>
          <w:p w14:paraId="0C5AAD7F"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rPr>
              <w:t>premium</w:t>
            </w:r>
          </w:p>
        </w:tc>
        <w:tc>
          <w:tcPr>
            <w:tcW w:w="516" w:type="pct"/>
            <w:vAlign w:val="bottom"/>
            <w:hideMark/>
          </w:tcPr>
          <w:p w14:paraId="0DBE8987"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rPr>
              <w:t>reserve</w:t>
            </w:r>
          </w:p>
        </w:tc>
        <w:tc>
          <w:tcPr>
            <w:tcW w:w="516" w:type="pct"/>
            <w:vAlign w:val="bottom"/>
            <w:hideMark/>
          </w:tcPr>
          <w:p w14:paraId="61AEAFD8"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rPr>
              <w:t>reserve</w:t>
            </w:r>
          </w:p>
        </w:tc>
        <w:tc>
          <w:tcPr>
            <w:tcW w:w="516" w:type="pct"/>
            <w:vAlign w:val="bottom"/>
            <w:hideMark/>
          </w:tcPr>
          <w:p w14:paraId="059CED54"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rPr>
              <w:t>earnings</w:t>
            </w:r>
          </w:p>
        </w:tc>
        <w:tc>
          <w:tcPr>
            <w:tcW w:w="354" w:type="pct"/>
            <w:vAlign w:val="bottom"/>
            <w:hideMark/>
          </w:tcPr>
          <w:p w14:paraId="70496CA8"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rPr>
              <w:t>Total</w:t>
            </w:r>
          </w:p>
        </w:tc>
      </w:tr>
      <w:tr w:rsidR="00D75CA8" w:rsidRPr="00D80ACC" w14:paraId="6D3C9AFD" w14:textId="77777777" w:rsidTr="00D75CA8">
        <w:tc>
          <w:tcPr>
            <w:tcW w:w="2066" w:type="pct"/>
            <w:tcBorders>
              <w:top w:val="nil"/>
              <w:left w:val="nil"/>
              <w:bottom w:val="single" w:sz="4" w:space="0" w:color="000000" w:themeColor="text1"/>
              <w:right w:val="nil"/>
            </w:tcBorders>
            <w:vAlign w:val="bottom"/>
          </w:tcPr>
          <w:p w14:paraId="10862847" w14:textId="77777777" w:rsidR="00D75CA8" w:rsidRPr="00D80ACC" w:rsidRDefault="00D75CA8" w:rsidP="00D75CA8">
            <w:pPr>
              <w:widowControl w:val="0"/>
              <w:autoSpaceDE w:val="0"/>
              <w:autoSpaceDN w:val="0"/>
              <w:adjustRightInd w:val="0"/>
              <w:spacing w:after="0" w:line="240" w:lineRule="auto"/>
              <w:rPr>
                <w:rFonts w:cstheme="minorHAnsi"/>
              </w:rPr>
            </w:pPr>
          </w:p>
        </w:tc>
        <w:tc>
          <w:tcPr>
            <w:tcW w:w="516" w:type="pct"/>
            <w:tcBorders>
              <w:top w:val="nil"/>
              <w:left w:val="nil"/>
              <w:bottom w:val="single" w:sz="4" w:space="0" w:color="000000" w:themeColor="text1"/>
              <w:right w:val="nil"/>
            </w:tcBorders>
            <w:vAlign w:val="bottom"/>
            <w:hideMark/>
          </w:tcPr>
          <w:p w14:paraId="05C3E498"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rPr>
              <w:t>£m</w:t>
            </w:r>
          </w:p>
        </w:tc>
        <w:tc>
          <w:tcPr>
            <w:tcW w:w="516" w:type="pct"/>
            <w:tcBorders>
              <w:top w:val="nil"/>
              <w:left w:val="nil"/>
              <w:bottom w:val="single" w:sz="4" w:space="0" w:color="000000" w:themeColor="text1"/>
              <w:right w:val="nil"/>
            </w:tcBorders>
            <w:vAlign w:val="bottom"/>
            <w:hideMark/>
          </w:tcPr>
          <w:p w14:paraId="4725428E"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rPr>
              <w:t>£m</w:t>
            </w:r>
          </w:p>
        </w:tc>
        <w:tc>
          <w:tcPr>
            <w:tcW w:w="516" w:type="pct"/>
            <w:tcBorders>
              <w:top w:val="nil"/>
              <w:left w:val="nil"/>
              <w:bottom w:val="single" w:sz="4" w:space="0" w:color="000000" w:themeColor="text1"/>
              <w:right w:val="nil"/>
            </w:tcBorders>
            <w:vAlign w:val="bottom"/>
            <w:hideMark/>
          </w:tcPr>
          <w:p w14:paraId="7B772949"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rPr>
              <w:t>£m</w:t>
            </w:r>
          </w:p>
        </w:tc>
        <w:tc>
          <w:tcPr>
            <w:tcW w:w="516" w:type="pct"/>
            <w:tcBorders>
              <w:top w:val="nil"/>
              <w:left w:val="nil"/>
              <w:bottom w:val="single" w:sz="4" w:space="0" w:color="000000" w:themeColor="text1"/>
              <w:right w:val="nil"/>
            </w:tcBorders>
            <w:vAlign w:val="bottom"/>
            <w:hideMark/>
          </w:tcPr>
          <w:p w14:paraId="2577BE59"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rPr>
              <w:t>£m</w:t>
            </w:r>
          </w:p>
        </w:tc>
        <w:tc>
          <w:tcPr>
            <w:tcW w:w="516" w:type="pct"/>
            <w:tcBorders>
              <w:top w:val="nil"/>
              <w:left w:val="nil"/>
              <w:bottom w:val="single" w:sz="4" w:space="0" w:color="000000" w:themeColor="text1"/>
              <w:right w:val="nil"/>
            </w:tcBorders>
            <w:vAlign w:val="bottom"/>
            <w:hideMark/>
          </w:tcPr>
          <w:p w14:paraId="7DCE144D"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rPr>
              <w:t>£m</w:t>
            </w:r>
          </w:p>
        </w:tc>
        <w:tc>
          <w:tcPr>
            <w:tcW w:w="354" w:type="pct"/>
            <w:tcBorders>
              <w:top w:val="nil"/>
              <w:left w:val="nil"/>
              <w:bottom w:val="single" w:sz="4" w:space="0" w:color="000000" w:themeColor="text1"/>
              <w:right w:val="nil"/>
            </w:tcBorders>
            <w:vAlign w:val="bottom"/>
            <w:hideMark/>
          </w:tcPr>
          <w:p w14:paraId="65EDC21C"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rPr>
              <w:t>£m</w:t>
            </w:r>
          </w:p>
        </w:tc>
      </w:tr>
      <w:tr w:rsidR="00D75CA8" w:rsidRPr="009379F0" w14:paraId="528B7952" w14:textId="77777777" w:rsidTr="00D75CA8">
        <w:tc>
          <w:tcPr>
            <w:tcW w:w="2066" w:type="pct"/>
            <w:tcBorders>
              <w:top w:val="single" w:sz="4" w:space="0" w:color="000000" w:themeColor="text1"/>
              <w:left w:val="nil"/>
              <w:bottom w:val="single" w:sz="4" w:space="0" w:color="000000" w:themeColor="text1"/>
              <w:right w:val="nil"/>
            </w:tcBorders>
            <w:vAlign w:val="bottom"/>
            <w:hideMark/>
          </w:tcPr>
          <w:p w14:paraId="4912CE8D" w14:textId="77777777" w:rsidR="00D75CA8" w:rsidRPr="00D80ACC" w:rsidRDefault="00D75CA8" w:rsidP="00D75CA8">
            <w:pPr>
              <w:widowControl w:val="0"/>
              <w:autoSpaceDE w:val="0"/>
              <w:autoSpaceDN w:val="0"/>
              <w:adjustRightInd w:val="0"/>
              <w:spacing w:after="0" w:line="240" w:lineRule="auto"/>
              <w:rPr>
                <w:rFonts w:cstheme="minorHAnsi"/>
              </w:rPr>
            </w:pPr>
            <w:proofErr w:type="gramStart"/>
            <w:r w:rsidRPr="00D80ACC">
              <w:rPr>
                <w:rFonts w:cstheme="minorHAnsi"/>
                <w:b/>
                <w:bCs/>
              </w:rPr>
              <w:t>At</w:t>
            </w:r>
            <w:proofErr w:type="gramEnd"/>
            <w:r w:rsidRPr="00D80ACC">
              <w:rPr>
                <w:rFonts w:cstheme="minorHAnsi"/>
                <w:b/>
                <w:bCs/>
              </w:rPr>
              <w:t xml:space="preserve"> 1st January 201</w:t>
            </w:r>
            <w:r>
              <w:rPr>
                <w:rFonts w:cstheme="minorHAnsi"/>
                <w:b/>
                <w:bCs/>
              </w:rPr>
              <w:t>9</w:t>
            </w:r>
          </w:p>
        </w:tc>
        <w:tc>
          <w:tcPr>
            <w:tcW w:w="516" w:type="pct"/>
            <w:tcBorders>
              <w:top w:val="single" w:sz="4" w:space="0" w:color="000000" w:themeColor="text1"/>
              <w:left w:val="nil"/>
              <w:bottom w:val="single" w:sz="4" w:space="0" w:color="000000" w:themeColor="text1"/>
              <w:right w:val="nil"/>
            </w:tcBorders>
            <w:vAlign w:val="bottom"/>
            <w:hideMark/>
          </w:tcPr>
          <w:p w14:paraId="718ACDC3"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4.3</w:t>
            </w:r>
          </w:p>
        </w:tc>
        <w:tc>
          <w:tcPr>
            <w:tcW w:w="516" w:type="pct"/>
            <w:tcBorders>
              <w:top w:val="single" w:sz="4" w:space="0" w:color="000000" w:themeColor="text1"/>
              <w:left w:val="nil"/>
              <w:bottom w:val="single" w:sz="4" w:space="0" w:color="000000" w:themeColor="text1"/>
              <w:right w:val="nil"/>
            </w:tcBorders>
            <w:vAlign w:val="bottom"/>
            <w:hideMark/>
          </w:tcPr>
          <w:p w14:paraId="7504AA2C"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3.7</w:t>
            </w:r>
          </w:p>
        </w:tc>
        <w:tc>
          <w:tcPr>
            <w:tcW w:w="516" w:type="pct"/>
            <w:tcBorders>
              <w:top w:val="single" w:sz="4" w:space="0" w:color="000000" w:themeColor="text1"/>
              <w:left w:val="nil"/>
              <w:bottom w:val="single" w:sz="4" w:space="0" w:color="000000" w:themeColor="text1"/>
              <w:right w:val="nil"/>
            </w:tcBorders>
            <w:vAlign w:val="bottom"/>
            <w:hideMark/>
          </w:tcPr>
          <w:p w14:paraId="4F014F65"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(1.4)</w:t>
            </w:r>
          </w:p>
        </w:tc>
        <w:tc>
          <w:tcPr>
            <w:tcW w:w="516" w:type="pct"/>
            <w:tcBorders>
              <w:top w:val="single" w:sz="4" w:space="0" w:color="000000" w:themeColor="text1"/>
              <w:left w:val="nil"/>
              <w:bottom w:val="single" w:sz="4" w:space="0" w:color="000000" w:themeColor="text1"/>
              <w:right w:val="nil"/>
            </w:tcBorders>
            <w:vAlign w:val="bottom"/>
            <w:hideMark/>
          </w:tcPr>
          <w:p w14:paraId="004FC7D0"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0.5</w:t>
            </w:r>
          </w:p>
        </w:tc>
        <w:tc>
          <w:tcPr>
            <w:tcW w:w="516" w:type="pct"/>
            <w:tcBorders>
              <w:top w:val="single" w:sz="4" w:space="0" w:color="000000" w:themeColor="text1"/>
              <w:left w:val="nil"/>
              <w:bottom w:val="single" w:sz="4" w:space="0" w:color="000000" w:themeColor="text1"/>
              <w:right w:val="nil"/>
            </w:tcBorders>
            <w:vAlign w:val="bottom"/>
            <w:hideMark/>
          </w:tcPr>
          <w:p w14:paraId="0FB11C2E"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15.0</w:t>
            </w:r>
          </w:p>
        </w:tc>
        <w:tc>
          <w:tcPr>
            <w:tcW w:w="354" w:type="pct"/>
            <w:tcBorders>
              <w:top w:val="single" w:sz="4" w:space="0" w:color="000000" w:themeColor="text1"/>
              <w:left w:val="nil"/>
              <w:bottom w:val="single" w:sz="4" w:space="0" w:color="000000" w:themeColor="text1"/>
              <w:right w:val="nil"/>
            </w:tcBorders>
            <w:vAlign w:val="bottom"/>
            <w:hideMark/>
          </w:tcPr>
          <w:p w14:paraId="1892CB3C"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22.1</w:t>
            </w:r>
          </w:p>
        </w:tc>
      </w:tr>
      <w:tr w:rsidR="00D75CA8" w:rsidRPr="009379F0" w14:paraId="5D6404A6" w14:textId="77777777" w:rsidTr="00D75CA8">
        <w:tc>
          <w:tcPr>
            <w:tcW w:w="2066" w:type="pct"/>
            <w:tcBorders>
              <w:top w:val="single" w:sz="4" w:space="0" w:color="000000" w:themeColor="text1"/>
              <w:left w:val="nil"/>
              <w:bottom w:val="nil"/>
              <w:right w:val="nil"/>
            </w:tcBorders>
            <w:vAlign w:val="bottom"/>
            <w:hideMark/>
          </w:tcPr>
          <w:p w14:paraId="4BBA177C"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t>Comprehensive income</w:t>
            </w:r>
          </w:p>
        </w:tc>
        <w:tc>
          <w:tcPr>
            <w:tcW w:w="516" w:type="pct"/>
            <w:tcBorders>
              <w:top w:val="single" w:sz="4" w:space="0" w:color="000000" w:themeColor="text1"/>
              <w:left w:val="nil"/>
              <w:bottom w:val="nil"/>
              <w:right w:val="nil"/>
            </w:tcBorders>
            <w:vAlign w:val="bottom"/>
          </w:tcPr>
          <w:p w14:paraId="3D23D427" w14:textId="77777777" w:rsidR="00D75CA8" w:rsidRPr="009379F0" w:rsidRDefault="00D75CA8" w:rsidP="00D75CA8">
            <w:pPr>
              <w:widowControl w:val="0"/>
              <w:autoSpaceDE w:val="0"/>
              <w:autoSpaceDN w:val="0"/>
              <w:adjustRightInd w:val="0"/>
              <w:spacing w:after="0" w:line="240" w:lineRule="auto"/>
              <w:jc w:val="right"/>
              <w:rPr>
                <w:rFonts w:cstheme="minorHAnsi"/>
              </w:rPr>
            </w:pPr>
          </w:p>
        </w:tc>
        <w:tc>
          <w:tcPr>
            <w:tcW w:w="516" w:type="pct"/>
            <w:tcBorders>
              <w:top w:val="single" w:sz="4" w:space="0" w:color="000000" w:themeColor="text1"/>
              <w:left w:val="nil"/>
              <w:bottom w:val="nil"/>
              <w:right w:val="nil"/>
            </w:tcBorders>
            <w:vAlign w:val="bottom"/>
          </w:tcPr>
          <w:p w14:paraId="228EA96C" w14:textId="77777777" w:rsidR="00D75CA8" w:rsidRPr="009379F0" w:rsidRDefault="00D75CA8" w:rsidP="00D75CA8">
            <w:pPr>
              <w:widowControl w:val="0"/>
              <w:autoSpaceDE w:val="0"/>
              <w:autoSpaceDN w:val="0"/>
              <w:adjustRightInd w:val="0"/>
              <w:spacing w:after="0" w:line="240" w:lineRule="auto"/>
              <w:jc w:val="right"/>
              <w:rPr>
                <w:rFonts w:cstheme="minorHAnsi"/>
              </w:rPr>
            </w:pPr>
          </w:p>
        </w:tc>
        <w:tc>
          <w:tcPr>
            <w:tcW w:w="516" w:type="pct"/>
            <w:tcBorders>
              <w:top w:val="single" w:sz="4" w:space="0" w:color="000000" w:themeColor="text1"/>
              <w:left w:val="nil"/>
              <w:bottom w:val="nil"/>
              <w:right w:val="nil"/>
            </w:tcBorders>
            <w:vAlign w:val="bottom"/>
          </w:tcPr>
          <w:p w14:paraId="56065220" w14:textId="77777777" w:rsidR="00D75CA8" w:rsidRPr="009379F0" w:rsidRDefault="00D75CA8" w:rsidP="00D75CA8">
            <w:pPr>
              <w:widowControl w:val="0"/>
              <w:autoSpaceDE w:val="0"/>
              <w:autoSpaceDN w:val="0"/>
              <w:adjustRightInd w:val="0"/>
              <w:spacing w:after="0" w:line="240" w:lineRule="auto"/>
              <w:jc w:val="right"/>
              <w:rPr>
                <w:rFonts w:cstheme="minorHAnsi"/>
              </w:rPr>
            </w:pPr>
          </w:p>
        </w:tc>
        <w:tc>
          <w:tcPr>
            <w:tcW w:w="516" w:type="pct"/>
            <w:tcBorders>
              <w:top w:val="single" w:sz="4" w:space="0" w:color="000000" w:themeColor="text1"/>
              <w:left w:val="nil"/>
              <w:bottom w:val="nil"/>
              <w:right w:val="nil"/>
            </w:tcBorders>
            <w:vAlign w:val="bottom"/>
          </w:tcPr>
          <w:p w14:paraId="4B8970D0" w14:textId="77777777" w:rsidR="00D75CA8" w:rsidRPr="009379F0" w:rsidRDefault="00D75CA8" w:rsidP="00D75CA8">
            <w:pPr>
              <w:widowControl w:val="0"/>
              <w:autoSpaceDE w:val="0"/>
              <w:autoSpaceDN w:val="0"/>
              <w:adjustRightInd w:val="0"/>
              <w:spacing w:after="0" w:line="240" w:lineRule="auto"/>
              <w:jc w:val="right"/>
              <w:rPr>
                <w:rFonts w:cstheme="minorHAnsi"/>
              </w:rPr>
            </w:pPr>
          </w:p>
        </w:tc>
        <w:tc>
          <w:tcPr>
            <w:tcW w:w="516" w:type="pct"/>
            <w:tcBorders>
              <w:top w:val="single" w:sz="4" w:space="0" w:color="000000" w:themeColor="text1"/>
              <w:left w:val="nil"/>
              <w:bottom w:val="nil"/>
              <w:right w:val="nil"/>
            </w:tcBorders>
            <w:vAlign w:val="bottom"/>
          </w:tcPr>
          <w:p w14:paraId="72B9B792" w14:textId="77777777" w:rsidR="00D75CA8" w:rsidRPr="009379F0" w:rsidRDefault="00D75CA8" w:rsidP="00D75CA8">
            <w:pPr>
              <w:widowControl w:val="0"/>
              <w:autoSpaceDE w:val="0"/>
              <w:autoSpaceDN w:val="0"/>
              <w:adjustRightInd w:val="0"/>
              <w:spacing w:after="0" w:line="240" w:lineRule="auto"/>
              <w:jc w:val="right"/>
              <w:rPr>
                <w:rFonts w:cstheme="minorHAnsi"/>
              </w:rPr>
            </w:pPr>
          </w:p>
        </w:tc>
        <w:tc>
          <w:tcPr>
            <w:tcW w:w="354" w:type="pct"/>
            <w:tcBorders>
              <w:top w:val="single" w:sz="4" w:space="0" w:color="000000" w:themeColor="text1"/>
              <w:left w:val="nil"/>
              <w:bottom w:val="nil"/>
              <w:right w:val="nil"/>
            </w:tcBorders>
            <w:vAlign w:val="bottom"/>
          </w:tcPr>
          <w:p w14:paraId="59C45E57" w14:textId="77777777" w:rsidR="00D75CA8" w:rsidRPr="009379F0" w:rsidRDefault="00D75CA8" w:rsidP="00D75CA8">
            <w:pPr>
              <w:widowControl w:val="0"/>
              <w:autoSpaceDE w:val="0"/>
              <w:autoSpaceDN w:val="0"/>
              <w:adjustRightInd w:val="0"/>
              <w:spacing w:after="0" w:line="240" w:lineRule="auto"/>
              <w:jc w:val="right"/>
              <w:rPr>
                <w:rFonts w:cstheme="minorHAnsi"/>
              </w:rPr>
            </w:pPr>
          </w:p>
        </w:tc>
      </w:tr>
      <w:tr w:rsidR="00D75CA8" w:rsidRPr="009379F0" w14:paraId="11557210" w14:textId="77777777" w:rsidTr="00D75CA8">
        <w:tc>
          <w:tcPr>
            <w:tcW w:w="2066" w:type="pct"/>
            <w:tcBorders>
              <w:top w:val="nil"/>
              <w:left w:val="nil"/>
              <w:bottom w:val="single" w:sz="4" w:space="0" w:color="000000" w:themeColor="text1"/>
              <w:right w:val="nil"/>
            </w:tcBorders>
            <w:vAlign w:val="bottom"/>
            <w:hideMark/>
          </w:tcPr>
          <w:p w14:paraId="6113345C"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Profit for the year</w:t>
            </w:r>
          </w:p>
        </w:tc>
        <w:tc>
          <w:tcPr>
            <w:tcW w:w="516" w:type="pct"/>
            <w:tcBorders>
              <w:top w:val="nil"/>
              <w:left w:val="nil"/>
              <w:bottom w:val="single" w:sz="4" w:space="0" w:color="000000" w:themeColor="text1"/>
              <w:right w:val="nil"/>
            </w:tcBorders>
            <w:vAlign w:val="bottom"/>
            <w:hideMark/>
          </w:tcPr>
          <w:p w14:paraId="38CCA861"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516" w:type="pct"/>
            <w:tcBorders>
              <w:top w:val="nil"/>
              <w:left w:val="nil"/>
              <w:bottom w:val="single" w:sz="4" w:space="0" w:color="000000" w:themeColor="text1"/>
              <w:right w:val="nil"/>
            </w:tcBorders>
            <w:vAlign w:val="bottom"/>
            <w:hideMark/>
          </w:tcPr>
          <w:p w14:paraId="1E646DDA"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516" w:type="pct"/>
            <w:tcBorders>
              <w:top w:val="nil"/>
              <w:left w:val="nil"/>
              <w:bottom w:val="single" w:sz="4" w:space="0" w:color="000000" w:themeColor="text1"/>
              <w:right w:val="nil"/>
            </w:tcBorders>
            <w:vAlign w:val="bottom"/>
            <w:hideMark/>
          </w:tcPr>
          <w:p w14:paraId="0DD70B28"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516" w:type="pct"/>
            <w:tcBorders>
              <w:top w:val="nil"/>
              <w:left w:val="nil"/>
              <w:bottom w:val="single" w:sz="4" w:space="0" w:color="000000" w:themeColor="text1"/>
              <w:right w:val="nil"/>
            </w:tcBorders>
            <w:vAlign w:val="bottom"/>
            <w:hideMark/>
          </w:tcPr>
          <w:p w14:paraId="0DD3B189"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516" w:type="pct"/>
            <w:tcBorders>
              <w:top w:val="nil"/>
              <w:left w:val="nil"/>
              <w:bottom w:val="single" w:sz="4" w:space="0" w:color="000000" w:themeColor="text1"/>
              <w:right w:val="nil"/>
            </w:tcBorders>
            <w:vAlign w:val="bottom"/>
            <w:hideMark/>
          </w:tcPr>
          <w:p w14:paraId="0D4E8A7F"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7.8</w:t>
            </w:r>
          </w:p>
        </w:tc>
        <w:tc>
          <w:tcPr>
            <w:tcW w:w="354" w:type="pct"/>
            <w:tcBorders>
              <w:top w:val="nil"/>
              <w:left w:val="nil"/>
              <w:bottom w:val="single" w:sz="4" w:space="0" w:color="000000" w:themeColor="text1"/>
              <w:right w:val="nil"/>
            </w:tcBorders>
            <w:vAlign w:val="bottom"/>
            <w:hideMark/>
          </w:tcPr>
          <w:p w14:paraId="1923E6AE"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7.8</w:t>
            </w:r>
          </w:p>
        </w:tc>
      </w:tr>
      <w:tr w:rsidR="00D75CA8" w:rsidRPr="009379F0" w14:paraId="66E5B810" w14:textId="77777777" w:rsidTr="00D75CA8">
        <w:tc>
          <w:tcPr>
            <w:tcW w:w="2066" w:type="pct"/>
            <w:tcBorders>
              <w:top w:val="single" w:sz="4" w:space="0" w:color="000000" w:themeColor="text1"/>
              <w:left w:val="nil"/>
              <w:bottom w:val="nil"/>
              <w:right w:val="nil"/>
            </w:tcBorders>
            <w:vAlign w:val="bottom"/>
            <w:hideMark/>
          </w:tcPr>
          <w:p w14:paraId="160582EB"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 xml:space="preserve">Other comprehensive </w:t>
            </w:r>
            <w:r>
              <w:rPr>
                <w:rFonts w:cstheme="minorHAnsi"/>
              </w:rPr>
              <w:t>income</w:t>
            </w:r>
          </w:p>
        </w:tc>
        <w:tc>
          <w:tcPr>
            <w:tcW w:w="516" w:type="pct"/>
            <w:tcBorders>
              <w:top w:val="single" w:sz="4" w:space="0" w:color="000000" w:themeColor="text1"/>
              <w:left w:val="nil"/>
              <w:bottom w:val="nil"/>
              <w:right w:val="nil"/>
            </w:tcBorders>
            <w:vAlign w:val="bottom"/>
          </w:tcPr>
          <w:p w14:paraId="6C7C2033" w14:textId="77777777" w:rsidR="00D75CA8" w:rsidRPr="009379F0" w:rsidRDefault="00D75CA8" w:rsidP="00D75CA8">
            <w:pPr>
              <w:widowControl w:val="0"/>
              <w:autoSpaceDE w:val="0"/>
              <w:autoSpaceDN w:val="0"/>
              <w:adjustRightInd w:val="0"/>
              <w:spacing w:after="0" w:line="240" w:lineRule="auto"/>
              <w:jc w:val="right"/>
              <w:rPr>
                <w:rFonts w:cstheme="minorHAnsi"/>
              </w:rPr>
            </w:pPr>
          </w:p>
        </w:tc>
        <w:tc>
          <w:tcPr>
            <w:tcW w:w="516" w:type="pct"/>
            <w:tcBorders>
              <w:top w:val="single" w:sz="4" w:space="0" w:color="000000" w:themeColor="text1"/>
              <w:left w:val="nil"/>
              <w:bottom w:val="nil"/>
              <w:right w:val="nil"/>
            </w:tcBorders>
            <w:vAlign w:val="bottom"/>
          </w:tcPr>
          <w:p w14:paraId="70EC3285" w14:textId="77777777" w:rsidR="00D75CA8" w:rsidRPr="009379F0" w:rsidRDefault="00D75CA8" w:rsidP="00D75CA8">
            <w:pPr>
              <w:widowControl w:val="0"/>
              <w:autoSpaceDE w:val="0"/>
              <w:autoSpaceDN w:val="0"/>
              <w:adjustRightInd w:val="0"/>
              <w:spacing w:after="0" w:line="240" w:lineRule="auto"/>
              <w:jc w:val="right"/>
              <w:rPr>
                <w:rFonts w:cstheme="minorHAnsi"/>
              </w:rPr>
            </w:pPr>
          </w:p>
        </w:tc>
        <w:tc>
          <w:tcPr>
            <w:tcW w:w="516" w:type="pct"/>
            <w:tcBorders>
              <w:top w:val="single" w:sz="4" w:space="0" w:color="000000" w:themeColor="text1"/>
              <w:left w:val="nil"/>
              <w:bottom w:val="nil"/>
              <w:right w:val="nil"/>
            </w:tcBorders>
            <w:vAlign w:val="bottom"/>
          </w:tcPr>
          <w:p w14:paraId="305B0B08" w14:textId="77777777" w:rsidR="00D75CA8" w:rsidRPr="009379F0" w:rsidRDefault="00D75CA8" w:rsidP="00D75CA8">
            <w:pPr>
              <w:widowControl w:val="0"/>
              <w:autoSpaceDE w:val="0"/>
              <w:autoSpaceDN w:val="0"/>
              <w:adjustRightInd w:val="0"/>
              <w:spacing w:after="0" w:line="240" w:lineRule="auto"/>
              <w:jc w:val="right"/>
              <w:rPr>
                <w:rFonts w:cstheme="minorHAnsi"/>
              </w:rPr>
            </w:pPr>
          </w:p>
        </w:tc>
        <w:tc>
          <w:tcPr>
            <w:tcW w:w="516" w:type="pct"/>
            <w:tcBorders>
              <w:top w:val="single" w:sz="4" w:space="0" w:color="000000" w:themeColor="text1"/>
              <w:left w:val="nil"/>
              <w:bottom w:val="nil"/>
              <w:right w:val="nil"/>
            </w:tcBorders>
            <w:vAlign w:val="bottom"/>
          </w:tcPr>
          <w:p w14:paraId="2FC30F58" w14:textId="77777777" w:rsidR="00D75CA8" w:rsidRPr="009379F0" w:rsidRDefault="00D75CA8" w:rsidP="00D75CA8">
            <w:pPr>
              <w:widowControl w:val="0"/>
              <w:autoSpaceDE w:val="0"/>
              <w:autoSpaceDN w:val="0"/>
              <w:adjustRightInd w:val="0"/>
              <w:spacing w:after="0" w:line="240" w:lineRule="auto"/>
              <w:jc w:val="right"/>
              <w:rPr>
                <w:rFonts w:cstheme="minorHAnsi"/>
              </w:rPr>
            </w:pPr>
          </w:p>
        </w:tc>
        <w:tc>
          <w:tcPr>
            <w:tcW w:w="516" w:type="pct"/>
            <w:tcBorders>
              <w:top w:val="single" w:sz="4" w:space="0" w:color="000000" w:themeColor="text1"/>
              <w:left w:val="nil"/>
              <w:bottom w:val="nil"/>
              <w:right w:val="nil"/>
            </w:tcBorders>
            <w:vAlign w:val="bottom"/>
          </w:tcPr>
          <w:p w14:paraId="693069D9" w14:textId="77777777" w:rsidR="00D75CA8" w:rsidRPr="009379F0" w:rsidRDefault="00D75CA8" w:rsidP="00D75CA8">
            <w:pPr>
              <w:widowControl w:val="0"/>
              <w:autoSpaceDE w:val="0"/>
              <w:autoSpaceDN w:val="0"/>
              <w:adjustRightInd w:val="0"/>
              <w:spacing w:after="0" w:line="240" w:lineRule="auto"/>
              <w:jc w:val="right"/>
              <w:rPr>
                <w:rFonts w:cstheme="minorHAnsi"/>
              </w:rPr>
            </w:pPr>
          </w:p>
        </w:tc>
        <w:tc>
          <w:tcPr>
            <w:tcW w:w="354" w:type="pct"/>
            <w:tcBorders>
              <w:top w:val="single" w:sz="4" w:space="0" w:color="000000" w:themeColor="text1"/>
              <w:left w:val="nil"/>
              <w:bottom w:val="nil"/>
              <w:right w:val="nil"/>
            </w:tcBorders>
            <w:vAlign w:val="bottom"/>
          </w:tcPr>
          <w:p w14:paraId="0159A398" w14:textId="77777777" w:rsidR="00D75CA8" w:rsidRPr="009379F0" w:rsidRDefault="00D75CA8" w:rsidP="00D75CA8">
            <w:pPr>
              <w:widowControl w:val="0"/>
              <w:autoSpaceDE w:val="0"/>
              <w:autoSpaceDN w:val="0"/>
              <w:adjustRightInd w:val="0"/>
              <w:spacing w:after="0" w:line="240" w:lineRule="auto"/>
              <w:jc w:val="right"/>
              <w:rPr>
                <w:rFonts w:cstheme="minorHAnsi"/>
              </w:rPr>
            </w:pPr>
          </w:p>
        </w:tc>
      </w:tr>
      <w:tr w:rsidR="00D75CA8" w:rsidRPr="009379F0" w14:paraId="6D8ED9D1" w14:textId="77777777" w:rsidTr="00D75CA8">
        <w:tc>
          <w:tcPr>
            <w:tcW w:w="2066" w:type="pct"/>
            <w:vAlign w:val="bottom"/>
            <w:hideMark/>
          </w:tcPr>
          <w:p w14:paraId="15D32059" w14:textId="77777777" w:rsidR="00D75CA8" w:rsidRPr="00D80ACC" w:rsidRDefault="00D75CA8" w:rsidP="00D75CA8">
            <w:pPr>
              <w:widowControl w:val="0"/>
              <w:autoSpaceDE w:val="0"/>
              <w:autoSpaceDN w:val="0"/>
              <w:adjustRightInd w:val="0"/>
              <w:spacing w:after="0" w:line="240" w:lineRule="auto"/>
              <w:ind w:left="216" w:hanging="72"/>
              <w:rPr>
                <w:rFonts w:cstheme="minorHAnsi"/>
              </w:rPr>
            </w:pPr>
            <w:r w:rsidRPr="00D80ACC">
              <w:rPr>
                <w:rFonts w:cstheme="minorHAnsi"/>
              </w:rPr>
              <w:t xml:space="preserve">Actuarial </w:t>
            </w:r>
            <w:r>
              <w:rPr>
                <w:rFonts w:cstheme="minorHAnsi"/>
              </w:rPr>
              <w:t>gain</w:t>
            </w:r>
            <w:r w:rsidRPr="00D80ACC">
              <w:rPr>
                <w:rFonts w:cstheme="minorHAnsi"/>
              </w:rPr>
              <w:t xml:space="preserve"> on retirement benefit obligation</w:t>
            </w:r>
          </w:p>
        </w:tc>
        <w:tc>
          <w:tcPr>
            <w:tcW w:w="516" w:type="pct"/>
            <w:vAlign w:val="bottom"/>
            <w:hideMark/>
          </w:tcPr>
          <w:p w14:paraId="5F8CAFCD"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516" w:type="pct"/>
            <w:vAlign w:val="bottom"/>
            <w:hideMark/>
          </w:tcPr>
          <w:p w14:paraId="33413187"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516" w:type="pct"/>
            <w:vAlign w:val="bottom"/>
            <w:hideMark/>
          </w:tcPr>
          <w:p w14:paraId="6715CAA7"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516" w:type="pct"/>
            <w:vAlign w:val="bottom"/>
            <w:hideMark/>
          </w:tcPr>
          <w:p w14:paraId="4A0C54DD"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516" w:type="pct"/>
            <w:vAlign w:val="bottom"/>
            <w:hideMark/>
          </w:tcPr>
          <w:p w14:paraId="56208736"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(6.9)</w:t>
            </w:r>
          </w:p>
        </w:tc>
        <w:tc>
          <w:tcPr>
            <w:tcW w:w="354" w:type="pct"/>
            <w:vAlign w:val="bottom"/>
            <w:hideMark/>
          </w:tcPr>
          <w:p w14:paraId="38F01628"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(6.9)</w:t>
            </w:r>
          </w:p>
        </w:tc>
      </w:tr>
      <w:tr w:rsidR="00D75CA8" w:rsidRPr="009379F0" w14:paraId="4FB9B79C" w14:textId="77777777" w:rsidTr="00D75CA8">
        <w:tc>
          <w:tcPr>
            <w:tcW w:w="2066" w:type="pct"/>
            <w:tcBorders>
              <w:top w:val="nil"/>
              <w:left w:val="nil"/>
              <w:right w:val="nil"/>
            </w:tcBorders>
            <w:vAlign w:val="bottom"/>
            <w:hideMark/>
          </w:tcPr>
          <w:p w14:paraId="1C47063D" w14:textId="77777777" w:rsidR="00D75CA8" w:rsidRPr="00D80ACC" w:rsidRDefault="00D75CA8" w:rsidP="00D75CA8">
            <w:pPr>
              <w:widowControl w:val="0"/>
              <w:autoSpaceDE w:val="0"/>
              <w:autoSpaceDN w:val="0"/>
              <w:adjustRightInd w:val="0"/>
              <w:spacing w:after="0" w:line="240" w:lineRule="auto"/>
              <w:ind w:left="216" w:hanging="72"/>
              <w:rPr>
                <w:rFonts w:cstheme="minorHAnsi"/>
              </w:rPr>
            </w:pPr>
            <w:r w:rsidRPr="00D80ACC">
              <w:rPr>
                <w:rFonts w:cstheme="minorHAnsi"/>
              </w:rPr>
              <w:t xml:space="preserve">Deferred income tax on actuarial </w:t>
            </w:r>
            <w:r>
              <w:rPr>
                <w:rFonts w:cstheme="minorHAnsi"/>
              </w:rPr>
              <w:t>gain</w:t>
            </w:r>
            <w:r w:rsidRPr="00D80ACC">
              <w:rPr>
                <w:rFonts w:cstheme="minorHAnsi"/>
              </w:rPr>
              <w:t xml:space="preserve"> on retirement benefit obligation</w:t>
            </w:r>
          </w:p>
        </w:tc>
        <w:tc>
          <w:tcPr>
            <w:tcW w:w="516" w:type="pct"/>
            <w:tcBorders>
              <w:top w:val="nil"/>
              <w:left w:val="nil"/>
              <w:right w:val="nil"/>
            </w:tcBorders>
            <w:vAlign w:val="bottom"/>
            <w:hideMark/>
          </w:tcPr>
          <w:p w14:paraId="6BC7076F"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516" w:type="pct"/>
            <w:tcBorders>
              <w:top w:val="nil"/>
              <w:left w:val="nil"/>
              <w:right w:val="nil"/>
            </w:tcBorders>
            <w:vAlign w:val="bottom"/>
            <w:hideMark/>
          </w:tcPr>
          <w:p w14:paraId="4D750CC8"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516" w:type="pct"/>
            <w:tcBorders>
              <w:top w:val="nil"/>
              <w:left w:val="nil"/>
              <w:right w:val="nil"/>
            </w:tcBorders>
            <w:vAlign w:val="bottom"/>
            <w:hideMark/>
          </w:tcPr>
          <w:p w14:paraId="1E783E62"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516" w:type="pct"/>
            <w:tcBorders>
              <w:top w:val="nil"/>
              <w:left w:val="nil"/>
              <w:right w:val="nil"/>
            </w:tcBorders>
            <w:vAlign w:val="bottom"/>
            <w:hideMark/>
          </w:tcPr>
          <w:p w14:paraId="05FDF465"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516" w:type="pct"/>
            <w:tcBorders>
              <w:top w:val="nil"/>
              <w:left w:val="nil"/>
              <w:right w:val="nil"/>
            </w:tcBorders>
            <w:vAlign w:val="bottom"/>
            <w:hideMark/>
          </w:tcPr>
          <w:p w14:paraId="7A958268"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1.2</w:t>
            </w:r>
          </w:p>
        </w:tc>
        <w:tc>
          <w:tcPr>
            <w:tcW w:w="354" w:type="pct"/>
            <w:tcBorders>
              <w:top w:val="nil"/>
              <w:left w:val="nil"/>
              <w:right w:val="nil"/>
            </w:tcBorders>
            <w:vAlign w:val="bottom"/>
            <w:hideMark/>
          </w:tcPr>
          <w:p w14:paraId="54B8C711"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1.2</w:t>
            </w:r>
          </w:p>
        </w:tc>
      </w:tr>
      <w:tr w:rsidR="00D75CA8" w:rsidRPr="009379F0" w14:paraId="25817627" w14:textId="77777777" w:rsidTr="00D75CA8">
        <w:tc>
          <w:tcPr>
            <w:tcW w:w="2066" w:type="pct"/>
            <w:tcBorders>
              <w:left w:val="nil"/>
              <w:bottom w:val="single" w:sz="4" w:space="0" w:color="000000" w:themeColor="text1"/>
              <w:right w:val="nil"/>
            </w:tcBorders>
            <w:vAlign w:val="bottom"/>
          </w:tcPr>
          <w:p w14:paraId="22C5ACBF" w14:textId="77777777" w:rsidR="00D75CA8" w:rsidRPr="00D80ACC" w:rsidRDefault="00D75CA8" w:rsidP="00D75CA8">
            <w:pPr>
              <w:widowControl w:val="0"/>
              <w:autoSpaceDE w:val="0"/>
              <w:autoSpaceDN w:val="0"/>
              <w:adjustRightInd w:val="0"/>
              <w:spacing w:after="0" w:line="240" w:lineRule="auto"/>
              <w:ind w:left="216" w:hanging="72"/>
              <w:rPr>
                <w:rFonts w:cstheme="minorHAnsi"/>
              </w:rPr>
            </w:pPr>
            <w:r w:rsidRPr="00D80ACC">
              <w:rPr>
                <w:rFonts w:cstheme="minorHAnsi"/>
              </w:rPr>
              <w:t>Revaluation of freehold property, net of tax</w:t>
            </w:r>
          </w:p>
        </w:tc>
        <w:tc>
          <w:tcPr>
            <w:tcW w:w="516" w:type="pct"/>
            <w:tcBorders>
              <w:left w:val="nil"/>
              <w:bottom w:val="single" w:sz="4" w:space="0" w:color="000000" w:themeColor="text1"/>
              <w:right w:val="nil"/>
            </w:tcBorders>
            <w:vAlign w:val="bottom"/>
          </w:tcPr>
          <w:p w14:paraId="1480E365"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516" w:type="pct"/>
            <w:tcBorders>
              <w:left w:val="nil"/>
              <w:bottom w:val="single" w:sz="4" w:space="0" w:color="000000" w:themeColor="text1"/>
              <w:right w:val="nil"/>
            </w:tcBorders>
            <w:vAlign w:val="bottom"/>
          </w:tcPr>
          <w:p w14:paraId="2FA06286"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516" w:type="pct"/>
            <w:tcBorders>
              <w:left w:val="nil"/>
              <w:bottom w:val="single" w:sz="4" w:space="0" w:color="000000" w:themeColor="text1"/>
              <w:right w:val="nil"/>
            </w:tcBorders>
            <w:vAlign w:val="bottom"/>
          </w:tcPr>
          <w:p w14:paraId="36F07770"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516" w:type="pct"/>
            <w:tcBorders>
              <w:left w:val="nil"/>
              <w:bottom w:val="single" w:sz="4" w:space="0" w:color="000000" w:themeColor="text1"/>
              <w:right w:val="nil"/>
            </w:tcBorders>
            <w:vAlign w:val="bottom"/>
          </w:tcPr>
          <w:p w14:paraId="4222C57A"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0.4</w:t>
            </w:r>
          </w:p>
        </w:tc>
        <w:tc>
          <w:tcPr>
            <w:tcW w:w="516" w:type="pct"/>
            <w:tcBorders>
              <w:left w:val="nil"/>
              <w:bottom w:val="single" w:sz="4" w:space="0" w:color="000000" w:themeColor="text1"/>
              <w:right w:val="nil"/>
            </w:tcBorders>
            <w:vAlign w:val="bottom"/>
          </w:tcPr>
          <w:p w14:paraId="4AFE9F3A"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354" w:type="pct"/>
            <w:tcBorders>
              <w:left w:val="nil"/>
              <w:bottom w:val="single" w:sz="4" w:space="0" w:color="000000" w:themeColor="text1"/>
              <w:right w:val="nil"/>
            </w:tcBorders>
            <w:vAlign w:val="bottom"/>
          </w:tcPr>
          <w:p w14:paraId="252F5FF8"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0.4</w:t>
            </w:r>
          </w:p>
        </w:tc>
      </w:tr>
      <w:tr w:rsidR="00D75CA8" w:rsidRPr="009379F0" w14:paraId="1F8E7901" w14:textId="77777777" w:rsidTr="00D75CA8">
        <w:tc>
          <w:tcPr>
            <w:tcW w:w="2066" w:type="pct"/>
            <w:tcBorders>
              <w:top w:val="single" w:sz="4" w:space="0" w:color="000000" w:themeColor="text1"/>
              <w:left w:val="nil"/>
              <w:bottom w:val="single" w:sz="4" w:space="0" w:color="000000" w:themeColor="text1"/>
              <w:right w:val="nil"/>
            </w:tcBorders>
            <w:vAlign w:val="bottom"/>
            <w:hideMark/>
          </w:tcPr>
          <w:p w14:paraId="729E6D76"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 xml:space="preserve">Total other comprehensive </w:t>
            </w:r>
            <w:r>
              <w:rPr>
                <w:rFonts w:cstheme="minorHAnsi"/>
              </w:rPr>
              <w:t>income</w:t>
            </w:r>
          </w:p>
        </w:tc>
        <w:tc>
          <w:tcPr>
            <w:tcW w:w="516" w:type="pct"/>
            <w:tcBorders>
              <w:top w:val="single" w:sz="4" w:space="0" w:color="000000" w:themeColor="text1"/>
              <w:left w:val="nil"/>
              <w:bottom w:val="single" w:sz="4" w:space="0" w:color="000000" w:themeColor="text1"/>
              <w:right w:val="nil"/>
            </w:tcBorders>
            <w:vAlign w:val="bottom"/>
            <w:hideMark/>
          </w:tcPr>
          <w:p w14:paraId="42DA4A05"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516" w:type="pct"/>
            <w:tcBorders>
              <w:top w:val="single" w:sz="4" w:space="0" w:color="000000" w:themeColor="text1"/>
              <w:left w:val="nil"/>
              <w:bottom w:val="single" w:sz="4" w:space="0" w:color="000000" w:themeColor="text1"/>
              <w:right w:val="nil"/>
            </w:tcBorders>
            <w:vAlign w:val="bottom"/>
            <w:hideMark/>
          </w:tcPr>
          <w:p w14:paraId="4B5668EC"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516" w:type="pct"/>
            <w:tcBorders>
              <w:top w:val="single" w:sz="4" w:space="0" w:color="000000" w:themeColor="text1"/>
              <w:left w:val="nil"/>
              <w:bottom w:val="single" w:sz="4" w:space="0" w:color="000000" w:themeColor="text1"/>
              <w:right w:val="nil"/>
            </w:tcBorders>
            <w:vAlign w:val="bottom"/>
            <w:hideMark/>
          </w:tcPr>
          <w:p w14:paraId="4D040E09"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516" w:type="pct"/>
            <w:tcBorders>
              <w:top w:val="single" w:sz="4" w:space="0" w:color="000000" w:themeColor="text1"/>
              <w:left w:val="nil"/>
              <w:bottom w:val="single" w:sz="4" w:space="0" w:color="000000" w:themeColor="text1"/>
              <w:right w:val="nil"/>
            </w:tcBorders>
            <w:vAlign w:val="bottom"/>
            <w:hideMark/>
          </w:tcPr>
          <w:p w14:paraId="2F9B431E"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0.4</w:t>
            </w:r>
          </w:p>
        </w:tc>
        <w:tc>
          <w:tcPr>
            <w:tcW w:w="516" w:type="pct"/>
            <w:tcBorders>
              <w:top w:val="single" w:sz="4" w:space="0" w:color="000000" w:themeColor="text1"/>
              <w:left w:val="nil"/>
              <w:bottom w:val="single" w:sz="4" w:space="0" w:color="000000" w:themeColor="text1"/>
              <w:right w:val="nil"/>
            </w:tcBorders>
            <w:vAlign w:val="bottom"/>
            <w:hideMark/>
          </w:tcPr>
          <w:p w14:paraId="726A9330"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(5.7)</w:t>
            </w:r>
          </w:p>
        </w:tc>
        <w:tc>
          <w:tcPr>
            <w:tcW w:w="354" w:type="pct"/>
            <w:tcBorders>
              <w:top w:val="single" w:sz="4" w:space="0" w:color="000000" w:themeColor="text1"/>
              <w:left w:val="nil"/>
              <w:bottom w:val="single" w:sz="4" w:space="0" w:color="000000" w:themeColor="text1"/>
              <w:right w:val="nil"/>
            </w:tcBorders>
            <w:vAlign w:val="bottom"/>
            <w:hideMark/>
          </w:tcPr>
          <w:p w14:paraId="7D9D889A"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(5.3)</w:t>
            </w:r>
          </w:p>
        </w:tc>
      </w:tr>
      <w:tr w:rsidR="00D75CA8" w:rsidRPr="009379F0" w14:paraId="0E6EE1BE" w14:textId="77777777" w:rsidTr="00D75CA8">
        <w:tc>
          <w:tcPr>
            <w:tcW w:w="2066" w:type="pct"/>
            <w:tcBorders>
              <w:top w:val="single" w:sz="4" w:space="0" w:color="000000" w:themeColor="text1"/>
              <w:left w:val="nil"/>
              <w:bottom w:val="single" w:sz="4" w:space="0" w:color="000000" w:themeColor="text1"/>
              <w:right w:val="nil"/>
            </w:tcBorders>
            <w:vAlign w:val="bottom"/>
            <w:hideMark/>
          </w:tcPr>
          <w:p w14:paraId="37C4D4FC"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Total comprehensive income</w:t>
            </w:r>
          </w:p>
        </w:tc>
        <w:tc>
          <w:tcPr>
            <w:tcW w:w="516" w:type="pct"/>
            <w:tcBorders>
              <w:top w:val="single" w:sz="4" w:space="0" w:color="000000" w:themeColor="text1"/>
              <w:left w:val="nil"/>
              <w:bottom w:val="single" w:sz="4" w:space="0" w:color="000000" w:themeColor="text1"/>
              <w:right w:val="nil"/>
            </w:tcBorders>
            <w:vAlign w:val="bottom"/>
            <w:hideMark/>
          </w:tcPr>
          <w:p w14:paraId="152B952D"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516" w:type="pct"/>
            <w:tcBorders>
              <w:top w:val="single" w:sz="4" w:space="0" w:color="000000" w:themeColor="text1"/>
              <w:left w:val="nil"/>
              <w:bottom w:val="single" w:sz="4" w:space="0" w:color="000000" w:themeColor="text1"/>
              <w:right w:val="nil"/>
            </w:tcBorders>
            <w:vAlign w:val="bottom"/>
            <w:hideMark/>
          </w:tcPr>
          <w:p w14:paraId="440699B8"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516" w:type="pct"/>
            <w:tcBorders>
              <w:top w:val="single" w:sz="4" w:space="0" w:color="000000" w:themeColor="text1"/>
              <w:left w:val="nil"/>
              <w:bottom w:val="single" w:sz="4" w:space="0" w:color="000000" w:themeColor="text1"/>
              <w:right w:val="nil"/>
            </w:tcBorders>
            <w:vAlign w:val="bottom"/>
            <w:hideMark/>
          </w:tcPr>
          <w:p w14:paraId="4C43EE6D"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516" w:type="pct"/>
            <w:tcBorders>
              <w:top w:val="single" w:sz="4" w:space="0" w:color="000000" w:themeColor="text1"/>
              <w:left w:val="nil"/>
              <w:bottom w:val="single" w:sz="4" w:space="0" w:color="000000" w:themeColor="text1"/>
              <w:right w:val="nil"/>
            </w:tcBorders>
            <w:vAlign w:val="bottom"/>
            <w:hideMark/>
          </w:tcPr>
          <w:p w14:paraId="651EA97B"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0.4</w:t>
            </w:r>
          </w:p>
        </w:tc>
        <w:tc>
          <w:tcPr>
            <w:tcW w:w="516" w:type="pct"/>
            <w:tcBorders>
              <w:top w:val="single" w:sz="4" w:space="0" w:color="000000" w:themeColor="text1"/>
              <w:left w:val="nil"/>
              <w:bottom w:val="single" w:sz="4" w:space="0" w:color="000000" w:themeColor="text1"/>
              <w:right w:val="nil"/>
            </w:tcBorders>
            <w:vAlign w:val="bottom"/>
            <w:hideMark/>
          </w:tcPr>
          <w:p w14:paraId="6458C460"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2.1</w:t>
            </w:r>
          </w:p>
        </w:tc>
        <w:tc>
          <w:tcPr>
            <w:tcW w:w="354" w:type="pct"/>
            <w:tcBorders>
              <w:top w:val="single" w:sz="4" w:space="0" w:color="000000" w:themeColor="text1"/>
              <w:left w:val="nil"/>
              <w:bottom w:val="single" w:sz="4" w:space="0" w:color="000000" w:themeColor="text1"/>
              <w:right w:val="nil"/>
            </w:tcBorders>
            <w:vAlign w:val="bottom"/>
            <w:hideMark/>
          </w:tcPr>
          <w:p w14:paraId="3C7277E8"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2.5</w:t>
            </w:r>
          </w:p>
        </w:tc>
      </w:tr>
      <w:tr w:rsidR="00D75CA8" w:rsidRPr="009379F0" w14:paraId="3775B3BF" w14:textId="77777777" w:rsidTr="00D75CA8">
        <w:tc>
          <w:tcPr>
            <w:tcW w:w="2066" w:type="pct"/>
            <w:tcBorders>
              <w:top w:val="single" w:sz="4" w:space="0" w:color="000000" w:themeColor="text1"/>
              <w:left w:val="nil"/>
              <w:bottom w:val="nil"/>
              <w:right w:val="nil"/>
            </w:tcBorders>
            <w:vAlign w:val="bottom"/>
            <w:hideMark/>
          </w:tcPr>
          <w:p w14:paraId="4ED6DD0F"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t>Transactions with owners</w:t>
            </w:r>
          </w:p>
        </w:tc>
        <w:tc>
          <w:tcPr>
            <w:tcW w:w="516" w:type="pct"/>
            <w:tcBorders>
              <w:top w:val="single" w:sz="4" w:space="0" w:color="000000" w:themeColor="text1"/>
              <w:left w:val="nil"/>
              <w:bottom w:val="nil"/>
              <w:right w:val="nil"/>
            </w:tcBorders>
            <w:vAlign w:val="bottom"/>
          </w:tcPr>
          <w:p w14:paraId="23EB7AA4" w14:textId="77777777" w:rsidR="00D75CA8" w:rsidRPr="009379F0" w:rsidRDefault="00D75CA8" w:rsidP="00D75CA8">
            <w:pPr>
              <w:widowControl w:val="0"/>
              <w:autoSpaceDE w:val="0"/>
              <w:autoSpaceDN w:val="0"/>
              <w:adjustRightInd w:val="0"/>
              <w:spacing w:after="0" w:line="240" w:lineRule="auto"/>
              <w:jc w:val="right"/>
              <w:rPr>
                <w:rFonts w:cstheme="minorHAnsi"/>
              </w:rPr>
            </w:pPr>
          </w:p>
        </w:tc>
        <w:tc>
          <w:tcPr>
            <w:tcW w:w="516" w:type="pct"/>
            <w:tcBorders>
              <w:top w:val="single" w:sz="4" w:space="0" w:color="000000" w:themeColor="text1"/>
              <w:left w:val="nil"/>
              <w:bottom w:val="nil"/>
              <w:right w:val="nil"/>
            </w:tcBorders>
            <w:vAlign w:val="bottom"/>
          </w:tcPr>
          <w:p w14:paraId="1BCCB887" w14:textId="77777777" w:rsidR="00D75CA8" w:rsidRPr="009379F0" w:rsidRDefault="00D75CA8" w:rsidP="00D75CA8">
            <w:pPr>
              <w:widowControl w:val="0"/>
              <w:autoSpaceDE w:val="0"/>
              <w:autoSpaceDN w:val="0"/>
              <w:adjustRightInd w:val="0"/>
              <w:spacing w:after="0" w:line="240" w:lineRule="auto"/>
              <w:jc w:val="right"/>
              <w:rPr>
                <w:rFonts w:cstheme="minorHAnsi"/>
              </w:rPr>
            </w:pPr>
          </w:p>
        </w:tc>
        <w:tc>
          <w:tcPr>
            <w:tcW w:w="516" w:type="pct"/>
            <w:tcBorders>
              <w:top w:val="single" w:sz="4" w:space="0" w:color="000000" w:themeColor="text1"/>
              <w:left w:val="nil"/>
              <w:bottom w:val="nil"/>
              <w:right w:val="nil"/>
            </w:tcBorders>
            <w:vAlign w:val="bottom"/>
          </w:tcPr>
          <w:p w14:paraId="17CFC972" w14:textId="77777777" w:rsidR="00D75CA8" w:rsidRPr="009379F0" w:rsidRDefault="00D75CA8" w:rsidP="00D75CA8">
            <w:pPr>
              <w:widowControl w:val="0"/>
              <w:autoSpaceDE w:val="0"/>
              <w:autoSpaceDN w:val="0"/>
              <w:adjustRightInd w:val="0"/>
              <w:spacing w:after="0" w:line="240" w:lineRule="auto"/>
              <w:jc w:val="right"/>
              <w:rPr>
                <w:rFonts w:cstheme="minorHAnsi"/>
              </w:rPr>
            </w:pPr>
          </w:p>
        </w:tc>
        <w:tc>
          <w:tcPr>
            <w:tcW w:w="516" w:type="pct"/>
            <w:tcBorders>
              <w:top w:val="single" w:sz="4" w:space="0" w:color="000000" w:themeColor="text1"/>
              <w:left w:val="nil"/>
              <w:bottom w:val="nil"/>
              <w:right w:val="nil"/>
            </w:tcBorders>
            <w:vAlign w:val="bottom"/>
          </w:tcPr>
          <w:p w14:paraId="196FC8F2" w14:textId="77777777" w:rsidR="00D75CA8" w:rsidRPr="009379F0" w:rsidRDefault="00D75CA8" w:rsidP="00D75CA8">
            <w:pPr>
              <w:widowControl w:val="0"/>
              <w:autoSpaceDE w:val="0"/>
              <w:autoSpaceDN w:val="0"/>
              <w:adjustRightInd w:val="0"/>
              <w:spacing w:after="0" w:line="240" w:lineRule="auto"/>
              <w:jc w:val="right"/>
              <w:rPr>
                <w:rFonts w:cstheme="minorHAnsi"/>
              </w:rPr>
            </w:pPr>
          </w:p>
        </w:tc>
        <w:tc>
          <w:tcPr>
            <w:tcW w:w="516" w:type="pct"/>
            <w:tcBorders>
              <w:top w:val="single" w:sz="4" w:space="0" w:color="000000" w:themeColor="text1"/>
              <w:left w:val="nil"/>
              <w:bottom w:val="nil"/>
              <w:right w:val="nil"/>
            </w:tcBorders>
            <w:vAlign w:val="bottom"/>
          </w:tcPr>
          <w:p w14:paraId="707CBE08" w14:textId="77777777" w:rsidR="00D75CA8" w:rsidRPr="009379F0" w:rsidRDefault="00D75CA8" w:rsidP="00D75CA8">
            <w:pPr>
              <w:widowControl w:val="0"/>
              <w:autoSpaceDE w:val="0"/>
              <w:autoSpaceDN w:val="0"/>
              <w:adjustRightInd w:val="0"/>
              <w:spacing w:after="0" w:line="240" w:lineRule="auto"/>
              <w:jc w:val="right"/>
              <w:rPr>
                <w:rFonts w:cstheme="minorHAnsi"/>
              </w:rPr>
            </w:pPr>
          </w:p>
        </w:tc>
        <w:tc>
          <w:tcPr>
            <w:tcW w:w="354" w:type="pct"/>
            <w:tcBorders>
              <w:top w:val="single" w:sz="4" w:space="0" w:color="000000" w:themeColor="text1"/>
              <w:left w:val="nil"/>
              <w:bottom w:val="nil"/>
              <w:right w:val="nil"/>
            </w:tcBorders>
            <w:vAlign w:val="bottom"/>
          </w:tcPr>
          <w:p w14:paraId="7C933C1A" w14:textId="77777777" w:rsidR="00D75CA8" w:rsidRPr="009379F0" w:rsidRDefault="00D75CA8" w:rsidP="00D75CA8">
            <w:pPr>
              <w:widowControl w:val="0"/>
              <w:autoSpaceDE w:val="0"/>
              <w:autoSpaceDN w:val="0"/>
              <w:adjustRightInd w:val="0"/>
              <w:spacing w:after="0" w:line="240" w:lineRule="auto"/>
              <w:jc w:val="right"/>
              <w:rPr>
                <w:rFonts w:cstheme="minorHAnsi"/>
              </w:rPr>
            </w:pPr>
          </w:p>
        </w:tc>
      </w:tr>
      <w:tr w:rsidR="00D75CA8" w:rsidRPr="009379F0" w14:paraId="6EE81CD3" w14:textId="77777777" w:rsidTr="00D75CA8">
        <w:tc>
          <w:tcPr>
            <w:tcW w:w="2066" w:type="pct"/>
            <w:vAlign w:val="bottom"/>
            <w:hideMark/>
          </w:tcPr>
          <w:p w14:paraId="397D7B6E" w14:textId="77777777" w:rsidR="00D75CA8" w:rsidRPr="00D80ACC" w:rsidRDefault="00D75CA8" w:rsidP="00D75CA8">
            <w:pPr>
              <w:widowControl w:val="0"/>
              <w:autoSpaceDE w:val="0"/>
              <w:autoSpaceDN w:val="0"/>
              <w:adjustRightInd w:val="0"/>
              <w:spacing w:after="0" w:line="240" w:lineRule="auto"/>
              <w:rPr>
                <w:rFonts w:cstheme="minorHAnsi"/>
              </w:rPr>
            </w:pPr>
            <w:r>
              <w:rPr>
                <w:rFonts w:cstheme="minorHAnsi"/>
              </w:rPr>
              <w:t>New Shares</w:t>
            </w:r>
          </w:p>
        </w:tc>
        <w:tc>
          <w:tcPr>
            <w:tcW w:w="516" w:type="pct"/>
            <w:vAlign w:val="bottom"/>
            <w:hideMark/>
          </w:tcPr>
          <w:p w14:paraId="1DF50B05"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516" w:type="pct"/>
            <w:vAlign w:val="bottom"/>
            <w:hideMark/>
          </w:tcPr>
          <w:p w14:paraId="5CB49369"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0.1</w:t>
            </w:r>
          </w:p>
        </w:tc>
        <w:tc>
          <w:tcPr>
            <w:tcW w:w="516" w:type="pct"/>
            <w:vAlign w:val="bottom"/>
            <w:hideMark/>
          </w:tcPr>
          <w:p w14:paraId="1687FFC2"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516" w:type="pct"/>
            <w:vAlign w:val="bottom"/>
            <w:hideMark/>
          </w:tcPr>
          <w:p w14:paraId="7A6B7C6E"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516" w:type="pct"/>
            <w:vAlign w:val="bottom"/>
            <w:hideMark/>
          </w:tcPr>
          <w:p w14:paraId="089188B1"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354" w:type="pct"/>
            <w:vAlign w:val="bottom"/>
            <w:hideMark/>
          </w:tcPr>
          <w:p w14:paraId="5235A42C"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0.1</w:t>
            </w:r>
          </w:p>
        </w:tc>
      </w:tr>
      <w:tr w:rsidR="00D75CA8" w:rsidRPr="009379F0" w14:paraId="38B7CA36" w14:textId="77777777" w:rsidTr="00D75CA8">
        <w:tc>
          <w:tcPr>
            <w:tcW w:w="2066" w:type="pct"/>
            <w:vAlign w:val="bottom"/>
            <w:hideMark/>
          </w:tcPr>
          <w:p w14:paraId="59A6B99F"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Share</w:t>
            </w:r>
            <w:r>
              <w:rPr>
                <w:rFonts w:cstheme="minorHAnsi"/>
              </w:rPr>
              <w:t>-</w:t>
            </w:r>
            <w:r w:rsidRPr="00D80ACC">
              <w:rPr>
                <w:rFonts w:cstheme="minorHAnsi"/>
              </w:rPr>
              <w:t xml:space="preserve">based payment credit </w:t>
            </w:r>
          </w:p>
        </w:tc>
        <w:tc>
          <w:tcPr>
            <w:tcW w:w="516" w:type="pct"/>
            <w:vAlign w:val="bottom"/>
            <w:hideMark/>
          </w:tcPr>
          <w:p w14:paraId="6C2BE30C"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516" w:type="pct"/>
            <w:vAlign w:val="bottom"/>
            <w:hideMark/>
          </w:tcPr>
          <w:p w14:paraId="6AB23ED7"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516" w:type="pct"/>
            <w:vAlign w:val="bottom"/>
            <w:hideMark/>
          </w:tcPr>
          <w:p w14:paraId="5321A522"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516" w:type="pct"/>
            <w:vAlign w:val="bottom"/>
            <w:hideMark/>
          </w:tcPr>
          <w:p w14:paraId="4CC8D9D3"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516" w:type="pct"/>
            <w:vAlign w:val="bottom"/>
            <w:hideMark/>
          </w:tcPr>
          <w:p w14:paraId="505950A3"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0.5</w:t>
            </w:r>
          </w:p>
        </w:tc>
        <w:tc>
          <w:tcPr>
            <w:tcW w:w="354" w:type="pct"/>
            <w:vAlign w:val="bottom"/>
            <w:hideMark/>
          </w:tcPr>
          <w:p w14:paraId="0D776704"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0.5</w:t>
            </w:r>
          </w:p>
        </w:tc>
      </w:tr>
      <w:tr w:rsidR="00D75CA8" w:rsidRPr="009379F0" w14:paraId="68166233" w14:textId="77777777" w:rsidTr="00D75CA8">
        <w:tc>
          <w:tcPr>
            <w:tcW w:w="2066" w:type="pct"/>
            <w:vAlign w:val="bottom"/>
            <w:hideMark/>
          </w:tcPr>
          <w:p w14:paraId="7DD55793"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Shares acquired by ESOT</w:t>
            </w:r>
          </w:p>
        </w:tc>
        <w:tc>
          <w:tcPr>
            <w:tcW w:w="516" w:type="pct"/>
            <w:vAlign w:val="bottom"/>
            <w:hideMark/>
          </w:tcPr>
          <w:p w14:paraId="7C8D9A0F"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516" w:type="pct"/>
            <w:vAlign w:val="bottom"/>
            <w:hideMark/>
          </w:tcPr>
          <w:p w14:paraId="5F5C34CC"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516" w:type="pct"/>
            <w:vAlign w:val="bottom"/>
            <w:hideMark/>
          </w:tcPr>
          <w:p w14:paraId="6F625FFB"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(0.6)</w:t>
            </w:r>
          </w:p>
        </w:tc>
        <w:tc>
          <w:tcPr>
            <w:tcW w:w="516" w:type="pct"/>
            <w:vAlign w:val="bottom"/>
            <w:hideMark/>
          </w:tcPr>
          <w:p w14:paraId="2C091346"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516" w:type="pct"/>
            <w:vAlign w:val="bottom"/>
            <w:hideMark/>
          </w:tcPr>
          <w:p w14:paraId="73353E44"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354" w:type="pct"/>
            <w:vAlign w:val="bottom"/>
            <w:hideMark/>
          </w:tcPr>
          <w:p w14:paraId="5CA2AEBD"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(0.6)</w:t>
            </w:r>
          </w:p>
        </w:tc>
      </w:tr>
      <w:tr w:rsidR="00D75CA8" w:rsidRPr="009379F0" w14:paraId="27992FAE" w14:textId="77777777" w:rsidTr="00D75CA8">
        <w:tc>
          <w:tcPr>
            <w:tcW w:w="2066" w:type="pct"/>
            <w:tcBorders>
              <w:top w:val="nil"/>
              <w:left w:val="nil"/>
              <w:bottom w:val="single" w:sz="4" w:space="0" w:color="000000" w:themeColor="text1"/>
              <w:right w:val="nil"/>
            </w:tcBorders>
            <w:vAlign w:val="bottom"/>
            <w:hideMark/>
          </w:tcPr>
          <w:p w14:paraId="3DC21AB1"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Dividends paid</w:t>
            </w:r>
          </w:p>
        </w:tc>
        <w:tc>
          <w:tcPr>
            <w:tcW w:w="516" w:type="pct"/>
            <w:tcBorders>
              <w:top w:val="nil"/>
              <w:left w:val="nil"/>
              <w:bottom w:val="single" w:sz="4" w:space="0" w:color="000000" w:themeColor="text1"/>
              <w:right w:val="nil"/>
            </w:tcBorders>
            <w:vAlign w:val="bottom"/>
            <w:hideMark/>
          </w:tcPr>
          <w:p w14:paraId="5A86BBCF"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516" w:type="pct"/>
            <w:tcBorders>
              <w:top w:val="nil"/>
              <w:left w:val="nil"/>
              <w:bottom w:val="single" w:sz="4" w:space="0" w:color="000000" w:themeColor="text1"/>
              <w:right w:val="nil"/>
            </w:tcBorders>
            <w:vAlign w:val="bottom"/>
            <w:hideMark/>
          </w:tcPr>
          <w:p w14:paraId="7DDFE749"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516" w:type="pct"/>
            <w:tcBorders>
              <w:top w:val="nil"/>
              <w:left w:val="nil"/>
              <w:bottom w:val="single" w:sz="4" w:space="0" w:color="000000" w:themeColor="text1"/>
              <w:right w:val="nil"/>
            </w:tcBorders>
            <w:vAlign w:val="bottom"/>
            <w:hideMark/>
          </w:tcPr>
          <w:p w14:paraId="11B8DBBA"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516" w:type="pct"/>
            <w:tcBorders>
              <w:top w:val="nil"/>
              <w:left w:val="nil"/>
              <w:bottom w:val="single" w:sz="4" w:space="0" w:color="000000" w:themeColor="text1"/>
              <w:right w:val="nil"/>
            </w:tcBorders>
            <w:vAlign w:val="bottom"/>
            <w:hideMark/>
          </w:tcPr>
          <w:p w14:paraId="7BD219F3"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516" w:type="pct"/>
            <w:tcBorders>
              <w:top w:val="nil"/>
              <w:left w:val="nil"/>
              <w:bottom w:val="single" w:sz="4" w:space="0" w:color="000000" w:themeColor="text1"/>
              <w:right w:val="nil"/>
            </w:tcBorders>
            <w:vAlign w:val="bottom"/>
            <w:hideMark/>
          </w:tcPr>
          <w:p w14:paraId="463A8600"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(1.7)</w:t>
            </w:r>
          </w:p>
        </w:tc>
        <w:tc>
          <w:tcPr>
            <w:tcW w:w="354" w:type="pct"/>
            <w:tcBorders>
              <w:top w:val="nil"/>
              <w:left w:val="nil"/>
              <w:bottom w:val="single" w:sz="4" w:space="0" w:color="000000" w:themeColor="text1"/>
              <w:right w:val="nil"/>
            </w:tcBorders>
            <w:vAlign w:val="bottom"/>
            <w:hideMark/>
          </w:tcPr>
          <w:p w14:paraId="4E337841"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(1.7)</w:t>
            </w:r>
          </w:p>
        </w:tc>
      </w:tr>
      <w:tr w:rsidR="00D75CA8" w:rsidRPr="009379F0" w14:paraId="70770523" w14:textId="77777777" w:rsidTr="00D75CA8">
        <w:tc>
          <w:tcPr>
            <w:tcW w:w="2066" w:type="pct"/>
            <w:tcBorders>
              <w:top w:val="single" w:sz="4" w:space="0" w:color="000000" w:themeColor="text1"/>
              <w:left w:val="nil"/>
              <w:bottom w:val="single" w:sz="4" w:space="0" w:color="000000" w:themeColor="text1"/>
              <w:right w:val="nil"/>
            </w:tcBorders>
            <w:vAlign w:val="bottom"/>
            <w:hideMark/>
          </w:tcPr>
          <w:p w14:paraId="3AC6E66D"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Total transactions with owners</w:t>
            </w:r>
          </w:p>
        </w:tc>
        <w:tc>
          <w:tcPr>
            <w:tcW w:w="516" w:type="pct"/>
            <w:tcBorders>
              <w:top w:val="single" w:sz="4" w:space="0" w:color="000000" w:themeColor="text1"/>
              <w:left w:val="nil"/>
              <w:bottom w:val="single" w:sz="4" w:space="0" w:color="000000" w:themeColor="text1"/>
              <w:right w:val="nil"/>
            </w:tcBorders>
            <w:vAlign w:val="bottom"/>
            <w:hideMark/>
          </w:tcPr>
          <w:p w14:paraId="7B82B09F"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516" w:type="pct"/>
            <w:tcBorders>
              <w:top w:val="single" w:sz="4" w:space="0" w:color="000000" w:themeColor="text1"/>
              <w:left w:val="nil"/>
              <w:bottom w:val="single" w:sz="4" w:space="0" w:color="000000" w:themeColor="text1"/>
              <w:right w:val="nil"/>
            </w:tcBorders>
            <w:vAlign w:val="bottom"/>
            <w:hideMark/>
          </w:tcPr>
          <w:p w14:paraId="5FBEB979"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0.1</w:t>
            </w:r>
          </w:p>
        </w:tc>
        <w:tc>
          <w:tcPr>
            <w:tcW w:w="516" w:type="pct"/>
            <w:tcBorders>
              <w:top w:val="single" w:sz="4" w:space="0" w:color="000000" w:themeColor="text1"/>
              <w:left w:val="nil"/>
              <w:bottom w:val="single" w:sz="4" w:space="0" w:color="000000" w:themeColor="text1"/>
              <w:right w:val="nil"/>
            </w:tcBorders>
            <w:vAlign w:val="bottom"/>
            <w:hideMark/>
          </w:tcPr>
          <w:p w14:paraId="32DE3E96"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(0.6)</w:t>
            </w:r>
          </w:p>
        </w:tc>
        <w:tc>
          <w:tcPr>
            <w:tcW w:w="516" w:type="pct"/>
            <w:tcBorders>
              <w:top w:val="single" w:sz="4" w:space="0" w:color="000000" w:themeColor="text1"/>
              <w:left w:val="nil"/>
              <w:bottom w:val="single" w:sz="4" w:space="0" w:color="000000" w:themeColor="text1"/>
              <w:right w:val="nil"/>
            </w:tcBorders>
            <w:vAlign w:val="bottom"/>
            <w:hideMark/>
          </w:tcPr>
          <w:p w14:paraId="1313BBFD"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w:t>
            </w:r>
          </w:p>
        </w:tc>
        <w:tc>
          <w:tcPr>
            <w:tcW w:w="516" w:type="pct"/>
            <w:tcBorders>
              <w:top w:val="single" w:sz="4" w:space="0" w:color="000000" w:themeColor="text1"/>
              <w:left w:val="nil"/>
              <w:bottom w:val="single" w:sz="4" w:space="0" w:color="000000" w:themeColor="text1"/>
              <w:right w:val="nil"/>
            </w:tcBorders>
            <w:vAlign w:val="bottom"/>
            <w:hideMark/>
          </w:tcPr>
          <w:p w14:paraId="771F94ED"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(1.2)</w:t>
            </w:r>
          </w:p>
        </w:tc>
        <w:tc>
          <w:tcPr>
            <w:tcW w:w="354" w:type="pct"/>
            <w:tcBorders>
              <w:top w:val="single" w:sz="4" w:space="0" w:color="000000" w:themeColor="text1"/>
              <w:left w:val="nil"/>
              <w:bottom w:val="single" w:sz="4" w:space="0" w:color="000000" w:themeColor="text1"/>
              <w:right w:val="nil"/>
            </w:tcBorders>
            <w:vAlign w:val="bottom"/>
            <w:hideMark/>
          </w:tcPr>
          <w:p w14:paraId="11A134E6" w14:textId="77777777" w:rsidR="00D75CA8" w:rsidRPr="009379F0" w:rsidRDefault="00D75CA8" w:rsidP="00D75CA8">
            <w:pPr>
              <w:widowControl w:val="0"/>
              <w:autoSpaceDE w:val="0"/>
              <w:autoSpaceDN w:val="0"/>
              <w:adjustRightInd w:val="0"/>
              <w:spacing w:after="0" w:line="240" w:lineRule="auto"/>
              <w:jc w:val="right"/>
              <w:rPr>
                <w:rFonts w:cstheme="minorHAnsi"/>
              </w:rPr>
            </w:pPr>
            <w:r w:rsidRPr="009379F0">
              <w:rPr>
                <w:rFonts w:cstheme="minorHAnsi"/>
              </w:rPr>
              <w:t>(1.7)</w:t>
            </w:r>
          </w:p>
        </w:tc>
      </w:tr>
      <w:tr w:rsidR="00D75CA8" w:rsidRPr="009379F0" w14:paraId="35A4FB74" w14:textId="77777777" w:rsidTr="00D75CA8">
        <w:tc>
          <w:tcPr>
            <w:tcW w:w="2066" w:type="pct"/>
            <w:tcBorders>
              <w:top w:val="single" w:sz="4" w:space="0" w:color="000000" w:themeColor="text1"/>
              <w:left w:val="nil"/>
              <w:bottom w:val="single" w:sz="12" w:space="0" w:color="000000" w:themeColor="text1"/>
              <w:right w:val="nil"/>
            </w:tcBorders>
            <w:vAlign w:val="bottom"/>
            <w:hideMark/>
          </w:tcPr>
          <w:p w14:paraId="210D08A7" w14:textId="77777777" w:rsidR="00D75CA8" w:rsidRPr="00D80ACC" w:rsidRDefault="00D75CA8" w:rsidP="00D75CA8">
            <w:pPr>
              <w:widowControl w:val="0"/>
              <w:autoSpaceDE w:val="0"/>
              <w:autoSpaceDN w:val="0"/>
              <w:adjustRightInd w:val="0"/>
              <w:spacing w:after="0" w:line="240" w:lineRule="auto"/>
              <w:rPr>
                <w:rFonts w:cstheme="minorHAnsi"/>
              </w:rPr>
            </w:pPr>
            <w:proofErr w:type="gramStart"/>
            <w:r w:rsidRPr="00D80ACC">
              <w:rPr>
                <w:rFonts w:cstheme="minorHAnsi"/>
                <w:b/>
                <w:bCs/>
              </w:rPr>
              <w:t>At</w:t>
            </w:r>
            <w:proofErr w:type="gramEnd"/>
            <w:r w:rsidRPr="00D80ACC">
              <w:rPr>
                <w:rFonts w:cstheme="minorHAnsi"/>
                <w:b/>
                <w:bCs/>
              </w:rPr>
              <w:t xml:space="preserve"> 31st December 201</w:t>
            </w:r>
            <w:r>
              <w:rPr>
                <w:rFonts w:cstheme="minorHAnsi"/>
                <w:b/>
                <w:bCs/>
              </w:rPr>
              <w:t>9</w:t>
            </w:r>
          </w:p>
        </w:tc>
        <w:tc>
          <w:tcPr>
            <w:tcW w:w="516" w:type="pct"/>
            <w:tcBorders>
              <w:top w:val="single" w:sz="4" w:space="0" w:color="000000" w:themeColor="text1"/>
              <w:left w:val="nil"/>
              <w:bottom w:val="single" w:sz="12" w:space="0" w:color="000000" w:themeColor="text1"/>
              <w:right w:val="nil"/>
            </w:tcBorders>
            <w:vAlign w:val="bottom"/>
            <w:hideMark/>
          </w:tcPr>
          <w:p w14:paraId="0C11A8BE" w14:textId="77777777" w:rsidR="00D75CA8" w:rsidRPr="009379F0" w:rsidRDefault="00D75CA8" w:rsidP="00D75CA8">
            <w:pPr>
              <w:widowControl w:val="0"/>
              <w:autoSpaceDE w:val="0"/>
              <w:autoSpaceDN w:val="0"/>
              <w:adjustRightInd w:val="0"/>
              <w:spacing w:after="0" w:line="240" w:lineRule="auto"/>
              <w:jc w:val="right"/>
              <w:rPr>
                <w:rFonts w:cstheme="minorHAnsi"/>
                <w:b/>
                <w:bCs/>
              </w:rPr>
            </w:pPr>
            <w:r w:rsidRPr="009379F0">
              <w:rPr>
                <w:rFonts w:cstheme="minorHAnsi"/>
                <w:b/>
                <w:bCs/>
              </w:rPr>
              <w:t>4.3</w:t>
            </w:r>
          </w:p>
        </w:tc>
        <w:tc>
          <w:tcPr>
            <w:tcW w:w="516" w:type="pct"/>
            <w:tcBorders>
              <w:top w:val="single" w:sz="4" w:space="0" w:color="000000" w:themeColor="text1"/>
              <w:left w:val="nil"/>
              <w:bottom w:val="single" w:sz="12" w:space="0" w:color="000000" w:themeColor="text1"/>
              <w:right w:val="nil"/>
            </w:tcBorders>
            <w:vAlign w:val="bottom"/>
            <w:hideMark/>
          </w:tcPr>
          <w:p w14:paraId="1C832BBC" w14:textId="77777777" w:rsidR="00D75CA8" w:rsidRPr="009379F0" w:rsidRDefault="00D75CA8" w:rsidP="00D75CA8">
            <w:pPr>
              <w:widowControl w:val="0"/>
              <w:autoSpaceDE w:val="0"/>
              <w:autoSpaceDN w:val="0"/>
              <w:adjustRightInd w:val="0"/>
              <w:spacing w:after="0" w:line="240" w:lineRule="auto"/>
              <w:jc w:val="right"/>
              <w:rPr>
                <w:rFonts w:cstheme="minorHAnsi"/>
                <w:b/>
                <w:bCs/>
              </w:rPr>
            </w:pPr>
            <w:r w:rsidRPr="009379F0">
              <w:rPr>
                <w:rFonts w:cstheme="minorHAnsi"/>
                <w:b/>
                <w:bCs/>
              </w:rPr>
              <w:t>3.8</w:t>
            </w:r>
          </w:p>
        </w:tc>
        <w:tc>
          <w:tcPr>
            <w:tcW w:w="516" w:type="pct"/>
            <w:tcBorders>
              <w:top w:val="single" w:sz="4" w:space="0" w:color="000000" w:themeColor="text1"/>
              <w:left w:val="nil"/>
              <w:bottom w:val="single" w:sz="12" w:space="0" w:color="000000" w:themeColor="text1"/>
              <w:right w:val="nil"/>
            </w:tcBorders>
            <w:vAlign w:val="bottom"/>
            <w:hideMark/>
          </w:tcPr>
          <w:p w14:paraId="6F31934D" w14:textId="77777777" w:rsidR="00D75CA8" w:rsidRPr="009379F0" w:rsidRDefault="00D75CA8" w:rsidP="00D75CA8">
            <w:pPr>
              <w:widowControl w:val="0"/>
              <w:autoSpaceDE w:val="0"/>
              <w:autoSpaceDN w:val="0"/>
              <w:adjustRightInd w:val="0"/>
              <w:spacing w:after="0" w:line="240" w:lineRule="auto"/>
              <w:jc w:val="right"/>
              <w:rPr>
                <w:rFonts w:cstheme="minorHAnsi"/>
                <w:b/>
                <w:bCs/>
              </w:rPr>
            </w:pPr>
            <w:r w:rsidRPr="009379F0">
              <w:rPr>
                <w:rFonts w:cstheme="minorHAnsi"/>
                <w:b/>
                <w:bCs/>
              </w:rPr>
              <w:t>(2.0)</w:t>
            </w:r>
          </w:p>
        </w:tc>
        <w:tc>
          <w:tcPr>
            <w:tcW w:w="516" w:type="pct"/>
            <w:tcBorders>
              <w:top w:val="single" w:sz="4" w:space="0" w:color="000000" w:themeColor="text1"/>
              <w:left w:val="nil"/>
              <w:bottom w:val="single" w:sz="12" w:space="0" w:color="000000" w:themeColor="text1"/>
              <w:right w:val="nil"/>
            </w:tcBorders>
            <w:vAlign w:val="bottom"/>
            <w:hideMark/>
          </w:tcPr>
          <w:p w14:paraId="5BECE02A" w14:textId="77777777" w:rsidR="00D75CA8" w:rsidRPr="009379F0" w:rsidRDefault="00D75CA8" w:rsidP="00D75CA8">
            <w:pPr>
              <w:widowControl w:val="0"/>
              <w:autoSpaceDE w:val="0"/>
              <w:autoSpaceDN w:val="0"/>
              <w:adjustRightInd w:val="0"/>
              <w:spacing w:after="0" w:line="240" w:lineRule="auto"/>
              <w:jc w:val="right"/>
              <w:rPr>
                <w:rFonts w:cstheme="minorHAnsi"/>
                <w:b/>
                <w:bCs/>
              </w:rPr>
            </w:pPr>
            <w:r w:rsidRPr="009379F0">
              <w:rPr>
                <w:rFonts w:cstheme="minorHAnsi"/>
                <w:b/>
                <w:bCs/>
              </w:rPr>
              <w:t>0.9</w:t>
            </w:r>
          </w:p>
        </w:tc>
        <w:tc>
          <w:tcPr>
            <w:tcW w:w="516" w:type="pct"/>
            <w:tcBorders>
              <w:top w:val="single" w:sz="4" w:space="0" w:color="000000" w:themeColor="text1"/>
              <w:left w:val="nil"/>
              <w:bottom w:val="single" w:sz="12" w:space="0" w:color="000000" w:themeColor="text1"/>
              <w:right w:val="nil"/>
            </w:tcBorders>
            <w:vAlign w:val="bottom"/>
            <w:hideMark/>
          </w:tcPr>
          <w:p w14:paraId="29609A61" w14:textId="77777777" w:rsidR="00D75CA8" w:rsidRPr="009379F0" w:rsidRDefault="00D75CA8" w:rsidP="00D75CA8">
            <w:pPr>
              <w:widowControl w:val="0"/>
              <w:autoSpaceDE w:val="0"/>
              <w:autoSpaceDN w:val="0"/>
              <w:adjustRightInd w:val="0"/>
              <w:spacing w:after="0" w:line="240" w:lineRule="auto"/>
              <w:jc w:val="right"/>
              <w:rPr>
                <w:rFonts w:cstheme="minorHAnsi"/>
                <w:b/>
                <w:bCs/>
              </w:rPr>
            </w:pPr>
            <w:r w:rsidRPr="009379F0">
              <w:rPr>
                <w:rFonts w:cstheme="minorHAnsi"/>
                <w:b/>
                <w:bCs/>
              </w:rPr>
              <w:t>15.9</w:t>
            </w:r>
          </w:p>
        </w:tc>
        <w:tc>
          <w:tcPr>
            <w:tcW w:w="354" w:type="pct"/>
            <w:tcBorders>
              <w:top w:val="single" w:sz="4" w:space="0" w:color="000000" w:themeColor="text1"/>
              <w:left w:val="nil"/>
              <w:bottom w:val="single" w:sz="12" w:space="0" w:color="000000" w:themeColor="text1"/>
              <w:right w:val="nil"/>
            </w:tcBorders>
            <w:vAlign w:val="bottom"/>
            <w:hideMark/>
          </w:tcPr>
          <w:p w14:paraId="7A0F3D06" w14:textId="77777777" w:rsidR="00D75CA8" w:rsidRPr="009379F0" w:rsidRDefault="00D75CA8" w:rsidP="00D75CA8">
            <w:pPr>
              <w:widowControl w:val="0"/>
              <w:autoSpaceDE w:val="0"/>
              <w:autoSpaceDN w:val="0"/>
              <w:adjustRightInd w:val="0"/>
              <w:spacing w:after="0" w:line="240" w:lineRule="auto"/>
              <w:jc w:val="right"/>
              <w:rPr>
                <w:rFonts w:cstheme="minorHAnsi"/>
                <w:b/>
                <w:bCs/>
              </w:rPr>
            </w:pPr>
            <w:r w:rsidRPr="009379F0">
              <w:rPr>
                <w:rFonts w:cstheme="minorHAnsi"/>
                <w:b/>
                <w:bCs/>
              </w:rPr>
              <w:t>22.9</w:t>
            </w:r>
          </w:p>
        </w:tc>
      </w:tr>
      <w:tr w:rsidR="00D75CA8" w:rsidRPr="00D80ACC" w14:paraId="216F07C3" w14:textId="77777777" w:rsidTr="00D75CA8">
        <w:tc>
          <w:tcPr>
            <w:tcW w:w="2066" w:type="pct"/>
            <w:tcBorders>
              <w:top w:val="single" w:sz="12" w:space="0" w:color="000000" w:themeColor="text1"/>
              <w:left w:val="nil"/>
              <w:bottom w:val="nil"/>
              <w:right w:val="nil"/>
            </w:tcBorders>
            <w:vAlign w:val="bottom"/>
            <w:hideMark/>
          </w:tcPr>
          <w:p w14:paraId="154F56C0"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t>Comprehensive income</w:t>
            </w:r>
            <w:r>
              <w:rPr>
                <w:rFonts w:cstheme="minorHAnsi"/>
                <w:b/>
                <w:bCs/>
              </w:rPr>
              <w:t>/(expense)</w:t>
            </w:r>
          </w:p>
        </w:tc>
        <w:tc>
          <w:tcPr>
            <w:tcW w:w="516" w:type="pct"/>
            <w:tcBorders>
              <w:top w:val="single" w:sz="12" w:space="0" w:color="000000" w:themeColor="text1"/>
              <w:left w:val="nil"/>
              <w:bottom w:val="nil"/>
              <w:right w:val="nil"/>
            </w:tcBorders>
            <w:vAlign w:val="bottom"/>
          </w:tcPr>
          <w:p w14:paraId="1FBFD3C7" w14:textId="77777777" w:rsidR="00D75CA8" w:rsidRPr="009379F0" w:rsidRDefault="00D75CA8" w:rsidP="00D75CA8">
            <w:pPr>
              <w:widowControl w:val="0"/>
              <w:autoSpaceDE w:val="0"/>
              <w:autoSpaceDN w:val="0"/>
              <w:adjustRightInd w:val="0"/>
              <w:spacing w:after="0" w:line="240" w:lineRule="auto"/>
              <w:jc w:val="right"/>
              <w:rPr>
                <w:rFonts w:cstheme="minorHAnsi"/>
                <w:highlight w:val="yellow"/>
              </w:rPr>
            </w:pPr>
          </w:p>
        </w:tc>
        <w:tc>
          <w:tcPr>
            <w:tcW w:w="516" w:type="pct"/>
            <w:tcBorders>
              <w:top w:val="single" w:sz="12" w:space="0" w:color="000000" w:themeColor="text1"/>
              <w:left w:val="nil"/>
              <w:bottom w:val="nil"/>
              <w:right w:val="nil"/>
            </w:tcBorders>
            <w:vAlign w:val="bottom"/>
          </w:tcPr>
          <w:p w14:paraId="1D2C2C79" w14:textId="77777777" w:rsidR="00D75CA8" w:rsidRPr="009379F0" w:rsidRDefault="00D75CA8" w:rsidP="00D75CA8">
            <w:pPr>
              <w:widowControl w:val="0"/>
              <w:autoSpaceDE w:val="0"/>
              <w:autoSpaceDN w:val="0"/>
              <w:adjustRightInd w:val="0"/>
              <w:spacing w:after="0" w:line="240" w:lineRule="auto"/>
              <w:jc w:val="right"/>
              <w:rPr>
                <w:rFonts w:cstheme="minorHAnsi"/>
                <w:highlight w:val="yellow"/>
              </w:rPr>
            </w:pPr>
          </w:p>
        </w:tc>
        <w:tc>
          <w:tcPr>
            <w:tcW w:w="516" w:type="pct"/>
            <w:tcBorders>
              <w:top w:val="single" w:sz="12" w:space="0" w:color="000000" w:themeColor="text1"/>
              <w:left w:val="nil"/>
              <w:bottom w:val="nil"/>
              <w:right w:val="nil"/>
            </w:tcBorders>
            <w:vAlign w:val="bottom"/>
          </w:tcPr>
          <w:p w14:paraId="42B2D3C1" w14:textId="77777777" w:rsidR="00D75CA8" w:rsidRPr="009379F0" w:rsidRDefault="00D75CA8" w:rsidP="00D75CA8">
            <w:pPr>
              <w:widowControl w:val="0"/>
              <w:autoSpaceDE w:val="0"/>
              <w:autoSpaceDN w:val="0"/>
              <w:adjustRightInd w:val="0"/>
              <w:spacing w:after="0" w:line="240" w:lineRule="auto"/>
              <w:jc w:val="right"/>
              <w:rPr>
                <w:rFonts w:cstheme="minorHAnsi"/>
                <w:highlight w:val="yellow"/>
              </w:rPr>
            </w:pPr>
          </w:p>
        </w:tc>
        <w:tc>
          <w:tcPr>
            <w:tcW w:w="516" w:type="pct"/>
            <w:tcBorders>
              <w:top w:val="single" w:sz="12" w:space="0" w:color="000000" w:themeColor="text1"/>
              <w:left w:val="nil"/>
              <w:bottom w:val="nil"/>
              <w:right w:val="nil"/>
            </w:tcBorders>
            <w:vAlign w:val="bottom"/>
          </w:tcPr>
          <w:p w14:paraId="61727CFC" w14:textId="77777777" w:rsidR="00D75CA8" w:rsidRPr="009379F0" w:rsidRDefault="00D75CA8" w:rsidP="00D75CA8">
            <w:pPr>
              <w:widowControl w:val="0"/>
              <w:autoSpaceDE w:val="0"/>
              <w:autoSpaceDN w:val="0"/>
              <w:adjustRightInd w:val="0"/>
              <w:spacing w:after="0" w:line="240" w:lineRule="auto"/>
              <w:jc w:val="right"/>
              <w:rPr>
                <w:rFonts w:cstheme="minorHAnsi"/>
                <w:highlight w:val="yellow"/>
              </w:rPr>
            </w:pPr>
          </w:p>
        </w:tc>
        <w:tc>
          <w:tcPr>
            <w:tcW w:w="516" w:type="pct"/>
            <w:tcBorders>
              <w:top w:val="single" w:sz="12" w:space="0" w:color="000000" w:themeColor="text1"/>
              <w:left w:val="nil"/>
              <w:bottom w:val="nil"/>
              <w:right w:val="nil"/>
            </w:tcBorders>
            <w:vAlign w:val="bottom"/>
          </w:tcPr>
          <w:p w14:paraId="0031C2A4" w14:textId="77777777" w:rsidR="00D75CA8" w:rsidRPr="009379F0" w:rsidRDefault="00D75CA8" w:rsidP="00D75CA8">
            <w:pPr>
              <w:widowControl w:val="0"/>
              <w:autoSpaceDE w:val="0"/>
              <w:autoSpaceDN w:val="0"/>
              <w:adjustRightInd w:val="0"/>
              <w:spacing w:after="0" w:line="240" w:lineRule="auto"/>
              <w:jc w:val="right"/>
              <w:rPr>
                <w:rFonts w:cstheme="minorHAnsi"/>
                <w:highlight w:val="yellow"/>
              </w:rPr>
            </w:pPr>
          </w:p>
        </w:tc>
        <w:tc>
          <w:tcPr>
            <w:tcW w:w="354" w:type="pct"/>
            <w:tcBorders>
              <w:top w:val="single" w:sz="12" w:space="0" w:color="000000" w:themeColor="text1"/>
              <w:left w:val="nil"/>
              <w:bottom w:val="nil"/>
              <w:right w:val="nil"/>
            </w:tcBorders>
            <w:vAlign w:val="bottom"/>
          </w:tcPr>
          <w:p w14:paraId="1004C10F" w14:textId="77777777" w:rsidR="00D75CA8" w:rsidRPr="009379F0" w:rsidRDefault="00D75CA8" w:rsidP="00D75CA8">
            <w:pPr>
              <w:widowControl w:val="0"/>
              <w:autoSpaceDE w:val="0"/>
              <w:autoSpaceDN w:val="0"/>
              <w:adjustRightInd w:val="0"/>
              <w:spacing w:after="0" w:line="240" w:lineRule="auto"/>
              <w:jc w:val="right"/>
              <w:rPr>
                <w:rFonts w:cstheme="minorHAnsi"/>
                <w:highlight w:val="yellow"/>
              </w:rPr>
            </w:pPr>
          </w:p>
        </w:tc>
      </w:tr>
      <w:tr w:rsidR="00D75CA8" w:rsidRPr="00D80ACC" w14:paraId="7EEDDE8D" w14:textId="77777777" w:rsidTr="00D75CA8">
        <w:tc>
          <w:tcPr>
            <w:tcW w:w="2066" w:type="pct"/>
            <w:tcBorders>
              <w:top w:val="nil"/>
              <w:left w:val="nil"/>
              <w:bottom w:val="single" w:sz="4" w:space="0" w:color="000000" w:themeColor="text1"/>
              <w:right w:val="nil"/>
            </w:tcBorders>
            <w:vAlign w:val="bottom"/>
            <w:hideMark/>
          </w:tcPr>
          <w:p w14:paraId="3B89853C"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Profit for the year</w:t>
            </w:r>
          </w:p>
        </w:tc>
        <w:tc>
          <w:tcPr>
            <w:tcW w:w="516" w:type="pct"/>
            <w:tcBorders>
              <w:top w:val="nil"/>
              <w:left w:val="nil"/>
              <w:bottom w:val="single" w:sz="4" w:space="0" w:color="000000" w:themeColor="text1"/>
              <w:right w:val="nil"/>
            </w:tcBorders>
            <w:vAlign w:val="bottom"/>
            <w:hideMark/>
          </w:tcPr>
          <w:p w14:paraId="25C92019"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w:t>
            </w:r>
          </w:p>
        </w:tc>
        <w:tc>
          <w:tcPr>
            <w:tcW w:w="516" w:type="pct"/>
            <w:tcBorders>
              <w:top w:val="nil"/>
              <w:left w:val="nil"/>
              <w:bottom w:val="single" w:sz="4" w:space="0" w:color="000000" w:themeColor="text1"/>
              <w:right w:val="nil"/>
            </w:tcBorders>
            <w:vAlign w:val="bottom"/>
            <w:hideMark/>
          </w:tcPr>
          <w:p w14:paraId="2FE115A2"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w:t>
            </w:r>
          </w:p>
        </w:tc>
        <w:tc>
          <w:tcPr>
            <w:tcW w:w="516" w:type="pct"/>
            <w:tcBorders>
              <w:top w:val="nil"/>
              <w:left w:val="nil"/>
              <w:bottom w:val="single" w:sz="4" w:space="0" w:color="000000" w:themeColor="text1"/>
              <w:right w:val="nil"/>
            </w:tcBorders>
            <w:vAlign w:val="bottom"/>
            <w:hideMark/>
          </w:tcPr>
          <w:p w14:paraId="6907A451"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w:t>
            </w:r>
          </w:p>
        </w:tc>
        <w:tc>
          <w:tcPr>
            <w:tcW w:w="516" w:type="pct"/>
            <w:tcBorders>
              <w:top w:val="nil"/>
              <w:left w:val="nil"/>
              <w:bottom w:val="single" w:sz="4" w:space="0" w:color="000000" w:themeColor="text1"/>
              <w:right w:val="nil"/>
            </w:tcBorders>
            <w:vAlign w:val="bottom"/>
            <w:hideMark/>
          </w:tcPr>
          <w:p w14:paraId="6537A7AB"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w:t>
            </w:r>
          </w:p>
        </w:tc>
        <w:tc>
          <w:tcPr>
            <w:tcW w:w="516" w:type="pct"/>
            <w:tcBorders>
              <w:top w:val="nil"/>
              <w:left w:val="nil"/>
              <w:bottom w:val="single" w:sz="4" w:space="0" w:color="000000" w:themeColor="text1"/>
              <w:right w:val="nil"/>
            </w:tcBorders>
            <w:vAlign w:val="bottom"/>
            <w:hideMark/>
          </w:tcPr>
          <w:p w14:paraId="232828B5"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1.2</w:t>
            </w:r>
          </w:p>
        </w:tc>
        <w:tc>
          <w:tcPr>
            <w:tcW w:w="354" w:type="pct"/>
            <w:tcBorders>
              <w:top w:val="nil"/>
              <w:left w:val="nil"/>
              <w:bottom w:val="single" w:sz="4" w:space="0" w:color="000000" w:themeColor="text1"/>
              <w:right w:val="nil"/>
            </w:tcBorders>
            <w:vAlign w:val="bottom"/>
            <w:hideMark/>
          </w:tcPr>
          <w:p w14:paraId="56AE7C92"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1.2</w:t>
            </w:r>
          </w:p>
        </w:tc>
      </w:tr>
      <w:tr w:rsidR="00D75CA8" w:rsidRPr="00D80ACC" w14:paraId="5AB28716" w14:textId="77777777" w:rsidTr="00D75CA8">
        <w:tc>
          <w:tcPr>
            <w:tcW w:w="2066" w:type="pct"/>
            <w:tcBorders>
              <w:top w:val="single" w:sz="4" w:space="0" w:color="000000" w:themeColor="text1"/>
              <w:left w:val="nil"/>
              <w:bottom w:val="nil"/>
              <w:right w:val="nil"/>
            </w:tcBorders>
            <w:vAlign w:val="bottom"/>
            <w:hideMark/>
          </w:tcPr>
          <w:p w14:paraId="067FCE8C"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 xml:space="preserve">Other comprehensive </w:t>
            </w:r>
            <w:r>
              <w:rPr>
                <w:rFonts w:cstheme="minorHAnsi"/>
              </w:rPr>
              <w:t>(expense)/</w:t>
            </w:r>
            <w:r w:rsidRPr="00D80ACC">
              <w:rPr>
                <w:rFonts w:cstheme="minorHAnsi"/>
              </w:rPr>
              <w:t>income</w:t>
            </w:r>
          </w:p>
        </w:tc>
        <w:tc>
          <w:tcPr>
            <w:tcW w:w="516" w:type="pct"/>
            <w:tcBorders>
              <w:top w:val="single" w:sz="4" w:space="0" w:color="000000" w:themeColor="text1"/>
              <w:left w:val="nil"/>
              <w:bottom w:val="nil"/>
              <w:right w:val="nil"/>
            </w:tcBorders>
            <w:vAlign w:val="bottom"/>
          </w:tcPr>
          <w:p w14:paraId="70238621" w14:textId="77777777" w:rsidR="00D75CA8" w:rsidRPr="0089211B" w:rsidRDefault="00D75CA8" w:rsidP="00D75CA8">
            <w:pPr>
              <w:widowControl w:val="0"/>
              <w:autoSpaceDE w:val="0"/>
              <w:autoSpaceDN w:val="0"/>
              <w:adjustRightInd w:val="0"/>
              <w:spacing w:after="0" w:line="240" w:lineRule="auto"/>
              <w:jc w:val="right"/>
              <w:rPr>
                <w:rFonts w:cstheme="minorHAnsi"/>
                <w:b/>
                <w:bCs/>
              </w:rPr>
            </w:pPr>
          </w:p>
        </w:tc>
        <w:tc>
          <w:tcPr>
            <w:tcW w:w="516" w:type="pct"/>
            <w:tcBorders>
              <w:top w:val="single" w:sz="4" w:space="0" w:color="000000" w:themeColor="text1"/>
              <w:left w:val="nil"/>
              <w:bottom w:val="nil"/>
              <w:right w:val="nil"/>
            </w:tcBorders>
            <w:vAlign w:val="bottom"/>
          </w:tcPr>
          <w:p w14:paraId="1DDDA5D0" w14:textId="77777777" w:rsidR="00D75CA8" w:rsidRPr="0089211B" w:rsidRDefault="00D75CA8" w:rsidP="00D75CA8">
            <w:pPr>
              <w:widowControl w:val="0"/>
              <w:autoSpaceDE w:val="0"/>
              <w:autoSpaceDN w:val="0"/>
              <w:adjustRightInd w:val="0"/>
              <w:spacing w:after="0" w:line="240" w:lineRule="auto"/>
              <w:jc w:val="right"/>
              <w:rPr>
                <w:rFonts w:cstheme="minorHAnsi"/>
                <w:b/>
                <w:bCs/>
              </w:rPr>
            </w:pPr>
          </w:p>
        </w:tc>
        <w:tc>
          <w:tcPr>
            <w:tcW w:w="516" w:type="pct"/>
            <w:tcBorders>
              <w:top w:val="single" w:sz="4" w:space="0" w:color="000000" w:themeColor="text1"/>
              <w:left w:val="nil"/>
              <w:bottom w:val="nil"/>
              <w:right w:val="nil"/>
            </w:tcBorders>
            <w:vAlign w:val="bottom"/>
          </w:tcPr>
          <w:p w14:paraId="5B2EDFEC" w14:textId="77777777" w:rsidR="00D75CA8" w:rsidRPr="0089211B" w:rsidRDefault="00D75CA8" w:rsidP="00D75CA8">
            <w:pPr>
              <w:widowControl w:val="0"/>
              <w:autoSpaceDE w:val="0"/>
              <w:autoSpaceDN w:val="0"/>
              <w:adjustRightInd w:val="0"/>
              <w:spacing w:after="0" w:line="240" w:lineRule="auto"/>
              <w:jc w:val="right"/>
              <w:rPr>
                <w:rFonts w:cstheme="minorHAnsi"/>
                <w:b/>
                <w:bCs/>
              </w:rPr>
            </w:pPr>
          </w:p>
        </w:tc>
        <w:tc>
          <w:tcPr>
            <w:tcW w:w="516" w:type="pct"/>
            <w:tcBorders>
              <w:top w:val="single" w:sz="4" w:space="0" w:color="000000" w:themeColor="text1"/>
              <w:left w:val="nil"/>
              <w:bottom w:val="nil"/>
              <w:right w:val="nil"/>
            </w:tcBorders>
            <w:vAlign w:val="bottom"/>
          </w:tcPr>
          <w:p w14:paraId="305145E4" w14:textId="77777777" w:rsidR="00D75CA8" w:rsidRPr="0089211B" w:rsidRDefault="00D75CA8" w:rsidP="00D75CA8">
            <w:pPr>
              <w:widowControl w:val="0"/>
              <w:autoSpaceDE w:val="0"/>
              <w:autoSpaceDN w:val="0"/>
              <w:adjustRightInd w:val="0"/>
              <w:spacing w:after="0" w:line="240" w:lineRule="auto"/>
              <w:jc w:val="right"/>
              <w:rPr>
                <w:rFonts w:cstheme="minorHAnsi"/>
                <w:b/>
                <w:bCs/>
              </w:rPr>
            </w:pPr>
          </w:p>
        </w:tc>
        <w:tc>
          <w:tcPr>
            <w:tcW w:w="516" w:type="pct"/>
            <w:tcBorders>
              <w:top w:val="single" w:sz="4" w:space="0" w:color="000000" w:themeColor="text1"/>
              <w:left w:val="nil"/>
              <w:bottom w:val="nil"/>
              <w:right w:val="nil"/>
            </w:tcBorders>
            <w:vAlign w:val="bottom"/>
          </w:tcPr>
          <w:p w14:paraId="38F2F78C" w14:textId="77777777" w:rsidR="00D75CA8" w:rsidRPr="0089211B" w:rsidRDefault="00D75CA8" w:rsidP="00D75CA8">
            <w:pPr>
              <w:widowControl w:val="0"/>
              <w:autoSpaceDE w:val="0"/>
              <w:autoSpaceDN w:val="0"/>
              <w:adjustRightInd w:val="0"/>
              <w:spacing w:after="0" w:line="240" w:lineRule="auto"/>
              <w:jc w:val="right"/>
              <w:rPr>
                <w:rFonts w:cstheme="minorHAnsi"/>
                <w:b/>
                <w:bCs/>
              </w:rPr>
            </w:pPr>
          </w:p>
        </w:tc>
        <w:tc>
          <w:tcPr>
            <w:tcW w:w="354" w:type="pct"/>
            <w:tcBorders>
              <w:top w:val="single" w:sz="4" w:space="0" w:color="000000" w:themeColor="text1"/>
              <w:left w:val="nil"/>
              <w:bottom w:val="nil"/>
              <w:right w:val="nil"/>
            </w:tcBorders>
            <w:vAlign w:val="bottom"/>
          </w:tcPr>
          <w:p w14:paraId="5C0F86C8" w14:textId="77777777" w:rsidR="00D75CA8" w:rsidRPr="0089211B" w:rsidRDefault="00D75CA8" w:rsidP="00D75CA8">
            <w:pPr>
              <w:widowControl w:val="0"/>
              <w:autoSpaceDE w:val="0"/>
              <w:autoSpaceDN w:val="0"/>
              <w:adjustRightInd w:val="0"/>
              <w:spacing w:after="0" w:line="240" w:lineRule="auto"/>
              <w:jc w:val="right"/>
              <w:rPr>
                <w:rFonts w:cstheme="minorHAnsi"/>
                <w:b/>
                <w:bCs/>
              </w:rPr>
            </w:pPr>
          </w:p>
        </w:tc>
      </w:tr>
      <w:tr w:rsidR="00D75CA8" w:rsidRPr="00D80ACC" w14:paraId="5E5B8E49" w14:textId="77777777" w:rsidTr="00D75CA8">
        <w:tc>
          <w:tcPr>
            <w:tcW w:w="2066" w:type="pct"/>
            <w:vAlign w:val="bottom"/>
            <w:hideMark/>
          </w:tcPr>
          <w:p w14:paraId="0DF54E6E" w14:textId="77777777" w:rsidR="00D75CA8" w:rsidRPr="00D80ACC" w:rsidRDefault="00D75CA8" w:rsidP="00D75CA8">
            <w:pPr>
              <w:widowControl w:val="0"/>
              <w:autoSpaceDE w:val="0"/>
              <w:autoSpaceDN w:val="0"/>
              <w:adjustRightInd w:val="0"/>
              <w:spacing w:after="0" w:line="240" w:lineRule="auto"/>
              <w:ind w:left="216" w:hanging="72"/>
              <w:rPr>
                <w:rFonts w:cstheme="minorHAnsi"/>
              </w:rPr>
            </w:pPr>
            <w:r w:rsidRPr="00D80ACC">
              <w:rPr>
                <w:rFonts w:cstheme="minorHAnsi"/>
              </w:rPr>
              <w:t xml:space="preserve">Actuarial </w:t>
            </w:r>
            <w:r>
              <w:rPr>
                <w:rFonts w:cstheme="minorHAnsi"/>
              </w:rPr>
              <w:t>loss</w:t>
            </w:r>
            <w:r w:rsidRPr="00D80ACC">
              <w:rPr>
                <w:rFonts w:cstheme="minorHAnsi"/>
              </w:rPr>
              <w:t xml:space="preserve"> on retirement benefit obligation</w:t>
            </w:r>
          </w:p>
        </w:tc>
        <w:tc>
          <w:tcPr>
            <w:tcW w:w="516" w:type="pct"/>
            <w:vAlign w:val="bottom"/>
            <w:hideMark/>
          </w:tcPr>
          <w:p w14:paraId="16CE99F8"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w:t>
            </w:r>
          </w:p>
        </w:tc>
        <w:tc>
          <w:tcPr>
            <w:tcW w:w="516" w:type="pct"/>
            <w:vAlign w:val="bottom"/>
            <w:hideMark/>
          </w:tcPr>
          <w:p w14:paraId="0EF587ED"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w:t>
            </w:r>
          </w:p>
        </w:tc>
        <w:tc>
          <w:tcPr>
            <w:tcW w:w="516" w:type="pct"/>
            <w:vAlign w:val="bottom"/>
            <w:hideMark/>
          </w:tcPr>
          <w:p w14:paraId="7C6C57DA"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w:t>
            </w:r>
          </w:p>
        </w:tc>
        <w:tc>
          <w:tcPr>
            <w:tcW w:w="516" w:type="pct"/>
            <w:vAlign w:val="bottom"/>
            <w:hideMark/>
          </w:tcPr>
          <w:p w14:paraId="63732E58"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w:t>
            </w:r>
          </w:p>
        </w:tc>
        <w:tc>
          <w:tcPr>
            <w:tcW w:w="516" w:type="pct"/>
            <w:vAlign w:val="bottom"/>
            <w:hideMark/>
          </w:tcPr>
          <w:p w14:paraId="54C5D264"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(6.5)</w:t>
            </w:r>
          </w:p>
        </w:tc>
        <w:tc>
          <w:tcPr>
            <w:tcW w:w="354" w:type="pct"/>
            <w:vAlign w:val="bottom"/>
            <w:hideMark/>
          </w:tcPr>
          <w:p w14:paraId="442519CC"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(6.5)</w:t>
            </w:r>
          </w:p>
        </w:tc>
      </w:tr>
      <w:tr w:rsidR="00D75CA8" w:rsidRPr="00D80ACC" w14:paraId="63235A0F" w14:textId="77777777" w:rsidTr="00D75CA8">
        <w:tc>
          <w:tcPr>
            <w:tcW w:w="2066" w:type="pct"/>
            <w:vAlign w:val="bottom"/>
            <w:hideMark/>
          </w:tcPr>
          <w:p w14:paraId="796E64ED" w14:textId="77777777" w:rsidR="00D75CA8" w:rsidRPr="00D80ACC" w:rsidRDefault="00D75CA8" w:rsidP="00D75CA8">
            <w:pPr>
              <w:widowControl w:val="0"/>
              <w:autoSpaceDE w:val="0"/>
              <w:autoSpaceDN w:val="0"/>
              <w:adjustRightInd w:val="0"/>
              <w:spacing w:after="0" w:line="240" w:lineRule="auto"/>
              <w:ind w:left="216" w:hanging="72"/>
              <w:rPr>
                <w:rFonts w:cstheme="minorHAnsi"/>
              </w:rPr>
            </w:pPr>
            <w:r w:rsidRPr="00D80ACC">
              <w:rPr>
                <w:rFonts w:cstheme="minorHAnsi"/>
              </w:rPr>
              <w:t>Deferred income tax on actuarial loss on retirement benefit obligation</w:t>
            </w:r>
          </w:p>
        </w:tc>
        <w:tc>
          <w:tcPr>
            <w:tcW w:w="516" w:type="pct"/>
            <w:vAlign w:val="bottom"/>
            <w:hideMark/>
          </w:tcPr>
          <w:p w14:paraId="1B22D335"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w:t>
            </w:r>
          </w:p>
        </w:tc>
        <w:tc>
          <w:tcPr>
            <w:tcW w:w="516" w:type="pct"/>
            <w:vAlign w:val="bottom"/>
            <w:hideMark/>
          </w:tcPr>
          <w:p w14:paraId="220D5C84"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w:t>
            </w:r>
          </w:p>
        </w:tc>
        <w:tc>
          <w:tcPr>
            <w:tcW w:w="516" w:type="pct"/>
            <w:vAlign w:val="bottom"/>
            <w:hideMark/>
          </w:tcPr>
          <w:p w14:paraId="75A2F9A2"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w:t>
            </w:r>
          </w:p>
        </w:tc>
        <w:tc>
          <w:tcPr>
            <w:tcW w:w="516" w:type="pct"/>
            <w:vAlign w:val="bottom"/>
            <w:hideMark/>
          </w:tcPr>
          <w:p w14:paraId="084FB936"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w:t>
            </w:r>
          </w:p>
        </w:tc>
        <w:tc>
          <w:tcPr>
            <w:tcW w:w="516" w:type="pct"/>
            <w:vAlign w:val="bottom"/>
            <w:hideMark/>
          </w:tcPr>
          <w:p w14:paraId="7580FBBF"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1.7</w:t>
            </w:r>
          </w:p>
        </w:tc>
        <w:tc>
          <w:tcPr>
            <w:tcW w:w="354" w:type="pct"/>
            <w:vAlign w:val="bottom"/>
            <w:hideMark/>
          </w:tcPr>
          <w:p w14:paraId="7046B1E4"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1.7</w:t>
            </w:r>
          </w:p>
        </w:tc>
      </w:tr>
      <w:tr w:rsidR="00D75CA8" w:rsidRPr="00D80ACC" w14:paraId="21509F40" w14:textId="77777777" w:rsidTr="00D75CA8">
        <w:tc>
          <w:tcPr>
            <w:tcW w:w="2066" w:type="pct"/>
            <w:vAlign w:val="bottom"/>
          </w:tcPr>
          <w:p w14:paraId="5E42D062" w14:textId="77777777" w:rsidR="00D75CA8" w:rsidRPr="00D80ACC" w:rsidRDefault="00D75CA8" w:rsidP="00D75CA8">
            <w:pPr>
              <w:widowControl w:val="0"/>
              <w:autoSpaceDE w:val="0"/>
              <w:autoSpaceDN w:val="0"/>
              <w:adjustRightInd w:val="0"/>
              <w:spacing w:after="0" w:line="240" w:lineRule="auto"/>
              <w:ind w:left="216" w:hanging="72"/>
              <w:rPr>
                <w:rFonts w:cstheme="minorHAnsi"/>
              </w:rPr>
            </w:pPr>
            <w:r>
              <w:rPr>
                <w:rFonts w:cstheme="minorHAnsi"/>
              </w:rPr>
              <w:t>Minority shareholding equity investment</w:t>
            </w:r>
          </w:p>
        </w:tc>
        <w:tc>
          <w:tcPr>
            <w:tcW w:w="516" w:type="pct"/>
            <w:vAlign w:val="bottom"/>
          </w:tcPr>
          <w:p w14:paraId="44411EC3"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w:t>
            </w:r>
          </w:p>
        </w:tc>
        <w:tc>
          <w:tcPr>
            <w:tcW w:w="516" w:type="pct"/>
            <w:vAlign w:val="bottom"/>
          </w:tcPr>
          <w:p w14:paraId="1145EC8B"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w:t>
            </w:r>
          </w:p>
        </w:tc>
        <w:tc>
          <w:tcPr>
            <w:tcW w:w="516" w:type="pct"/>
            <w:vAlign w:val="bottom"/>
          </w:tcPr>
          <w:p w14:paraId="429051D5"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w:t>
            </w:r>
          </w:p>
        </w:tc>
        <w:tc>
          <w:tcPr>
            <w:tcW w:w="516" w:type="pct"/>
            <w:vAlign w:val="bottom"/>
          </w:tcPr>
          <w:p w14:paraId="35A04134"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w:t>
            </w:r>
          </w:p>
        </w:tc>
        <w:tc>
          <w:tcPr>
            <w:tcW w:w="516" w:type="pct"/>
            <w:vAlign w:val="bottom"/>
          </w:tcPr>
          <w:p w14:paraId="5FF24626"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(2.0)</w:t>
            </w:r>
          </w:p>
        </w:tc>
        <w:tc>
          <w:tcPr>
            <w:tcW w:w="354" w:type="pct"/>
            <w:vAlign w:val="bottom"/>
          </w:tcPr>
          <w:p w14:paraId="6C7A0CF9"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(2.0)</w:t>
            </w:r>
          </w:p>
        </w:tc>
      </w:tr>
      <w:tr w:rsidR="00D75CA8" w:rsidRPr="00D80ACC" w14:paraId="684244E5" w14:textId="77777777" w:rsidTr="00D75CA8">
        <w:tc>
          <w:tcPr>
            <w:tcW w:w="2066" w:type="pct"/>
            <w:tcBorders>
              <w:top w:val="single" w:sz="4" w:space="0" w:color="000000" w:themeColor="text1"/>
              <w:left w:val="nil"/>
              <w:bottom w:val="single" w:sz="4" w:space="0" w:color="000000" w:themeColor="text1"/>
              <w:right w:val="nil"/>
            </w:tcBorders>
            <w:vAlign w:val="bottom"/>
            <w:hideMark/>
          </w:tcPr>
          <w:p w14:paraId="2CFA1838"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 xml:space="preserve">Total other comprehensive </w:t>
            </w:r>
            <w:r>
              <w:rPr>
                <w:rFonts w:cstheme="minorHAnsi"/>
              </w:rPr>
              <w:t>expense</w:t>
            </w:r>
          </w:p>
        </w:tc>
        <w:tc>
          <w:tcPr>
            <w:tcW w:w="516" w:type="pct"/>
            <w:tcBorders>
              <w:top w:val="single" w:sz="4" w:space="0" w:color="000000" w:themeColor="text1"/>
              <w:left w:val="nil"/>
              <w:bottom w:val="single" w:sz="4" w:space="0" w:color="000000" w:themeColor="text1"/>
              <w:right w:val="nil"/>
            </w:tcBorders>
            <w:vAlign w:val="bottom"/>
            <w:hideMark/>
          </w:tcPr>
          <w:p w14:paraId="117FD824"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w:t>
            </w:r>
          </w:p>
        </w:tc>
        <w:tc>
          <w:tcPr>
            <w:tcW w:w="516" w:type="pct"/>
            <w:tcBorders>
              <w:top w:val="single" w:sz="4" w:space="0" w:color="000000" w:themeColor="text1"/>
              <w:left w:val="nil"/>
              <w:bottom w:val="single" w:sz="4" w:space="0" w:color="000000" w:themeColor="text1"/>
              <w:right w:val="nil"/>
            </w:tcBorders>
            <w:vAlign w:val="bottom"/>
            <w:hideMark/>
          </w:tcPr>
          <w:p w14:paraId="70938E9A"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w:t>
            </w:r>
          </w:p>
        </w:tc>
        <w:tc>
          <w:tcPr>
            <w:tcW w:w="516" w:type="pct"/>
            <w:tcBorders>
              <w:top w:val="single" w:sz="4" w:space="0" w:color="000000" w:themeColor="text1"/>
              <w:left w:val="nil"/>
              <w:bottom w:val="single" w:sz="4" w:space="0" w:color="000000" w:themeColor="text1"/>
              <w:right w:val="nil"/>
            </w:tcBorders>
            <w:vAlign w:val="bottom"/>
            <w:hideMark/>
          </w:tcPr>
          <w:p w14:paraId="67D2AC9E"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w:t>
            </w:r>
          </w:p>
        </w:tc>
        <w:tc>
          <w:tcPr>
            <w:tcW w:w="516" w:type="pct"/>
            <w:tcBorders>
              <w:top w:val="single" w:sz="4" w:space="0" w:color="000000" w:themeColor="text1"/>
              <w:left w:val="nil"/>
              <w:bottom w:val="single" w:sz="4" w:space="0" w:color="000000" w:themeColor="text1"/>
              <w:right w:val="nil"/>
            </w:tcBorders>
            <w:vAlign w:val="bottom"/>
            <w:hideMark/>
          </w:tcPr>
          <w:p w14:paraId="18352136"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w:t>
            </w:r>
          </w:p>
        </w:tc>
        <w:tc>
          <w:tcPr>
            <w:tcW w:w="516" w:type="pct"/>
            <w:tcBorders>
              <w:top w:val="single" w:sz="4" w:space="0" w:color="000000" w:themeColor="text1"/>
              <w:left w:val="nil"/>
              <w:bottom w:val="single" w:sz="4" w:space="0" w:color="000000" w:themeColor="text1"/>
              <w:right w:val="nil"/>
            </w:tcBorders>
            <w:vAlign w:val="bottom"/>
            <w:hideMark/>
          </w:tcPr>
          <w:p w14:paraId="4947D91A"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(6.8)</w:t>
            </w:r>
          </w:p>
        </w:tc>
        <w:tc>
          <w:tcPr>
            <w:tcW w:w="354" w:type="pct"/>
            <w:tcBorders>
              <w:top w:val="single" w:sz="4" w:space="0" w:color="000000" w:themeColor="text1"/>
              <w:left w:val="nil"/>
              <w:bottom w:val="single" w:sz="4" w:space="0" w:color="000000" w:themeColor="text1"/>
              <w:right w:val="nil"/>
            </w:tcBorders>
            <w:vAlign w:val="bottom"/>
            <w:hideMark/>
          </w:tcPr>
          <w:p w14:paraId="64609508" w14:textId="77777777" w:rsidR="00D75CA8" w:rsidRPr="0089211B" w:rsidRDefault="00D75CA8" w:rsidP="00D75CA8">
            <w:pPr>
              <w:widowControl w:val="0"/>
              <w:autoSpaceDE w:val="0"/>
              <w:autoSpaceDN w:val="0"/>
              <w:adjustRightInd w:val="0"/>
              <w:spacing w:after="0" w:line="240" w:lineRule="auto"/>
              <w:jc w:val="right"/>
              <w:rPr>
                <w:rFonts w:cstheme="minorHAnsi"/>
                <w:b/>
                <w:bCs/>
              </w:rPr>
            </w:pPr>
            <w:r w:rsidRPr="0089211B">
              <w:rPr>
                <w:rFonts w:cstheme="minorHAnsi"/>
                <w:b/>
                <w:bCs/>
              </w:rPr>
              <w:t>(6.8)</w:t>
            </w:r>
          </w:p>
        </w:tc>
      </w:tr>
      <w:tr w:rsidR="00D75CA8" w:rsidRPr="00D80ACC" w14:paraId="46D0D0D1" w14:textId="77777777" w:rsidTr="00D75CA8">
        <w:tc>
          <w:tcPr>
            <w:tcW w:w="2066" w:type="pct"/>
            <w:tcBorders>
              <w:top w:val="single" w:sz="4" w:space="0" w:color="000000" w:themeColor="text1"/>
              <w:left w:val="nil"/>
              <w:bottom w:val="single" w:sz="4" w:space="0" w:color="000000" w:themeColor="text1"/>
              <w:right w:val="nil"/>
            </w:tcBorders>
            <w:vAlign w:val="bottom"/>
            <w:hideMark/>
          </w:tcPr>
          <w:p w14:paraId="515A0219"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 xml:space="preserve">Total comprehensive </w:t>
            </w:r>
            <w:r>
              <w:rPr>
                <w:rFonts w:cstheme="minorHAnsi"/>
              </w:rPr>
              <w:t>expense</w:t>
            </w:r>
          </w:p>
        </w:tc>
        <w:tc>
          <w:tcPr>
            <w:tcW w:w="516" w:type="pct"/>
            <w:tcBorders>
              <w:top w:val="single" w:sz="4" w:space="0" w:color="000000" w:themeColor="text1"/>
              <w:left w:val="nil"/>
              <w:bottom w:val="single" w:sz="4" w:space="0" w:color="000000" w:themeColor="text1"/>
              <w:right w:val="nil"/>
            </w:tcBorders>
            <w:vAlign w:val="bottom"/>
            <w:hideMark/>
          </w:tcPr>
          <w:p w14:paraId="050F4B0F" w14:textId="77777777" w:rsidR="00D75CA8" w:rsidRPr="004021A6" w:rsidRDefault="00D75CA8" w:rsidP="00D75CA8">
            <w:pPr>
              <w:widowControl w:val="0"/>
              <w:autoSpaceDE w:val="0"/>
              <w:autoSpaceDN w:val="0"/>
              <w:adjustRightInd w:val="0"/>
              <w:spacing w:after="0" w:line="240" w:lineRule="auto"/>
              <w:jc w:val="right"/>
              <w:rPr>
                <w:rFonts w:cstheme="minorHAnsi"/>
              </w:rPr>
            </w:pPr>
            <w:r w:rsidRPr="004021A6">
              <w:rPr>
                <w:rFonts w:cstheme="minorHAnsi"/>
                <w:b/>
                <w:bCs/>
              </w:rPr>
              <w:t>—</w:t>
            </w:r>
          </w:p>
        </w:tc>
        <w:tc>
          <w:tcPr>
            <w:tcW w:w="516" w:type="pct"/>
            <w:tcBorders>
              <w:top w:val="single" w:sz="4" w:space="0" w:color="000000" w:themeColor="text1"/>
              <w:left w:val="nil"/>
              <w:bottom w:val="single" w:sz="4" w:space="0" w:color="000000" w:themeColor="text1"/>
              <w:right w:val="nil"/>
            </w:tcBorders>
            <w:vAlign w:val="bottom"/>
            <w:hideMark/>
          </w:tcPr>
          <w:p w14:paraId="36BF26FC" w14:textId="77777777" w:rsidR="00D75CA8" w:rsidRPr="004021A6" w:rsidRDefault="00D75CA8" w:rsidP="00D75CA8">
            <w:pPr>
              <w:widowControl w:val="0"/>
              <w:autoSpaceDE w:val="0"/>
              <w:autoSpaceDN w:val="0"/>
              <w:adjustRightInd w:val="0"/>
              <w:spacing w:after="0" w:line="240" w:lineRule="auto"/>
              <w:jc w:val="right"/>
              <w:rPr>
                <w:rFonts w:cstheme="minorHAnsi"/>
              </w:rPr>
            </w:pPr>
            <w:r w:rsidRPr="004021A6">
              <w:rPr>
                <w:rFonts w:cstheme="minorHAnsi"/>
                <w:b/>
                <w:bCs/>
              </w:rPr>
              <w:t>—</w:t>
            </w:r>
          </w:p>
        </w:tc>
        <w:tc>
          <w:tcPr>
            <w:tcW w:w="516" w:type="pct"/>
            <w:tcBorders>
              <w:top w:val="single" w:sz="4" w:space="0" w:color="000000" w:themeColor="text1"/>
              <w:left w:val="nil"/>
              <w:bottom w:val="single" w:sz="4" w:space="0" w:color="000000" w:themeColor="text1"/>
              <w:right w:val="nil"/>
            </w:tcBorders>
            <w:vAlign w:val="bottom"/>
            <w:hideMark/>
          </w:tcPr>
          <w:p w14:paraId="5E4775A6" w14:textId="77777777" w:rsidR="00D75CA8" w:rsidRPr="004021A6" w:rsidRDefault="00D75CA8" w:rsidP="00D75CA8">
            <w:pPr>
              <w:widowControl w:val="0"/>
              <w:autoSpaceDE w:val="0"/>
              <w:autoSpaceDN w:val="0"/>
              <w:adjustRightInd w:val="0"/>
              <w:spacing w:after="0" w:line="240" w:lineRule="auto"/>
              <w:jc w:val="right"/>
              <w:rPr>
                <w:rFonts w:cstheme="minorHAnsi"/>
              </w:rPr>
            </w:pPr>
            <w:r w:rsidRPr="004021A6">
              <w:rPr>
                <w:rFonts w:cstheme="minorHAnsi"/>
                <w:b/>
                <w:bCs/>
              </w:rPr>
              <w:t>—</w:t>
            </w:r>
          </w:p>
        </w:tc>
        <w:tc>
          <w:tcPr>
            <w:tcW w:w="516" w:type="pct"/>
            <w:tcBorders>
              <w:top w:val="single" w:sz="4" w:space="0" w:color="000000" w:themeColor="text1"/>
              <w:left w:val="nil"/>
              <w:bottom w:val="single" w:sz="4" w:space="0" w:color="000000" w:themeColor="text1"/>
              <w:right w:val="nil"/>
            </w:tcBorders>
            <w:vAlign w:val="bottom"/>
            <w:hideMark/>
          </w:tcPr>
          <w:p w14:paraId="767954EB" w14:textId="77777777" w:rsidR="00D75CA8" w:rsidRPr="004021A6" w:rsidRDefault="00D75CA8" w:rsidP="00D75CA8">
            <w:pPr>
              <w:widowControl w:val="0"/>
              <w:autoSpaceDE w:val="0"/>
              <w:autoSpaceDN w:val="0"/>
              <w:adjustRightInd w:val="0"/>
              <w:spacing w:after="0" w:line="240" w:lineRule="auto"/>
              <w:jc w:val="right"/>
              <w:rPr>
                <w:rFonts w:cstheme="minorHAnsi"/>
              </w:rPr>
            </w:pPr>
            <w:r w:rsidRPr="004021A6">
              <w:rPr>
                <w:rFonts w:cstheme="minorHAnsi"/>
                <w:b/>
                <w:bCs/>
              </w:rPr>
              <w:t>—</w:t>
            </w:r>
          </w:p>
        </w:tc>
        <w:tc>
          <w:tcPr>
            <w:tcW w:w="516" w:type="pct"/>
            <w:tcBorders>
              <w:top w:val="single" w:sz="4" w:space="0" w:color="000000" w:themeColor="text1"/>
              <w:left w:val="nil"/>
              <w:bottom w:val="single" w:sz="4" w:space="0" w:color="000000" w:themeColor="text1"/>
              <w:right w:val="nil"/>
            </w:tcBorders>
            <w:vAlign w:val="bottom"/>
            <w:hideMark/>
          </w:tcPr>
          <w:p w14:paraId="27BB9FA1" w14:textId="77777777" w:rsidR="00D75CA8" w:rsidRPr="004021A6" w:rsidRDefault="00D75CA8" w:rsidP="00D75CA8">
            <w:pPr>
              <w:widowControl w:val="0"/>
              <w:autoSpaceDE w:val="0"/>
              <w:autoSpaceDN w:val="0"/>
              <w:adjustRightInd w:val="0"/>
              <w:spacing w:after="0" w:line="240" w:lineRule="auto"/>
              <w:jc w:val="right"/>
              <w:rPr>
                <w:rFonts w:cstheme="minorHAnsi"/>
                <w:b/>
                <w:bCs/>
              </w:rPr>
            </w:pPr>
            <w:r w:rsidRPr="004021A6">
              <w:rPr>
                <w:rFonts w:cstheme="minorHAnsi"/>
                <w:b/>
                <w:bCs/>
              </w:rPr>
              <w:t>(5.6)</w:t>
            </w:r>
          </w:p>
        </w:tc>
        <w:tc>
          <w:tcPr>
            <w:tcW w:w="354" w:type="pct"/>
            <w:tcBorders>
              <w:top w:val="single" w:sz="4" w:space="0" w:color="000000" w:themeColor="text1"/>
              <w:left w:val="nil"/>
              <w:bottom w:val="single" w:sz="4" w:space="0" w:color="000000" w:themeColor="text1"/>
              <w:right w:val="nil"/>
            </w:tcBorders>
            <w:vAlign w:val="bottom"/>
            <w:hideMark/>
          </w:tcPr>
          <w:p w14:paraId="63E79876" w14:textId="77777777" w:rsidR="00D75CA8" w:rsidRPr="004021A6" w:rsidRDefault="00D75CA8" w:rsidP="00D75CA8">
            <w:pPr>
              <w:widowControl w:val="0"/>
              <w:autoSpaceDE w:val="0"/>
              <w:autoSpaceDN w:val="0"/>
              <w:adjustRightInd w:val="0"/>
              <w:spacing w:after="0" w:line="240" w:lineRule="auto"/>
              <w:jc w:val="right"/>
              <w:rPr>
                <w:rFonts w:cstheme="minorHAnsi"/>
              </w:rPr>
            </w:pPr>
            <w:r w:rsidRPr="004021A6">
              <w:rPr>
                <w:rFonts w:cstheme="minorHAnsi"/>
                <w:b/>
                <w:bCs/>
              </w:rPr>
              <w:t>(5.6)</w:t>
            </w:r>
          </w:p>
        </w:tc>
      </w:tr>
      <w:tr w:rsidR="00D75CA8" w:rsidRPr="00D80ACC" w14:paraId="00826409" w14:textId="77777777" w:rsidTr="00D75CA8">
        <w:tc>
          <w:tcPr>
            <w:tcW w:w="2066" w:type="pct"/>
            <w:tcBorders>
              <w:top w:val="single" w:sz="4" w:space="0" w:color="000000" w:themeColor="text1"/>
              <w:left w:val="nil"/>
              <w:bottom w:val="nil"/>
              <w:right w:val="nil"/>
            </w:tcBorders>
            <w:vAlign w:val="bottom"/>
            <w:hideMark/>
          </w:tcPr>
          <w:p w14:paraId="53E7B59F"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t>Transactions with owners</w:t>
            </w:r>
          </w:p>
        </w:tc>
        <w:tc>
          <w:tcPr>
            <w:tcW w:w="516" w:type="pct"/>
            <w:tcBorders>
              <w:top w:val="single" w:sz="4" w:space="0" w:color="000000" w:themeColor="text1"/>
              <w:left w:val="nil"/>
              <w:bottom w:val="nil"/>
              <w:right w:val="nil"/>
            </w:tcBorders>
            <w:vAlign w:val="bottom"/>
          </w:tcPr>
          <w:p w14:paraId="7B2F6A7A" w14:textId="77777777" w:rsidR="00D75CA8" w:rsidRPr="009379F0" w:rsidRDefault="00D75CA8" w:rsidP="00D75CA8">
            <w:pPr>
              <w:widowControl w:val="0"/>
              <w:autoSpaceDE w:val="0"/>
              <w:autoSpaceDN w:val="0"/>
              <w:adjustRightInd w:val="0"/>
              <w:spacing w:after="0" w:line="240" w:lineRule="auto"/>
              <w:jc w:val="right"/>
              <w:rPr>
                <w:rFonts w:cstheme="minorHAnsi"/>
                <w:highlight w:val="yellow"/>
              </w:rPr>
            </w:pPr>
          </w:p>
        </w:tc>
        <w:tc>
          <w:tcPr>
            <w:tcW w:w="516" w:type="pct"/>
            <w:tcBorders>
              <w:top w:val="single" w:sz="4" w:space="0" w:color="000000" w:themeColor="text1"/>
              <w:left w:val="nil"/>
              <w:bottom w:val="nil"/>
              <w:right w:val="nil"/>
            </w:tcBorders>
            <w:vAlign w:val="bottom"/>
          </w:tcPr>
          <w:p w14:paraId="6514C2BA" w14:textId="77777777" w:rsidR="00D75CA8" w:rsidRPr="009379F0" w:rsidRDefault="00D75CA8" w:rsidP="00D75CA8">
            <w:pPr>
              <w:widowControl w:val="0"/>
              <w:autoSpaceDE w:val="0"/>
              <w:autoSpaceDN w:val="0"/>
              <w:adjustRightInd w:val="0"/>
              <w:spacing w:after="0" w:line="240" w:lineRule="auto"/>
              <w:jc w:val="right"/>
              <w:rPr>
                <w:rFonts w:cstheme="minorHAnsi"/>
                <w:highlight w:val="yellow"/>
              </w:rPr>
            </w:pPr>
          </w:p>
        </w:tc>
        <w:tc>
          <w:tcPr>
            <w:tcW w:w="516" w:type="pct"/>
            <w:tcBorders>
              <w:top w:val="single" w:sz="4" w:space="0" w:color="000000" w:themeColor="text1"/>
              <w:left w:val="nil"/>
              <w:bottom w:val="nil"/>
              <w:right w:val="nil"/>
            </w:tcBorders>
            <w:vAlign w:val="bottom"/>
          </w:tcPr>
          <w:p w14:paraId="687F55E0" w14:textId="77777777" w:rsidR="00D75CA8" w:rsidRPr="009379F0" w:rsidRDefault="00D75CA8" w:rsidP="00D75CA8">
            <w:pPr>
              <w:widowControl w:val="0"/>
              <w:autoSpaceDE w:val="0"/>
              <w:autoSpaceDN w:val="0"/>
              <w:adjustRightInd w:val="0"/>
              <w:spacing w:after="0" w:line="240" w:lineRule="auto"/>
              <w:jc w:val="right"/>
              <w:rPr>
                <w:rFonts w:cstheme="minorHAnsi"/>
                <w:highlight w:val="yellow"/>
              </w:rPr>
            </w:pPr>
          </w:p>
        </w:tc>
        <w:tc>
          <w:tcPr>
            <w:tcW w:w="516" w:type="pct"/>
            <w:tcBorders>
              <w:top w:val="single" w:sz="4" w:space="0" w:color="000000" w:themeColor="text1"/>
              <w:left w:val="nil"/>
              <w:bottom w:val="nil"/>
              <w:right w:val="nil"/>
            </w:tcBorders>
            <w:vAlign w:val="bottom"/>
          </w:tcPr>
          <w:p w14:paraId="780E5953" w14:textId="77777777" w:rsidR="00D75CA8" w:rsidRPr="009379F0" w:rsidRDefault="00D75CA8" w:rsidP="00D75CA8">
            <w:pPr>
              <w:widowControl w:val="0"/>
              <w:autoSpaceDE w:val="0"/>
              <w:autoSpaceDN w:val="0"/>
              <w:adjustRightInd w:val="0"/>
              <w:spacing w:after="0" w:line="240" w:lineRule="auto"/>
              <w:jc w:val="right"/>
              <w:rPr>
                <w:rFonts w:cstheme="minorHAnsi"/>
                <w:highlight w:val="yellow"/>
              </w:rPr>
            </w:pPr>
          </w:p>
        </w:tc>
        <w:tc>
          <w:tcPr>
            <w:tcW w:w="516" w:type="pct"/>
            <w:tcBorders>
              <w:top w:val="single" w:sz="4" w:space="0" w:color="000000" w:themeColor="text1"/>
              <w:left w:val="nil"/>
              <w:bottom w:val="nil"/>
              <w:right w:val="nil"/>
            </w:tcBorders>
            <w:vAlign w:val="bottom"/>
          </w:tcPr>
          <w:p w14:paraId="5985B505" w14:textId="77777777" w:rsidR="00D75CA8" w:rsidRPr="009379F0" w:rsidRDefault="00D75CA8" w:rsidP="00D75CA8">
            <w:pPr>
              <w:widowControl w:val="0"/>
              <w:autoSpaceDE w:val="0"/>
              <w:autoSpaceDN w:val="0"/>
              <w:adjustRightInd w:val="0"/>
              <w:spacing w:after="0" w:line="240" w:lineRule="auto"/>
              <w:jc w:val="right"/>
              <w:rPr>
                <w:rFonts w:cstheme="minorHAnsi"/>
                <w:highlight w:val="yellow"/>
              </w:rPr>
            </w:pPr>
          </w:p>
        </w:tc>
        <w:tc>
          <w:tcPr>
            <w:tcW w:w="354" w:type="pct"/>
            <w:tcBorders>
              <w:top w:val="single" w:sz="4" w:space="0" w:color="000000" w:themeColor="text1"/>
              <w:left w:val="nil"/>
              <w:bottom w:val="nil"/>
              <w:right w:val="nil"/>
            </w:tcBorders>
            <w:vAlign w:val="bottom"/>
          </w:tcPr>
          <w:p w14:paraId="797E61FF" w14:textId="77777777" w:rsidR="00D75CA8" w:rsidRPr="009379F0" w:rsidRDefault="00D75CA8" w:rsidP="00D75CA8">
            <w:pPr>
              <w:widowControl w:val="0"/>
              <w:autoSpaceDE w:val="0"/>
              <w:autoSpaceDN w:val="0"/>
              <w:adjustRightInd w:val="0"/>
              <w:spacing w:after="0" w:line="240" w:lineRule="auto"/>
              <w:jc w:val="right"/>
              <w:rPr>
                <w:rFonts w:cstheme="minorHAnsi"/>
                <w:highlight w:val="yellow"/>
              </w:rPr>
            </w:pPr>
          </w:p>
        </w:tc>
      </w:tr>
      <w:tr w:rsidR="00D75CA8" w:rsidRPr="00D80ACC" w14:paraId="78A2291E" w14:textId="77777777" w:rsidTr="00D75CA8">
        <w:tc>
          <w:tcPr>
            <w:tcW w:w="2066" w:type="pct"/>
            <w:vAlign w:val="bottom"/>
            <w:hideMark/>
          </w:tcPr>
          <w:p w14:paraId="25444C11" w14:textId="77777777" w:rsidR="00D75CA8" w:rsidRPr="00D80ACC" w:rsidRDefault="00D75CA8" w:rsidP="00D75CA8">
            <w:pPr>
              <w:widowControl w:val="0"/>
              <w:autoSpaceDE w:val="0"/>
              <w:autoSpaceDN w:val="0"/>
              <w:adjustRightInd w:val="0"/>
              <w:spacing w:after="0" w:line="240" w:lineRule="auto"/>
              <w:rPr>
                <w:rFonts w:cstheme="minorHAnsi"/>
              </w:rPr>
            </w:pPr>
            <w:r>
              <w:rPr>
                <w:rFonts w:cstheme="minorHAnsi"/>
              </w:rPr>
              <w:t>Transfer of depreciation of freehold properties</w:t>
            </w:r>
          </w:p>
        </w:tc>
        <w:tc>
          <w:tcPr>
            <w:tcW w:w="516" w:type="pct"/>
            <w:shd w:val="clear" w:color="auto" w:fill="auto"/>
            <w:vAlign w:val="bottom"/>
            <w:hideMark/>
          </w:tcPr>
          <w:p w14:paraId="4826F4C1" w14:textId="77777777" w:rsidR="00D75CA8" w:rsidRPr="004021A6" w:rsidRDefault="00D75CA8" w:rsidP="00D75CA8">
            <w:pPr>
              <w:widowControl w:val="0"/>
              <w:autoSpaceDE w:val="0"/>
              <w:autoSpaceDN w:val="0"/>
              <w:adjustRightInd w:val="0"/>
              <w:spacing w:after="0" w:line="240" w:lineRule="auto"/>
              <w:jc w:val="right"/>
              <w:rPr>
                <w:rFonts w:cstheme="minorHAnsi"/>
                <w:b/>
                <w:bCs/>
              </w:rPr>
            </w:pPr>
            <w:r w:rsidRPr="004021A6">
              <w:rPr>
                <w:rFonts w:cstheme="minorHAnsi"/>
                <w:b/>
                <w:bCs/>
              </w:rPr>
              <w:t>—</w:t>
            </w:r>
          </w:p>
        </w:tc>
        <w:tc>
          <w:tcPr>
            <w:tcW w:w="516" w:type="pct"/>
            <w:shd w:val="clear" w:color="auto" w:fill="auto"/>
            <w:vAlign w:val="bottom"/>
            <w:hideMark/>
          </w:tcPr>
          <w:p w14:paraId="19886785" w14:textId="77777777" w:rsidR="00D75CA8" w:rsidRPr="004021A6" w:rsidRDefault="00D75CA8" w:rsidP="00D75CA8">
            <w:pPr>
              <w:widowControl w:val="0"/>
              <w:autoSpaceDE w:val="0"/>
              <w:autoSpaceDN w:val="0"/>
              <w:adjustRightInd w:val="0"/>
              <w:spacing w:after="0" w:line="240" w:lineRule="auto"/>
              <w:jc w:val="right"/>
              <w:rPr>
                <w:rFonts w:cstheme="minorHAnsi"/>
                <w:b/>
                <w:bCs/>
              </w:rPr>
            </w:pPr>
            <w:r w:rsidRPr="004021A6">
              <w:rPr>
                <w:rFonts w:cstheme="minorHAnsi"/>
                <w:b/>
                <w:bCs/>
              </w:rPr>
              <w:t>—</w:t>
            </w:r>
          </w:p>
        </w:tc>
        <w:tc>
          <w:tcPr>
            <w:tcW w:w="516" w:type="pct"/>
            <w:shd w:val="clear" w:color="auto" w:fill="auto"/>
            <w:vAlign w:val="bottom"/>
            <w:hideMark/>
          </w:tcPr>
          <w:p w14:paraId="20F81B8E" w14:textId="77777777" w:rsidR="00D75CA8" w:rsidRPr="004021A6" w:rsidRDefault="00D75CA8" w:rsidP="00D75CA8">
            <w:pPr>
              <w:widowControl w:val="0"/>
              <w:autoSpaceDE w:val="0"/>
              <w:autoSpaceDN w:val="0"/>
              <w:adjustRightInd w:val="0"/>
              <w:spacing w:after="0" w:line="240" w:lineRule="auto"/>
              <w:jc w:val="right"/>
              <w:rPr>
                <w:rFonts w:cstheme="minorHAnsi"/>
                <w:b/>
                <w:bCs/>
              </w:rPr>
            </w:pPr>
            <w:r w:rsidRPr="004021A6">
              <w:rPr>
                <w:rFonts w:cstheme="minorHAnsi"/>
                <w:b/>
                <w:bCs/>
              </w:rPr>
              <w:t>—</w:t>
            </w:r>
          </w:p>
        </w:tc>
        <w:tc>
          <w:tcPr>
            <w:tcW w:w="516" w:type="pct"/>
            <w:shd w:val="clear" w:color="auto" w:fill="auto"/>
            <w:vAlign w:val="bottom"/>
            <w:hideMark/>
          </w:tcPr>
          <w:p w14:paraId="6945DFF0" w14:textId="77777777" w:rsidR="00D75CA8" w:rsidRPr="004021A6" w:rsidRDefault="00D75CA8" w:rsidP="00D75CA8">
            <w:pPr>
              <w:widowControl w:val="0"/>
              <w:autoSpaceDE w:val="0"/>
              <w:autoSpaceDN w:val="0"/>
              <w:adjustRightInd w:val="0"/>
              <w:spacing w:after="0" w:line="240" w:lineRule="auto"/>
              <w:jc w:val="right"/>
              <w:rPr>
                <w:rFonts w:cstheme="minorHAnsi"/>
                <w:b/>
                <w:bCs/>
              </w:rPr>
            </w:pPr>
            <w:r w:rsidRPr="004021A6">
              <w:rPr>
                <w:rFonts w:cstheme="minorHAnsi"/>
                <w:b/>
                <w:bCs/>
              </w:rPr>
              <w:t>(0.1)</w:t>
            </w:r>
          </w:p>
        </w:tc>
        <w:tc>
          <w:tcPr>
            <w:tcW w:w="516" w:type="pct"/>
            <w:shd w:val="clear" w:color="auto" w:fill="auto"/>
            <w:vAlign w:val="bottom"/>
            <w:hideMark/>
          </w:tcPr>
          <w:p w14:paraId="38ACF3B9" w14:textId="77777777" w:rsidR="00D75CA8" w:rsidRPr="004021A6" w:rsidRDefault="00D75CA8" w:rsidP="00D75CA8">
            <w:pPr>
              <w:widowControl w:val="0"/>
              <w:autoSpaceDE w:val="0"/>
              <w:autoSpaceDN w:val="0"/>
              <w:adjustRightInd w:val="0"/>
              <w:spacing w:after="0" w:line="240" w:lineRule="auto"/>
              <w:jc w:val="right"/>
              <w:rPr>
                <w:rFonts w:cstheme="minorHAnsi"/>
                <w:b/>
                <w:bCs/>
              </w:rPr>
            </w:pPr>
            <w:r w:rsidRPr="004021A6">
              <w:rPr>
                <w:rFonts w:cstheme="minorHAnsi"/>
                <w:b/>
                <w:bCs/>
              </w:rPr>
              <w:t>0.1</w:t>
            </w:r>
          </w:p>
        </w:tc>
        <w:tc>
          <w:tcPr>
            <w:tcW w:w="354" w:type="pct"/>
            <w:shd w:val="clear" w:color="auto" w:fill="auto"/>
            <w:vAlign w:val="bottom"/>
            <w:hideMark/>
          </w:tcPr>
          <w:p w14:paraId="5E0ECB82" w14:textId="77777777" w:rsidR="00D75CA8" w:rsidRPr="004021A6" w:rsidRDefault="00D75CA8" w:rsidP="00D75CA8">
            <w:pPr>
              <w:widowControl w:val="0"/>
              <w:autoSpaceDE w:val="0"/>
              <w:autoSpaceDN w:val="0"/>
              <w:adjustRightInd w:val="0"/>
              <w:spacing w:after="0" w:line="240" w:lineRule="auto"/>
              <w:jc w:val="right"/>
              <w:rPr>
                <w:rFonts w:cstheme="minorHAnsi"/>
                <w:b/>
                <w:bCs/>
              </w:rPr>
            </w:pPr>
            <w:r w:rsidRPr="004021A6">
              <w:rPr>
                <w:rFonts w:cstheme="minorHAnsi"/>
                <w:b/>
                <w:bCs/>
              </w:rPr>
              <w:t>—</w:t>
            </w:r>
          </w:p>
        </w:tc>
      </w:tr>
      <w:tr w:rsidR="00D75CA8" w:rsidRPr="00D80ACC" w14:paraId="260BF769" w14:textId="77777777" w:rsidTr="00D75CA8">
        <w:tc>
          <w:tcPr>
            <w:tcW w:w="2066" w:type="pct"/>
            <w:vAlign w:val="bottom"/>
            <w:hideMark/>
          </w:tcPr>
          <w:p w14:paraId="00105D83"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Share-based payment credit</w:t>
            </w:r>
          </w:p>
        </w:tc>
        <w:tc>
          <w:tcPr>
            <w:tcW w:w="516" w:type="pct"/>
            <w:shd w:val="clear" w:color="auto" w:fill="auto"/>
            <w:vAlign w:val="bottom"/>
            <w:hideMark/>
          </w:tcPr>
          <w:p w14:paraId="0EE01693" w14:textId="77777777" w:rsidR="00D75CA8" w:rsidRPr="004021A6" w:rsidRDefault="00D75CA8" w:rsidP="00D75CA8">
            <w:pPr>
              <w:widowControl w:val="0"/>
              <w:autoSpaceDE w:val="0"/>
              <w:autoSpaceDN w:val="0"/>
              <w:adjustRightInd w:val="0"/>
              <w:spacing w:after="0" w:line="240" w:lineRule="auto"/>
              <w:jc w:val="right"/>
              <w:rPr>
                <w:rFonts w:cstheme="minorHAnsi"/>
                <w:b/>
                <w:bCs/>
              </w:rPr>
            </w:pPr>
            <w:r w:rsidRPr="004021A6">
              <w:rPr>
                <w:rFonts w:cstheme="minorHAnsi"/>
                <w:b/>
                <w:bCs/>
              </w:rPr>
              <w:t>—</w:t>
            </w:r>
          </w:p>
        </w:tc>
        <w:tc>
          <w:tcPr>
            <w:tcW w:w="516" w:type="pct"/>
            <w:shd w:val="clear" w:color="auto" w:fill="auto"/>
            <w:vAlign w:val="bottom"/>
            <w:hideMark/>
          </w:tcPr>
          <w:p w14:paraId="45CED0C8" w14:textId="77777777" w:rsidR="00D75CA8" w:rsidRPr="004021A6" w:rsidRDefault="00D75CA8" w:rsidP="00D75CA8">
            <w:pPr>
              <w:widowControl w:val="0"/>
              <w:autoSpaceDE w:val="0"/>
              <w:autoSpaceDN w:val="0"/>
              <w:adjustRightInd w:val="0"/>
              <w:spacing w:after="0" w:line="240" w:lineRule="auto"/>
              <w:jc w:val="right"/>
              <w:rPr>
                <w:rFonts w:cstheme="minorHAnsi"/>
                <w:b/>
                <w:bCs/>
              </w:rPr>
            </w:pPr>
            <w:r w:rsidRPr="004021A6">
              <w:rPr>
                <w:rFonts w:cstheme="minorHAnsi"/>
                <w:b/>
                <w:bCs/>
              </w:rPr>
              <w:t>—</w:t>
            </w:r>
          </w:p>
        </w:tc>
        <w:tc>
          <w:tcPr>
            <w:tcW w:w="516" w:type="pct"/>
            <w:shd w:val="clear" w:color="auto" w:fill="auto"/>
            <w:vAlign w:val="bottom"/>
            <w:hideMark/>
          </w:tcPr>
          <w:p w14:paraId="2A2C65D0" w14:textId="77777777" w:rsidR="00D75CA8" w:rsidRPr="004021A6" w:rsidRDefault="00D75CA8" w:rsidP="00D75CA8">
            <w:pPr>
              <w:widowControl w:val="0"/>
              <w:autoSpaceDE w:val="0"/>
              <w:autoSpaceDN w:val="0"/>
              <w:adjustRightInd w:val="0"/>
              <w:spacing w:after="0" w:line="240" w:lineRule="auto"/>
              <w:jc w:val="right"/>
              <w:rPr>
                <w:rFonts w:cstheme="minorHAnsi"/>
                <w:b/>
                <w:bCs/>
              </w:rPr>
            </w:pPr>
            <w:r w:rsidRPr="004021A6">
              <w:rPr>
                <w:rFonts w:cstheme="minorHAnsi"/>
                <w:b/>
                <w:bCs/>
              </w:rPr>
              <w:t>—</w:t>
            </w:r>
          </w:p>
        </w:tc>
        <w:tc>
          <w:tcPr>
            <w:tcW w:w="516" w:type="pct"/>
            <w:shd w:val="clear" w:color="auto" w:fill="auto"/>
            <w:vAlign w:val="bottom"/>
            <w:hideMark/>
          </w:tcPr>
          <w:p w14:paraId="044AA612" w14:textId="77777777" w:rsidR="00D75CA8" w:rsidRPr="004021A6" w:rsidRDefault="00D75CA8" w:rsidP="00D75CA8">
            <w:pPr>
              <w:widowControl w:val="0"/>
              <w:autoSpaceDE w:val="0"/>
              <w:autoSpaceDN w:val="0"/>
              <w:adjustRightInd w:val="0"/>
              <w:spacing w:after="0" w:line="240" w:lineRule="auto"/>
              <w:jc w:val="right"/>
              <w:rPr>
                <w:rFonts w:cstheme="minorHAnsi"/>
                <w:b/>
                <w:bCs/>
              </w:rPr>
            </w:pPr>
            <w:r w:rsidRPr="004021A6">
              <w:rPr>
                <w:rFonts w:cstheme="minorHAnsi"/>
                <w:b/>
                <w:bCs/>
              </w:rPr>
              <w:t>—</w:t>
            </w:r>
          </w:p>
        </w:tc>
        <w:tc>
          <w:tcPr>
            <w:tcW w:w="516" w:type="pct"/>
            <w:shd w:val="clear" w:color="auto" w:fill="auto"/>
            <w:vAlign w:val="bottom"/>
            <w:hideMark/>
          </w:tcPr>
          <w:p w14:paraId="3ED1BB49" w14:textId="77777777" w:rsidR="00D75CA8" w:rsidRPr="004021A6" w:rsidRDefault="00D75CA8" w:rsidP="00D75CA8">
            <w:pPr>
              <w:widowControl w:val="0"/>
              <w:autoSpaceDE w:val="0"/>
              <w:autoSpaceDN w:val="0"/>
              <w:adjustRightInd w:val="0"/>
              <w:spacing w:after="0" w:line="240" w:lineRule="auto"/>
              <w:jc w:val="right"/>
              <w:rPr>
                <w:rFonts w:cstheme="minorHAnsi"/>
                <w:b/>
                <w:bCs/>
              </w:rPr>
            </w:pPr>
            <w:r w:rsidRPr="004021A6">
              <w:rPr>
                <w:rFonts w:cstheme="minorHAnsi"/>
                <w:b/>
                <w:bCs/>
              </w:rPr>
              <w:t>0.4</w:t>
            </w:r>
          </w:p>
        </w:tc>
        <w:tc>
          <w:tcPr>
            <w:tcW w:w="354" w:type="pct"/>
            <w:shd w:val="clear" w:color="auto" w:fill="auto"/>
            <w:vAlign w:val="bottom"/>
            <w:hideMark/>
          </w:tcPr>
          <w:p w14:paraId="0F0AA295" w14:textId="77777777" w:rsidR="00D75CA8" w:rsidRPr="004021A6" w:rsidRDefault="00D75CA8" w:rsidP="00D75CA8">
            <w:pPr>
              <w:widowControl w:val="0"/>
              <w:autoSpaceDE w:val="0"/>
              <w:autoSpaceDN w:val="0"/>
              <w:adjustRightInd w:val="0"/>
              <w:spacing w:after="0" w:line="240" w:lineRule="auto"/>
              <w:jc w:val="right"/>
              <w:rPr>
                <w:rFonts w:cstheme="minorHAnsi"/>
                <w:b/>
                <w:bCs/>
              </w:rPr>
            </w:pPr>
            <w:r w:rsidRPr="004021A6">
              <w:rPr>
                <w:rFonts w:cstheme="minorHAnsi"/>
                <w:b/>
                <w:bCs/>
              </w:rPr>
              <w:t>0.4</w:t>
            </w:r>
          </w:p>
        </w:tc>
      </w:tr>
      <w:tr w:rsidR="00D75CA8" w:rsidRPr="00D80ACC" w14:paraId="475AA613" w14:textId="77777777" w:rsidTr="00D75CA8">
        <w:tc>
          <w:tcPr>
            <w:tcW w:w="2066" w:type="pct"/>
            <w:vAlign w:val="bottom"/>
            <w:hideMark/>
          </w:tcPr>
          <w:p w14:paraId="341F4359"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Shares acquired by ESOT</w:t>
            </w:r>
          </w:p>
        </w:tc>
        <w:tc>
          <w:tcPr>
            <w:tcW w:w="516" w:type="pct"/>
            <w:shd w:val="clear" w:color="auto" w:fill="auto"/>
            <w:vAlign w:val="bottom"/>
            <w:hideMark/>
          </w:tcPr>
          <w:p w14:paraId="2E677CC2" w14:textId="77777777" w:rsidR="00D75CA8" w:rsidRPr="004021A6" w:rsidRDefault="00D75CA8" w:rsidP="00D75CA8">
            <w:pPr>
              <w:widowControl w:val="0"/>
              <w:autoSpaceDE w:val="0"/>
              <w:autoSpaceDN w:val="0"/>
              <w:adjustRightInd w:val="0"/>
              <w:spacing w:after="0" w:line="240" w:lineRule="auto"/>
              <w:jc w:val="right"/>
              <w:rPr>
                <w:rFonts w:cstheme="minorHAnsi"/>
                <w:b/>
                <w:bCs/>
              </w:rPr>
            </w:pPr>
            <w:r w:rsidRPr="004021A6">
              <w:rPr>
                <w:rFonts w:cstheme="minorHAnsi"/>
                <w:b/>
                <w:bCs/>
              </w:rPr>
              <w:t>—</w:t>
            </w:r>
          </w:p>
        </w:tc>
        <w:tc>
          <w:tcPr>
            <w:tcW w:w="516" w:type="pct"/>
            <w:shd w:val="clear" w:color="auto" w:fill="auto"/>
            <w:vAlign w:val="bottom"/>
            <w:hideMark/>
          </w:tcPr>
          <w:p w14:paraId="5329E6A2" w14:textId="77777777" w:rsidR="00D75CA8" w:rsidRPr="004021A6" w:rsidRDefault="00D75CA8" w:rsidP="00D75CA8">
            <w:pPr>
              <w:widowControl w:val="0"/>
              <w:autoSpaceDE w:val="0"/>
              <w:autoSpaceDN w:val="0"/>
              <w:adjustRightInd w:val="0"/>
              <w:spacing w:after="0" w:line="240" w:lineRule="auto"/>
              <w:jc w:val="right"/>
              <w:rPr>
                <w:rFonts w:cstheme="minorHAnsi"/>
                <w:b/>
                <w:bCs/>
              </w:rPr>
            </w:pPr>
            <w:r w:rsidRPr="004021A6">
              <w:rPr>
                <w:rFonts w:cstheme="minorHAnsi"/>
                <w:b/>
                <w:bCs/>
              </w:rPr>
              <w:t>—</w:t>
            </w:r>
          </w:p>
        </w:tc>
        <w:tc>
          <w:tcPr>
            <w:tcW w:w="516" w:type="pct"/>
            <w:shd w:val="clear" w:color="auto" w:fill="auto"/>
            <w:vAlign w:val="bottom"/>
            <w:hideMark/>
          </w:tcPr>
          <w:p w14:paraId="0981AB9F" w14:textId="77777777" w:rsidR="00D75CA8" w:rsidRPr="004021A6" w:rsidRDefault="00D75CA8" w:rsidP="00D75CA8">
            <w:pPr>
              <w:widowControl w:val="0"/>
              <w:autoSpaceDE w:val="0"/>
              <w:autoSpaceDN w:val="0"/>
              <w:adjustRightInd w:val="0"/>
              <w:spacing w:after="0" w:line="240" w:lineRule="auto"/>
              <w:jc w:val="right"/>
              <w:rPr>
                <w:rFonts w:cstheme="minorHAnsi"/>
                <w:b/>
                <w:bCs/>
              </w:rPr>
            </w:pPr>
            <w:r w:rsidRPr="004021A6">
              <w:rPr>
                <w:rFonts w:cstheme="minorHAnsi"/>
                <w:b/>
                <w:bCs/>
              </w:rPr>
              <w:t>(0.1)</w:t>
            </w:r>
          </w:p>
        </w:tc>
        <w:tc>
          <w:tcPr>
            <w:tcW w:w="516" w:type="pct"/>
            <w:shd w:val="clear" w:color="auto" w:fill="auto"/>
            <w:vAlign w:val="bottom"/>
            <w:hideMark/>
          </w:tcPr>
          <w:p w14:paraId="4EA1B346" w14:textId="77777777" w:rsidR="00D75CA8" w:rsidRPr="004021A6" w:rsidRDefault="00D75CA8" w:rsidP="00D75CA8">
            <w:pPr>
              <w:widowControl w:val="0"/>
              <w:autoSpaceDE w:val="0"/>
              <w:autoSpaceDN w:val="0"/>
              <w:adjustRightInd w:val="0"/>
              <w:spacing w:after="0" w:line="240" w:lineRule="auto"/>
              <w:jc w:val="right"/>
              <w:rPr>
                <w:rFonts w:cstheme="minorHAnsi"/>
                <w:b/>
                <w:bCs/>
              </w:rPr>
            </w:pPr>
            <w:r w:rsidRPr="004021A6">
              <w:rPr>
                <w:rFonts w:cstheme="minorHAnsi"/>
                <w:b/>
                <w:bCs/>
              </w:rPr>
              <w:t>—</w:t>
            </w:r>
          </w:p>
        </w:tc>
        <w:tc>
          <w:tcPr>
            <w:tcW w:w="516" w:type="pct"/>
            <w:shd w:val="clear" w:color="auto" w:fill="auto"/>
            <w:vAlign w:val="bottom"/>
            <w:hideMark/>
          </w:tcPr>
          <w:p w14:paraId="2C676D55" w14:textId="77777777" w:rsidR="00D75CA8" w:rsidRPr="004021A6" w:rsidRDefault="00D75CA8" w:rsidP="00D75CA8">
            <w:pPr>
              <w:widowControl w:val="0"/>
              <w:autoSpaceDE w:val="0"/>
              <w:autoSpaceDN w:val="0"/>
              <w:adjustRightInd w:val="0"/>
              <w:spacing w:after="0" w:line="240" w:lineRule="auto"/>
              <w:jc w:val="right"/>
              <w:rPr>
                <w:rFonts w:cstheme="minorHAnsi"/>
                <w:b/>
                <w:bCs/>
              </w:rPr>
            </w:pPr>
            <w:r w:rsidRPr="004021A6">
              <w:rPr>
                <w:rFonts w:cstheme="minorHAnsi"/>
                <w:b/>
                <w:bCs/>
              </w:rPr>
              <w:t>—</w:t>
            </w:r>
          </w:p>
        </w:tc>
        <w:tc>
          <w:tcPr>
            <w:tcW w:w="354" w:type="pct"/>
            <w:shd w:val="clear" w:color="auto" w:fill="auto"/>
            <w:vAlign w:val="bottom"/>
            <w:hideMark/>
          </w:tcPr>
          <w:p w14:paraId="16DA14BF" w14:textId="77777777" w:rsidR="00D75CA8" w:rsidRPr="004021A6" w:rsidRDefault="00D75CA8" w:rsidP="00D75CA8">
            <w:pPr>
              <w:widowControl w:val="0"/>
              <w:autoSpaceDE w:val="0"/>
              <w:autoSpaceDN w:val="0"/>
              <w:adjustRightInd w:val="0"/>
              <w:spacing w:after="0" w:line="240" w:lineRule="auto"/>
              <w:jc w:val="right"/>
              <w:rPr>
                <w:rFonts w:cstheme="minorHAnsi"/>
                <w:b/>
                <w:bCs/>
              </w:rPr>
            </w:pPr>
            <w:r w:rsidRPr="004021A6">
              <w:rPr>
                <w:rFonts w:cstheme="minorHAnsi"/>
                <w:b/>
                <w:bCs/>
              </w:rPr>
              <w:t>(0.1)</w:t>
            </w:r>
          </w:p>
        </w:tc>
      </w:tr>
      <w:tr w:rsidR="00D75CA8" w:rsidRPr="00D80ACC" w14:paraId="44CD6D60" w14:textId="77777777" w:rsidTr="00D75CA8">
        <w:tc>
          <w:tcPr>
            <w:tcW w:w="2066" w:type="pct"/>
            <w:tcBorders>
              <w:top w:val="nil"/>
              <w:left w:val="nil"/>
              <w:bottom w:val="single" w:sz="4" w:space="0" w:color="000000" w:themeColor="text1"/>
              <w:right w:val="nil"/>
            </w:tcBorders>
            <w:vAlign w:val="bottom"/>
            <w:hideMark/>
          </w:tcPr>
          <w:p w14:paraId="7BA1F3B3"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Dividends paid</w:t>
            </w:r>
          </w:p>
        </w:tc>
        <w:tc>
          <w:tcPr>
            <w:tcW w:w="516" w:type="pct"/>
            <w:tcBorders>
              <w:top w:val="nil"/>
              <w:left w:val="nil"/>
              <w:bottom w:val="single" w:sz="4" w:space="0" w:color="000000" w:themeColor="text1"/>
              <w:right w:val="nil"/>
            </w:tcBorders>
            <w:shd w:val="clear" w:color="auto" w:fill="auto"/>
            <w:vAlign w:val="bottom"/>
            <w:hideMark/>
          </w:tcPr>
          <w:p w14:paraId="0F0F2134" w14:textId="77777777" w:rsidR="00D75CA8" w:rsidRPr="004021A6" w:rsidRDefault="00D75CA8" w:rsidP="00D75CA8">
            <w:pPr>
              <w:widowControl w:val="0"/>
              <w:autoSpaceDE w:val="0"/>
              <w:autoSpaceDN w:val="0"/>
              <w:adjustRightInd w:val="0"/>
              <w:spacing w:after="0" w:line="240" w:lineRule="auto"/>
              <w:jc w:val="right"/>
              <w:rPr>
                <w:rFonts w:cstheme="minorHAnsi"/>
                <w:b/>
                <w:bCs/>
              </w:rPr>
            </w:pPr>
            <w:r w:rsidRPr="004021A6">
              <w:rPr>
                <w:rFonts w:cstheme="minorHAnsi"/>
                <w:b/>
                <w:bCs/>
              </w:rPr>
              <w:t>—</w:t>
            </w:r>
          </w:p>
        </w:tc>
        <w:tc>
          <w:tcPr>
            <w:tcW w:w="516" w:type="pct"/>
            <w:tcBorders>
              <w:top w:val="nil"/>
              <w:left w:val="nil"/>
              <w:bottom w:val="single" w:sz="4" w:space="0" w:color="000000" w:themeColor="text1"/>
              <w:right w:val="nil"/>
            </w:tcBorders>
            <w:shd w:val="clear" w:color="auto" w:fill="auto"/>
            <w:vAlign w:val="bottom"/>
            <w:hideMark/>
          </w:tcPr>
          <w:p w14:paraId="52796F14" w14:textId="77777777" w:rsidR="00D75CA8" w:rsidRPr="004021A6" w:rsidRDefault="00D75CA8" w:rsidP="00D75CA8">
            <w:pPr>
              <w:widowControl w:val="0"/>
              <w:autoSpaceDE w:val="0"/>
              <w:autoSpaceDN w:val="0"/>
              <w:adjustRightInd w:val="0"/>
              <w:spacing w:after="0" w:line="240" w:lineRule="auto"/>
              <w:jc w:val="right"/>
              <w:rPr>
                <w:rFonts w:cstheme="minorHAnsi"/>
                <w:b/>
                <w:bCs/>
              </w:rPr>
            </w:pPr>
            <w:r w:rsidRPr="004021A6">
              <w:rPr>
                <w:rFonts w:cstheme="minorHAnsi"/>
                <w:b/>
                <w:bCs/>
              </w:rPr>
              <w:t>—</w:t>
            </w:r>
          </w:p>
        </w:tc>
        <w:tc>
          <w:tcPr>
            <w:tcW w:w="516" w:type="pct"/>
            <w:tcBorders>
              <w:top w:val="nil"/>
              <w:left w:val="nil"/>
              <w:bottom w:val="single" w:sz="4" w:space="0" w:color="000000" w:themeColor="text1"/>
              <w:right w:val="nil"/>
            </w:tcBorders>
            <w:shd w:val="clear" w:color="auto" w:fill="auto"/>
            <w:vAlign w:val="bottom"/>
            <w:hideMark/>
          </w:tcPr>
          <w:p w14:paraId="17A72C08" w14:textId="77777777" w:rsidR="00D75CA8" w:rsidRPr="004021A6" w:rsidRDefault="00D75CA8" w:rsidP="00D75CA8">
            <w:pPr>
              <w:widowControl w:val="0"/>
              <w:autoSpaceDE w:val="0"/>
              <w:autoSpaceDN w:val="0"/>
              <w:adjustRightInd w:val="0"/>
              <w:spacing w:after="0" w:line="240" w:lineRule="auto"/>
              <w:jc w:val="right"/>
              <w:rPr>
                <w:rFonts w:cstheme="minorHAnsi"/>
                <w:b/>
                <w:bCs/>
              </w:rPr>
            </w:pPr>
            <w:r w:rsidRPr="004021A6">
              <w:rPr>
                <w:rFonts w:cstheme="minorHAnsi"/>
                <w:b/>
                <w:bCs/>
              </w:rPr>
              <w:t>—</w:t>
            </w:r>
          </w:p>
        </w:tc>
        <w:tc>
          <w:tcPr>
            <w:tcW w:w="516" w:type="pct"/>
            <w:tcBorders>
              <w:top w:val="nil"/>
              <w:left w:val="nil"/>
              <w:bottom w:val="single" w:sz="4" w:space="0" w:color="000000" w:themeColor="text1"/>
              <w:right w:val="nil"/>
            </w:tcBorders>
            <w:shd w:val="clear" w:color="auto" w:fill="auto"/>
            <w:vAlign w:val="bottom"/>
            <w:hideMark/>
          </w:tcPr>
          <w:p w14:paraId="0350F99D" w14:textId="77777777" w:rsidR="00D75CA8" w:rsidRPr="004021A6" w:rsidRDefault="00D75CA8" w:rsidP="00D75CA8">
            <w:pPr>
              <w:widowControl w:val="0"/>
              <w:autoSpaceDE w:val="0"/>
              <w:autoSpaceDN w:val="0"/>
              <w:adjustRightInd w:val="0"/>
              <w:spacing w:after="0" w:line="240" w:lineRule="auto"/>
              <w:jc w:val="right"/>
              <w:rPr>
                <w:rFonts w:cstheme="minorHAnsi"/>
                <w:b/>
                <w:bCs/>
              </w:rPr>
            </w:pPr>
            <w:r w:rsidRPr="004021A6">
              <w:rPr>
                <w:rFonts w:cstheme="minorHAnsi"/>
                <w:b/>
                <w:bCs/>
              </w:rPr>
              <w:t>—</w:t>
            </w:r>
          </w:p>
        </w:tc>
        <w:tc>
          <w:tcPr>
            <w:tcW w:w="516" w:type="pct"/>
            <w:tcBorders>
              <w:top w:val="nil"/>
              <w:left w:val="nil"/>
              <w:bottom w:val="single" w:sz="4" w:space="0" w:color="000000" w:themeColor="text1"/>
              <w:right w:val="nil"/>
            </w:tcBorders>
            <w:shd w:val="clear" w:color="auto" w:fill="auto"/>
            <w:vAlign w:val="bottom"/>
            <w:hideMark/>
          </w:tcPr>
          <w:p w14:paraId="5484B32E" w14:textId="77777777" w:rsidR="00D75CA8" w:rsidRPr="004021A6" w:rsidRDefault="00D75CA8" w:rsidP="00D75CA8">
            <w:pPr>
              <w:widowControl w:val="0"/>
              <w:autoSpaceDE w:val="0"/>
              <w:autoSpaceDN w:val="0"/>
              <w:adjustRightInd w:val="0"/>
              <w:spacing w:after="0" w:line="240" w:lineRule="auto"/>
              <w:jc w:val="right"/>
              <w:rPr>
                <w:rFonts w:cstheme="minorHAnsi"/>
                <w:b/>
                <w:bCs/>
              </w:rPr>
            </w:pPr>
            <w:r w:rsidRPr="004021A6">
              <w:rPr>
                <w:rFonts w:cstheme="minorHAnsi"/>
                <w:b/>
                <w:bCs/>
              </w:rPr>
              <w:t>(1.9)</w:t>
            </w:r>
          </w:p>
        </w:tc>
        <w:tc>
          <w:tcPr>
            <w:tcW w:w="354" w:type="pct"/>
            <w:tcBorders>
              <w:top w:val="nil"/>
              <w:left w:val="nil"/>
              <w:bottom w:val="single" w:sz="4" w:space="0" w:color="000000" w:themeColor="text1"/>
              <w:right w:val="nil"/>
            </w:tcBorders>
            <w:shd w:val="clear" w:color="auto" w:fill="auto"/>
            <w:vAlign w:val="bottom"/>
            <w:hideMark/>
          </w:tcPr>
          <w:p w14:paraId="01DADFEE" w14:textId="77777777" w:rsidR="00D75CA8" w:rsidRPr="004021A6" w:rsidRDefault="00D75CA8" w:rsidP="00D75CA8">
            <w:pPr>
              <w:widowControl w:val="0"/>
              <w:autoSpaceDE w:val="0"/>
              <w:autoSpaceDN w:val="0"/>
              <w:adjustRightInd w:val="0"/>
              <w:spacing w:after="0" w:line="240" w:lineRule="auto"/>
              <w:jc w:val="right"/>
              <w:rPr>
                <w:rFonts w:cstheme="minorHAnsi"/>
                <w:b/>
                <w:bCs/>
              </w:rPr>
            </w:pPr>
            <w:r w:rsidRPr="004021A6">
              <w:rPr>
                <w:rFonts w:cstheme="minorHAnsi"/>
                <w:b/>
                <w:bCs/>
              </w:rPr>
              <w:t>(1.9)</w:t>
            </w:r>
          </w:p>
        </w:tc>
      </w:tr>
      <w:tr w:rsidR="00D75CA8" w:rsidRPr="00D80ACC" w14:paraId="1FCAD427" w14:textId="77777777" w:rsidTr="00D75CA8">
        <w:tc>
          <w:tcPr>
            <w:tcW w:w="2066" w:type="pct"/>
            <w:tcBorders>
              <w:top w:val="single" w:sz="4" w:space="0" w:color="000000" w:themeColor="text1"/>
              <w:left w:val="nil"/>
              <w:bottom w:val="single" w:sz="4" w:space="0" w:color="000000" w:themeColor="text1"/>
              <w:right w:val="nil"/>
            </w:tcBorders>
            <w:vAlign w:val="bottom"/>
            <w:hideMark/>
          </w:tcPr>
          <w:p w14:paraId="17E9D365"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Total transactions with owners</w:t>
            </w:r>
          </w:p>
        </w:tc>
        <w:tc>
          <w:tcPr>
            <w:tcW w:w="516" w:type="pct"/>
            <w:tcBorders>
              <w:top w:val="single" w:sz="4" w:space="0" w:color="000000" w:themeColor="text1"/>
              <w:left w:val="nil"/>
              <w:bottom w:val="single" w:sz="4" w:space="0" w:color="000000" w:themeColor="text1"/>
              <w:right w:val="nil"/>
            </w:tcBorders>
            <w:shd w:val="clear" w:color="auto" w:fill="auto"/>
            <w:vAlign w:val="bottom"/>
          </w:tcPr>
          <w:p w14:paraId="005F9A2B" w14:textId="77777777" w:rsidR="00D75CA8" w:rsidRPr="004021A6" w:rsidRDefault="00D75CA8" w:rsidP="00D75CA8">
            <w:pPr>
              <w:widowControl w:val="0"/>
              <w:autoSpaceDE w:val="0"/>
              <w:autoSpaceDN w:val="0"/>
              <w:adjustRightInd w:val="0"/>
              <w:spacing w:after="0" w:line="240" w:lineRule="auto"/>
              <w:jc w:val="right"/>
              <w:rPr>
                <w:rFonts w:cstheme="minorHAnsi"/>
                <w:b/>
                <w:bCs/>
              </w:rPr>
            </w:pPr>
            <w:r w:rsidRPr="004021A6">
              <w:rPr>
                <w:rFonts w:cstheme="minorHAnsi"/>
                <w:b/>
                <w:bCs/>
              </w:rPr>
              <w:t>—</w:t>
            </w:r>
          </w:p>
        </w:tc>
        <w:tc>
          <w:tcPr>
            <w:tcW w:w="516" w:type="pct"/>
            <w:tcBorders>
              <w:top w:val="single" w:sz="4" w:space="0" w:color="000000" w:themeColor="text1"/>
              <w:left w:val="nil"/>
              <w:bottom w:val="single" w:sz="4" w:space="0" w:color="000000" w:themeColor="text1"/>
              <w:right w:val="nil"/>
            </w:tcBorders>
            <w:shd w:val="clear" w:color="auto" w:fill="auto"/>
            <w:vAlign w:val="bottom"/>
          </w:tcPr>
          <w:p w14:paraId="6EAA1A3E" w14:textId="77777777" w:rsidR="00D75CA8" w:rsidRPr="004021A6" w:rsidRDefault="00D75CA8" w:rsidP="00D75CA8">
            <w:pPr>
              <w:widowControl w:val="0"/>
              <w:autoSpaceDE w:val="0"/>
              <w:autoSpaceDN w:val="0"/>
              <w:adjustRightInd w:val="0"/>
              <w:spacing w:after="0" w:line="240" w:lineRule="auto"/>
              <w:jc w:val="right"/>
              <w:rPr>
                <w:rFonts w:cstheme="minorHAnsi"/>
                <w:b/>
                <w:bCs/>
              </w:rPr>
            </w:pPr>
            <w:r w:rsidRPr="004021A6">
              <w:rPr>
                <w:rFonts w:cstheme="minorHAnsi"/>
                <w:b/>
                <w:bCs/>
              </w:rPr>
              <w:t>—</w:t>
            </w:r>
          </w:p>
        </w:tc>
        <w:tc>
          <w:tcPr>
            <w:tcW w:w="516" w:type="pct"/>
            <w:tcBorders>
              <w:top w:val="single" w:sz="4" w:space="0" w:color="000000" w:themeColor="text1"/>
              <w:left w:val="nil"/>
              <w:bottom w:val="single" w:sz="4" w:space="0" w:color="000000" w:themeColor="text1"/>
              <w:right w:val="nil"/>
            </w:tcBorders>
            <w:shd w:val="clear" w:color="auto" w:fill="auto"/>
            <w:vAlign w:val="bottom"/>
          </w:tcPr>
          <w:p w14:paraId="0EBDA654" w14:textId="77777777" w:rsidR="00D75CA8" w:rsidRPr="004021A6" w:rsidRDefault="00D75CA8" w:rsidP="00D75CA8">
            <w:pPr>
              <w:widowControl w:val="0"/>
              <w:autoSpaceDE w:val="0"/>
              <w:autoSpaceDN w:val="0"/>
              <w:adjustRightInd w:val="0"/>
              <w:spacing w:after="0" w:line="240" w:lineRule="auto"/>
              <w:jc w:val="right"/>
              <w:rPr>
                <w:rFonts w:cstheme="minorHAnsi"/>
                <w:b/>
                <w:bCs/>
              </w:rPr>
            </w:pPr>
            <w:r w:rsidRPr="004021A6">
              <w:rPr>
                <w:rFonts w:cstheme="minorHAnsi"/>
                <w:b/>
                <w:bCs/>
              </w:rPr>
              <w:t>(0.1)</w:t>
            </w:r>
          </w:p>
        </w:tc>
        <w:tc>
          <w:tcPr>
            <w:tcW w:w="516" w:type="pct"/>
            <w:tcBorders>
              <w:top w:val="single" w:sz="4" w:space="0" w:color="000000" w:themeColor="text1"/>
              <w:left w:val="nil"/>
              <w:bottom w:val="single" w:sz="4" w:space="0" w:color="000000" w:themeColor="text1"/>
              <w:right w:val="nil"/>
            </w:tcBorders>
            <w:shd w:val="clear" w:color="auto" w:fill="auto"/>
            <w:vAlign w:val="bottom"/>
            <w:hideMark/>
          </w:tcPr>
          <w:p w14:paraId="1CA2924D" w14:textId="77777777" w:rsidR="00D75CA8" w:rsidRPr="004021A6" w:rsidRDefault="00D75CA8" w:rsidP="00D75CA8">
            <w:pPr>
              <w:widowControl w:val="0"/>
              <w:autoSpaceDE w:val="0"/>
              <w:autoSpaceDN w:val="0"/>
              <w:adjustRightInd w:val="0"/>
              <w:spacing w:after="0" w:line="240" w:lineRule="auto"/>
              <w:jc w:val="right"/>
              <w:rPr>
                <w:rFonts w:cstheme="minorHAnsi"/>
                <w:b/>
                <w:bCs/>
              </w:rPr>
            </w:pPr>
            <w:r w:rsidRPr="004021A6">
              <w:rPr>
                <w:rFonts w:cstheme="minorHAnsi"/>
                <w:b/>
                <w:bCs/>
              </w:rPr>
              <w:t>(0.1)</w:t>
            </w:r>
          </w:p>
        </w:tc>
        <w:tc>
          <w:tcPr>
            <w:tcW w:w="516" w:type="pct"/>
            <w:tcBorders>
              <w:top w:val="single" w:sz="4" w:space="0" w:color="000000" w:themeColor="text1"/>
              <w:left w:val="nil"/>
              <w:bottom w:val="single" w:sz="4" w:space="0" w:color="000000" w:themeColor="text1"/>
              <w:right w:val="nil"/>
            </w:tcBorders>
            <w:shd w:val="clear" w:color="auto" w:fill="auto"/>
            <w:vAlign w:val="bottom"/>
            <w:hideMark/>
          </w:tcPr>
          <w:p w14:paraId="23D346C7" w14:textId="77777777" w:rsidR="00D75CA8" w:rsidRPr="004021A6" w:rsidRDefault="00D75CA8" w:rsidP="00D75CA8">
            <w:pPr>
              <w:widowControl w:val="0"/>
              <w:autoSpaceDE w:val="0"/>
              <w:autoSpaceDN w:val="0"/>
              <w:adjustRightInd w:val="0"/>
              <w:spacing w:after="0" w:line="240" w:lineRule="auto"/>
              <w:jc w:val="right"/>
              <w:rPr>
                <w:rFonts w:cstheme="minorHAnsi"/>
                <w:b/>
                <w:bCs/>
              </w:rPr>
            </w:pPr>
            <w:r w:rsidRPr="004021A6">
              <w:rPr>
                <w:rFonts w:cstheme="minorHAnsi"/>
                <w:b/>
                <w:bCs/>
              </w:rPr>
              <w:t>(1.4)</w:t>
            </w:r>
          </w:p>
        </w:tc>
        <w:tc>
          <w:tcPr>
            <w:tcW w:w="354" w:type="pct"/>
            <w:tcBorders>
              <w:top w:val="single" w:sz="4" w:space="0" w:color="000000" w:themeColor="text1"/>
              <w:left w:val="nil"/>
              <w:bottom w:val="single" w:sz="4" w:space="0" w:color="000000" w:themeColor="text1"/>
              <w:right w:val="nil"/>
            </w:tcBorders>
            <w:shd w:val="clear" w:color="auto" w:fill="auto"/>
            <w:vAlign w:val="bottom"/>
            <w:hideMark/>
          </w:tcPr>
          <w:p w14:paraId="7B4EF99C" w14:textId="77777777" w:rsidR="00D75CA8" w:rsidRPr="004021A6" w:rsidRDefault="00D75CA8" w:rsidP="00D75CA8">
            <w:pPr>
              <w:widowControl w:val="0"/>
              <w:autoSpaceDE w:val="0"/>
              <w:autoSpaceDN w:val="0"/>
              <w:adjustRightInd w:val="0"/>
              <w:spacing w:after="0" w:line="240" w:lineRule="auto"/>
              <w:jc w:val="right"/>
              <w:rPr>
                <w:rFonts w:cstheme="minorHAnsi"/>
                <w:b/>
                <w:bCs/>
              </w:rPr>
            </w:pPr>
            <w:r w:rsidRPr="004021A6">
              <w:rPr>
                <w:rFonts w:cstheme="minorHAnsi"/>
                <w:b/>
                <w:bCs/>
              </w:rPr>
              <w:t>(1.6)</w:t>
            </w:r>
          </w:p>
        </w:tc>
      </w:tr>
      <w:tr w:rsidR="00D75CA8" w:rsidRPr="00D80ACC" w14:paraId="5B9D60B0" w14:textId="77777777" w:rsidTr="00D75CA8">
        <w:tc>
          <w:tcPr>
            <w:tcW w:w="2066" w:type="pct"/>
            <w:tcBorders>
              <w:top w:val="single" w:sz="4" w:space="0" w:color="000000" w:themeColor="text1"/>
              <w:left w:val="nil"/>
              <w:bottom w:val="single" w:sz="4" w:space="0" w:color="000000" w:themeColor="text1"/>
              <w:right w:val="nil"/>
            </w:tcBorders>
            <w:vAlign w:val="bottom"/>
            <w:hideMark/>
          </w:tcPr>
          <w:p w14:paraId="4339A705" w14:textId="77777777" w:rsidR="00D75CA8" w:rsidRPr="00D80ACC" w:rsidRDefault="00D75CA8" w:rsidP="00D75CA8">
            <w:pPr>
              <w:widowControl w:val="0"/>
              <w:autoSpaceDE w:val="0"/>
              <w:autoSpaceDN w:val="0"/>
              <w:adjustRightInd w:val="0"/>
              <w:spacing w:after="0" w:line="240" w:lineRule="auto"/>
              <w:rPr>
                <w:rFonts w:cstheme="minorHAnsi"/>
              </w:rPr>
            </w:pPr>
            <w:proofErr w:type="gramStart"/>
            <w:r w:rsidRPr="00D80ACC">
              <w:rPr>
                <w:rFonts w:cstheme="minorHAnsi"/>
                <w:b/>
                <w:bCs/>
              </w:rPr>
              <w:t>At</w:t>
            </w:r>
            <w:proofErr w:type="gramEnd"/>
            <w:r w:rsidRPr="00D80ACC">
              <w:rPr>
                <w:rFonts w:cstheme="minorHAnsi"/>
                <w:b/>
                <w:bCs/>
              </w:rPr>
              <w:t xml:space="preserve"> 31st December 20</w:t>
            </w:r>
            <w:r>
              <w:rPr>
                <w:rFonts w:cstheme="minorHAnsi"/>
                <w:b/>
                <w:bCs/>
              </w:rPr>
              <w:t>20</w:t>
            </w:r>
          </w:p>
        </w:tc>
        <w:tc>
          <w:tcPr>
            <w:tcW w:w="516" w:type="pct"/>
            <w:tcBorders>
              <w:top w:val="single" w:sz="4" w:space="0" w:color="000000" w:themeColor="text1"/>
              <w:left w:val="nil"/>
              <w:bottom w:val="single" w:sz="4" w:space="0" w:color="000000" w:themeColor="text1"/>
              <w:right w:val="nil"/>
            </w:tcBorders>
            <w:shd w:val="clear" w:color="auto" w:fill="auto"/>
            <w:vAlign w:val="bottom"/>
            <w:hideMark/>
          </w:tcPr>
          <w:p w14:paraId="15C95644" w14:textId="77777777" w:rsidR="00D75CA8" w:rsidRPr="004021A6" w:rsidRDefault="00D75CA8" w:rsidP="00D75CA8">
            <w:pPr>
              <w:widowControl w:val="0"/>
              <w:autoSpaceDE w:val="0"/>
              <w:autoSpaceDN w:val="0"/>
              <w:adjustRightInd w:val="0"/>
              <w:spacing w:after="0" w:line="240" w:lineRule="auto"/>
              <w:jc w:val="right"/>
              <w:rPr>
                <w:rFonts w:cstheme="minorHAnsi"/>
                <w:b/>
                <w:bCs/>
              </w:rPr>
            </w:pPr>
            <w:r w:rsidRPr="004021A6">
              <w:rPr>
                <w:rFonts w:cstheme="minorHAnsi"/>
                <w:b/>
                <w:bCs/>
              </w:rPr>
              <w:t>4.3</w:t>
            </w:r>
          </w:p>
        </w:tc>
        <w:tc>
          <w:tcPr>
            <w:tcW w:w="516" w:type="pct"/>
            <w:tcBorders>
              <w:top w:val="single" w:sz="4" w:space="0" w:color="000000" w:themeColor="text1"/>
              <w:left w:val="nil"/>
              <w:bottom w:val="single" w:sz="4" w:space="0" w:color="000000" w:themeColor="text1"/>
              <w:right w:val="nil"/>
            </w:tcBorders>
            <w:shd w:val="clear" w:color="auto" w:fill="auto"/>
            <w:vAlign w:val="bottom"/>
            <w:hideMark/>
          </w:tcPr>
          <w:p w14:paraId="67FF344F" w14:textId="77777777" w:rsidR="00D75CA8" w:rsidRPr="004021A6" w:rsidRDefault="00D75CA8" w:rsidP="00D75CA8">
            <w:pPr>
              <w:widowControl w:val="0"/>
              <w:autoSpaceDE w:val="0"/>
              <w:autoSpaceDN w:val="0"/>
              <w:adjustRightInd w:val="0"/>
              <w:spacing w:after="0" w:line="240" w:lineRule="auto"/>
              <w:jc w:val="right"/>
              <w:rPr>
                <w:rFonts w:cstheme="minorHAnsi"/>
                <w:b/>
                <w:bCs/>
              </w:rPr>
            </w:pPr>
            <w:r w:rsidRPr="004021A6">
              <w:rPr>
                <w:rFonts w:cstheme="minorHAnsi"/>
                <w:b/>
                <w:bCs/>
              </w:rPr>
              <w:t>3.8</w:t>
            </w:r>
          </w:p>
        </w:tc>
        <w:tc>
          <w:tcPr>
            <w:tcW w:w="516" w:type="pct"/>
            <w:tcBorders>
              <w:top w:val="single" w:sz="4" w:space="0" w:color="000000" w:themeColor="text1"/>
              <w:left w:val="nil"/>
              <w:bottom w:val="single" w:sz="4" w:space="0" w:color="000000" w:themeColor="text1"/>
              <w:right w:val="nil"/>
            </w:tcBorders>
            <w:shd w:val="clear" w:color="auto" w:fill="auto"/>
            <w:vAlign w:val="bottom"/>
            <w:hideMark/>
          </w:tcPr>
          <w:p w14:paraId="4486B116" w14:textId="77777777" w:rsidR="00D75CA8" w:rsidRPr="004021A6" w:rsidRDefault="00D75CA8" w:rsidP="00D75CA8">
            <w:pPr>
              <w:widowControl w:val="0"/>
              <w:autoSpaceDE w:val="0"/>
              <w:autoSpaceDN w:val="0"/>
              <w:adjustRightInd w:val="0"/>
              <w:spacing w:after="0" w:line="240" w:lineRule="auto"/>
              <w:jc w:val="right"/>
              <w:rPr>
                <w:rFonts w:cstheme="minorHAnsi"/>
                <w:b/>
                <w:bCs/>
              </w:rPr>
            </w:pPr>
            <w:r w:rsidRPr="004021A6">
              <w:rPr>
                <w:rFonts w:cstheme="minorHAnsi"/>
                <w:b/>
                <w:bCs/>
              </w:rPr>
              <w:t>(2.1)</w:t>
            </w:r>
          </w:p>
        </w:tc>
        <w:tc>
          <w:tcPr>
            <w:tcW w:w="516" w:type="pct"/>
            <w:tcBorders>
              <w:top w:val="single" w:sz="4" w:space="0" w:color="000000" w:themeColor="text1"/>
              <w:left w:val="nil"/>
              <w:bottom w:val="single" w:sz="4" w:space="0" w:color="000000" w:themeColor="text1"/>
              <w:right w:val="nil"/>
            </w:tcBorders>
            <w:shd w:val="clear" w:color="auto" w:fill="auto"/>
            <w:vAlign w:val="bottom"/>
            <w:hideMark/>
          </w:tcPr>
          <w:p w14:paraId="7E447287" w14:textId="77777777" w:rsidR="00D75CA8" w:rsidRPr="004021A6" w:rsidRDefault="00D75CA8" w:rsidP="00D75CA8">
            <w:pPr>
              <w:widowControl w:val="0"/>
              <w:autoSpaceDE w:val="0"/>
              <w:autoSpaceDN w:val="0"/>
              <w:adjustRightInd w:val="0"/>
              <w:spacing w:after="0" w:line="240" w:lineRule="auto"/>
              <w:jc w:val="right"/>
              <w:rPr>
                <w:rFonts w:cstheme="minorHAnsi"/>
                <w:b/>
                <w:bCs/>
              </w:rPr>
            </w:pPr>
            <w:r w:rsidRPr="004021A6">
              <w:rPr>
                <w:rFonts w:cstheme="minorHAnsi"/>
                <w:b/>
                <w:bCs/>
              </w:rPr>
              <w:t>0.8</w:t>
            </w:r>
          </w:p>
        </w:tc>
        <w:tc>
          <w:tcPr>
            <w:tcW w:w="516" w:type="pct"/>
            <w:tcBorders>
              <w:top w:val="single" w:sz="4" w:space="0" w:color="000000" w:themeColor="text1"/>
              <w:left w:val="nil"/>
              <w:bottom w:val="single" w:sz="4" w:space="0" w:color="000000" w:themeColor="text1"/>
              <w:right w:val="nil"/>
            </w:tcBorders>
            <w:shd w:val="clear" w:color="auto" w:fill="auto"/>
            <w:vAlign w:val="bottom"/>
            <w:hideMark/>
          </w:tcPr>
          <w:p w14:paraId="22EAA792" w14:textId="77777777" w:rsidR="00D75CA8" w:rsidRPr="004021A6" w:rsidRDefault="00D75CA8" w:rsidP="00D75CA8">
            <w:pPr>
              <w:widowControl w:val="0"/>
              <w:autoSpaceDE w:val="0"/>
              <w:autoSpaceDN w:val="0"/>
              <w:adjustRightInd w:val="0"/>
              <w:spacing w:after="0" w:line="240" w:lineRule="auto"/>
              <w:jc w:val="right"/>
              <w:rPr>
                <w:rFonts w:cstheme="minorHAnsi"/>
                <w:b/>
                <w:bCs/>
              </w:rPr>
            </w:pPr>
            <w:r w:rsidRPr="004021A6">
              <w:rPr>
                <w:rFonts w:cstheme="minorHAnsi"/>
                <w:b/>
                <w:bCs/>
              </w:rPr>
              <w:t>8.9</w:t>
            </w:r>
          </w:p>
        </w:tc>
        <w:tc>
          <w:tcPr>
            <w:tcW w:w="354" w:type="pct"/>
            <w:tcBorders>
              <w:top w:val="single" w:sz="4" w:space="0" w:color="000000" w:themeColor="text1"/>
              <w:left w:val="nil"/>
              <w:bottom w:val="single" w:sz="4" w:space="0" w:color="000000" w:themeColor="text1"/>
              <w:right w:val="nil"/>
            </w:tcBorders>
            <w:shd w:val="clear" w:color="auto" w:fill="auto"/>
            <w:vAlign w:val="bottom"/>
            <w:hideMark/>
          </w:tcPr>
          <w:p w14:paraId="1F2B4FB4" w14:textId="77777777" w:rsidR="00D75CA8" w:rsidRPr="004021A6" w:rsidRDefault="00D75CA8" w:rsidP="00D75CA8">
            <w:pPr>
              <w:widowControl w:val="0"/>
              <w:autoSpaceDE w:val="0"/>
              <w:autoSpaceDN w:val="0"/>
              <w:adjustRightInd w:val="0"/>
              <w:spacing w:after="0" w:line="240" w:lineRule="auto"/>
              <w:jc w:val="right"/>
              <w:rPr>
                <w:rFonts w:cstheme="minorHAnsi"/>
                <w:b/>
                <w:bCs/>
              </w:rPr>
            </w:pPr>
            <w:r w:rsidRPr="004021A6">
              <w:rPr>
                <w:rFonts w:cstheme="minorHAnsi"/>
                <w:b/>
                <w:bCs/>
              </w:rPr>
              <w:t>15.7</w:t>
            </w:r>
          </w:p>
        </w:tc>
      </w:tr>
      <w:tr w:rsidR="00D75CA8" w:rsidRPr="00D80ACC" w14:paraId="17133EE5" w14:textId="77777777" w:rsidTr="00D75CA8">
        <w:tc>
          <w:tcPr>
            <w:tcW w:w="2066" w:type="pct"/>
            <w:tcBorders>
              <w:top w:val="single" w:sz="4" w:space="0" w:color="000000" w:themeColor="text1"/>
              <w:left w:val="nil"/>
              <w:bottom w:val="single" w:sz="12" w:space="0" w:color="000000" w:themeColor="text1"/>
              <w:right w:val="nil"/>
            </w:tcBorders>
            <w:vAlign w:val="bottom"/>
          </w:tcPr>
          <w:p w14:paraId="3F9337E6" w14:textId="77777777" w:rsidR="00D75CA8" w:rsidRPr="00D80ACC" w:rsidRDefault="00D75CA8" w:rsidP="00D75CA8">
            <w:pPr>
              <w:widowControl w:val="0"/>
              <w:autoSpaceDE w:val="0"/>
              <w:autoSpaceDN w:val="0"/>
              <w:adjustRightInd w:val="0"/>
              <w:spacing w:after="0" w:line="240" w:lineRule="auto"/>
              <w:rPr>
                <w:rFonts w:cstheme="minorHAnsi"/>
                <w:b/>
                <w:bCs/>
              </w:rPr>
            </w:pPr>
          </w:p>
        </w:tc>
        <w:tc>
          <w:tcPr>
            <w:tcW w:w="516" w:type="pct"/>
            <w:tcBorders>
              <w:top w:val="single" w:sz="4" w:space="0" w:color="000000" w:themeColor="text1"/>
              <w:left w:val="nil"/>
              <w:bottom w:val="single" w:sz="12" w:space="0" w:color="000000" w:themeColor="text1"/>
              <w:right w:val="nil"/>
            </w:tcBorders>
            <w:vAlign w:val="bottom"/>
          </w:tcPr>
          <w:p w14:paraId="0DD444FB" w14:textId="77777777" w:rsidR="00D75CA8" w:rsidRPr="009379F0" w:rsidRDefault="00D75CA8" w:rsidP="00D75CA8">
            <w:pPr>
              <w:widowControl w:val="0"/>
              <w:autoSpaceDE w:val="0"/>
              <w:autoSpaceDN w:val="0"/>
              <w:adjustRightInd w:val="0"/>
              <w:spacing w:after="0" w:line="240" w:lineRule="auto"/>
              <w:jc w:val="right"/>
              <w:rPr>
                <w:rFonts w:cstheme="minorHAnsi"/>
                <w:b/>
                <w:bCs/>
                <w:highlight w:val="yellow"/>
              </w:rPr>
            </w:pPr>
          </w:p>
        </w:tc>
        <w:tc>
          <w:tcPr>
            <w:tcW w:w="516" w:type="pct"/>
            <w:tcBorders>
              <w:top w:val="single" w:sz="4" w:space="0" w:color="000000" w:themeColor="text1"/>
              <w:left w:val="nil"/>
              <w:bottom w:val="single" w:sz="12" w:space="0" w:color="000000" w:themeColor="text1"/>
              <w:right w:val="nil"/>
            </w:tcBorders>
            <w:vAlign w:val="bottom"/>
          </w:tcPr>
          <w:p w14:paraId="2366FD2B" w14:textId="77777777" w:rsidR="00D75CA8" w:rsidRPr="009379F0" w:rsidRDefault="00D75CA8" w:rsidP="00D75CA8">
            <w:pPr>
              <w:widowControl w:val="0"/>
              <w:autoSpaceDE w:val="0"/>
              <w:autoSpaceDN w:val="0"/>
              <w:adjustRightInd w:val="0"/>
              <w:spacing w:after="0" w:line="240" w:lineRule="auto"/>
              <w:jc w:val="right"/>
              <w:rPr>
                <w:rFonts w:cstheme="minorHAnsi"/>
                <w:b/>
                <w:bCs/>
                <w:highlight w:val="yellow"/>
              </w:rPr>
            </w:pPr>
          </w:p>
        </w:tc>
        <w:tc>
          <w:tcPr>
            <w:tcW w:w="516" w:type="pct"/>
            <w:tcBorders>
              <w:top w:val="single" w:sz="4" w:space="0" w:color="000000" w:themeColor="text1"/>
              <w:left w:val="nil"/>
              <w:bottom w:val="single" w:sz="12" w:space="0" w:color="000000" w:themeColor="text1"/>
              <w:right w:val="nil"/>
            </w:tcBorders>
            <w:vAlign w:val="bottom"/>
          </w:tcPr>
          <w:p w14:paraId="410B2600" w14:textId="77777777" w:rsidR="00D75CA8" w:rsidRPr="009379F0" w:rsidRDefault="00D75CA8" w:rsidP="00D75CA8">
            <w:pPr>
              <w:widowControl w:val="0"/>
              <w:autoSpaceDE w:val="0"/>
              <w:autoSpaceDN w:val="0"/>
              <w:adjustRightInd w:val="0"/>
              <w:spacing w:after="0" w:line="240" w:lineRule="auto"/>
              <w:jc w:val="right"/>
              <w:rPr>
                <w:rFonts w:cstheme="minorHAnsi"/>
                <w:b/>
                <w:bCs/>
                <w:highlight w:val="yellow"/>
              </w:rPr>
            </w:pPr>
          </w:p>
        </w:tc>
        <w:tc>
          <w:tcPr>
            <w:tcW w:w="516" w:type="pct"/>
            <w:tcBorders>
              <w:top w:val="single" w:sz="4" w:space="0" w:color="000000" w:themeColor="text1"/>
              <w:left w:val="nil"/>
              <w:bottom w:val="single" w:sz="12" w:space="0" w:color="000000" w:themeColor="text1"/>
              <w:right w:val="nil"/>
            </w:tcBorders>
            <w:vAlign w:val="bottom"/>
          </w:tcPr>
          <w:p w14:paraId="63BD9D7F" w14:textId="77777777" w:rsidR="00D75CA8" w:rsidRDefault="00D75CA8" w:rsidP="00D75CA8">
            <w:pPr>
              <w:widowControl w:val="0"/>
              <w:autoSpaceDE w:val="0"/>
              <w:autoSpaceDN w:val="0"/>
              <w:adjustRightInd w:val="0"/>
              <w:spacing w:after="0" w:line="240" w:lineRule="auto"/>
              <w:jc w:val="right"/>
              <w:rPr>
                <w:rFonts w:cstheme="minorHAnsi"/>
                <w:b/>
                <w:bCs/>
                <w:highlight w:val="yellow"/>
              </w:rPr>
            </w:pPr>
          </w:p>
        </w:tc>
        <w:tc>
          <w:tcPr>
            <w:tcW w:w="516" w:type="pct"/>
            <w:tcBorders>
              <w:top w:val="single" w:sz="4" w:space="0" w:color="000000" w:themeColor="text1"/>
              <w:left w:val="nil"/>
              <w:bottom w:val="single" w:sz="12" w:space="0" w:color="000000" w:themeColor="text1"/>
              <w:right w:val="nil"/>
            </w:tcBorders>
            <w:vAlign w:val="bottom"/>
          </w:tcPr>
          <w:p w14:paraId="7C50069F" w14:textId="77777777" w:rsidR="00D75CA8" w:rsidRDefault="00D75CA8" w:rsidP="00D75CA8">
            <w:pPr>
              <w:widowControl w:val="0"/>
              <w:autoSpaceDE w:val="0"/>
              <w:autoSpaceDN w:val="0"/>
              <w:adjustRightInd w:val="0"/>
              <w:spacing w:after="0" w:line="240" w:lineRule="auto"/>
              <w:jc w:val="right"/>
              <w:rPr>
                <w:rFonts w:cstheme="minorHAnsi"/>
                <w:b/>
                <w:bCs/>
                <w:highlight w:val="yellow"/>
              </w:rPr>
            </w:pPr>
          </w:p>
        </w:tc>
        <w:tc>
          <w:tcPr>
            <w:tcW w:w="354" w:type="pct"/>
            <w:tcBorders>
              <w:top w:val="single" w:sz="4" w:space="0" w:color="000000" w:themeColor="text1"/>
              <w:left w:val="nil"/>
              <w:bottom w:val="single" w:sz="12" w:space="0" w:color="000000" w:themeColor="text1"/>
              <w:right w:val="nil"/>
            </w:tcBorders>
            <w:vAlign w:val="bottom"/>
          </w:tcPr>
          <w:p w14:paraId="251AFAC6" w14:textId="77777777" w:rsidR="00D75CA8" w:rsidRDefault="00D75CA8" w:rsidP="00D75CA8">
            <w:pPr>
              <w:widowControl w:val="0"/>
              <w:autoSpaceDE w:val="0"/>
              <w:autoSpaceDN w:val="0"/>
              <w:adjustRightInd w:val="0"/>
              <w:spacing w:after="0" w:line="240" w:lineRule="auto"/>
              <w:jc w:val="right"/>
              <w:rPr>
                <w:rFonts w:cstheme="minorHAnsi"/>
                <w:b/>
                <w:bCs/>
                <w:highlight w:val="yellow"/>
              </w:rPr>
            </w:pPr>
          </w:p>
        </w:tc>
      </w:tr>
    </w:tbl>
    <w:p w14:paraId="4EC4FC6A" w14:textId="58609D2C" w:rsidR="00D75CA8" w:rsidRDefault="00D75CA8" w:rsidP="00462821">
      <w:pPr>
        <w:widowControl w:val="0"/>
        <w:autoSpaceDE w:val="0"/>
        <w:autoSpaceDN w:val="0"/>
        <w:adjustRightInd w:val="0"/>
        <w:spacing w:after="0" w:line="240" w:lineRule="auto"/>
        <w:rPr>
          <w:rFonts w:cs="Times New Roman"/>
          <w:b/>
          <w:bCs/>
          <w:color w:val="002060"/>
          <w:sz w:val="28"/>
          <w:szCs w:val="28"/>
        </w:rPr>
      </w:pPr>
    </w:p>
    <w:p w14:paraId="488AACCA" w14:textId="77777777" w:rsidR="00D75CA8" w:rsidRPr="00544513" w:rsidRDefault="00D75CA8" w:rsidP="00462821">
      <w:pPr>
        <w:pStyle w:val="Heading1"/>
        <w:keepLines/>
        <w:jc w:val="both"/>
        <w:rPr>
          <w:rFonts w:asciiTheme="minorHAnsi" w:hAnsiTheme="minorHAnsi" w:cstheme="minorHAnsi"/>
          <w:color w:val="003366"/>
          <w:sz w:val="28"/>
          <w:szCs w:val="28"/>
        </w:rPr>
      </w:pPr>
      <w:r w:rsidRPr="00544513">
        <w:rPr>
          <w:rFonts w:asciiTheme="minorHAnsi" w:hAnsiTheme="minorHAnsi" w:cstheme="minorHAnsi"/>
          <w:color w:val="003366"/>
          <w:sz w:val="28"/>
          <w:szCs w:val="28"/>
        </w:rPr>
        <w:t xml:space="preserve">Notes to the preliminary financial </w:t>
      </w:r>
      <w:r>
        <w:rPr>
          <w:rFonts w:asciiTheme="minorHAnsi" w:hAnsiTheme="minorHAnsi" w:cstheme="minorHAnsi"/>
          <w:color w:val="003366"/>
          <w:sz w:val="28"/>
          <w:szCs w:val="28"/>
        </w:rPr>
        <w:t>information</w:t>
      </w:r>
    </w:p>
    <w:p w14:paraId="0B1398E7" w14:textId="77777777" w:rsidR="00D75CA8" w:rsidRPr="00462379" w:rsidRDefault="00D75CA8" w:rsidP="00462821">
      <w:pPr>
        <w:widowControl w:val="0"/>
        <w:autoSpaceDE w:val="0"/>
        <w:autoSpaceDN w:val="0"/>
        <w:adjustRightInd w:val="0"/>
        <w:spacing w:before="160" w:after="0" w:line="240" w:lineRule="auto"/>
        <w:rPr>
          <w:rFonts w:cstheme="minorHAnsi"/>
          <w:sz w:val="24"/>
          <w:szCs w:val="24"/>
        </w:rPr>
      </w:pPr>
      <w:r w:rsidRPr="00462379">
        <w:rPr>
          <w:rFonts w:cstheme="minorHAnsi"/>
          <w:b/>
          <w:bCs/>
          <w:color w:val="003366"/>
          <w:sz w:val="24"/>
          <w:szCs w:val="24"/>
        </w:rPr>
        <w:t xml:space="preserve">Note 1 – </w:t>
      </w:r>
      <w:r>
        <w:rPr>
          <w:rFonts w:cstheme="minorHAnsi"/>
          <w:b/>
          <w:bCs/>
          <w:color w:val="003366"/>
          <w:sz w:val="24"/>
          <w:szCs w:val="24"/>
        </w:rPr>
        <w:t>Basis of preparation</w:t>
      </w:r>
      <w:r w:rsidRPr="00462379">
        <w:rPr>
          <w:rFonts w:cstheme="minorHAnsi"/>
          <w:b/>
          <w:bCs/>
          <w:color w:val="003366"/>
          <w:sz w:val="24"/>
          <w:szCs w:val="24"/>
        </w:rPr>
        <w:t xml:space="preserve"> </w:t>
      </w:r>
    </w:p>
    <w:p w14:paraId="09DD8F64" w14:textId="77777777" w:rsidR="00D75CA8" w:rsidRDefault="00D75CA8" w:rsidP="00D75CA8">
      <w:pPr>
        <w:widowControl w:val="0"/>
        <w:overflowPunct w:val="0"/>
        <w:autoSpaceDE w:val="0"/>
        <w:autoSpaceDN w:val="0"/>
        <w:adjustRightInd w:val="0"/>
        <w:spacing w:before="160" w:after="0" w:line="240" w:lineRule="auto"/>
        <w:rPr>
          <w:rFonts w:cstheme="minorHAnsi"/>
        </w:rPr>
      </w:pPr>
      <w:r w:rsidRPr="00D80ACC">
        <w:rPr>
          <w:rFonts w:cstheme="minorHAnsi"/>
        </w:rPr>
        <w:t xml:space="preserve">TClarke plc is a public limited company listed on the London Stock Exchange, </w:t>
      </w:r>
      <w:proofErr w:type="gramStart"/>
      <w:r w:rsidRPr="00D80ACC">
        <w:rPr>
          <w:rFonts w:cstheme="minorHAnsi"/>
        </w:rPr>
        <w:t>incorporated</w:t>
      </w:r>
      <w:proofErr w:type="gramEnd"/>
      <w:r w:rsidRPr="00D80ACC">
        <w:rPr>
          <w:rFonts w:cstheme="minorHAnsi"/>
        </w:rPr>
        <w:t xml:space="preserve"> and domiciled in the United Kingdom. The nature of the Group’s operations and its principal activities </w:t>
      </w:r>
      <w:r>
        <w:rPr>
          <w:rFonts w:cstheme="minorHAnsi"/>
        </w:rPr>
        <w:t>is providing electrical and mechanical contracting and related services to the construction industry and end users.</w:t>
      </w:r>
      <w:r w:rsidRPr="00D80ACC">
        <w:rPr>
          <w:rFonts w:cstheme="minorHAnsi"/>
        </w:rPr>
        <w:t xml:space="preserve"> The Company is limited by shares</w:t>
      </w:r>
      <w:r>
        <w:rPr>
          <w:rFonts w:cstheme="minorHAnsi"/>
        </w:rPr>
        <w:t>.</w:t>
      </w:r>
    </w:p>
    <w:p w14:paraId="13D2AF05" w14:textId="77777777" w:rsidR="00D75CA8" w:rsidRDefault="00D75CA8" w:rsidP="00D75CA8">
      <w:pPr>
        <w:widowControl w:val="0"/>
        <w:overflowPunct w:val="0"/>
        <w:autoSpaceDE w:val="0"/>
        <w:autoSpaceDN w:val="0"/>
        <w:adjustRightInd w:val="0"/>
        <w:spacing w:before="160" w:after="0" w:line="240" w:lineRule="auto"/>
        <w:rPr>
          <w:rFonts w:cstheme="minorHAnsi"/>
        </w:rPr>
      </w:pPr>
      <w:r>
        <w:rPr>
          <w:rFonts w:cstheme="minorHAnsi"/>
        </w:rPr>
        <w:t>This preliminary financial information has</w:t>
      </w:r>
      <w:r w:rsidRPr="00D80ACC">
        <w:rPr>
          <w:rFonts w:cstheme="minorHAnsi"/>
        </w:rPr>
        <w:t xml:space="preserve"> been prepared in accordance with </w:t>
      </w:r>
      <w:r>
        <w:rPr>
          <w:rFonts w:cstheme="minorHAnsi"/>
        </w:rPr>
        <w:t xml:space="preserve">the Disclosure and Transparency Rules of </w:t>
      </w:r>
      <w:r>
        <w:rPr>
          <w:rFonts w:cstheme="minorHAnsi"/>
        </w:rPr>
        <w:lastRenderedPageBreak/>
        <w:t>the UK Financial Conduct Authority, and the principles of international accounting standards in conformity with the requirements of the Companies Act 2006 and International Financial Reporting Standards (“IFRS”) adopted pursuant to Regulation (EC) No 1606/2002 as it applies in the European Union and has</w:t>
      </w:r>
      <w:r w:rsidRPr="00D80ACC">
        <w:rPr>
          <w:rFonts w:cstheme="minorHAnsi"/>
        </w:rPr>
        <w:t xml:space="preserve"> been prepared on a going concern basis under the historic cost convention as modified by the revaluation of land and buildings. </w:t>
      </w:r>
    </w:p>
    <w:p w14:paraId="1491156E" w14:textId="77777777" w:rsidR="00D75CA8" w:rsidRDefault="00D75CA8" w:rsidP="00D75CA8">
      <w:pPr>
        <w:widowControl w:val="0"/>
        <w:overflowPunct w:val="0"/>
        <w:autoSpaceDE w:val="0"/>
        <w:autoSpaceDN w:val="0"/>
        <w:adjustRightInd w:val="0"/>
        <w:spacing w:before="160" w:after="0" w:line="240" w:lineRule="auto"/>
        <w:rPr>
          <w:rFonts w:cstheme="minorHAnsi"/>
        </w:rPr>
      </w:pPr>
      <w:r>
        <w:rPr>
          <w:rFonts w:cstheme="minorHAnsi"/>
        </w:rPr>
        <w:t>This preliminary financial information does not constitute the statutory financial statements of the Group. The financial statements themselves were approved by the Board on 24</w:t>
      </w:r>
      <w:r w:rsidRPr="00E82125">
        <w:rPr>
          <w:rFonts w:cstheme="minorHAnsi"/>
          <w:vertAlign w:val="superscript"/>
        </w:rPr>
        <w:t>th</w:t>
      </w:r>
      <w:r>
        <w:rPr>
          <w:rFonts w:cstheme="minorHAnsi"/>
        </w:rPr>
        <w:t xml:space="preserve"> March 2021. The report of the auditor on those financial statements was unqualified, did not contain an emphasis of matter paragraph and did not contain any statement under Section 498 of the Companies Act 2006. The Annual Report and Financial Statements will be filed with the Registrar in due course.</w:t>
      </w:r>
    </w:p>
    <w:p w14:paraId="1CEFE2CC" w14:textId="77777777" w:rsidR="00D75CA8" w:rsidRPr="00462379" w:rsidRDefault="00D75CA8" w:rsidP="00D75CA8">
      <w:pPr>
        <w:widowControl w:val="0"/>
        <w:autoSpaceDE w:val="0"/>
        <w:autoSpaceDN w:val="0"/>
        <w:adjustRightInd w:val="0"/>
        <w:spacing w:before="160" w:after="0" w:line="240" w:lineRule="auto"/>
        <w:rPr>
          <w:rFonts w:cstheme="minorHAnsi"/>
          <w:sz w:val="24"/>
          <w:szCs w:val="24"/>
        </w:rPr>
      </w:pPr>
      <w:r w:rsidRPr="00462379">
        <w:rPr>
          <w:rFonts w:cstheme="minorHAnsi"/>
          <w:b/>
          <w:bCs/>
          <w:color w:val="003366"/>
          <w:sz w:val="24"/>
          <w:szCs w:val="24"/>
        </w:rPr>
        <w:t xml:space="preserve">Note </w:t>
      </w:r>
      <w:r>
        <w:rPr>
          <w:rFonts w:cstheme="minorHAnsi"/>
          <w:b/>
          <w:bCs/>
          <w:color w:val="003366"/>
          <w:sz w:val="24"/>
          <w:szCs w:val="24"/>
        </w:rPr>
        <w:t>2</w:t>
      </w:r>
      <w:r w:rsidRPr="00462379">
        <w:rPr>
          <w:rFonts w:cstheme="minorHAnsi"/>
          <w:b/>
          <w:bCs/>
          <w:color w:val="003366"/>
          <w:sz w:val="24"/>
          <w:szCs w:val="24"/>
        </w:rPr>
        <w:t xml:space="preserve"> – </w:t>
      </w:r>
      <w:r>
        <w:rPr>
          <w:rFonts w:cstheme="minorHAnsi"/>
          <w:b/>
          <w:bCs/>
          <w:color w:val="003366"/>
          <w:sz w:val="24"/>
          <w:szCs w:val="24"/>
        </w:rPr>
        <w:t>Significant judgements and sources of estimation uncertainty</w:t>
      </w:r>
    </w:p>
    <w:p w14:paraId="39DC6AAD" w14:textId="77777777" w:rsidR="00D75CA8" w:rsidRDefault="00D75CA8" w:rsidP="00D75CA8">
      <w:pPr>
        <w:widowControl w:val="0"/>
        <w:overflowPunct w:val="0"/>
        <w:autoSpaceDE w:val="0"/>
        <w:autoSpaceDN w:val="0"/>
        <w:adjustRightInd w:val="0"/>
        <w:spacing w:before="160" w:after="0" w:line="240" w:lineRule="auto"/>
        <w:rPr>
          <w:rFonts w:cstheme="minorHAnsi"/>
        </w:rPr>
      </w:pPr>
      <w:r w:rsidRPr="00D80ACC">
        <w:rPr>
          <w:rFonts w:cstheme="minorHAnsi"/>
        </w:rPr>
        <w:t xml:space="preserve">The preparation of </w:t>
      </w:r>
      <w:r>
        <w:rPr>
          <w:rFonts w:cstheme="minorHAnsi"/>
        </w:rPr>
        <w:t xml:space="preserve">this </w:t>
      </w:r>
      <w:r w:rsidRPr="00D80ACC">
        <w:rPr>
          <w:rFonts w:cstheme="minorHAnsi"/>
        </w:rPr>
        <w:t xml:space="preserve">financial </w:t>
      </w:r>
      <w:r>
        <w:rPr>
          <w:rFonts w:cstheme="minorHAnsi"/>
        </w:rPr>
        <w:t>information</w:t>
      </w:r>
      <w:r w:rsidRPr="00D80ACC">
        <w:rPr>
          <w:rFonts w:cstheme="minorHAnsi"/>
        </w:rPr>
        <w:t xml:space="preserve"> requires the use of certain critical accounting estimates. It also requires management to exercise its judgement in the process of applying the Group’s accounting policies. The areas involving a higher degree of judgement or complexity, or areas where assumptions and estimates are significant to the </w:t>
      </w:r>
      <w:r>
        <w:rPr>
          <w:rFonts w:cstheme="minorHAnsi"/>
        </w:rPr>
        <w:t>financial information are set out below. Actual results may differ from these estimates</w:t>
      </w:r>
      <w:r w:rsidRPr="00D80ACC">
        <w:rPr>
          <w:rFonts w:cstheme="minorHAnsi"/>
        </w:rPr>
        <w:t>.</w:t>
      </w:r>
    </w:p>
    <w:p w14:paraId="57F53C06" w14:textId="77777777" w:rsidR="00D75CA8" w:rsidRPr="00D80ACC" w:rsidRDefault="00D75CA8" w:rsidP="00D75CA8">
      <w:pPr>
        <w:widowControl w:val="0"/>
        <w:overflowPunct w:val="0"/>
        <w:autoSpaceDE w:val="0"/>
        <w:autoSpaceDN w:val="0"/>
        <w:adjustRightInd w:val="0"/>
        <w:spacing w:before="160" w:after="0" w:line="240" w:lineRule="auto"/>
        <w:rPr>
          <w:rFonts w:cstheme="minorHAnsi"/>
        </w:rPr>
      </w:pPr>
      <w:r w:rsidRPr="00D80ACC">
        <w:rPr>
          <w:rFonts w:cstheme="minorHAnsi"/>
        </w:rPr>
        <w:t>The estimates and underlying assumptions are reviewed on an ongoing basis. Revisions to accounting estimates are recognised in the period in which the estimate is revised if the revision affects only that period, or in the period of the revision and future periods if the revision affects both current and future periods.</w:t>
      </w:r>
    </w:p>
    <w:p w14:paraId="760C8F76" w14:textId="77777777" w:rsidR="00D75CA8" w:rsidRPr="00D80ACC" w:rsidRDefault="00D75CA8" w:rsidP="00D75CA8">
      <w:pPr>
        <w:widowControl w:val="0"/>
        <w:autoSpaceDE w:val="0"/>
        <w:autoSpaceDN w:val="0"/>
        <w:adjustRightInd w:val="0"/>
        <w:spacing w:before="160" w:after="0" w:line="240" w:lineRule="auto"/>
        <w:rPr>
          <w:rFonts w:cstheme="minorHAnsi"/>
        </w:rPr>
      </w:pPr>
      <w:r w:rsidRPr="00D80ACC">
        <w:rPr>
          <w:rFonts w:cstheme="minorHAnsi"/>
          <w:b/>
          <w:bCs/>
        </w:rPr>
        <w:t>Revenue and margin</w:t>
      </w:r>
    </w:p>
    <w:p w14:paraId="5AE8A78A" w14:textId="77777777" w:rsidR="00D75CA8" w:rsidRPr="00D80ACC" w:rsidRDefault="00D75CA8" w:rsidP="00D75CA8">
      <w:pPr>
        <w:widowControl w:val="0"/>
        <w:overflowPunct w:val="0"/>
        <w:autoSpaceDE w:val="0"/>
        <w:autoSpaceDN w:val="0"/>
        <w:adjustRightInd w:val="0"/>
        <w:spacing w:before="160" w:after="0" w:line="240" w:lineRule="auto"/>
        <w:rPr>
          <w:rFonts w:cstheme="minorHAnsi"/>
        </w:rPr>
      </w:pPr>
      <w:r w:rsidRPr="00D80ACC">
        <w:rPr>
          <w:rFonts w:cstheme="minorHAnsi"/>
        </w:rPr>
        <w:t>The recognition of revenue and profit on construction contracts is a key source of estimation uncertainty due to the difficulty of forecasting the final costs to be incurred on a contract in progress and the process whereby applications are made during the course of the contract with variations, which can be significant, often being agreed as part of the final account negotiation.</w:t>
      </w:r>
    </w:p>
    <w:p w14:paraId="2A7034C6" w14:textId="77777777" w:rsidR="00D75CA8" w:rsidRPr="00D80ACC" w:rsidRDefault="00D75CA8" w:rsidP="00D75CA8">
      <w:pPr>
        <w:widowControl w:val="0"/>
        <w:overflowPunct w:val="0"/>
        <w:autoSpaceDE w:val="0"/>
        <w:autoSpaceDN w:val="0"/>
        <w:adjustRightInd w:val="0"/>
        <w:spacing w:before="120" w:after="0" w:line="240" w:lineRule="auto"/>
        <w:rPr>
          <w:rFonts w:cstheme="minorHAnsi"/>
        </w:rPr>
      </w:pPr>
      <w:r w:rsidRPr="00D80ACC">
        <w:rPr>
          <w:rFonts w:cstheme="minorHAnsi"/>
        </w:rPr>
        <w:t xml:space="preserve">Commercial reviews of all live contracts are undertaken on a regular basis, with all significant contracts being reviewed on a monthly basis. The Directors also </w:t>
      </w:r>
      <w:proofErr w:type="gramStart"/>
      <w:r w:rsidRPr="00D80ACC">
        <w:rPr>
          <w:rFonts w:cstheme="minorHAnsi"/>
        </w:rPr>
        <w:t>take into account</w:t>
      </w:r>
      <w:proofErr w:type="gramEnd"/>
      <w:r w:rsidRPr="00D80ACC">
        <w:rPr>
          <w:rFonts w:cstheme="minorHAnsi"/>
        </w:rPr>
        <w:t xml:space="preserve"> the recoverability of contract balances and trade receivables, and allowances are made for those balances which are considered to be impaired.</w:t>
      </w:r>
    </w:p>
    <w:p w14:paraId="2DA54907" w14:textId="77777777" w:rsidR="00D75CA8" w:rsidRPr="00D80ACC" w:rsidRDefault="00D75CA8" w:rsidP="00D75CA8">
      <w:pPr>
        <w:widowControl w:val="0"/>
        <w:autoSpaceDE w:val="0"/>
        <w:autoSpaceDN w:val="0"/>
        <w:adjustRightInd w:val="0"/>
        <w:spacing w:before="160" w:after="0" w:line="240" w:lineRule="auto"/>
        <w:rPr>
          <w:rFonts w:cstheme="minorHAnsi"/>
        </w:rPr>
      </w:pPr>
      <w:r w:rsidRPr="00D80ACC">
        <w:rPr>
          <w:rFonts w:cstheme="minorHAnsi"/>
          <w:b/>
          <w:bCs/>
        </w:rPr>
        <w:t>Impairment of goodwill and investments</w:t>
      </w:r>
    </w:p>
    <w:p w14:paraId="38EF54C1" w14:textId="77777777" w:rsidR="00D75CA8" w:rsidRPr="00D80ACC" w:rsidRDefault="00D75CA8" w:rsidP="00D75CA8">
      <w:pPr>
        <w:widowControl w:val="0"/>
        <w:overflowPunct w:val="0"/>
        <w:autoSpaceDE w:val="0"/>
        <w:autoSpaceDN w:val="0"/>
        <w:adjustRightInd w:val="0"/>
        <w:spacing w:before="120" w:after="0" w:line="240" w:lineRule="auto"/>
        <w:rPr>
          <w:rFonts w:cstheme="minorHAnsi"/>
        </w:rPr>
      </w:pPr>
      <w:r w:rsidRPr="00D80ACC">
        <w:rPr>
          <w:rFonts w:cstheme="minorHAnsi"/>
        </w:rPr>
        <w:t xml:space="preserve">Determining whether goodwill is impaired requires an estimation of the value in use of the </w:t>
      </w:r>
      <w:r>
        <w:rPr>
          <w:rFonts w:cstheme="minorHAnsi"/>
        </w:rPr>
        <w:t>operating segments</w:t>
      </w:r>
      <w:r w:rsidRPr="00D80ACC">
        <w:rPr>
          <w:rFonts w:cstheme="minorHAnsi"/>
        </w:rPr>
        <w:t xml:space="preserve"> giving rise to the goodwill, including the estimation of the timing and amount of future cash flows generated by the </w:t>
      </w:r>
      <w:r>
        <w:rPr>
          <w:rFonts w:cstheme="minorHAnsi"/>
        </w:rPr>
        <w:t>operating segment</w:t>
      </w:r>
      <w:r w:rsidRPr="00D80ACC">
        <w:rPr>
          <w:rFonts w:cstheme="minorHAnsi"/>
        </w:rPr>
        <w:t xml:space="preserve"> and a suitable discount rate. The estimation of the value in use is also used to assess the carrying value of investments in the relevant subsidiaries in the Company’s financial statements.</w:t>
      </w:r>
    </w:p>
    <w:p w14:paraId="50934754" w14:textId="77777777" w:rsidR="00D75CA8" w:rsidRPr="00D80ACC" w:rsidRDefault="00D75CA8" w:rsidP="00D75CA8">
      <w:pPr>
        <w:widowControl w:val="0"/>
        <w:autoSpaceDE w:val="0"/>
        <w:autoSpaceDN w:val="0"/>
        <w:adjustRightInd w:val="0"/>
        <w:spacing w:before="160" w:after="0" w:line="240" w:lineRule="auto"/>
        <w:rPr>
          <w:rFonts w:cstheme="minorHAnsi"/>
        </w:rPr>
      </w:pPr>
      <w:r w:rsidRPr="00D80ACC">
        <w:rPr>
          <w:rFonts w:cstheme="minorHAnsi"/>
          <w:b/>
          <w:bCs/>
        </w:rPr>
        <w:t>Retirement benefit obligations</w:t>
      </w:r>
    </w:p>
    <w:p w14:paraId="3D244BD7" w14:textId="78CCBEDF" w:rsidR="00D75CA8" w:rsidRDefault="00D75CA8" w:rsidP="00D75CA8">
      <w:pPr>
        <w:widowControl w:val="0"/>
        <w:overflowPunct w:val="0"/>
        <w:autoSpaceDE w:val="0"/>
        <w:autoSpaceDN w:val="0"/>
        <w:adjustRightInd w:val="0"/>
        <w:spacing w:before="120" w:after="0" w:line="240" w:lineRule="auto"/>
        <w:rPr>
          <w:rFonts w:cstheme="minorHAnsi"/>
        </w:rPr>
      </w:pPr>
      <w:r w:rsidRPr="00D80ACC">
        <w:rPr>
          <w:rFonts w:cstheme="minorHAnsi"/>
        </w:rPr>
        <w:t xml:space="preserve">The costs, assets and liabilities of the defined benefit scheme operated by the Group are determined using methods relying on actuarial estimates and assumptions, which are largely dependent on factors outside the control of the Group. Details of the key assumptions are set out in note </w:t>
      </w:r>
      <w:r>
        <w:rPr>
          <w:rFonts w:cstheme="minorHAnsi"/>
        </w:rPr>
        <w:t>7</w:t>
      </w:r>
      <w:r w:rsidRPr="00D80ACC">
        <w:rPr>
          <w:rFonts w:cstheme="minorHAnsi"/>
        </w:rPr>
        <w:t>, and include the discount rate, expected return on assets, rate of inflation and mortality rates. The Group takes advice from independent actuaries relating to the appropriateness of the assumptions. Changes in the assumptions used may have a significant effect on the income statement, statement of comprehensive income and the statement of financial position.</w:t>
      </w:r>
    </w:p>
    <w:p w14:paraId="61C35C3B" w14:textId="77777777" w:rsidR="00462821" w:rsidRDefault="00462821" w:rsidP="00D75CA8">
      <w:pPr>
        <w:widowControl w:val="0"/>
        <w:overflowPunct w:val="0"/>
        <w:autoSpaceDE w:val="0"/>
        <w:autoSpaceDN w:val="0"/>
        <w:adjustRightInd w:val="0"/>
        <w:spacing w:before="120" w:after="0" w:line="240" w:lineRule="auto"/>
        <w:rPr>
          <w:rFonts w:cstheme="minorHAnsi"/>
        </w:rPr>
      </w:pPr>
    </w:p>
    <w:p w14:paraId="354CE25B" w14:textId="77777777" w:rsidR="00D75CA8" w:rsidRPr="00462379" w:rsidRDefault="00D75CA8" w:rsidP="00D75CA8">
      <w:pPr>
        <w:pStyle w:val="Heading1"/>
        <w:spacing w:after="120"/>
        <w:jc w:val="both"/>
        <w:rPr>
          <w:rFonts w:asciiTheme="minorHAnsi" w:hAnsiTheme="minorHAnsi" w:cstheme="minorHAnsi"/>
          <w:color w:val="003366"/>
          <w:szCs w:val="24"/>
        </w:rPr>
      </w:pPr>
      <w:r w:rsidRPr="00462379">
        <w:rPr>
          <w:rFonts w:asciiTheme="minorHAnsi" w:hAnsiTheme="minorHAnsi" w:cstheme="minorHAnsi"/>
          <w:color w:val="003366"/>
          <w:szCs w:val="24"/>
        </w:rPr>
        <w:t xml:space="preserve">Note </w:t>
      </w:r>
      <w:r>
        <w:rPr>
          <w:rFonts w:asciiTheme="minorHAnsi" w:hAnsiTheme="minorHAnsi" w:cstheme="minorHAnsi"/>
          <w:color w:val="003366"/>
          <w:szCs w:val="24"/>
        </w:rPr>
        <w:t>3</w:t>
      </w:r>
      <w:r w:rsidRPr="00462379">
        <w:rPr>
          <w:rFonts w:asciiTheme="minorHAnsi" w:hAnsiTheme="minorHAnsi" w:cstheme="minorHAnsi"/>
          <w:color w:val="003366"/>
          <w:szCs w:val="24"/>
        </w:rPr>
        <w:t xml:space="preserve"> - Segment information</w:t>
      </w:r>
    </w:p>
    <w:p w14:paraId="61948669" w14:textId="77777777" w:rsidR="00D75CA8" w:rsidRPr="00D80ACC" w:rsidRDefault="00D75CA8" w:rsidP="00D75CA8">
      <w:pPr>
        <w:widowControl w:val="0"/>
        <w:autoSpaceDE w:val="0"/>
        <w:autoSpaceDN w:val="0"/>
        <w:adjustRightInd w:val="0"/>
        <w:spacing w:before="160" w:after="0" w:line="240" w:lineRule="auto"/>
        <w:rPr>
          <w:rFonts w:cstheme="minorHAnsi"/>
        </w:rPr>
      </w:pPr>
      <w:r w:rsidRPr="00D80ACC">
        <w:rPr>
          <w:rFonts w:cstheme="minorHAnsi"/>
          <w:b/>
          <w:bCs/>
        </w:rPr>
        <w:t>(i) Reportable segments</w:t>
      </w:r>
    </w:p>
    <w:p w14:paraId="19F563AE" w14:textId="77777777" w:rsidR="00D75CA8" w:rsidRPr="00D80ACC" w:rsidRDefault="00D75CA8" w:rsidP="00D75CA8">
      <w:pPr>
        <w:widowControl w:val="0"/>
        <w:autoSpaceDE w:val="0"/>
        <w:autoSpaceDN w:val="0"/>
        <w:adjustRightInd w:val="0"/>
        <w:spacing w:before="120" w:after="0" w:line="240" w:lineRule="auto"/>
        <w:rPr>
          <w:rFonts w:cstheme="minorHAnsi"/>
        </w:rPr>
      </w:pPr>
      <w:r w:rsidRPr="00D80ACC">
        <w:rPr>
          <w:rFonts w:cstheme="minorHAnsi"/>
        </w:rPr>
        <w:t>The Group provides electrical and mechanical contracting and related services to the construction industry and end users.</w:t>
      </w:r>
    </w:p>
    <w:p w14:paraId="75FDD583" w14:textId="77777777" w:rsidR="00D75CA8" w:rsidRPr="00D80ACC" w:rsidRDefault="00D75CA8" w:rsidP="00D75CA8">
      <w:pPr>
        <w:widowControl w:val="0"/>
        <w:overflowPunct w:val="0"/>
        <w:autoSpaceDE w:val="0"/>
        <w:autoSpaceDN w:val="0"/>
        <w:adjustRightInd w:val="0"/>
        <w:spacing w:before="120" w:after="0" w:line="240" w:lineRule="auto"/>
        <w:rPr>
          <w:rFonts w:cstheme="minorHAnsi"/>
        </w:rPr>
      </w:pPr>
      <w:r w:rsidRPr="00D80ACC">
        <w:rPr>
          <w:rFonts w:cstheme="minorHAnsi"/>
        </w:rPr>
        <w:t>For management and internal reporting purposes, the Group is organised geographically into three regional divisions: London, UK South and UK North, reporting to the Board who represent the “</w:t>
      </w:r>
      <w:r>
        <w:rPr>
          <w:rFonts w:cstheme="minorHAnsi"/>
        </w:rPr>
        <w:t>C</w:t>
      </w:r>
      <w:r w:rsidRPr="00D80ACC">
        <w:rPr>
          <w:rFonts w:cstheme="minorHAnsi"/>
        </w:rPr>
        <w:t xml:space="preserve">hief </w:t>
      </w:r>
      <w:r>
        <w:rPr>
          <w:rFonts w:cstheme="minorHAnsi"/>
        </w:rPr>
        <w:t>O</w:t>
      </w:r>
      <w:r w:rsidRPr="00D80ACC">
        <w:rPr>
          <w:rFonts w:cstheme="minorHAnsi"/>
        </w:rPr>
        <w:t xml:space="preserve">perating </w:t>
      </w:r>
      <w:r>
        <w:rPr>
          <w:rFonts w:cstheme="minorHAnsi"/>
        </w:rPr>
        <w:t>D</w:t>
      </w:r>
      <w:r w:rsidRPr="00D80ACC">
        <w:rPr>
          <w:rFonts w:cstheme="minorHAnsi"/>
        </w:rPr>
        <w:t>ecision-</w:t>
      </w:r>
      <w:r>
        <w:rPr>
          <w:rFonts w:cstheme="minorHAnsi"/>
        </w:rPr>
        <w:t>M</w:t>
      </w:r>
      <w:r w:rsidRPr="00D80ACC">
        <w:rPr>
          <w:rFonts w:cstheme="minorHAnsi"/>
        </w:rPr>
        <w:t xml:space="preserve">aker” as per IFRS 8. The measurement basis used to assess the performance of the divisions is underlying operating profit, stated </w:t>
      </w:r>
      <w:r w:rsidRPr="00D80ACC">
        <w:rPr>
          <w:rFonts w:cstheme="minorHAnsi"/>
        </w:rPr>
        <w:lastRenderedPageBreak/>
        <w:t>before amortisation of intangible assets and other non-underlying items.</w:t>
      </w:r>
    </w:p>
    <w:p w14:paraId="25F4F17C" w14:textId="77777777" w:rsidR="00D75CA8" w:rsidRPr="00D80ACC" w:rsidRDefault="00D75CA8" w:rsidP="00D75CA8">
      <w:pPr>
        <w:widowControl w:val="0"/>
        <w:overflowPunct w:val="0"/>
        <w:autoSpaceDE w:val="0"/>
        <w:autoSpaceDN w:val="0"/>
        <w:adjustRightInd w:val="0"/>
        <w:spacing w:before="120" w:after="0" w:line="240" w:lineRule="auto"/>
        <w:rPr>
          <w:rFonts w:cstheme="minorHAnsi"/>
        </w:rPr>
      </w:pPr>
      <w:r w:rsidRPr="00D80ACC">
        <w:rPr>
          <w:rFonts w:cstheme="minorHAnsi"/>
        </w:rPr>
        <w:t xml:space="preserve">This segmentation differs from that which was present in the most recent annual </w:t>
      </w:r>
      <w:r>
        <w:rPr>
          <w:rFonts w:cstheme="minorHAnsi"/>
        </w:rPr>
        <w:t>financial statements</w:t>
      </w:r>
      <w:r w:rsidRPr="00D80ACC">
        <w:rPr>
          <w:rFonts w:cstheme="minorHAnsi"/>
        </w:rPr>
        <w:t xml:space="preserve"> in which there were four geographical segments. Prior period information has been restated in accordance with the current reporting segment lines.</w:t>
      </w:r>
    </w:p>
    <w:p w14:paraId="40E0F54B" w14:textId="77777777" w:rsidR="00D75CA8" w:rsidRPr="00D80ACC" w:rsidRDefault="00D75CA8" w:rsidP="00D75CA8">
      <w:pPr>
        <w:widowControl w:val="0"/>
        <w:overflowPunct w:val="0"/>
        <w:autoSpaceDE w:val="0"/>
        <w:autoSpaceDN w:val="0"/>
        <w:adjustRightInd w:val="0"/>
        <w:spacing w:before="160" w:after="0" w:line="240" w:lineRule="auto"/>
        <w:rPr>
          <w:rFonts w:cstheme="minorHAnsi"/>
        </w:rPr>
      </w:pPr>
      <w:r w:rsidRPr="00D80ACC">
        <w:rPr>
          <w:rFonts w:cstheme="minorHAnsi"/>
        </w:rPr>
        <w:t xml:space="preserve">All transactions between segments are undertaken on normal commercial terms. All the Group’s operations are carried out within the United Kingdom, and there is no significant difference between revenue based on the location of assets and revenue based on location of customers. The accounting policies for the reportable segments are the same as the Group’s accounting policies disclosed in note </w:t>
      </w:r>
      <w:r>
        <w:rPr>
          <w:rFonts w:cstheme="minorHAnsi"/>
        </w:rPr>
        <w:t>1</w:t>
      </w:r>
      <w:r w:rsidRPr="00D80ACC">
        <w:rPr>
          <w:rFonts w:cstheme="minorHAnsi"/>
        </w:rPr>
        <w:t>. Segmental information is based on internal management reporting.</w:t>
      </w:r>
    </w:p>
    <w:p w14:paraId="112F1085" w14:textId="77777777" w:rsidR="00D75CA8" w:rsidRPr="00D80ACC" w:rsidRDefault="00D75CA8" w:rsidP="00D75CA8">
      <w:pPr>
        <w:widowControl w:val="0"/>
        <w:autoSpaceDE w:val="0"/>
        <w:autoSpaceDN w:val="0"/>
        <w:adjustRightInd w:val="0"/>
        <w:spacing w:before="160" w:line="240" w:lineRule="auto"/>
        <w:rPr>
          <w:rFonts w:cstheme="minorHAnsi"/>
        </w:rPr>
      </w:pPr>
      <w:r w:rsidRPr="00D80ACC">
        <w:rPr>
          <w:rFonts w:cstheme="minorHAnsi"/>
          <w:b/>
          <w:bCs/>
        </w:rPr>
        <w:t xml:space="preserve">(ii) Segment information and revenue analysis – </w:t>
      </w:r>
      <w:r>
        <w:rPr>
          <w:rFonts w:cstheme="minorHAnsi"/>
          <w:b/>
          <w:bCs/>
        </w:rPr>
        <w:t>year ended 31st December 2020</w:t>
      </w:r>
    </w:p>
    <w:tbl>
      <w:tblPr>
        <w:tblW w:w="5014" w:type="pct"/>
        <w:tblCellMar>
          <w:left w:w="0" w:type="dxa"/>
          <w:right w:w="0" w:type="dxa"/>
        </w:tblCellMar>
        <w:tblLook w:val="04A0" w:firstRow="1" w:lastRow="0" w:firstColumn="1" w:lastColumn="0" w:noHBand="0" w:noVBand="1"/>
      </w:tblPr>
      <w:tblGrid>
        <w:gridCol w:w="5395"/>
        <w:gridCol w:w="1074"/>
        <w:gridCol w:w="1074"/>
        <w:gridCol w:w="1077"/>
        <w:gridCol w:w="1133"/>
        <w:gridCol w:w="1077"/>
      </w:tblGrid>
      <w:tr w:rsidR="00D75CA8" w:rsidRPr="00D80ACC" w14:paraId="7D8CC96E" w14:textId="77777777" w:rsidTr="00D75CA8">
        <w:tc>
          <w:tcPr>
            <w:tcW w:w="2491" w:type="pct"/>
            <w:vAlign w:val="bottom"/>
          </w:tcPr>
          <w:p w14:paraId="4F46CC23" w14:textId="77777777" w:rsidR="00D75CA8" w:rsidRPr="00D80ACC" w:rsidRDefault="00D75CA8" w:rsidP="00D75CA8">
            <w:pPr>
              <w:widowControl w:val="0"/>
              <w:autoSpaceDE w:val="0"/>
              <w:autoSpaceDN w:val="0"/>
              <w:adjustRightInd w:val="0"/>
              <w:spacing w:after="0" w:line="240" w:lineRule="auto"/>
              <w:rPr>
                <w:rFonts w:cstheme="minorHAnsi"/>
              </w:rPr>
            </w:pPr>
          </w:p>
        </w:tc>
        <w:tc>
          <w:tcPr>
            <w:tcW w:w="496" w:type="pct"/>
            <w:vAlign w:val="bottom"/>
          </w:tcPr>
          <w:p w14:paraId="6A124C9B"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496" w:type="pct"/>
            <w:vAlign w:val="bottom"/>
          </w:tcPr>
          <w:p w14:paraId="5B11B3BE"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497" w:type="pct"/>
            <w:vAlign w:val="bottom"/>
          </w:tcPr>
          <w:p w14:paraId="51296D45"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23" w:type="pct"/>
            <w:vAlign w:val="bottom"/>
            <w:hideMark/>
          </w:tcPr>
          <w:p w14:paraId="3D51C376"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b/>
                <w:bCs/>
                <w:w w:val="96"/>
              </w:rPr>
              <w:t>Group costs</w:t>
            </w:r>
          </w:p>
        </w:tc>
        <w:tc>
          <w:tcPr>
            <w:tcW w:w="497" w:type="pct"/>
            <w:vAlign w:val="bottom"/>
          </w:tcPr>
          <w:p w14:paraId="04C46614" w14:textId="77777777" w:rsidR="00D75CA8" w:rsidRPr="00D80ACC" w:rsidRDefault="00D75CA8" w:rsidP="00D75CA8">
            <w:pPr>
              <w:widowControl w:val="0"/>
              <w:autoSpaceDE w:val="0"/>
              <w:autoSpaceDN w:val="0"/>
              <w:adjustRightInd w:val="0"/>
              <w:spacing w:after="0" w:line="240" w:lineRule="auto"/>
              <w:jc w:val="right"/>
              <w:rPr>
                <w:rFonts w:cstheme="minorHAnsi"/>
              </w:rPr>
            </w:pPr>
          </w:p>
        </w:tc>
      </w:tr>
      <w:tr w:rsidR="00D75CA8" w:rsidRPr="00D80ACC" w14:paraId="76DD7FE2" w14:textId="77777777" w:rsidTr="00D75CA8">
        <w:tc>
          <w:tcPr>
            <w:tcW w:w="2491" w:type="pct"/>
            <w:vAlign w:val="bottom"/>
          </w:tcPr>
          <w:p w14:paraId="1D187BB2" w14:textId="77777777" w:rsidR="00D75CA8" w:rsidRPr="00D80ACC" w:rsidRDefault="00D75CA8" w:rsidP="00D75CA8">
            <w:pPr>
              <w:widowControl w:val="0"/>
              <w:autoSpaceDE w:val="0"/>
              <w:autoSpaceDN w:val="0"/>
              <w:adjustRightInd w:val="0"/>
              <w:spacing w:after="0" w:line="240" w:lineRule="auto"/>
              <w:rPr>
                <w:rFonts w:cstheme="minorHAnsi"/>
              </w:rPr>
            </w:pPr>
          </w:p>
        </w:tc>
        <w:tc>
          <w:tcPr>
            <w:tcW w:w="496" w:type="pct"/>
            <w:vAlign w:val="bottom"/>
          </w:tcPr>
          <w:p w14:paraId="4F4E2385"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496" w:type="pct"/>
            <w:vAlign w:val="bottom"/>
          </w:tcPr>
          <w:p w14:paraId="03B58694"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497" w:type="pct"/>
            <w:vAlign w:val="bottom"/>
          </w:tcPr>
          <w:p w14:paraId="65F88666"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23" w:type="pct"/>
            <w:vAlign w:val="bottom"/>
            <w:hideMark/>
          </w:tcPr>
          <w:p w14:paraId="0A48DE76"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b/>
                <w:bCs/>
              </w:rPr>
              <w:t>and</w:t>
            </w:r>
          </w:p>
        </w:tc>
        <w:tc>
          <w:tcPr>
            <w:tcW w:w="497" w:type="pct"/>
            <w:vAlign w:val="bottom"/>
          </w:tcPr>
          <w:p w14:paraId="288AFB75" w14:textId="77777777" w:rsidR="00D75CA8" w:rsidRPr="00D80ACC" w:rsidRDefault="00D75CA8" w:rsidP="00D75CA8">
            <w:pPr>
              <w:widowControl w:val="0"/>
              <w:autoSpaceDE w:val="0"/>
              <w:autoSpaceDN w:val="0"/>
              <w:adjustRightInd w:val="0"/>
              <w:spacing w:after="0" w:line="240" w:lineRule="auto"/>
              <w:jc w:val="right"/>
              <w:rPr>
                <w:rFonts w:cstheme="minorHAnsi"/>
              </w:rPr>
            </w:pPr>
          </w:p>
        </w:tc>
      </w:tr>
      <w:tr w:rsidR="00D75CA8" w:rsidRPr="00D80ACC" w14:paraId="35192173" w14:textId="77777777" w:rsidTr="00D75CA8">
        <w:tc>
          <w:tcPr>
            <w:tcW w:w="2491" w:type="pct"/>
            <w:vAlign w:val="bottom"/>
          </w:tcPr>
          <w:p w14:paraId="2A7FECC6" w14:textId="77777777" w:rsidR="00D75CA8" w:rsidRPr="00D80ACC" w:rsidRDefault="00D75CA8" w:rsidP="00D75CA8">
            <w:pPr>
              <w:widowControl w:val="0"/>
              <w:autoSpaceDE w:val="0"/>
              <w:autoSpaceDN w:val="0"/>
              <w:adjustRightInd w:val="0"/>
              <w:spacing w:after="0" w:line="240" w:lineRule="auto"/>
              <w:rPr>
                <w:rFonts w:cstheme="minorHAnsi"/>
              </w:rPr>
            </w:pPr>
          </w:p>
        </w:tc>
        <w:tc>
          <w:tcPr>
            <w:tcW w:w="496" w:type="pct"/>
            <w:vAlign w:val="bottom"/>
            <w:hideMark/>
          </w:tcPr>
          <w:p w14:paraId="08AB4286"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b/>
                <w:bCs/>
              </w:rPr>
              <w:t>London</w:t>
            </w:r>
          </w:p>
        </w:tc>
        <w:tc>
          <w:tcPr>
            <w:tcW w:w="496" w:type="pct"/>
            <w:vAlign w:val="bottom"/>
            <w:hideMark/>
          </w:tcPr>
          <w:p w14:paraId="2D23B2F2"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b/>
                <w:bCs/>
              </w:rPr>
              <w:t>UK South</w:t>
            </w:r>
          </w:p>
        </w:tc>
        <w:tc>
          <w:tcPr>
            <w:tcW w:w="497" w:type="pct"/>
            <w:vAlign w:val="bottom"/>
            <w:hideMark/>
          </w:tcPr>
          <w:p w14:paraId="4D94C475"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b/>
                <w:bCs/>
              </w:rPr>
              <w:t>UK North</w:t>
            </w:r>
          </w:p>
        </w:tc>
        <w:tc>
          <w:tcPr>
            <w:tcW w:w="523" w:type="pct"/>
            <w:vAlign w:val="bottom"/>
            <w:hideMark/>
          </w:tcPr>
          <w:p w14:paraId="5F418E79"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b/>
                <w:bCs/>
              </w:rPr>
              <w:t>Unallocated</w:t>
            </w:r>
          </w:p>
        </w:tc>
        <w:tc>
          <w:tcPr>
            <w:tcW w:w="497" w:type="pct"/>
            <w:vAlign w:val="bottom"/>
            <w:hideMark/>
          </w:tcPr>
          <w:p w14:paraId="7103AD38"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b/>
                <w:bCs/>
              </w:rPr>
              <w:t>Total</w:t>
            </w:r>
          </w:p>
        </w:tc>
      </w:tr>
      <w:tr w:rsidR="00D75CA8" w:rsidRPr="00D80ACC" w14:paraId="3D0A1FBA" w14:textId="77777777" w:rsidTr="00D75CA8">
        <w:tc>
          <w:tcPr>
            <w:tcW w:w="2491" w:type="pct"/>
            <w:tcBorders>
              <w:top w:val="nil"/>
              <w:left w:val="nil"/>
              <w:bottom w:val="single" w:sz="4" w:space="0" w:color="000000" w:themeColor="text1"/>
              <w:right w:val="nil"/>
            </w:tcBorders>
            <w:vAlign w:val="bottom"/>
          </w:tcPr>
          <w:p w14:paraId="20250608" w14:textId="77777777" w:rsidR="00D75CA8" w:rsidRPr="00D80ACC" w:rsidRDefault="00D75CA8" w:rsidP="00D75CA8">
            <w:pPr>
              <w:widowControl w:val="0"/>
              <w:autoSpaceDE w:val="0"/>
              <w:autoSpaceDN w:val="0"/>
              <w:adjustRightInd w:val="0"/>
              <w:spacing w:after="0" w:line="240" w:lineRule="auto"/>
              <w:rPr>
                <w:rFonts w:cstheme="minorHAnsi"/>
              </w:rPr>
            </w:pPr>
          </w:p>
        </w:tc>
        <w:tc>
          <w:tcPr>
            <w:tcW w:w="496" w:type="pct"/>
            <w:tcBorders>
              <w:top w:val="nil"/>
              <w:left w:val="nil"/>
              <w:bottom w:val="single" w:sz="4" w:space="0" w:color="000000" w:themeColor="text1"/>
              <w:right w:val="nil"/>
            </w:tcBorders>
            <w:vAlign w:val="bottom"/>
            <w:hideMark/>
          </w:tcPr>
          <w:p w14:paraId="47651ECC"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b/>
                <w:bCs/>
              </w:rPr>
              <w:t>£m</w:t>
            </w:r>
          </w:p>
        </w:tc>
        <w:tc>
          <w:tcPr>
            <w:tcW w:w="496" w:type="pct"/>
            <w:tcBorders>
              <w:top w:val="nil"/>
              <w:left w:val="nil"/>
              <w:bottom w:val="single" w:sz="4" w:space="0" w:color="000000" w:themeColor="text1"/>
              <w:right w:val="nil"/>
            </w:tcBorders>
            <w:vAlign w:val="bottom"/>
            <w:hideMark/>
          </w:tcPr>
          <w:p w14:paraId="0D5B534D"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b/>
                <w:bCs/>
              </w:rPr>
              <w:t>£m</w:t>
            </w:r>
          </w:p>
        </w:tc>
        <w:tc>
          <w:tcPr>
            <w:tcW w:w="497" w:type="pct"/>
            <w:tcBorders>
              <w:top w:val="nil"/>
              <w:left w:val="nil"/>
              <w:bottom w:val="single" w:sz="4" w:space="0" w:color="000000" w:themeColor="text1"/>
              <w:right w:val="nil"/>
            </w:tcBorders>
            <w:vAlign w:val="bottom"/>
            <w:hideMark/>
          </w:tcPr>
          <w:p w14:paraId="039766A0"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b/>
                <w:bCs/>
              </w:rPr>
              <w:t>£m</w:t>
            </w:r>
          </w:p>
        </w:tc>
        <w:tc>
          <w:tcPr>
            <w:tcW w:w="523" w:type="pct"/>
            <w:tcBorders>
              <w:top w:val="nil"/>
              <w:left w:val="nil"/>
              <w:bottom w:val="single" w:sz="4" w:space="0" w:color="000000" w:themeColor="text1"/>
              <w:right w:val="nil"/>
            </w:tcBorders>
            <w:vAlign w:val="bottom"/>
            <w:hideMark/>
          </w:tcPr>
          <w:p w14:paraId="6248BDB2"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b/>
                <w:bCs/>
              </w:rPr>
              <w:t>£m</w:t>
            </w:r>
          </w:p>
        </w:tc>
        <w:tc>
          <w:tcPr>
            <w:tcW w:w="497" w:type="pct"/>
            <w:tcBorders>
              <w:top w:val="nil"/>
              <w:left w:val="nil"/>
              <w:bottom w:val="single" w:sz="4" w:space="0" w:color="000000" w:themeColor="text1"/>
              <w:right w:val="nil"/>
            </w:tcBorders>
            <w:vAlign w:val="bottom"/>
            <w:hideMark/>
          </w:tcPr>
          <w:p w14:paraId="1BA25100"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b/>
                <w:bCs/>
              </w:rPr>
              <w:t>£m</w:t>
            </w:r>
          </w:p>
        </w:tc>
      </w:tr>
      <w:tr w:rsidR="00D75CA8" w:rsidRPr="00D80ACC" w14:paraId="542DD32D" w14:textId="77777777" w:rsidTr="00D75CA8">
        <w:tc>
          <w:tcPr>
            <w:tcW w:w="2491" w:type="pct"/>
            <w:tcBorders>
              <w:top w:val="single" w:sz="4" w:space="0" w:color="000000" w:themeColor="text1"/>
              <w:left w:val="nil"/>
              <w:bottom w:val="single" w:sz="4" w:space="0" w:color="000000" w:themeColor="text1"/>
              <w:right w:val="nil"/>
            </w:tcBorders>
            <w:vAlign w:val="bottom"/>
            <w:hideMark/>
          </w:tcPr>
          <w:p w14:paraId="486FFB49"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t>Revenue from contracts with customers</w:t>
            </w:r>
          </w:p>
        </w:tc>
        <w:tc>
          <w:tcPr>
            <w:tcW w:w="496" w:type="pct"/>
            <w:tcBorders>
              <w:top w:val="single" w:sz="4" w:space="0" w:color="000000" w:themeColor="text1"/>
              <w:left w:val="nil"/>
              <w:bottom w:val="single" w:sz="4" w:space="0" w:color="000000" w:themeColor="text1"/>
              <w:right w:val="nil"/>
            </w:tcBorders>
            <w:vAlign w:val="bottom"/>
            <w:hideMark/>
          </w:tcPr>
          <w:p w14:paraId="0B07FBC3"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134.6</w:t>
            </w:r>
          </w:p>
        </w:tc>
        <w:tc>
          <w:tcPr>
            <w:tcW w:w="496" w:type="pct"/>
            <w:tcBorders>
              <w:top w:val="single" w:sz="4" w:space="0" w:color="000000" w:themeColor="text1"/>
              <w:left w:val="nil"/>
              <w:bottom w:val="single" w:sz="4" w:space="0" w:color="000000" w:themeColor="text1"/>
              <w:right w:val="nil"/>
            </w:tcBorders>
            <w:vAlign w:val="bottom"/>
            <w:hideMark/>
          </w:tcPr>
          <w:p w14:paraId="4C520BF4"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55.1</w:t>
            </w:r>
          </w:p>
        </w:tc>
        <w:tc>
          <w:tcPr>
            <w:tcW w:w="497" w:type="pct"/>
            <w:tcBorders>
              <w:top w:val="single" w:sz="4" w:space="0" w:color="000000" w:themeColor="text1"/>
              <w:left w:val="nil"/>
              <w:bottom w:val="single" w:sz="4" w:space="0" w:color="000000" w:themeColor="text1"/>
              <w:right w:val="nil"/>
            </w:tcBorders>
            <w:vAlign w:val="bottom"/>
            <w:hideMark/>
          </w:tcPr>
          <w:p w14:paraId="02A17E9D"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42.2</w:t>
            </w:r>
          </w:p>
        </w:tc>
        <w:tc>
          <w:tcPr>
            <w:tcW w:w="523" w:type="pct"/>
            <w:tcBorders>
              <w:top w:val="single" w:sz="4" w:space="0" w:color="000000" w:themeColor="text1"/>
              <w:left w:val="nil"/>
              <w:bottom w:val="single" w:sz="4" w:space="0" w:color="000000" w:themeColor="text1"/>
              <w:right w:val="nil"/>
            </w:tcBorders>
            <w:vAlign w:val="bottom"/>
            <w:hideMark/>
          </w:tcPr>
          <w:p w14:paraId="088300E4"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w:t>
            </w:r>
          </w:p>
        </w:tc>
        <w:tc>
          <w:tcPr>
            <w:tcW w:w="497" w:type="pct"/>
            <w:tcBorders>
              <w:top w:val="single" w:sz="4" w:space="0" w:color="000000" w:themeColor="text1"/>
              <w:left w:val="nil"/>
              <w:bottom w:val="single" w:sz="4" w:space="0" w:color="000000" w:themeColor="text1"/>
              <w:right w:val="nil"/>
            </w:tcBorders>
            <w:vAlign w:val="bottom"/>
            <w:hideMark/>
          </w:tcPr>
          <w:p w14:paraId="24C5D29F"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231.9</w:t>
            </w:r>
          </w:p>
        </w:tc>
      </w:tr>
      <w:tr w:rsidR="00D75CA8" w:rsidRPr="00D80ACC" w14:paraId="6FD12D01" w14:textId="77777777" w:rsidTr="00D75CA8">
        <w:tc>
          <w:tcPr>
            <w:tcW w:w="2491" w:type="pct"/>
            <w:tcBorders>
              <w:top w:val="single" w:sz="4" w:space="0" w:color="000000" w:themeColor="text1"/>
              <w:left w:val="nil"/>
              <w:right w:val="nil"/>
            </w:tcBorders>
            <w:vAlign w:val="bottom"/>
            <w:hideMark/>
          </w:tcPr>
          <w:p w14:paraId="7D0B437E"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t>Underlying operating profit</w:t>
            </w:r>
          </w:p>
        </w:tc>
        <w:tc>
          <w:tcPr>
            <w:tcW w:w="496" w:type="pct"/>
            <w:tcBorders>
              <w:top w:val="single" w:sz="4" w:space="0" w:color="000000" w:themeColor="text1"/>
              <w:left w:val="nil"/>
              <w:right w:val="nil"/>
            </w:tcBorders>
            <w:vAlign w:val="bottom"/>
            <w:hideMark/>
          </w:tcPr>
          <w:p w14:paraId="34292EB6"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4.9</w:t>
            </w:r>
          </w:p>
        </w:tc>
        <w:tc>
          <w:tcPr>
            <w:tcW w:w="496" w:type="pct"/>
            <w:tcBorders>
              <w:top w:val="single" w:sz="4" w:space="0" w:color="000000" w:themeColor="text1"/>
              <w:left w:val="nil"/>
              <w:right w:val="nil"/>
            </w:tcBorders>
            <w:vAlign w:val="bottom"/>
            <w:hideMark/>
          </w:tcPr>
          <w:p w14:paraId="2AF1D25C"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2.7</w:t>
            </w:r>
          </w:p>
        </w:tc>
        <w:tc>
          <w:tcPr>
            <w:tcW w:w="497" w:type="pct"/>
            <w:tcBorders>
              <w:top w:val="single" w:sz="4" w:space="0" w:color="000000" w:themeColor="text1"/>
              <w:left w:val="nil"/>
              <w:right w:val="nil"/>
            </w:tcBorders>
            <w:vAlign w:val="bottom"/>
            <w:hideMark/>
          </w:tcPr>
          <w:p w14:paraId="1A1FEFE3"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0.7</w:t>
            </w:r>
          </w:p>
        </w:tc>
        <w:tc>
          <w:tcPr>
            <w:tcW w:w="523" w:type="pct"/>
            <w:tcBorders>
              <w:top w:val="single" w:sz="4" w:space="0" w:color="000000" w:themeColor="text1"/>
              <w:left w:val="nil"/>
              <w:right w:val="nil"/>
            </w:tcBorders>
            <w:vAlign w:val="bottom"/>
            <w:hideMark/>
          </w:tcPr>
          <w:p w14:paraId="5642907C"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(2.3)</w:t>
            </w:r>
          </w:p>
        </w:tc>
        <w:tc>
          <w:tcPr>
            <w:tcW w:w="497" w:type="pct"/>
            <w:tcBorders>
              <w:top w:val="single" w:sz="4" w:space="0" w:color="000000" w:themeColor="text1"/>
              <w:left w:val="nil"/>
              <w:right w:val="nil"/>
            </w:tcBorders>
            <w:vAlign w:val="bottom"/>
            <w:hideMark/>
          </w:tcPr>
          <w:p w14:paraId="52ADC7A7"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6.0</w:t>
            </w:r>
          </w:p>
        </w:tc>
      </w:tr>
      <w:tr w:rsidR="00D75CA8" w:rsidRPr="00D80ACC" w14:paraId="138BE559" w14:textId="77777777" w:rsidTr="00D75CA8">
        <w:tc>
          <w:tcPr>
            <w:tcW w:w="2491" w:type="pct"/>
            <w:tcBorders>
              <w:left w:val="nil"/>
              <w:bottom w:val="nil"/>
              <w:right w:val="nil"/>
            </w:tcBorders>
            <w:vAlign w:val="bottom"/>
          </w:tcPr>
          <w:p w14:paraId="46B86950" w14:textId="77777777" w:rsidR="00D75CA8" w:rsidRPr="008A1761" w:rsidRDefault="00D75CA8" w:rsidP="00D75CA8">
            <w:pPr>
              <w:widowControl w:val="0"/>
              <w:autoSpaceDE w:val="0"/>
              <w:autoSpaceDN w:val="0"/>
              <w:adjustRightInd w:val="0"/>
              <w:spacing w:after="0" w:line="240" w:lineRule="auto"/>
              <w:rPr>
                <w:rFonts w:cstheme="minorHAnsi"/>
              </w:rPr>
            </w:pPr>
            <w:r w:rsidRPr="008A1761">
              <w:rPr>
                <w:rFonts w:cstheme="minorHAnsi"/>
              </w:rPr>
              <w:t>Restructuring costs</w:t>
            </w:r>
          </w:p>
        </w:tc>
        <w:tc>
          <w:tcPr>
            <w:tcW w:w="496" w:type="pct"/>
            <w:tcBorders>
              <w:left w:val="nil"/>
              <w:bottom w:val="nil"/>
              <w:right w:val="nil"/>
            </w:tcBorders>
            <w:vAlign w:val="bottom"/>
          </w:tcPr>
          <w:p w14:paraId="2BACF5E9"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w:t>
            </w:r>
          </w:p>
        </w:tc>
        <w:tc>
          <w:tcPr>
            <w:tcW w:w="496" w:type="pct"/>
            <w:tcBorders>
              <w:left w:val="nil"/>
              <w:bottom w:val="nil"/>
              <w:right w:val="nil"/>
            </w:tcBorders>
            <w:vAlign w:val="bottom"/>
          </w:tcPr>
          <w:p w14:paraId="2562A8F0"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w:t>
            </w:r>
          </w:p>
        </w:tc>
        <w:tc>
          <w:tcPr>
            <w:tcW w:w="497" w:type="pct"/>
            <w:tcBorders>
              <w:left w:val="nil"/>
              <w:bottom w:val="nil"/>
              <w:right w:val="nil"/>
            </w:tcBorders>
            <w:vAlign w:val="bottom"/>
          </w:tcPr>
          <w:p w14:paraId="54F7C8FE"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w:t>
            </w:r>
          </w:p>
        </w:tc>
        <w:tc>
          <w:tcPr>
            <w:tcW w:w="523" w:type="pct"/>
            <w:tcBorders>
              <w:left w:val="nil"/>
              <w:bottom w:val="nil"/>
              <w:right w:val="nil"/>
            </w:tcBorders>
            <w:vAlign w:val="bottom"/>
          </w:tcPr>
          <w:p w14:paraId="40E68EE4"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(3.</w:t>
            </w:r>
            <w:r>
              <w:rPr>
                <w:rFonts w:cstheme="minorHAnsi"/>
                <w:b/>
                <w:bCs/>
              </w:rPr>
              <w:t>7</w:t>
            </w:r>
            <w:r w:rsidRPr="008A1761">
              <w:rPr>
                <w:rFonts w:cstheme="minorHAnsi"/>
                <w:b/>
                <w:bCs/>
              </w:rPr>
              <w:t>)</w:t>
            </w:r>
          </w:p>
        </w:tc>
        <w:tc>
          <w:tcPr>
            <w:tcW w:w="497" w:type="pct"/>
            <w:tcBorders>
              <w:left w:val="nil"/>
              <w:bottom w:val="nil"/>
              <w:right w:val="nil"/>
            </w:tcBorders>
            <w:vAlign w:val="bottom"/>
          </w:tcPr>
          <w:p w14:paraId="680499C4"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(3.</w:t>
            </w:r>
            <w:r>
              <w:rPr>
                <w:rFonts w:cstheme="minorHAnsi"/>
                <w:b/>
                <w:bCs/>
              </w:rPr>
              <w:t>7</w:t>
            </w:r>
            <w:r w:rsidRPr="008A1761">
              <w:rPr>
                <w:rFonts w:cstheme="minorHAnsi"/>
                <w:b/>
                <w:bCs/>
              </w:rPr>
              <w:t>)</w:t>
            </w:r>
          </w:p>
        </w:tc>
      </w:tr>
      <w:tr w:rsidR="00D75CA8" w:rsidRPr="00D80ACC" w14:paraId="11888C65" w14:textId="77777777" w:rsidTr="00D75CA8">
        <w:tc>
          <w:tcPr>
            <w:tcW w:w="2491" w:type="pct"/>
            <w:tcBorders>
              <w:top w:val="nil"/>
              <w:left w:val="nil"/>
              <w:bottom w:val="single" w:sz="4" w:space="0" w:color="000000" w:themeColor="text1"/>
              <w:right w:val="nil"/>
            </w:tcBorders>
            <w:vAlign w:val="bottom"/>
            <w:hideMark/>
          </w:tcPr>
          <w:p w14:paraId="78EA4572"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Amortisation of intangibles</w:t>
            </w:r>
          </w:p>
        </w:tc>
        <w:tc>
          <w:tcPr>
            <w:tcW w:w="496" w:type="pct"/>
            <w:tcBorders>
              <w:top w:val="nil"/>
              <w:left w:val="nil"/>
              <w:bottom w:val="single" w:sz="4" w:space="0" w:color="000000" w:themeColor="text1"/>
              <w:right w:val="nil"/>
            </w:tcBorders>
            <w:vAlign w:val="bottom"/>
            <w:hideMark/>
          </w:tcPr>
          <w:p w14:paraId="4E771682"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w:t>
            </w:r>
          </w:p>
        </w:tc>
        <w:tc>
          <w:tcPr>
            <w:tcW w:w="496" w:type="pct"/>
            <w:tcBorders>
              <w:top w:val="nil"/>
              <w:left w:val="nil"/>
              <w:bottom w:val="single" w:sz="4" w:space="0" w:color="000000" w:themeColor="text1"/>
              <w:right w:val="nil"/>
            </w:tcBorders>
            <w:vAlign w:val="bottom"/>
            <w:hideMark/>
          </w:tcPr>
          <w:p w14:paraId="49A748E0"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w:t>
            </w:r>
          </w:p>
        </w:tc>
        <w:tc>
          <w:tcPr>
            <w:tcW w:w="497" w:type="pct"/>
            <w:tcBorders>
              <w:top w:val="nil"/>
              <w:left w:val="nil"/>
              <w:bottom w:val="single" w:sz="4" w:space="0" w:color="000000" w:themeColor="text1"/>
              <w:right w:val="nil"/>
            </w:tcBorders>
            <w:vAlign w:val="bottom"/>
            <w:hideMark/>
          </w:tcPr>
          <w:p w14:paraId="31A39670"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(0.</w:t>
            </w:r>
            <w:r>
              <w:rPr>
                <w:rFonts w:cstheme="minorHAnsi"/>
                <w:b/>
                <w:bCs/>
              </w:rPr>
              <w:t>2</w:t>
            </w:r>
            <w:r w:rsidRPr="008A1761">
              <w:rPr>
                <w:rFonts w:cstheme="minorHAnsi"/>
                <w:b/>
                <w:bCs/>
              </w:rPr>
              <w:t>)</w:t>
            </w:r>
          </w:p>
        </w:tc>
        <w:tc>
          <w:tcPr>
            <w:tcW w:w="523" w:type="pct"/>
            <w:tcBorders>
              <w:top w:val="nil"/>
              <w:left w:val="nil"/>
              <w:bottom w:val="single" w:sz="4" w:space="0" w:color="000000" w:themeColor="text1"/>
              <w:right w:val="nil"/>
            </w:tcBorders>
            <w:vAlign w:val="bottom"/>
            <w:hideMark/>
          </w:tcPr>
          <w:p w14:paraId="6BCF1117"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w:t>
            </w:r>
          </w:p>
        </w:tc>
        <w:tc>
          <w:tcPr>
            <w:tcW w:w="497" w:type="pct"/>
            <w:tcBorders>
              <w:top w:val="nil"/>
              <w:left w:val="nil"/>
              <w:bottom w:val="single" w:sz="4" w:space="0" w:color="000000" w:themeColor="text1"/>
              <w:right w:val="nil"/>
            </w:tcBorders>
            <w:vAlign w:val="bottom"/>
            <w:hideMark/>
          </w:tcPr>
          <w:p w14:paraId="01CF875C"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(0.</w:t>
            </w:r>
            <w:r>
              <w:rPr>
                <w:rFonts w:cstheme="minorHAnsi"/>
                <w:b/>
                <w:bCs/>
              </w:rPr>
              <w:t>2</w:t>
            </w:r>
            <w:r w:rsidRPr="008A1761">
              <w:rPr>
                <w:rFonts w:cstheme="minorHAnsi"/>
                <w:b/>
                <w:bCs/>
              </w:rPr>
              <w:t>)</w:t>
            </w:r>
          </w:p>
        </w:tc>
      </w:tr>
      <w:tr w:rsidR="00D75CA8" w:rsidRPr="00D80ACC" w14:paraId="7BEEE4B7" w14:textId="77777777" w:rsidTr="00D75CA8">
        <w:tc>
          <w:tcPr>
            <w:tcW w:w="2491" w:type="pct"/>
            <w:tcBorders>
              <w:top w:val="single" w:sz="4" w:space="0" w:color="000000" w:themeColor="text1"/>
              <w:left w:val="nil"/>
              <w:bottom w:val="nil"/>
              <w:right w:val="nil"/>
            </w:tcBorders>
            <w:vAlign w:val="bottom"/>
            <w:hideMark/>
          </w:tcPr>
          <w:p w14:paraId="3E7ECC78"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t>Operating profit</w:t>
            </w:r>
          </w:p>
        </w:tc>
        <w:tc>
          <w:tcPr>
            <w:tcW w:w="496" w:type="pct"/>
            <w:tcBorders>
              <w:top w:val="single" w:sz="4" w:space="0" w:color="000000" w:themeColor="text1"/>
              <w:left w:val="nil"/>
              <w:bottom w:val="nil"/>
              <w:right w:val="nil"/>
            </w:tcBorders>
            <w:vAlign w:val="bottom"/>
            <w:hideMark/>
          </w:tcPr>
          <w:p w14:paraId="2176F6E8"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4.9</w:t>
            </w:r>
          </w:p>
        </w:tc>
        <w:tc>
          <w:tcPr>
            <w:tcW w:w="496" w:type="pct"/>
            <w:tcBorders>
              <w:top w:val="single" w:sz="4" w:space="0" w:color="000000" w:themeColor="text1"/>
              <w:left w:val="nil"/>
              <w:bottom w:val="nil"/>
              <w:right w:val="nil"/>
            </w:tcBorders>
            <w:vAlign w:val="bottom"/>
            <w:hideMark/>
          </w:tcPr>
          <w:p w14:paraId="6BEAD78E"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2.7</w:t>
            </w:r>
          </w:p>
        </w:tc>
        <w:tc>
          <w:tcPr>
            <w:tcW w:w="497" w:type="pct"/>
            <w:tcBorders>
              <w:top w:val="single" w:sz="4" w:space="0" w:color="000000" w:themeColor="text1"/>
              <w:left w:val="nil"/>
              <w:bottom w:val="nil"/>
              <w:right w:val="nil"/>
            </w:tcBorders>
            <w:vAlign w:val="bottom"/>
            <w:hideMark/>
          </w:tcPr>
          <w:p w14:paraId="2B5C420C"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0.</w:t>
            </w:r>
            <w:r>
              <w:rPr>
                <w:rFonts w:cstheme="minorHAnsi"/>
                <w:b/>
                <w:bCs/>
              </w:rPr>
              <w:t>5</w:t>
            </w:r>
          </w:p>
        </w:tc>
        <w:tc>
          <w:tcPr>
            <w:tcW w:w="523" w:type="pct"/>
            <w:tcBorders>
              <w:top w:val="single" w:sz="4" w:space="0" w:color="000000" w:themeColor="text1"/>
              <w:left w:val="nil"/>
              <w:bottom w:val="nil"/>
              <w:right w:val="nil"/>
            </w:tcBorders>
            <w:vAlign w:val="bottom"/>
            <w:hideMark/>
          </w:tcPr>
          <w:p w14:paraId="0D5E89B9"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(6.</w:t>
            </w:r>
            <w:r>
              <w:rPr>
                <w:rFonts w:cstheme="minorHAnsi"/>
                <w:b/>
                <w:bCs/>
              </w:rPr>
              <w:t>0</w:t>
            </w:r>
            <w:r w:rsidRPr="008A1761">
              <w:rPr>
                <w:rFonts w:cstheme="minorHAnsi"/>
                <w:b/>
                <w:bCs/>
              </w:rPr>
              <w:t>)</w:t>
            </w:r>
          </w:p>
        </w:tc>
        <w:tc>
          <w:tcPr>
            <w:tcW w:w="497" w:type="pct"/>
            <w:tcBorders>
              <w:top w:val="single" w:sz="4" w:space="0" w:color="000000" w:themeColor="text1"/>
              <w:left w:val="nil"/>
              <w:bottom w:val="nil"/>
              <w:right w:val="nil"/>
            </w:tcBorders>
            <w:vAlign w:val="bottom"/>
            <w:hideMark/>
          </w:tcPr>
          <w:p w14:paraId="7ED63CFE"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2.1</w:t>
            </w:r>
          </w:p>
        </w:tc>
      </w:tr>
      <w:tr w:rsidR="00D75CA8" w:rsidRPr="00D80ACC" w14:paraId="05CEF9D6" w14:textId="77777777" w:rsidTr="00D75CA8">
        <w:tc>
          <w:tcPr>
            <w:tcW w:w="2491" w:type="pct"/>
            <w:tcBorders>
              <w:top w:val="nil"/>
              <w:left w:val="nil"/>
              <w:bottom w:val="single" w:sz="4" w:space="0" w:color="000000" w:themeColor="text1"/>
              <w:right w:val="nil"/>
            </w:tcBorders>
            <w:vAlign w:val="bottom"/>
            <w:hideMark/>
          </w:tcPr>
          <w:p w14:paraId="16C937D8"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Finance costs</w:t>
            </w:r>
          </w:p>
        </w:tc>
        <w:tc>
          <w:tcPr>
            <w:tcW w:w="496" w:type="pct"/>
            <w:tcBorders>
              <w:top w:val="nil"/>
              <w:left w:val="nil"/>
              <w:bottom w:val="single" w:sz="4" w:space="0" w:color="000000" w:themeColor="text1"/>
              <w:right w:val="nil"/>
            </w:tcBorders>
            <w:vAlign w:val="bottom"/>
            <w:hideMark/>
          </w:tcPr>
          <w:p w14:paraId="40701A95"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w:t>
            </w:r>
          </w:p>
        </w:tc>
        <w:tc>
          <w:tcPr>
            <w:tcW w:w="496" w:type="pct"/>
            <w:tcBorders>
              <w:top w:val="nil"/>
              <w:left w:val="nil"/>
              <w:bottom w:val="single" w:sz="4" w:space="0" w:color="000000" w:themeColor="text1"/>
              <w:right w:val="nil"/>
            </w:tcBorders>
            <w:vAlign w:val="bottom"/>
            <w:hideMark/>
          </w:tcPr>
          <w:p w14:paraId="27B89A0D"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w:t>
            </w:r>
          </w:p>
        </w:tc>
        <w:tc>
          <w:tcPr>
            <w:tcW w:w="497" w:type="pct"/>
            <w:tcBorders>
              <w:top w:val="nil"/>
              <w:left w:val="nil"/>
              <w:bottom w:val="single" w:sz="4" w:space="0" w:color="000000" w:themeColor="text1"/>
              <w:right w:val="nil"/>
            </w:tcBorders>
            <w:vAlign w:val="bottom"/>
            <w:hideMark/>
          </w:tcPr>
          <w:p w14:paraId="6FFAA8FB"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w:t>
            </w:r>
          </w:p>
        </w:tc>
        <w:tc>
          <w:tcPr>
            <w:tcW w:w="523" w:type="pct"/>
            <w:tcBorders>
              <w:top w:val="nil"/>
              <w:left w:val="nil"/>
              <w:bottom w:val="single" w:sz="4" w:space="0" w:color="000000" w:themeColor="text1"/>
              <w:right w:val="nil"/>
            </w:tcBorders>
            <w:vAlign w:val="bottom"/>
            <w:hideMark/>
          </w:tcPr>
          <w:p w14:paraId="7E31913A"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(0.9)</w:t>
            </w:r>
          </w:p>
        </w:tc>
        <w:tc>
          <w:tcPr>
            <w:tcW w:w="497" w:type="pct"/>
            <w:tcBorders>
              <w:top w:val="nil"/>
              <w:left w:val="nil"/>
              <w:bottom w:val="single" w:sz="4" w:space="0" w:color="000000" w:themeColor="text1"/>
              <w:right w:val="nil"/>
            </w:tcBorders>
            <w:vAlign w:val="bottom"/>
            <w:hideMark/>
          </w:tcPr>
          <w:p w14:paraId="4E9D5B93"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(0.9)</w:t>
            </w:r>
          </w:p>
        </w:tc>
      </w:tr>
      <w:tr w:rsidR="00D75CA8" w:rsidRPr="00D80ACC" w14:paraId="4B845205" w14:textId="77777777" w:rsidTr="00D75CA8">
        <w:tc>
          <w:tcPr>
            <w:tcW w:w="2491" w:type="pct"/>
            <w:tcBorders>
              <w:top w:val="single" w:sz="4" w:space="0" w:color="000000" w:themeColor="text1"/>
              <w:left w:val="nil"/>
              <w:bottom w:val="nil"/>
              <w:right w:val="nil"/>
            </w:tcBorders>
            <w:vAlign w:val="bottom"/>
            <w:hideMark/>
          </w:tcPr>
          <w:p w14:paraId="70533BA4"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t>Profit before tax</w:t>
            </w:r>
          </w:p>
        </w:tc>
        <w:tc>
          <w:tcPr>
            <w:tcW w:w="496" w:type="pct"/>
            <w:tcBorders>
              <w:top w:val="single" w:sz="4" w:space="0" w:color="000000" w:themeColor="text1"/>
              <w:left w:val="nil"/>
              <w:bottom w:val="nil"/>
              <w:right w:val="nil"/>
            </w:tcBorders>
            <w:vAlign w:val="bottom"/>
            <w:hideMark/>
          </w:tcPr>
          <w:p w14:paraId="4423E58F"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4.9</w:t>
            </w:r>
          </w:p>
        </w:tc>
        <w:tc>
          <w:tcPr>
            <w:tcW w:w="496" w:type="pct"/>
            <w:tcBorders>
              <w:top w:val="single" w:sz="4" w:space="0" w:color="000000" w:themeColor="text1"/>
              <w:left w:val="nil"/>
              <w:bottom w:val="nil"/>
              <w:right w:val="nil"/>
            </w:tcBorders>
            <w:vAlign w:val="bottom"/>
            <w:hideMark/>
          </w:tcPr>
          <w:p w14:paraId="302A76D7"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2.7</w:t>
            </w:r>
          </w:p>
        </w:tc>
        <w:tc>
          <w:tcPr>
            <w:tcW w:w="497" w:type="pct"/>
            <w:tcBorders>
              <w:top w:val="single" w:sz="4" w:space="0" w:color="000000" w:themeColor="text1"/>
              <w:left w:val="nil"/>
              <w:bottom w:val="nil"/>
              <w:right w:val="nil"/>
            </w:tcBorders>
            <w:vAlign w:val="bottom"/>
            <w:hideMark/>
          </w:tcPr>
          <w:p w14:paraId="681DF26A"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0.</w:t>
            </w:r>
            <w:r>
              <w:rPr>
                <w:rFonts w:cstheme="minorHAnsi"/>
                <w:b/>
                <w:bCs/>
              </w:rPr>
              <w:t>5</w:t>
            </w:r>
          </w:p>
        </w:tc>
        <w:tc>
          <w:tcPr>
            <w:tcW w:w="523" w:type="pct"/>
            <w:tcBorders>
              <w:top w:val="single" w:sz="4" w:space="0" w:color="000000" w:themeColor="text1"/>
              <w:left w:val="nil"/>
              <w:bottom w:val="nil"/>
              <w:right w:val="nil"/>
            </w:tcBorders>
            <w:vAlign w:val="bottom"/>
            <w:hideMark/>
          </w:tcPr>
          <w:p w14:paraId="5FE9C451"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w:t>
            </w:r>
            <w:r>
              <w:rPr>
                <w:rFonts w:cstheme="minorHAnsi"/>
                <w:b/>
                <w:bCs/>
              </w:rPr>
              <w:t>6</w:t>
            </w:r>
            <w:r w:rsidRPr="008A1761">
              <w:rPr>
                <w:rFonts w:cstheme="minorHAnsi"/>
                <w:b/>
                <w:bCs/>
              </w:rPr>
              <w:t>.</w:t>
            </w:r>
            <w:r>
              <w:rPr>
                <w:rFonts w:cstheme="minorHAnsi"/>
                <w:b/>
                <w:bCs/>
              </w:rPr>
              <w:t>9</w:t>
            </w:r>
            <w:r w:rsidRPr="008A1761">
              <w:rPr>
                <w:rFonts w:cstheme="minorHAnsi"/>
                <w:b/>
                <w:bCs/>
              </w:rPr>
              <w:t>)</w:t>
            </w:r>
          </w:p>
        </w:tc>
        <w:tc>
          <w:tcPr>
            <w:tcW w:w="497" w:type="pct"/>
            <w:tcBorders>
              <w:top w:val="single" w:sz="4" w:space="0" w:color="000000" w:themeColor="text1"/>
              <w:left w:val="nil"/>
              <w:bottom w:val="nil"/>
              <w:right w:val="nil"/>
            </w:tcBorders>
            <w:vAlign w:val="bottom"/>
            <w:hideMark/>
          </w:tcPr>
          <w:p w14:paraId="261D4247"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1.2</w:t>
            </w:r>
          </w:p>
        </w:tc>
      </w:tr>
      <w:tr w:rsidR="00D75CA8" w:rsidRPr="00D80ACC" w14:paraId="7EFBE44B" w14:textId="77777777" w:rsidTr="00D75CA8">
        <w:tc>
          <w:tcPr>
            <w:tcW w:w="2491" w:type="pct"/>
            <w:tcBorders>
              <w:top w:val="nil"/>
              <w:left w:val="nil"/>
              <w:bottom w:val="single" w:sz="4" w:space="0" w:color="000000" w:themeColor="text1"/>
              <w:right w:val="nil"/>
            </w:tcBorders>
            <w:vAlign w:val="bottom"/>
            <w:hideMark/>
          </w:tcPr>
          <w:p w14:paraId="2E4B5472"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Taxation expenses</w:t>
            </w:r>
          </w:p>
        </w:tc>
        <w:tc>
          <w:tcPr>
            <w:tcW w:w="496" w:type="pct"/>
            <w:tcBorders>
              <w:top w:val="nil"/>
              <w:left w:val="nil"/>
              <w:bottom w:val="single" w:sz="4" w:space="0" w:color="000000" w:themeColor="text1"/>
              <w:right w:val="nil"/>
            </w:tcBorders>
            <w:vAlign w:val="bottom"/>
            <w:hideMark/>
          </w:tcPr>
          <w:p w14:paraId="1AF36FF5"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w:t>
            </w:r>
          </w:p>
        </w:tc>
        <w:tc>
          <w:tcPr>
            <w:tcW w:w="496" w:type="pct"/>
            <w:tcBorders>
              <w:top w:val="nil"/>
              <w:left w:val="nil"/>
              <w:bottom w:val="single" w:sz="4" w:space="0" w:color="000000" w:themeColor="text1"/>
              <w:right w:val="nil"/>
            </w:tcBorders>
            <w:vAlign w:val="bottom"/>
            <w:hideMark/>
          </w:tcPr>
          <w:p w14:paraId="081ADBFB"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w:t>
            </w:r>
          </w:p>
        </w:tc>
        <w:tc>
          <w:tcPr>
            <w:tcW w:w="497" w:type="pct"/>
            <w:tcBorders>
              <w:top w:val="nil"/>
              <w:left w:val="nil"/>
              <w:bottom w:val="single" w:sz="4" w:space="0" w:color="000000" w:themeColor="text1"/>
              <w:right w:val="nil"/>
            </w:tcBorders>
            <w:vAlign w:val="bottom"/>
            <w:hideMark/>
          </w:tcPr>
          <w:p w14:paraId="0975D4B9"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w:t>
            </w:r>
          </w:p>
        </w:tc>
        <w:tc>
          <w:tcPr>
            <w:tcW w:w="523" w:type="pct"/>
            <w:tcBorders>
              <w:top w:val="nil"/>
              <w:left w:val="nil"/>
              <w:bottom w:val="single" w:sz="4" w:space="0" w:color="000000" w:themeColor="text1"/>
              <w:right w:val="nil"/>
            </w:tcBorders>
            <w:vAlign w:val="bottom"/>
            <w:hideMark/>
          </w:tcPr>
          <w:p w14:paraId="086E7AF4"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w:t>
            </w:r>
          </w:p>
        </w:tc>
        <w:tc>
          <w:tcPr>
            <w:tcW w:w="497" w:type="pct"/>
            <w:tcBorders>
              <w:top w:val="nil"/>
              <w:left w:val="nil"/>
              <w:bottom w:val="single" w:sz="4" w:space="0" w:color="000000" w:themeColor="text1"/>
              <w:right w:val="nil"/>
            </w:tcBorders>
            <w:vAlign w:val="bottom"/>
            <w:hideMark/>
          </w:tcPr>
          <w:p w14:paraId="116F8988"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w:t>
            </w:r>
          </w:p>
        </w:tc>
      </w:tr>
      <w:tr w:rsidR="00D75CA8" w:rsidRPr="00D80ACC" w14:paraId="29BEF22A" w14:textId="77777777" w:rsidTr="00D75CA8">
        <w:tc>
          <w:tcPr>
            <w:tcW w:w="2491" w:type="pct"/>
            <w:tcBorders>
              <w:top w:val="single" w:sz="4" w:space="0" w:color="000000" w:themeColor="text1"/>
              <w:left w:val="nil"/>
              <w:bottom w:val="single" w:sz="12" w:space="0" w:color="000000" w:themeColor="text1"/>
              <w:right w:val="nil"/>
            </w:tcBorders>
            <w:vAlign w:val="bottom"/>
            <w:hideMark/>
          </w:tcPr>
          <w:p w14:paraId="207212CD"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t>Profit for the year</w:t>
            </w:r>
          </w:p>
        </w:tc>
        <w:tc>
          <w:tcPr>
            <w:tcW w:w="496" w:type="pct"/>
            <w:tcBorders>
              <w:top w:val="single" w:sz="4" w:space="0" w:color="000000" w:themeColor="text1"/>
              <w:left w:val="nil"/>
              <w:bottom w:val="single" w:sz="12" w:space="0" w:color="000000" w:themeColor="text1"/>
              <w:right w:val="nil"/>
            </w:tcBorders>
            <w:vAlign w:val="bottom"/>
            <w:hideMark/>
          </w:tcPr>
          <w:p w14:paraId="5347F832"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4.9</w:t>
            </w:r>
          </w:p>
        </w:tc>
        <w:tc>
          <w:tcPr>
            <w:tcW w:w="496" w:type="pct"/>
            <w:tcBorders>
              <w:top w:val="single" w:sz="4" w:space="0" w:color="000000" w:themeColor="text1"/>
              <w:left w:val="nil"/>
              <w:bottom w:val="single" w:sz="12" w:space="0" w:color="000000" w:themeColor="text1"/>
              <w:right w:val="nil"/>
            </w:tcBorders>
            <w:vAlign w:val="bottom"/>
            <w:hideMark/>
          </w:tcPr>
          <w:p w14:paraId="0B097913"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2.7</w:t>
            </w:r>
          </w:p>
        </w:tc>
        <w:tc>
          <w:tcPr>
            <w:tcW w:w="497" w:type="pct"/>
            <w:tcBorders>
              <w:top w:val="single" w:sz="4" w:space="0" w:color="000000" w:themeColor="text1"/>
              <w:left w:val="nil"/>
              <w:bottom w:val="single" w:sz="12" w:space="0" w:color="000000" w:themeColor="text1"/>
              <w:right w:val="nil"/>
            </w:tcBorders>
            <w:vAlign w:val="bottom"/>
            <w:hideMark/>
          </w:tcPr>
          <w:p w14:paraId="05767864"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0.</w:t>
            </w:r>
            <w:r>
              <w:rPr>
                <w:rFonts w:cstheme="minorHAnsi"/>
                <w:b/>
                <w:bCs/>
              </w:rPr>
              <w:t>5</w:t>
            </w:r>
          </w:p>
        </w:tc>
        <w:tc>
          <w:tcPr>
            <w:tcW w:w="523" w:type="pct"/>
            <w:tcBorders>
              <w:top w:val="single" w:sz="4" w:space="0" w:color="000000" w:themeColor="text1"/>
              <w:left w:val="nil"/>
              <w:bottom w:val="single" w:sz="12" w:space="0" w:color="000000" w:themeColor="text1"/>
              <w:right w:val="nil"/>
            </w:tcBorders>
            <w:vAlign w:val="bottom"/>
            <w:hideMark/>
          </w:tcPr>
          <w:p w14:paraId="2CF5476E"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w:t>
            </w:r>
            <w:r>
              <w:rPr>
                <w:rFonts w:cstheme="minorHAnsi"/>
                <w:b/>
                <w:bCs/>
              </w:rPr>
              <w:t>6</w:t>
            </w:r>
            <w:r w:rsidRPr="008A1761">
              <w:rPr>
                <w:rFonts w:cstheme="minorHAnsi"/>
                <w:b/>
                <w:bCs/>
              </w:rPr>
              <w:t>.</w:t>
            </w:r>
            <w:r>
              <w:rPr>
                <w:rFonts w:cstheme="minorHAnsi"/>
                <w:b/>
                <w:bCs/>
              </w:rPr>
              <w:t>9</w:t>
            </w:r>
            <w:r w:rsidRPr="008A1761">
              <w:rPr>
                <w:rFonts w:cstheme="minorHAnsi"/>
                <w:b/>
                <w:bCs/>
              </w:rPr>
              <w:t>)</w:t>
            </w:r>
          </w:p>
        </w:tc>
        <w:tc>
          <w:tcPr>
            <w:tcW w:w="497" w:type="pct"/>
            <w:tcBorders>
              <w:top w:val="single" w:sz="4" w:space="0" w:color="000000" w:themeColor="text1"/>
              <w:left w:val="nil"/>
              <w:bottom w:val="single" w:sz="12" w:space="0" w:color="000000" w:themeColor="text1"/>
              <w:right w:val="nil"/>
            </w:tcBorders>
            <w:vAlign w:val="bottom"/>
            <w:hideMark/>
          </w:tcPr>
          <w:p w14:paraId="58C21C27" w14:textId="77777777" w:rsidR="00D75CA8" w:rsidRPr="008A1761" w:rsidRDefault="00D75CA8" w:rsidP="00D75CA8">
            <w:pPr>
              <w:widowControl w:val="0"/>
              <w:autoSpaceDE w:val="0"/>
              <w:autoSpaceDN w:val="0"/>
              <w:adjustRightInd w:val="0"/>
              <w:spacing w:after="0" w:line="240" w:lineRule="auto"/>
              <w:jc w:val="right"/>
              <w:rPr>
                <w:rFonts w:cstheme="minorHAnsi"/>
                <w:b/>
                <w:bCs/>
              </w:rPr>
            </w:pPr>
            <w:r w:rsidRPr="008A1761">
              <w:rPr>
                <w:rFonts w:cstheme="minorHAnsi"/>
                <w:b/>
                <w:bCs/>
              </w:rPr>
              <w:t>1.2</w:t>
            </w:r>
          </w:p>
        </w:tc>
      </w:tr>
    </w:tbl>
    <w:p w14:paraId="0D7A93DA" w14:textId="42B04844" w:rsidR="00D75CA8" w:rsidRDefault="00D75CA8" w:rsidP="00C46D98">
      <w:pPr>
        <w:widowControl w:val="0"/>
        <w:autoSpaceDE w:val="0"/>
        <w:autoSpaceDN w:val="0"/>
        <w:adjustRightInd w:val="0"/>
        <w:rPr>
          <w:rFonts w:cs="Times New Roman"/>
          <w:b/>
          <w:bCs/>
          <w:color w:val="002060"/>
          <w:sz w:val="28"/>
          <w:szCs w:val="28"/>
        </w:rPr>
      </w:pPr>
    </w:p>
    <w:tbl>
      <w:tblPr>
        <w:tblW w:w="5025" w:type="pct"/>
        <w:tblCellMar>
          <w:left w:w="0" w:type="dxa"/>
          <w:right w:w="0" w:type="dxa"/>
        </w:tblCellMar>
        <w:tblLook w:val="04A0" w:firstRow="1" w:lastRow="0" w:firstColumn="1" w:lastColumn="0" w:noHBand="0" w:noVBand="1"/>
      </w:tblPr>
      <w:tblGrid>
        <w:gridCol w:w="5401"/>
        <w:gridCol w:w="1081"/>
        <w:gridCol w:w="1081"/>
        <w:gridCol w:w="1081"/>
        <w:gridCol w:w="1133"/>
        <w:gridCol w:w="1077"/>
      </w:tblGrid>
      <w:tr w:rsidR="00D75CA8" w:rsidRPr="00D80ACC" w14:paraId="4546E37D" w14:textId="77777777" w:rsidTr="00D75CA8">
        <w:tc>
          <w:tcPr>
            <w:tcW w:w="2488" w:type="pct"/>
            <w:vAlign w:val="bottom"/>
          </w:tcPr>
          <w:p w14:paraId="3E6F54AA" w14:textId="77777777" w:rsidR="00D75CA8" w:rsidRPr="00D80ACC" w:rsidRDefault="00D75CA8" w:rsidP="00D75CA8">
            <w:pPr>
              <w:widowControl w:val="0"/>
              <w:autoSpaceDE w:val="0"/>
              <w:autoSpaceDN w:val="0"/>
              <w:adjustRightInd w:val="0"/>
              <w:spacing w:after="0" w:line="240" w:lineRule="auto"/>
              <w:rPr>
                <w:rFonts w:cstheme="minorHAnsi"/>
              </w:rPr>
            </w:pPr>
          </w:p>
        </w:tc>
        <w:tc>
          <w:tcPr>
            <w:tcW w:w="498" w:type="pct"/>
            <w:vAlign w:val="bottom"/>
          </w:tcPr>
          <w:p w14:paraId="500FE156"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498" w:type="pct"/>
            <w:vAlign w:val="bottom"/>
            <w:hideMark/>
          </w:tcPr>
          <w:p w14:paraId="0C448972"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b/>
                <w:bCs/>
              </w:rPr>
              <w:t>London</w:t>
            </w:r>
          </w:p>
        </w:tc>
        <w:tc>
          <w:tcPr>
            <w:tcW w:w="498" w:type="pct"/>
            <w:vAlign w:val="bottom"/>
            <w:hideMark/>
          </w:tcPr>
          <w:p w14:paraId="3C598ECA"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b/>
                <w:bCs/>
              </w:rPr>
              <w:t>UK South</w:t>
            </w:r>
          </w:p>
        </w:tc>
        <w:tc>
          <w:tcPr>
            <w:tcW w:w="522" w:type="pct"/>
            <w:vAlign w:val="bottom"/>
            <w:hideMark/>
          </w:tcPr>
          <w:p w14:paraId="52C7B3F2"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b/>
                <w:bCs/>
              </w:rPr>
              <w:t>UK North</w:t>
            </w:r>
          </w:p>
        </w:tc>
        <w:tc>
          <w:tcPr>
            <w:tcW w:w="496" w:type="pct"/>
            <w:vAlign w:val="bottom"/>
            <w:hideMark/>
          </w:tcPr>
          <w:p w14:paraId="524F3F94"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b/>
                <w:bCs/>
              </w:rPr>
              <w:t>Total</w:t>
            </w:r>
          </w:p>
        </w:tc>
      </w:tr>
      <w:tr w:rsidR="00D75CA8" w:rsidRPr="00D80ACC" w14:paraId="3300DC78" w14:textId="77777777" w:rsidTr="00D75CA8">
        <w:tc>
          <w:tcPr>
            <w:tcW w:w="2488" w:type="pct"/>
            <w:tcBorders>
              <w:top w:val="nil"/>
              <w:left w:val="nil"/>
              <w:bottom w:val="single" w:sz="4" w:space="0" w:color="000000" w:themeColor="text1"/>
              <w:right w:val="nil"/>
            </w:tcBorders>
            <w:vAlign w:val="bottom"/>
          </w:tcPr>
          <w:p w14:paraId="4B91FA44" w14:textId="77777777" w:rsidR="00D75CA8" w:rsidRPr="00D80ACC" w:rsidRDefault="00D75CA8" w:rsidP="00D75CA8">
            <w:pPr>
              <w:widowControl w:val="0"/>
              <w:autoSpaceDE w:val="0"/>
              <w:autoSpaceDN w:val="0"/>
              <w:adjustRightInd w:val="0"/>
              <w:spacing w:after="0" w:line="240" w:lineRule="auto"/>
              <w:rPr>
                <w:rFonts w:cstheme="minorHAnsi"/>
              </w:rPr>
            </w:pPr>
          </w:p>
        </w:tc>
        <w:tc>
          <w:tcPr>
            <w:tcW w:w="498" w:type="pct"/>
            <w:tcBorders>
              <w:top w:val="nil"/>
              <w:left w:val="nil"/>
              <w:bottom w:val="single" w:sz="4" w:space="0" w:color="000000" w:themeColor="text1"/>
              <w:right w:val="nil"/>
            </w:tcBorders>
            <w:vAlign w:val="bottom"/>
          </w:tcPr>
          <w:p w14:paraId="3A3AE3F6"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498" w:type="pct"/>
            <w:tcBorders>
              <w:top w:val="nil"/>
              <w:left w:val="nil"/>
              <w:bottom w:val="single" w:sz="4" w:space="0" w:color="000000" w:themeColor="text1"/>
              <w:right w:val="nil"/>
            </w:tcBorders>
            <w:vAlign w:val="bottom"/>
            <w:hideMark/>
          </w:tcPr>
          <w:p w14:paraId="0048255E"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b/>
                <w:bCs/>
              </w:rPr>
              <w:t>£m</w:t>
            </w:r>
          </w:p>
        </w:tc>
        <w:tc>
          <w:tcPr>
            <w:tcW w:w="498" w:type="pct"/>
            <w:tcBorders>
              <w:top w:val="nil"/>
              <w:left w:val="nil"/>
              <w:bottom w:val="single" w:sz="4" w:space="0" w:color="000000" w:themeColor="text1"/>
              <w:right w:val="nil"/>
            </w:tcBorders>
            <w:vAlign w:val="bottom"/>
            <w:hideMark/>
          </w:tcPr>
          <w:p w14:paraId="6ACE482F"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b/>
                <w:bCs/>
              </w:rPr>
              <w:t>£m</w:t>
            </w:r>
          </w:p>
        </w:tc>
        <w:tc>
          <w:tcPr>
            <w:tcW w:w="522" w:type="pct"/>
            <w:tcBorders>
              <w:top w:val="nil"/>
              <w:left w:val="nil"/>
              <w:bottom w:val="single" w:sz="4" w:space="0" w:color="000000" w:themeColor="text1"/>
              <w:right w:val="nil"/>
            </w:tcBorders>
            <w:vAlign w:val="bottom"/>
            <w:hideMark/>
          </w:tcPr>
          <w:p w14:paraId="06B42665"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b/>
                <w:bCs/>
              </w:rPr>
              <w:t>£m</w:t>
            </w:r>
          </w:p>
        </w:tc>
        <w:tc>
          <w:tcPr>
            <w:tcW w:w="496" w:type="pct"/>
            <w:tcBorders>
              <w:top w:val="nil"/>
              <w:left w:val="nil"/>
              <w:bottom w:val="single" w:sz="4" w:space="0" w:color="000000" w:themeColor="text1"/>
              <w:right w:val="nil"/>
            </w:tcBorders>
            <w:vAlign w:val="bottom"/>
            <w:hideMark/>
          </w:tcPr>
          <w:p w14:paraId="4831A12B"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b/>
                <w:bCs/>
              </w:rPr>
              <w:t>£m</w:t>
            </w:r>
          </w:p>
        </w:tc>
      </w:tr>
      <w:tr w:rsidR="00D75CA8" w:rsidRPr="00D80ACC" w14:paraId="3136638E" w14:textId="77777777" w:rsidTr="00D75CA8">
        <w:tc>
          <w:tcPr>
            <w:tcW w:w="2488" w:type="pct"/>
            <w:tcBorders>
              <w:top w:val="single" w:sz="4" w:space="0" w:color="000000" w:themeColor="text1"/>
              <w:left w:val="nil"/>
              <w:bottom w:val="nil"/>
              <w:right w:val="nil"/>
            </w:tcBorders>
            <w:vAlign w:val="bottom"/>
            <w:hideMark/>
          </w:tcPr>
          <w:p w14:paraId="4316A602"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t>Business sector</w:t>
            </w:r>
          </w:p>
        </w:tc>
        <w:tc>
          <w:tcPr>
            <w:tcW w:w="498" w:type="pct"/>
            <w:tcBorders>
              <w:top w:val="single" w:sz="4" w:space="0" w:color="000000" w:themeColor="text1"/>
              <w:left w:val="nil"/>
              <w:bottom w:val="nil"/>
              <w:right w:val="nil"/>
            </w:tcBorders>
            <w:vAlign w:val="bottom"/>
          </w:tcPr>
          <w:p w14:paraId="56EB8054"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498" w:type="pct"/>
            <w:tcBorders>
              <w:top w:val="single" w:sz="4" w:space="0" w:color="000000" w:themeColor="text1"/>
              <w:left w:val="nil"/>
              <w:bottom w:val="nil"/>
              <w:right w:val="nil"/>
            </w:tcBorders>
            <w:vAlign w:val="bottom"/>
          </w:tcPr>
          <w:p w14:paraId="23A6FC0C"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498" w:type="pct"/>
            <w:tcBorders>
              <w:top w:val="single" w:sz="4" w:space="0" w:color="000000" w:themeColor="text1"/>
              <w:left w:val="nil"/>
              <w:bottom w:val="nil"/>
              <w:right w:val="nil"/>
            </w:tcBorders>
            <w:vAlign w:val="bottom"/>
          </w:tcPr>
          <w:p w14:paraId="5820108E"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22" w:type="pct"/>
            <w:tcBorders>
              <w:top w:val="single" w:sz="4" w:space="0" w:color="000000" w:themeColor="text1"/>
              <w:left w:val="nil"/>
              <w:bottom w:val="nil"/>
              <w:right w:val="nil"/>
            </w:tcBorders>
            <w:vAlign w:val="bottom"/>
          </w:tcPr>
          <w:p w14:paraId="6127FA44"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496" w:type="pct"/>
            <w:tcBorders>
              <w:top w:val="single" w:sz="4" w:space="0" w:color="000000" w:themeColor="text1"/>
              <w:left w:val="nil"/>
              <w:bottom w:val="nil"/>
              <w:right w:val="nil"/>
            </w:tcBorders>
            <w:vAlign w:val="bottom"/>
          </w:tcPr>
          <w:p w14:paraId="55B8E502" w14:textId="77777777" w:rsidR="00D75CA8" w:rsidRPr="00D80ACC" w:rsidRDefault="00D75CA8" w:rsidP="00D75CA8">
            <w:pPr>
              <w:widowControl w:val="0"/>
              <w:autoSpaceDE w:val="0"/>
              <w:autoSpaceDN w:val="0"/>
              <w:adjustRightInd w:val="0"/>
              <w:spacing w:after="0" w:line="240" w:lineRule="auto"/>
              <w:jc w:val="right"/>
              <w:rPr>
                <w:rFonts w:cstheme="minorHAnsi"/>
              </w:rPr>
            </w:pPr>
          </w:p>
        </w:tc>
      </w:tr>
      <w:tr w:rsidR="00D75CA8" w:rsidRPr="00D80ACC" w14:paraId="13B72F00" w14:textId="77777777" w:rsidTr="00D75CA8">
        <w:tc>
          <w:tcPr>
            <w:tcW w:w="2488" w:type="pct"/>
            <w:vAlign w:val="bottom"/>
            <w:hideMark/>
          </w:tcPr>
          <w:p w14:paraId="0E9612A9"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Facilities Management and Frameworks</w:t>
            </w:r>
          </w:p>
        </w:tc>
        <w:tc>
          <w:tcPr>
            <w:tcW w:w="498" w:type="pct"/>
            <w:vAlign w:val="bottom"/>
          </w:tcPr>
          <w:p w14:paraId="2E56893B"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498" w:type="pct"/>
            <w:vAlign w:val="bottom"/>
            <w:hideMark/>
          </w:tcPr>
          <w:p w14:paraId="48DB59E0"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D80ACC">
              <w:rPr>
                <w:rFonts w:cstheme="minorHAnsi"/>
                <w:b/>
                <w:bCs/>
              </w:rPr>
              <w:t>2.</w:t>
            </w:r>
            <w:r>
              <w:rPr>
                <w:rFonts w:cstheme="minorHAnsi"/>
                <w:b/>
                <w:bCs/>
              </w:rPr>
              <w:t>4</w:t>
            </w:r>
          </w:p>
        </w:tc>
        <w:tc>
          <w:tcPr>
            <w:tcW w:w="498" w:type="pct"/>
            <w:vAlign w:val="bottom"/>
            <w:hideMark/>
          </w:tcPr>
          <w:p w14:paraId="2213BE1E" w14:textId="77777777" w:rsidR="00D75CA8" w:rsidRPr="00D80ACC" w:rsidRDefault="00D75CA8" w:rsidP="00D75CA8">
            <w:pPr>
              <w:widowControl w:val="0"/>
              <w:autoSpaceDE w:val="0"/>
              <w:autoSpaceDN w:val="0"/>
              <w:adjustRightInd w:val="0"/>
              <w:spacing w:after="0" w:line="240" w:lineRule="auto"/>
              <w:jc w:val="right"/>
              <w:rPr>
                <w:rFonts w:cstheme="minorHAnsi"/>
              </w:rPr>
            </w:pPr>
            <w:r>
              <w:rPr>
                <w:rFonts w:cstheme="minorHAnsi"/>
                <w:b/>
                <w:bCs/>
              </w:rPr>
              <w:t>9.7</w:t>
            </w:r>
          </w:p>
        </w:tc>
        <w:tc>
          <w:tcPr>
            <w:tcW w:w="522" w:type="pct"/>
            <w:vAlign w:val="bottom"/>
            <w:hideMark/>
          </w:tcPr>
          <w:p w14:paraId="6A715345" w14:textId="77777777" w:rsidR="00D75CA8" w:rsidRPr="00D80ACC" w:rsidRDefault="00D75CA8" w:rsidP="00D75CA8">
            <w:pPr>
              <w:widowControl w:val="0"/>
              <w:autoSpaceDE w:val="0"/>
              <w:autoSpaceDN w:val="0"/>
              <w:adjustRightInd w:val="0"/>
              <w:spacing w:after="0" w:line="240" w:lineRule="auto"/>
              <w:jc w:val="right"/>
              <w:rPr>
                <w:rFonts w:cstheme="minorHAnsi"/>
              </w:rPr>
            </w:pPr>
            <w:r>
              <w:rPr>
                <w:rFonts w:cstheme="minorHAnsi"/>
                <w:b/>
                <w:bCs/>
              </w:rPr>
              <w:t>5.7</w:t>
            </w:r>
          </w:p>
        </w:tc>
        <w:tc>
          <w:tcPr>
            <w:tcW w:w="496" w:type="pct"/>
            <w:vAlign w:val="bottom"/>
            <w:hideMark/>
          </w:tcPr>
          <w:p w14:paraId="18947E1F" w14:textId="77777777" w:rsidR="00D75CA8" w:rsidRPr="00D80ACC" w:rsidRDefault="00D75CA8" w:rsidP="00D75CA8">
            <w:pPr>
              <w:widowControl w:val="0"/>
              <w:autoSpaceDE w:val="0"/>
              <w:autoSpaceDN w:val="0"/>
              <w:adjustRightInd w:val="0"/>
              <w:spacing w:after="0" w:line="240" w:lineRule="auto"/>
              <w:jc w:val="right"/>
              <w:rPr>
                <w:rFonts w:cstheme="minorHAnsi"/>
              </w:rPr>
            </w:pPr>
            <w:r>
              <w:rPr>
                <w:rFonts w:cstheme="minorHAnsi"/>
                <w:b/>
                <w:bCs/>
              </w:rPr>
              <w:t>17.8</w:t>
            </w:r>
          </w:p>
        </w:tc>
      </w:tr>
      <w:tr w:rsidR="00D75CA8" w:rsidRPr="00D80ACC" w14:paraId="4B8028D5" w14:textId="77777777" w:rsidTr="00D75CA8">
        <w:tc>
          <w:tcPr>
            <w:tcW w:w="2488" w:type="pct"/>
            <w:vAlign w:val="bottom"/>
            <w:hideMark/>
          </w:tcPr>
          <w:p w14:paraId="7592CE44"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Infrastructure</w:t>
            </w:r>
          </w:p>
        </w:tc>
        <w:tc>
          <w:tcPr>
            <w:tcW w:w="498" w:type="pct"/>
            <w:vAlign w:val="bottom"/>
          </w:tcPr>
          <w:p w14:paraId="1BFFFA8B"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498" w:type="pct"/>
            <w:vAlign w:val="bottom"/>
            <w:hideMark/>
          </w:tcPr>
          <w:p w14:paraId="463B7971" w14:textId="77777777" w:rsidR="00D75CA8" w:rsidRPr="00D80ACC" w:rsidRDefault="00D75CA8" w:rsidP="00D75CA8">
            <w:pPr>
              <w:widowControl w:val="0"/>
              <w:autoSpaceDE w:val="0"/>
              <w:autoSpaceDN w:val="0"/>
              <w:adjustRightInd w:val="0"/>
              <w:spacing w:after="0" w:line="240" w:lineRule="auto"/>
              <w:jc w:val="right"/>
              <w:rPr>
                <w:rFonts w:cstheme="minorHAnsi"/>
              </w:rPr>
            </w:pPr>
            <w:r>
              <w:rPr>
                <w:rFonts w:cstheme="minorHAnsi"/>
                <w:b/>
                <w:bCs/>
              </w:rPr>
              <w:t>20.6</w:t>
            </w:r>
          </w:p>
        </w:tc>
        <w:tc>
          <w:tcPr>
            <w:tcW w:w="498" w:type="pct"/>
            <w:vAlign w:val="bottom"/>
            <w:hideMark/>
          </w:tcPr>
          <w:p w14:paraId="72AEC0CF" w14:textId="77777777" w:rsidR="00D75CA8" w:rsidRPr="00D80ACC" w:rsidRDefault="00D75CA8" w:rsidP="00D75CA8">
            <w:pPr>
              <w:widowControl w:val="0"/>
              <w:autoSpaceDE w:val="0"/>
              <w:autoSpaceDN w:val="0"/>
              <w:adjustRightInd w:val="0"/>
              <w:spacing w:after="0" w:line="240" w:lineRule="auto"/>
              <w:jc w:val="right"/>
              <w:rPr>
                <w:rFonts w:cstheme="minorHAnsi"/>
              </w:rPr>
            </w:pPr>
            <w:r>
              <w:rPr>
                <w:rFonts w:cstheme="minorHAnsi"/>
                <w:b/>
                <w:bCs/>
              </w:rPr>
              <w:t>22.1</w:t>
            </w:r>
          </w:p>
        </w:tc>
        <w:tc>
          <w:tcPr>
            <w:tcW w:w="522" w:type="pct"/>
            <w:vAlign w:val="bottom"/>
            <w:hideMark/>
          </w:tcPr>
          <w:p w14:paraId="3527C075" w14:textId="77777777" w:rsidR="00D75CA8" w:rsidRPr="00D80ACC" w:rsidRDefault="00D75CA8" w:rsidP="00D75CA8">
            <w:pPr>
              <w:widowControl w:val="0"/>
              <w:autoSpaceDE w:val="0"/>
              <w:autoSpaceDN w:val="0"/>
              <w:adjustRightInd w:val="0"/>
              <w:spacing w:after="0" w:line="240" w:lineRule="auto"/>
              <w:jc w:val="right"/>
              <w:rPr>
                <w:rFonts w:cstheme="minorHAnsi"/>
              </w:rPr>
            </w:pPr>
            <w:r>
              <w:rPr>
                <w:rFonts w:cstheme="minorHAnsi"/>
                <w:b/>
                <w:bCs/>
              </w:rPr>
              <w:t>16.2</w:t>
            </w:r>
          </w:p>
        </w:tc>
        <w:tc>
          <w:tcPr>
            <w:tcW w:w="496" w:type="pct"/>
            <w:vAlign w:val="bottom"/>
            <w:hideMark/>
          </w:tcPr>
          <w:p w14:paraId="510F1AB3" w14:textId="77777777" w:rsidR="00D75CA8" w:rsidRPr="00D80ACC" w:rsidRDefault="00D75CA8" w:rsidP="00D75CA8">
            <w:pPr>
              <w:widowControl w:val="0"/>
              <w:autoSpaceDE w:val="0"/>
              <w:autoSpaceDN w:val="0"/>
              <w:adjustRightInd w:val="0"/>
              <w:spacing w:after="0" w:line="240" w:lineRule="auto"/>
              <w:jc w:val="right"/>
              <w:rPr>
                <w:rFonts w:cstheme="minorHAnsi"/>
              </w:rPr>
            </w:pPr>
            <w:r>
              <w:rPr>
                <w:rFonts w:cstheme="minorHAnsi"/>
                <w:b/>
                <w:bCs/>
              </w:rPr>
              <w:t>58.9</w:t>
            </w:r>
          </w:p>
        </w:tc>
      </w:tr>
      <w:tr w:rsidR="00D75CA8" w:rsidRPr="00D80ACC" w14:paraId="111E0E65" w14:textId="77777777" w:rsidTr="00D75CA8">
        <w:tc>
          <w:tcPr>
            <w:tcW w:w="2488" w:type="pct"/>
            <w:vAlign w:val="bottom"/>
            <w:hideMark/>
          </w:tcPr>
          <w:p w14:paraId="0EAB4B20"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M&amp;E Contracting</w:t>
            </w:r>
          </w:p>
        </w:tc>
        <w:tc>
          <w:tcPr>
            <w:tcW w:w="498" w:type="pct"/>
            <w:vAlign w:val="bottom"/>
          </w:tcPr>
          <w:p w14:paraId="5C6DB2A3"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498" w:type="pct"/>
            <w:vAlign w:val="bottom"/>
            <w:hideMark/>
          </w:tcPr>
          <w:p w14:paraId="776AF0E7" w14:textId="77777777" w:rsidR="00D75CA8" w:rsidRPr="00D80ACC" w:rsidRDefault="00D75CA8" w:rsidP="00D75CA8">
            <w:pPr>
              <w:widowControl w:val="0"/>
              <w:autoSpaceDE w:val="0"/>
              <w:autoSpaceDN w:val="0"/>
              <w:adjustRightInd w:val="0"/>
              <w:spacing w:after="0" w:line="240" w:lineRule="auto"/>
              <w:jc w:val="right"/>
              <w:rPr>
                <w:rFonts w:cstheme="minorHAnsi"/>
              </w:rPr>
            </w:pPr>
            <w:r>
              <w:rPr>
                <w:rFonts w:cstheme="minorHAnsi"/>
                <w:b/>
                <w:bCs/>
              </w:rPr>
              <w:t>59.4</w:t>
            </w:r>
          </w:p>
        </w:tc>
        <w:tc>
          <w:tcPr>
            <w:tcW w:w="498" w:type="pct"/>
            <w:vAlign w:val="bottom"/>
            <w:hideMark/>
          </w:tcPr>
          <w:p w14:paraId="5CA8B804" w14:textId="77777777" w:rsidR="00D75CA8" w:rsidRPr="00D80ACC" w:rsidRDefault="00D75CA8" w:rsidP="00D75CA8">
            <w:pPr>
              <w:widowControl w:val="0"/>
              <w:autoSpaceDE w:val="0"/>
              <w:autoSpaceDN w:val="0"/>
              <w:adjustRightInd w:val="0"/>
              <w:spacing w:after="0" w:line="240" w:lineRule="auto"/>
              <w:jc w:val="right"/>
              <w:rPr>
                <w:rFonts w:cstheme="minorHAnsi"/>
              </w:rPr>
            </w:pPr>
            <w:r>
              <w:rPr>
                <w:rFonts w:cstheme="minorHAnsi"/>
                <w:b/>
                <w:bCs/>
              </w:rPr>
              <w:t>15.7</w:t>
            </w:r>
          </w:p>
        </w:tc>
        <w:tc>
          <w:tcPr>
            <w:tcW w:w="522" w:type="pct"/>
            <w:vAlign w:val="bottom"/>
            <w:hideMark/>
          </w:tcPr>
          <w:p w14:paraId="4FA85316" w14:textId="77777777" w:rsidR="00D75CA8" w:rsidRPr="00D80ACC" w:rsidRDefault="00D75CA8" w:rsidP="00D75CA8">
            <w:pPr>
              <w:widowControl w:val="0"/>
              <w:autoSpaceDE w:val="0"/>
              <w:autoSpaceDN w:val="0"/>
              <w:adjustRightInd w:val="0"/>
              <w:spacing w:after="0" w:line="240" w:lineRule="auto"/>
              <w:jc w:val="right"/>
              <w:rPr>
                <w:rFonts w:cstheme="minorHAnsi"/>
              </w:rPr>
            </w:pPr>
            <w:r>
              <w:rPr>
                <w:rFonts w:cstheme="minorHAnsi"/>
                <w:b/>
                <w:bCs/>
              </w:rPr>
              <w:t>6.5</w:t>
            </w:r>
          </w:p>
        </w:tc>
        <w:tc>
          <w:tcPr>
            <w:tcW w:w="496" w:type="pct"/>
            <w:vAlign w:val="bottom"/>
            <w:hideMark/>
          </w:tcPr>
          <w:p w14:paraId="07884079" w14:textId="77777777" w:rsidR="00D75CA8" w:rsidRPr="00D80ACC" w:rsidRDefault="00D75CA8" w:rsidP="00D75CA8">
            <w:pPr>
              <w:widowControl w:val="0"/>
              <w:autoSpaceDE w:val="0"/>
              <w:autoSpaceDN w:val="0"/>
              <w:adjustRightInd w:val="0"/>
              <w:spacing w:after="0" w:line="240" w:lineRule="auto"/>
              <w:jc w:val="right"/>
              <w:rPr>
                <w:rFonts w:cstheme="minorHAnsi"/>
              </w:rPr>
            </w:pPr>
            <w:r>
              <w:rPr>
                <w:rFonts w:cstheme="minorHAnsi"/>
                <w:b/>
                <w:bCs/>
              </w:rPr>
              <w:t>81.6</w:t>
            </w:r>
          </w:p>
        </w:tc>
      </w:tr>
      <w:tr w:rsidR="00D75CA8" w:rsidRPr="00D80ACC" w14:paraId="78C3B1D0" w14:textId="77777777" w:rsidTr="00D75CA8">
        <w:tc>
          <w:tcPr>
            <w:tcW w:w="2488" w:type="pct"/>
            <w:vAlign w:val="bottom"/>
            <w:hideMark/>
          </w:tcPr>
          <w:p w14:paraId="491AE127"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Residential &amp; Hotels</w:t>
            </w:r>
          </w:p>
        </w:tc>
        <w:tc>
          <w:tcPr>
            <w:tcW w:w="498" w:type="pct"/>
            <w:vAlign w:val="bottom"/>
          </w:tcPr>
          <w:p w14:paraId="273C724E"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498" w:type="pct"/>
            <w:vAlign w:val="bottom"/>
            <w:hideMark/>
          </w:tcPr>
          <w:p w14:paraId="54F9EBB5" w14:textId="77777777" w:rsidR="00D75CA8" w:rsidRPr="00D80ACC" w:rsidRDefault="00D75CA8" w:rsidP="00D75CA8">
            <w:pPr>
              <w:widowControl w:val="0"/>
              <w:autoSpaceDE w:val="0"/>
              <w:autoSpaceDN w:val="0"/>
              <w:adjustRightInd w:val="0"/>
              <w:spacing w:after="0" w:line="240" w:lineRule="auto"/>
              <w:jc w:val="right"/>
              <w:rPr>
                <w:rFonts w:cstheme="minorHAnsi"/>
              </w:rPr>
            </w:pPr>
            <w:r>
              <w:rPr>
                <w:rFonts w:cstheme="minorHAnsi"/>
                <w:b/>
                <w:bCs/>
              </w:rPr>
              <w:t>21.7</w:t>
            </w:r>
          </w:p>
        </w:tc>
        <w:tc>
          <w:tcPr>
            <w:tcW w:w="498" w:type="pct"/>
            <w:vAlign w:val="bottom"/>
            <w:hideMark/>
          </w:tcPr>
          <w:p w14:paraId="12D462A3" w14:textId="77777777" w:rsidR="00D75CA8" w:rsidRPr="00D80ACC" w:rsidRDefault="00D75CA8" w:rsidP="00D75CA8">
            <w:pPr>
              <w:widowControl w:val="0"/>
              <w:autoSpaceDE w:val="0"/>
              <w:autoSpaceDN w:val="0"/>
              <w:adjustRightInd w:val="0"/>
              <w:spacing w:after="0" w:line="240" w:lineRule="auto"/>
              <w:jc w:val="right"/>
              <w:rPr>
                <w:rFonts w:cstheme="minorHAnsi"/>
              </w:rPr>
            </w:pPr>
            <w:r>
              <w:rPr>
                <w:rFonts w:cstheme="minorHAnsi"/>
                <w:b/>
                <w:bCs/>
              </w:rPr>
              <w:t>7.6</w:t>
            </w:r>
          </w:p>
        </w:tc>
        <w:tc>
          <w:tcPr>
            <w:tcW w:w="522" w:type="pct"/>
            <w:vAlign w:val="bottom"/>
            <w:hideMark/>
          </w:tcPr>
          <w:p w14:paraId="78D8BF8F" w14:textId="77777777" w:rsidR="00D75CA8" w:rsidRPr="00D80ACC" w:rsidRDefault="00D75CA8" w:rsidP="00D75CA8">
            <w:pPr>
              <w:widowControl w:val="0"/>
              <w:autoSpaceDE w:val="0"/>
              <w:autoSpaceDN w:val="0"/>
              <w:adjustRightInd w:val="0"/>
              <w:spacing w:after="0" w:line="240" w:lineRule="auto"/>
              <w:jc w:val="right"/>
              <w:rPr>
                <w:rFonts w:cstheme="minorHAnsi"/>
              </w:rPr>
            </w:pPr>
            <w:r>
              <w:rPr>
                <w:rFonts w:cstheme="minorHAnsi"/>
                <w:b/>
                <w:bCs/>
              </w:rPr>
              <w:t>12.8</w:t>
            </w:r>
          </w:p>
        </w:tc>
        <w:tc>
          <w:tcPr>
            <w:tcW w:w="496" w:type="pct"/>
            <w:vAlign w:val="bottom"/>
            <w:hideMark/>
          </w:tcPr>
          <w:p w14:paraId="2E39C191" w14:textId="77777777" w:rsidR="00D75CA8" w:rsidRPr="00D80ACC" w:rsidRDefault="00D75CA8" w:rsidP="00D75CA8">
            <w:pPr>
              <w:widowControl w:val="0"/>
              <w:autoSpaceDE w:val="0"/>
              <w:autoSpaceDN w:val="0"/>
              <w:adjustRightInd w:val="0"/>
              <w:spacing w:after="0" w:line="240" w:lineRule="auto"/>
              <w:jc w:val="right"/>
              <w:rPr>
                <w:rFonts w:cstheme="minorHAnsi"/>
              </w:rPr>
            </w:pPr>
            <w:r>
              <w:rPr>
                <w:rFonts w:cstheme="minorHAnsi"/>
                <w:b/>
                <w:bCs/>
              </w:rPr>
              <w:t>42.1</w:t>
            </w:r>
          </w:p>
        </w:tc>
      </w:tr>
      <w:tr w:rsidR="00D75CA8" w:rsidRPr="00D80ACC" w14:paraId="48D0B2BD" w14:textId="77777777" w:rsidTr="00D75CA8">
        <w:tc>
          <w:tcPr>
            <w:tcW w:w="2488" w:type="pct"/>
            <w:tcBorders>
              <w:top w:val="nil"/>
              <w:left w:val="nil"/>
              <w:bottom w:val="single" w:sz="4" w:space="0" w:color="000000" w:themeColor="text1"/>
              <w:right w:val="nil"/>
            </w:tcBorders>
            <w:vAlign w:val="bottom"/>
            <w:hideMark/>
          </w:tcPr>
          <w:p w14:paraId="0689661D"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rPr>
              <w:t>Technologies</w:t>
            </w:r>
          </w:p>
        </w:tc>
        <w:tc>
          <w:tcPr>
            <w:tcW w:w="498" w:type="pct"/>
            <w:tcBorders>
              <w:top w:val="nil"/>
              <w:left w:val="nil"/>
              <w:bottom w:val="single" w:sz="4" w:space="0" w:color="000000" w:themeColor="text1"/>
              <w:right w:val="nil"/>
            </w:tcBorders>
            <w:vAlign w:val="bottom"/>
          </w:tcPr>
          <w:p w14:paraId="601F093A"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498" w:type="pct"/>
            <w:tcBorders>
              <w:top w:val="nil"/>
              <w:left w:val="nil"/>
              <w:bottom w:val="single" w:sz="4" w:space="0" w:color="000000" w:themeColor="text1"/>
              <w:right w:val="nil"/>
            </w:tcBorders>
            <w:vAlign w:val="bottom"/>
            <w:hideMark/>
          </w:tcPr>
          <w:p w14:paraId="21B1D3BC" w14:textId="77777777" w:rsidR="00D75CA8" w:rsidRPr="00D80ACC" w:rsidRDefault="00D75CA8" w:rsidP="00D75CA8">
            <w:pPr>
              <w:widowControl w:val="0"/>
              <w:autoSpaceDE w:val="0"/>
              <w:autoSpaceDN w:val="0"/>
              <w:adjustRightInd w:val="0"/>
              <w:spacing w:after="0" w:line="240" w:lineRule="auto"/>
              <w:jc w:val="right"/>
              <w:rPr>
                <w:rFonts w:cstheme="minorHAnsi"/>
              </w:rPr>
            </w:pPr>
            <w:r>
              <w:rPr>
                <w:rFonts w:cstheme="minorHAnsi"/>
                <w:b/>
                <w:bCs/>
              </w:rPr>
              <w:t>30.5</w:t>
            </w:r>
          </w:p>
        </w:tc>
        <w:tc>
          <w:tcPr>
            <w:tcW w:w="498" w:type="pct"/>
            <w:tcBorders>
              <w:top w:val="nil"/>
              <w:left w:val="nil"/>
              <w:bottom w:val="single" w:sz="4" w:space="0" w:color="000000" w:themeColor="text1"/>
              <w:right w:val="nil"/>
            </w:tcBorders>
            <w:vAlign w:val="bottom"/>
            <w:hideMark/>
          </w:tcPr>
          <w:p w14:paraId="3E1488B9" w14:textId="77777777" w:rsidR="00D75CA8" w:rsidRPr="00D80ACC" w:rsidRDefault="00D75CA8" w:rsidP="00D75CA8">
            <w:pPr>
              <w:widowControl w:val="0"/>
              <w:autoSpaceDE w:val="0"/>
              <w:autoSpaceDN w:val="0"/>
              <w:adjustRightInd w:val="0"/>
              <w:spacing w:after="0" w:line="240" w:lineRule="auto"/>
              <w:jc w:val="right"/>
              <w:rPr>
                <w:rFonts w:cstheme="minorHAnsi"/>
              </w:rPr>
            </w:pPr>
            <w:r w:rsidRPr="008A1761">
              <w:rPr>
                <w:rFonts w:cstheme="minorHAnsi"/>
                <w:b/>
                <w:bCs/>
              </w:rPr>
              <w:t>—</w:t>
            </w:r>
          </w:p>
        </w:tc>
        <w:tc>
          <w:tcPr>
            <w:tcW w:w="522" w:type="pct"/>
            <w:tcBorders>
              <w:top w:val="nil"/>
              <w:left w:val="nil"/>
              <w:bottom w:val="single" w:sz="4" w:space="0" w:color="000000" w:themeColor="text1"/>
              <w:right w:val="nil"/>
            </w:tcBorders>
            <w:vAlign w:val="bottom"/>
            <w:hideMark/>
          </w:tcPr>
          <w:p w14:paraId="34CDE83D" w14:textId="77777777" w:rsidR="00D75CA8" w:rsidRPr="00D80ACC" w:rsidRDefault="00D75CA8" w:rsidP="00D75CA8">
            <w:pPr>
              <w:widowControl w:val="0"/>
              <w:autoSpaceDE w:val="0"/>
              <w:autoSpaceDN w:val="0"/>
              <w:adjustRightInd w:val="0"/>
              <w:spacing w:after="0" w:line="240" w:lineRule="auto"/>
              <w:jc w:val="right"/>
              <w:rPr>
                <w:rFonts w:cstheme="minorHAnsi"/>
              </w:rPr>
            </w:pPr>
            <w:r>
              <w:rPr>
                <w:rFonts w:cstheme="minorHAnsi"/>
                <w:b/>
                <w:bCs/>
              </w:rPr>
              <w:t>1.0</w:t>
            </w:r>
          </w:p>
        </w:tc>
        <w:tc>
          <w:tcPr>
            <w:tcW w:w="496" w:type="pct"/>
            <w:tcBorders>
              <w:top w:val="nil"/>
              <w:left w:val="nil"/>
              <w:bottom w:val="single" w:sz="4" w:space="0" w:color="000000" w:themeColor="text1"/>
              <w:right w:val="nil"/>
            </w:tcBorders>
            <w:vAlign w:val="bottom"/>
            <w:hideMark/>
          </w:tcPr>
          <w:p w14:paraId="5A534D7E" w14:textId="77777777" w:rsidR="00D75CA8" w:rsidRPr="00D80ACC" w:rsidRDefault="00D75CA8" w:rsidP="00D75CA8">
            <w:pPr>
              <w:widowControl w:val="0"/>
              <w:autoSpaceDE w:val="0"/>
              <w:autoSpaceDN w:val="0"/>
              <w:adjustRightInd w:val="0"/>
              <w:spacing w:after="0" w:line="240" w:lineRule="auto"/>
              <w:jc w:val="right"/>
              <w:rPr>
                <w:rFonts w:cstheme="minorHAnsi"/>
              </w:rPr>
            </w:pPr>
            <w:r>
              <w:rPr>
                <w:rFonts w:cstheme="minorHAnsi"/>
                <w:b/>
                <w:bCs/>
              </w:rPr>
              <w:t>31.5</w:t>
            </w:r>
          </w:p>
        </w:tc>
      </w:tr>
      <w:tr w:rsidR="00D75CA8" w:rsidRPr="00D80ACC" w14:paraId="59C66E14" w14:textId="77777777" w:rsidTr="00D75CA8">
        <w:tc>
          <w:tcPr>
            <w:tcW w:w="2488" w:type="pct"/>
            <w:tcBorders>
              <w:top w:val="single" w:sz="4" w:space="0" w:color="000000" w:themeColor="text1"/>
              <w:left w:val="nil"/>
              <w:bottom w:val="single" w:sz="12" w:space="0" w:color="000000" w:themeColor="text1"/>
              <w:right w:val="nil"/>
            </w:tcBorders>
            <w:vAlign w:val="bottom"/>
            <w:hideMark/>
          </w:tcPr>
          <w:p w14:paraId="0965DFF2" w14:textId="77777777" w:rsidR="00D75CA8" w:rsidRPr="00D80ACC" w:rsidRDefault="00D75CA8" w:rsidP="00D75CA8">
            <w:pPr>
              <w:widowControl w:val="0"/>
              <w:autoSpaceDE w:val="0"/>
              <w:autoSpaceDN w:val="0"/>
              <w:adjustRightInd w:val="0"/>
              <w:spacing w:after="0" w:line="240" w:lineRule="auto"/>
              <w:rPr>
                <w:rFonts w:cstheme="minorHAnsi"/>
              </w:rPr>
            </w:pPr>
            <w:r w:rsidRPr="00D80ACC">
              <w:rPr>
                <w:rFonts w:cstheme="minorHAnsi"/>
                <w:b/>
                <w:bCs/>
              </w:rPr>
              <w:t>Total revenue</w:t>
            </w:r>
          </w:p>
        </w:tc>
        <w:tc>
          <w:tcPr>
            <w:tcW w:w="498" w:type="pct"/>
            <w:tcBorders>
              <w:top w:val="single" w:sz="4" w:space="0" w:color="000000" w:themeColor="text1"/>
              <w:left w:val="nil"/>
              <w:bottom w:val="single" w:sz="12" w:space="0" w:color="000000" w:themeColor="text1"/>
              <w:right w:val="nil"/>
            </w:tcBorders>
            <w:vAlign w:val="bottom"/>
          </w:tcPr>
          <w:p w14:paraId="244CEDE1"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498" w:type="pct"/>
            <w:tcBorders>
              <w:top w:val="single" w:sz="4" w:space="0" w:color="000000" w:themeColor="text1"/>
              <w:left w:val="nil"/>
              <w:bottom w:val="single" w:sz="12" w:space="0" w:color="000000" w:themeColor="text1"/>
              <w:right w:val="nil"/>
            </w:tcBorders>
            <w:vAlign w:val="bottom"/>
            <w:hideMark/>
          </w:tcPr>
          <w:p w14:paraId="364E9599" w14:textId="77777777" w:rsidR="00D75CA8" w:rsidRPr="00D80ACC" w:rsidRDefault="00D75CA8" w:rsidP="00D75CA8">
            <w:pPr>
              <w:widowControl w:val="0"/>
              <w:autoSpaceDE w:val="0"/>
              <w:autoSpaceDN w:val="0"/>
              <w:adjustRightInd w:val="0"/>
              <w:spacing w:after="0" w:line="240" w:lineRule="auto"/>
              <w:jc w:val="right"/>
              <w:rPr>
                <w:rFonts w:cstheme="minorHAnsi"/>
              </w:rPr>
            </w:pPr>
            <w:r>
              <w:rPr>
                <w:rFonts w:cstheme="minorHAnsi"/>
                <w:b/>
                <w:bCs/>
              </w:rPr>
              <w:t>134.6</w:t>
            </w:r>
          </w:p>
        </w:tc>
        <w:tc>
          <w:tcPr>
            <w:tcW w:w="498" w:type="pct"/>
            <w:tcBorders>
              <w:top w:val="single" w:sz="4" w:space="0" w:color="000000" w:themeColor="text1"/>
              <w:left w:val="nil"/>
              <w:bottom w:val="single" w:sz="12" w:space="0" w:color="000000" w:themeColor="text1"/>
              <w:right w:val="nil"/>
            </w:tcBorders>
            <w:vAlign w:val="bottom"/>
            <w:hideMark/>
          </w:tcPr>
          <w:p w14:paraId="7FCDE5A5" w14:textId="77777777" w:rsidR="00D75CA8" w:rsidRPr="00D80ACC" w:rsidRDefault="00D75CA8" w:rsidP="00D75CA8">
            <w:pPr>
              <w:widowControl w:val="0"/>
              <w:autoSpaceDE w:val="0"/>
              <w:autoSpaceDN w:val="0"/>
              <w:adjustRightInd w:val="0"/>
              <w:spacing w:after="0" w:line="240" w:lineRule="auto"/>
              <w:jc w:val="right"/>
              <w:rPr>
                <w:rFonts w:cstheme="minorHAnsi"/>
              </w:rPr>
            </w:pPr>
            <w:r>
              <w:rPr>
                <w:rFonts w:cstheme="minorHAnsi"/>
                <w:b/>
                <w:bCs/>
              </w:rPr>
              <w:t>55.1</w:t>
            </w:r>
          </w:p>
        </w:tc>
        <w:tc>
          <w:tcPr>
            <w:tcW w:w="522" w:type="pct"/>
            <w:tcBorders>
              <w:top w:val="single" w:sz="4" w:space="0" w:color="000000" w:themeColor="text1"/>
              <w:left w:val="nil"/>
              <w:bottom w:val="single" w:sz="12" w:space="0" w:color="000000" w:themeColor="text1"/>
              <w:right w:val="nil"/>
            </w:tcBorders>
            <w:vAlign w:val="bottom"/>
            <w:hideMark/>
          </w:tcPr>
          <w:p w14:paraId="18EFEDB2" w14:textId="77777777" w:rsidR="00D75CA8" w:rsidRPr="00D80ACC" w:rsidRDefault="00D75CA8" w:rsidP="00D75CA8">
            <w:pPr>
              <w:widowControl w:val="0"/>
              <w:autoSpaceDE w:val="0"/>
              <w:autoSpaceDN w:val="0"/>
              <w:adjustRightInd w:val="0"/>
              <w:spacing w:after="0" w:line="240" w:lineRule="auto"/>
              <w:jc w:val="right"/>
              <w:rPr>
                <w:rFonts w:cstheme="minorHAnsi"/>
              </w:rPr>
            </w:pPr>
            <w:r>
              <w:rPr>
                <w:rFonts w:cstheme="minorHAnsi"/>
                <w:b/>
                <w:bCs/>
              </w:rPr>
              <w:t>42.2</w:t>
            </w:r>
          </w:p>
        </w:tc>
        <w:tc>
          <w:tcPr>
            <w:tcW w:w="496" w:type="pct"/>
            <w:tcBorders>
              <w:top w:val="single" w:sz="4" w:space="0" w:color="000000" w:themeColor="text1"/>
              <w:left w:val="nil"/>
              <w:bottom w:val="single" w:sz="12" w:space="0" w:color="000000" w:themeColor="text1"/>
              <w:right w:val="nil"/>
            </w:tcBorders>
            <w:vAlign w:val="bottom"/>
            <w:hideMark/>
          </w:tcPr>
          <w:p w14:paraId="477E77CA" w14:textId="77777777" w:rsidR="00D75CA8" w:rsidRPr="00D80ACC" w:rsidRDefault="00D75CA8" w:rsidP="00D75CA8">
            <w:pPr>
              <w:widowControl w:val="0"/>
              <w:autoSpaceDE w:val="0"/>
              <w:autoSpaceDN w:val="0"/>
              <w:adjustRightInd w:val="0"/>
              <w:spacing w:after="0" w:line="240" w:lineRule="auto"/>
              <w:jc w:val="right"/>
              <w:rPr>
                <w:rFonts w:cstheme="minorHAnsi"/>
              </w:rPr>
            </w:pPr>
            <w:r>
              <w:rPr>
                <w:rFonts w:cstheme="minorHAnsi"/>
                <w:b/>
                <w:bCs/>
              </w:rPr>
              <w:t>231.9</w:t>
            </w:r>
          </w:p>
        </w:tc>
      </w:tr>
    </w:tbl>
    <w:p w14:paraId="7FD13A1B" w14:textId="51AFD704" w:rsidR="00D75CA8" w:rsidRDefault="00D75CA8" w:rsidP="00D75CA8">
      <w:pPr>
        <w:widowControl w:val="0"/>
        <w:autoSpaceDE w:val="0"/>
        <w:autoSpaceDN w:val="0"/>
        <w:adjustRightInd w:val="0"/>
        <w:spacing w:after="0"/>
        <w:rPr>
          <w:rFonts w:cs="Times New Roman"/>
          <w:b/>
          <w:bCs/>
          <w:color w:val="002060"/>
          <w:sz w:val="28"/>
          <w:szCs w:val="28"/>
        </w:rPr>
      </w:pPr>
    </w:p>
    <w:p w14:paraId="4D981C35" w14:textId="77777777" w:rsidR="00D75CA8" w:rsidRPr="00D80ACC" w:rsidRDefault="00D75CA8" w:rsidP="00D75CA8">
      <w:pPr>
        <w:spacing w:after="0"/>
        <w:rPr>
          <w:rFonts w:cstheme="minorHAnsi"/>
        </w:rPr>
      </w:pPr>
      <w:r w:rsidRPr="00D80ACC">
        <w:rPr>
          <w:rFonts w:cstheme="minorHAnsi"/>
          <w:b/>
          <w:bCs/>
        </w:rPr>
        <w:t>(iii) Segment information and revenue analysis –</w:t>
      </w:r>
      <w:r>
        <w:rPr>
          <w:rFonts w:cstheme="minorHAnsi"/>
          <w:b/>
          <w:bCs/>
        </w:rPr>
        <w:t xml:space="preserve"> year ended 31st December 2019</w:t>
      </w:r>
    </w:p>
    <w:tbl>
      <w:tblPr>
        <w:tblW w:w="5025" w:type="pct"/>
        <w:tblCellMar>
          <w:left w:w="0" w:type="dxa"/>
          <w:right w:w="0" w:type="dxa"/>
        </w:tblCellMar>
        <w:tblLook w:val="04A0" w:firstRow="1" w:lastRow="0" w:firstColumn="1" w:lastColumn="0" w:noHBand="0" w:noVBand="1"/>
      </w:tblPr>
      <w:tblGrid>
        <w:gridCol w:w="5393"/>
        <w:gridCol w:w="7"/>
        <w:gridCol w:w="1068"/>
        <w:gridCol w:w="13"/>
        <w:gridCol w:w="1062"/>
        <w:gridCol w:w="20"/>
        <w:gridCol w:w="1057"/>
        <w:gridCol w:w="24"/>
        <w:gridCol w:w="1109"/>
        <w:gridCol w:w="24"/>
        <w:gridCol w:w="1053"/>
        <w:gridCol w:w="24"/>
      </w:tblGrid>
      <w:tr w:rsidR="00D75CA8" w:rsidRPr="00D80ACC" w14:paraId="0A13C3E6" w14:textId="77777777" w:rsidTr="00D75CA8">
        <w:tc>
          <w:tcPr>
            <w:tcW w:w="2488" w:type="pct"/>
            <w:gridSpan w:val="2"/>
            <w:vAlign w:val="bottom"/>
          </w:tcPr>
          <w:p w14:paraId="23CBC84E" w14:textId="77777777" w:rsidR="00D75CA8" w:rsidRPr="00D80ACC" w:rsidRDefault="00D75CA8" w:rsidP="00D75CA8">
            <w:pPr>
              <w:widowControl w:val="0"/>
              <w:autoSpaceDE w:val="0"/>
              <w:autoSpaceDN w:val="0"/>
              <w:adjustRightInd w:val="0"/>
              <w:spacing w:after="0" w:line="240" w:lineRule="auto"/>
              <w:rPr>
                <w:rFonts w:cstheme="minorHAnsi"/>
              </w:rPr>
            </w:pPr>
          </w:p>
        </w:tc>
        <w:tc>
          <w:tcPr>
            <w:tcW w:w="498" w:type="pct"/>
            <w:gridSpan w:val="2"/>
            <w:vAlign w:val="bottom"/>
          </w:tcPr>
          <w:p w14:paraId="5BD01EC4"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498" w:type="pct"/>
            <w:gridSpan w:val="2"/>
            <w:vAlign w:val="bottom"/>
          </w:tcPr>
          <w:p w14:paraId="5A393B83"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498" w:type="pct"/>
            <w:gridSpan w:val="2"/>
            <w:vAlign w:val="bottom"/>
          </w:tcPr>
          <w:p w14:paraId="60AD0986"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522" w:type="pct"/>
            <w:gridSpan w:val="2"/>
            <w:vAlign w:val="bottom"/>
          </w:tcPr>
          <w:p w14:paraId="695339F6" w14:textId="77777777" w:rsidR="00D75CA8" w:rsidRPr="00D80ACC" w:rsidRDefault="00D75CA8" w:rsidP="00D75CA8">
            <w:pPr>
              <w:widowControl w:val="0"/>
              <w:autoSpaceDE w:val="0"/>
              <w:autoSpaceDN w:val="0"/>
              <w:adjustRightInd w:val="0"/>
              <w:spacing w:after="0" w:line="240" w:lineRule="auto"/>
              <w:jc w:val="right"/>
              <w:rPr>
                <w:rFonts w:cstheme="minorHAnsi"/>
              </w:rPr>
            </w:pPr>
          </w:p>
        </w:tc>
        <w:tc>
          <w:tcPr>
            <w:tcW w:w="496" w:type="pct"/>
            <w:gridSpan w:val="2"/>
            <w:vAlign w:val="bottom"/>
          </w:tcPr>
          <w:p w14:paraId="38E37BDE" w14:textId="77777777" w:rsidR="00D75CA8" w:rsidRPr="00D80ACC" w:rsidRDefault="00D75CA8" w:rsidP="00D75CA8">
            <w:pPr>
              <w:widowControl w:val="0"/>
              <w:autoSpaceDE w:val="0"/>
              <w:autoSpaceDN w:val="0"/>
              <w:adjustRightInd w:val="0"/>
              <w:spacing w:after="0" w:line="240" w:lineRule="auto"/>
              <w:jc w:val="right"/>
              <w:rPr>
                <w:rFonts w:cstheme="minorHAnsi"/>
              </w:rPr>
            </w:pPr>
          </w:p>
        </w:tc>
      </w:tr>
      <w:tr w:rsidR="00D75CA8" w:rsidRPr="00E53E88" w14:paraId="05A32595" w14:textId="77777777" w:rsidTr="00D75CA8">
        <w:trPr>
          <w:gridAfter w:val="1"/>
          <w:wAfter w:w="11" w:type="pct"/>
        </w:trPr>
        <w:tc>
          <w:tcPr>
            <w:tcW w:w="2485" w:type="pct"/>
            <w:vAlign w:val="bottom"/>
          </w:tcPr>
          <w:p w14:paraId="334F16A3" w14:textId="77777777" w:rsidR="00D75CA8" w:rsidRPr="00E53E88" w:rsidRDefault="00D75CA8" w:rsidP="00D75CA8">
            <w:pPr>
              <w:widowControl w:val="0"/>
              <w:autoSpaceDE w:val="0"/>
              <w:autoSpaceDN w:val="0"/>
              <w:adjustRightInd w:val="0"/>
              <w:spacing w:after="0" w:line="240" w:lineRule="auto"/>
              <w:rPr>
                <w:rFonts w:cstheme="minorHAnsi"/>
              </w:rPr>
            </w:pPr>
            <w:bookmarkStart w:id="3" w:name="page18"/>
            <w:bookmarkEnd w:id="3"/>
          </w:p>
        </w:tc>
        <w:tc>
          <w:tcPr>
            <w:tcW w:w="495" w:type="pct"/>
            <w:gridSpan w:val="2"/>
            <w:vAlign w:val="bottom"/>
          </w:tcPr>
          <w:p w14:paraId="7C243B03" w14:textId="77777777" w:rsidR="00D75CA8" w:rsidRPr="00E53E88" w:rsidRDefault="00D75CA8" w:rsidP="00D75CA8">
            <w:pPr>
              <w:widowControl w:val="0"/>
              <w:autoSpaceDE w:val="0"/>
              <w:autoSpaceDN w:val="0"/>
              <w:adjustRightInd w:val="0"/>
              <w:spacing w:after="0" w:line="240" w:lineRule="auto"/>
              <w:jc w:val="right"/>
              <w:rPr>
                <w:rFonts w:cstheme="minorHAnsi"/>
              </w:rPr>
            </w:pPr>
          </w:p>
        </w:tc>
        <w:tc>
          <w:tcPr>
            <w:tcW w:w="495" w:type="pct"/>
            <w:gridSpan w:val="2"/>
            <w:vAlign w:val="bottom"/>
          </w:tcPr>
          <w:p w14:paraId="14F8CD17" w14:textId="77777777" w:rsidR="00D75CA8" w:rsidRPr="00E53E88" w:rsidRDefault="00D75CA8" w:rsidP="00D75CA8">
            <w:pPr>
              <w:widowControl w:val="0"/>
              <w:autoSpaceDE w:val="0"/>
              <w:autoSpaceDN w:val="0"/>
              <w:adjustRightInd w:val="0"/>
              <w:spacing w:after="0" w:line="240" w:lineRule="auto"/>
              <w:jc w:val="right"/>
              <w:rPr>
                <w:rFonts w:cstheme="minorHAnsi"/>
              </w:rPr>
            </w:pPr>
          </w:p>
        </w:tc>
        <w:tc>
          <w:tcPr>
            <w:tcW w:w="496" w:type="pct"/>
            <w:gridSpan w:val="2"/>
            <w:vAlign w:val="bottom"/>
          </w:tcPr>
          <w:p w14:paraId="27E0AD85" w14:textId="77777777" w:rsidR="00D75CA8" w:rsidRPr="00E53E88" w:rsidRDefault="00D75CA8" w:rsidP="00D75CA8">
            <w:pPr>
              <w:widowControl w:val="0"/>
              <w:autoSpaceDE w:val="0"/>
              <w:autoSpaceDN w:val="0"/>
              <w:adjustRightInd w:val="0"/>
              <w:spacing w:after="0" w:line="240" w:lineRule="auto"/>
              <w:jc w:val="right"/>
              <w:rPr>
                <w:rFonts w:cstheme="minorHAnsi"/>
              </w:rPr>
            </w:pPr>
          </w:p>
        </w:tc>
        <w:tc>
          <w:tcPr>
            <w:tcW w:w="522" w:type="pct"/>
            <w:gridSpan w:val="2"/>
            <w:vAlign w:val="bottom"/>
            <w:hideMark/>
          </w:tcPr>
          <w:p w14:paraId="716D89B3"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w w:val="96"/>
              </w:rPr>
              <w:t>Group costs</w:t>
            </w:r>
          </w:p>
        </w:tc>
        <w:tc>
          <w:tcPr>
            <w:tcW w:w="496" w:type="pct"/>
            <w:gridSpan w:val="2"/>
            <w:vAlign w:val="bottom"/>
          </w:tcPr>
          <w:p w14:paraId="124895AF" w14:textId="77777777" w:rsidR="00D75CA8" w:rsidRPr="00E53E88" w:rsidRDefault="00D75CA8" w:rsidP="00D75CA8">
            <w:pPr>
              <w:widowControl w:val="0"/>
              <w:autoSpaceDE w:val="0"/>
              <w:autoSpaceDN w:val="0"/>
              <w:adjustRightInd w:val="0"/>
              <w:spacing w:after="0" w:line="240" w:lineRule="auto"/>
              <w:jc w:val="right"/>
              <w:rPr>
                <w:rFonts w:cstheme="minorHAnsi"/>
              </w:rPr>
            </w:pPr>
          </w:p>
        </w:tc>
      </w:tr>
      <w:tr w:rsidR="00D75CA8" w:rsidRPr="00E53E88" w14:paraId="4E607167" w14:textId="77777777" w:rsidTr="00D75CA8">
        <w:trPr>
          <w:gridAfter w:val="1"/>
          <w:wAfter w:w="11" w:type="pct"/>
        </w:trPr>
        <w:tc>
          <w:tcPr>
            <w:tcW w:w="2485" w:type="pct"/>
            <w:vAlign w:val="bottom"/>
          </w:tcPr>
          <w:p w14:paraId="5EE571C9" w14:textId="77777777" w:rsidR="00D75CA8" w:rsidRPr="00E53E88" w:rsidRDefault="00D75CA8" w:rsidP="00D75CA8">
            <w:pPr>
              <w:widowControl w:val="0"/>
              <w:autoSpaceDE w:val="0"/>
              <w:autoSpaceDN w:val="0"/>
              <w:adjustRightInd w:val="0"/>
              <w:spacing w:after="0" w:line="240" w:lineRule="auto"/>
              <w:rPr>
                <w:rFonts w:cstheme="minorHAnsi"/>
              </w:rPr>
            </w:pPr>
          </w:p>
        </w:tc>
        <w:tc>
          <w:tcPr>
            <w:tcW w:w="495" w:type="pct"/>
            <w:gridSpan w:val="2"/>
            <w:vAlign w:val="bottom"/>
          </w:tcPr>
          <w:p w14:paraId="234B0FC0" w14:textId="77777777" w:rsidR="00D75CA8" w:rsidRPr="00E53E88" w:rsidRDefault="00D75CA8" w:rsidP="00D75CA8">
            <w:pPr>
              <w:widowControl w:val="0"/>
              <w:autoSpaceDE w:val="0"/>
              <w:autoSpaceDN w:val="0"/>
              <w:adjustRightInd w:val="0"/>
              <w:spacing w:after="0" w:line="240" w:lineRule="auto"/>
              <w:jc w:val="right"/>
              <w:rPr>
                <w:rFonts w:cstheme="minorHAnsi"/>
              </w:rPr>
            </w:pPr>
          </w:p>
        </w:tc>
        <w:tc>
          <w:tcPr>
            <w:tcW w:w="495" w:type="pct"/>
            <w:gridSpan w:val="2"/>
            <w:vAlign w:val="bottom"/>
          </w:tcPr>
          <w:p w14:paraId="11A80987" w14:textId="77777777" w:rsidR="00D75CA8" w:rsidRPr="00E53E88" w:rsidRDefault="00D75CA8" w:rsidP="00D75CA8">
            <w:pPr>
              <w:widowControl w:val="0"/>
              <w:autoSpaceDE w:val="0"/>
              <w:autoSpaceDN w:val="0"/>
              <w:adjustRightInd w:val="0"/>
              <w:spacing w:after="0" w:line="240" w:lineRule="auto"/>
              <w:jc w:val="right"/>
              <w:rPr>
                <w:rFonts w:cstheme="minorHAnsi"/>
              </w:rPr>
            </w:pPr>
          </w:p>
        </w:tc>
        <w:tc>
          <w:tcPr>
            <w:tcW w:w="496" w:type="pct"/>
            <w:gridSpan w:val="2"/>
            <w:vAlign w:val="bottom"/>
          </w:tcPr>
          <w:p w14:paraId="76822C2C" w14:textId="77777777" w:rsidR="00D75CA8" w:rsidRPr="00E53E88" w:rsidRDefault="00D75CA8" w:rsidP="00D75CA8">
            <w:pPr>
              <w:widowControl w:val="0"/>
              <w:autoSpaceDE w:val="0"/>
              <w:autoSpaceDN w:val="0"/>
              <w:adjustRightInd w:val="0"/>
              <w:spacing w:after="0" w:line="240" w:lineRule="auto"/>
              <w:jc w:val="right"/>
              <w:rPr>
                <w:rFonts w:cstheme="minorHAnsi"/>
              </w:rPr>
            </w:pPr>
          </w:p>
        </w:tc>
        <w:tc>
          <w:tcPr>
            <w:tcW w:w="522" w:type="pct"/>
            <w:gridSpan w:val="2"/>
            <w:vAlign w:val="bottom"/>
            <w:hideMark/>
          </w:tcPr>
          <w:p w14:paraId="7AE593A9"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and</w:t>
            </w:r>
          </w:p>
        </w:tc>
        <w:tc>
          <w:tcPr>
            <w:tcW w:w="496" w:type="pct"/>
            <w:gridSpan w:val="2"/>
            <w:vAlign w:val="bottom"/>
          </w:tcPr>
          <w:p w14:paraId="545EA804" w14:textId="77777777" w:rsidR="00D75CA8" w:rsidRPr="00E53E88" w:rsidRDefault="00D75CA8" w:rsidP="00D75CA8">
            <w:pPr>
              <w:widowControl w:val="0"/>
              <w:autoSpaceDE w:val="0"/>
              <w:autoSpaceDN w:val="0"/>
              <w:adjustRightInd w:val="0"/>
              <w:spacing w:after="0" w:line="240" w:lineRule="auto"/>
              <w:jc w:val="right"/>
              <w:rPr>
                <w:rFonts w:cstheme="minorHAnsi"/>
              </w:rPr>
            </w:pPr>
          </w:p>
        </w:tc>
      </w:tr>
      <w:tr w:rsidR="00D75CA8" w:rsidRPr="00E53E88" w14:paraId="025145B6" w14:textId="77777777" w:rsidTr="00D75CA8">
        <w:trPr>
          <w:gridAfter w:val="1"/>
          <w:wAfter w:w="11" w:type="pct"/>
        </w:trPr>
        <w:tc>
          <w:tcPr>
            <w:tcW w:w="2485" w:type="pct"/>
            <w:vAlign w:val="bottom"/>
          </w:tcPr>
          <w:p w14:paraId="64EB4EFD" w14:textId="77777777" w:rsidR="00D75CA8" w:rsidRPr="00E53E88" w:rsidRDefault="00D75CA8" w:rsidP="00D75CA8">
            <w:pPr>
              <w:widowControl w:val="0"/>
              <w:autoSpaceDE w:val="0"/>
              <w:autoSpaceDN w:val="0"/>
              <w:adjustRightInd w:val="0"/>
              <w:spacing w:after="0" w:line="240" w:lineRule="auto"/>
              <w:rPr>
                <w:rFonts w:cstheme="minorHAnsi"/>
              </w:rPr>
            </w:pPr>
          </w:p>
        </w:tc>
        <w:tc>
          <w:tcPr>
            <w:tcW w:w="495" w:type="pct"/>
            <w:gridSpan w:val="2"/>
            <w:vAlign w:val="bottom"/>
            <w:hideMark/>
          </w:tcPr>
          <w:p w14:paraId="32422032"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London</w:t>
            </w:r>
          </w:p>
        </w:tc>
        <w:tc>
          <w:tcPr>
            <w:tcW w:w="495" w:type="pct"/>
            <w:gridSpan w:val="2"/>
            <w:vAlign w:val="bottom"/>
            <w:hideMark/>
          </w:tcPr>
          <w:p w14:paraId="2DD9E14D"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UK South</w:t>
            </w:r>
          </w:p>
        </w:tc>
        <w:tc>
          <w:tcPr>
            <w:tcW w:w="496" w:type="pct"/>
            <w:gridSpan w:val="2"/>
            <w:vAlign w:val="bottom"/>
            <w:hideMark/>
          </w:tcPr>
          <w:p w14:paraId="1AA51739"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UK North</w:t>
            </w:r>
          </w:p>
        </w:tc>
        <w:tc>
          <w:tcPr>
            <w:tcW w:w="522" w:type="pct"/>
            <w:gridSpan w:val="2"/>
            <w:vAlign w:val="bottom"/>
            <w:hideMark/>
          </w:tcPr>
          <w:p w14:paraId="4A78ADCA"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Unallocated</w:t>
            </w:r>
          </w:p>
        </w:tc>
        <w:tc>
          <w:tcPr>
            <w:tcW w:w="496" w:type="pct"/>
            <w:gridSpan w:val="2"/>
            <w:vAlign w:val="bottom"/>
            <w:hideMark/>
          </w:tcPr>
          <w:p w14:paraId="12AFEE2F"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Total</w:t>
            </w:r>
          </w:p>
        </w:tc>
      </w:tr>
      <w:tr w:rsidR="00D75CA8" w:rsidRPr="00E53E88" w14:paraId="24309926" w14:textId="77777777" w:rsidTr="00D75CA8">
        <w:trPr>
          <w:gridAfter w:val="1"/>
          <w:wAfter w:w="11" w:type="pct"/>
        </w:trPr>
        <w:tc>
          <w:tcPr>
            <w:tcW w:w="2485" w:type="pct"/>
            <w:tcBorders>
              <w:top w:val="nil"/>
              <w:left w:val="nil"/>
              <w:bottom w:val="single" w:sz="4" w:space="0" w:color="000000" w:themeColor="text1"/>
              <w:right w:val="nil"/>
            </w:tcBorders>
            <w:vAlign w:val="bottom"/>
          </w:tcPr>
          <w:p w14:paraId="02EC1948" w14:textId="77777777" w:rsidR="00D75CA8" w:rsidRPr="00E53E88" w:rsidRDefault="00D75CA8" w:rsidP="00D75CA8">
            <w:pPr>
              <w:widowControl w:val="0"/>
              <w:autoSpaceDE w:val="0"/>
              <w:autoSpaceDN w:val="0"/>
              <w:adjustRightInd w:val="0"/>
              <w:spacing w:after="0" w:line="240" w:lineRule="auto"/>
              <w:rPr>
                <w:rFonts w:cstheme="minorHAnsi"/>
              </w:rPr>
            </w:pPr>
          </w:p>
        </w:tc>
        <w:tc>
          <w:tcPr>
            <w:tcW w:w="495" w:type="pct"/>
            <w:gridSpan w:val="2"/>
            <w:tcBorders>
              <w:top w:val="nil"/>
              <w:left w:val="nil"/>
              <w:bottom w:val="single" w:sz="4" w:space="0" w:color="000000" w:themeColor="text1"/>
              <w:right w:val="nil"/>
            </w:tcBorders>
            <w:vAlign w:val="bottom"/>
            <w:hideMark/>
          </w:tcPr>
          <w:p w14:paraId="3692A18C"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£m</w:t>
            </w:r>
          </w:p>
        </w:tc>
        <w:tc>
          <w:tcPr>
            <w:tcW w:w="495" w:type="pct"/>
            <w:gridSpan w:val="2"/>
            <w:tcBorders>
              <w:top w:val="nil"/>
              <w:left w:val="nil"/>
              <w:bottom w:val="single" w:sz="4" w:space="0" w:color="000000" w:themeColor="text1"/>
              <w:right w:val="nil"/>
            </w:tcBorders>
            <w:vAlign w:val="bottom"/>
            <w:hideMark/>
          </w:tcPr>
          <w:p w14:paraId="324C3FC9"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£m</w:t>
            </w:r>
          </w:p>
        </w:tc>
        <w:tc>
          <w:tcPr>
            <w:tcW w:w="496" w:type="pct"/>
            <w:gridSpan w:val="2"/>
            <w:tcBorders>
              <w:top w:val="nil"/>
              <w:left w:val="nil"/>
              <w:bottom w:val="single" w:sz="4" w:space="0" w:color="000000" w:themeColor="text1"/>
              <w:right w:val="nil"/>
            </w:tcBorders>
            <w:vAlign w:val="bottom"/>
            <w:hideMark/>
          </w:tcPr>
          <w:p w14:paraId="3237E29A"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£m</w:t>
            </w:r>
          </w:p>
        </w:tc>
        <w:tc>
          <w:tcPr>
            <w:tcW w:w="522" w:type="pct"/>
            <w:gridSpan w:val="2"/>
            <w:tcBorders>
              <w:top w:val="nil"/>
              <w:left w:val="nil"/>
              <w:bottom w:val="single" w:sz="4" w:space="0" w:color="000000" w:themeColor="text1"/>
              <w:right w:val="nil"/>
            </w:tcBorders>
            <w:vAlign w:val="bottom"/>
            <w:hideMark/>
          </w:tcPr>
          <w:p w14:paraId="24FD0CF5"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£m</w:t>
            </w:r>
          </w:p>
        </w:tc>
        <w:tc>
          <w:tcPr>
            <w:tcW w:w="496" w:type="pct"/>
            <w:gridSpan w:val="2"/>
            <w:tcBorders>
              <w:top w:val="nil"/>
              <w:left w:val="nil"/>
              <w:bottom w:val="single" w:sz="4" w:space="0" w:color="000000" w:themeColor="text1"/>
              <w:right w:val="nil"/>
            </w:tcBorders>
            <w:vAlign w:val="bottom"/>
            <w:hideMark/>
          </w:tcPr>
          <w:p w14:paraId="1AE6D2C5"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£m</w:t>
            </w:r>
          </w:p>
        </w:tc>
      </w:tr>
      <w:tr w:rsidR="00D75CA8" w:rsidRPr="00E53E88" w14:paraId="11EB96A0" w14:textId="77777777" w:rsidTr="00D75CA8">
        <w:trPr>
          <w:gridAfter w:val="1"/>
          <w:wAfter w:w="11" w:type="pct"/>
        </w:trPr>
        <w:tc>
          <w:tcPr>
            <w:tcW w:w="2485" w:type="pct"/>
            <w:tcBorders>
              <w:top w:val="single" w:sz="4" w:space="0" w:color="000000" w:themeColor="text1"/>
              <w:left w:val="nil"/>
              <w:bottom w:val="single" w:sz="4" w:space="0" w:color="000000" w:themeColor="text1"/>
              <w:right w:val="nil"/>
            </w:tcBorders>
            <w:vAlign w:val="bottom"/>
            <w:hideMark/>
          </w:tcPr>
          <w:p w14:paraId="77700884" w14:textId="77777777" w:rsidR="00D75CA8" w:rsidRPr="00E53E88" w:rsidRDefault="00D75CA8" w:rsidP="00D75CA8">
            <w:pPr>
              <w:widowControl w:val="0"/>
              <w:autoSpaceDE w:val="0"/>
              <w:autoSpaceDN w:val="0"/>
              <w:adjustRightInd w:val="0"/>
              <w:spacing w:after="0" w:line="240" w:lineRule="auto"/>
              <w:rPr>
                <w:rFonts w:cstheme="minorHAnsi"/>
              </w:rPr>
            </w:pPr>
            <w:r w:rsidRPr="00E53E88">
              <w:rPr>
                <w:rFonts w:cstheme="minorHAnsi"/>
              </w:rPr>
              <w:t>Revenue from contracts with customers</w:t>
            </w:r>
          </w:p>
        </w:tc>
        <w:tc>
          <w:tcPr>
            <w:tcW w:w="495" w:type="pct"/>
            <w:gridSpan w:val="2"/>
            <w:tcBorders>
              <w:top w:val="single" w:sz="4" w:space="0" w:color="000000" w:themeColor="text1"/>
              <w:left w:val="nil"/>
              <w:bottom w:val="single" w:sz="4" w:space="0" w:color="000000" w:themeColor="text1"/>
              <w:right w:val="nil"/>
            </w:tcBorders>
            <w:vAlign w:val="bottom"/>
            <w:hideMark/>
          </w:tcPr>
          <w:p w14:paraId="20039542"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201.0</w:t>
            </w:r>
          </w:p>
        </w:tc>
        <w:tc>
          <w:tcPr>
            <w:tcW w:w="495" w:type="pct"/>
            <w:gridSpan w:val="2"/>
            <w:tcBorders>
              <w:top w:val="single" w:sz="4" w:space="0" w:color="000000" w:themeColor="text1"/>
              <w:left w:val="nil"/>
              <w:bottom w:val="single" w:sz="4" w:space="0" w:color="000000" w:themeColor="text1"/>
              <w:right w:val="nil"/>
            </w:tcBorders>
            <w:vAlign w:val="bottom"/>
            <w:hideMark/>
          </w:tcPr>
          <w:p w14:paraId="4481CEA2"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66.3</w:t>
            </w:r>
          </w:p>
        </w:tc>
        <w:tc>
          <w:tcPr>
            <w:tcW w:w="496" w:type="pct"/>
            <w:gridSpan w:val="2"/>
            <w:tcBorders>
              <w:top w:val="single" w:sz="4" w:space="0" w:color="000000" w:themeColor="text1"/>
              <w:left w:val="nil"/>
              <w:bottom w:val="single" w:sz="4" w:space="0" w:color="000000" w:themeColor="text1"/>
              <w:right w:val="nil"/>
            </w:tcBorders>
            <w:vAlign w:val="bottom"/>
            <w:hideMark/>
          </w:tcPr>
          <w:p w14:paraId="42E0E588"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67.3</w:t>
            </w:r>
          </w:p>
        </w:tc>
        <w:tc>
          <w:tcPr>
            <w:tcW w:w="522" w:type="pct"/>
            <w:gridSpan w:val="2"/>
            <w:tcBorders>
              <w:top w:val="single" w:sz="4" w:space="0" w:color="000000" w:themeColor="text1"/>
              <w:left w:val="nil"/>
              <w:bottom w:val="single" w:sz="4" w:space="0" w:color="000000" w:themeColor="text1"/>
              <w:right w:val="nil"/>
            </w:tcBorders>
            <w:vAlign w:val="bottom"/>
            <w:hideMark/>
          </w:tcPr>
          <w:p w14:paraId="48D27397"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w:t>
            </w:r>
          </w:p>
        </w:tc>
        <w:tc>
          <w:tcPr>
            <w:tcW w:w="496" w:type="pct"/>
            <w:gridSpan w:val="2"/>
            <w:tcBorders>
              <w:top w:val="single" w:sz="4" w:space="0" w:color="000000" w:themeColor="text1"/>
              <w:left w:val="nil"/>
              <w:bottom w:val="single" w:sz="4" w:space="0" w:color="000000" w:themeColor="text1"/>
              <w:right w:val="nil"/>
            </w:tcBorders>
            <w:vAlign w:val="bottom"/>
            <w:hideMark/>
          </w:tcPr>
          <w:p w14:paraId="4CA931E2"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334.6</w:t>
            </w:r>
          </w:p>
        </w:tc>
      </w:tr>
      <w:tr w:rsidR="00D75CA8" w:rsidRPr="00E53E88" w14:paraId="443BDE07" w14:textId="77777777" w:rsidTr="00D75CA8">
        <w:trPr>
          <w:gridAfter w:val="1"/>
          <w:wAfter w:w="11" w:type="pct"/>
        </w:trPr>
        <w:tc>
          <w:tcPr>
            <w:tcW w:w="2485" w:type="pct"/>
            <w:tcBorders>
              <w:top w:val="single" w:sz="4" w:space="0" w:color="000000" w:themeColor="text1"/>
              <w:left w:val="nil"/>
              <w:bottom w:val="nil"/>
              <w:right w:val="nil"/>
            </w:tcBorders>
            <w:vAlign w:val="bottom"/>
            <w:hideMark/>
          </w:tcPr>
          <w:p w14:paraId="15FE44B4" w14:textId="77777777" w:rsidR="00D75CA8" w:rsidRPr="00E53E88" w:rsidRDefault="00D75CA8" w:rsidP="00D75CA8">
            <w:pPr>
              <w:widowControl w:val="0"/>
              <w:autoSpaceDE w:val="0"/>
              <w:autoSpaceDN w:val="0"/>
              <w:adjustRightInd w:val="0"/>
              <w:spacing w:after="0" w:line="240" w:lineRule="auto"/>
              <w:rPr>
                <w:rFonts w:cstheme="minorHAnsi"/>
              </w:rPr>
            </w:pPr>
            <w:r w:rsidRPr="00E53E88">
              <w:rPr>
                <w:rFonts w:cstheme="minorHAnsi"/>
              </w:rPr>
              <w:t>Underlying operating profit</w:t>
            </w:r>
          </w:p>
        </w:tc>
        <w:tc>
          <w:tcPr>
            <w:tcW w:w="495" w:type="pct"/>
            <w:gridSpan w:val="2"/>
            <w:tcBorders>
              <w:top w:val="single" w:sz="4" w:space="0" w:color="000000" w:themeColor="text1"/>
              <w:left w:val="nil"/>
              <w:bottom w:val="nil"/>
              <w:right w:val="nil"/>
            </w:tcBorders>
            <w:vAlign w:val="bottom"/>
            <w:hideMark/>
          </w:tcPr>
          <w:p w14:paraId="569E794B"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8.2</w:t>
            </w:r>
          </w:p>
        </w:tc>
        <w:tc>
          <w:tcPr>
            <w:tcW w:w="495" w:type="pct"/>
            <w:gridSpan w:val="2"/>
            <w:tcBorders>
              <w:top w:val="single" w:sz="4" w:space="0" w:color="000000" w:themeColor="text1"/>
              <w:left w:val="nil"/>
              <w:bottom w:val="nil"/>
              <w:right w:val="nil"/>
            </w:tcBorders>
            <w:vAlign w:val="bottom"/>
            <w:hideMark/>
          </w:tcPr>
          <w:p w14:paraId="18A00C2A"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3.6</w:t>
            </w:r>
          </w:p>
        </w:tc>
        <w:tc>
          <w:tcPr>
            <w:tcW w:w="496" w:type="pct"/>
            <w:gridSpan w:val="2"/>
            <w:tcBorders>
              <w:top w:val="single" w:sz="4" w:space="0" w:color="000000" w:themeColor="text1"/>
              <w:left w:val="nil"/>
              <w:bottom w:val="nil"/>
              <w:right w:val="nil"/>
            </w:tcBorders>
            <w:vAlign w:val="bottom"/>
            <w:hideMark/>
          </w:tcPr>
          <w:p w14:paraId="4EFF5989"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1.4</w:t>
            </w:r>
          </w:p>
        </w:tc>
        <w:tc>
          <w:tcPr>
            <w:tcW w:w="522" w:type="pct"/>
            <w:gridSpan w:val="2"/>
            <w:tcBorders>
              <w:top w:val="single" w:sz="4" w:space="0" w:color="000000" w:themeColor="text1"/>
              <w:left w:val="nil"/>
              <w:bottom w:val="nil"/>
              <w:right w:val="nil"/>
            </w:tcBorders>
            <w:vAlign w:val="bottom"/>
            <w:hideMark/>
          </w:tcPr>
          <w:p w14:paraId="351AB20A"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(3.0)</w:t>
            </w:r>
          </w:p>
        </w:tc>
        <w:tc>
          <w:tcPr>
            <w:tcW w:w="496" w:type="pct"/>
            <w:gridSpan w:val="2"/>
            <w:tcBorders>
              <w:top w:val="single" w:sz="4" w:space="0" w:color="000000" w:themeColor="text1"/>
              <w:left w:val="nil"/>
              <w:bottom w:val="nil"/>
              <w:right w:val="nil"/>
            </w:tcBorders>
            <w:vAlign w:val="bottom"/>
            <w:hideMark/>
          </w:tcPr>
          <w:p w14:paraId="5C2CF83B"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10.2</w:t>
            </w:r>
          </w:p>
        </w:tc>
      </w:tr>
      <w:tr w:rsidR="00D75CA8" w:rsidRPr="00E53E88" w14:paraId="76ED45B7" w14:textId="77777777" w:rsidTr="00D75CA8">
        <w:trPr>
          <w:gridAfter w:val="1"/>
          <w:wAfter w:w="11" w:type="pct"/>
        </w:trPr>
        <w:tc>
          <w:tcPr>
            <w:tcW w:w="2485" w:type="pct"/>
            <w:tcBorders>
              <w:top w:val="nil"/>
              <w:left w:val="nil"/>
              <w:bottom w:val="single" w:sz="4" w:space="0" w:color="000000" w:themeColor="text1"/>
              <w:right w:val="nil"/>
            </w:tcBorders>
            <w:vAlign w:val="bottom"/>
            <w:hideMark/>
          </w:tcPr>
          <w:p w14:paraId="47C19047" w14:textId="77777777" w:rsidR="00D75CA8" w:rsidRPr="00E53E88" w:rsidRDefault="00D75CA8" w:rsidP="00D75CA8">
            <w:pPr>
              <w:widowControl w:val="0"/>
              <w:autoSpaceDE w:val="0"/>
              <w:autoSpaceDN w:val="0"/>
              <w:adjustRightInd w:val="0"/>
              <w:spacing w:after="0" w:line="240" w:lineRule="auto"/>
              <w:rPr>
                <w:rFonts w:cstheme="minorHAnsi"/>
              </w:rPr>
            </w:pPr>
            <w:r w:rsidRPr="00E53E88">
              <w:rPr>
                <w:rFonts w:cstheme="minorHAnsi"/>
              </w:rPr>
              <w:t>Amortisation of intangibles</w:t>
            </w:r>
          </w:p>
        </w:tc>
        <w:tc>
          <w:tcPr>
            <w:tcW w:w="495" w:type="pct"/>
            <w:gridSpan w:val="2"/>
            <w:tcBorders>
              <w:top w:val="nil"/>
              <w:left w:val="nil"/>
              <w:bottom w:val="single" w:sz="4" w:space="0" w:color="000000" w:themeColor="text1"/>
              <w:right w:val="nil"/>
            </w:tcBorders>
            <w:vAlign w:val="bottom"/>
            <w:hideMark/>
          </w:tcPr>
          <w:p w14:paraId="67C8D68C"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w:t>
            </w:r>
          </w:p>
        </w:tc>
        <w:tc>
          <w:tcPr>
            <w:tcW w:w="495" w:type="pct"/>
            <w:gridSpan w:val="2"/>
            <w:tcBorders>
              <w:top w:val="nil"/>
              <w:left w:val="nil"/>
              <w:bottom w:val="single" w:sz="4" w:space="0" w:color="000000" w:themeColor="text1"/>
              <w:right w:val="nil"/>
            </w:tcBorders>
            <w:vAlign w:val="bottom"/>
            <w:hideMark/>
          </w:tcPr>
          <w:p w14:paraId="1EDBA223"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w:t>
            </w:r>
          </w:p>
        </w:tc>
        <w:tc>
          <w:tcPr>
            <w:tcW w:w="496" w:type="pct"/>
            <w:gridSpan w:val="2"/>
            <w:tcBorders>
              <w:top w:val="nil"/>
              <w:left w:val="nil"/>
              <w:bottom w:val="single" w:sz="4" w:space="0" w:color="000000" w:themeColor="text1"/>
              <w:right w:val="nil"/>
            </w:tcBorders>
            <w:vAlign w:val="bottom"/>
            <w:hideMark/>
          </w:tcPr>
          <w:p w14:paraId="6AE7D40E"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(0.2)</w:t>
            </w:r>
          </w:p>
        </w:tc>
        <w:tc>
          <w:tcPr>
            <w:tcW w:w="522" w:type="pct"/>
            <w:gridSpan w:val="2"/>
            <w:tcBorders>
              <w:top w:val="nil"/>
              <w:left w:val="nil"/>
              <w:bottom w:val="single" w:sz="4" w:space="0" w:color="000000" w:themeColor="text1"/>
              <w:right w:val="nil"/>
            </w:tcBorders>
            <w:vAlign w:val="bottom"/>
            <w:hideMark/>
          </w:tcPr>
          <w:p w14:paraId="5ABF17E4"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w:t>
            </w:r>
          </w:p>
        </w:tc>
        <w:tc>
          <w:tcPr>
            <w:tcW w:w="496" w:type="pct"/>
            <w:gridSpan w:val="2"/>
            <w:tcBorders>
              <w:top w:val="nil"/>
              <w:left w:val="nil"/>
              <w:bottom w:val="single" w:sz="4" w:space="0" w:color="000000" w:themeColor="text1"/>
              <w:right w:val="nil"/>
            </w:tcBorders>
            <w:vAlign w:val="bottom"/>
            <w:hideMark/>
          </w:tcPr>
          <w:p w14:paraId="70047AF0"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(0.2)</w:t>
            </w:r>
          </w:p>
        </w:tc>
      </w:tr>
      <w:tr w:rsidR="00D75CA8" w:rsidRPr="00E53E88" w14:paraId="607BC2E3" w14:textId="77777777" w:rsidTr="00D75CA8">
        <w:trPr>
          <w:gridAfter w:val="1"/>
          <w:wAfter w:w="11" w:type="pct"/>
        </w:trPr>
        <w:tc>
          <w:tcPr>
            <w:tcW w:w="2485" w:type="pct"/>
            <w:tcBorders>
              <w:top w:val="single" w:sz="4" w:space="0" w:color="000000" w:themeColor="text1"/>
              <w:left w:val="nil"/>
              <w:bottom w:val="nil"/>
              <w:right w:val="nil"/>
            </w:tcBorders>
            <w:vAlign w:val="bottom"/>
            <w:hideMark/>
          </w:tcPr>
          <w:p w14:paraId="0798797E" w14:textId="77777777" w:rsidR="00D75CA8" w:rsidRPr="00E53E88" w:rsidRDefault="00D75CA8" w:rsidP="00D75CA8">
            <w:pPr>
              <w:widowControl w:val="0"/>
              <w:autoSpaceDE w:val="0"/>
              <w:autoSpaceDN w:val="0"/>
              <w:adjustRightInd w:val="0"/>
              <w:spacing w:after="0" w:line="240" w:lineRule="auto"/>
              <w:rPr>
                <w:rFonts w:cstheme="minorHAnsi"/>
              </w:rPr>
            </w:pPr>
            <w:r w:rsidRPr="00E53E88">
              <w:rPr>
                <w:rFonts w:cstheme="minorHAnsi"/>
              </w:rPr>
              <w:t>Operating profit</w:t>
            </w:r>
          </w:p>
        </w:tc>
        <w:tc>
          <w:tcPr>
            <w:tcW w:w="495" w:type="pct"/>
            <w:gridSpan w:val="2"/>
            <w:tcBorders>
              <w:top w:val="single" w:sz="4" w:space="0" w:color="000000" w:themeColor="text1"/>
              <w:left w:val="nil"/>
              <w:bottom w:val="nil"/>
              <w:right w:val="nil"/>
            </w:tcBorders>
            <w:vAlign w:val="bottom"/>
            <w:hideMark/>
          </w:tcPr>
          <w:p w14:paraId="7F797B8F"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8.2</w:t>
            </w:r>
          </w:p>
        </w:tc>
        <w:tc>
          <w:tcPr>
            <w:tcW w:w="495" w:type="pct"/>
            <w:gridSpan w:val="2"/>
            <w:tcBorders>
              <w:top w:val="single" w:sz="4" w:space="0" w:color="000000" w:themeColor="text1"/>
              <w:left w:val="nil"/>
              <w:bottom w:val="nil"/>
              <w:right w:val="nil"/>
            </w:tcBorders>
            <w:vAlign w:val="bottom"/>
            <w:hideMark/>
          </w:tcPr>
          <w:p w14:paraId="72862444"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3.6</w:t>
            </w:r>
          </w:p>
        </w:tc>
        <w:tc>
          <w:tcPr>
            <w:tcW w:w="496" w:type="pct"/>
            <w:gridSpan w:val="2"/>
            <w:tcBorders>
              <w:top w:val="single" w:sz="4" w:space="0" w:color="000000" w:themeColor="text1"/>
              <w:left w:val="nil"/>
              <w:bottom w:val="nil"/>
              <w:right w:val="nil"/>
            </w:tcBorders>
            <w:vAlign w:val="bottom"/>
            <w:hideMark/>
          </w:tcPr>
          <w:p w14:paraId="1F2A46B5"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1.2</w:t>
            </w:r>
          </w:p>
        </w:tc>
        <w:tc>
          <w:tcPr>
            <w:tcW w:w="522" w:type="pct"/>
            <w:gridSpan w:val="2"/>
            <w:tcBorders>
              <w:top w:val="single" w:sz="4" w:space="0" w:color="000000" w:themeColor="text1"/>
              <w:left w:val="nil"/>
              <w:bottom w:val="nil"/>
              <w:right w:val="nil"/>
            </w:tcBorders>
            <w:vAlign w:val="bottom"/>
            <w:hideMark/>
          </w:tcPr>
          <w:p w14:paraId="33E746ED"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(3.0)</w:t>
            </w:r>
          </w:p>
        </w:tc>
        <w:tc>
          <w:tcPr>
            <w:tcW w:w="496" w:type="pct"/>
            <w:gridSpan w:val="2"/>
            <w:tcBorders>
              <w:top w:val="single" w:sz="4" w:space="0" w:color="000000" w:themeColor="text1"/>
              <w:left w:val="nil"/>
              <w:bottom w:val="nil"/>
              <w:right w:val="nil"/>
            </w:tcBorders>
            <w:vAlign w:val="bottom"/>
            <w:hideMark/>
          </w:tcPr>
          <w:p w14:paraId="4A98BC47"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10</w:t>
            </w:r>
            <w:r>
              <w:rPr>
                <w:rFonts w:cstheme="minorHAnsi"/>
              </w:rPr>
              <w:t>.0</w:t>
            </w:r>
          </w:p>
        </w:tc>
      </w:tr>
      <w:tr w:rsidR="00D75CA8" w:rsidRPr="00E53E88" w14:paraId="56CDEA9D" w14:textId="77777777" w:rsidTr="00D75CA8">
        <w:trPr>
          <w:gridAfter w:val="1"/>
          <w:wAfter w:w="11" w:type="pct"/>
        </w:trPr>
        <w:tc>
          <w:tcPr>
            <w:tcW w:w="2485" w:type="pct"/>
            <w:tcBorders>
              <w:top w:val="nil"/>
              <w:left w:val="nil"/>
              <w:bottom w:val="single" w:sz="4" w:space="0" w:color="000000" w:themeColor="text1"/>
              <w:right w:val="nil"/>
            </w:tcBorders>
            <w:vAlign w:val="bottom"/>
            <w:hideMark/>
          </w:tcPr>
          <w:p w14:paraId="06F0692B" w14:textId="77777777" w:rsidR="00D75CA8" w:rsidRPr="00E53E88" w:rsidRDefault="00D75CA8" w:rsidP="00D75CA8">
            <w:pPr>
              <w:widowControl w:val="0"/>
              <w:autoSpaceDE w:val="0"/>
              <w:autoSpaceDN w:val="0"/>
              <w:adjustRightInd w:val="0"/>
              <w:spacing w:after="0" w:line="240" w:lineRule="auto"/>
              <w:rPr>
                <w:rFonts w:cstheme="minorHAnsi"/>
              </w:rPr>
            </w:pPr>
            <w:r w:rsidRPr="00E53E88">
              <w:rPr>
                <w:rFonts w:cstheme="minorHAnsi"/>
              </w:rPr>
              <w:t>Finance costs</w:t>
            </w:r>
          </w:p>
        </w:tc>
        <w:tc>
          <w:tcPr>
            <w:tcW w:w="495" w:type="pct"/>
            <w:gridSpan w:val="2"/>
            <w:tcBorders>
              <w:top w:val="nil"/>
              <w:left w:val="nil"/>
              <w:bottom w:val="single" w:sz="4" w:space="0" w:color="000000" w:themeColor="text1"/>
              <w:right w:val="nil"/>
            </w:tcBorders>
            <w:vAlign w:val="bottom"/>
            <w:hideMark/>
          </w:tcPr>
          <w:p w14:paraId="4FFF3CE9"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w:t>
            </w:r>
          </w:p>
        </w:tc>
        <w:tc>
          <w:tcPr>
            <w:tcW w:w="495" w:type="pct"/>
            <w:gridSpan w:val="2"/>
            <w:tcBorders>
              <w:top w:val="nil"/>
              <w:left w:val="nil"/>
              <w:bottom w:val="single" w:sz="4" w:space="0" w:color="000000" w:themeColor="text1"/>
              <w:right w:val="nil"/>
            </w:tcBorders>
            <w:vAlign w:val="bottom"/>
            <w:hideMark/>
          </w:tcPr>
          <w:p w14:paraId="0DD08985"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w:t>
            </w:r>
          </w:p>
        </w:tc>
        <w:tc>
          <w:tcPr>
            <w:tcW w:w="496" w:type="pct"/>
            <w:gridSpan w:val="2"/>
            <w:tcBorders>
              <w:top w:val="nil"/>
              <w:left w:val="nil"/>
              <w:bottom w:val="single" w:sz="4" w:space="0" w:color="000000" w:themeColor="text1"/>
              <w:right w:val="nil"/>
            </w:tcBorders>
            <w:vAlign w:val="bottom"/>
            <w:hideMark/>
          </w:tcPr>
          <w:p w14:paraId="143862C0"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w:t>
            </w:r>
          </w:p>
        </w:tc>
        <w:tc>
          <w:tcPr>
            <w:tcW w:w="522" w:type="pct"/>
            <w:gridSpan w:val="2"/>
            <w:tcBorders>
              <w:top w:val="nil"/>
              <w:left w:val="nil"/>
              <w:bottom w:val="single" w:sz="4" w:space="0" w:color="000000" w:themeColor="text1"/>
              <w:right w:val="nil"/>
            </w:tcBorders>
            <w:vAlign w:val="bottom"/>
            <w:hideMark/>
          </w:tcPr>
          <w:p w14:paraId="52311267"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(1.0)</w:t>
            </w:r>
          </w:p>
        </w:tc>
        <w:tc>
          <w:tcPr>
            <w:tcW w:w="496" w:type="pct"/>
            <w:gridSpan w:val="2"/>
            <w:tcBorders>
              <w:top w:val="nil"/>
              <w:left w:val="nil"/>
              <w:bottom w:val="single" w:sz="4" w:space="0" w:color="000000" w:themeColor="text1"/>
              <w:right w:val="nil"/>
            </w:tcBorders>
            <w:vAlign w:val="bottom"/>
            <w:hideMark/>
          </w:tcPr>
          <w:p w14:paraId="3F9BCB2A"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(1.0)</w:t>
            </w:r>
          </w:p>
        </w:tc>
      </w:tr>
      <w:tr w:rsidR="00D75CA8" w:rsidRPr="00E53E88" w14:paraId="120E3EA4" w14:textId="77777777" w:rsidTr="00D75CA8">
        <w:trPr>
          <w:gridAfter w:val="1"/>
          <w:wAfter w:w="11" w:type="pct"/>
        </w:trPr>
        <w:tc>
          <w:tcPr>
            <w:tcW w:w="2485" w:type="pct"/>
            <w:tcBorders>
              <w:top w:val="single" w:sz="4" w:space="0" w:color="000000" w:themeColor="text1"/>
              <w:left w:val="nil"/>
              <w:bottom w:val="nil"/>
              <w:right w:val="nil"/>
            </w:tcBorders>
            <w:vAlign w:val="bottom"/>
            <w:hideMark/>
          </w:tcPr>
          <w:p w14:paraId="34AE7981" w14:textId="77777777" w:rsidR="00D75CA8" w:rsidRPr="00E53E88" w:rsidRDefault="00D75CA8" w:rsidP="00D75CA8">
            <w:pPr>
              <w:widowControl w:val="0"/>
              <w:autoSpaceDE w:val="0"/>
              <w:autoSpaceDN w:val="0"/>
              <w:adjustRightInd w:val="0"/>
              <w:spacing w:after="0" w:line="240" w:lineRule="auto"/>
              <w:rPr>
                <w:rFonts w:cstheme="minorHAnsi"/>
              </w:rPr>
            </w:pPr>
            <w:r w:rsidRPr="00E53E88">
              <w:rPr>
                <w:rFonts w:cstheme="minorHAnsi"/>
              </w:rPr>
              <w:t>Profit before tax</w:t>
            </w:r>
          </w:p>
        </w:tc>
        <w:tc>
          <w:tcPr>
            <w:tcW w:w="495" w:type="pct"/>
            <w:gridSpan w:val="2"/>
            <w:tcBorders>
              <w:top w:val="single" w:sz="4" w:space="0" w:color="000000" w:themeColor="text1"/>
              <w:left w:val="nil"/>
              <w:bottom w:val="nil"/>
              <w:right w:val="nil"/>
            </w:tcBorders>
            <w:vAlign w:val="bottom"/>
            <w:hideMark/>
          </w:tcPr>
          <w:p w14:paraId="247815FE"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8.2</w:t>
            </w:r>
          </w:p>
        </w:tc>
        <w:tc>
          <w:tcPr>
            <w:tcW w:w="495" w:type="pct"/>
            <w:gridSpan w:val="2"/>
            <w:tcBorders>
              <w:top w:val="single" w:sz="4" w:space="0" w:color="000000" w:themeColor="text1"/>
              <w:left w:val="nil"/>
              <w:bottom w:val="nil"/>
              <w:right w:val="nil"/>
            </w:tcBorders>
            <w:vAlign w:val="bottom"/>
            <w:hideMark/>
          </w:tcPr>
          <w:p w14:paraId="2DF079BB"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3.6</w:t>
            </w:r>
          </w:p>
        </w:tc>
        <w:tc>
          <w:tcPr>
            <w:tcW w:w="496" w:type="pct"/>
            <w:gridSpan w:val="2"/>
            <w:tcBorders>
              <w:top w:val="single" w:sz="4" w:space="0" w:color="000000" w:themeColor="text1"/>
              <w:left w:val="nil"/>
              <w:bottom w:val="nil"/>
              <w:right w:val="nil"/>
            </w:tcBorders>
            <w:vAlign w:val="bottom"/>
            <w:hideMark/>
          </w:tcPr>
          <w:p w14:paraId="7D7AC735"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1.2</w:t>
            </w:r>
          </w:p>
        </w:tc>
        <w:tc>
          <w:tcPr>
            <w:tcW w:w="522" w:type="pct"/>
            <w:gridSpan w:val="2"/>
            <w:tcBorders>
              <w:top w:val="single" w:sz="4" w:space="0" w:color="000000" w:themeColor="text1"/>
              <w:left w:val="nil"/>
              <w:bottom w:val="nil"/>
              <w:right w:val="nil"/>
            </w:tcBorders>
            <w:vAlign w:val="bottom"/>
            <w:hideMark/>
          </w:tcPr>
          <w:p w14:paraId="6A393902"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(4.0)</w:t>
            </w:r>
          </w:p>
        </w:tc>
        <w:tc>
          <w:tcPr>
            <w:tcW w:w="496" w:type="pct"/>
            <w:gridSpan w:val="2"/>
            <w:tcBorders>
              <w:top w:val="single" w:sz="4" w:space="0" w:color="000000" w:themeColor="text1"/>
              <w:left w:val="nil"/>
              <w:bottom w:val="nil"/>
              <w:right w:val="nil"/>
            </w:tcBorders>
            <w:vAlign w:val="bottom"/>
            <w:hideMark/>
          </w:tcPr>
          <w:p w14:paraId="304CEC33"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9.0</w:t>
            </w:r>
          </w:p>
        </w:tc>
      </w:tr>
      <w:tr w:rsidR="00D75CA8" w:rsidRPr="00E53E88" w14:paraId="2FE7C9F0" w14:textId="77777777" w:rsidTr="00D75CA8">
        <w:trPr>
          <w:gridAfter w:val="1"/>
          <w:wAfter w:w="11" w:type="pct"/>
        </w:trPr>
        <w:tc>
          <w:tcPr>
            <w:tcW w:w="2485" w:type="pct"/>
            <w:tcBorders>
              <w:top w:val="nil"/>
              <w:left w:val="nil"/>
              <w:bottom w:val="single" w:sz="4" w:space="0" w:color="000000" w:themeColor="text1"/>
              <w:right w:val="nil"/>
            </w:tcBorders>
            <w:vAlign w:val="bottom"/>
            <w:hideMark/>
          </w:tcPr>
          <w:p w14:paraId="4785D273" w14:textId="77777777" w:rsidR="00D75CA8" w:rsidRPr="00E53E88" w:rsidRDefault="00D75CA8" w:rsidP="00D75CA8">
            <w:pPr>
              <w:widowControl w:val="0"/>
              <w:autoSpaceDE w:val="0"/>
              <w:autoSpaceDN w:val="0"/>
              <w:adjustRightInd w:val="0"/>
              <w:spacing w:after="0" w:line="240" w:lineRule="auto"/>
              <w:rPr>
                <w:rFonts w:cstheme="minorHAnsi"/>
              </w:rPr>
            </w:pPr>
            <w:r w:rsidRPr="00E53E88">
              <w:rPr>
                <w:rFonts w:cstheme="minorHAnsi"/>
              </w:rPr>
              <w:t>Taxation expenses</w:t>
            </w:r>
          </w:p>
        </w:tc>
        <w:tc>
          <w:tcPr>
            <w:tcW w:w="495" w:type="pct"/>
            <w:gridSpan w:val="2"/>
            <w:tcBorders>
              <w:top w:val="nil"/>
              <w:left w:val="nil"/>
              <w:bottom w:val="single" w:sz="4" w:space="0" w:color="000000" w:themeColor="text1"/>
              <w:right w:val="nil"/>
            </w:tcBorders>
            <w:vAlign w:val="bottom"/>
            <w:hideMark/>
          </w:tcPr>
          <w:p w14:paraId="73E75A72"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w:t>
            </w:r>
          </w:p>
        </w:tc>
        <w:tc>
          <w:tcPr>
            <w:tcW w:w="495" w:type="pct"/>
            <w:gridSpan w:val="2"/>
            <w:tcBorders>
              <w:top w:val="nil"/>
              <w:left w:val="nil"/>
              <w:bottom w:val="single" w:sz="4" w:space="0" w:color="000000" w:themeColor="text1"/>
              <w:right w:val="nil"/>
            </w:tcBorders>
            <w:vAlign w:val="bottom"/>
            <w:hideMark/>
          </w:tcPr>
          <w:p w14:paraId="0D85AAFF"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w:t>
            </w:r>
          </w:p>
        </w:tc>
        <w:tc>
          <w:tcPr>
            <w:tcW w:w="496" w:type="pct"/>
            <w:gridSpan w:val="2"/>
            <w:tcBorders>
              <w:top w:val="nil"/>
              <w:left w:val="nil"/>
              <w:bottom w:val="single" w:sz="4" w:space="0" w:color="000000" w:themeColor="text1"/>
              <w:right w:val="nil"/>
            </w:tcBorders>
            <w:vAlign w:val="bottom"/>
            <w:hideMark/>
          </w:tcPr>
          <w:p w14:paraId="5BFDBB8C"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w:t>
            </w:r>
          </w:p>
        </w:tc>
        <w:tc>
          <w:tcPr>
            <w:tcW w:w="522" w:type="pct"/>
            <w:gridSpan w:val="2"/>
            <w:tcBorders>
              <w:top w:val="nil"/>
              <w:left w:val="nil"/>
              <w:bottom w:val="single" w:sz="4" w:space="0" w:color="000000" w:themeColor="text1"/>
              <w:right w:val="nil"/>
            </w:tcBorders>
            <w:vAlign w:val="bottom"/>
            <w:hideMark/>
          </w:tcPr>
          <w:p w14:paraId="3010CB91"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(1.2)</w:t>
            </w:r>
          </w:p>
        </w:tc>
        <w:tc>
          <w:tcPr>
            <w:tcW w:w="496" w:type="pct"/>
            <w:gridSpan w:val="2"/>
            <w:tcBorders>
              <w:top w:val="nil"/>
              <w:left w:val="nil"/>
              <w:bottom w:val="single" w:sz="4" w:space="0" w:color="000000" w:themeColor="text1"/>
              <w:right w:val="nil"/>
            </w:tcBorders>
            <w:vAlign w:val="bottom"/>
            <w:hideMark/>
          </w:tcPr>
          <w:p w14:paraId="0F5E4E20"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(1.2)</w:t>
            </w:r>
          </w:p>
        </w:tc>
      </w:tr>
      <w:tr w:rsidR="00D75CA8" w:rsidRPr="00E53E88" w14:paraId="5CE45933" w14:textId="77777777" w:rsidTr="00D75CA8">
        <w:trPr>
          <w:gridAfter w:val="1"/>
          <w:wAfter w:w="11" w:type="pct"/>
        </w:trPr>
        <w:tc>
          <w:tcPr>
            <w:tcW w:w="2485" w:type="pct"/>
            <w:tcBorders>
              <w:top w:val="single" w:sz="4" w:space="0" w:color="000000" w:themeColor="text1"/>
              <w:left w:val="nil"/>
              <w:bottom w:val="single" w:sz="12" w:space="0" w:color="000000" w:themeColor="text1"/>
              <w:right w:val="nil"/>
            </w:tcBorders>
            <w:vAlign w:val="bottom"/>
            <w:hideMark/>
          </w:tcPr>
          <w:p w14:paraId="6A3ACB62" w14:textId="77777777" w:rsidR="00D75CA8" w:rsidRPr="00E53E88" w:rsidRDefault="00D75CA8" w:rsidP="00D75CA8">
            <w:pPr>
              <w:widowControl w:val="0"/>
              <w:autoSpaceDE w:val="0"/>
              <w:autoSpaceDN w:val="0"/>
              <w:adjustRightInd w:val="0"/>
              <w:spacing w:after="0" w:line="240" w:lineRule="auto"/>
              <w:rPr>
                <w:rFonts w:cstheme="minorHAnsi"/>
              </w:rPr>
            </w:pPr>
            <w:r w:rsidRPr="00E53E88">
              <w:rPr>
                <w:rFonts w:cstheme="minorHAnsi"/>
              </w:rPr>
              <w:t>Profit for the year</w:t>
            </w:r>
          </w:p>
        </w:tc>
        <w:tc>
          <w:tcPr>
            <w:tcW w:w="495" w:type="pct"/>
            <w:gridSpan w:val="2"/>
            <w:tcBorders>
              <w:top w:val="single" w:sz="4" w:space="0" w:color="000000" w:themeColor="text1"/>
              <w:left w:val="nil"/>
              <w:bottom w:val="single" w:sz="12" w:space="0" w:color="000000" w:themeColor="text1"/>
              <w:right w:val="nil"/>
            </w:tcBorders>
            <w:vAlign w:val="bottom"/>
            <w:hideMark/>
          </w:tcPr>
          <w:p w14:paraId="6C996E94"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8.2</w:t>
            </w:r>
          </w:p>
        </w:tc>
        <w:tc>
          <w:tcPr>
            <w:tcW w:w="495" w:type="pct"/>
            <w:gridSpan w:val="2"/>
            <w:tcBorders>
              <w:top w:val="single" w:sz="4" w:space="0" w:color="000000" w:themeColor="text1"/>
              <w:left w:val="nil"/>
              <w:bottom w:val="single" w:sz="12" w:space="0" w:color="000000" w:themeColor="text1"/>
              <w:right w:val="nil"/>
            </w:tcBorders>
            <w:vAlign w:val="bottom"/>
            <w:hideMark/>
          </w:tcPr>
          <w:p w14:paraId="553406E5"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3.6</w:t>
            </w:r>
          </w:p>
        </w:tc>
        <w:tc>
          <w:tcPr>
            <w:tcW w:w="496" w:type="pct"/>
            <w:gridSpan w:val="2"/>
            <w:tcBorders>
              <w:top w:val="single" w:sz="4" w:space="0" w:color="000000" w:themeColor="text1"/>
              <w:left w:val="nil"/>
              <w:bottom w:val="single" w:sz="12" w:space="0" w:color="000000" w:themeColor="text1"/>
              <w:right w:val="nil"/>
            </w:tcBorders>
            <w:vAlign w:val="bottom"/>
            <w:hideMark/>
          </w:tcPr>
          <w:p w14:paraId="47F96505"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1.2</w:t>
            </w:r>
          </w:p>
        </w:tc>
        <w:tc>
          <w:tcPr>
            <w:tcW w:w="522" w:type="pct"/>
            <w:gridSpan w:val="2"/>
            <w:tcBorders>
              <w:top w:val="single" w:sz="4" w:space="0" w:color="000000" w:themeColor="text1"/>
              <w:left w:val="nil"/>
              <w:bottom w:val="single" w:sz="12" w:space="0" w:color="000000" w:themeColor="text1"/>
              <w:right w:val="nil"/>
            </w:tcBorders>
            <w:vAlign w:val="bottom"/>
            <w:hideMark/>
          </w:tcPr>
          <w:p w14:paraId="45A544E3"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(5.2)</w:t>
            </w:r>
          </w:p>
        </w:tc>
        <w:tc>
          <w:tcPr>
            <w:tcW w:w="496" w:type="pct"/>
            <w:gridSpan w:val="2"/>
            <w:tcBorders>
              <w:top w:val="single" w:sz="4" w:space="0" w:color="000000" w:themeColor="text1"/>
              <w:left w:val="nil"/>
              <w:bottom w:val="single" w:sz="12" w:space="0" w:color="000000" w:themeColor="text1"/>
              <w:right w:val="nil"/>
            </w:tcBorders>
            <w:vAlign w:val="bottom"/>
            <w:hideMark/>
          </w:tcPr>
          <w:p w14:paraId="70508AA9"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7.8</w:t>
            </w:r>
          </w:p>
        </w:tc>
      </w:tr>
    </w:tbl>
    <w:p w14:paraId="61D899FB" w14:textId="3AD2221C" w:rsidR="00D75CA8" w:rsidRDefault="00D75CA8" w:rsidP="00D75CA8">
      <w:pPr>
        <w:widowControl w:val="0"/>
        <w:autoSpaceDE w:val="0"/>
        <w:autoSpaceDN w:val="0"/>
        <w:adjustRightInd w:val="0"/>
        <w:spacing w:after="0"/>
        <w:rPr>
          <w:rFonts w:cs="Times New Roman"/>
          <w:b/>
          <w:bCs/>
          <w:color w:val="002060"/>
          <w:sz w:val="28"/>
          <w:szCs w:val="28"/>
        </w:rPr>
      </w:pPr>
    </w:p>
    <w:tbl>
      <w:tblPr>
        <w:tblW w:w="5025" w:type="pct"/>
        <w:tblCellMar>
          <w:left w:w="0" w:type="dxa"/>
          <w:right w:w="0" w:type="dxa"/>
        </w:tblCellMar>
        <w:tblLook w:val="04A0" w:firstRow="1" w:lastRow="0" w:firstColumn="1" w:lastColumn="0" w:noHBand="0" w:noVBand="1"/>
      </w:tblPr>
      <w:tblGrid>
        <w:gridCol w:w="5401"/>
        <w:gridCol w:w="1081"/>
        <w:gridCol w:w="1081"/>
        <w:gridCol w:w="1081"/>
        <w:gridCol w:w="1133"/>
        <w:gridCol w:w="1077"/>
      </w:tblGrid>
      <w:tr w:rsidR="00D75CA8" w:rsidRPr="00E53E88" w14:paraId="575CD62D" w14:textId="77777777" w:rsidTr="00D75CA8">
        <w:tc>
          <w:tcPr>
            <w:tcW w:w="2488" w:type="pct"/>
            <w:vAlign w:val="bottom"/>
          </w:tcPr>
          <w:p w14:paraId="092B8FDE" w14:textId="77777777" w:rsidR="00D75CA8" w:rsidRPr="00E53E88" w:rsidRDefault="00D75CA8" w:rsidP="00D75CA8">
            <w:pPr>
              <w:widowControl w:val="0"/>
              <w:autoSpaceDE w:val="0"/>
              <w:autoSpaceDN w:val="0"/>
              <w:adjustRightInd w:val="0"/>
              <w:spacing w:after="0" w:line="240" w:lineRule="auto"/>
              <w:rPr>
                <w:rFonts w:cstheme="minorHAnsi"/>
              </w:rPr>
            </w:pPr>
          </w:p>
        </w:tc>
        <w:tc>
          <w:tcPr>
            <w:tcW w:w="498" w:type="pct"/>
            <w:vAlign w:val="bottom"/>
          </w:tcPr>
          <w:p w14:paraId="673AE5E1" w14:textId="77777777" w:rsidR="00D75CA8" w:rsidRPr="00E53E88" w:rsidRDefault="00D75CA8" w:rsidP="00D75CA8">
            <w:pPr>
              <w:widowControl w:val="0"/>
              <w:autoSpaceDE w:val="0"/>
              <w:autoSpaceDN w:val="0"/>
              <w:adjustRightInd w:val="0"/>
              <w:spacing w:after="0" w:line="240" w:lineRule="auto"/>
              <w:jc w:val="right"/>
              <w:rPr>
                <w:rFonts w:cstheme="minorHAnsi"/>
              </w:rPr>
            </w:pPr>
          </w:p>
        </w:tc>
        <w:tc>
          <w:tcPr>
            <w:tcW w:w="498" w:type="pct"/>
            <w:vAlign w:val="bottom"/>
            <w:hideMark/>
          </w:tcPr>
          <w:p w14:paraId="5991C559"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London</w:t>
            </w:r>
          </w:p>
        </w:tc>
        <w:tc>
          <w:tcPr>
            <w:tcW w:w="498" w:type="pct"/>
            <w:vAlign w:val="bottom"/>
            <w:hideMark/>
          </w:tcPr>
          <w:p w14:paraId="484CD4A7"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UK South</w:t>
            </w:r>
          </w:p>
        </w:tc>
        <w:tc>
          <w:tcPr>
            <w:tcW w:w="522" w:type="pct"/>
            <w:vAlign w:val="bottom"/>
            <w:hideMark/>
          </w:tcPr>
          <w:p w14:paraId="4686E508"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UK North</w:t>
            </w:r>
          </w:p>
        </w:tc>
        <w:tc>
          <w:tcPr>
            <w:tcW w:w="498" w:type="pct"/>
            <w:vAlign w:val="bottom"/>
            <w:hideMark/>
          </w:tcPr>
          <w:p w14:paraId="400D3FFE"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Total</w:t>
            </w:r>
          </w:p>
        </w:tc>
      </w:tr>
      <w:tr w:rsidR="00D75CA8" w:rsidRPr="00E53E88" w14:paraId="55C1AF7B" w14:textId="77777777" w:rsidTr="00D75CA8">
        <w:tc>
          <w:tcPr>
            <w:tcW w:w="2488" w:type="pct"/>
            <w:tcBorders>
              <w:top w:val="nil"/>
              <w:left w:val="nil"/>
              <w:bottom w:val="single" w:sz="4" w:space="0" w:color="000000" w:themeColor="text1"/>
              <w:right w:val="nil"/>
            </w:tcBorders>
            <w:vAlign w:val="bottom"/>
          </w:tcPr>
          <w:p w14:paraId="1F917390" w14:textId="77777777" w:rsidR="00D75CA8" w:rsidRPr="00E53E88" w:rsidRDefault="00D75CA8" w:rsidP="00D75CA8">
            <w:pPr>
              <w:widowControl w:val="0"/>
              <w:autoSpaceDE w:val="0"/>
              <w:autoSpaceDN w:val="0"/>
              <w:adjustRightInd w:val="0"/>
              <w:spacing w:after="0" w:line="240" w:lineRule="auto"/>
              <w:rPr>
                <w:rFonts w:cstheme="minorHAnsi"/>
              </w:rPr>
            </w:pPr>
          </w:p>
        </w:tc>
        <w:tc>
          <w:tcPr>
            <w:tcW w:w="498" w:type="pct"/>
            <w:tcBorders>
              <w:top w:val="nil"/>
              <w:left w:val="nil"/>
              <w:bottom w:val="single" w:sz="4" w:space="0" w:color="000000" w:themeColor="text1"/>
              <w:right w:val="nil"/>
            </w:tcBorders>
            <w:vAlign w:val="bottom"/>
          </w:tcPr>
          <w:p w14:paraId="2A0B0E6A" w14:textId="77777777" w:rsidR="00D75CA8" w:rsidRPr="00E53E88" w:rsidRDefault="00D75CA8" w:rsidP="00D75CA8">
            <w:pPr>
              <w:widowControl w:val="0"/>
              <w:autoSpaceDE w:val="0"/>
              <w:autoSpaceDN w:val="0"/>
              <w:adjustRightInd w:val="0"/>
              <w:spacing w:after="0" w:line="240" w:lineRule="auto"/>
              <w:jc w:val="right"/>
              <w:rPr>
                <w:rFonts w:cstheme="minorHAnsi"/>
              </w:rPr>
            </w:pPr>
          </w:p>
        </w:tc>
        <w:tc>
          <w:tcPr>
            <w:tcW w:w="498" w:type="pct"/>
            <w:tcBorders>
              <w:top w:val="nil"/>
              <w:left w:val="nil"/>
              <w:bottom w:val="single" w:sz="4" w:space="0" w:color="000000" w:themeColor="text1"/>
              <w:right w:val="nil"/>
            </w:tcBorders>
            <w:vAlign w:val="bottom"/>
            <w:hideMark/>
          </w:tcPr>
          <w:p w14:paraId="0534CDB5"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£m</w:t>
            </w:r>
          </w:p>
        </w:tc>
        <w:tc>
          <w:tcPr>
            <w:tcW w:w="498" w:type="pct"/>
            <w:tcBorders>
              <w:top w:val="nil"/>
              <w:left w:val="nil"/>
              <w:bottom w:val="single" w:sz="4" w:space="0" w:color="000000" w:themeColor="text1"/>
              <w:right w:val="nil"/>
            </w:tcBorders>
            <w:vAlign w:val="bottom"/>
            <w:hideMark/>
          </w:tcPr>
          <w:p w14:paraId="55C43A05"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£m</w:t>
            </w:r>
          </w:p>
        </w:tc>
        <w:tc>
          <w:tcPr>
            <w:tcW w:w="522" w:type="pct"/>
            <w:tcBorders>
              <w:top w:val="nil"/>
              <w:left w:val="nil"/>
              <w:bottom w:val="single" w:sz="4" w:space="0" w:color="000000" w:themeColor="text1"/>
              <w:right w:val="nil"/>
            </w:tcBorders>
            <w:vAlign w:val="bottom"/>
            <w:hideMark/>
          </w:tcPr>
          <w:p w14:paraId="63F2C488"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£m</w:t>
            </w:r>
          </w:p>
        </w:tc>
        <w:tc>
          <w:tcPr>
            <w:tcW w:w="498" w:type="pct"/>
            <w:tcBorders>
              <w:top w:val="nil"/>
              <w:left w:val="nil"/>
              <w:bottom w:val="single" w:sz="4" w:space="0" w:color="000000" w:themeColor="text1"/>
              <w:right w:val="nil"/>
            </w:tcBorders>
            <w:vAlign w:val="bottom"/>
            <w:hideMark/>
          </w:tcPr>
          <w:p w14:paraId="736A72C4"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£m</w:t>
            </w:r>
          </w:p>
        </w:tc>
      </w:tr>
      <w:tr w:rsidR="00D75CA8" w:rsidRPr="00E53E88" w14:paraId="086601F3" w14:textId="77777777" w:rsidTr="00D75CA8">
        <w:tc>
          <w:tcPr>
            <w:tcW w:w="2488" w:type="pct"/>
            <w:tcBorders>
              <w:top w:val="single" w:sz="4" w:space="0" w:color="000000" w:themeColor="text1"/>
              <w:left w:val="nil"/>
              <w:bottom w:val="nil"/>
              <w:right w:val="nil"/>
            </w:tcBorders>
            <w:vAlign w:val="bottom"/>
            <w:hideMark/>
          </w:tcPr>
          <w:p w14:paraId="0275D947" w14:textId="77777777" w:rsidR="00D75CA8" w:rsidRPr="00E53E88" w:rsidRDefault="00D75CA8" w:rsidP="00D75CA8">
            <w:pPr>
              <w:widowControl w:val="0"/>
              <w:autoSpaceDE w:val="0"/>
              <w:autoSpaceDN w:val="0"/>
              <w:adjustRightInd w:val="0"/>
              <w:spacing w:after="0" w:line="240" w:lineRule="auto"/>
              <w:rPr>
                <w:rFonts w:cstheme="minorHAnsi"/>
              </w:rPr>
            </w:pPr>
            <w:r w:rsidRPr="00E53E88">
              <w:rPr>
                <w:rFonts w:cstheme="minorHAnsi"/>
              </w:rPr>
              <w:t>Business sector</w:t>
            </w:r>
          </w:p>
        </w:tc>
        <w:tc>
          <w:tcPr>
            <w:tcW w:w="498" w:type="pct"/>
            <w:tcBorders>
              <w:top w:val="single" w:sz="4" w:space="0" w:color="000000" w:themeColor="text1"/>
              <w:left w:val="nil"/>
              <w:bottom w:val="nil"/>
              <w:right w:val="nil"/>
            </w:tcBorders>
            <w:vAlign w:val="bottom"/>
          </w:tcPr>
          <w:p w14:paraId="7E1D393A" w14:textId="77777777" w:rsidR="00D75CA8" w:rsidRPr="00E53E88" w:rsidRDefault="00D75CA8" w:rsidP="00D75CA8">
            <w:pPr>
              <w:widowControl w:val="0"/>
              <w:autoSpaceDE w:val="0"/>
              <w:autoSpaceDN w:val="0"/>
              <w:adjustRightInd w:val="0"/>
              <w:spacing w:after="0" w:line="240" w:lineRule="auto"/>
              <w:jc w:val="right"/>
              <w:rPr>
                <w:rFonts w:cstheme="minorHAnsi"/>
              </w:rPr>
            </w:pPr>
          </w:p>
        </w:tc>
        <w:tc>
          <w:tcPr>
            <w:tcW w:w="498" w:type="pct"/>
            <w:tcBorders>
              <w:top w:val="single" w:sz="4" w:space="0" w:color="000000" w:themeColor="text1"/>
              <w:left w:val="nil"/>
              <w:bottom w:val="nil"/>
              <w:right w:val="nil"/>
            </w:tcBorders>
            <w:vAlign w:val="bottom"/>
          </w:tcPr>
          <w:p w14:paraId="42296E5E" w14:textId="77777777" w:rsidR="00D75CA8" w:rsidRPr="00E53E88" w:rsidRDefault="00D75CA8" w:rsidP="00D75CA8">
            <w:pPr>
              <w:widowControl w:val="0"/>
              <w:autoSpaceDE w:val="0"/>
              <w:autoSpaceDN w:val="0"/>
              <w:adjustRightInd w:val="0"/>
              <w:spacing w:after="0" w:line="240" w:lineRule="auto"/>
              <w:jc w:val="right"/>
              <w:rPr>
                <w:rFonts w:cstheme="minorHAnsi"/>
              </w:rPr>
            </w:pPr>
          </w:p>
        </w:tc>
        <w:tc>
          <w:tcPr>
            <w:tcW w:w="498" w:type="pct"/>
            <w:tcBorders>
              <w:top w:val="single" w:sz="4" w:space="0" w:color="000000" w:themeColor="text1"/>
              <w:left w:val="nil"/>
              <w:bottom w:val="nil"/>
              <w:right w:val="nil"/>
            </w:tcBorders>
            <w:vAlign w:val="bottom"/>
          </w:tcPr>
          <w:p w14:paraId="4A7BE623" w14:textId="77777777" w:rsidR="00D75CA8" w:rsidRPr="00E53E88" w:rsidRDefault="00D75CA8" w:rsidP="00D75CA8">
            <w:pPr>
              <w:widowControl w:val="0"/>
              <w:autoSpaceDE w:val="0"/>
              <w:autoSpaceDN w:val="0"/>
              <w:adjustRightInd w:val="0"/>
              <w:spacing w:after="0" w:line="240" w:lineRule="auto"/>
              <w:jc w:val="right"/>
              <w:rPr>
                <w:rFonts w:cstheme="minorHAnsi"/>
              </w:rPr>
            </w:pPr>
          </w:p>
        </w:tc>
        <w:tc>
          <w:tcPr>
            <w:tcW w:w="522" w:type="pct"/>
            <w:tcBorders>
              <w:top w:val="single" w:sz="4" w:space="0" w:color="000000" w:themeColor="text1"/>
              <w:left w:val="nil"/>
              <w:bottom w:val="nil"/>
              <w:right w:val="nil"/>
            </w:tcBorders>
            <w:vAlign w:val="bottom"/>
          </w:tcPr>
          <w:p w14:paraId="0E38AC54" w14:textId="77777777" w:rsidR="00D75CA8" w:rsidRPr="00E53E88" w:rsidRDefault="00D75CA8" w:rsidP="00D75CA8">
            <w:pPr>
              <w:widowControl w:val="0"/>
              <w:autoSpaceDE w:val="0"/>
              <w:autoSpaceDN w:val="0"/>
              <w:adjustRightInd w:val="0"/>
              <w:spacing w:after="0" w:line="240" w:lineRule="auto"/>
              <w:jc w:val="right"/>
              <w:rPr>
                <w:rFonts w:cstheme="minorHAnsi"/>
              </w:rPr>
            </w:pPr>
          </w:p>
        </w:tc>
        <w:tc>
          <w:tcPr>
            <w:tcW w:w="498" w:type="pct"/>
            <w:tcBorders>
              <w:top w:val="single" w:sz="4" w:space="0" w:color="000000" w:themeColor="text1"/>
              <w:left w:val="nil"/>
              <w:bottom w:val="nil"/>
              <w:right w:val="nil"/>
            </w:tcBorders>
            <w:vAlign w:val="bottom"/>
          </w:tcPr>
          <w:p w14:paraId="2F37BD4D" w14:textId="77777777" w:rsidR="00D75CA8" w:rsidRPr="00E53E88" w:rsidRDefault="00D75CA8" w:rsidP="00D75CA8">
            <w:pPr>
              <w:widowControl w:val="0"/>
              <w:autoSpaceDE w:val="0"/>
              <w:autoSpaceDN w:val="0"/>
              <w:adjustRightInd w:val="0"/>
              <w:spacing w:after="0" w:line="240" w:lineRule="auto"/>
              <w:jc w:val="right"/>
              <w:rPr>
                <w:rFonts w:cstheme="minorHAnsi"/>
              </w:rPr>
            </w:pPr>
          </w:p>
        </w:tc>
      </w:tr>
      <w:tr w:rsidR="00D75CA8" w:rsidRPr="00E53E88" w14:paraId="3FAEC8D2" w14:textId="77777777" w:rsidTr="00D75CA8">
        <w:tc>
          <w:tcPr>
            <w:tcW w:w="2488" w:type="pct"/>
            <w:vAlign w:val="bottom"/>
            <w:hideMark/>
          </w:tcPr>
          <w:p w14:paraId="4C658BFC" w14:textId="77777777" w:rsidR="00D75CA8" w:rsidRPr="00E53E88" w:rsidRDefault="00D75CA8" w:rsidP="00D75CA8">
            <w:pPr>
              <w:widowControl w:val="0"/>
              <w:autoSpaceDE w:val="0"/>
              <w:autoSpaceDN w:val="0"/>
              <w:adjustRightInd w:val="0"/>
              <w:spacing w:after="0" w:line="240" w:lineRule="auto"/>
              <w:rPr>
                <w:rFonts w:cstheme="minorHAnsi"/>
              </w:rPr>
            </w:pPr>
            <w:r w:rsidRPr="00E53E88">
              <w:rPr>
                <w:rFonts w:cstheme="minorHAnsi"/>
              </w:rPr>
              <w:t>Facilities Management and Frameworks</w:t>
            </w:r>
          </w:p>
        </w:tc>
        <w:tc>
          <w:tcPr>
            <w:tcW w:w="498" w:type="pct"/>
            <w:vAlign w:val="bottom"/>
          </w:tcPr>
          <w:p w14:paraId="6EB8320A" w14:textId="77777777" w:rsidR="00D75CA8" w:rsidRPr="00E53E88" w:rsidRDefault="00D75CA8" w:rsidP="00D75CA8">
            <w:pPr>
              <w:widowControl w:val="0"/>
              <w:autoSpaceDE w:val="0"/>
              <w:autoSpaceDN w:val="0"/>
              <w:adjustRightInd w:val="0"/>
              <w:spacing w:after="0" w:line="240" w:lineRule="auto"/>
              <w:jc w:val="right"/>
              <w:rPr>
                <w:rFonts w:cstheme="minorHAnsi"/>
              </w:rPr>
            </w:pPr>
          </w:p>
        </w:tc>
        <w:tc>
          <w:tcPr>
            <w:tcW w:w="498" w:type="pct"/>
            <w:vAlign w:val="bottom"/>
            <w:hideMark/>
          </w:tcPr>
          <w:p w14:paraId="2B648E43"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2.7</w:t>
            </w:r>
          </w:p>
        </w:tc>
        <w:tc>
          <w:tcPr>
            <w:tcW w:w="498" w:type="pct"/>
            <w:vAlign w:val="bottom"/>
            <w:hideMark/>
          </w:tcPr>
          <w:p w14:paraId="4BB27815"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11.6</w:t>
            </w:r>
          </w:p>
        </w:tc>
        <w:tc>
          <w:tcPr>
            <w:tcW w:w="522" w:type="pct"/>
            <w:vAlign w:val="bottom"/>
            <w:hideMark/>
          </w:tcPr>
          <w:p w14:paraId="18B58C02"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14.9</w:t>
            </w:r>
          </w:p>
        </w:tc>
        <w:tc>
          <w:tcPr>
            <w:tcW w:w="498" w:type="pct"/>
            <w:vAlign w:val="bottom"/>
            <w:hideMark/>
          </w:tcPr>
          <w:p w14:paraId="07C8DC0E"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29.2</w:t>
            </w:r>
          </w:p>
        </w:tc>
      </w:tr>
      <w:tr w:rsidR="00D75CA8" w:rsidRPr="00E53E88" w14:paraId="76835588" w14:textId="77777777" w:rsidTr="00D75CA8">
        <w:tc>
          <w:tcPr>
            <w:tcW w:w="2488" w:type="pct"/>
            <w:vAlign w:val="bottom"/>
            <w:hideMark/>
          </w:tcPr>
          <w:p w14:paraId="2F5B01EC" w14:textId="77777777" w:rsidR="00D75CA8" w:rsidRPr="00E53E88" w:rsidRDefault="00D75CA8" w:rsidP="00D75CA8">
            <w:pPr>
              <w:widowControl w:val="0"/>
              <w:autoSpaceDE w:val="0"/>
              <w:autoSpaceDN w:val="0"/>
              <w:adjustRightInd w:val="0"/>
              <w:spacing w:after="0" w:line="240" w:lineRule="auto"/>
              <w:rPr>
                <w:rFonts w:cstheme="minorHAnsi"/>
              </w:rPr>
            </w:pPr>
            <w:r w:rsidRPr="00E53E88">
              <w:rPr>
                <w:rFonts w:cstheme="minorHAnsi"/>
              </w:rPr>
              <w:t>Infrastructure</w:t>
            </w:r>
          </w:p>
        </w:tc>
        <w:tc>
          <w:tcPr>
            <w:tcW w:w="498" w:type="pct"/>
            <w:vAlign w:val="bottom"/>
          </w:tcPr>
          <w:p w14:paraId="51658836" w14:textId="77777777" w:rsidR="00D75CA8" w:rsidRPr="00E53E88" w:rsidRDefault="00D75CA8" w:rsidP="00D75CA8">
            <w:pPr>
              <w:widowControl w:val="0"/>
              <w:autoSpaceDE w:val="0"/>
              <w:autoSpaceDN w:val="0"/>
              <w:adjustRightInd w:val="0"/>
              <w:spacing w:after="0" w:line="240" w:lineRule="auto"/>
              <w:jc w:val="right"/>
              <w:rPr>
                <w:rFonts w:cstheme="minorHAnsi"/>
              </w:rPr>
            </w:pPr>
          </w:p>
        </w:tc>
        <w:tc>
          <w:tcPr>
            <w:tcW w:w="498" w:type="pct"/>
            <w:vAlign w:val="bottom"/>
            <w:hideMark/>
          </w:tcPr>
          <w:p w14:paraId="3F27526A"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14.2</w:t>
            </w:r>
          </w:p>
        </w:tc>
        <w:tc>
          <w:tcPr>
            <w:tcW w:w="498" w:type="pct"/>
            <w:vAlign w:val="bottom"/>
            <w:hideMark/>
          </w:tcPr>
          <w:p w14:paraId="62917B55"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23.4</w:t>
            </w:r>
          </w:p>
        </w:tc>
        <w:tc>
          <w:tcPr>
            <w:tcW w:w="522" w:type="pct"/>
            <w:vAlign w:val="bottom"/>
            <w:hideMark/>
          </w:tcPr>
          <w:p w14:paraId="02354905"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18.7</w:t>
            </w:r>
          </w:p>
        </w:tc>
        <w:tc>
          <w:tcPr>
            <w:tcW w:w="498" w:type="pct"/>
            <w:vAlign w:val="bottom"/>
            <w:hideMark/>
          </w:tcPr>
          <w:p w14:paraId="513EEFD3"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56.3</w:t>
            </w:r>
          </w:p>
        </w:tc>
      </w:tr>
      <w:tr w:rsidR="00D75CA8" w:rsidRPr="00E53E88" w14:paraId="307E76C3" w14:textId="77777777" w:rsidTr="00D75CA8">
        <w:tc>
          <w:tcPr>
            <w:tcW w:w="2488" w:type="pct"/>
            <w:vAlign w:val="bottom"/>
            <w:hideMark/>
          </w:tcPr>
          <w:p w14:paraId="2775381F" w14:textId="77777777" w:rsidR="00D75CA8" w:rsidRPr="00E53E88" w:rsidRDefault="00D75CA8" w:rsidP="00D75CA8">
            <w:pPr>
              <w:widowControl w:val="0"/>
              <w:autoSpaceDE w:val="0"/>
              <w:autoSpaceDN w:val="0"/>
              <w:adjustRightInd w:val="0"/>
              <w:spacing w:after="0" w:line="240" w:lineRule="auto"/>
              <w:rPr>
                <w:rFonts w:cstheme="minorHAnsi"/>
              </w:rPr>
            </w:pPr>
            <w:r w:rsidRPr="00E53E88">
              <w:rPr>
                <w:rFonts w:cstheme="minorHAnsi"/>
              </w:rPr>
              <w:t>M&amp;E Contracting</w:t>
            </w:r>
          </w:p>
        </w:tc>
        <w:tc>
          <w:tcPr>
            <w:tcW w:w="498" w:type="pct"/>
            <w:vAlign w:val="bottom"/>
          </w:tcPr>
          <w:p w14:paraId="56F6BE86" w14:textId="77777777" w:rsidR="00D75CA8" w:rsidRPr="00E53E88" w:rsidRDefault="00D75CA8" w:rsidP="00D75CA8">
            <w:pPr>
              <w:widowControl w:val="0"/>
              <w:autoSpaceDE w:val="0"/>
              <w:autoSpaceDN w:val="0"/>
              <w:adjustRightInd w:val="0"/>
              <w:spacing w:after="0" w:line="240" w:lineRule="auto"/>
              <w:jc w:val="right"/>
              <w:rPr>
                <w:rFonts w:cstheme="minorHAnsi"/>
              </w:rPr>
            </w:pPr>
          </w:p>
        </w:tc>
        <w:tc>
          <w:tcPr>
            <w:tcW w:w="498" w:type="pct"/>
            <w:vAlign w:val="bottom"/>
            <w:hideMark/>
          </w:tcPr>
          <w:p w14:paraId="52F7FC89"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112.7</w:t>
            </w:r>
          </w:p>
        </w:tc>
        <w:tc>
          <w:tcPr>
            <w:tcW w:w="498" w:type="pct"/>
            <w:vAlign w:val="bottom"/>
            <w:hideMark/>
          </w:tcPr>
          <w:p w14:paraId="0E9FF627"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25.4</w:t>
            </w:r>
          </w:p>
        </w:tc>
        <w:tc>
          <w:tcPr>
            <w:tcW w:w="522" w:type="pct"/>
            <w:vAlign w:val="bottom"/>
            <w:hideMark/>
          </w:tcPr>
          <w:p w14:paraId="29B2FC9A"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9.8</w:t>
            </w:r>
          </w:p>
        </w:tc>
        <w:tc>
          <w:tcPr>
            <w:tcW w:w="498" w:type="pct"/>
            <w:vAlign w:val="bottom"/>
            <w:hideMark/>
          </w:tcPr>
          <w:p w14:paraId="52916FE5"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147.9</w:t>
            </w:r>
          </w:p>
        </w:tc>
      </w:tr>
      <w:tr w:rsidR="00D75CA8" w:rsidRPr="00E53E88" w14:paraId="38447686" w14:textId="77777777" w:rsidTr="00D75CA8">
        <w:tc>
          <w:tcPr>
            <w:tcW w:w="2488" w:type="pct"/>
            <w:vAlign w:val="bottom"/>
            <w:hideMark/>
          </w:tcPr>
          <w:p w14:paraId="7E9EF71F" w14:textId="77777777" w:rsidR="00D75CA8" w:rsidRPr="00E53E88" w:rsidRDefault="00D75CA8" w:rsidP="00D75CA8">
            <w:pPr>
              <w:widowControl w:val="0"/>
              <w:autoSpaceDE w:val="0"/>
              <w:autoSpaceDN w:val="0"/>
              <w:adjustRightInd w:val="0"/>
              <w:spacing w:after="0" w:line="240" w:lineRule="auto"/>
              <w:rPr>
                <w:rFonts w:cstheme="minorHAnsi"/>
              </w:rPr>
            </w:pPr>
            <w:r w:rsidRPr="00E53E88">
              <w:rPr>
                <w:rFonts w:cstheme="minorHAnsi"/>
              </w:rPr>
              <w:t>Residential &amp; Hotels</w:t>
            </w:r>
          </w:p>
        </w:tc>
        <w:tc>
          <w:tcPr>
            <w:tcW w:w="498" w:type="pct"/>
            <w:vAlign w:val="bottom"/>
          </w:tcPr>
          <w:p w14:paraId="337B49C3" w14:textId="77777777" w:rsidR="00D75CA8" w:rsidRPr="00E53E88" w:rsidRDefault="00D75CA8" w:rsidP="00D75CA8">
            <w:pPr>
              <w:widowControl w:val="0"/>
              <w:autoSpaceDE w:val="0"/>
              <w:autoSpaceDN w:val="0"/>
              <w:adjustRightInd w:val="0"/>
              <w:spacing w:after="0" w:line="240" w:lineRule="auto"/>
              <w:jc w:val="right"/>
              <w:rPr>
                <w:rFonts w:cstheme="minorHAnsi"/>
              </w:rPr>
            </w:pPr>
          </w:p>
        </w:tc>
        <w:tc>
          <w:tcPr>
            <w:tcW w:w="498" w:type="pct"/>
            <w:vAlign w:val="bottom"/>
            <w:hideMark/>
          </w:tcPr>
          <w:p w14:paraId="1BC98E17"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26.9</w:t>
            </w:r>
          </w:p>
        </w:tc>
        <w:tc>
          <w:tcPr>
            <w:tcW w:w="498" w:type="pct"/>
            <w:vAlign w:val="bottom"/>
            <w:hideMark/>
          </w:tcPr>
          <w:p w14:paraId="1E5CD070"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5.5</w:t>
            </w:r>
          </w:p>
        </w:tc>
        <w:tc>
          <w:tcPr>
            <w:tcW w:w="522" w:type="pct"/>
            <w:vAlign w:val="bottom"/>
            <w:hideMark/>
          </w:tcPr>
          <w:p w14:paraId="69B5287C"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23.4</w:t>
            </w:r>
          </w:p>
        </w:tc>
        <w:tc>
          <w:tcPr>
            <w:tcW w:w="498" w:type="pct"/>
            <w:vAlign w:val="bottom"/>
            <w:hideMark/>
          </w:tcPr>
          <w:p w14:paraId="65DF080B"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55.8</w:t>
            </w:r>
          </w:p>
        </w:tc>
      </w:tr>
      <w:tr w:rsidR="00D75CA8" w:rsidRPr="00E53E88" w14:paraId="3C9820E4" w14:textId="77777777" w:rsidTr="00D75CA8">
        <w:tc>
          <w:tcPr>
            <w:tcW w:w="2488" w:type="pct"/>
            <w:tcBorders>
              <w:top w:val="nil"/>
              <w:left w:val="nil"/>
              <w:bottom w:val="single" w:sz="4" w:space="0" w:color="000000" w:themeColor="text1"/>
              <w:right w:val="nil"/>
            </w:tcBorders>
            <w:vAlign w:val="bottom"/>
            <w:hideMark/>
          </w:tcPr>
          <w:p w14:paraId="3583B511" w14:textId="77777777" w:rsidR="00D75CA8" w:rsidRPr="00E53E88" w:rsidRDefault="00D75CA8" w:rsidP="00D75CA8">
            <w:pPr>
              <w:widowControl w:val="0"/>
              <w:autoSpaceDE w:val="0"/>
              <w:autoSpaceDN w:val="0"/>
              <w:adjustRightInd w:val="0"/>
              <w:spacing w:after="0" w:line="240" w:lineRule="auto"/>
              <w:rPr>
                <w:rFonts w:cstheme="minorHAnsi"/>
              </w:rPr>
            </w:pPr>
            <w:r w:rsidRPr="00E53E88">
              <w:rPr>
                <w:rFonts w:cstheme="minorHAnsi"/>
              </w:rPr>
              <w:t>Technologies</w:t>
            </w:r>
          </w:p>
        </w:tc>
        <w:tc>
          <w:tcPr>
            <w:tcW w:w="498" w:type="pct"/>
            <w:tcBorders>
              <w:top w:val="nil"/>
              <w:left w:val="nil"/>
              <w:bottom w:val="single" w:sz="4" w:space="0" w:color="000000" w:themeColor="text1"/>
              <w:right w:val="nil"/>
            </w:tcBorders>
            <w:vAlign w:val="bottom"/>
          </w:tcPr>
          <w:p w14:paraId="18C62478" w14:textId="77777777" w:rsidR="00D75CA8" w:rsidRPr="00E53E88" w:rsidRDefault="00D75CA8" w:rsidP="00D75CA8">
            <w:pPr>
              <w:widowControl w:val="0"/>
              <w:autoSpaceDE w:val="0"/>
              <w:autoSpaceDN w:val="0"/>
              <w:adjustRightInd w:val="0"/>
              <w:spacing w:after="0" w:line="240" w:lineRule="auto"/>
              <w:jc w:val="right"/>
              <w:rPr>
                <w:rFonts w:cstheme="minorHAnsi"/>
              </w:rPr>
            </w:pPr>
          </w:p>
        </w:tc>
        <w:tc>
          <w:tcPr>
            <w:tcW w:w="498" w:type="pct"/>
            <w:tcBorders>
              <w:top w:val="nil"/>
              <w:left w:val="nil"/>
              <w:bottom w:val="single" w:sz="4" w:space="0" w:color="000000" w:themeColor="text1"/>
              <w:right w:val="nil"/>
            </w:tcBorders>
            <w:vAlign w:val="bottom"/>
            <w:hideMark/>
          </w:tcPr>
          <w:p w14:paraId="0471DA87"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44.5</w:t>
            </w:r>
          </w:p>
        </w:tc>
        <w:tc>
          <w:tcPr>
            <w:tcW w:w="498" w:type="pct"/>
            <w:tcBorders>
              <w:top w:val="nil"/>
              <w:left w:val="nil"/>
              <w:bottom w:val="single" w:sz="4" w:space="0" w:color="000000" w:themeColor="text1"/>
              <w:right w:val="nil"/>
            </w:tcBorders>
            <w:vAlign w:val="bottom"/>
            <w:hideMark/>
          </w:tcPr>
          <w:p w14:paraId="1ED912BC"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0.4</w:t>
            </w:r>
          </w:p>
        </w:tc>
        <w:tc>
          <w:tcPr>
            <w:tcW w:w="522" w:type="pct"/>
            <w:tcBorders>
              <w:top w:val="nil"/>
              <w:left w:val="nil"/>
              <w:bottom w:val="single" w:sz="4" w:space="0" w:color="000000" w:themeColor="text1"/>
              <w:right w:val="nil"/>
            </w:tcBorders>
            <w:vAlign w:val="bottom"/>
            <w:hideMark/>
          </w:tcPr>
          <w:p w14:paraId="08B077CA"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0.5</w:t>
            </w:r>
          </w:p>
        </w:tc>
        <w:tc>
          <w:tcPr>
            <w:tcW w:w="498" w:type="pct"/>
            <w:tcBorders>
              <w:top w:val="nil"/>
              <w:left w:val="nil"/>
              <w:bottom w:val="single" w:sz="4" w:space="0" w:color="000000" w:themeColor="text1"/>
              <w:right w:val="nil"/>
            </w:tcBorders>
            <w:vAlign w:val="bottom"/>
            <w:hideMark/>
          </w:tcPr>
          <w:p w14:paraId="74F02A6A"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45.4</w:t>
            </w:r>
          </w:p>
        </w:tc>
      </w:tr>
      <w:tr w:rsidR="00D75CA8" w:rsidRPr="00E53E88" w14:paraId="52A2C734" w14:textId="77777777" w:rsidTr="00D75CA8">
        <w:tc>
          <w:tcPr>
            <w:tcW w:w="2488" w:type="pct"/>
            <w:tcBorders>
              <w:top w:val="single" w:sz="4" w:space="0" w:color="000000" w:themeColor="text1"/>
              <w:left w:val="nil"/>
              <w:bottom w:val="single" w:sz="12" w:space="0" w:color="000000" w:themeColor="text1"/>
              <w:right w:val="nil"/>
            </w:tcBorders>
            <w:vAlign w:val="bottom"/>
            <w:hideMark/>
          </w:tcPr>
          <w:p w14:paraId="33329263" w14:textId="77777777" w:rsidR="00D75CA8" w:rsidRPr="00E53E88" w:rsidRDefault="00D75CA8" w:rsidP="00D75CA8">
            <w:pPr>
              <w:widowControl w:val="0"/>
              <w:autoSpaceDE w:val="0"/>
              <w:autoSpaceDN w:val="0"/>
              <w:adjustRightInd w:val="0"/>
              <w:spacing w:after="0" w:line="240" w:lineRule="auto"/>
              <w:rPr>
                <w:rFonts w:cstheme="minorHAnsi"/>
              </w:rPr>
            </w:pPr>
            <w:r w:rsidRPr="00E53E88">
              <w:rPr>
                <w:rFonts w:cstheme="minorHAnsi"/>
              </w:rPr>
              <w:t>Total revenue</w:t>
            </w:r>
          </w:p>
        </w:tc>
        <w:tc>
          <w:tcPr>
            <w:tcW w:w="498" w:type="pct"/>
            <w:tcBorders>
              <w:top w:val="single" w:sz="4" w:space="0" w:color="000000" w:themeColor="text1"/>
              <w:left w:val="nil"/>
              <w:bottom w:val="single" w:sz="12" w:space="0" w:color="000000" w:themeColor="text1"/>
              <w:right w:val="nil"/>
            </w:tcBorders>
            <w:vAlign w:val="bottom"/>
          </w:tcPr>
          <w:p w14:paraId="3626A559" w14:textId="77777777" w:rsidR="00D75CA8" w:rsidRPr="00E53E88" w:rsidRDefault="00D75CA8" w:rsidP="00D75CA8">
            <w:pPr>
              <w:widowControl w:val="0"/>
              <w:autoSpaceDE w:val="0"/>
              <w:autoSpaceDN w:val="0"/>
              <w:adjustRightInd w:val="0"/>
              <w:spacing w:after="0" w:line="240" w:lineRule="auto"/>
              <w:jc w:val="right"/>
              <w:rPr>
                <w:rFonts w:cstheme="minorHAnsi"/>
              </w:rPr>
            </w:pPr>
          </w:p>
        </w:tc>
        <w:tc>
          <w:tcPr>
            <w:tcW w:w="498" w:type="pct"/>
            <w:tcBorders>
              <w:top w:val="single" w:sz="4" w:space="0" w:color="000000" w:themeColor="text1"/>
              <w:left w:val="nil"/>
              <w:bottom w:val="single" w:sz="12" w:space="0" w:color="000000" w:themeColor="text1"/>
              <w:right w:val="nil"/>
            </w:tcBorders>
            <w:vAlign w:val="bottom"/>
            <w:hideMark/>
          </w:tcPr>
          <w:p w14:paraId="03A228D1"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201.0</w:t>
            </w:r>
          </w:p>
        </w:tc>
        <w:tc>
          <w:tcPr>
            <w:tcW w:w="498" w:type="pct"/>
            <w:tcBorders>
              <w:top w:val="single" w:sz="4" w:space="0" w:color="000000" w:themeColor="text1"/>
              <w:left w:val="nil"/>
              <w:bottom w:val="single" w:sz="12" w:space="0" w:color="000000" w:themeColor="text1"/>
              <w:right w:val="nil"/>
            </w:tcBorders>
            <w:vAlign w:val="bottom"/>
            <w:hideMark/>
          </w:tcPr>
          <w:p w14:paraId="7F049976"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66.3</w:t>
            </w:r>
          </w:p>
        </w:tc>
        <w:tc>
          <w:tcPr>
            <w:tcW w:w="522" w:type="pct"/>
            <w:tcBorders>
              <w:top w:val="single" w:sz="4" w:space="0" w:color="000000" w:themeColor="text1"/>
              <w:left w:val="nil"/>
              <w:bottom w:val="single" w:sz="12" w:space="0" w:color="000000" w:themeColor="text1"/>
              <w:right w:val="nil"/>
            </w:tcBorders>
            <w:vAlign w:val="bottom"/>
            <w:hideMark/>
          </w:tcPr>
          <w:p w14:paraId="6E804544"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67.3</w:t>
            </w:r>
          </w:p>
        </w:tc>
        <w:tc>
          <w:tcPr>
            <w:tcW w:w="498" w:type="pct"/>
            <w:tcBorders>
              <w:top w:val="single" w:sz="4" w:space="0" w:color="000000" w:themeColor="text1"/>
              <w:left w:val="nil"/>
              <w:bottom w:val="single" w:sz="12" w:space="0" w:color="000000" w:themeColor="text1"/>
              <w:right w:val="nil"/>
            </w:tcBorders>
            <w:vAlign w:val="bottom"/>
            <w:hideMark/>
          </w:tcPr>
          <w:p w14:paraId="49EE3637" w14:textId="77777777" w:rsidR="00D75CA8" w:rsidRPr="00E53E88" w:rsidRDefault="00D75CA8" w:rsidP="00D75CA8">
            <w:pPr>
              <w:widowControl w:val="0"/>
              <w:autoSpaceDE w:val="0"/>
              <w:autoSpaceDN w:val="0"/>
              <w:adjustRightInd w:val="0"/>
              <w:spacing w:after="0" w:line="240" w:lineRule="auto"/>
              <w:jc w:val="right"/>
              <w:rPr>
                <w:rFonts w:cstheme="minorHAnsi"/>
              </w:rPr>
            </w:pPr>
            <w:r w:rsidRPr="00E53E88">
              <w:rPr>
                <w:rFonts w:cstheme="minorHAnsi"/>
              </w:rPr>
              <w:t>334.6</w:t>
            </w:r>
          </w:p>
        </w:tc>
      </w:tr>
    </w:tbl>
    <w:p w14:paraId="2A7359A6" w14:textId="094F4F65" w:rsidR="00D75CA8" w:rsidRDefault="00D75CA8" w:rsidP="00D75CA8">
      <w:pPr>
        <w:widowControl w:val="0"/>
        <w:autoSpaceDE w:val="0"/>
        <w:autoSpaceDN w:val="0"/>
        <w:adjustRightInd w:val="0"/>
        <w:spacing w:after="0"/>
        <w:rPr>
          <w:rFonts w:cs="Times New Roman"/>
          <w:b/>
          <w:bCs/>
          <w:color w:val="002060"/>
          <w:sz w:val="28"/>
          <w:szCs w:val="28"/>
        </w:rPr>
      </w:pPr>
    </w:p>
    <w:p w14:paraId="4A598D96" w14:textId="77777777" w:rsidR="00D75CA8" w:rsidRPr="0069297D" w:rsidRDefault="00D75CA8" w:rsidP="00D75CA8">
      <w:pPr>
        <w:spacing w:line="240" w:lineRule="auto"/>
        <w:jc w:val="both"/>
        <w:rPr>
          <w:rFonts w:cstheme="minorHAnsi"/>
          <w:sz w:val="24"/>
          <w:szCs w:val="24"/>
        </w:rPr>
      </w:pPr>
      <w:r w:rsidRPr="0069297D">
        <w:rPr>
          <w:rFonts w:cstheme="minorHAnsi"/>
          <w:b/>
          <w:bCs/>
          <w:color w:val="003366"/>
          <w:sz w:val="24"/>
          <w:szCs w:val="24"/>
        </w:rPr>
        <w:t xml:space="preserve">Note </w:t>
      </w:r>
      <w:r>
        <w:rPr>
          <w:rFonts w:cstheme="minorHAnsi"/>
          <w:b/>
          <w:bCs/>
          <w:color w:val="003366"/>
          <w:sz w:val="24"/>
          <w:szCs w:val="24"/>
        </w:rPr>
        <w:t>4</w:t>
      </w:r>
      <w:r w:rsidRPr="0069297D">
        <w:rPr>
          <w:rFonts w:cstheme="minorHAnsi"/>
          <w:b/>
          <w:bCs/>
          <w:color w:val="003366"/>
          <w:sz w:val="24"/>
          <w:szCs w:val="24"/>
        </w:rPr>
        <w:t xml:space="preserve"> – Taxation </w:t>
      </w:r>
    </w:p>
    <w:tbl>
      <w:tblPr>
        <w:tblW w:w="5000" w:type="pct"/>
        <w:tblCellMar>
          <w:left w:w="0" w:type="dxa"/>
          <w:right w:w="0" w:type="dxa"/>
        </w:tblCellMar>
        <w:tblLook w:val="04A0" w:firstRow="1" w:lastRow="0" w:firstColumn="1" w:lastColumn="0" w:noHBand="0" w:noVBand="1"/>
      </w:tblPr>
      <w:tblGrid>
        <w:gridCol w:w="8640"/>
        <w:gridCol w:w="1080"/>
        <w:gridCol w:w="1080"/>
      </w:tblGrid>
      <w:tr w:rsidR="008363D5" w:rsidRPr="00D80ACC" w14:paraId="13AFE538" w14:textId="77777777" w:rsidTr="00685B62">
        <w:tc>
          <w:tcPr>
            <w:tcW w:w="4000" w:type="pct"/>
            <w:vAlign w:val="bottom"/>
          </w:tcPr>
          <w:p w14:paraId="29BCA543" w14:textId="77777777" w:rsidR="008363D5" w:rsidRPr="00D80ACC" w:rsidRDefault="008363D5" w:rsidP="00685B62">
            <w:pPr>
              <w:keepNext/>
              <w:keepLines/>
              <w:widowControl w:val="0"/>
              <w:autoSpaceDE w:val="0"/>
              <w:autoSpaceDN w:val="0"/>
              <w:adjustRightInd w:val="0"/>
              <w:spacing w:after="0" w:line="240" w:lineRule="auto"/>
              <w:rPr>
                <w:rFonts w:cstheme="minorHAnsi"/>
              </w:rPr>
            </w:pPr>
          </w:p>
        </w:tc>
        <w:tc>
          <w:tcPr>
            <w:tcW w:w="500" w:type="pct"/>
            <w:vAlign w:val="bottom"/>
            <w:hideMark/>
          </w:tcPr>
          <w:p w14:paraId="451CC286" w14:textId="77777777" w:rsidR="008363D5" w:rsidRPr="00D80ACC" w:rsidRDefault="008363D5" w:rsidP="00685B62">
            <w:pPr>
              <w:keepNext/>
              <w:keepLines/>
              <w:widowControl w:val="0"/>
              <w:autoSpaceDE w:val="0"/>
              <w:autoSpaceDN w:val="0"/>
              <w:adjustRightInd w:val="0"/>
              <w:spacing w:after="0" w:line="240" w:lineRule="auto"/>
              <w:jc w:val="right"/>
              <w:rPr>
                <w:rFonts w:cstheme="minorHAnsi"/>
              </w:rPr>
            </w:pPr>
            <w:r>
              <w:rPr>
                <w:rFonts w:cstheme="minorHAnsi"/>
                <w:b/>
                <w:bCs/>
              </w:rPr>
              <w:t>2020</w:t>
            </w:r>
          </w:p>
        </w:tc>
        <w:tc>
          <w:tcPr>
            <w:tcW w:w="500" w:type="pct"/>
            <w:vAlign w:val="bottom"/>
          </w:tcPr>
          <w:p w14:paraId="7B5F5795" w14:textId="77777777" w:rsidR="008363D5" w:rsidRPr="008A1761" w:rsidRDefault="008363D5" w:rsidP="00685B62">
            <w:pPr>
              <w:keepNext/>
              <w:keepLines/>
              <w:widowControl w:val="0"/>
              <w:autoSpaceDE w:val="0"/>
              <w:autoSpaceDN w:val="0"/>
              <w:adjustRightInd w:val="0"/>
              <w:spacing w:after="0" w:line="240" w:lineRule="auto"/>
              <w:jc w:val="right"/>
              <w:rPr>
                <w:rFonts w:cstheme="minorHAnsi"/>
              </w:rPr>
            </w:pPr>
            <w:r w:rsidRPr="008A1761">
              <w:rPr>
                <w:rFonts w:cstheme="minorHAnsi"/>
              </w:rPr>
              <w:t>2019</w:t>
            </w:r>
          </w:p>
        </w:tc>
      </w:tr>
      <w:tr w:rsidR="008363D5" w:rsidRPr="00D80ACC" w14:paraId="0A905348" w14:textId="77777777" w:rsidTr="00685B62">
        <w:tc>
          <w:tcPr>
            <w:tcW w:w="4000" w:type="pct"/>
            <w:tcBorders>
              <w:top w:val="nil"/>
              <w:left w:val="nil"/>
              <w:bottom w:val="single" w:sz="4" w:space="0" w:color="000000" w:themeColor="text1"/>
              <w:right w:val="nil"/>
            </w:tcBorders>
            <w:vAlign w:val="bottom"/>
          </w:tcPr>
          <w:p w14:paraId="5DF95302" w14:textId="77777777" w:rsidR="008363D5" w:rsidRPr="00D80ACC" w:rsidRDefault="008363D5" w:rsidP="00685B62">
            <w:pPr>
              <w:widowControl w:val="0"/>
              <w:autoSpaceDE w:val="0"/>
              <w:autoSpaceDN w:val="0"/>
              <w:adjustRightInd w:val="0"/>
              <w:spacing w:after="0" w:line="240" w:lineRule="auto"/>
              <w:rPr>
                <w:rFonts w:cstheme="minorHAnsi"/>
              </w:rPr>
            </w:pPr>
          </w:p>
        </w:tc>
        <w:tc>
          <w:tcPr>
            <w:tcW w:w="500" w:type="pct"/>
            <w:tcBorders>
              <w:top w:val="nil"/>
              <w:left w:val="nil"/>
              <w:bottom w:val="single" w:sz="4" w:space="0" w:color="000000" w:themeColor="text1"/>
              <w:right w:val="nil"/>
            </w:tcBorders>
            <w:vAlign w:val="bottom"/>
            <w:hideMark/>
          </w:tcPr>
          <w:p w14:paraId="40F2605F"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£m</w:t>
            </w:r>
          </w:p>
        </w:tc>
        <w:tc>
          <w:tcPr>
            <w:tcW w:w="500" w:type="pct"/>
            <w:tcBorders>
              <w:top w:val="nil"/>
              <w:left w:val="nil"/>
              <w:bottom w:val="single" w:sz="4" w:space="0" w:color="000000" w:themeColor="text1"/>
              <w:right w:val="nil"/>
            </w:tcBorders>
            <w:vAlign w:val="bottom"/>
          </w:tcPr>
          <w:p w14:paraId="2D6804E3" w14:textId="77777777" w:rsidR="008363D5" w:rsidRPr="008A1761" w:rsidRDefault="008363D5" w:rsidP="00685B62">
            <w:pPr>
              <w:widowControl w:val="0"/>
              <w:autoSpaceDE w:val="0"/>
              <w:autoSpaceDN w:val="0"/>
              <w:adjustRightInd w:val="0"/>
              <w:spacing w:after="0" w:line="240" w:lineRule="auto"/>
              <w:jc w:val="right"/>
              <w:rPr>
                <w:rFonts w:cstheme="minorHAnsi"/>
              </w:rPr>
            </w:pPr>
            <w:r w:rsidRPr="008A1761">
              <w:rPr>
                <w:rFonts w:cstheme="minorHAnsi"/>
              </w:rPr>
              <w:t>£m</w:t>
            </w:r>
          </w:p>
        </w:tc>
      </w:tr>
      <w:tr w:rsidR="008363D5" w:rsidRPr="00D80ACC" w14:paraId="682FD22C" w14:textId="77777777" w:rsidTr="00685B62">
        <w:tc>
          <w:tcPr>
            <w:tcW w:w="4000" w:type="pct"/>
            <w:tcBorders>
              <w:top w:val="single" w:sz="4" w:space="0" w:color="000000" w:themeColor="text1"/>
              <w:left w:val="nil"/>
              <w:bottom w:val="nil"/>
              <w:right w:val="nil"/>
            </w:tcBorders>
            <w:vAlign w:val="bottom"/>
            <w:hideMark/>
          </w:tcPr>
          <w:p w14:paraId="5DD7AA53"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b/>
                <w:bCs/>
              </w:rPr>
              <w:t>Current tax expense</w:t>
            </w:r>
          </w:p>
        </w:tc>
        <w:tc>
          <w:tcPr>
            <w:tcW w:w="500" w:type="pct"/>
            <w:tcBorders>
              <w:top w:val="single" w:sz="4" w:space="0" w:color="000000" w:themeColor="text1"/>
              <w:left w:val="nil"/>
              <w:bottom w:val="nil"/>
              <w:right w:val="nil"/>
            </w:tcBorders>
            <w:vAlign w:val="bottom"/>
          </w:tcPr>
          <w:p w14:paraId="35AE22B2" w14:textId="77777777" w:rsidR="008363D5" w:rsidRPr="00D80ACC" w:rsidRDefault="008363D5" w:rsidP="00685B62">
            <w:pPr>
              <w:widowControl w:val="0"/>
              <w:autoSpaceDE w:val="0"/>
              <w:autoSpaceDN w:val="0"/>
              <w:adjustRightInd w:val="0"/>
              <w:spacing w:after="0" w:line="240" w:lineRule="auto"/>
              <w:jc w:val="right"/>
              <w:rPr>
                <w:rFonts w:cstheme="minorHAnsi"/>
              </w:rPr>
            </w:pPr>
          </w:p>
        </w:tc>
        <w:tc>
          <w:tcPr>
            <w:tcW w:w="500" w:type="pct"/>
            <w:tcBorders>
              <w:top w:val="single" w:sz="4" w:space="0" w:color="000000" w:themeColor="text1"/>
              <w:left w:val="nil"/>
              <w:bottom w:val="nil"/>
              <w:right w:val="nil"/>
            </w:tcBorders>
            <w:vAlign w:val="bottom"/>
          </w:tcPr>
          <w:p w14:paraId="7475D9C2" w14:textId="77777777" w:rsidR="008363D5" w:rsidRPr="008A1761" w:rsidRDefault="008363D5" w:rsidP="00685B62">
            <w:pPr>
              <w:widowControl w:val="0"/>
              <w:autoSpaceDE w:val="0"/>
              <w:autoSpaceDN w:val="0"/>
              <w:adjustRightInd w:val="0"/>
              <w:spacing w:after="0" w:line="240" w:lineRule="auto"/>
              <w:jc w:val="right"/>
              <w:rPr>
                <w:rFonts w:cstheme="minorHAnsi"/>
              </w:rPr>
            </w:pPr>
          </w:p>
        </w:tc>
      </w:tr>
      <w:tr w:rsidR="008363D5" w:rsidRPr="00D80ACC" w14:paraId="241602DA" w14:textId="77777777" w:rsidTr="00685B62">
        <w:tc>
          <w:tcPr>
            <w:tcW w:w="4000" w:type="pct"/>
            <w:vAlign w:val="bottom"/>
            <w:hideMark/>
          </w:tcPr>
          <w:p w14:paraId="0D9ED501"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UK corporation tax payable on profits for the year</w:t>
            </w:r>
          </w:p>
        </w:tc>
        <w:tc>
          <w:tcPr>
            <w:tcW w:w="500" w:type="pct"/>
            <w:vAlign w:val="bottom"/>
            <w:hideMark/>
          </w:tcPr>
          <w:p w14:paraId="215E33DF"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w:t>
            </w:r>
          </w:p>
        </w:tc>
        <w:tc>
          <w:tcPr>
            <w:tcW w:w="500" w:type="pct"/>
            <w:vAlign w:val="bottom"/>
          </w:tcPr>
          <w:p w14:paraId="35F8C7CE" w14:textId="77777777" w:rsidR="008363D5" w:rsidRPr="008A1761" w:rsidRDefault="008363D5" w:rsidP="00685B62">
            <w:pPr>
              <w:widowControl w:val="0"/>
              <w:autoSpaceDE w:val="0"/>
              <w:autoSpaceDN w:val="0"/>
              <w:adjustRightInd w:val="0"/>
              <w:spacing w:after="0" w:line="240" w:lineRule="auto"/>
              <w:jc w:val="right"/>
              <w:rPr>
                <w:rFonts w:cstheme="minorHAnsi"/>
              </w:rPr>
            </w:pPr>
            <w:r w:rsidRPr="008A1761">
              <w:rPr>
                <w:rFonts w:cstheme="minorHAnsi"/>
              </w:rPr>
              <w:t>1.2</w:t>
            </w:r>
          </w:p>
        </w:tc>
      </w:tr>
      <w:tr w:rsidR="008363D5" w:rsidRPr="00D80ACC" w14:paraId="2D04689F" w14:textId="77777777" w:rsidTr="00685B62">
        <w:tc>
          <w:tcPr>
            <w:tcW w:w="4000" w:type="pct"/>
            <w:tcBorders>
              <w:top w:val="nil"/>
              <w:left w:val="nil"/>
              <w:bottom w:val="single" w:sz="4" w:space="0" w:color="000000" w:themeColor="text1"/>
              <w:right w:val="nil"/>
            </w:tcBorders>
            <w:vAlign w:val="bottom"/>
            <w:hideMark/>
          </w:tcPr>
          <w:p w14:paraId="7B7836F0"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Adjustment in relation to prior years</w:t>
            </w:r>
          </w:p>
        </w:tc>
        <w:tc>
          <w:tcPr>
            <w:tcW w:w="500" w:type="pct"/>
            <w:tcBorders>
              <w:top w:val="nil"/>
              <w:left w:val="nil"/>
              <w:bottom w:val="single" w:sz="4" w:space="0" w:color="000000" w:themeColor="text1"/>
              <w:right w:val="nil"/>
            </w:tcBorders>
            <w:vAlign w:val="bottom"/>
            <w:hideMark/>
          </w:tcPr>
          <w:p w14:paraId="4DE09BE8"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(0.</w:t>
            </w:r>
            <w:r>
              <w:rPr>
                <w:rFonts w:cstheme="minorHAnsi"/>
                <w:b/>
                <w:bCs/>
              </w:rPr>
              <w:t>3</w:t>
            </w:r>
            <w:r w:rsidRPr="00D80ACC">
              <w:rPr>
                <w:rFonts w:cstheme="minorHAnsi"/>
                <w:b/>
                <w:bCs/>
              </w:rPr>
              <w:t>)</w:t>
            </w:r>
          </w:p>
        </w:tc>
        <w:tc>
          <w:tcPr>
            <w:tcW w:w="500" w:type="pct"/>
            <w:tcBorders>
              <w:top w:val="nil"/>
              <w:left w:val="nil"/>
              <w:bottom w:val="single" w:sz="4" w:space="0" w:color="000000" w:themeColor="text1"/>
              <w:right w:val="nil"/>
            </w:tcBorders>
            <w:vAlign w:val="bottom"/>
          </w:tcPr>
          <w:p w14:paraId="3CCA03E6" w14:textId="77777777" w:rsidR="008363D5" w:rsidRPr="008A1761" w:rsidRDefault="008363D5" w:rsidP="00685B62">
            <w:pPr>
              <w:widowControl w:val="0"/>
              <w:autoSpaceDE w:val="0"/>
              <w:autoSpaceDN w:val="0"/>
              <w:adjustRightInd w:val="0"/>
              <w:spacing w:after="0" w:line="240" w:lineRule="auto"/>
              <w:jc w:val="right"/>
              <w:rPr>
                <w:rFonts w:cstheme="minorHAnsi"/>
              </w:rPr>
            </w:pPr>
            <w:r w:rsidRPr="008A1761">
              <w:rPr>
                <w:rFonts w:cstheme="minorHAnsi"/>
              </w:rPr>
              <w:t>(0.4)</w:t>
            </w:r>
          </w:p>
        </w:tc>
      </w:tr>
      <w:tr w:rsidR="008363D5" w:rsidRPr="00D80ACC" w14:paraId="71F0B242" w14:textId="77777777" w:rsidTr="00685B62">
        <w:tc>
          <w:tcPr>
            <w:tcW w:w="4000" w:type="pct"/>
            <w:tcBorders>
              <w:top w:val="single" w:sz="4" w:space="0" w:color="000000" w:themeColor="text1"/>
              <w:left w:val="nil"/>
              <w:bottom w:val="nil"/>
              <w:right w:val="nil"/>
            </w:tcBorders>
            <w:vAlign w:val="bottom"/>
            <w:hideMark/>
          </w:tcPr>
          <w:p w14:paraId="1D2E5BFA"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b/>
                <w:bCs/>
              </w:rPr>
              <w:t>Deferred tax debit/(credit)</w:t>
            </w:r>
          </w:p>
        </w:tc>
        <w:tc>
          <w:tcPr>
            <w:tcW w:w="500" w:type="pct"/>
            <w:tcBorders>
              <w:top w:val="single" w:sz="4" w:space="0" w:color="000000" w:themeColor="text1"/>
              <w:left w:val="nil"/>
              <w:bottom w:val="nil"/>
              <w:right w:val="nil"/>
            </w:tcBorders>
            <w:vAlign w:val="bottom"/>
          </w:tcPr>
          <w:p w14:paraId="168B52D9" w14:textId="77777777" w:rsidR="008363D5" w:rsidRPr="00D80ACC" w:rsidRDefault="008363D5" w:rsidP="00685B62">
            <w:pPr>
              <w:widowControl w:val="0"/>
              <w:autoSpaceDE w:val="0"/>
              <w:autoSpaceDN w:val="0"/>
              <w:adjustRightInd w:val="0"/>
              <w:spacing w:after="0" w:line="240" w:lineRule="auto"/>
              <w:jc w:val="right"/>
              <w:rPr>
                <w:rFonts w:cstheme="minorHAnsi"/>
              </w:rPr>
            </w:pPr>
          </w:p>
        </w:tc>
        <w:tc>
          <w:tcPr>
            <w:tcW w:w="500" w:type="pct"/>
            <w:tcBorders>
              <w:top w:val="single" w:sz="4" w:space="0" w:color="000000" w:themeColor="text1"/>
              <w:left w:val="nil"/>
              <w:bottom w:val="nil"/>
              <w:right w:val="nil"/>
            </w:tcBorders>
            <w:vAlign w:val="bottom"/>
          </w:tcPr>
          <w:p w14:paraId="79F61E2E" w14:textId="77777777" w:rsidR="008363D5" w:rsidRPr="008A1761" w:rsidRDefault="008363D5" w:rsidP="00685B62">
            <w:pPr>
              <w:widowControl w:val="0"/>
              <w:autoSpaceDE w:val="0"/>
              <w:autoSpaceDN w:val="0"/>
              <w:adjustRightInd w:val="0"/>
              <w:spacing w:after="0" w:line="240" w:lineRule="auto"/>
              <w:jc w:val="right"/>
              <w:rPr>
                <w:rFonts w:cstheme="minorHAnsi"/>
              </w:rPr>
            </w:pPr>
          </w:p>
        </w:tc>
      </w:tr>
      <w:tr w:rsidR="008363D5" w:rsidRPr="00D80ACC" w14:paraId="39F85FA2" w14:textId="77777777" w:rsidTr="00685B62">
        <w:tc>
          <w:tcPr>
            <w:tcW w:w="4000" w:type="pct"/>
            <w:vAlign w:val="bottom"/>
            <w:hideMark/>
          </w:tcPr>
          <w:p w14:paraId="39F38F61"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Arising on:</w:t>
            </w:r>
          </w:p>
        </w:tc>
        <w:tc>
          <w:tcPr>
            <w:tcW w:w="500" w:type="pct"/>
            <w:vAlign w:val="bottom"/>
          </w:tcPr>
          <w:p w14:paraId="4FD04A63" w14:textId="77777777" w:rsidR="008363D5" w:rsidRPr="00D80ACC" w:rsidRDefault="008363D5" w:rsidP="00685B62">
            <w:pPr>
              <w:widowControl w:val="0"/>
              <w:autoSpaceDE w:val="0"/>
              <w:autoSpaceDN w:val="0"/>
              <w:adjustRightInd w:val="0"/>
              <w:spacing w:after="0" w:line="240" w:lineRule="auto"/>
              <w:jc w:val="right"/>
              <w:rPr>
                <w:rFonts w:cstheme="minorHAnsi"/>
              </w:rPr>
            </w:pPr>
          </w:p>
        </w:tc>
        <w:tc>
          <w:tcPr>
            <w:tcW w:w="500" w:type="pct"/>
            <w:vAlign w:val="bottom"/>
          </w:tcPr>
          <w:p w14:paraId="04C2A31E" w14:textId="77777777" w:rsidR="008363D5" w:rsidRPr="008A1761" w:rsidRDefault="008363D5" w:rsidP="00685B62">
            <w:pPr>
              <w:widowControl w:val="0"/>
              <w:autoSpaceDE w:val="0"/>
              <w:autoSpaceDN w:val="0"/>
              <w:adjustRightInd w:val="0"/>
              <w:spacing w:after="0" w:line="240" w:lineRule="auto"/>
              <w:jc w:val="right"/>
              <w:rPr>
                <w:rFonts w:cstheme="minorHAnsi"/>
              </w:rPr>
            </w:pPr>
          </w:p>
        </w:tc>
      </w:tr>
      <w:tr w:rsidR="008363D5" w:rsidRPr="00D80ACC" w14:paraId="64DA981A" w14:textId="77777777" w:rsidTr="00685B62">
        <w:tc>
          <w:tcPr>
            <w:tcW w:w="4000" w:type="pct"/>
            <w:tcBorders>
              <w:top w:val="nil"/>
              <w:left w:val="nil"/>
              <w:bottom w:val="single" w:sz="4" w:space="0" w:color="000000" w:themeColor="text1"/>
              <w:right w:val="nil"/>
            </w:tcBorders>
            <w:vAlign w:val="bottom"/>
            <w:hideMark/>
          </w:tcPr>
          <w:p w14:paraId="0879AA5D"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Origination and reversal of timing differences</w:t>
            </w:r>
          </w:p>
        </w:tc>
        <w:tc>
          <w:tcPr>
            <w:tcW w:w="500" w:type="pct"/>
            <w:tcBorders>
              <w:top w:val="nil"/>
              <w:left w:val="nil"/>
              <w:bottom w:val="single" w:sz="4" w:space="0" w:color="000000" w:themeColor="text1"/>
              <w:right w:val="nil"/>
            </w:tcBorders>
            <w:vAlign w:val="bottom"/>
            <w:hideMark/>
          </w:tcPr>
          <w:p w14:paraId="3E896377"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0.</w:t>
            </w:r>
            <w:r>
              <w:rPr>
                <w:rFonts w:cstheme="minorHAnsi"/>
                <w:b/>
                <w:bCs/>
              </w:rPr>
              <w:t>3</w:t>
            </w:r>
          </w:p>
        </w:tc>
        <w:tc>
          <w:tcPr>
            <w:tcW w:w="500" w:type="pct"/>
            <w:tcBorders>
              <w:top w:val="nil"/>
              <w:left w:val="nil"/>
              <w:bottom w:val="single" w:sz="4" w:space="0" w:color="000000" w:themeColor="text1"/>
              <w:right w:val="nil"/>
            </w:tcBorders>
            <w:vAlign w:val="bottom"/>
          </w:tcPr>
          <w:p w14:paraId="37B9901E" w14:textId="77777777" w:rsidR="008363D5" w:rsidRPr="008A1761" w:rsidRDefault="008363D5" w:rsidP="00685B62">
            <w:pPr>
              <w:widowControl w:val="0"/>
              <w:autoSpaceDE w:val="0"/>
              <w:autoSpaceDN w:val="0"/>
              <w:adjustRightInd w:val="0"/>
              <w:spacing w:after="0" w:line="240" w:lineRule="auto"/>
              <w:jc w:val="right"/>
              <w:rPr>
                <w:rFonts w:cstheme="minorHAnsi"/>
              </w:rPr>
            </w:pPr>
            <w:r w:rsidRPr="008A1761">
              <w:rPr>
                <w:rFonts w:cstheme="minorHAnsi"/>
              </w:rPr>
              <w:t>0.4</w:t>
            </w:r>
          </w:p>
        </w:tc>
      </w:tr>
      <w:tr w:rsidR="008363D5" w:rsidRPr="00D80ACC" w14:paraId="5F615814" w14:textId="77777777" w:rsidTr="00685B62">
        <w:tc>
          <w:tcPr>
            <w:tcW w:w="4000" w:type="pct"/>
            <w:tcBorders>
              <w:top w:val="single" w:sz="4" w:space="0" w:color="000000" w:themeColor="text1"/>
              <w:left w:val="nil"/>
              <w:bottom w:val="single" w:sz="12" w:space="0" w:color="000000" w:themeColor="text1"/>
              <w:right w:val="nil"/>
            </w:tcBorders>
            <w:vAlign w:val="bottom"/>
            <w:hideMark/>
          </w:tcPr>
          <w:p w14:paraId="310A090B"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b/>
                <w:bCs/>
              </w:rPr>
              <w:t>Total income tax expense</w:t>
            </w:r>
          </w:p>
        </w:tc>
        <w:tc>
          <w:tcPr>
            <w:tcW w:w="500" w:type="pct"/>
            <w:tcBorders>
              <w:top w:val="single" w:sz="4" w:space="0" w:color="000000" w:themeColor="text1"/>
              <w:left w:val="nil"/>
              <w:bottom w:val="single" w:sz="12" w:space="0" w:color="000000" w:themeColor="text1"/>
              <w:right w:val="nil"/>
            </w:tcBorders>
            <w:vAlign w:val="bottom"/>
            <w:hideMark/>
          </w:tcPr>
          <w:p w14:paraId="6909BE8A"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w:t>
            </w:r>
          </w:p>
        </w:tc>
        <w:tc>
          <w:tcPr>
            <w:tcW w:w="500" w:type="pct"/>
            <w:tcBorders>
              <w:top w:val="single" w:sz="4" w:space="0" w:color="000000" w:themeColor="text1"/>
              <w:left w:val="nil"/>
              <w:bottom w:val="single" w:sz="12" w:space="0" w:color="000000" w:themeColor="text1"/>
              <w:right w:val="nil"/>
            </w:tcBorders>
            <w:vAlign w:val="bottom"/>
          </w:tcPr>
          <w:p w14:paraId="35DFA247" w14:textId="77777777" w:rsidR="008363D5" w:rsidRPr="008A1761" w:rsidRDefault="008363D5" w:rsidP="00685B62">
            <w:pPr>
              <w:widowControl w:val="0"/>
              <w:autoSpaceDE w:val="0"/>
              <w:autoSpaceDN w:val="0"/>
              <w:adjustRightInd w:val="0"/>
              <w:spacing w:after="0" w:line="240" w:lineRule="auto"/>
              <w:jc w:val="right"/>
              <w:rPr>
                <w:rFonts w:cstheme="minorHAnsi"/>
              </w:rPr>
            </w:pPr>
            <w:r w:rsidRPr="008A1761">
              <w:rPr>
                <w:rFonts w:cstheme="minorHAnsi"/>
              </w:rPr>
              <w:t>1.2</w:t>
            </w:r>
          </w:p>
        </w:tc>
      </w:tr>
      <w:tr w:rsidR="008363D5" w:rsidRPr="00D80ACC" w14:paraId="4614142B" w14:textId="77777777" w:rsidTr="00685B62">
        <w:tc>
          <w:tcPr>
            <w:tcW w:w="4000" w:type="pct"/>
            <w:tcBorders>
              <w:top w:val="single" w:sz="12" w:space="0" w:color="000000" w:themeColor="text1"/>
              <w:left w:val="nil"/>
              <w:bottom w:val="nil"/>
              <w:right w:val="nil"/>
            </w:tcBorders>
            <w:vAlign w:val="bottom"/>
            <w:hideMark/>
          </w:tcPr>
          <w:p w14:paraId="347CF2C0"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b/>
                <w:bCs/>
              </w:rPr>
              <w:t>Reconciliation of tax charge</w:t>
            </w:r>
          </w:p>
        </w:tc>
        <w:tc>
          <w:tcPr>
            <w:tcW w:w="500" w:type="pct"/>
            <w:tcBorders>
              <w:top w:val="single" w:sz="12" w:space="0" w:color="000000" w:themeColor="text1"/>
              <w:left w:val="nil"/>
              <w:bottom w:val="nil"/>
              <w:right w:val="nil"/>
            </w:tcBorders>
            <w:vAlign w:val="bottom"/>
          </w:tcPr>
          <w:p w14:paraId="3879706A" w14:textId="77777777" w:rsidR="008363D5" w:rsidRPr="00D80ACC" w:rsidRDefault="008363D5" w:rsidP="00685B62">
            <w:pPr>
              <w:widowControl w:val="0"/>
              <w:autoSpaceDE w:val="0"/>
              <w:autoSpaceDN w:val="0"/>
              <w:adjustRightInd w:val="0"/>
              <w:spacing w:after="0" w:line="240" w:lineRule="auto"/>
              <w:jc w:val="right"/>
              <w:rPr>
                <w:rFonts w:cstheme="minorHAnsi"/>
              </w:rPr>
            </w:pPr>
          </w:p>
        </w:tc>
        <w:tc>
          <w:tcPr>
            <w:tcW w:w="500" w:type="pct"/>
            <w:tcBorders>
              <w:top w:val="single" w:sz="12" w:space="0" w:color="000000" w:themeColor="text1"/>
              <w:left w:val="nil"/>
              <w:bottom w:val="nil"/>
              <w:right w:val="nil"/>
            </w:tcBorders>
            <w:vAlign w:val="bottom"/>
          </w:tcPr>
          <w:p w14:paraId="25DA62FC" w14:textId="77777777" w:rsidR="008363D5" w:rsidRPr="008A1761" w:rsidRDefault="008363D5" w:rsidP="00685B62">
            <w:pPr>
              <w:widowControl w:val="0"/>
              <w:autoSpaceDE w:val="0"/>
              <w:autoSpaceDN w:val="0"/>
              <w:adjustRightInd w:val="0"/>
              <w:spacing w:after="0" w:line="240" w:lineRule="auto"/>
              <w:jc w:val="right"/>
              <w:rPr>
                <w:rFonts w:cstheme="minorHAnsi"/>
              </w:rPr>
            </w:pPr>
          </w:p>
        </w:tc>
      </w:tr>
      <w:tr w:rsidR="008363D5" w:rsidRPr="00D80ACC" w14:paraId="33B2F418" w14:textId="77777777" w:rsidTr="00685B62">
        <w:tc>
          <w:tcPr>
            <w:tcW w:w="4000" w:type="pct"/>
            <w:tcBorders>
              <w:top w:val="nil"/>
              <w:left w:val="nil"/>
              <w:bottom w:val="single" w:sz="4" w:space="0" w:color="000000" w:themeColor="text1"/>
              <w:right w:val="nil"/>
            </w:tcBorders>
            <w:vAlign w:val="bottom"/>
            <w:hideMark/>
          </w:tcPr>
          <w:p w14:paraId="0B569F6C"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Profit before tax for the year</w:t>
            </w:r>
          </w:p>
        </w:tc>
        <w:tc>
          <w:tcPr>
            <w:tcW w:w="500" w:type="pct"/>
            <w:tcBorders>
              <w:top w:val="nil"/>
              <w:left w:val="nil"/>
              <w:bottom w:val="single" w:sz="4" w:space="0" w:color="000000" w:themeColor="text1"/>
              <w:right w:val="nil"/>
            </w:tcBorders>
            <w:vAlign w:val="bottom"/>
            <w:hideMark/>
          </w:tcPr>
          <w:p w14:paraId="152EB7FF" w14:textId="77777777" w:rsidR="008363D5" w:rsidRPr="00D80ACC" w:rsidRDefault="008363D5" w:rsidP="00685B62">
            <w:pPr>
              <w:widowControl w:val="0"/>
              <w:autoSpaceDE w:val="0"/>
              <w:autoSpaceDN w:val="0"/>
              <w:adjustRightInd w:val="0"/>
              <w:spacing w:after="0" w:line="240" w:lineRule="auto"/>
              <w:jc w:val="right"/>
              <w:rPr>
                <w:rFonts w:cstheme="minorHAnsi"/>
              </w:rPr>
            </w:pPr>
            <w:r>
              <w:rPr>
                <w:rFonts w:cstheme="minorHAnsi"/>
              </w:rPr>
              <w:t>1.2</w:t>
            </w:r>
          </w:p>
        </w:tc>
        <w:tc>
          <w:tcPr>
            <w:tcW w:w="500" w:type="pct"/>
            <w:tcBorders>
              <w:top w:val="nil"/>
              <w:left w:val="nil"/>
              <w:bottom w:val="single" w:sz="4" w:space="0" w:color="000000" w:themeColor="text1"/>
              <w:right w:val="nil"/>
            </w:tcBorders>
            <w:vAlign w:val="bottom"/>
          </w:tcPr>
          <w:p w14:paraId="3C55693C" w14:textId="77777777" w:rsidR="008363D5" w:rsidRPr="008A1761" w:rsidRDefault="008363D5" w:rsidP="00685B62">
            <w:pPr>
              <w:widowControl w:val="0"/>
              <w:autoSpaceDE w:val="0"/>
              <w:autoSpaceDN w:val="0"/>
              <w:adjustRightInd w:val="0"/>
              <w:spacing w:after="0" w:line="240" w:lineRule="auto"/>
              <w:jc w:val="right"/>
              <w:rPr>
                <w:rFonts w:cstheme="minorHAnsi"/>
              </w:rPr>
            </w:pPr>
            <w:r w:rsidRPr="008A1761">
              <w:rPr>
                <w:rFonts w:cstheme="minorHAnsi"/>
              </w:rPr>
              <w:t>9.0</w:t>
            </w:r>
          </w:p>
        </w:tc>
      </w:tr>
      <w:tr w:rsidR="008363D5" w:rsidRPr="00D80ACC" w14:paraId="135D1C95" w14:textId="77777777" w:rsidTr="00685B62">
        <w:tc>
          <w:tcPr>
            <w:tcW w:w="4000" w:type="pct"/>
            <w:tcBorders>
              <w:top w:val="single" w:sz="4" w:space="0" w:color="000000" w:themeColor="text1"/>
              <w:left w:val="nil"/>
              <w:bottom w:val="nil"/>
              <w:right w:val="nil"/>
            </w:tcBorders>
            <w:vAlign w:val="bottom"/>
            <w:hideMark/>
          </w:tcPr>
          <w:p w14:paraId="734B19A1"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b/>
                <w:bCs/>
              </w:rPr>
              <w:t>Tax at standard UK tax rate of 19% (2018: 19%)</w:t>
            </w:r>
          </w:p>
        </w:tc>
        <w:tc>
          <w:tcPr>
            <w:tcW w:w="500" w:type="pct"/>
            <w:tcBorders>
              <w:top w:val="single" w:sz="4" w:space="0" w:color="000000" w:themeColor="text1"/>
              <w:left w:val="nil"/>
              <w:bottom w:val="nil"/>
              <w:right w:val="nil"/>
            </w:tcBorders>
            <w:vAlign w:val="bottom"/>
            <w:hideMark/>
          </w:tcPr>
          <w:p w14:paraId="23231852" w14:textId="77777777" w:rsidR="008363D5" w:rsidRPr="00D80ACC" w:rsidRDefault="008363D5" w:rsidP="00685B62">
            <w:pPr>
              <w:widowControl w:val="0"/>
              <w:autoSpaceDE w:val="0"/>
              <w:autoSpaceDN w:val="0"/>
              <w:adjustRightInd w:val="0"/>
              <w:spacing w:after="0" w:line="240" w:lineRule="auto"/>
              <w:jc w:val="right"/>
              <w:rPr>
                <w:rFonts w:cstheme="minorHAnsi"/>
              </w:rPr>
            </w:pPr>
            <w:r>
              <w:rPr>
                <w:rFonts w:cstheme="minorHAnsi"/>
              </w:rPr>
              <w:t>0.2</w:t>
            </w:r>
          </w:p>
        </w:tc>
        <w:tc>
          <w:tcPr>
            <w:tcW w:w="500" w:type="pct"/>
            <w:tcBorders>
              <w:top w:val="single" w:sz="4" w:space="0" w:color="000000" w:themeColor="text1"/>
              <w:left w:val="nil"/>
              <w:bottom w:val="nil"/>
              <w:right w:val="nil"/>
            </w:tcBorders>
            <w:vAlign w:val="bottom"/>
          </w:tcPr>
          <w:p w14:paraId="1468CBBF" w14:textId="77777777" w:rsidR="008363D5" w:rsidRPr="008A1761" w:rsidRDefault="008363D5" w:rsidP="00685B62">
            <w:pPr>
              <w:widowControl w:val="0"/>
              <w:autoSpaceDE w:val="0"/>
              <w:autoSpaceDN w:val="0"/>
              <w:adjustRightInd w:val="0"/>
              <w:spacing w:after="0" w:line="240" w:lineRule="auto"/>
              <w:jc w:val="right"/>
              <w:rPr>
                <w:rFonts w:cstheme="minorHAnsi"/>
              </w:rPr>
            </w:pPr>
            <w:r w:rsidRPr="008A1761">
              <w:rPr>
                <w:rFonts w:cstheme="minorHAnsi"/>
              </w:rPr>
              <w:t>1.7</w:t>
            </w:r>
          </w:p>
        </w:tc>
      </w:tr>
      <w:tr w:rsidR="008363D5" w:rsidRPr="00D80ACC" w14:paraId="77781CF6" w14:textId="77777777" w:rsidTr="00685B62">
        <w:tc>
          <w:tcPr>
            <w:tcW w:w="4000" w:type="pct"/>
            <w:vAlign w:val="bottom"/>
            <w:hideMark/>
          </w:tcPr>
          <w:p w14:paraId="761E2A76"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b/>
                <w:bCs/>
              </w:rPr>
              <w:t>Tax effect of:</w:t>
            </w:r>
          </w:p>
        </w:tc>
        <w:tc>
          <w:tcPr>
            <w:tcW w:w="500" w:type="pct"/>
            <w:vAlign w:val="bottom"/>
          </w:tcPr>
          <w:p w14:paraId="7E4FE2C1" w14:textId="77777777" w:rsidR="008363D5" w:rsidRPr="00D80ACC" w:rsidRDefault="008363D5" w:rsidP="00685B62">
            <w:pPr>
              <w:widowControl w:val="0"/>
              <w:autoSpaceDE w:val="0"/>
              <w:autoSpaceDN w:val="0"/>
              <w:adjustRightInd w:val="0"/>
              <w:spacing w:after="0" w:line="240" w:lineRule="auto"/>
              <w:jc w:val="right"/>
              <w:rPr>
                <w:rFonts w:cstheme="minorHAnsi"/>
              </w:rPr>
            </w:pPr>
          </w:p>
        </w:tc>
        <w:tc>
          <w:tcPr>
            <w:tcW w:w="500" w:type="pct"/>
            <w:vAlign w:val="bottom"/>
          </w:tcPr>
          <w:p w14:paraId="59BB09E9" w14:textId="77777777" w:rsidR="008363D5" w:rsidRPr="008A1761" w:rsidRDefault="008363D5" w:rsidP="00685B62">
            <w:pPr>
              <w:widowControl w:val="0"/>
              <w:autoSpaceDE w:val="0"/>
              <w:autoSpaceDN w:val="0"/>
              <w:adjustRightInd w:val="0"/>
              <w:spacing w:after="0" w:line="240" w:lineRule="auto"/>
              <w:jc w:val="right"/>
              <w:rPr>
                <w:rFonts w:cstheme="minorHAnsi"/>
              </w:rPr>
            </w:pPr>
          </w:p>
        </w:tc>
      </w:tr>
      <w:tr w:rsidR="008363D5" w:rsidRPr="00D80ACC" w14:paraId="1A8C80A8" w14:textId="77777777" w:rsidTr="00685B62">
        <w:tc>
          <w:tcPr>
            <w:tcW w:w="4000" w:type="pct"/>
            <w:vAlign w:val="bottom"/>
            <w:hideMark/>
          </w:tcPr>
          <w:p w14:paraId="55FC0A18"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Adjustment in relation to prior years</w:t>
            </w:r>
          </w:p>
        </w:tc>
        <w:tc>
          <w:tcPr>
            <w:tcW w:w="500" w:type="pct"/>
            <w:vAlign w:val="bottom"/>
            <w:hideMark/>
          </w:tcPr>
          <w:p w14:paraId="411C16F5"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(0.</w:t>
            </w:r>
            <w:r>
              <w:rPr>
                <w:rFonts w:cstheme="minorHAnsi"/>
                <w:b/>
                <w:bCs/>
              </w:rPr>
              <w:t>3</w:t>
            </w:r>
            <w:r w:rsidRPr="00D80ACC">
              <w:rPr>
                <w:rFonts w:cstheme="minorHAnsi"/>
                <w:b/>
                <w:bCs/>
              </w:rPr>
              <w:t>)</w:t>
            </w:r>
          </w:p>
        </w:tc>
        <w:tc>
          <w:tcPr>
            <w:tcW w:w="500" w:type="pct"/>
            <w:vAlign w:val="bottom"/>
          </w:tcPr>
          <w:p w14:paraId="6DA97F7B" w14:textId="77777777" w:rsidR="008363D5" w:rsidRPr="008A1761" w:rsidRDefault="008363D5" w:rsidP="00685B62">
            <w:pPr>
              <w:widowControl w:val="0"/>
              <w:autoSpaceDE w:val="0"/>
              <w:autoSpaceDN w:val="0"/>
              <w:adjustRightInd w:val="0"/>
              <w:spacing w:after="0" w:line="240" w:lineRule="auto"/>
              <w:jc w:val="right"/>
              <w:rPr>
                <w:rFonts w:cstheme="minorHAnsi"/>
              </w:rPr>
            </w:pPr>
            <w:r w:rsidRPr="008A1761">
              <w:rPr>
                <w:rFonts w:cstheme="minorHAnsi"/>
              </w:rPr>
              <w:t>(0.4)</w:t>
            </w:r>
          </w:p>
        </w:tc>
      </w:tr>
      <w:tr w:rsidR="008363D5" w:rsidRPr="00D80ACC" w14:paraId="60748F5B" w14:textId="77777777" w:rsidTr="00685B62">
        <w:tc>
          <w:tcPr>
            <w:tcW w:w="4000" w:type="pct"/>
            <w:vAlign w:val="bottom"/>
            <w:hideMark/>
          </w:tcPr>
          <w:p w14:paraId="1B3060F6"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Utilisation of losses brought forward</w:t>
            </w:r>
          </w:p>
        </w:tc>
        <w:tc>
          <w:tcPr>
            <w:tcW w:w="500" w:type="pct"/>
            <w:vAlign w:val="bottom"/>
            <w:hideMark/>
          </w:tcPr>
          <w:p w14:paraId="2A046C20"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w:t>
            </w:r>
          </w:p>
        </w:tc>
        <w:tc>
          <w:tcPr>
            <w:tcW w:w="500" w:type="pct"/>
            <w:vAlign w:val="bottom"/>
          </w:tcPr>
          <w:p w14:paraId="06B4C84B" w14:textId="77777777" w:rsidR="008363D5" w:rsidRPr="008A1761" w:rsidRDefault="008363D5" w:rsidP="00685B62">
            <w:pPr>
              <w:widowControl w:val="0"/>
              <w:autoSpaceDE w:val="0"/>
              <w:autoSpaceDN w:val="0"/>
              <w:adjustRightInd w:val="0"/>
              <w:spacing w:after="0" w:line="240" w:lineRule="auto"/>
              <w:jc w:val="right"/>
              <w:rPr>
                <w:rFonts w:cstheme="minorHAnsi"/>
              </w:rPr>
            </w:pPr>
            <w:r w:rsidRPr="008A1761">
              <w:rPr>
                <w:rFonts w:cstheme="minorHAnsi"/>
              </w:rPr>
              <w:t>(0.1)</w:t>
            </w:r>
          </w:p>
        </w:tc>
      </w:tr>
      <w:tr w:rsidR="008363D5" w:rsidRPr="00D80ACC" w14:paraId="580E439B" w14:textId="77777777" w:rsidTr="00685B62">
        <w:tc>
          <w:tcPr>
            <w:tcW w:w="4000" w:type="pct"/>
            <w:tcBorders>
              <w:top w:val="nil"/>
              <w:left w:val="nil"/>
              <w:bottom w:val="single" w:sz="4" w:space="0" w:color="000000" w:themeColor="text1"/>
              <w:right w:val="nil"/>
            </w:tcBorders>
            <w:vAlign w:val="bottom"/>
            <w:hideMark/>
          </w:tcPr>
          <w:p w14:paraId="72AC730B"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Permanently disallowed items</w:t>
            </w:r>
          </w:p>
        </w:tc>
        <w:tc>
          <w:tcPr>
            <w:tcW w:w="500" w:type="pct"/>
            <w:tcBorders>
              <w:top w:val="nil"/>
              <w:left w:val="nil"/>
              <w:bottom w:val="single" w:sz="4" w:space="0" w:color="000000" w:themeColor="text1"/>
              <w:right w:val="nil"/>
            </w:tcBorders>
            <w:vAlign w:val="bottom"/>
            <w:hideMark/>
          </w:tcPr>
          <w:p w14:paraId="5CC656CB" w14:textId="77777777" w:rsidR="008363D5" w:rsidRPr="00D80ACC" w:rsidRDefault="008363D5" w:rsidP="00685B62">
            <w:pPr>
              <w:widowControl w:val="0"/>
              <w:autoSpaceDE w:val="0"/>
              <w:autoSpaceDN w:val="0"/>
              <w:adjustRightInd w:val="0"/>
              <w:spacing w:after="0" w:line="240" w:lineRule="auto"/>
              <w:jc w:val="right"/>
              <w:rPr>
                <w:rFonts w:cstheme="minorHAnsi"/>
              </w:rPr>
            </w:pPr>
            <w:r>
              <w:rPr>
                <w:rFonts w:cstheme="minorHAnsi"/>
                <w:b/>
                <w:bCs/>
              </w:rPr>
              <w:t>0.1</w:t>
            </w:r>
          </w:p>
        </w:tc>
        <w:tc>
          <w:tcPr>
            <w:tcW w:w="500" w:type="pct"/>
            <w:tcBorders>
              <w:top w:val="nil"/>
              <w:left w:val="nil"/>
              <w:bottom w:val="single" w:sz="4" w:space="0" w:color="000000" w:themeColor="text1"/>
              <w:right w:val="nil"/>
            </w:tcBorders>
            <w:vAlign w:val="bottom"/>
          </w:tcPr>
          <w:p w14:paraId="3FFC95DE" w14:textId="77777777" w:rsidR="008363D5" w:rsidRPr="008A1761" w:rsidRDefault="008363D5" w:rsidP="00685B62">
            <w:pPr>
              <w:widowControl w:val="0"/>
              <w:autoSpaceDE w:val="0"/>
              <w:autoSpaceDN w:val="0"/>
              <w:adjustRightInd w:val="0"/>
              <w:spacing w:after="0" w:line="240" w:lineRule="auto"/>
              <w:jc w:val="right"/>
              <w:rPr>
                <w:rFonts w:cstheme="minorHAnsi"/>
              </w:rPr>
            </w:pPr>
            <w:r w:rsidRPr="008A1761">
              <w:rPr>
                <w:rFonts w:cstheme="minorHAnsi"/>
              </w:rPr>
              <w:t>—</w:t>
            </w:r>
          </w:p>
        </w:tc>
      </w:tr>
      <w:tr w:rsidR="008363D5" w:rsidRPr="00D80ACC" w14:paraId="122FB41F" w14:textId="77777777" w:rsidTr="00685B62">
        <w:tc>
          <w:tcPr>
            <w:tcW w:w="4000" w:type="pct"/>
            <w:tcBorders>
              <w:top w:val="single" w:sz="4" w:space="0" w:color="000000" w:themeColor="text1"/>
              <w:left w:val="nil"/>
              <w:bottom w:val="single" w:sz="12" w:space="0" w:color="000000" w:themeColor="text1"/>
              <w:right w:val="nil"/>
            </w:tcBorders>
            <w:vAlign w:val="bottom"/>
            <w:hideMark/>
          </w:tcPr>
          <w:p w14:paraId="364488F8"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b/>
                <w:bCs/>
              </w:rPr>
              <w:t>Total income tax expense</w:t>
            </w:r>
          </w:p>
        </w:tc>
        <w:tc>
          <w:tcPr>
            <w:tcW w:w="500" w:type="pct"/>
            <w:tcBorders>
              <w:top w:val="single" w:sz="4" w:space="0" w:color="000000" w:themeColor="text1"/>
              <w:left w:val="nil"/>
              <w:bottom w:val="single" w:sz="12" w:space="0" w:color="000000" w:themeColor="text1"/>
              <w:right w:val="nil"/>
            </w:tcBorders>
            <w:vAlign w:val="bottom"/>
            <w:hideMark/>
          </w:tcPr>
          <w:p w14:paraId="7E476F00"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w:t>
            </w:r>
          </w:p>
        </w:tc>
        <w:tc>
          <w:tcPr>
            <w:tcW w:w="500" w:type="pct"/>
            <w:tcBorders>
              <w:top w:val="single" w:sz="4" w:space="0" w:color="000000" w:themeColor="text1"/>
              <w:left w:val="nil"/>
              <w:bottom w:val="single" w:sz="12" w:space="0" w:color="000000" w:themeColor="text1"/>
              <w:right w:val="nil"/>
            </w:tcBorders>
            <w:vAlign w:val="bottom"/>
          </w:tcPr>
          <w:p w14:paraId="157A5C32" w14:textId="77777777" w:rsidR="008363D5" w:rsidRPr="008A1761" w:rsidRDefault="008363D5" w:rsidP="00685B62">
            <w:pPr>
              <w:widowControl w:val="0"/>
              <w:autoSpaceDE w:val="0"/>
              <w:autoSpaceDN w:val="0"/>
              <w:adjustRightInd w:val="0"/>
              <w:spacing w:after="0" w:line="240" w:lineRule="auto"/>
              <w:jc w:val="right"/>
              <w:rPr>
                <w:rFonts w:cstheme="minorHAnsi"/>
              </w:rPr>
            </w:pPr>
            <w:r w:rsidRPr="008A1761">
              <w:rPr>
                <w:rFonts w:cstheme="minorHAnsi"/>
              </w:rPr>
              <w:t>1.2</w:t>
            </w:r>
          </w:p>
        </w:tc>
      </w:tr>
    </w:tbl>
    <w:p w14:paraId="42A587BE" w14:textId="4B1DC774" w:rsidR="00D75CA8" w:rsidRDefault="00D75CA8" w:rsidP="00D75CA8">
      <w:pPr>
        <w:widowControl w:val="0"/>
        <w:autoSpaceDE w:val="0"/>
        <w:autoSpaceDN w:val="0"/>
        <w:adjustRightInd w:val="0"/>
        <w:spacing w:after="0"/>
        <w:rPr>
          <w:rFonts w:cs="Times New Roman"/>
          <w:b/>
          <w:bCs/>
          <w:color w:val="002060"/>
          <w:sz w:val="28"/>
          <w:szCs w:val="28"/>
        </w:rPr>
      </w:pPr>
    </w:p>
    <w:tbl>
      <w:tblPr>
        <w:tblW w:w="5000" w:type="pct"/>
        <w:tblCellMar>
          <w:left w:w="0" w:type="dxa"/>
          <w:right w:w="0" w:type="dxa"/>
        </w:tblCellMar>
        <w:tblLook w:val="04A0" w:firstRow="1" w:lastRow="0" w:firstColumn="1" w:lastColumn="0" w:noHBand="0" w:noVBand="1"/>
      </w:tblPr>
      <w:tblGrid>
        <w:gridCol w:w="8640"/>
        <w:gridCol w:w="1080"/>
        <w:gridCol w:w="1080"/>
      </w:tblGrid>
      <w:tr w:rsidR="008363D5" w:rsidRPr="00D80ACC" w14:paraId="7A6617D5" w14:textId="77777777" w:rsidTr="008363D5">
        <w:tc>
          <w:tcPr>
            <w:tcW w:w="4000" w:type="pct"/>
            <w:vAlign w:val="bottom"/>
          </w:tcPr>
          <w:p w14:paraId="3B32F50E" w14:textId="77777777" w:rsidR="008363D5" w:rsidRPr="00D80ACC" w:rsidRDefault="008363D5" w:rsidP="00685B62">
            <w:pPr>
              <w:keepNext/>
              <w:keepLines/>
              <w:widowControl w:val="0"/>
              <w:autoSpaceDE w:val="0"/>
              <w:autoSpaceDN w:val="0"/>
              <w:adjustRightInd w:val="0"/>
              <w:spacing w:after="0" w:line="240" w:lineRule="auto"/>
              <w:rPr>
                <w:rFonts w:cstheme="minorHAnsi"/>
              </w:rPr>
            </w:pPr>
          </w:p>
        </w:tc>
        <w:tc>
          <w:tcPr>
            <w:tcW w:w="500" w:type="pct"/>
            <w:vAlign w:val="bottom"/>
            <w:hideMark/>
          </w:tcPr>
          <w:p w14:paraId="2CEFDC06" w14:textId="77777777" w:rsidR="008363D5" w:rsidRPr="00D80ACC" w:rsidRDefault="008363D5" w:rsidP="00685B62">
            <w:pPr>
              <w:keepNext/>
              <w:keepLines/>
              <w:widowControl w:val="0"/>
              <w:autoSpaceDE w:val="0"/>
              <w:autoSpaceDN w:val="0"/>
              <w:adjustRightInd w:val="0"/>
              <w:spacing w:after="0" w:line="240" w:lineRule="auto"/>
              <w:jc w:val="right"/>
              <w:rPr>
                <w:rFonts w:cstheme="minorHAnsi"/>
              </w:rPr>
            </w:pPr>
            <w:r>
              <w:rPr>
                <w:rFonts w:cstheme="minorHAnsi"/>
                <w:b/>
                <w:bCs/>
              </w:rPr>
              <w:t>2020</w:t>
            </w:r>
          </w:p>
        </w:tc>
        <w:tc>
          <w:tcPr>
            <w:tcW w:w="500" w:type="pct"/>
            <w:vAlign w:val="bottom"/>
          </w:tcPr>
          <w:p w14:paraId="08D8A607" w14:textId="77777777" w:rsidR="008363D5" w:rsidRPr="008A1761" w:rsidRDefault="008363D5" w:rsidP="00685B62">
            <w:pPr>
              <w:keepNext/>
              <w:keepLines/>
              <w:widowControl w:val="0"/>
              <w:autoSpaceDE w:val="0"/>
              <w:autoSpaceDN w:val="0"/>
              <w:adjustRightInd w:val="0"/>
              <w:spacing w:after="0" w:line="240" w:lineRule="auto"/>
              <w:jc w:val="right"/>
              <w:rPr>
                <w:rFonts w:cstheme="minorHAnsi"/>
              </w:rPr>
            </w:pPr>
            <w:r w:rsidRPr="008A1761">
              <w:rPr>
                <w:rFonts w:cstheme="minorHAnsi"/>
              </w:rPr>
              <w:t>2019</w:t>
            </w:r>
          </w:p>
        </w:tc>
      </w:tr>
      <w:tr w:rsidR="008363D5" w:rsidRPr="00D80ACC" w14:paraId="2AFE6303" w14:textId="77777777" w:rsidTr="008363D5">
        <w:tc>
          <w:tcPr>
            <w:tcW w:w="4000" w:type="pct"/>
            <w:tcBorders>
              <w:top w:val="nil"/>
              <w:left w:val="nil"/>
              <w:bottom w:val="single" w:sz="4" w:space="0" w:color="000000" w:themeColor="text1"/>
              <w:right w:val="nil"/>
            </w:tcBorders>
            <w:vAlign w:val="bottom"/>
          </w:tcPr>
          <w:p w14:paraId="39AD368C" w14:textId="77777777" w:rsidR="008363D5" w:rsidRPr="00D80ACC" w:rsidRDefault="008363D5" w:rsidP="00685B62">
            <w:pPr>
              <w:widowControl w:val="0"/>
              <w:autoSpaceDE w:val="0"/>
              <w:autoSpaceDN w:val="0"/>
              <w:adjustRightInd w:val="0"/>
              <w:spacing w:after="0" w:line="240" w:lineRule="auto"/>
              <w:rPr>
                <w:rFonts w:cstheme="minorHAnsi"/>
              </w:rPr>
            </w:pPr>
          </w:p>
        </w:tc>
        <w:tc>
          <w:tcPr>
            <w:tcW w:w="500" w:type="pct"/>
            <w:tcBorders>
              <w:top w:val="nil"/>
              <w:left w:val="nil"/>
              <w:bottom w:val="single" w:sz="4" w:space="0" w:color="000000" w:themeColor="text1"/>
              <w:right w:val="nil"/>
            </w:tcBorders>
            <w:vAlign w:val="bottom"/>
            <w:hideMark/>
          </w:tcPr>
          <w:p w14:paraId="45126F8D"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£m</w:t>
            </w:r>
          </w:p>
        </w:tc>
        <w:tc>
          <w:tcPr>
            <w:tcW w:w="500" w:type="pct"/>
            <w:tcBorders>
              <w:top w:val="nil"/>
              <w:left w:val="nil"/>
              <w:bottom w:val="single" w:sz="4" w:space="0" w:color="000000" w:themeColor="text1"/>
              <w:right w:val="nil"/>
            </w:tcBorders>
            <w:vAlign w:val="bottom"/>
          </w:tcPr>
          <w:p w14:paraId="6F4E5421" w14:textId="77777777" w:rsidR="008363D5" w:rsidRPr="008A1761" w:rsidRDefault="008363D5" w:rsidP="00685B62">
            <w:pPr>
              <w:widowControl w:val="0"/>
              <w:autoSpaceDE w:val="0"/>
              <w:autoSpaceDN w:val="0"/>
              <w:adjustRightInd w:val="0"/>
              <w:spacing w:after="0" w:line="240" w:lineRule="auto"/>
              <w:jc w:val="right"/>
              <w:rPr>
                <w:rFonts w:cstheme="minorHAnsi"/>
              </w:rPr>
            </w:pPr>
            <w:r w:rsidRPr="008A1761">
              <w:rPr>
                <w:rFonts w:cstheme="minorHAnsi"/>
              </w:rPr>
              <w:t>£m</w:t>
            </w:r>
          </w:p>
        </w:tc>
      </w:tr>
      <w:tr w:rsidR="008363D5" w:rsidRPr="00D80ACC" w14:paraId="74BB352E" w14:textId="77777777" w:rsidTr="008363D5">
        <w:tc>
          <w:tcPr>
            <w:tcW w:w="4000" w:type="pct"/>
            <w:tcBorders>
              <w:top w:val="single" w:sz="4" w:space="0" w:color="000000" w:themeColor="text1"/>
              <w:left w:val="nil"/>
              <w:bottom w:val="single" w:sz="4" w:space="0" w:color="000000" w:themeColor="text1"/>
              <w:right w:val="nil"/>
            </w:tcBorders>
            <w:vAlign w:val="bottom"/>
            <w:hideMark/>
          </w:tcPr>
          <w:p w14:paraId="7C2928A7"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b/>
                <w:bCs/>
              </w:rPr>
              <w:t>Income tax (credited)</w:t>
            </w:r>
            <w:r>
              <w:rPr>
                <w:rFonts w:cstheme="minorHAnsi"/>
                <w:b/>
                <w:bCs/>
              </w:rPr>
              <w:t>/debited</w:t>
            </w:r>
            <w:r w:rsidRPr="00D80ACC">
              <w:rPr>
                <w:rFonts w:cstheme="minorHAnsi"/>
                <w:b/>
                <w:bCs/>
              </w:rPr>
              <w:t xml:space="preserve"> to other comprehensive income</w:t>
            </w:r>
          </w:p>
        </w:tc>
        <w:tc>
          <w:tcPr>
            <w:tcW w:w="500" w:type="pct"/>
            <w:tcBorders>
              <w:top w:val="single" w:sz="4" w:space="0" w:color="000000" w:themeColor="text1"/>
              <w:left w:val="nil"/>
              <w:bottom w:val="single" w:sz="4" w:space="0" w:color="000000" w:themeColor="text1"/>
              <w:right w:val="nil"/>
            </w:tcBorders>
            <w:vAlign w:val="bottom"/>
          </w:tcPr>
          <w:p w14:paraId="52098235"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(1.</w:t>
            </w:r>
            <w:r>
              <w:rPr>
                <w:rFonts w:cstheme="minorHAnsi"/>
                <w:b/>
                <w:bCs/>
              </w:rPr>
              <w:t>7</w:t>
            </w:r>
            <w:r w:rsidRPr="00D80ACC">
              <w:rPr>
                <w:rFonts w:cstheme="minorHAnsi"/>
                <w:b/>
                <w:bCs/>
              </w:rPr>
              <w:t>)</w:t>
            </w:r>
          </w:p>
        </w:tc>
        <w:tc>
          <w:tcPr>
            <w:tcW w:w="500" w:type="pct"/>
            <w:tcBorders>
              <w:top w:val="single" w:sz="4" w:space="0" w:color="000000" w:themeColor="text1"/>
              <w:left w:val="nil"/>
              <w:bottom w:val="single" w:sz="4" w:space="0" w:color="000000" w:themeColor="text1"/>
              <w:right w:val="nil"/>
            </w:tcBorders>
            <w:vAlign w:val="bottom"/>
          </w:tcPr>
          <w:p w14:paraId="51D508B0" w14:textId="77777777" w:rsidR="008363D5" w:rsidRPr="008A1761" w:rsidRDefault="008363D5" w:rsidP="00685B62">
            <w:pPr>
              <w:widowControl w:val="0"/>
              <w:autoSpaceDE w:val="0"/>
              <w:autoSpaceDN w:val="0"/>
              <w:adjustRightInd w:val="0"/>
              <w:spacing w:after="0" w:line="240" w:lineRule="auto"/>
              <w:jc w:val="right"/>
              <w:rPr>
                <w:rFonts w:cstheme="minorHAnsi"/>
              </w:rPr>
            </w:pPr>
            <w:r w:rsidRPr="008A1761">
              <w:rPr>
                <w:rFonts w:cstheme="minorHAnsi"/>
              </w:rPr>
              <w:t>(1.2)</w:t>
            </w:r>
          </w:p>
        </w:tc>
      </w:tr>
    </w:tbl>
    <w:p w14:paraId="1F1241A0" w14:textId="77777777" w:rsidR="008363D5" w:rsidRPr="0076016A" w:rsidRDefault="008363D5" w:rsidP="008363D5">
      <w:pPr>
        <w:widowControl w:val="0"/>
        <w:overflowPunct w:val="0"/>
        <w:autoSpaceDE w:val="0"/>
        <w:autoSpaceDN w:val="0"/>
        <w:adjustRightInd w:val="0"/>
        <w:spacing w:before="120" w:after="0" w:line="240" w:lineRule="auto"/>
        <w:rPr>
          <w:rFonts w:cstheme="minorHAnsi"/>
        </w:rPr>
      </w:pPr>
      <w:r w:rsidRPr="001A392D">
        <w:rPr>
          <w:rFonts w:ascii="Arial" w:hAnsi="Arial" w:cs="Arial"/>
          <w:sz w:val="20"/>
          <w:szCs w:val="20"/>
        </w:rPr>
        <w:t xml:space="preserve">The main rate of UK corporation tax will </w:t>
      </w:r>
      <w:r>
        <w:rPr>
          <w:rFonts w:ascii="Arial" w:hAnsi="Arial" w:cs="Arial"/>
          <w:sz w:val="20"/>
          <w:szCs w:val="20"/>
        </w:rPr>
        <w:t>remain at</w:t>
      </w:r>
      <w:r w:rsidRPr="001A392D">
        <w:rPr>
          <w:rFonts w:ascii="Arial" w:hAnsi="Arial" w:cs="Arial"/>
          <w:sz w:val="20"/>
          <w:szCs w:val="20"/>
        </w:rPr>
        <w:t xml:space="preserve"> 1</w:t>
      </w:r>
      <w:r>
        <w:rPr>
          <w:rFonts w:ascii="Arial" w:hAnsi="Arial" w:cs="Arial"/>
          <w:sz w:val="20"/>
          <w:szCs w:val="20"/>
        </w:rPr>
        <w:t>9</w:t>
      </w:r>
      <w:r w:rsidRPr="001A392D">
        <w:rPr>
          <w:rFonts w:ascii="Arial" w:hAnsi="Arial" w:cs="Arial"/>
          <w:sz w:val="20"/>
          <w:szCs w:val="20"/>
        </w:rPr>
        <w:t>% on 1 April 202</w:t>
      </w:r>
      <w:r>
        <w:rPr>
          <w:rFonts w:ascii="Arial" w:hAnsi="Arial" w:cs="Arial"/>
          <w:sz w:val="20"/>
          <w:szCs w:val="20"/>
        </w:rPr>
        <w:t xml:space="preserve">1. </w:t>
      </w:r>
      <w:r w:rsidRPr="0076016A">
        <w:rPr>
          <w:rFonts w:cstheme="minorHAnsi"/>
        </w:rPr>
        <w:t>The Government has recently announced that a main rate of corporation tax of 25% will be effective from 1 April 2023, and will be substantively enacted once the Finance Bill 2021 has received Royal Assent</w:t>
      </w:r>
      <w:r>
        <w:rPr>
          <w:rFonts w:cstheme="minorHAnsi"/>
        </w:rPr>
        <w:t>.</w:t>
      </w:r>
    </w:p>
    <w:p w14:paraId="50797DD6" w14:textId="1A6C5F35" w:rsidR="008363D5" w:rsidRDefault="008363D5" w:rsidP="00D75CA8">
      <w:pPr>
        <w:widowControl w:val="0"/>
        <w:autoSpaceDE w:val="0"/>
        <w:autoSpaceDN w:val="0"/>
        <w:adjustRightInd w:val="0"/>
        <w:spacing w:after="0"/>
        <w:rPr>
          <w:rFonts w:cs="Times New Roman"/>
          <w:b/>
          <w:bCs/>
          <w:color w:val="002060"/>
          <w:sz w:val="28"/>
          <w:szCs w:val="28"/>
        </w:rPr>
      </w:pPr>
    </w:p>
    <w:p w14:paraId="08B173D7" w14:textId="77777777" w:rsidR="008363D5" w:rsidRPr="0069297D" w:rsidRDefault="008363D5" w:rsidP="008363D5">
      <w:pPr>
        <w:rPr>
          <w:rFonts w:cstheme="minorHAnsi"/>
          <w:b/>
          <w:bCs/>
          <w:color w:val="003366"/>
          <w:sz w:val="24"/>
          <w:szCs w:val="24"/>
        </w:rPr>
      </w:pPr>
      <w:r w:rsidRPr="0069297D">
        <w:rPr>
          <w:rFonts w:cstheme="minorHAnsi"/>
          <w:b/>
          <w:bCs/>
          <w:color w:val="003366"/>
          <w:sz w:val="24"/>
          <w:szCs w:val="24"/>
        </w:rPr>
        <w:t xml:space="preserve">Note </w:t>
      </w:r>
      <w:r>
        <w:rPr>
          <w:rFonts w:cstheme="minorHAnsi"/>
          <w:b/>
          <w:bCs/>
          <w:color w:val="003366"/>
          <w:sz w:val="24"/>
          <w:szCs w:val="24"/>
        </w:rPr>
        <w:t>5</w:t>
      </w:r>
      <w:r w:rsidRPr="0069297D">
        <w:rPr>
          <w:rFonts w:cstheme="minorHAnsi"/>
          <w:b/>
          <w:bCs/>
          <w:color w:val="003366"/>
          <w:sz w:val="24"/>
          <w:szCs w:val="24"/>
        </w:rPr>
        <w:t xml:space="preserve"> – Earnings per share</w:t>
      </w:r>
    </w:p>
    <w:p w14:paraId="1AB5C385" w14:textId="77777777" w:rsidR="008363D5" w:rsidRPr="00D80ACC" w:rsidRDefault="008363D5" w:rsidP="008363D5">
      <w:pPr>
        <w:widowControl w:val="0"/>
        <w:autoSpaceDE w:val="0"/>
        <w:autoSpaceDN w:val="0"/>
        <w:adjustRightInd w:val="0"/>
        <w:spacing w:before="160" w:after="0" w:line="240" w:lineRule="auto"/>
        <w:rPr>
          <w:rFonts w:cstheme="minorHAnsi"/>
        </w:rPr>
      </w:pPr>
      <w:r w:rsidRPr="00D80ACC">
        <w:rPr>
          <w:rFonts w:cstheme="minorHAnsi"/>
          <w:b/>
          <w:bCs/>
        </w:rPr>
        <w:t>(i) Basic earnings per share</w:t>
      </w:r>
    </w:p>
    <w:p w14:paraId="4A1A7293" w14:textId="77777777" w:rsidR="008363D5" w:rsidRPr="00D80ACC" w:rsidRDefault="008363D5" w:rsidP="008363D5">
      <w:pPr>
        <w:widowControl w:val="0"/>
        <w:overflowPunct w:val="0"/>
        <w:autoSpaceDE w:val="0"/>
        <w:autoSpaceDN w:val="0"/>
        <w:adjustRightInd w:val="0"/>
        <w:spacing w:before="160" w:line="240" w:lineRule="auto"/>
        <w:rPr>
          <w:rFonts w:cstheme="minorHAnsi"/>
        </w:rPr>
      </w:pPr>
      <w:r w:rsidRPr="00D80ACC">
        <w:rPr>
          <w:rFonts w:cstheme="minorHAnsi"/>
        </w:rPr>
        <w:t>Basic earnings per share is calculated by dividing the profit attributable to owners of the Company by the weighted average number of Ordinary shares in issue during the year.</w:t>
      </w:r>
    </w:p>
    <w:tbl>
      <w:tblPr>
        <w:tblW w:w="5000" w:type="pct"/>
        <w:tblCellMar>
          <w:left w:w="0" w:type="dxa"/>
          <w:right w:w="0" w:type="dxa"/>
        </w:tblCellMar>
        <w:tblLook w:val="04A0" w:firstRow="1" w:lastRow="0" w:firstColumn="1" w:lastColumn="0" w:noHBand="0" w:noVBand="1"/>
      </w:tblPr>
      <w:tblGrid>
        <w:gridCol w:w="8640"/>
        <w:gridCol w:w="1080"/>
        <w:gridCol w:w="1080"/>
      </w:tblGrid>
      <w:tr w:rsidR="008363D5" w:rsidRPr="00D80ACC" w14:paraId="4F2A7873" w14:textId="77777777" w:rsidTr="00685B62">
        <w:tc>
          <w:tcPr>
            <w:tcW w:w="3999" w:type="pct"/>
            <w:vAlign w:val="bottom"/>
          </w:tcPr>
          <w:p w14:paraId="670661BD" w14:textId="77777777" w:rsidR="008363D5" w:rsidRPr="00D80ACC" w:rsidRDefault="008363D5" w:rsidP="00685B62">
            <w:pPr>
              <w:widowControl w:val="0"/>
              <w:autoSpaceDE w:val="0"/>
              <w:autoSpaceDN w:val="0"/>
              <w:adjustRightInd w:val="0"/>
              <w:spacing w:after="0" w:line="240" w:lineRule="auto"/>
              <w:rPr>
                <w:rFonts w:cstheme="minorHAnsi"/>
              </w:rPr>
            </w:pPr>
          </w:p>
        </w:tc>
        <w:tc>
          <w:tcPr>
            <w:tcW w:w="500" w:type="pct"/>
            <w:vAlign w:val="bottom"/>
            <w:hideMark/>
          </w:tcPr>
          <w:p w14:paraId="7AE08A64"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20</w:t>
            </w:r>
            <w:r>
              <w:rPr>
                <w:rFonts w:cstheme="minorHAnsi"/>
                <w:b/>
                <w:bCs/>
              </w:rPr>
              <w:t>20</w:t>
            </w:r>
          </w:p>
        </w:tc>
        <w:tc>
          <w:tcPr>
            <w:tcW w:w="500" w:type="pct"/>
            <w:vAlign w:val="bottom"/>
          </w:tcPr>
          <w:p w14:paraId="132A0C67" w14:textId="77777777" w:rsidR="008363D5" w:rsidRPr="0076016A" w:rsidRDefault="008363D5" w:rsidP="00685B62">
            <w:pPr>
              <w:widowControl w:val="0"/>
              <w:autoSpaceDE w:val="0"/>
              <w:autoSpaceDN w:val="0"/>
              <w:adjustRightInd w:val="0"/>
              <w:spacing w:after="0" w:line="240" w:lineRule="auto"/>
              <w:jc w:val="right"/>
              <w:rPr>
                <w:rFonts w:cstheme="minorHAnsi"/>
              </w:rPr>
            </w:pPr>
            <w:r w:rsidRPr="0076016A">
              <w:rPr>
                <w:rFonts w:cstheme="minorHAnsi"/>
              </w:rPr>
              <w:t>2019</w:t>
            </w:r>
          </w:p>
        </w:tc>
      </w:tr>
      <w:tr w:rsidR="008363D5" w:rsidRPr="00D80ACC" w14:paraId="682BB112" w14:textId="77777777" w:rsidTr="00685B62">
        <w:tc>
          <w:tcPr>
            <w:tcW w:w="3999" w:type="pct"/>
            <w:tcBorders>
              <w:top w:val="nil"/>
              <w:left w:val="nil"/>
              <w:bottom w:val="single" w:sz="4" w:space="0" w:color="000000" w:themeColor="text1"/>
              <w:right w:val="nil"/>
            </w:tcBorders>
            <w:vAlign w:val="bottom"/>
          </w:tcPr>
          <w:p w14:paraId="2B5BB3FD" w14:textId="77777777" w:rsidR="008363D5" w:rsidRPr="00D80ACC" w:rsidRDefault="008363D5" w:rsidP="00685B62">
            <w:pPr>
              <w:widowControl w:val="0"/>
              <w:autoSpaceDE w:val="0"/>
              <w:autoSpaceDN w:val="0"/>
              <w:adjustRightInd w:val="0"/>
              <w:spacing w:after="0" w:line="240" w:lineRule="auto"/>
              <w:rPr>
                <w:rFonts w:cstheme="minorHAnsi"/>
              </w:rPr>
            </w:pPr>
          </w:p>
        </w:tc>
        <w:tc>
          <w:tcPr>
            <w:tcW w:w="500" w:type="pct"/>
            <w:tcBorders>
              <w:top w:val="nil"/>
              <w:left w:val="nil"/>
              <w:bottom w:val="single" w:sz="4" w:space="0" w:color="000000" w:themeColor="text1"/>
              <w:right w:val="nil"/>
            </w:tcBorders>
            <w:vAlign w:val="bottom"/>
            <w:hideMark/>
          </w:tcPr>
          <w:p w14:paraId="7814AD13"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£m</w:t>
            </w:r>
          </w:p>
        </w:tc>
        <w:tc>
          <w:tcPr>
            <w:tcW w:w="500" w:type="pct"/>
            <w:tcBorders>
              <w:top w:val="nil"/>
              <w:left w:val="nil"/>
              <w:bottom w:val="single" w:sz="4" w:space="0" w:color="000000" w:themeColor="text1"/>
              <w:right w:val="nil"/>
            </w:tcBorders>
            <w:vAlign w:val="bottom"/>
          </w:tcPr>
          <w:p w14:paraId="4C40ACA2" w14:textId="77777777" w:rsidR="008363D5" w:rsidRPr="0076016A" w:rsidRDefault="008363D5" w:rsidP="00685B62">
            <w:pPr>
              <w:widowControl w:val="0"/>
              <w:autoSpaceDE w:val="0"/>
              <w:autoSpaceDN w:val="0"/>
              <w:adjustRightInd w:val="0"/>
              <w:spacing w:after="0" w:line="240" w:lineRule="auto"/>
              <w:jc w:val="right"/>
              <w:rPr>
                <w:rFonts w:cstheme="minorHAnsi"/>
              </w:rPr>
            </w:pPr>
            <w:r w:rsidRPr="0076016A">
              <w:rPr>
                <w:rFonts w:cstheme="minorHAnsi"/>
              </w:rPr>
              <w:t>£m</w:t>
            </w:r>
          </w:p>
        </w:tc>
      </w:tr>
      <w:tr w:rsidR="008363D5" w:rsidRPr="00D80ACC" w14:paraId="49822670" w14:textId="77777777" w:rsidTr="00685B62">
        <w:tc>
          <w:tcPr>
            <w:tcW w:w="3999" w:type="pct"/>
            <w:tcBorders>
              <w:top w:val="single" w:sz="4" w:space="0" w:color="000000" w:themeColor="text1"/>
              <w:left w:val="nil"/>
              <w:bottom w:val="nil"/>
              <w:right w:val="nil"/>
            </w:tcBorders>
            <w:vAlign w:val="bottom"/>
            <w:hideMark/>
          </w:tcPr>
          <w:p w14:paraId="6F34E0CB"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Earnings:</w:t>
            </w:r>
          </w:p>
        </w:tc>
        <w:tc>
          <w:tcPr>
            <w:tcW w:w="500" w:type="pct"/>
            <w:tcBorders>
              <w:top w:val="single" w:sz="4" w:space="0" w:color="000000" w:themeColor="text1"/>
              <w:left w:val="nil"/>
              <w:bottom w:val="nil"/>
              <w:right w:val="nil"/>
            </w:tcBorders>
            <w:vAlign w:val="bottom"/>
          </w:tcPr>
          <w:p w14:paraId="5AA0C31B" w14:textId="77777777" w:rsidR="008363D5" w:rsidRPr="00D80ACC" w:rsidRDefault="008363D5" w:rsidP="00685B62">
            <w:pPr>
              <w:widowControl w:val="0"/>
              <w:autoSpaceDE w:val="0"/>
              <w:autoSpaceDN w:val="0"/>
              <w:adjustRightInd w:val="0"/>
              <w:spacing w:after="0" w:line="240" w:lineRule="auto"/>
              <w:jc w:val="right"/>
              <w:rPr>
                <w:rFonts w:cstheme="minorHAnsi"/>
              </w:rPr>
            </w:pPr>
          </w:p>
        </w:tc>
        <w:tc>
          <w:tcPr>
            <w:tcW w:w="500" w:type="pct"/>
            <w:tcBorders>
              <w:top w:val="single" w:sz="4" w:space="0" w:color="000000" w:themeColor="text1"/>
              <w:left w:val="nil"/>
              <w:bottom w:val="nil"/>
              <w:right w:val="nil"/>
            </w:tcBorders>
            <w:vAlign w:val="bottom"/>
          </w:tcPr>
          <w:p w14:paraId="6469CA48" w14:textId="77777777" w:rsidR="008363D5" w:rsidRPr="0076016A" w:rsidRDefault="008363D5" w:rsidP="00685B62">
            <w:pPr>
              <w:widowControl w:val="0"/>
              <w:autoSpaceDE w:val="0"/>
              <w:autoSpaceDN w:val="0"/>
              <w:adjustRightInd w:val="0"/>
              <w:spacing w:after="0" w:line="240" w:lineRule="auto"/>
              <w:jc w:val="right"/>
              <w:rPr>
                <w:rFonts w:cstheme="minorHAnsi"/>
              </w:rPr>
            </w:pPr>
          </w:p>
        </w:tc>
      </w:tr>
      <w:tr w:rsidR="008363D5" w:rsidRPr="00D80ACC" w14:paraId="515113A8" w14:textId="77777777" w:rsidTr="00685B62">
        <w:tc>
          <w:tcPr>
            <w:tcW w:w="3999" w:type="pct"/>
            <w:tcBorders>
              <w:top w:val="nil"/>
              <w:left w:val="nil"/>
              <w:bottom w:val="single" w:sz="12" w:space="0" w:color="000000" w:themeColor="text1"/>
              <w:right w:val="nil"/>
            </w:tcBorders>
            <w:vAlign w:val="bottom"/>
            <w:hideMark/>
          </w:tcPr>
          <w:p w14:paraId="21098150"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Profit attributable to owners of the Company</w:t>
            </w:r>
          </w:p>
        </w:tc>
        <w:tc>
          <w:tcPr>
            <w:tcW w:w="500" w:type="pct"/>
            <w:tcBorders>
              <w:top w:val="nil"/>
              <w:left w:val="nil"/>
              <w:bottom w:val="single" w:sz="12" w:space="0" w:color="000000" w:themeColor="text1"/>
              <w:right w:val="nil"/>
            </w:tcBorders>
            <w:vAlign w:val="bottom"/>
            <w:hideMark/>
          </w:tcPr>
          <w:p w14:paraId="04B29FC0" w14:textId="77777777" w:rsidR="008363D5" w:rsidRPr="00D80ACC" w:rsidRDefault="008363D5" w:rsidP="00685B62">
            <w:pPr>
              <w:widowControl w:val="0"/>
              <w:autoSpaceDE w:val="0"/>
              <w:autoSpaceDN w:val="0"/>
              <w:adjustRightInd w:val="0"/>
              <w:spacing w:after="0" w:line="240" w:lineRule="auto"/>
              <w:jc w:val="right"/>
              <w:rPr>
                <w:rFonts w:cstheme="minorHAnsi"/>
              </w:rPr>
            </w:pPr>
            <w:r>
              <w:rPr>
                <w:rFonts w:cstheme="minorHAnsi"/>
                <w:b/>
                <w:bCs/>
              </w:rPr>
              <w:t>1.2</w:t>
            </w:r>
          </w:p>
        </w:tc>
        <w:tc>
          <w:tcPr>
            <w:tcW w:w="500" w:type="pct"/>
            <w:tcBorders>
              <w:top w:val="nil"/>
              <w:left w:val="nil"/>
              <w:bottom w:val="single" w:sz="12" w:space="0" w:color="000000" w:themeColor="text1"/>
              <w:right w:val="nil"/>
            </w:tcBorders>
            <w:vAlign w:val="bottom"/>
          </w:tcPr>
          <w:p w14:paraId="53A73961" w14:textId="77777777" w:rsidR="008363D5" w:rsidRPr="0076016A" w:rsidRDefault="008363D5" w:rsidP="00685B62">
            <w:pPr>
              <w:widowControl w:val="0"/>
              <w:autoSpaceDE w:val="0"/>
              <w:autoSpaceDN w:val="0"/>
              <w:adjustRightInd w:val="0"/>
              <w:spacing w:after="0" w:line="240" w:lineRule="auto"/>
              <w:jc w:val="right"/>
              <w:rPr>
                <w:rFonts w:cstheme="minorHAnsi"/>
              </w:rPr>
            </w:pPr>
            <w:r w:rsidRPr="0076016A">
              <w:rPr>
                <w:rFonts w:cstheme="minorHAnsi"/>
              </w:rPr>
              <w:t>7.8</w:t>
            </w:r>
          </w:p>
        </w:tc>
      </w:tr>
      <w:tr w:rsidR="008363D5" w:rsidRPr="00D80ACC" w14:paraId="09A76055" w14:textId="77777777" w:rsidTr="00685B62">
        <w:tc>
          <w:tcPr>
            <w:tcW w:w="3999" w:type="pct"/>
            <w:tcBorders>
              <w:top w:val="single" w:sz="12" w:space="0" w:color="000000" w:themeColor="text1"/>
              <w:left w:val="nil"/>
              <w:bottom w:val="single" w:sz="12" w:space="0" w:color="000000" w:themeColor="text1"/>
              <w:right w:val="nil"/>
            </w:tcBorders>
            <w:vAlign w:val="bottom"/>
            <w:hideMark/>
          </w:tcPr>
          <w:p w14:paraId="2E6BF092"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Weighted average number of Ordinary shares in issue (000s)</w:t>
            </w:r>
          </w:p>
        </w:tc>
        <w:tc>
          <w:tcPr>
            <w:tcW w:w="500" w:type="pct"/>
            <w:tcBorders>
              <w:top w:val="single" w:sz="12" w:space="0" w:color="000000" w:themeColor="text1"/>
              <w:left w:val="nil"/>
              <w:bottom w:val="single" w:sz="12" w:space="0" w:color="000000" w:themeColor="text1"/>
              <w:right w:val="nil"/>
            </w:tcBorders>
            <w:vAlign w:val="bottom"/>
            <w:hideMark/>
          </w:tcPr>
          <w:p w14:paraId="7DF8D106"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42,</w:t>
            </w:r>
            <w:r>
              <w:rPr>
                <w:rFonts w:cstheme="minorHAnsi"/>
                <w:b/>
                <w:bCs/>
              </w:rPr>
              <w:t>295</w:t>
            </w:r>
          </w:p>
        </w:tc>
        <w:tc>
          <w:tcPr>
            <w:tcW w:w="500" w:type="pct"/>
            <w:tcBorders>
              <w:top w:val="single" w:sz="12" w:space="0" w:color="000000" w:themeColor="text1"/>
              <w:left w:val="nil"/>
              <w:bottom w:val="single" w:sz="12" w:space="0" w:color="000000" w:themeColor="text1"/>
              <w:right w:val="nil"/>
            </w:tcBorders>
            <w:vAlign w:val="bottom"/>
          </w:tcPr>
          <w:p w14:paraId="4D77D807" w14:textId="77777777" w:rsidR="008363D5" w:rsidRPr="0076016A" w:rsidRDefault="008363D5" w:rsidP="00685B62">
            <w:pPr>
              <w:widowControl w:val="0"/>
              <w:autoSpaceDE w:val="0"/>
              <w:autoSpaceDN w:val="0"/>
              <w:adjustRightInd w:val="0"/>
              <w:spacing w:after="0" w:line="240" w:lineRule="auto"/>
              <w:jc w:val="right"/>
              <w:rPr>
                <w:rFonts w:cstheme="minorHAnsi"/>
              </w:rPr>
            </w:pPr>
            <w:r w:rsidRPr="0076016A">
              <w:rPr>
                <w:rFonts w:cstheme="minorHAnsi"/>
              </w:rPr>
              <w:t>42,145</w:t>
            </w:r>
          </w:p>
        </w:tc>
      </w:tr>
      <w:tr w:rsidR="008363D5" w:rsidRPr="00D80ACC" w14:paraId="328A8A2C" w14:textId="77777777" w:rsidTr="00685B62">
        <w:tc>
          <w:tcPr>
            <w:tcW w:w="3999" w:type="pct"/>
            <w:tcBorders>
              <w:top w:val="single" w:sz="12" w:space="0" w:color="000000" w:themeColor="text1"/>
              <w:left w:val="nil"/>
              <w:bottom w:val="single" w:sz="12" w:space="0" w:color="000000" w:themeColor="text1"/>
              <w:right w:val="nil"/>
            </w:tcBorders>
            <w:vAlign w:val="bottom"/>
            <w:hideMark/>
          </w:tcPr>
          <w:p w14:paraId="752763E8"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Basic earnings per share</w:t>
            </w:r>
          </w:p>
        </w:tc>
        <w:tc>
          <w:tcPr>
            <w:tcW w:w="500" w:type="pct"/>
            <w:tcBorders>
              <w:top w:val="single" w:sz="12" w:space="0" w:color="000000" w:themeColor="text1"/>
              <w:left w:val="nil"/>
              <w:bottom w:val="single" w:sz="12" w:space="0" w:color="000000" w:themeColor="text1"/>
              <w:right w:val="nil"/>
            </w:tcBorders>
            <w:vAlign w:val="bottom"/>
            <w:hideMark/>
          </w:tcPr>
          <w:p w14:paraId="0330C2FB" w14:textId="77777777" w:rsidR="008363D5" w:rsidRPr="00D80ACC" w:rsidRDefault="008363D5" w:rsidP="00685B62">
            <w:pPr>
              <w:widowControl w:val="0"/>
              <w:autoSpaceDE w:val="0"/>
              <w:autoSpaceDN w:val="0"/>
              <w:adjustRightInd w:val="0"/>
              <w:spacing w:after="0" w:line="240" w:lineRule="auto"/>
              <w:jc w:val="right"/>
              <w:rPr>
                <w:rFonts w:cstheme="minorHAnsi"/>
              </w:rPr>
            </w:pPr>
            <w:r>
              <w:rPr>
                <w:rFonts w:cstheme="minorHAnsi"/>
                <w:b/>
                <w:bCs/>
              </w:rPr>
              <w:t>2.8</w:t>
            </w:r>
            <w:r w:rsidRPr="00D80ACC">
              <w:rPr>
                <w:rFonts w:cstheme="minorHAnsi"/>
                <w:b/>
                <w:bCs/>
              </w:rPr>
              <w:t>7p</w:t>
            </w:r>
          </w:p>
        </w:tc>
        <w:tc>
          <w:tcPr>
            <w:tcW w:w="500" w:type="pct"/>
            <w:tcBorders>
              <w:top w:val="single" w:sz="12" w:space="0" w:color="000000" w:themeColor="text1"/>
              <w:left w:val="nil"/>
              <w:bottom w:val="single" w:sz="12" w:space="0" w:color="000000" w:themeColor="text1"/>
              <w:right w:val="nil"/>
            </w:tcBorders>
            <w:vAlign w:val="bottom"/>
          </w:tcPr>
          <w:p w14:paraId="00B4C8DE" w14:textId="77777777" w:rsidR="008363D5" w:rsidRPr="0076016A" w:rsidRDefault="008363D5" w:rsidP="00685B62">
            <w:pPr>
              <w:widowControl w:val="0"/>
              <w:autoSpaceDE w:val="0"/>
              <w:autoSpaceDN w:val="0"/>
              <w:adjustRightInd w:val="0"/>
              <w:spacing w:after="0" w:line="240" w:lineRule="auto"/>
              <w:jc w:val="right"/>
              <w:rPr>
                <w:rFonts w:cstheme="minorHAnsi"/>
              </w:rPr>
            </w:pPr>
            <w:r w:rsidRPr="0076016A">
              <w:rPr>
                <w:rFonts w:cstheme="minorHAnsi"/>
              </w:rPr>
              <w:t>18.37p</w:t>
            </w:r>
          </w:p>
        </w:tc>
      </w:tr>
    </w:tbl>
    <w:p w14:paraId="4A8D440D" w14:textId="77777777" w:rsidR="008363D5" w:rsidRDefault="008363D5" w:rsidP="00D75CA8">
      <w:pPr>
        <w:widowControl w:val="0"/>
        <w:autoSpaceDE w:val="0"/>
        <w:autoSpaceDN w:val="0"/>
        <w:adjustRightInd w:val="0"/>
        <w:spacing w:after="0"/>
        <w:rPr>
          <w:rFonts w:cs="Times New Roman"/>
          <w:b/>
          <w:bCs/>
          <w:color w:val="002060"/>
          <w:sz w:val="28"/>
          <w:szCs w:val="28"/>
        </w:rPr>
      </w:pPr>
    </w:p>
    <w:p w14:paraId="39E67FA3" w14:textId="77777777" w:rsidR="008363D5" w:rsidRPr="00D80ACC" w:rsidRDefault="008363D5" w:rsidP="008363D5">
      <w:pPr>
        <w:widowControl w:val="0"/>
        <w:autoSpaceDE w:val="0"/>
        <w:autoSpaceDN w:val="0"/>
        <w:adjustRightInd w:val="0"/>
        <w:spacing w:before="160" w:after="0" w:line="240" w:lineRule="auto"/>
        <w:rPr>
          <w:rFonts w:cstheme="minorHAnsi"/>
          <w:lang w:val="en-US"/>
        </w:rPr>
      </w:pPr>
      <w:r w:rsidRPr="00D80ACC">
        <w:rPr>
          <w:rFonts w:cstheme="minorHAnsi"/>
          <w:b/>
          <w:bCs/>
        </w:rPr>
        <w:lastRenderedPageBreak/>
        <w:t>(ii) Diluted earnings per share</w:t>
      </w:r>
    </w:p>
    <w:p w14:paraId="5ABB54C6" w14:textId="77777777" w:rsidR="008363D5" w:rsidRPr="00D80ACC" w:rsidRDefault="008363D5" w:rsidP="008363D5">
      <w:pPr>
        <w:widowControl w:val="0"/>
        <w:overflowPunct w:val="0"/>
        <w:autoSpaceDE w:val="0"/>
        <w:autoSpaceDN w:val="0"/>
        <w:adjustRightInd w:val="0"/>
        <w:spacing w:before="160" w:after="0" w:line="240" w:lineRule="auto"/>
        <w:rPr>
          <w:rFonts w:cstheme="minorHAnsi"/>
        </w:rPr>
      </w:pPr>
      <w:r w:rsidRPr="00D80ACC">
        <w:rPr>
          <w:rFonts w:cstheme="minorHAnsi"/>
        </w:rPr>
        <w:t xml:space="preserve">Diluted earnings per share is calculated by adjusting the weighted average number of Ordinary shares outstanding to assume conversion of all dilutive potential Ordinary shares. The Company has three categories of dilutive potential Ordinary shares: share options granted under the Savings Related Share Option Scheme and conditional share awards and options granted under the Equity Incentive Plan. </w:t>
      </w:r>
    </w:p>
    <w:p w14:paraId="5FB0117C" w14:textId="77777777" w:rsidR="008363D5" w:rsidRPr="00D80ACC" w:rsidRDefault="008363D5" w:rsidP="008363D5">
      <w:pPr>
        <w:widowControl w:val="0"/>
        <w:overflowPunct w:val="0"/>
        <w:autoSpaceDE w:val="0"/>
        <w:autoSpaceDN w:val="0"/>
        <w:adjustRightInd w:val="0"/>
        <w:spacing w:before="160" w:line="240" w:lineRule="auto"/>
        <w:rPr>
          <w:rFonts w:cstheme="minorHAnsi"/>
        </w:rPr>
      </w:pPr>
      <w:r w:rsidRPr="00D80ACC">
        <w:rPr>
          <w:rFonts w:cstheme="minorHAnsi"/>
        </w:rPr>
        <w:t>For the share options, a calculation is made to determine the number of shares that could have been acquired at fair value (determined as the average annual market share price of the Company’s shares) based on the monetary value of the subscription rights attached to outstanding share options. The number of shares calculated as above is compared with the number of shares that would have been issued assuming the exercise of the share options.</w:t>
      </w:r>
    </w:p>
    <w:tbl>
      <w:tblPr>
        <w:tblW w:w="5000" w:type="pct"/>
        <w:tblCellMar>
          <w:left w:w="0" w:type="dxa"/>
          <w:right w:w="0" w:type="dxa"/>
        </w:tblCellMar>
        <w:tblLook w:val="04A0" w:firstRow="1" w:lastRow="0" w:firstColumn="1" w:lastColumn="0" w:noHBand="0" w:noVBand="1"/>
      </w:tblPr>
      <w:tblGrid>
        <w:gridCol w:w="8640"/>
        <w:gridCol w:w="1080"/>
        <w:gridCol w:w="1080"/>
      </w:tblGrid>
      <w:tr w:rsidR="008363D5" w:rsidRPr="00D80ACC" w14:paraId="671FBAF5" w14:textId="77777777" w:rsidTr="00685B62">
        <w:tc>
          <w:tcPr>
            <w:tcW w:w="3999" w:type="pct"/>
            <w:vAlign w:val="bottom"/>
          </w:tcPr>
          <w:p w14:paraId="10D76169" w14:textId="77777777" w:rsidR="008363D5" w:rsidRPr="00D80ACC" w:rsidRDefault="008363D5" w:rsidP="00685B62">
            <w:pPr>
              <w:widowControl w:val="0"/>
              <w:autoSpaceDE w:val="0"/>
              <w:autoSpaceDN w:val="0"/>
              <w:adjustRightInd w:val="0"/>
              <w:spacing w:after="0" w:line="240" w:lineRule="auto"/>
              <w:rPr>
                <w:rFonts w:cstheme="minorHAnsi"/>
              </w:rPr>
            </w:pPr>
          </w:p>
        </w:tc>
        <w:tc>
          <w:tcPr>
            <w:tcW w:w="500" w:type="pct"/>
            <w:vAlign w:val="bottom"/>
            <w:hideMark/>
          </w:tcPr>
          <w:p w14:paraId="31C0C51F"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20</w:t>
            </w:r>
            <w:r>
              <w:rPr>
                <w:rFonts w:cstheme="minorHAnsi"/>
                <w:b/>
                <w:bCs/>
              </w:rPr>
              <w:t>20</w:t>
            </w:r>
          </w:p>
        </w:tc>
        <w:tc>
          <w:tcPr>
            <w:tcW w:w="500" w:type="pct"/>
            <w:vAlign w:val="bottom"/>
          </w:tcPr>
          <w:p w14:paraId="4B571725" w14:textId="77777777" w:rsidR="008363D5" w:rsidRPr="0076016A" w:rsidRDefault="008363D5" w:rsidP="00685B62">
            <w:pPr>
              <w:widowControl w:val="0"/>
              <w:autoSpaceDE w:val="0"/>
              <w:autoSpaceDN w:val="0"/>
              <w:adjustRightInd w:val="0"/>
              <w:spacing w:after="0" w:line="240" w:lineRule="auto"/>
              <w:jc w:val="right"/>
              <w:rPr>
                <w:rFonts w:cstheme="minorHAnsi"/>
              </w:rPr>
            </w:pPr>
            <w:r w:rsidRPr="0076016A">
              <w:rPr>
                <w:rFonts w:cstheme="minorHAnsi"/>
              </w:rPr>
              <w:t>2019</w:t>
            </w:r>
          </w:p>
        </w:tc>
      </w:tr>
      <w:tr w:rsidR="008363D5" w:rsidRPr="00D80ACC" w14:paraId="2E018648" w14:textId="77777777" w:rsidTr="00685B62">
        <w:tc>
          <w:tcPr>
            <w:tcW w:w="3999" w:type="pct"/>
            <w:tcBorders>
              <w:top w:val="nil"/>
              <w:left w:val="nil"/>
              <w:bottom w:val="single" w:sz="4" w:space="0" w:color="000000" w:themeColor="text1"/>
              <w:right w:val="nil"/>
            </w:tcBorders>
            <w:vAlign w:val="bottom"/>
          </w:tcPr>
          <w:p w14:paraId="47544503" w14:textId="77777777" w:rsidR="008363D5" w:rsidRPr="00D80ACC" w:rsidRDefault="008363D5" w:rsidP="00685B62">
            <w:pPr>
              <w:widowControl w:val="0"/>
              <w:autoSpaceDE w:val="0"/>
              <w:autoSpaceDN w:val="0"/>
              <w:adjustRightInd w:val="0"/>
              <w:spacing w:after="0" w:line="240" w:lineRule="auto"/>
              <w:rPr>
                <w:rFonts w:cstheme="minorHAnsi"/>
              </w:rPr>
            </w:pPr>
          </w:p>
        </w:tc>
        <w:tc>
          <w:tcPr>
            <w:tcW w:w="500" w:type="pct"/>
            <w:tcBorders>
              <w:top w:val="nil"/>
              <w:left w:val="nil"/>
              <w:bottom w:val="single" w:sz="4" w:space="0" w:color="000000" w:themeColor="text1"/>
              <w:right w:val="nil"/>
            </w:tcBorders>
            <w:vAlign w:val="bottom"/>
            <w:hideMark/>
          </w:tcPr>
          <w:p w14:paraId="06E84F2C"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£m</w:t>
            </w:r>
          </w:p>
        </w:tc>
        <w:tc>
          <w:tcPr>
            <w:tcW w:w="500" w:type="pct"/>
            <w:tcBorders>
              <w:top w:val="nil"/>
              <w:left w:val="nil"/>
              <w:bottom w:val="single" w:sz="4" w:space="0" w:color="000000" w:themeColor="text1"/>
              <w:right w:val="nil"/>
            </w:tcBorders>
            <w:vAlign w:val="bottom"/>
          </w:tcPr>
          <w:p w14:paraId="1931FE9D" w14:textId="77777777" w:rsidR="008363D5" w:rsidRPr="0076016A" w:rsidRDefault="008363D5" w:rsidP="00685B62">
            <w:pPr>
              <w:widowControl w:val="0"/>
              <w:autoSpaceDE w:val="0"/>
              <w:autoSpaceDN w:val="0"/>
              <w:adjustRightInd w:val="0"/>
              <w:spacing w:after="0" w:line="240" w:lineRule="auto"/>
              <w:jc w:val="right"/>
              <w:rPr>
                <w:rFonts w:cstheme="minorHAnsi"/>
              </w:rPr>
            </w:pPr>
            <w:r w:rsidRPr="0076016A">
              <w:rPr>
                <w:rFonts w:cstheme="minorHAnsi"/>
              </w:rPr>
              <w:t>£m</w:t>
            </w:r>
          </w:p>
        </w:tc>
      </w:tr>
      <w:tr w:rsidR="008363D5" w:rsidRPr="00D80ACC" w14:paraId="6283B60F" w14:textId="77777777" w:rsidTr="00685B62">
        <w:tc>
          <w:tcPr>
            <w:tcW w:w="3999" w:type="pct"/>
            <w:tcBorders>
              <w:top w:val="single" w:sz="4" w:space="0" w:color="000000" w:themeColor="text1"/>
              <w:left w:val="nil"/>
              <w:bottom w:val="nil"/>
              <w:right w:val="nil"/>
            </w:tcBorders>
            <w:vAlign w:val="bottom"/>
            <w:hideMark/>
          </w:tcPr>
          <w:p w14:paraId="0B89494F"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Earnings:</w:t>
            </w:r>
          </w:p>
        </w:tc>
        <w:tc>
          <w:tcPr>
            <w:tcW w:w="500" w:type="pct"/>
            <w:tcBorders>
              <w:top w:val="single" w:sz="4" w:space="0" w:color="000000" w:themeColor="text1"/>
              <w:left w:val="nil"/>
              <w:bottom w:val="nil"/>
              <w:right w:val="nil"/>
            </w:tcBorders>
            <w:vAlign w:val="bottom"/>
          </w:tcPr>
          <w:p w14:paraId="2CCE0450" w14:textId="77777777" w:rsidR="008363D5" w:rsidRPr="0076016A" w:rsidRDefault="008363D5" w:rsidP="00685B62">
            <w:pPr>
              <w:widowControl w:val="0"/>
              <w:autoSpaceDE w:val="0"/>
              <w:autoSpaceDN w:val="0"/>
              <w:adjustRightInd w:val="0"/>
              <w:spacing w:after="0" w:line="240" w:lineRule="auto"/>
              <w:jc w:val="right"/>
              <w:rPr>
                <w:rFonts w:cstheme="minorHAnsi"/>
                <w:b/>
                <w:bCs/>
              </w:rPr>
            </w:pPr>
          </w:p>
        </w:tc>
        <w:tc>
          <w:tcPr>
            <w:tcW w:w="500" w:type="pct"/>
            <w:tcBorders>
              <w:top w:val="single" w:sz="4" w:space="0" w:color="000000" w:themeColor="text1"/>
              <w:left w:val="nil"/>
              <w:bottom w:val="nil"/>
              <w:right w:val="nil"/>
            </w:tcBorders>
            <w:vAlign w:val="bottom"/>
          </w:tcPr>
          <w:p w14:paraId="768835C5" w14:textId="77777777" w:rsidR="008363D5" w:rsidRPr="0076016A" w:rsidRDefault="008363D5" w:rsidP="00685B62">
            <w:pPr>
              <w:widowControl w:val="0"/>
              <w:autoSpaceDE w:val="0"/>
              <w:autoSpaceDN w:val="0"/>
              <w:adjustRightInd w:val="0"/>
              <w:spacing w:after="0" w:line="240" w:lineRule="auto"/>
              <w:jc w:val="right"/>
              <w:rPr>
                <w:rFonts w:cstheme="minorHAnsi"/>
              </w:rPr>
            </w:pPr>
          </w:p>
        </w:tc>
      </w:tr>
      <w:tr w:rsidR="008363D5" w:rsidRPr="00D80ACC" w14:paraId="7FECFCFB" w14:textId="77777777" w:rsidTr="00685B62">
        <w:tc>
          <w:tcPr>
            <w:tcW w:w="3999" w:type="pct"/>
            <w:tcBorders>
              <w:top w:val="nil"/>
              <w:left w:val="nil"/>
              <w:bottom w:val="single" w:sz="12" w:space="0" w:color="000000" w:themeColor="text1"/>
              <w:right w:val="nil"/>
            </w:tcBorders>
            <w:vAlign w:val="bottom"/>
            <w:hideMark/>
          </w:tcPr>
          <w:p w14:paraId="71EC4213"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Profit attributable to owners of the Company</w:t>
            </w:r>
          </w:p>
        </w:tc>
        <w:tc>
          <w:tcPr>
            <w:tcW w:w="500" w:type="pct"/>
            <w:tcBorders>
              <w:top w:val="nil"/>
              <w:left w:val="nil"/>
              <w:bottom w:val="single" w:sz="12" w:space="0" w:color="000000" w:themeColor="text1"/>
              <w:right w:val="nil"/>
            </w:tcBorders>
            <w:vAlign w:val="bottom"/>
            <w:hideMark/>
          </w:tcPr>
          <w:p w14:paraId="0FAFD0EF" w14:textId="77777777" w:rsidR="008363D5" w:rsidRPr="0076016A" w:rsidRDefault="008363D5" w:rsidP="00685B62">
            <w:pPr>
              <w:widowControl w:val="0"/>
              <w:autoSpaceDE w:val="0"/>
              <w:autoSpaceDN w:val="0"/>
              <w:adjustRightInd w:val="0"/>
              <w:spacing w:after="0" w:line="240" w:lineRule="auto"/>
              <w:jc w:val="right"/>
              <w:rPr>
                <w:rFonts w:cstheme="minorHAnsi"/>
                <w:b/>
                <w:bCs/>
              </w:rPr>
            </w:pPr>
            <w:r w:rsidRPr="0076016A">
              <w:rPr>
                <w:rFonts w:cstheme="minorHAnsi"/>
                <w:b/>
                <w:bCs/>
              </w:rPr>
              <w:t>1.2</w:t>
            </w:r>
          </w:p>
        </w:tc>
        <w:tc>
          <w:tcPr>
            <w:tcW w:w="500" w:type="pct"/>
            <w:tcBorders>
              <w:top w:val="nil"/>
              <w:left w:val="nil"/>
              <w:bottom w:val="single" w:sz="12" w:space="0" w:color="000000" w:themeColor="text1"/>
              <w:right w:val="nil"/>
            </w:tcBorders>
            <w:vAlign w:val="bottom"/>
          </w:tcPr>
          <w:p w14:paraId="66EF2861" w14:textId="77777777" w:rsidR="008363D5" w:rsidRPr="0076016A" w:rsidRDefault="008363D5" w:rsidP="00685B62">
            <w:pPr>
              <w:widowControl w:val="0"/>
              <w:autoSpaceDE w:val="0"/>
              <w:autoSpaceDN w:val="0"/>
              <w:adjustRightInd w:val="0"/>
              <w:spacing w:after="0" w:line="240" w:lineRule="auto"/>
              <w:jc w:val="right"/>
              <w:rPr>
                <w:rFonts w:cstheme="minorHAnsi"/>
              </w:rPr>
            </w:pPr>
            <w:r w:rsidRPr="0076016A">
              <w:rPr>
                <w:rFonts w:cstheme="minorHAnsi"/>
              </w:rPr>
              <w:t>7.8</w:t>
            </w:r>
          </w:p>
        </w:tc>
      </w:tr>
      <w:tr w:rsidR="008363D5" w:rsidRPr="00D80ACC" w14:paraId="4E44C11B" w14:textId="77777777" w:rsidTr="00685B62">
        <w:tc>
          <w:tcPr>
            <w:tcW w:w="3999" w:type="pct"/>
            <w:tcBorders>
              <w:top w:val="single" w:sz="12" w:space="0" w:color="000000" w:themeColor="text1"/>
              <w:left w:val="nil"/>
              <w:bottom w:val="nil"/>
              <w:right w:val="nil"/>
            </w:tcBorders>
            <w:vAlign w:val="bottom"/>
            <w:hideMark/>
          </w:tcPr>
          <w:p w14:paraId="41B23107"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Weighted average number of Ordinary shares in issue (000s)</w:t>
            </w:r>
          </w:p>
        </w:tc>
        <w:tc>
          <w:tcPr>
            <w:tcW w:w="500" w:type="pct"/>
            <w:tcBorders>
              <w:top w:val="single" w:sz="12" w:space="0" w:color="000000" w:themeColor="text1"/>
              <w:left w:val="nil"/>
              <w:bottom w:val="nil"/>
              <w:right w:val="nil"/>
            </w:tcBorders>
            <w:vAlign w:val="bottom"/>
            <w:hideMark/>
          </w:tcPr>
          <w:p w14:paraId="6C0FBF85" w14:textId="77777777" w:rsidR="008363D5" w:rsidRPr="0076016A" w:rsidRDefault="008363D5" w:rsidP="00685B62">
            <w:pPr>
              <w:widowControl w:val="0"/>
              <w:autoSpaceDE w:val="0"/>
              <w:autoSpaceDN w:val="0"/>
              <w:adjustRightInd w:val="0"/>
              <w:spacing w:after="0" w:line="240" w:lineRule="auto"/>
              <w:jc w:val="right"/>
              <w:rPr>
                <w:rFonts w:cstheme="minorHAnsi"/>
                <w:b/>
                <w:bCs/>
              </w:rPr>
            </w:pPr>
            <w:r w:rsidRPr="0076016A">
              <w:rPr>
                <w:rFonts w:cstheme="minorHAnsi"/>
                <w:b/>
                <w:bCs/>
              </w:rPr>
              <w:t>42,245</w:t>
            </w:r>
          </w:p>
        </w:tc>
        <w:tc>
          <w:tcPr>
            <w:tcW w:w="500" w:type="pct"/>
            <w:tcBorders>
              <w:top w:val="single" w:sz="12" w:space="0" w:color="000000" w:themeColor="text1"/>
              <w:left w:val="nil"/>
              <w:bottom w:val="nil"/>
              <w:right w:val="nil"/>
            </w:tcBorders>
            <w:vAlign w:val="bottom"/>
          </w:tcPr>
          <w:p w14:paraId="33333353" w14:textId="77777777" w:rsidR="008363D5" w:rsidRPr="0076016A" w:rsidRDefault="008363D5" w:rsidP="00685B62">
            <w:pPr>
              <w:widowControl w:val="0"/>
              <w:autoSpaceDE w:val="0"/>
              <w:autoSpaceDN w:val="0"/>
              <w:adjustRightInd w:val="0"/>
              <w:spacing w:after="0" w:line="240" w:lineRule="auto"/>
              <w:jc w:val="right"/>
              <w:rPr>
                <w:rFonts w:cstheme="minorHAnsi"/>
              </w:rPr>
            </w:pPr>
            <w:r w:rsidRPr="0076016A">
              <w:rPr>
                <w:rFonts w:cstheme="minorHAnsi"/>
              </w:rPr>
              <w:t>42,145</w:t>
            </w:r>
          </w:p>
        </w:tc>
      </w:tr>
      <w:tr w:rsidR="008363D5" w:rsidRPr="00D80ACC" w14:paraId="2826C5D7" w14:textId="77777777" w:rsidTr="00685B62">
        <w:tc>
          <w:tcPr>
            <w:tcW w:w="3999" w:type="pct"/>
            <w:vAlign w:val="bottom"/>
            <w:hideMark/>
          </w:tcPr>
          <w:p w14:paraId="3EB10D5D"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Adjustments:</w:t>
            </w:r>
          </w:p>
        </w:tc>
        <w:tc>
          <w:tcPr>
            <w:tcW w:w="500" w:type="pct"/>
            <w:vAlign w:val="bottom"/>
          </w:tcPr>
          <w:p w14:paraId="295A797C" w14:textId="77777777" w:rsidR="008363D5" w:rsidRPr="0076016A" w:rsidRDefault="008363D5" w:rsidP="00685B62">
            <w:pPr>
              <w:widowControl w:val="0"/>
              <w:autoSpaceDE w:val="0"/>
              <w:autoSpaceDN w:val="0"/>
              <w:adjustRightInd w:val="0"/>
              <w:spacing w:after="0" w:line="240" w:lineRule="auto"/>
              <w:jc w:val="right"/>
              <w:rPr>
                <w:rFonts w:cstheme="minorHAnsi"/>
                <w:b/>
                <w:bCs/>
              </w:rPr>
            </w:pPr>
          </w:p>
        </w:tc>
        <w:tc>
          <w:tcPr>
            <w:tcW w:w="500" w:type="pct"/>
            <w:vAlign w:val="bottom"/>
          </w:tcPr>
          <w:p w14:paraId="0EF35594" w14:textId="77777777" w:rsidR="008363D5" w:rsidRPr="0076016A" w:rsidRDefault="008363D5" w:rsidP="00685B62">
            <w:pPr>
              <w:widowControl w:val="0"/>
              <w:autoSpaceDE w:val="0"/>
              <w:autoSpaceDN w:val="0"/>
              <w:adjustRightInd w:val="0"/>
              <w:spacing w:after="0" w:line="240" w:lineRule="auto"/>
              <w:jc w:val="right"/>
              <w:rPr>
                <w:rFonts w:cstheme="minorHAnsi"/>
              </w:rPr>
            </w:pPr>
          </w:p>
        </w:tc>
      </w:tr>
      <w:tr w:rsidR="008363D5" w:rsidRPr="00D80ACC" w14:paraId="750B16E5" w14:textId="77777777" w:rsidTr="00685B62">
        <w:tc>
          <w:tcPr>
            <w:tcW w:w="3999" w:type="pct"/>
            <w:vAlign w:val="bottom"/>
            <w:hideMark/>
          </w:tcPr>
          <w:p w14:paraId="72808FFC" w14:textId="77777777" w:rsidR="008363D5" w:rsidRPr="00D80ACC" w:rsidRDefault="008363D5" w:rsidP="00685B62">
            <w:pPr>
              <w:widowControl w:val="0"/>
              <w:autoSpaceDE w:val="0"/>
              <w:autoSpaceDN w:val="0"/>
              <w:adjustRightInd w:val="0"/>
              <w:spacing w:after="0" w:line="240" w:lineRule="auto"/>
              <w:ind w:left="144"/>
              <w:rPr>
                <w:rFonts w:cstheme="minorHAnsi"/>
              </w:rPr>
            </w:pPr>
            <w:r w:rsidRPr="00D80ACC">
              <w:rPr>
                <w:rFonts w:cstheme="minorHAnsi"/>
              </w:rPr>
              <w:t>Savings Related Share Option Schemes</w:t>
            </w:r>
          </w:p>
        </w:tc>
        <w:tc>
          <w:tcPr>
            <w:tcW w:w="500" w:type="pct"/>
            <w:vAlign w:val="bottom"/>
            <w:hideMark/>
          </w:tcPr>
          <w:p w14:paraId="4920B04E" w14:textId="77777777" w:rsidR="008363D5" w:rsidRPr="0076016A" w:rsidRDefault="008363D5" w:rsidP="00685B62">
            <w:pPr>
              <w:widowControl w:val="0"/>
              <w:autoSpaceDE w:val="0"/>
              <w:autoSpaceDN w:val="0"/>
              <w:adjustRightInd w:val="0"/>
              <w:spacing w:after="0" w:line="240" w:lineRule="auto"/>
              <w:jc w:val="right"/>
              <w:rPr>
                <w:rFonts w:cstheme="minorHAnsi"/>
                <w:b/>
                <w:bCs/>
              </w:rPr>
            </w:pPr>
            <w:r w:rsidRPr="0076016A">
              <w:rPr>
                <w:rFonts w:cstheme="minorHAnsi"/>
                <w:b/>
                <w:bCs/>
              </w:rPr>
              <w:t>295</w:t>
            </w:r>
          </w:p>
        </w:tc>
        <w:tc>
          <w:tcPr>
            <w:tcW w:w="500" w:type="pct"/>
            <w:vAlign w:val="bottom"/>
          </w:tcPr>
          <w:p w14:paraId="0618809F" w14:textId="77777777" w:rsidR="008363D5" w:rsidRPr="0076016A" w:rsidRDefault="008363D5" w:rsidP="00685B62">
            <w:pPr>
              <w:widowControl w:val="0"/>
              <w:autoSpaceDE w:val="0"/>
              <w:autoSpaceDN w:val="0"/>
              <w:adjustRightInd w:val="0"/>
              <w:spacing w:after="0" w:line="240" w:lineRule="auto"/>
              <w:jc w:val="right"/>
              <w:rPr>
                <w:rFonts w:cstheme="minorHAnsi"/>
              </w:rPr>
            </w:pPr>
            <w:r w:rsidRPr="0076016A">
              <w:rPr>
                <w:rFonts w:cstheme="minorHAnsi"/>
              </w:rPr>
              <w:t>474</w:t>
            </w:r>
          </w:p>
        </w:tc>
      </w:tr>
      <w:tr w:rsidR="008363D5" w:rsidRPr="00D80ACC" w14:paraId="33F500A9" w14:textId="77777777" w:rsidTr="00685B62">
        <w:tc>
          <w:tcPr>
            <w:tcW w:w="3999" w:type="pct"/>
            <w:vAlign w:val="bottom"/>
            <w:hideMark/>
          </w:tcPr>
          <w:p w14:paraId="457A45CE" w14:textId="77777777" w:rsidR="008363D5" w:rsidRPr="00D80ACC" w:rsidRDefault="008363D5" w:rsidP="00685B62">
            <w:pPr>
              <w:widowControl w:val="0"/>
              <w:autoSpaceDE w:val="0"/>
              <w:autoSpaceDN w:val="0"/>
              <w:adjustRightInd w:val="0"/>
              <w:spacing w:after="0" w:line="240" w:lineRule="auto"/>
              <w:ind w:left="144"/>
              <w:rPr>
                <w:rFonts w:cstheme="minorHAnsi"/>
              </w:rPr>
            </w:pPr>
            <w:r w:rsidRPr="00D80ACC">
              <w:rPr>
                <w:rFonts w:cstheme="minorHAnsi"/>
              </w:rPr>
              <w:t>Equity Incentive Plan:</w:t>
            </w:r>
          </w:p>
        </w:tc>
        <w:tc>
          <w:tcPr>
            <w:tcW w:w="500" w:type="pct"/>
            <w:vAlign w:val="bottom"/>
          </w:tcPr>
          <w:p w14:paraId="7ED4B7FD" w14:textId="77777777" w:rsidR="008363D5" w:rsidRPr="0076016A" w:rsidRDefault="008363D5" w:rsidP="00685B62">
            <w:pPr>
              <w:widowControl w:val="0"/>
              <w:autoSpaceDE w:val="0"/>
              <w:autoSpaceDN w:val="0"/>
              <w:adjustRightInd w:val="0"/>
              <w:spacing w:after="0" w:line="240" w:lineRule="auto"/>
              <w:jc w:val="right"/>
              <w:rPr>
                <w:rFonts w:cstheme="minorHAnsi"/>
                <w:b/>
                <w:bCs/>
              </w:rPr>
            </w:pPr>
          </w:p>
        </w:tc>
        <w:tc>
          <w:tcPr>
            <w:tcW w:w="500" w:type="pct"/>
            <w:vAlign w:val="bottom"/>
          </w:tcPr>
          <w:p w14:paraId="41A3620A" w14:textId="77777777" w:rsidR="008363D5" w:rsidRPr="0076016A" w:rsidRDefault="008363D5" w:rsidP="00685B62">
            <w:pPr>
              <w:widowControl w:val="0"/>
              <w:autoSpaceDE w:val="0"/>
              <w:autoSpaceDN w:val="0"/>
              <w:adjustRightInd w:val="0"/>
              <w:spacing w:after="0" w:line="240" w:lineRule="auto"/>
              <w:jc w:val="right"/>
              <w:rPr>
                <w:rFonts w:cstheme="minorHAnsi"/>
              </w:rPr>
            </w:pPr>
          </w:p>
        </w:tc>
      </w:tr>
      <w:tr w:rsidR="008363D5" w:rsidRPr="00D80ACC" w14:paraId="2B78D46E" w14:textId="77777777" w:rsidTr="00685B62">
        <w:tc>
          <w:tcPr>
            <w:tcW w:w="3999" w:type="pct"/>
            <w:tcBorders>
              <w:bottom w:val="single" w:sz="4" w:space="0" w:color="auto"/>
            </w:tcBorders>
            <w:vAlign w:val="bottom"/>
            <w:hideMark/>
          </w:tcPr>
          <w:p w14:paraId="592723DE" w14:textId="77777777" w:rsidR="008363D5" w:rsidRPr="00D80ACC" w:rsidRDefault="008363D5" w:rsidP="00685B62">
            <w:pPr>
              <w:widowControl w:val="0"/>
              <w:autoSpaceDE w:val="0"/>
              <w:autoSpaceDN w:val="0"/>
              <w:adjustRightInd w:val="0"/>
              <w:spacing w:after="0" w:line="240" w:lineRule="auto"/>
              <w:ind w:left="144"/>
              <w:rPr>
                <w:rFonts w:cstheme="minorHAnsi"/>
              </w:rPr>
            </w:pPr>
            <w:r w:rsidRPr="00D80ACC">
              <w:rPr>
                <w:rFonts w:cstheme="minorHAnsi"/>
              </w:rPr>
              <w:t>Conditional share awards</w:t>
            </w:r>
          </w:p>
        </w:tc>
        <w:tc>
          <w:tcPr>
            <w:tcW w:w="500" w:type="pct"/>
            <w:tcBorders>
              <w:bottom w:val="single" w:sz="4" w:space="0" w:color="auto"/>
            </w:tcBorders>
            <w:vAlign w:val="bottom"/>
            <w:hideMark/>
          </w:tcPr>
          <w:p w14:paraId="4D97D8A2" w14:textId="77777777" w:rsidR="008363D5" w:rsidRPr="0076016A" w:rsidRDefault="008363D5" w:rsidP="00685B62">
            <w:pPr>
              <w:widowControl w:val="0"/>
              <w:autoSpaceDE w:val="0"/>
              <w:autoSpaceDN w:val="0"/>
              <w:adjustRightInd w:val="0"/>
              <w:spacing w:after="0" w:line="240" w:lineRule="auto"/>
              <w:jc w:val="right"/>
              <w:rPr>
                <w:rFonts w:cstheme="minorHAnsi"/>
                <w:b/>
                <w:bCs/>
              </w:rPr>
            </w:pPr>
            <w:r w:rsidRPr="0076016A">
              <w:rPr>
                <w:rFonts w:cstheme="minorHAnsi"/>
                <w:b/>
                <w:bCs/>
              </w:rPr>
              <w:t>2,453</w:t>
            </w:r>
          </w:p>
        </w:tc>
        <w:tc>
          <w:tcPr>
            <w:tcW w:w="500" w:type="pct"/>
            <w:tcBorders>
              <w:bottom w:val="single" w:sz="4" w:space="0" w:color="auto"/>
            </w:tcBorders>
            <w:vAlign w:val="bottom"/>
          </w:tcPr>
          <w:p w14:paraId="555EA8A6" w14:textId="77777777" w:rsidR="008363D5" w:rsidRPr="0076016A" w:rsidRDefault="008363D5" w:rsidP="00685B62">
            <w:pPr>
              <w:widowControl w:val="0"/>
              <w:autoSpaceDE w:val="0"/>
              <w:autoSpaceDN w:val="0"/>
              <w:adjustRightInd w:val="0"/>
              <w:spacing w:after="0" w:line="240" w:lineRule="auto"/>
              <w:jc w:val="right"/>
              <w:rPr>
                <w:rFonts w:cstheme="minorHAnsi"/>
              </w:rPr>
            </w:pPr>
            <w:r w:rsidRPr="0076016A">
              <w:rPr>
                <w:rFonts w:cstheme="minorHAnsi"/>
              </w:rPr>
              <w:t>1,654</w:t>
            </w:r>
          </w:p>
        </w:tc>
      </w:tr>
      <w:tr w:rsidR="008363D5" w:rsidRPr="00D80ACC" w14:paraId="5474F7F0" w14:textId="77777777" w:rsidTr="00685B62">
        <w:tc>
          <w:tcPr>
            <w:tcW w:w="3999" w:type="pct"/>
            <w:tcBorders>
              <w:top w:val="single" w:sz="4" w:space="0" w:color="auto"/>
              <w:left w:val="nil"/>
              <w:bottom w:val="single" w:sz="12" w:space="0" w:color="000000" w:themeColor="text1"/>
              <w:right w:val="nil"/>
            </w:tcBorders>
            <w:vAlign w:val="bottom"/>
            <w:hideMark/>
          </w:tcPr>
          <w:p w14:paraId="557A378F"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Weighted average number of Ordinary shares for diluted earnings per share (000s)</w:t>
            </w:r>
          </w:p>
        </w:tc>
        <w:tc>
          <w:tcPr>
            <w:tcW w:w="500" w:type="pct"/>
            <w:tcBorders>
              <w:top w:val="single" w:sz="4" w:space="0" w:color="auto"/>
              <w:left w:val="nil"/>
              <w:bottom w:val="single" w:sz="12" w:space="0" w:color="000000" w:themeColor="text1"/>
              <w:right w:val="nil"/>
            </w:tcBorders>
            <w:vAlign w:val="bottom"/>
            <w:hideMark/>
          </w:tcPr>
          <w:p w14:paraId="4CB23A3F" w14:textId="77777777" w:rsidR="008363D5" w:rsidRPr="0076016A" w:rsidRDefault="008363D5" w:rsidP="00685B62">
            <w:pPr>
              <w:widowControl w:val="0"/>
              <w:autoSpaceDE w:val="0"/>
              <w:autoSpaceDN w:val="0"/>
              <w:adjustRightInd w:val="0"/>
              <w:spacing w:after="0" w:line="240" w:lineRule="auto"/>
              <w:jc w:val="right"/>
              <w:rPr>
                <w:rFonts w:cstheme="minorHAnsi"/>
                <w:b/>
                <w:bCs/>
              </w:rPr>
            </w:pPr>
            <w:r w:rsidRPr="0076016A">
              <w:rPr>
                <w:rFonts w:cstheme="minorHAnsi"/>
                <w:b/>
                <w:bCs/>
              </w:rPr>
              <w:t>45,043</w:t>
            </w:r>
          </w:p>
        </w:tc>
        <w:tc>
          <w:tcPr>
            <w:tcW w:w="500" w:type="pct"/>
            <w:tcBorders>
              <w:top w:val="single" w:sz="4" w:space="0" w:color="auto"/>
              <w:left w:val="nil"/>
              <w:bottom w:val="single" w:sz="12" w:space="0" w:color="000000" w:themeColor="text1"/>
              <w:right w:val="nil"/>
            </w:tcBorders>
            <w:vAlign w:val="bottom"/>
          </w:tcPr>
          <w:p w14:paraId="6C715FCC" w14:textId="77777777" w:rsidR="008363D5" w:rsidRPr="0076016A" w:rsidRDefault="008363D5" w:rsidP="00685B62">
            <w:pPr>
              <w:widowControl w:val="0"/>
              <w:autoSpaceDE w:val="0"/>
              <w:autoSpaceDN w:val="0"/>
              <w:adjustRightInd w:val="0"/>
              <w:spacing w:after="0" w:line="240" w:lineRule="auto"/>
              <w:jc w:val="right"/>
              <w:rPr>
                <w:rFonts w:cstheme="minorHAnsi"/>
              </w:rPr>
            </w:pPr>
            <w:r w:rsidRPr="0076016A">
              <w:rPr>
                <w:rFonts w:cstheme="minorHAnsi"/>
              </w:rPr>
              <w:t>44,273</w:t>
            </w:r>
          </w:p>
        </w:tc>
      </w:tr>
      <w:tr w:rsidR="008363D5" w:rsidRPr="00D80ACC" w14:paraId="5E806C91" w14:textId="77777777" w:rsidTr="00685B62">
        <w:tc>
          <w:tcPr>
            <w:tcW w:w="3999" w:type="pct"/>
            <w:tcBorders>
              <w:top w:val="single" w:sz="12" w:space="0" w:color="000000" w:themeColor="text1"/>
              <w:left w:val="nil"/>
              <w:bottom w:val="single" w:sz="12" w:space="0" w:color="000000" w:themeColor="text1"/>
              <w:right w:val="nil"/>
            </w:tcBorders>
            <w:vAlign w:val="bottom"/>
            <w:hideMark/>
          </w:tcPr>
          <w:p w14:paraId="2658A282"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Diluted earnings per share</w:t>
            </w:r>
          </w:p>
        </w:tc>
        <w:tc>
          <w:tcPr>
            <w:tcW w:w="500" w:type="pct"/>
            <w:tcBorders>
              <w:top w:val="single" w:sz="12" w:space="0" w:color="000000" w:themeColor="text1"/>
              <w:left w:val="nil"/>
              <w:bottom w:val="single" w:sz="12" w:space="0" w:color="000000" w:themeColor="text1"/>
              <w:right w:val="nil"/>
            </w:tcBorders>
            <w:vAlign w:val="bottom"/>
            <w:hideMark/>
          </w:tcPr>
          <w:p w14:paraId="315F136B" w14:textId="77777777" w:rsidR="008363D5" w:rsidRPr="0076016A" w:rsidRDefault="008363D5" w:rsidP="00685B62">
            <w:pPr>
              <w:widowControl w:val="0"/>
              <w:autoSpaceDE w:val="0"/>
              <w:autoSpaceDN w:val="0"/>
              <w:adjustRightInd w:val="0"/>
              <w:spacing w:after="0" w:line="240" w:lineRule="auto"/>
              <w:jc w:val="right"/>
              <w:rPr>
                <w:rFonts w:cstheme="minorHAnsi"/>
                <w:b/>
                <w:bCs/>
              </w:rPr>
            </w:pPr>
            <w:r>
              <w:rPr>
                <w:rFonts w:cstheme="minorHAnsi"/>
                <w:b/>
                <w:bCs/>
              </w:rPr>
              <w:t>2.69</w:t>
            </w:r>
            <w:r w:rsidRPr="0076016A">
              <w:rPr>
                <w:rFonts w:cstheme="minorHAnsi"/>
                <w:b/>
                <w:bCs/>
              </w:rPr>
              <w:t>p</w:t>
            </w:r>
          </w:p>
        </w:tc>
        <w:tc>
          <w:tcPr>
            <w:tcW w:w="500" w:type="pct"/>
            <w:tcBorders>
              <w:top w:val="single" w:sz="12" w:space="0" w:color="000000" w:themeColor="text1"/>
              <w:left w:val="nil"/>
              <w:bottom w:val="single" w:sz="12" w:space="0" w:color="000000" w:themeColor="text1"/>
              <w:right w:val="nil"/>
            </w:tcBorders>
            <w:vAlign w:val="bottom"/>
          </w:tcPr>
          <w:p w14:paraId="2778C092" w14:textId="77777777" w:rsidR="008363D5" w:rsidRPr="0076016A" w:rsidRDefault="008363D5" w:rsidP="00685B62">
            <w:pPr>
              <w:widowControl w:val="0"/>
              <w:autoSpaceDE w:val="0"/>
              <w:autoSpaceDN w:val="0"/>
              <w:adjustRightInd w:val="0"/>
              <w:spacing w:after="0" w:line="240" w:lineRule="auto"/>
              <w:jc w:val="right"/>
              <w:rPr>
                <w:rFonts w:cstheme="minorHAnsi"/>
              </w:rPr>
            </w:pPr>
            <w:r w:rsidRPr="0076016A">
              <w:rPr>
                <w:rFonts w:cstheme="minorHAnsi"/>
              </w:rPr>
              <w:t>17.49p</w:t>
            </w:r>
          </w:p>
        </w:tc>
      </w:tr>
    </w:tbl>
    <w:p w14:paraId="23050EF1" w14:textId="77777777" w:rsidR="008363D5" w:rsidRPr="00D80ACC" w:rsidRDefault="008363D5" w:rsidP="008363D5">
      <w:pPr>
        <w:widowControl w:val="0"/>
        <w:autoSpaceDE w:val="0"/>
        <w:autoSpaceDN w:val="0"/>
        <w:adjustRightInd w:val="0"/>
        <w:spacing w:before="160" w:after="0" w:line="240" w:lineRule="auto"/>
        <w:rPr>
          <w:rFonts w:cstheme="minorHAnsi"/>
          <w:lang w:val="en-US"/>
        </w:rPr>
      </w:pPr>
      <w:r w:rsidRPr="00D80ACC">
        <w:rPr>
          <w:rFonts w:cstheme="minorHAnsi"/>
          <w:b/>
          <w:bCs/>
        </w:rPr>
        <w:t>(iii) Underlying earnings per share</w:t>
      </w:r>
    </w:p>
    <w:p w14:paraId="141B00A8" w14:textId="77777777" w:rsidR="008363D5" w:rsidRPr="00D80ACC" w:rsidRDefault="008363D5" w:rsidP="008363D5">
      <w:pPr>
        <w:widowControl w:val="0"/>
        <w:overflowPunct w:val="0"/>
        <w:autoSpaceDE w:val="0"/>
        <w:autoSpaceDN w:val="0"/>
        <w:adjustRightInd w:val="0"/>
        <w:spacing w:before="160" w:line="240" w:lineRule="auto"/>
        <w:rPr>
          <w:rFonts w:cstheme="minorHAnsi"/>
        </w:rPr>
      </w:pPr>
      <w:r w:rsidRPr="00D80ACC">
        <w:rPr>
          <w:rFonts w:cstheme="minorHAnsi"/>
        </w:rPr>
        <w:t>Underlying earnings per share represents profit for the year adjusted for amortisation of intangible assets and other non-underlying items and the tax effect of these items, divided by the weighted average number of shares in issue. Underlying earnings is the basis on which the performance of the operating divisions of the business is measured.</w:t>
      </w:r>
    </w:p>
    <w:tbl>
      <w:tblPr>
        <w:tblW w:w="5000" w:type="pct"/>
        <w:tblCellMar>
          <w:left w:w="0" w:type="dxa"/>
          <w:right w:w="0" w:type="dxa"/>
        </w:tblCellMar>
        <w:tblLook w:val="04A0" w:firstRow="1" w:lastRow="0" w:firstColumn="1" w:lastColumn="0" w:noHBand="0" w:noVBand="1"/>
      </w:tblPr>
      <w:tblGrid>
        <w:gridCol w:w="8640"/>
        <w:gridCol w:w="1080"/>
        <w:gridCol w:w="1080"/>
      </w:tblGrid>
      <w:tr w:rsidR="008363D5" w:rsidRPr="00D80ACC" w14:paraId="52F59CE9" w14:textId="77777777" w:rsidTr="00685B62">
        <w:tc>
          <w:tcPr>
            <w:tcW w:w="3999" w:type="pct"/>
            <w:vAlign w:val="bottom"/>
          </w:tcPr>
          <w:p w14:paraId="377ACDCD" w14:textId="77777777" w:rsidR="008363D5" w:rsidRPr="00D80ACC" w:rsidRDefault="008363D5" w:rsidP="00685B62">
            <w:pPr>
              <w:keepNext/>
              <w:keepLines/>
              <w:widowControl w:val="0"/>
              <w:autoSpaceDE w:val="0"/>
              <w:autoSpaceDN w:val="0"/>
              <w:adjustRightInd w:val="0"/>
              <w:spacing w:after="0" w:line="240" w:lineRule="auto"/>
              <w:rPr>
                <w:rFonts w:cstheme="minorHAnsi"/>
              </w:rPr>
            </w:pPr>
          </w:p>
        </w:tc>
        <w:tc>
          <w:tcPr>
            <w:tcW w:w="500" w:type="pct"/>
            <w:vAlign w:val="bottom"/>
            <w:hideMark/>
          </w:tcPr>
          <w:p w14:paraId="7D3614C0" w14:textId="77777777" w:rsidR="008363D5" w:rsidRPr="00D80ACC" w:rsidRDefault="008363D5" w:rsidP="00685B62">
            <w:pPr>
              <w:keepNext/>
              <w:keepLines/>
              <w:widowControl w:val="0"/>
              <w:autoSpaceDE w:val="0"/>
              <w:autoSpaceDN w:val="0"/>
              <w:adjustRightInd w:val="0"/>
              <w:spacing w:after="0" w:line="240" w:lineRule="auto"/>
              <w:jc w:val="right"/>
              <w:rPr>
                <w:rFonts w:cstheme="minorHAnsi"/>
              </w:rPr>
            </w:pPr>
            <w:r w:rsidRPr="00D80ACC">
              <w:rPr>
                <w:rFonts w:cstheme="minorHAnsi"/>
                <w:b/>
                <w:bCs/>
              </w:rPr>
              <w:t>20</w:t>
            </w:r>
            <w:r>
              <w:rPr>
                <w:rFonts w:cstheme="minorHAnsi"/>
                <w:b/>
                <w:bCs/>
              </w:rPr>
              <w:t>20</w:t>
            </w:r>
          </w:p>
        </w:tc>
        <w:tc>
          <w:tcPr>
            <w:tcW w:w="500" w:type="pct"/>
            <w:vAlign w:val="bottom"/>
          </w:tcPr>
          <w:p w14:paraId="1EC6FD71" w14:textId="77777777" w:rsidR="008363D5" w:rsidRPr="008C51AB" w:rsidRDefault="008363D5" w:rsidP="00685B62">
            <w:pPr>
              <w:keepNext/>
              <w:keepLines/>
              <w:widowControl w:val="0"/>
              <w:autoSpaceDE w:val="0"/>
              <w:autoSpaceDN w:val="0"/>
              <w:adjustRightInd w:val="0"/>
              <w:spacing w:after="0" w:line="240" w:lineRule="auto"/>
              <w:jc w:val="right"/>
              <w:rPr>
                <w:rFonts w:cstheme="minorHAnsi"/>
              </w:rPr>
            </w:pPr>
            <w:r w:rsidRPr="008C51AB">
              <w:rPr>
                <w:rFonts w:cstheme="minorHAnsi"/>
              </w:rPr>
              <w:t>2019</w:t>
            </w:r>
          </w:p>
        </w:tc>
      </w:tr>
      <w:tr w:rsidR="008363D5" w:rsidRPr="00D80ACC" w14:paraId="0411B686" w14:textId="77777777" w:rsidTr="00685B62">
        <w:tc>
          <w:tcPr>
            <w:tcW w:w="3999" w:type="pct"/>
            <w:tcBorders>
              <w:top w:val="nil"/>
              <w:left w:val="nil"/>
              <w:bottom w:val="single" w:sz="4" w:space="0" w:color="000000" w:themeColor="text1"/>
              <w:right w:val="nil"/>
            </w:tcBorders>
            <w:vAlign w:val="bottom"/>
          </w:tcPr>
          <w:p w14:paraId="33916DB6" w14:textId="77777777" w:rsidR="008363D5" w:rsidRPr="00D80ACC" w:rsidRDefault="008363D5" w:rsidP="00685B62">
            <w:pPr>
              <w:keepNext/>
              <w:keepLines/>
              <w:widowControl w:val="0"/>
              <w:autoSpaceDE w:val="0"/>
              <w:autoSpaceDN w:val="0"/>
              <w:adjustRightInd w:val="0"/>
              <w:spacing w:after="0" w:line="240" w:lineRule="auto"/>
              <w:rPr>
                <w:rFonts w:cstheme="minorHAnsi"/>
              </w:rPr>
            </w:pPr>
          </w:p>
        </w:tc>
        <w:tc>
          <w:tcPr>
            <w:tcW w:w="500" w:type="pct"/>
            <w:tcBorders>
              <w:top w:val="nil"/>
              <w:left w:val="nil"/>
              <w:bottom w:val="single" w:sz="4" w:space="0" w:color="000000" w:themeColor="text1"/>
              <w:right w:val="nil"/>
            </w:tcBorders>
            <w:vAlign w:val="bottom"/>
            <w:hideMark/>
          </w:tcPr>
          <w:p w14:paraId="6D2ABB80" w14:textId="77777777" w:rsidR="008363D5" w:rsidRPr="00D80ACC" w:rsidRDefault="008363D5" w:rsidP="00685B62">
            <w:pPr>
              <w:keepNext/>
              <w:keepLines/>
              <w:widowControl w:val="0"/>
              <w:autoSpaceDE w:val="0"/>
              <w:autoSpaceDN w:val="0"/>
              <w:adjustRightInd w:val="0"/>
              <w:spacing w:after="0" w:line="240" w:lineRule="auto"/>
              <w:jc w:val="right"/>
              <w:rPr>
                <w:rFonts w:cstheme="minorHAnsi"/>
              </w:rPr>
            </w:pPr>
            <w:r w:rsidRPr="00D80ACC">
              <w:rPr>
                <w:rFonts w:cstheme="minorHAnsi"/>
                <w:b/>
                <w:bCs/>
              </w:rPr>
              <w:t>£m</w:t>
            </w:r>
          </w:p>
        </w:tc>
        <w:tc>
          <w:tcPr>
            <w:tcW w:w="500" w:type="pct"/>
            <w:tcBorders>
              <w:top w:val="nil"/>
              <w:left w:val="nil"/>
              <w:bottom w:val="single" w:sz="4" w:space="0" w:color="000000" w:themeColor="text1"/>
              <w:right w:val="nil"/>
            </w:tcBorders>
            <w:vAlign w:val="bottom"/>
          </w:tcPr>
          <w:p w14:paraId="1B681C48" w14:textId="77777777" w:rsidR="008363D5" w:rsidRPr="008C51AB" w:rsidRDefault="008363D5" w:rsidP="00685B62">
            <w:pPr>
              <w:keepNext/>
              <w:keepLines/>
              <w:widowControl w:val="0"/>
              <w:autoSpaceDE w:val="0"/>
              <w:autoSpaceDN w:val="0"/>
              <w:adjustRightInd w:val="0"/>
              <w:spacing w:after="0" w:line="240" w:lineRule="auto"/>
              <w:jc w:val="right"/>
              <w:rPr>
                <w:rFonts w:cstheme="minorHAnsi"/>
              </w:rPr>
            </w:pPr>
            <w:r w:rsidRPr="008C51AB">
              <w:rPr>
                <w:rFonts w:cstheme="minorHAnsi"/>
              </w:rPr>
              <w:t>£m</w:t>
            </w:r>
          </w:p>
        </w:tc>
      </w:tr>
      <w:tr w:rsidR="008363D5" w:rsidRPr="00D80ACC" w14:paraId="3750AD6C" w14:textId="77777777" w:rsidTr="00685B62">
        <w:tc>
          <w:tcPr>
            <w:tcW w:w="3999" w:type="pct"/>
            <w:tcBorders>
              <w:top w:val="single" w:sz="4" w:space="0" w:color="000000" w:themeColor="text1"/>
              <w:left w:val="nil"/>
              <w:bottom w:val="nil"/>
              <w:right w:val="nil"/>
            </w:tcBorders>
            <w:vAlign w:val="bottom"/>
            <w:hideMark/>
          </w:tcPr>
          <w:p w14:paraId="3693E748" w14:textId="77777777" w:rsidR="008363D5" w:rsidRPr="00D80ACC" w:rsidRDefault="008363D5" w:rsidP="00685B62">
            <w:pPr>
              <w:keepNext/>
              <w:keepLines/>
              <w:widowControl w:val="0"/>
              <w:autoSpaceDE w:val="0"/>
              <w:autoSpaceDN w:val="0"/>
              <w:adjustRightInd w:val="0"/>
              <w:spacing w:after="0" w:line="240" w:lineRule="auto"/>
              <w:rPr>
                <w:rFonts w:cstheme="minorHAnsi"/>
              </w:rPr>
            </w:pPr>
            <w:r w:rsidRPr="00D80ACC">
              <w:rPr>
                <w:rFonts w:cstheme="minorHAnsi"/>
              </w:rPr>
              <w:t>Profit attributable to owners of the Company</w:t>
            </w:r>
          </w:p>
        </w:tc>
        <w:tc>
          <w:tcPr>
            <w:tcW w:w="500" w:type="pct"/>
            <w:tcBorders>
              <w:top w:val="single" w:sz="4" w:space="0" w:color="000000" w:themeColor="text1"/>
              <w:left w:val="nil"/>
              <w:bottom w:val="nil"/>
              <w:right w:val="nil"/>
            </w:tcBorders>
            <w:vAlign w:val="bottom"/>
            <w:hideMark/>
          </w:tcPr>
          <w:p w14:paraId="631C7C43" w14:textId="77777777" w:rsidR="008363D5" w:rsidRPr="00D80ACC" w:rsidRDefault="008363D5" w:rsidP="00685B62">
            <w:pPr>
              <w:keepNext/>
              <w:keepLines/>
              <w:widowControl w:val="0"/>
              <w:autoSpaceDE w:val="0"/>
              <w:autoSpaceDN w:val="0"/>
              <w:adjustRightInd w:val="0"/>
              <w:spacing w:after="0" w:line="240" w:lineRule="auto"/>
              <w:jc w:val="right"/>
              <w:rPr>
                <w:rFonts w:cstheme="minorHAnsi"/>
              </w:rPr>
            </w:pPr>
            <w:r>
              <w:rPr>
                <w:rFonts w:cstheme="minorHAnsi"/>
                <w:b/>
                <w:bCs/>
              </w:rPr>
              <w:t>1.2</w:t>
            </w:r>
          </w:p>
        </w:tc>
        <w:tc>
          <w:tcPr>
            <w:tcW w:w="500" w:type="pct"/>
            <w:tcBorders>
              <w:top w:val="single" w:sz="4" w:space="0" w:color="000000" w:themeColor="text1"/>
              <w:left w:val="nil"/>
              <w:bottom w:val="nil"/>
              <w:right w:val="nil"/>
            </w:tcBorders>
            <w:vAlign w:val="bottom"/>
          </w:tcPr>
          <w:p w14:paraId="56D7FEA4" w14:textId="77777777" w:rsidR="008363D5" w:rsidRPr="008C51AB" w:rsidRDefault="008363D5" w:rsidP="00685B62">
            <w:pPr>
              <w:keepNext/>
              <w:keepLines/>
              <w:widowControl w:val="0"/>
              <w:autoSpaceDE w:val="0"/>
              <w:autoSpaceDN w:val="0"/>
              <w:adjustRightInd w:val="0"/>
              <w:spacing w:after="0" w:line="240" w:lineRule="auto"/>
              <w:jc w:val="right"/>
              <w:rPr>
                <w:rFonts w:cstheme="minorHAnsi"/>
              </w:rPr>
            </w:pPr>
            <w:r w:rsidRPr="008C51AB">
              <w:rPr>
                <w:rFonts w:cstheme="minorHAnsi"/>
              </w:rPr>
              <w:t>7.8</w:t>
            </w:r>
          </w:p>
        </w:tc>
      </w:tr>
      <w:tr w:rsidR="008363D5" w:rsidRPr="00D80ACC" w14:paraId="5A038888" w14:textId="77777777" w:rsidTr="00685B62">
        <w:tc>
          <w:tcPr>
            <w:tcW w:w="3999" w:type="pct"/>
            <w:vAlign w:val="bottom"/>
            <w:hideMark/>
          </w:tcPr>
          <w:p w14:paraId="2D19EBE4" w14:textId="77777777" w:rsidR="008363D5" w:rsidRPr="00D80ACC" w:rsidRDefault="008363D5" w:rsidP="00685B62">
            <w:pPr>
              <w:keepNext/>
              <w:keepLines/>
              <w:widowControl w:val="0"/>
              <w:autoSpaceDE w:val="0"/>
              <w:autoSpaceDN w:val="0"/>
              <w:adjustRightInd w:val="0"/>
              <w:spacing w:after="0" w:line="240" w:lineRule="auto"/>
              <w:rPr>
                <w:rFonts w:cstheme="minorHAnsi"/>
              </w:rPr>
            </w:pPr>
            <w:r w:rsidRPr="00D80ACC">
              <w:rPr>
                <w:rFonts w:cstheme="minorHAnsi"/>
              </w:rPr>
              <w:t>Adjustments:</w:t>
            </w:r>
          </w:p>
        </w:tc>
        <w:tc>
          <w:tcPr>
            <w:tcW w:w="500" w:type="pct"/>
            <w:vAlign w:val="bottom"/>
          </w:tcPr>
          <w:p w14:paraId="567B53A2" w14:textId="77777777" w:rsidR="008363D5" w:rsidRPr="00D80ACC" w:rsidRDefault="008363D5" w:rsidP="00685B62">
            <w:pPr>
              <w:keepNext/>
              <w:keepLines/>
              <w:widowControl w:val="0"/>
              <w:autoSpaceDE w:val="0"/>
              <w:autoSpaceDN w:val="0"/>
              <w:adjustRightInd w:val="0"/>
              <w:spacing w:after="0" w:line="240" w:lineRule="auto"/>
              <w:jc w:val="right"/>
              <w:rPr>
                <w:rFonts w:cstheme="minorHAnsi"/>
              </w:rPr>
            </w:pPr>
          </w:p>
        </w:tc>
        <w:tc>
          <w:tcPr>
            <w:tcW w:w="500" w:type="pct"/>
            <w:vAlign w:val="bottom"/>
          </w:tcPr>
          <w:p w14:paraId="54444478" w14:textId="77777777" w:rsidR="008363D5" w:rsidRPr="008C51AB" w:rsidRDefault="008363D5" w:rsidP="00685B62">
            <w:pPr>
              <w:keepNext/>
              <w:keepLines/>
              <w:widowControl w:val="0"/>
              <w:autoSpaceDE w:val="0"/>
              <w:autoSpaceDN w:val="0"/>
              <w:adjustRightInd w:val="0"/>
              <w:spacing w:after="0" w:line="240" w:lineRule="auto"/>
              <w:jc w:val="right"/>
              <w:rPr>
                <w:rFonts w:cstheme="minorHAnsi"/>
              </w:rPr>
            </w:pPr>
          </w:p>
        </w:tc>
      </w:tr>
      <w:tr w:rsidR="008363D5" w:rsidRPr="00D80ACC" w14:paraId="075912E5" w14:textId="77777777" w:rsidTr="00685B62">
        <w:tc>
          <w:tcPr>
            <w:tcW w:w="3999" w:type="pct"/>
            <w:vAlign w:val="bottom"/>
            <w:hideMark/>
          </w:tcPr>
          <w:p w14:paraId="5499BA8C" w14:textId="77777777" w:rsidR="008363D5" w:rsidRPr="00D80ACC" w:rsidRDefault="008363D5" w:rsidP="00685B62">
            <w:pPr>
              <w:keepNext/>
              <w:keepLines/>
              <w:widowControl w:val="0"/>
              <w:autoSpaceDE w:val="0"/>
              <w:autoSpaceDN w:val="0"/>
              <w:adjustRightInd w:val="0"/>
              <w:spacing w:after="0" w:line="240" w:lineRule="auto"/>
              <w:rPr>
                <w:rFonts w:cstheme="minorHAnsi"/>
              </w:rPr>
            </w:pPr>
            <w:r>
              <w:rPr>
                <w:rFonts w:cstheme="minorHAnsi"/>
              </w:rPr>
              <w:t xml:space="preserve">  </w:t>
            </w:r>
            <w:r w:rsidRPr="00D80ACC">
              <w:rPr>
                <w:rFonts w:cstheme="minorHAnsi"/>
              </w:rPr>
              <w:t>Amortisation of intangible assets</w:t>
            </w:r>
          </w:p>
        </w:tc>
        <w:tc>
          <w:tcPr>
            <w:tcW w:w="500" w:type="pct"/>
            <w:vAlign w:val="bottom"/>
            <w:hideMark/>
          </w:tcPr>
          <w:p w14:paraId="28967157" w14:textId="77777777" w:rsidR="008363D5" w:rsidRPr="00D80ACC" w:rsidRDefault="008363D5" w:rsidP="00685B62">
            <w:pPr>
              <w:keepNext/>
              <w:keepLines/>
              <w:widowControl w:val="0"/>
              <w:autoSpaceDE w:val="0"/>
              <w:autoSpaceDN w:val="0"/>
              <w:adjustRightInd w:val="0"/>
              <w:spacing w:after="0" w:line="240" w:lineRule="auto"/>
              <w:jc w:val="right"/>
              <w:rPr>
                <w:rFonts w:cstheme="minorHAnsi"/>
              </w:rPr>
            </w:pPr>
            <w:r w:rsidRPr="00D80ACC">
              <w:rPr>
                <w:rFonts w:cstheme="minorHAnsi"/>
                <w:b/>
                <w:bCs/>
              </w:rPr>
              <w:t>0.</w:t>
            </w:r>
            <w:r>
              <w:rPr>
                <w:rFonts w:cstheme="minorHAnsi"/>
                <w:b/>
                <w:bCs/>
              </w:rPr>
              <w:t>1</w:t>
            </w:r>
          </w:p>
        </w:tc>
        <w:tc>
          <w:tcPr>
            <w:tcW w:w="500" w:type="pct"/>
            <w:vAlign w:val="bottom"/>
          </w:tcPr>
          <w:p w14:paraId="2E86E056" w14:textId="77777777" w:rsidR="008363D5" w:rsidRPr="008C51AB" w:rsidRDefault="008363D5" w:rsidP="00685B62">
            <w:pPr>
              <w:keepNext/>
              <w:keepLines/>
              <w:widowControl w:val="0"/>
              <w:autoSpaceDE w:val="0"/>
              <w:autoSpaceDN w:val="0"/>
              <w:adjustRightInd w:val="0"/>
              <w:spacing w:after="0" w:line="240" w:lineRule="auto"/>
              <w:jc w:val="right"/>
              <w:rPr>
                <w:rFonts w:cstheme="minorHAnsi"/>
              </w:rPr>
            </w:pPr>
            <w:r w:rsidRPr="008C51AB">
              <w:rPr>
                <w:rFonts w:cstheme="minorHAnsi"/>
              </w:rPr>
              <w:t>0.2</w:t>
            </w:r>
          </w:p>
        </w:tc>
      </w:tr>
      <w:tr w:rsidR="008363D5" w:rsidRPr="00D80ACC" w14:paraId="1A78F59B" w14:textId="77777777" w:rsidTr="00685B62">
        <w:tc>
          <w:tcPr>
            <w:tcW w:w="3999" w:type="pct"/>
            <w:vAlign w:val="bottom"/>
          </w:tcPr>
          <w:p w14:paraId="7F3691E3" w14:textId="77777777" w:rsidR="008363D5" w:rsidRDefault="008363D5" w:rsidP="00685B62">
            <w:pPr>
              <w:keepNext/>
              <w:keepLines/>
              <w:widowControl w:val="0"/>
              <w:autoSpaceDE w:val="0"/>
              <w:autoSpaceDN w:val="0"/>
              <w:adjustRightInd w:val="0"/>
              <w:spacing w:after="0" w:line="240" w:lineRule="auto"/>
              <w:rPr>
                <w:rFonts w:cstheme="minorHAnsi"/>
              </w:rPr>
            </w:pPr>
            <w:r>
              <w:rPr>
                <w:rFonts w:cstheme="minorHAnsi"/>
              </w:rPr>
              <w:t>Restructuring costs</w:t>
            </w:r>
          </w:p>
        </w:tc>
        <w:tc>
          <w:tcPr>
            <w:tcW w:w="500" w:type="pct"/>
            <w:vAlign w:val="bottom"/>
          </w:tcPr>
          <w:p w14:paraId="6B87A23B" w14:textId="77777777" w:rsidR="008363D5" w:rsidRPr="00D80ACC" w:rsidRDefault="008363D5" w:rsidP="00685B62">
            <w:pPr>
              <w:keepNext/>
              <w:keepLines/>
              <w:widowControl w:val="0"/>
              <w:autoSpaceDE w:val="0"/>
              <w:autoSpaceDN w:val="0"/>
              <w:adjustRightInd w:val="0"/>
              <w:spacing w:after="0" w:line="240" w:lineRule="auto"/>
              <w:jc w:val="right"/>
              <w:rPr>
                <w:rFonts w:cstheme="minorHAnsi"/>
                <w:b/>
                <w:bCs/>
              </w:rPr>
            </w:pPr>
            <w:r>
              <w:rPr>
                <w:rFonts w:cstheme="minorHAnsi"/>
                <w:b/>
                <w:bCs/>
              </w:rPr>
              <w:t>3.0</w:t>
            </w:r>
          </w:p>
        </w:tc>
        <w:tc>
          <w:tcPr>
            <w:tcW w:w="500" w:type="pct"/>
            <w:vAlign w:val="bottom"/>
          </w:tcPr>
          <w:p w14:paraId="4D679982" w14:textId="77777777" w:rsidR="008363D5" w:rsidRPr="008C51AB" w:rsidRDefault="008363D5" w:rsidP="00685B62">
            <w:pPr>
              <w:keepNext/>
              <w:keepLines/>
              <w:widowControl w:val="0"/>
              <w:autoSpaceDE w:val="0"/>
              <w:autoSpaceDN w:val="0"/>
              <w:adjustRightInd w:val="0"/>
              <w:spacing w:after="0" w:line="240" w:lineRule="auto"/>
              <w:jc w:val="right"/>
              <w:rPr>
                <w:rFonts w:cstheme="minorHAnsi"/>
              </w:rPr>
            </w:pPr>
            <w:r w:rsidRPr="008C51AB">
              <w:rPr>
                <w:rFonts w:cstheme="minorHAnsi"/>
              </w:rPr>
              <w:t>—</w:t>
            </w:r>
          </w:p>
        </w:tc>
      </w:tr>
      <w:tr w:rsidR="008363D5" w:rsidRPr="00D80ACC" w14:paraId="4299CC67" w14:textId="77777777" w:rsidTr="00685B62">
        <w:tc>
          <w:tcPr>
            <w:tcW w:w="3999" w:type="pct"/>
            <w:tcBorders>
              <w:top w:val="single" w:sz="4" w:space="0" w:color="000000" w:themeColor="text1"/>
              <w:left w:val="nil"/>
              <w:bottom w:val="single" w:sz="12" w:space="0" w:color="000000" w:themeColor="text1"/>
              <w:right w:val="nil"/>
            </w:tcBorders>
            <w:vAlign w:val="bottom"/>
            <w:hideMark/>
          </w:tcPr>
          <w:p w14:paraId="2D730BEF" w14:textId="77777777" w:rsidR="008363D5" w:rsidRPr="00D80ACC" w:rsidRDefault="008363D5" w:rsidP="00685B62">
            <w:pPr>
              <w:keepNext/>
              <w:keepLines/>
              <w:widowControl w:val="0"/>
              <w:autoSpaceDE w:val="0"/>
              <w:autoSpaceDN w:val="0"/>
              <w:adjustRightInd w:val="0"/>
              <w:spacing w:after="0" w:line="240" w:lineRule="auto"/>
              <w:rPr>
                <w:rFonts w:cstheme="minorHAnsi"/>
              </w:rPr>
            </w:pPr>
            <w:r w:rsidRPr="00D80ACC">
              <w:rPr>
                <w:rFonts w:cstheme="minorHAnsi"/>
              </w:rPr>
              <w:t>Underlying earnings</w:t>
            </w:r>
          </w:p>
        </w:tc>
        <w:tc>
          <w:tcPr>
            <w:tcW w:w="500" w:type="pct"/>
            <w:tcBorders>
              <w:top w:val="single" w:sz="4" w:space="0" w:color="000000" w:themeColor="text1"/>
              <w:left w:val="nil"/>
              <w:bottom w:val="single" w:sz="12" w:space="0" w:color="000000" w:themeColor="text1"/>
              <w:right w:val="nil"/>
            </w:tcBorders>
            <w:vAlign w:val="bottom"/>
            <w:hideMark/>
          </w:tcPr>
          <w:p w14:paraId="319D9463" w14:textId="77777777" w:rsidR="008363D5" w:rsidRPr="00855121" w:rsidRDefault="008363D5" w:rsidP="00685B62">
            <w:pPr>
              <w:keepNext/>
              <w:keepLines/>
              <w:widowControl w:val="0"/>
              <w:autoSpaceDE w:val="0"/>
              <w:autoSpaceDN w:val="0"/>
              <w:adjustRightInd w:val="0"/>
              <w:spacing w:after="0" w:line="240" w:lineRule="auto"/>
              <w:jc w:val="right"/>
              <w:rPr>
                <w:rFonts w:cstheme="minorHAnsi"/>
                <w:b/>
                <w:bCs/>
              </w:rPr>
            </w:pPr>
            <w:r w:rsidRPr="00855121">
              <w:rPr>
                <w:rFonts w:cstheme="minorHAnsi"/>
                <w:b/>
                <w:bCs/>
              </w:rPr>
              <w:t>4.3</w:t>
            </w:r>
          </w:p>
        </w:tc>
        <w:tc>
          <w:tcPr>
            <w:tcW w:w="500" w:type="pct"/>
            <w:tcBorders>
              <w:top w:val="single" w:sz="4" w:space="0" w:color="000000" w:themeColor="text1"/>
              <w:left w:val="nil"/>
              <w:bottom w:val="single" w:sz="12" w:space="0" w:color="000000" w:themeColor="text1"/>
              <w:right w:val="nil"/>
            </w:tcBorders>
            <w:vAlign w:val="bottom"/>
          </w:tcPr>
          <w:p w14:paraId="05525529" w14:textId="77777777" w:rsidR="008363D5" w:rsidRPr="008C51AB" w:rsidRDefault="008363D5" w:rsidP="00685B62">
            <w:pPr>
              <w:keepNext/>
              <w:keepLines/>
              <w:widowControl w:val="0"/>
              <w:autoSpaceDE w:val="0"/>
              <w:autoSpaceDN w:val="0"/>
              <w:adjustRightInd w:val="0"/>
              <w:spacing w:after="0" w:line="240" w:lineRule="auto"/>
              <w:jc w:val="right"/>
              <w:rPr>
                <w:rFonts w:cstheme="minorHAnsi"/>
              </w:rPr>
            </w:pPr>
            <w:r w:rsidRPr="008C51AB">
              <w:rPr>
                <w:rFonts w:cstheme="minorHAnsi"/>
              </w:rPr>
              <w:t>8.0</w:t>
            </w:r>
          </w:p>
        </w:tc>
      </w:tr>
      <w:tr w:rsidR="008363D5" w:rsidRPr="00D80ACC" w14:paraId="305F8DFC" w14:textId="77777777" w:rsidTr="00685B62">
        <w:tc>
          <w:tcPr>
            <w:tcW w:w="3999" w:type="pct"/>
            <w:tcBorders>
              <w:top w:val="single" w:sz="12" w:space="0" w:color="000000" w:themeColor="text1"/>
              <w:left w:val="nil"/>
              <w:bottom w:val="nil"/>
              <w:right w:val="nil"/>
            </w:tcBorders>
            <w:vAlign w:val="bottom"/>
            <w:hideMark/>
          </w:tcPr>
          <w:p w14:paraId="21436256" w14:textId="77777777" w:rsidR="008363D5" w:rsidRPr="00D80ACC" w:rsidRDefault="008363D5" w:rsidP="00685B62">
            <w:pPr>
              <w:keepNext/>
              <w:keepLines/>
              <w:widowControl w:val="0"/>
              <w:autoSpaceDE w:val="0"/>
              <w:autoSpaceDN w:val="0"/>
              <w:adjustRightInd w:val="0"/>
              <w:spacing w:after="0" w:line="240" w:lineRule="auto"/>
              <w:rPr>
                <w:rFonts w:cstheme="minorHAnsi"/>
              </w:rPr>
            </w:pPr>
            <w:r w:rsidRPr="00D80ACC">
              <w:rPr>
                <w:rFonts w:cstheme="minorHAnsi"/>
              </w:rPr>
              <w:t>Weighted average number of Ordinary shares in issue (000s)</w:t>
            </w:r>
          </w:p>
        </w:tc>
        <w:tc>
          <w:tcPr>
            <w:tcW w:w="500" w:type="pct"/>
            <w:tcBorders>
              <w:top w:val="single" w:sz="12" w:space="0" w:color="000000" w:themeColor="text1"/>
              <w:left w:val="nil"/>
              <w:bottom w:val="nil"/>
              <w:right w:val="nil"/>
            </w:tcBorders>
            <w:vAlign w:val="bottom"/>
            <w:hideMark/>
          </w:tcPr>
          <w:p w14:paraId="31204BB1" w14:textId="77777777" w:rsidR="008363D5" w:rsidRPr="001150EC" w:rsidRDefault="008363D5" w:rsidP="00685B62">
            <w:pPr>
              <w:keepNext/>
              <w:keepLines/>
              <w:widowControl w:val="0"/>
              <w:autoSpaceDE w:val="0"/>
              <w:autoSpaceDN w:val="0"/>
              <w:adjustRightInd w:val="0"/>
              <w:spacing w:after="0" w:line="240" w:lineRule="auto"/>
              <w:jc w:val="right"/>
              <w:rPr>
                <w:rFonts w:cstheme="minorHAnsi"/>
                <w:b/>
                <w:bCs/>
              </w:rPr>
            </w:pPr>
            <w:r w:rsidRPr="001150EC">
              <w:rPr>
                <w:rFonts w:cstheme="minorHAnsi"/>
                <w:b/>
                <w:bCs/>
              </w:rPr>
              <w:t>42,295</w:t>
            </w:r>
          </w:p>
        </w:tc>
        <w:tc>
          <w:tcPr>
            <w:tcW w:w="500" w:type="pct"/>
            <w:tcBorders>
              <w:top w:val="single" w:sz="12" w:space="0" w:color="000000" w:themeColor="text1"/>
              <w:left w:val="nil"/>
              <w:bottom w:val="nil"/>
              <w:right w:val="nil"/>
            </w:tcBorders>
            <w:vAlign w:val="bottom"/>
          </w:tcPr>
          <w:p w14:paraId="3F04A5F5" w14:textId="77777777" w:rsidR="008363D5" w:rsidRPr="008C51AB" w:rsidRDefault="008363D5" w:rsidP="00685B62">
            <w:pPr>
              <w:keepNext/>
              <w:keepLines/>
              <w:widowControl w:val="0"/>
              <w:autoSpaceDE w:val="0"/>
              <w:autoSpaceDN w:val="0"/>
              <w:adjustRightInd w:val="0"/>
              <w:spacing w:after="0" w:line="240" w:lineRule="auto"/>
              <w:jc w:val="right"/>
              <w:rPr>
                <w:rFonts w:cstheme="minorHAnsi"/>
              </w:rPr>
            </w:pPr>
            <w:r w:rsidRPr="008C51AB">
              <w:rPr>
                <w:rFonts w:cstheme="minorHAnsi"/>
              </w:rPr>
              <w:t>42,145</w:t>
            </w:r>
          </w:p>
        </w:tc>
      </w:tr>
      <w:tr w:rsidR="008363D5" w:rsidRPr="00D80ACC" w14:paraId="245381D2" w14:textId="77777777" w:rsidTr="00685B62">
        <w:tc>
          <w:tcPr>
            <w:tcW w:w="3999" w:type="pct"/>
            <w:vAlign w:val="bottom"/>
            <w:hideMark/>
          </w:tcPr>
          <w:p w14:paraId="5CD6B830" w14:textId="77777777" w:rsidR="008363D5" w:rsidRPr="00D80ACC" w:rsidRDefault="008363D5" w:rsidP="00685B62">
            <w:pPr>
              <w:keepNext/>
              <w:keepLines/>
              <w:widowControl w:val="0"/>
              <w:autoSpaceDE w:val="0"/>
              <w:autoSpaceDN w:val="0"/>
              <w:adjustRightInd w:val="0"/>
              <w:spacing w:after="0" w:line="240" w:lineRule="auto"/>
              <w:rPr>
                <w:rFonts w:cstheme="minorHAnsi"/>
              </w:rPr>
            </w:pPr>
            <w:r w:rsidRPr="00D80ACC">
              <w:rPr>
                <w:rFonts w:cstheme="minorHAnsi"/>
              </w:rPr>
              <w:t>Adjustments:</w:t>
            </w:r>
          </w:p>
        </w:tc>
        <w:tc>
          <w:tcPr>
            <w:tcW w:w="500" w:type="pct"/>
            <w:vAlign w:val="bottom"/>
          </w:tcPr>
          <w:p w14:paraId="3464F9C2" w14:textId="77777777" w:rsidR="008363D5" w:rsidRPr="001150EC" w:rsidRDefault="008363D5" w:rsidP="00685B62">
            <w:pPr>
              <w:keepNext/>
              <w:keepLines/>
              <w:widowControl w:val="0"/>
              <w:autoSpaceDE w:val="0"/>
              <w:autoSpaceDN w:val="0"/>
              <w:adjustRightInd w:val="0"/>
              <w:spacing w:after="0" w:line="240" w:lineRule="auto"/>
              <w:jc w:val="right"/>
              <w:rPr>
                <w:rFonts w:cstheme="minorHAnsi"/>
                <w:b/>
                <w:bCs/>
              </w:rPr>
            </w:pPr>
          </w:p>
        </w:tc>
        <w:tc>
          <w:tcPr>
            <w:tcW w:w="500" w:type="pct"/>
            <w:vAlign w:val="bottom"/>
          </w:tcPr>
          <w:p w14:paraId="20CE45AB" w14:textId="77777777" w:rsidR="008363D5" w:rsidRPr="008C51AB" w:rsidRDefault="008363D5" w:rsidP="00685B62">
            <w:pPr>
              <w:keepNext/>
              <w:keepLines/>
              <w:widowControl w:val="0"/>
              <w:autoSpaceDE w:val="0"/>
              <w:autoSpaceDN w:val="0"/>
              <w:adjustRightInd w:val="0"/>
              <w:spacing w:after="0" w:line="240" w:lineRule="auto"/>
              <w:jc w:val="right"/>
              <w:rPr>
                <w:rFonts w:cstheme="minorHAnsi"/>
              </w:rPr>
            </w:pPr>
          </w:p>
        </w:tc>
      </w:tr>
      <w:tr w:rsidR="008363D5" w:rsidRPr="00D80ACC" w14:paraId="268B18AB" w14:textId="77777777" w:rsidTr="00685B62">
        <w:tc>
          <w:tcPr>
            <w:tcW w:w="3999" w:type="pct"/>
            <w:vAlign w:val="bottom"/>
            <w:hideMark/>
          </w:tcPr>
          <w:p w14:paraId="32A820D1" w14:textId="77777777" w:rsidR="008363D5" w:rsidRPr="00D80ACC" w:rsidRDefault="008363D5" w:rsidP="00685B62">
            <w:pPr>
              <w:keepNext/>
              <w:keepLines/>
              <w:widowControl w:val="0"/>
              <w:autoSpaceDE w:val="0"/>
              <w:autoSpaceDN w:val="0"/>
              <w:adjustRightInd w:val="0"/>
              <w:spacing w:after="0" w:line="240" w:lineRule="auto"/>
              <w:rPr>
                <w:rFonts w:cstheme="minorHAnsi"/>
              </w:rPr>
            </w:pPr>
            <w:r>
              <w:rPr>
                <w:rFonts w:cstheme="minorHAnsi"/>
              </w:rPr>
              <w:t xml:space="preserve">  </w:t>
            </w:r>
            <w:r w:rsidRPr="00D80ACC">
              <w:rPr>
                <w:rFonts w:cstheme="minorHAnsi"/>
              </w:rPr>
              <w:t>Savings Related Share Option Schemes</w:t>
            </w:r>
          </w:p>
        </w:tc>
        <w:tc>
          <w:tcPr>
            <w:tcW w:w="500" w:type="pct"/>
            <w:vAlign w:val="bottom"/>
            <w:hideMark/>
          </w:tcPr>
          <w:p w14:paraId="76FFCF5C" w14:textId="77777777" w:rsidR="008363D5" w:rsidRPr="001150EC" w:rsidRDefault="008363D5" w:rsidP="00685B62">
            <w:pPr>
              <w:keepNext/>
              <w:keepLines/>
              <w:widowControl w:val="0"/>
              <w:autoSpaceDE w:val="0"/>
              <w:autoSpaceDN w:val="0"/>
              <w:adjustRightInd w:val="0"/>
              <w:spacing w:after="0" w:line="240" w:lineRule="auto"/>
              <w:jc w:val="right"/>
              <w:rPr>
                <w:rFonts w:cstheme="minorHAnsi"/>
                <w:b/>
                <w:bCs/>
              </w:rPr>
            </w:pPr>
            <w:r w:rsidRPr="001150EC">
              <w:rPr>
                <w:rFonts w:cstheme="minorHAnsi"/>
                <w:b/>
                <w:bCs/>
              </w:rPr>
              <w:t>295</w:t>
            </w:r>
          </w:p>
        </w:tc>
        <w:tc>
          <w:tcPr>
            <w:tcW w:w="500" w:type="pct"/>
            <w:vAlign w:val="bottom"/>
          </w:tcPr>
          <w:p w14:paraId="4EC2E9AB" w14:textId="77777777" w:rsidR="008363D5" w:rsidRPr="008C51AB" w:rsidRDefault="008363D5" w:rsidP="00685B62">
            <w:pPr>
              <w:keepNext/>
              <w:keepLines/>
              <w:widowControl w:val="0"/>
              <w:autoSpaceDE w:val="0"/>
              <w:autoSpaceDN w:val="0"/>
              <w:adjustRightInd w:val="0"/>
              <w:spacing w:after="0" w:line="240" w:lineRule="auto"/>
              <w:jc w:val="right"/>
              <w:rPr>
                <w:rFonts w:cstheme="minorHAnsi"/>
              </w:rPr>
            </w:pPr>
            <w:r w:rsidRPr="008C51AB">
              <w:rPr>
                <w:rFonts w:cstheme="minorHAnsi"/>
              </w:rPr>
              <w:t>474</w:t>
            </w:r>
          </w:p>
        </w:tc>
      </w:tr>
      <w:tr w:rsidR="008363D5" w:rsidRPr="00D80ACC" w14:paraId="4E56E48A" w14:textId="77777777" w:rsidTr="00685B62">
        <w:tc>
          <w:tcPr>
            <w:tcW w:w="3999" w:type="pct"/>
            <w:vAlign w:val="bottom"/>
            <w:hideMark/>
          </w:tcPr>
          <w:p w14:paraId="413E1FE7" w14:textId="77777777" w:rsidR="008363D5" w:rsidRPr="00D80ACC" w:rsidRDefault="008363D5" w:rsidP="00685B62">
            <w:pPr>
              <w:keepNext/>
              <w:keepLines/>
              <w:widowControl w:val="0"/>
              <w:autoSpaceDE w:val="0"/>
              <w:autoSpaceDN w:val="0"/>
              <w:adjustRightInd w:val="0"/>
              <w:spacing w:after="0" w:line="240" w:lineRule="auto"/>
              <w:rPr>
                <w:rFonts w:cstheme="minorHAnsi"/>
              </w:rPr>
            </w:pPr>
            <w:r>
              <w:rPr>
                <w:rFonts w:cstheme="minorHAnsi"/>
              </w:rPr>
              <w:t xml:space="preserve">  </w:t>
            </w:r>
            <w:r w:rsidRPr="00D80ACC">
              <w:rPr>
                <w:rFonts w:cstheme="minorHAnsi"/>
              </w:rPr>
              <w:t>Equity Incentive Plan:</w:t>
            </w:r>
          </w:p>
        </w:tc>
        <w:tc>
          <w:tcPr>
            <w:tcW w:w="500" w:type="pct"/>
            <w:vAlign w:val="bottom"/>
          </w:tcPr>
          <w:p w14:paraId="075ABB36" w14:textId="77777777" w:rsidR="008363D5" w:rsidRPr="001150EC" w:rsidRDefault="008363D5" w:rsidP="00685B62">
            <w:pPr>
              <w:keepNext/>
              <w:keepLines/>
              <w:widowControl w:val="0"/>
              <w:autoSpaceDE w:val="0"/>
              <w:autoSpaceDN w:val="0"/>
              <w:adjustRightInd w:val="0"/>
              <w:spacing w:after="0" w:line="240" w:lineRule="auto"/>
              <w:jc w:val="right"/>
              <w:rPr>
                <w:rFonts w:cstheme="minorHAnsi"/>
                <w:b/>
                <w:bCs/>
              </w:rPr>
            </w:pPr>
          </w:p>
        </w:tc>
        <w:tc>
          <w:tcPr>
            <w:tcW w:w="500" w:type="pct"/>
            <w:vAlign w:val="bottom"/>
          </w:tcPr>
          <w:p w14:paraId="3ECCB55F" w14:textId="77777777" w:rsidR="008363D5" w:rsidRPr="008C51AB" w:rsidRDefault="008363D5" w:rsidP="00685B62">
            <w:pPr>
              <w:keepNext/>
              <w:keepLines/>
              <w:widowControl w:val="0"/>
              <w:autoSpaceDE w:val="0"/>
              <w:autoSpaceDN w:val="0"/>
              <w:adjustRightInd w:val="0"/>
              <w:spacing w:after="0" w:line="240" w:lineRule="auto"/>
              <w:jc w:val="right"/>
              <w:rPr>
                <w:rFonts w:cstheme="minorHAnsi"/>
              </w:rPr>
            </w:pPr>
          </w:p>
        </w:tc>
      </w:tr>
      <w:tr w:rsidR="008363D5" w:rsidRPr="00D80ACC" w14:paraId="1CB645FE" w14:textId="77777777" w:rsidTr="00685B62">
        <w:tc>
          <w:tcPr>
            <w:tcW w:w="3999" w:type="pct"/>
            <w:tcBorders>
              <w:bottom w:val="single" w:sz="4" w:space="0" w:color="auto"/>
            </w:tcBorders>
            <w:vAlign w:val="bottom"/>
            <w:hideMark/>
          </w:tcPr>
          <w:p w14:paraId="768A529A" w14:textId="77777777" w:rsidR="008363D5" w:rsidRPr="00D80ACC" w:rsidRDefault="008363D5" w:rsidP="00685B62">
            <w:pPr>
              <w:keepNext/>
              <w:keepLines/>
              <w:widowControl w:val="0"/>
              <w:autoSpaceDE w:val="0"/>
              <w:autoSpaceDN w:val="0"/>
              <w:adjustRightInd w:val="0"/>
              <w:spacing w:after="0" w:line="240" w:lineRule="auto"/>
              <w:rPr>
                <w:rFonts w:cstheme="minorHAnsi"/>
              </w:rPr>
            </w:pPr>
            <w:r>
              <w:rPr>
                <w:rFonts w:cstheme="minorHAnsi"/>
              </w:rPr>
              <w:t xml:space="preserve">  </w:t>
            </w:r>
            <w:r w:rsidRPr="00D80ACC">
              <w:rPr>
                <w:rFonts w:cstheme="minorHAnsi"/>
              </w:rPr>
              <w:t>Conditional share awards</w:t>
            </w:r>
          </w:p>
        </w:tc>
        <w:tc>
          <w:tcPr>
            <w:tcW w:w="500" w:type="pct"/>
            <w:tcBorders>
              <w:bottom w:val="single" w:sz="4" w:space="0" w:color="auto"/>
            </w:tcBorders>
            <w:vAlign w:val="bottom"/>
            <w:hideMark/>
          </w:tcPr>
          <w:p w14:paraId="338FE14C" w14:textId="77777777" w:rsidR="008363D5" w:rsidRPr="001150EC" w:rsidRDefault="008363D5" w:rsidP="00685B62">
            <w:pPr>
              <w:keepNext/>
              <w:keepLines/>
              <w:widowControl w:val="0"/>
              <w:autoSpaceDE w:val="0"/>
              <w:autoSpaceDN w:val="0"/>
              <w:adjustRightInd w:val="0"/>
              <w:spacing w:after="0" w:line="240" w:lineRule="auto"/>
              <w:jc w:val="right"/>
              <w:rPr>
                <w:rFonts w:cstheme="minorHAnsi"/>
                <w:b/>
                <w:bCs/>
              </w:rPr>
            </w:pPr>
            <w:r w:rsidRPr="001150EC">
              <w:rPr>
                <w:rFonts w:cstheme="minorHAnsi"/>
                <w:b/>
                <w:bCs/>
              </w:rPr>
              <w:t>2,453</w:t>
            </w:r>
          </w:p>
        </w:tc>
        <w:tc>
          <w:tcPr>
            <w:tcW w:w="500" w:type="pct"/>
            <w:tcBorders>
              <w:bottom w:val="single" w:sz="4" w:space="0" w:color="auto"/>
            </w:tcBorders>
            <w:vAlign w:val="bottom"/>
          </w:tcPr>
          <w:p w14:paraId="31C2E41F" w14:textId="77777777" w:rsidR="008363D5" w:rsidRPr="008C51AB" w:rsidRDefault="008363D5" w:rsidP="00685B62">
            <w:pPr>
              <w:keepNext/>
              <w:keepLines/>
              <w:widowControl w:val="0"/>
              <w:autoSpaceDE w:val="0"/>
              <w:autoSpaceDN w:val="0"/>
              <w:adjustRightInd w:val="0"/>
              <w:spacing w:after="0" w:line="240" w:lineRule="auto"/>
              <w:jc w:val="right"/>
              <w:rPr>
                <w:rFonts w:cstheme="minorHAnsi"/>
              </w:rPr>
            </w:pPr>
            <w:r w:rsidRPr="008C51AB">
              <w:rPr>
                <w:rFonts w:cstheme="minorHAnsi"/>
              </w:rPr>
              <w:t>1,654</w:t>
            </w:r>
          </w:p>
        </w:tc>
      </w:tr>
      <w:tr w:rsidR="008363D5" w:rsidRPr="00D80ACC" w14:paraId="44EA635A" w14:textId="77777777" w:rsidTr="00685B62">
        <w:tc>
          <w:tcPr>
            <w:tcW w:w="3999" w:type="pct"/>
            <w:tcBorders>
              <w:top w:val="single" w:sz="4" w:space="0" w:color="auto"/>
              <w:left w:val="nil"/>
              <w:bottom w:val="single" w:sz="12" w:space="0" w:color="000000" w:themeColor="text1"/>
              <w:right w:val="nil"/>
            </w:tcBorders>
            <w:vAlign w:val="bottom"/>
            <w:hideMark/>
          </w:tcPr>
          <w:p w14:paraId="17A7D4C1" w14:textId="77777777" w:rsidR="008363D5" w:rsidRPr="00D80ACC" w:rsidRDefault="008363D5" w:rsidP="00685B62">
            <w:pPr>
              <w:keepNext/>
              <w:keepLines/>
              <w:widowControl w:val="0"/>
              <w:autoSpaceDE w:val="0"/>
              <w:autoSpaceDN w:val="0"/>
              <w:adjustRightInd w:val="0"/>
              <w:spacing w:after="0" w:line="240" w:lineRule="auto"/>
              <w:rPr>
                <w:rFonts w:cstheme="minorHAnsi"/>
              </w:rPr>
            </w:pPr>
            <w:r w:rsidRPr="00D80ACC">
              <w:rPr>
                <w:rFonts w:cstheme="minorHAnsi"/>
              </w:rPr>
              <w:t>Weighted average number of Ordinary shares for diluted earnings per share (000s)</w:t>
            </w:r>
          </w:p>
        </w:tc>
        <w:tc>
          <w:tcPr>
            <w:tcW w:w="500" w:type="pct"/>
            <w:tcBorders>
              <w:top w:val="single" w:sz="4" w:space="0" w:color="auto"/>
              <w:left w:val="nil"/>
              <w:bottom w:val="single" w:sz="12" w:space="0" w:color="000000" w:themeColor="text1"/>
              <w:right w:val="nil"/>
            </w:tcBorders>
            <w:vAlign w:val="bottom"/>
            <w:hideMark/>
          </w:tcPr>
          <w:p w14:paraId="1C999B6D" w14:textId="77777777" w:rsidR="008363D5" w:rsidRPr="001150EC" w:rsidRDefault="008363D5" w:rsidP="00685B62">
            <w:pPr>
              <w:keepNext/>
              <w:keepLines/>
              <w:widowControl w:val="0"/>
              <w:autoSpaceDE w:val="0"/>
              <w:autoSpaceDN w:val="0"/>
              <w:adjustRightInd w:val="0"/>
              <w:spacing w:after="0" w:line="240" w:lineRule="auto"/>
              <w:jc w:val="right"/>
              <w:rPr>
                <w:rFonts w:cstheme="minorHAnsi"/>
                <w:b/>
                <w:bCs/>
              </w:rPr>
            </w:pPr>
            <w:r w:rsidRPr="001150EC">
              <w:rPr>
                <w:rFonts w:cstheme="minorHAnsi"/>
                <w:b/>
                <w:bCs/>
              </w:rPr>
              <w:t>45,043</w:t>
            </w:r>
          </w:p>
        </w:tc>
        <w:tc>
          <w:tcPr>
            <w:tcW w:w="500" w:type="pct"/>
            <w:tcBorders>
              <w:top w:val="single" w:sz="4" w:space="0" w:color="auto"/>
              <w:left w:val="nil"/>
              <w:bottom w:val="single" w:sz="12" w:space="0" w:color="000000" w:themeColor="text1"/>
              <w:right w:val="nil"/>
            </w:tcBorders>
            <w:vAlign w:val="bottom"/>
          </w:tcPr>
          <w:p w14:paraId="4BEC57A0" w14:textId="77777777" w:rsidR="008363D5" w:rsidRPr="008C51AB" w:rsidRDefault="008363D5" w:rsidP="00685B62">
            <w:pPr>
              <w:keepNext/>
              <w:keepLines/>
              <w:widowControl w:val="0"/>
              <w:autoSpaceDE w:val="0"/>
              <w:autoSpaceDN w:val="0"/>
              <w:adjustRightInd w:val="0"/>
              <w:spacing w:after="0" w:line="240" w:lineRule="auto"/>
              <w:jc w:val="right"/>
              <w:rPr>
                <w:rFonts w:cstheme="minorHAnsi"/>
              </w:rPr>
            </w:pPr>
            <w:r w:rsidRPr="008C51AB">
              <w:rPr>
                <w:rFonts w:cstheme="minorHAnsi"/>
              </w:rPr>
              <w:t>44,273</w:t>
            </w:r>
          </w:p>
        </w:tc>
      </w:tr>
      <w:tr w:rsidR="008363D5" w:rsidRPr="00D80ACC" w14:paraId="3561A0E6" w14:textId="77777777" w:rsidTr="00685B62">
        <w:tc>
          <w:tcPr>
            <w:tcW w:w="3999" w:type="pct"/>
            <w:tcBorders>
              <w:top w:val="single" w:sz="12" w:space="0" w:color="000000" w:themeColor="text1"/>
              <w:left w:val="nil"/>
              <w:bottom w:val="single" w:sz="12" w:space="0" w:color="000000" w:themeColor="text1"/>
              <w:right w:val="nil"/>
            </w:tcBorders>
            <w:vAlign w:val="bottom"/>
            <w:hideMark/>
          </w:tcPr>
          <w:p w14:paraId="6EF23F72" w14:textId="77777777" w:rsidR="008363D5" w:rsidRPr="00D80ACC" w:rsidRDefault="008363D5" w:rsidP="00685B62">
            <w:pPr>
              <w:keepNext/>
              <w:keepLines/>
              <w:widowControl w:val="0"/>
              <w:autoSpaceDE w:val="0"/>
              <w:autoSpaceDN w:val="0"/>
              <w:adjustRightInd w:val="0"/>
              <w:spacing w:after="0" w:line="240" w:lineRule="auto"/>
              <w:rPr>
                <w:rFonts w:cstheme="minorHAnsi"/>
              </w:rPr>
            </w:pPr>
            <w:r w:rsidRPr="00D80ACC">
              <w:rPr>
                <w:rFonts w:cstheme="minorHAnsi"/>
              </w:rPr>
              <w:t>Diluted underlying earnings per share</w:t>
            </w:r>
          </w:p>
        </w:tc>
        <w:tc>
          <w:tcPr>
            <w:tcW w:w="500" w:type="pct"/>
            <w:tcBorders>
              <w:top w:val="single" w:sz="12" w:space="0" w:color="000000" w:themeColor="text1"/>
              <w:left w:val="nil"/>
              <w:bottom w:val="single" w:sz="12" w:space="0" w:color="000000" w:themeColor="text1"/>
              <w:right w:val="nil"/>
            </w:tcBorders>
            <w:vAlign w:val="bottom"/>
            <w:hideMark/>
          </w:tcPr>
          <w:p w14:paraId="5E78EAC1" w14:textId="77777777" w:rsidR="008363D5" w:rsidRPr="001150EC" w:rsidRDefault="008363D5" w:rsidP="00685B62">
            <w:pPr>
              <w:keepNext/>
              <w:keepLines/>
              <w:widowControl w:val="0"/>
              <w:autoSpaceDE w:val="0"/>
              <w:autoSpaceDN w:val="0"/>
              <w:adjustRightInd w:val="0"/>
              <w:spacing w:after="0" w:line="240" w:lineRule="auto"/>
              <w:jc w:val="right"/>
              <w:rPr>
                <w:rFonts w:cstheme="minorHAnsi"/>
                <w:b/>
                <w:bCs/>
              </w:rPr>
            </w:pPr>
            <w:r w:rsidRPr="001150EC">
              <w:rPr>
                <w:rFonts w:cstheme="minorHAnsi"/>
                <w:b/>
                <w:bCs/>
              </w:rPr>
              <w:t>9.66p</w:t>
            </w:r>
          </w:p>
        </w:tc>
        <w:tc>
          <w:tcPr>
            <w:tcW w:w="500" w:type="pct"/>
            <w:tcBorders>
              <w:top w:val="single" w:sz="12" w:space="0" w:color="000000" w:themeColor="text1"/>
              <w:left w:val="nil"/>
              <w:bottom w:val="single" w:sz="12" w:space="0" w:color="000000" w:themeColor="text1"/>
              <w:right w:val="nil"/>
            </w:tcBorders>
            <w:vAlign w:val="bottom"/>
          </w:tcPr>
          <w:p w14:paraId="5FD2CF25" w14:textId="77777777" w:rsidR="008363D5" w:rsidRPr="008C51AB" w:rsidRDefault="008363D5" w:rsidP="00685B62">
            <w:pPr>
              <w:keepNext/>
              <w:keepLines/>
              <w:widowControl w:val="0"/>
              <w:autoSpaceDE w:val="0"/>
              <w:autoSpaceDN w:val="0"/>
              <w:adjustRightInd w:val="0"/>
              <w:spacing w:after="0" w:line="240" w:lineRule="auto"/>
              <w:jc w:val="right"/>
              <w:rPr>
                <w:rFonts w:cstheme="minorHAnsi"/>
              </w:rPr>
            </w:pPr>
            <w:r w:rsidRPr="008C51AB">
              <w:rPr>
                <w:rFonts w:cstheme="minorHAnsi"/>
              </w:rPr>
              <w:t>17.90p</w:t>
            </w:r>
          </w:p>
        </w:tc>
      </w:tr>
      <w:tr w:rsidR="008363D5" w:rsidRPr="00D80ACC" w14:paraId="608758E9" w14:textId="77777777" w:rsidTr="00685B62">
        <w:tc>
          <w:tcPr>
            <w:tcW w:w="3999" w:type="pct"/>
            <w:tcBorders>
              <w:top w:val="single" w:sz="12" w:space="0" w:color="000000" w:themeColor="text1"/>
              <w:left w:val="nil"/>
              <w:bottom w:val="single" w:sz="12" w:space="0" w:color="000000" w:themeColor="text1"/>
              <w:right w:val="nil"/>
            </w:tcBorders>
            <w:vAlign w:val="bottom"/>
            <w:hideMark/>
          </w:tcPr>
          <w:p w14:paraId="7D6664F4" w14:textId="77777777" w:rsidR="008363D5" w:rsidRPr="00D80ACC" w:rsidRDefault="008363D5" w:rsidP="00685B62">
            <w:pPr>
              <w:keepNext/>
              <w:keepLines/>
              <w:widowControl w:val="0"/>
              <w:autoSpaceDE w:val="0"/>
              <w:autoSpaceDN w:val="0"/>
              <w:adjustRightInd w:val="0"/>
              <w:spacing w:after="0" w:line="240" w:lineRule="auto"/>
              <w:rPr>
                <w:rFonts w:cstheme="minorHAnsi"/>
              </w:rPr>
            </w:pPr>
            <w:r w:rsidRPr="00D80ACC">
              <w:rPr>
                <w:rFonts w:cstheme="minorHAnsi"/>
              </w:rPr>
              <w:t>Basic underlying earnings per share</w:t>
            </w:r>
          </w:p>
        </w:tc>
        <w:tc>
          <w:tcPr>
            <w:tcW w:w="500" w:type="pct"/>
            <w:tcBorders>
              <w:top w:val="single" w:sz="12" w:space="0" w:color="000000" w:themeColor="text1"/>
              <w:left w:val="nil"/>
              <w:bottom w:val="single" w:sz="12" w:space="0" w:color="000000" w:themeColor="text1"/>
              <w:right w:val="nil"/>
            </w:tcBorders>
            <w:vAlign w:val="bottom"/>
            <w:hideMark/>
          </w:tcPr>
          <w:p w14:paraId="5C3BD6D4" w14:textId="77777777" w:rsidR="008363D5" w:rsidRPr="001150EC" w:rsidRDefault="008363D5" w:rsidP="00685B62">
            <w:pPr>
              <w:keepNext/>
              <w:keepLines/>
              <w:widowControl w:val="0"/>
              <w:autoSpaceDE w:val="0"/>
              <w:autoSpaceDN w:val="0"/>
              <w:adjustRightInd w:val="0"/>
              <w:spacing w:after="0" w:line="240" w:lineRule="auto"/>
              <w:jc w:val="right"/>
              <w:rPr>
                <w:rFonts w:cstheme="minorHAnsi"/>
                <w:b/>
                <w:bCs/>
              </w:rPr>
            </w:pPr>
            <w:r w:rsidRPr="001150EC">
              <w:rPr>
                <w:rFonts w:cstheme="minorHAnsi"/>
                <w:b/>
                <w:bCs/>
              </w:rPr>
              <w:t>10.29p</w:t>
            </w:r>
          </w:p>
        </w:tc>
        <w:tc>
          <w:tcPr>
            <w:tcW w:w="500" w:type="pct"/>
            <w:tcBorders>
              <w:top w:val="single" w:sz="12" w:space="0" w:color="000000" w:themeColor="text1"/>
              <w:left w:val="nil"/>
              <w:bottom w:val="single" w:sz="12" w:space="0" w:color="000000" w:themeColor="text1"/>
              <w:right w:val="nil"/>
            </w:tcBorders>
            <w:vAlign w:val="bottom"/>
          </w:tcPr>
          <w:p w14:paraId="7EAD7C52" w14:textId="77777777" w:rsidR="008363D5" w:rsidRPr="008C51AB" w:rsidRDefault="008363D5" w:rsidP="00685B62">
            <w:pPr>
              <w:keepNext/>
              <w:keepLines/>
              <w:widowControl w:val="0"/>
              <w:autoSpaceDE w:val="0"/>
              <w:autoSpaceDN w:val="0"/>
              <w:adjustRightInd w:val="0"/>
              <w:spacing w:after="0" w:line="240" w:lineRule="auto"/>
              <w:jc w:val="right"/>
              <w:rPr>
                <w:rFonts w:cstheme="minorHAnsi"/>
              </w:rPr>
            </w:pPr>
            <w:r w:rsidRPr="008C51AB">
              <w:rPr>
                <w:rFonts w:cstheme="minorHAnsi"/>
              </w:rPr>
              <w:t>18.81p</w:t>
            </w:r>
          </w:p>
        </w:tc>
      </w:tr>
    </w:tbl>
    <w:p w14:paraId="2FC3236B" w14:textId="7A4424EF" w:rsidR="008363D5" w:rsidRDefault="008363D5" w:rsidP="00D75CA8">
      <w:pPr>
        <w:widowControl w:val="0"/>
        <w:autoSpaceDE w:val="0"/>
        <w:autoSpaceDN w:val="0"/>
        <w:adjustRightInd w:val="0"/>
        <w:spacing w:after="0"/>
        <w:rPr>
          <w:rFonts w:cs="Times New Roman"/>
          <w:b/>
          <w:bCs/>
          <w:color w:val="002060"/>
          <w:sz w:val="28"/>
          <w:szCs w:val="28"/>
        </w:rPr>
      </w:pPr>
    </w:p>
    <w:p w14:paraId="631B03C7" w14:textId="77777777" w:rsidR="008363D5" w:rsidRPr="008C1220" w:rsidRDefault="008363D5" w:rsidP="008363D5">
      <w:pPr>
        <w:rPr>
          <w:rFonts w:ascii="Tahoma" w:hAnsi="Tahoma" w:cs="Tahoma"/>
          <w:b/>
          <w:bCs/>
          <w:sz w:val="20"/>
          <w:szCs w:val="18"/>
        </w:rPr>
      </w:pPr>
      <w:r w:rsidRPr="008C1220">
        <w:rPr>
          <w:rFonts w:ascii="Tahoma" w:hAnsi="Tahoma" w:cs="Tahoma"/>
          <w:b/>
          <w:bCs/>
          <w:color w:val="003366"/>
          <w:sz w:val="20"/>
          <w:szCs w:val="18"/>
        </w:rPr>
        <w:t xml:space="preserve">Note </w:t>
      </w:r>
      <w:r>
        <w:rPr>
          <w:rFonts w:ascii="Tahoma" w:hAnsi="Tahoma" w:cs="Tahoma"/>
          <w:b/>
          <w:bCs/>
          <w:color w:val="003366"/>
          <w:sz w:val="20"/>
          <w:szCs w:val="18"/>
        </w:rPr>
        <w:t>6</w:t>
      </w:r>
      <w:r w:rsidRPr="008C1220">
        <w:rPr>
          <w:rFonts w:ascii="Tahoma" w:hAnsi="Tahoma" w:cs="Tahoma"/>
          <w:b/>
          <w:bCs/>
          <w:color w:val="003366"/>
          <w:sz w:val="20"/>
          <w:szCs w:val="18"/>
        </w:rPr>
        <w:t xml:space="preserve"> – Dividends</w:t>
      </w:r>
    </w:p>
    <w:tbl>
      <w:tblPr>
        <w:tblW w:w="10956" w:type="dxa"/>
        <w:tblInd w:w="-108" w:type="dxa"/>
        <w:tblLook w:val="0000" w:firstRow="0" w:lastRow="0" w:firstColumn="0" w:lastColumn="0" w:noHBand="0" w:noVBand="0"/>
      </w:tblPr>
      <w:tblGrid>
        <w:gridCol w:w="8755"/>
        <w:gridCol w:w="993"/>
        <w:gridCol w:w="1208"/>
      </w:tblGrid>
      <w:tr w:rsidR="008363D5" w:rsidRPr="008F3C94" w14:paraId="64AF01BE" w14:textId="77777777" w:rsidTr="00685B62">
        <w:trPr>
          <w:trHeight w:val="255"/>
        </w:trPr>
        <w:tc>
          <w:tcPr>
            <w:tcW w:w="8755" w:type="dxa"/>
            <w:tcBorders>
              <w:top w:val="nil"/>
              <w:left w:val="nil"/>
              <w:bottom w:val="nil"/>
              <w:right w:val="nil"/>
            </w:tcBorders>
            <w:shd w:val="clear" w:color="auto" w:fill="auto"/>
            <w:noWrap/>
            <w:vAlign w:val="bottom"/>
          </w:tcPr>
          <w:p w14:paraId="0EC7003C" w14:textId="77777777" w:rsidR="008363D5" w:rsidRPr="00807EC2" w:rsidRDefault="008363D5" w:rsidP="00685B62">
            <w:pPr>
              <w:spacing w:after="0" w:line="240" w:lineRule="auto"/>
              <w:jc w:val="both"/>
              <w:rPr>
                <w:rFonts w:ascii="Tahoma" w:hAnsi="Tahoma" w:cs="Tahoma"/>
                <w:bCs/>
                <w:sz w:val="18"/>
                <w:szCs w:val="18"/>
              </w:rPr>
            </w:pPr>
          </w:p>
        </w:tc>
        <w:tc>
          <w:tcPr>
            <w:tcW w:w="993" w:type="dxa"/>
            <w:tcBorders>
              <w:top w:val="nil"/>
              <w:left w:val="nil"/>
              <w:right w:val="nil"/>
            </w:tcBorders>
            <w:shd w:val="clear" w:color="auto" w:fill="auto"/>
            <w:noWrap/>
            <w:vAlign w:val="bottom"/>
          </w:tcPr>
          <w:p w14:paraId="0360AAC2" w14:textId="77777777" w:rsidR="008363D5" w:rsidRPr="008F3C94" w:rsidRDefault="008363D5" w:rsidP="00685B62">
            <w:pPr>
              <w:spacing w:after="0" w:line="240" w:lineRule="auto"/>
              <w:ind w:left="-50" w:firstLine="50"/>
              <w:jc w:val="right"/>
              <w:rPr>
                <w:rFonts w:ascii="Tahoma" w:hAnsi="Tahoma" w:cs="Tahoma"/>
                <w:b/>
                <w:bCs/>
                <w:sz w:val="18"/>
                <w:szCs w:val="18"/>
              </w:rPr>
            </w:pPr>
            <w:r w:rsidRPr="008F3C94">
              <w:rPr>
                <w:rFonts w:ascii="Tahoma" w:hAnsi="Tahoma" w:cs="Tahoma"/>
                <w:b/>
                <w:bCs/>
                <w:sz w:val="18"/>
                <w:szCs w:val="18"/>
              </w:rPr>
              <w:t>20</w:t>
            </w:r>
            <w:r>
              <w:rPr>
                <w:rFonts w:ascii="Tahoma" w:hAnsi="Tahoma" w:cs="Tahoma"/>
                <w:b/>
                <w:bCs/>
                <w:sz w:val="18"/>
                <w:szCs w:val="18"/>
              </w:rPr>
              <w:t>20</w:t>
            </w:r>
          </w:p>
          <w:p w14:paraId="2E83875B" w14:textId="77777777" w:rsidR="008363D5" w:rsidRPr="008F3C94" w:rsidRDefault="008363D5" w:rsidP="00685B62">
            <w:pPr>
              <w:spacing w:after="0" w:line="240" w:lineRule="auto"/>
              <w:ind w:left="-50" w:firstLine="50"/>
              <w:jc w:val="right"/>
              <w:rPr>
                <w:rFonts w:ascii="Tahoma" w:hAnsi="Tahoma" w:cs="Tahoma"/>
                <w:b/>
                <w:bCs/>
                <w:sz w:val="18"/>
                <w:szCs w:val="18"/>
              </w:rPr>
            </w:pPr>
            <w:r w:rsidRPr="008F3C94">
              <w:rPr>
                <w:rFonts w:ascii="Tahoma" w:hAnsi="Tahoma" w:cs="Tahoma"/>
                <w:b/>
                <w:bCs/>
                <w:sz w:val="18"/>
                <w:szCs w:val="18"/>
              </w:rPr>
              <w:t>£m</w:t>
            </w:r>
          </w:p>
        </w:tc>
        <w:tc>
          <w:tcPr>
            <w:tcW w:w="1208" w:type="dxa"/>
            <w:tcBorders>
              <w:top w:val="nil"/>
              <w:left w:val="nil"/>
              <w:right w:val="nil"/>
            </w:tcBorders>
            <w:vAlign w:val="bottom"/>
          </w:tcPr>
          <w:p w14:paraId="06EC6E5A" w14:textId="77777777" w:rsidR="008363D5" w:rsidRPr="00855121" w:rsidRDefault="008363D5" w:rsidP="00685B62">
            <w:pPr>
              <w:spacing w:after="0" w:line="240" w:lineRule="auto"/>
              <w:ind w:left="-50" w:firstLine="50"/>
              <w:jc w:val="right"/>
              <w:rPr>
                <w:rFonts w:ascii="Tahoma" w:hAnsi="Tahoma" w:cs="Tahoma"/>
                <w:sz w:val="18"/>
                <w:szCs w:val="18"/>
              </w:rPr>
            </w:pPr>
            <w:r w:rsidRPr="00855121">
              <w:rPr>
                <w:rFonts w:ascii="Tahoma" w:hAnsi="Tahoma" w:cs="Tahoma"/>
                <w:sz w:val="18"/>
                <w:szCs w:val="18"/>
              </w:rPr>
              <w:t>2019</w:t>
            </w:r>
          </w:p>
          <w:p w14:paraId="37522054" w14:textId="77777777" w:rsidR="008363D5" w:rsidRPr="00855121" w:rsidRDefault="008363D5" w:rsidP="00685B62">
            <w:pPr>
              <w:spacing w:after="0" w:line="240" w:lineRule="auto"/>
              <w:ind w:left="-50" w:firstLine="50"/>
              <w:jc w:val="right"/>
              <w:rPr>
                <w:rFonts w:ascii="Tahoma" w:hAnsi="Tahoma" w:cs="Tahoma"/>
                <w:sz w:val="18"/>
                <w:szCs w:val="18"/>
              </w:rPr>
            </w:pPr>
            <w:r w:rsidRPr="00855121">
              <w:rPr>
                <w:rFonts w:ascii="Tahoma" w:hAnsi="Tahoma" w:cs="Tahoma"/>
                <w:sz w:val="18"/>
                <w:szCs w:val="18"/>
              </w:rPr>
              <w:t>£m</w:t>
            </w:r>
          </w:p>
        </w:tc>
      </w:tr>
      <w:tr w:rsidR="008363D5" w:rsidRPr="008F3C94" w14:paraId="77313909" w14:textId="77777777" w:rsidTr="00685B62">
        <w:trPr>
          <w:trHeight w:val="255"/>
        </w:trPr>
        <w:tc>
          <w:tcPr>
            <w:tcW w:w="8755" w:type="dxa"/>
            <w:tcBorders>
              <w:top w:val="nil"/>
              <w:left w:val="nil"/>
              <w:bottom w:val="nil"/>
              <w:right w:val="nil"/>
            </w:tcBorders>
            <w:shd w:val="clear" w:color="auto" w:fill="auto"/>
            <w:noWrap/>
            <w:vAlign w:val="bottom"/>
          </w:tcPr>
          <w:p w14:paraId="28E2BDF3" w14:textId="77777777" w:rsidR="008363D5" w:rsidRPr="008F3C94" w:rsidRDefault="008363D5" w:rsidP="00685B62">
            <w:pPr>
              <w:spacing w:after="0" w:line="240" w:lineRule="auto"/>
              <w:jc w:val="both"/>
              <w:rPr>
                <w:rFonts w:ascii="Tahoma" w:hAnsi="Tahoma" w:cs="Tahoma"/>
                <w:bCs/>
                <w:sz w:val="18"/>
                <w:szCs w:val="18"/>
              </w:rPr>
            </w:pPr>
            <w:r w:rsidRPr="008F3C94">
              <w:rPr>
                <w:rFonts w:ascii="Tahoma" w:hAnsi="Tahoma" w:cs="Tahoma"/>
                <w:bCs/>
                <w:sz w:val="18"/>
                <w:szCs w:val="18"/>
              </w:rPr>
              <w:t xml:space="preserve">Final dividend of </w:t>
            </w:r>
            <w:r>
              <w:rPr>
                <w:rFonts w:ascii="Tahoma" w:hAnsi="Tahoma" w:cs="Tahoma"/>
                <w:bCs/>
                <w:sz w:val="18"/>
                <w:szCs w:val="18"/>
              </w:rPr>
              <w:t>3.65</w:t>
            </w:r>
            <w:r w:rsidRPr="008F3C94">
              <w:rPr>
                <w:rFonts w:ascii="Tahoma" w:hAnsi="Tahoma" w:cs="Tahoma"/>
                <w:bCs/>
                <w:sz w:val="18"/>
                <w:szCs w:val="18"/>
              </w:rPr>
              <w:t>p (201</w:t>
            </w:r>
            <w:r>
              <w:rPr>
                <w:rFonts w:ascii="Tahoma" w:hAnsi="Tahoma" w:cs="Tahoma"/>
                <w:bCs/>
                <w:sz w:val="18"/>
                <w:szCs w:val="18"/>
              </w:rPr>
              <w:t>9</w:t>
            </w:r>
            <w:r w:rsidRPr="008F3C94">
              <w:rPr>
                <w:rFonts w:ascii="Tahoma" w:hAnsi="Tahoma" w:cs="Tahoma"/>
                <w:bCs/>
                <w:sz w:val="18"/>
                <w:szCs w:val="18"/>
              </w:rPr>
              <w:t xml:space="preserve">: </w:t>
            </w:r>
            <w:r>
              <w:rPr>
                <w:rFonts w:ascii="Tahoma" w:hAnsi="Tahoma" w:cs="Tahoma"/>
                <w:bCs/>
                <w:sz w:val="18"/>
                <w:szCs w:val="18"/>
              </w:rPr>
              <w:t>3.34</w:t>
            </w:r>
            <w:r w:rsidRPr="008F3C94">
              <w:rPr>
                <w:rFonts w:ascii="Tahoma" w:hAnsi="Tahoma" w:cs="Tahoma"/>
                <w:bCs/>
                <w:sz w:val="18"/>
                <w:szCs w:val="18"/>
              </w:rPr>
              <w:t>p) per ordinary share proposed and paid during the year relating to the previous year’s results</w:t>
            </w:r>
          </w:p>
        </w:tc>
        <w:tc>
          <w:tcPr>
            <w:tcW w:w="993" w:type="dxa"/>
            <w:tcBorders>
              <w:top w:val="nil"/>
              <w:left w:val="nil"/>
              <w:right w:val="nil"/>
            </w:tcBorders>
            <w:shd w:val="clear" w:color="auto" w:fill="auto"/>
            <w:noWrap/>
          </w:tcPr>
          <w:p w14:paraId="1D9DEAA5" w14:textId="77777777" w:rsidR="008363D5" w:rsidRPr="008F3C94" w:rsidRDefault="008363D5" w:rsidP="00685B62">
            <w:pPr>
              <w:spacing w:after="0" w:line="240" w:lineRule="auto"/>
              <w:ind w:left="-50" w:firstLine="50"/>
              <w:jc w:val="right"/>
              <w:rPr>
                <w:rFonts w:ascii="Tahoma" w:hAnsi="Tahoma" w:cs="Tahoma"/>
                <w:b/>
                <w:bCs/>
                <w:sz w:val="18"/>
                <w:szCs w:val="18"/>
              </w:rPr>
            </w:pPr>
            <w:r w:rsidRPr="008F3C94">
              <w:rPr>
                <w:rFonts w:ascii="Tahoma" w:hAnsi="Tahoma" w:cs="Tahoma"/>
                <w:b/>
                <w:bCs/>
                <w:sz w:val="18"/>
                <w:szCs w:val="18"/>
              </w:rPr>
              <w:t>1.</w:t>
            </w:r>
            <w:r>
              <w:rPr>
                <w:rFonts w:ascii="Tahoma" w:hAnsi="Tahoma" w:cs="Tahoma"/>
                <w:b/>
                <w:bCs/>
                <w:sz w:val="18"/>
                <w:szCs w:val="18"/>
              </w:rPr>
              <w:t>6</w:t>
            </w:r>
          </w:p>
        </w:tc>
        <w:tc>
          <w:tcPr>
            <w:tcW w:w="1208" w:type="dxa"/>
            <w:tcBorders>
              <w:top w:val="nil"/>
              <w:left w:val="nil"/>
              <w:right w:val="nil"/>
            </w:tcBorders>
          </w:tcPr>
          <w:p w14:paraId="4E3F8DD6" w14:textId="77777777" w:rsidR="008363D5" w:rsidRPr="00855121" w:rsidRDefault="008363D5" w:rsidP="00685B62">
            <w:pPr>
              <w:spacing w:after="0" w:line="240" w:lineRule="auto"/>
              <w:ind w:left="-50" w:firstLine="50"/>
              <w:jc w:val="right"/>
              <w:rPr>
                <w:rFonts w:ascii="Tahoma" w:hAnsi="Tahoma" w:cs="Tahoma"/>
                <w:sz w:val="18"/>
                <w:szCs w:val="18"/>
              </w:rPr>
            </w:pPr>
            <w:r w:rsidRPr="00855121">
              <w:rPr>
                <w:rFonts w:ascii="Tahoma" w:hAnsi="Tahoma" w:cs="Tahoma"/>
                <w:sz w:val="18"/>
                <w:szCs w:val="18"/>
              </w:rPr>
              <w:t>1.4</w:t>
            </w:r>
          </w:p>
        </w:tc>
      </w:tr>
      <w:tr w:rsidR="008363D5" w:rsidRPr="008F3C94" w14:paraId="0A1734F9" w14:textId="77777777" w:rsidTr="00685B62">
        <w:trPr>
          <w:trHeight w:val="255"/>
        </w:trPr>
        <w:tc>
          <w:tcPr>
            <w:tcW w:w="8755" w:type="dxa"/>
            <w:tcBorders>
              <w:top w:val="nil"/>
              <w:left w:val="nil"/>
              <w:bottom w:val="nil"/>
              <w:right w:val="nil"/>
            </w:tcBorders>
            <w:shd w:val="clear" w:color="auto" w:fill="auto"/>
            <w:noWrap/>
            <w:vAlign w:val="bottom"/>
          </w:tcPr>
          <w:p w14:paraId="3665F67F" w14:textId="77777777" w:rsidR="008363D5" w:rsidRPr="008F3C94" w:rsidRDefault="008363D5" w:rsidP="00685B62">
            <w:pPr>
              <w:spacing w:after="0" w:line="240" w:lineRule="auto"/>
              <w:jc w:val="both"/>
              <w:rPr>
                <w:rFonts w:ascii="Tahoma" w:hAnsi="Tahoma" w:cs="Tahoma"/>
                <w:bCs/>
                <w:sz w:val="18"/>
                <w:szCs w:val="18"/>
              </w:rPr>
            </w:pPr>
            <w:r w:rsidRPr="008F3C94">
              <w:rPr>
                <w:rFonts w:ascii="Tahoma" w:hAnsi="Tahoma" w:cs="Tahoma"/>
                <w:bCs/>
                <w:sz w:val="18"/>
                <w:szCs w:val="18"/>
              </w:rPr>
              <w:t>Interim dividend of 0.</w:t>
            </w:r>
            <w:r>
              <w:rPr>
                <w:rFonts w:ascii="Tahoma" w:hAnsi="Tahoma" w:cs="Tahoma"/>
                <w:bCs/>
                <w:sz w:val="18"/>
                <w:szCs w:val="18"/>
              </w:rPr>
              <w:t>75</w:t>
            </w:r>
            <w:r w:rsidRPr="008F3C94">
              <w:rPr>
                <w:rFonts w:ascii="Tahoma" w:hAnsi="Tahoma" w:cs="Tahoma"/>
                <w:bCs/>
                <w:sz w:val="18"/>
                <w:szCs w:val="18"/>
              </w:rPr>
              <w:t>p (201</w:t>
            </w:r>
            <w:r>
              <w:rPr>
                <w:rFonts w:ascii="Tahoma" w:hAnsi="Tahoma" w:cs="Tahoma"/>
                <w:bCs/>
                <w:sz w:val="18"/>
                <w:szCs w:val="18"/>
              </w:rPr>
              <w:t>9</w:t>
            </w:r>
            <w:r w:rsidRPr="008F3C94">
              <w:rPr>
                <w:rFonts w:ascii="Tahoma" w:hAnsi="Tahoma" w:cs="Tahoma"/>
                <w:bCs/>
                <w:sz w:val="18"/>
                <w:szCs w:val="18"/>
              </w:rPr>
              <w:t>: 0</w:t>
            </w:r>
            <w:r>
              <w:rPr>
                <w:rFonts w:ascii="Tahoma" w:hAnsi="Tahoma" w:cs="Tahoma"/>
                <w:bCs/>
                <w:sz w:val="18"/>
                <w:szCs w:val="18"/>
              </w:rPr>
              <w:t>.75</w:t>
            </w:r>
            <w:r w:rsidRPr="008F3C94">
              <w:rPr>
                <w:rFonts w:ascii="Tahoma" w:hAnsi="Tahoma" w:cs="Tahoma"/>
                <w:bCs/>
                <w:sz w:val="18"/>
                <w:szCs w:val="18"/>
              </w:rPr>
              <w:t>p) per ordinary share paid during the year</w:t>
            </w:r>
          </w:p>
        </w:tc>
        <w:tc>
          <w:tcPr>
            <w:tcW w:w="993" w:type="dxa"/>
            <w:tcBorders>
              <w:left w:val="nil"/>
              <w:bottom w:val="single" w:sz="4" w:space="0" w:color="auto"/>
              <w:right w:val="nil"/>
            </w:tcBorders>
            <w:shd w:val="clear" w:color="auto" w:fill="auto"/>
            <w:noWrap/>
            <w:vAlign w:val="bottom"/>
          </w:tcPr>
          <w:p w14:paraId="00AE3318" w14:textId="77777777" w:rsidR="008363D5" w:rsidRPr="008F3C94" w:rsidRDefault="008363D5" w:rsidP="00685B62">
            <w:pPr>
              <w:spacing w:after="0" w:line="240" w:lineRule="auto"/>
              <w:ind w:left="-50" w:firstLine="50"/>
              <w:jc w:val="right"/>
              <w:rPr>
                <w:rFonts w:ascii="Tahoma" w:hAnsi="Tahoma" w:cs="Tahoma"/>
                <w:b/>
                <w:bCs/>
                <w:sz w:val="18"/>
                <w:szCs w:val="18"/>
              </w:rPr>
            </w:pPr>
            <w:r w:rsidRPr="008F3C94">
              <w:rPr>
                <w:rFonts w:ascii="Tahoma" w:hAnsi="Tahoma" w:cs="Tahoma"/>
                <w:b/>
                <w:bCs/>
                <w:sz w:val="18"/>
                <w:szCs w:val="18"/>
              </w:rPr>
              <w:t>0.3</w:t>
            </w:r>
          </w:p>
        </w:tc>
        <w:tc>
          <w:tcPr>
            <w:tcW w:w="1208" w:type="dxa"/>
            <w:tcBorders>
              <w:left w:val="nil"/>
              <w:bottom w:val="single" w:sz="4" w:space="0" w:color="auto"/>
              <w:right w:val="nil"/>
            </w:tcBorders>
            <w:vAlign w:val="bottom"/>
          </w:tcPr>
          <w:p w14:paraId="35EAC1BD" w14:textId="77777777" w:rsidR="008363D5" w:rsidRPr="00855121" w:rsidRDefault="008363D5" w:rsidP="00685B62">
            <w:pPr>
              <w:spacing w:after="0" w:line="240" w:lineRule="auto"/>
              <w:ind w:left="-50" w:firstLine="50"/>
              <w:jc w:val="right"/>
              <w:rPr>
                <w:rFonts w:ascii="Tahoma" w:hAnsi="Tahoma" w:cs="Tahoma"/>
                <w:sz w:val="18"/>
                <w:szCs w:val="18"/>
              </w:rPr>
            </w:pPr>
            <w:r w:rsidRPr="00855121">
              <w:rPr>
                <w:rFonts w:ascii="Tahoma" w:hAnsi="Tahoma" w:cs="Tahoma"/>
                <w:sz w:val="18"/>
                <w:szCs w:val="18"/>
              </w:rPr>
              <w:t>0.3</w:t>
            </w:r>
          </w:p>
        </w:tc>
      </w:tr>
      <w:tr w:rsidR="008363D5" w:rsidRPr="00974122" w14:paraId="0C5F3C1F" w14:textId="77777777" w:rsidTr="00685B62">
        <w:trPr>
          <w:trHeight w:val="255"/>
        </w:trPr>
        <w:tc>
          <w:tcPr>
            <w:tcW w:w="8755" w:type="dxa"/>
            <w:tcBorders>
              <w:top w:val="nil"/>
              <w:left w:val="nil"/>
              <w:bottom w:val="nil"/>
              <w:right w:val="nil"/>
            </w:tcBorders>
            <w:shd w:val="clear" w:color="auto" w:fill="auto"/>
            <w:noWrap/>
            <w:vAlign w:val="bottom"/>
          </w:tcPr>
          <w:p w14:paraId="3757F412" w14:textId="77777777" w:rsidR="008363D5" w:rsidRPr="00974122" w:rsidRDefault="008363D5" w:rsidP="00685B62">
            <w:pPr>
              <w:spacing w:after="0" w:line="240" w:lineRule="auto"/>
              <w:jc w:val="both"/>
              <w:rPr>
                <w:rFonts w:ascii="Tahoma" w:hAnsi="Tahoma" w:cs="Tahoma"/>
                <w:b/>
                <w:bCs/>
                <w:sz w:val="18"/>
                <w:szCs w:val="18"/>
              </w:rPr>
            </w:pPr>
            <w:r w:rsidRPr="00974122">
              <w:rPr>
                <w:rFonts w:ascii="Tahoma" w:hAnsi="Tahoma" w:cs="Tahoma"/>
                <w:b/>
                <w:bCs/>
                <w:sz w:val="18"/>
                <w:szCs w:val="18"/>
              </w:rPr>
              <w:t>Total</w:t>
            </w:r>
          </w:p>
        </w:tc>
        <w:tc>
          <w:tcPr>
            <w:tcW w:w="993" w:type="dxa"/>
            <w:tcBorders>
              <w:top w:val="single" w:sz="4" w:space="0" w:color="auto"/>
              <w:left w:val="nil"/>
              <w:bottom w:val="single" w:sz="4" w:space="0" w:color="auto"/>
              <w:right w:val="nil"/>
            </w:tcBorders>
            <w:shd w:val="clear" w:color="auto" w:fill="auto"/>
            <w:noWrap/>
            <w:vAlign w:val="bottom"/>
          </w:tcPr>
          <w:p w14:paraId="443B388C" w14:textId="77777777" w:rsidR="008363D5" w:rsidRPr="00974122" w:rsidRDefault="008363D5" w:rsidP="00685B62">
            <w:pPr>
              <w:spacing w:after="0" w:line="240" w:lineRule="auto"/>
              <w:ind w:left="-50" w:firstLine="50"/>
              <w:jc w:val="right"/>
              <w:rPr>
                <w:rFonts w:ascii="Tahoma" w:hAnsi="Tahoma" w:cs="Tahoma"/>
                <w:b/>
                <w:bCs/>
                <w:sz w:val="18"/>
                <w:szCs w:val="18"/>
              </w:rPr>
            </w:pPr>
            <w:r w:rsidRPr="00974122">
              <w:rPr>
                <w:rFonts w:ascii="Tahoma" w:hAnsi="Tahoma" w:cs="Tahoma"/>
                <w:b/>
                <w:bCs/>
                <w:sz w:val="18"/>
                <w:szCs w:val="18"/>
              </w:rPr>
              <w:t>1.</w:t>
            </w:r>
            <w:r>
              <w:rPr>
                <w:rFonts w:ascii="Tahoma" w:hAnsi="Tahoma" w:cs="Tahoma"/>
                <w:b/>
                <w:bCs/>
                <w:sz w:val="18"/>
                <w:szCs w:val="18"/>
              </w:rPr>
              <w:t>9</w:t>
            </w:r>
          </w:p>
        </w:tc>
        <w:tc>
          <w:tcPr>
            <w:tcW w:w="1208" w:type="dxa"/>
            <w:tcBorders>
              <w:top w:val="single" w:sz="4" w:space="0" w:color="auto"/>
              <w:left w:val="nil"/>
              <w:bottom w:val="single" w:sz="4" w:space="0" w:color="auto"/>
              <w:right w:val="nil"/>
            </w:tcBorders>
            <w:vAlign w:val="bottom"/>
          </w:tcPr>
          <w:p w14:paraId="2EF51CD1" w14:textId="77777777" w:rsidR="008363D5" w:rsidRPr="00855121" w:rsidRDefault="008363D5" w:rsidP="00685B62">
            <w:pPr>
              <w:spacing w:after="0" w:line="240" w:lineRule="auto"/>
              <w:ind w:left="-50" w:firstLine="50"/>
              <w:jc w:val="right"/>
              <w:rPr>
                <w:rFonts w:ascii="Tahoma" w:hAnsi="Tahoma" w:cs="Tahoma"/>
                <w:sz w:val="18"/>
                <w:szCs w:val="18"/>
              </w:rPr>
            </w:pPr>
            <w:r w:rsidRPr="00855121">
              <w:rPr>
                <w:rFonts w:ascii="Tahoma" w:hAnsi="Tahoma" w:cs="Tahoma"/>
                <w:sz w:val="18"/>
                <w:szCs w:val="18"/>
              </w:rPr>
              <w:t>1.7</w:t>
            </w:r>
          </w:p>
        </w:tc>
      </w:tr>
    </w:tbl>
    <w:p w14:paraId="4C39881C" w14:textId="5E3F9BDB" w:rsidR="008363D5" w:rsidRDefault="008363D5" w:rsidP="00D75CA8">
      <w:pPr>
        <w:widowControl w:val="0"/>
        <w:autoSpaceDE w:val="0"/>
        <w:autoSpaceDN w:val="0"/>
        <w:adjustRightInd w:val="0"/>
        <w:spacing w:after="0"/>
        <w:rPr>
          <w:rFonts w:cs="Times New Roman"/>
          <w:b/>
          <w:bCs/>
          <w:color w:val="002060"/>
          <w:sz w:val="28"/>
          <w:szCs w:val="28"/>
        </w:rPr>
      </w:pPr>
    </w:p>
    <w:p w14:paraId="6162D3F3" w14:textId="77777777" w:rsidR="008363D5" w:rsidRDefault="008363D5" w:rsidP="008363D5">
      <w:pPr>
        <w:tabs>
          <w:tab w:val="left" w:pos="0"/>
        </w:tabs>
        <w:spacing w:line="240" w:lineRule="auto"/>
        <w:jc w:val="both"/>
        <w:rPr>
          <w:rFonts w:cstheme="minorHAnsi"/>
        </w:rPr>
      </w:pPr>
      <w:r w:rsidRPr="004B30F5">
        <w:rPr>
          <w:rFonts w:cstheme="minorHAnsi"/>
        </w:rPr>
        <w:lastRenderedPageBreak/>
        <w:t>The Directors are proposing a final dividend of 3.65p (201</w:t>
      </w:r>
      <w:r>
        <w:rPr>
          <w:rFonts w:cstheme="minorHAnsi"/>
        </w:rPr>
        <w:t>9</w:t>
      </w:r>
      <w:r w:rsidRPr="004B30F5">
        <w:rPr>
          <w:rFonts w:cstheme="minorHAnsi"/>
        </w:rPr>
        <w:t>: 3</w:t>
      </w:r>
      <w:r>
        <w:rPr>
          <w:rFonts w:cstheme="minorHAnsi"/>
        </w:rPr>
        <w:t>.65</w:t>
      </w:r>
      <w:r w:rsidRPr="004B30F5">
        <w:rPr>
          <w:rFonts w:cstheme="minorHAnsi"/>
        </w:rPr>
        <w:t>p) per ordinary share totalling £1.6 million (201</w:t>
      </w:r>
      <w:r>
        <w:rPr>
          <w:rFonts w:cstheme="minorHAnsi"/>
        </w:rPr>
        <w:t>9</w:t>
      </w:r>
      <w:r w:rsidRPr="004B30F5">
        <w:rPr>
          <w:rFonts w:cstheme="minorHAnsi"/>
        </w:rPr>
        <w:t>: £1.</w:t>
      </w:r>
      <w:r>
        <w:rPr>
          <w:rFonts w:cstheme="minorHAnsi"/>
        </w:rPr>
        <w:t>6</w:t>
      </w:r>
      <w:r w:rsidRPr="004B30F5">
        <w:rPr>
          <w:rFonts w:cstheme="minorHAnsi"/>
        </w:rPr>
        <w:t xml:space="preserve"> million). </w:t>
      </w:r>
      <w:r>
        <w:rPr>
          <w:rFonts w:cstheme="minorHAnsi"/>
        </w:rPr>
        <w:t>The dividend has not been accrued at the reporting date.</w:t>
      </w:r>
    </w:p>
    <w:p w14:paraId="276A0AF6" w14:textId="77777777" w:rsidR="008363D5" w:rsidRPr="004B30F5" w:rsidRDefault="008363D5" w:rsidP="008363D5">
      <w:pPr>
        <w:tabs>
          <w:tab w:val="left" w:pos="0"/>
        </w:tabs>
        <w:spacing w:line="240" w:lineRule="auto"/>
        <w:jc w:val="both"/>
        <w:rPr>
          <w:rFonts w:cstheme="minorHAnsi"/>
        </w:rPr>
      </w:pPr>
      <w:r>
        <w:t xml:space="preserve">Subject to approval at the Annual General Meeting, the final dividend will be paid on 21st May 2021 to shareholders on the register as </w:t>
      </w:r>
      <w:proofErr w:type="gramStart"/>
      <w:r>
        <w:t>at</w:t>
      </w:r>
      <w:proofErr w:type="gramEnd"/>
      <w:r>
        <w:t xml:space="preserve"> 23th April 2021. The shares will go ex-dividend on </w:t>
      </w:r>
      <w:proofErr w:type="gramStart"/>
      <w:r>
        <w:t>22rd</w:t>
      </w:r>
      <w:proofErr w:type="gramEnd"/>
      <w:r>
        <w:t xml:space="preserve"> April 2021. This dividend has not been accrued at the balance sheet date. A dividend reinvestment plan is available to shareholders. Those shareholders who have not elected to participate in the plan, and who would like to do so in respect of the 2020 final payment, may do so by </w:t>
      </w:r>
      <w:r w:rsidRPr="00D14609">
        <w:t>contacting Link Asset Services on 0371 664 0381.</w:t>
      </w:r>
      <w:r>
        <w:t xml:space="preserve"> The last day for election for the final dividend reinvestment is 30th April 2021.</w:t>
      </w:r>
    </w:p>
    <w:p w14:paraId="2A33589C" w14:textId="77777777" w:rsidR="008363D5" w:rsidRPr="0069297D" w:rsidRDefault="008363D5" w:rsidP="008363D5">
      <w:pPr>
        <w:autoSpaceDE w:val="0"/>
        <w:autoSpaceDN w:val="0"/>
        <w:adjustRightInd w:val="0"/>
        <w:spacing w:after="120" w:line="240" w:lineRule="auto"/>
        <w:ind w:right="-540"/>
        <w:jc w:val="both"/>
        <w:rPr>
          <w:rFonts w:cstheme="minorHAnsi"/>
          <w:b/>
          <w:bCs/>
          <w:color w:val="003366"/>
          <w:sz w:val="24"/>
          <w:szCs w:val="24"/>
        </w:rPr>
      </w:pPr>
      <w:r w:rsidRPr="0069297D">
        <w:rPr>
          <w:rFonts w:cstheme="minorHAnsi"/>
          <w:b/>
          <w:bCs/>
          <w:color w:val="003366"/>
          <w:sz w:val="24"/>
          <w:szCs w:val="24"/>
        </w:rPr>
        <w:t xml:space="preserve">Note </w:t>
      </w:r>
      <w:r>
        <w:rPr>
          <w:rFonts w:cstheme="minorHAnsi"/>
          <w:b/>
          <w:bCs/>
          <w:color w:val="003366"/>
          <w:sz w:val="24"/>
          <w:szCs w:val="24"/>
        </w:rPr>
        <w:t>7</w:t>
      </w:r>
      <w:r w:rsidRPr="0069297D">
        <w:rPr>
          <w:rFonts w:cstheme="minorHAnsi"/>
          <w:b/>
          <w:bCs/>
          <w:color w:val="003366"/>
          <w:sz w:val="24"/>
          <w:szCs w:val="24"/>
        </w:rPr>
        <w:t xml:space="preserve"> – Pension commitments</w:t>
      </w:r>
    </w:p>
    <w:p w14:paraId="0EDB18F7" w14:textId="77777777" w:rsidR="008363D5" w:rsidRPr="00D80ACC" w:rsidRDefault="008363D5" w:rsidP="008363D5">
      <w:pPr>
        <w:spacing w:line="240" w:lineRule="auto"/>
        <w:rPr>
          <w:rFonts w:cstheme="minorHAnsi"/>
        </w:rPr>
      </w:pPr>
      <w:r>
        <w:rPr>
          <w:rFonts w:cstheme="minorHAnsi"/>
        </w:rPr>
        <w:t>The present value of the defined benefit obligation, the related current service cost and the past service cost were measured using the projected unit credit method.</w:t>
      </w:r>
      <w:r w:rsidRPr="0066161A">
        <w:rPr>
          <w:rFonts w:cstheme="minorHAnsi"/>
        </w:rPr>
        <w:t xml:space="preserve"> </w:t>
      </w:r>
      <w:r w:rsidRPr="00D80ACC">
        <w:rPr>
          <w:rFonts w:cstheme="minorHAnsi"/>
        </w:rPr>
        <w:t>The amounts recognised in the consolidated statement of financial position are as follows:</w:t>
      </w:r>
    </w:p>
    <w:tbl>
      <w:tblPr>
        <w:tblW w:w="5000" w:type="pct"/>
        <w:tblCellMar>
          <w:left w:w="0" w:type="dxa"/>
          <w:right w:w="0" w:type="dxa"/>
        </w:tblCellMar>
        <w:tblLook w:val="04A0" w:firstRow="1" w:lastRow="0" w:firstColumn="1" w:lastColumn="0" w:noHBand="0" w:noVBand="1"/>
      </w:tblPr>
      <w:tblGrid>
        <w:gridCol w:w="8640"/>
        <w:gridCol w:w="1080"/>
        <w:gridCol w:w="1080"/>
      </w:tblGrid>
      <w:tr w:rsidR="008363D5" w:rsidRPr="00D80ACC" w14:paraId="0BCD5B96" w14:textId="77777777" w:rsidTr="00685B62">
        <w:tc>
          <w:tcPr>
            <w:tcW w:w="3999" w:type="pct"/>
            <w:vAlign w:val="bottom"/>
          </w:tcPr>
          <w:p w14:paraId="3F3C3350" w14:textId="77777777" w:rsidR="008363D5" w:rsidRPr="00D80ACC" w:rsidRDefault="008363D5" w:rsidP="00685B62">
            <w:pPr>
              <w:widowControl w:val="0"/>
              <w:autoSpaceDE w:val="0"/>
              <w:autoSpaceDN w:val="0"/>
              <w:adjustRightInd w:val="0"/>
              <w:spacing w:after="0" w:line="240" w:lineRule="auto"/>
              <w:rPr>
                <w:rFonts w:cstheme="minorHAnsi"/>
              </w:rPr>
            </w:pPr>
          </w:p>
        </w:tc>
        <w:tc>
          <w:tcPr>
            <w:tcW w:w="500" w:type="pct"/>
            <w:vAlign w:val="bottom"/>
            <w:hideMark/>
          </w:tcPr>
          <w:p w14:paraId="038954C4"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20</w:t>
            </w:r>
            <w:r>
              <w:rPr>
                <w:rFonts w:cstheme="minorHAnsi"/>
                <w:b/>
                <w:bCs/>
              </w:rPr>
              <w:t>20</w:t>
            </w:r>
          </w:p>
        </w:tc>
        <w:tc>
          <w:tcPr>
            <w:tcW w:w="500" w:type="pct"/>
            <w:vAlign w:val="bottom"/>
          </w:tcPr>
          <w:p w14:paraId="4685885E" w14:textId="77777777" w:rsidR="008363D5" w:rsidRPr="008C51AB" w:rsidRDefault="008363D5" w:rsidP="00685B62">
            <w:pPr>
              <w:widowControl w:val="0"/>
              <w:autoSpaceDE w:val="0"/>
              <w:autoSpaceDN w:val="0"/>
              <w:adjustRightInd w:val="0"/>
              <w:spacing w:after="0" w:line="240" w:lineRule="auto"/>
              <w:jc w:val="right"/>
              <w:rPr>
                <w:rFonts w:cstheme="minorHAnsi"/>
              </w:rPr>
            </w:pPr>
            <w:r w:rsidRPr="008C51AB">
              <w:rPr>
                <w:rFonts w:cstheme="minorHAnsi"/>
              </w:rPr>
              <w:t>2019</w:t>
            </w:r>
          </w:p>
        </w:tc>
      </w:tr>
      <w:tr w:rsidR="008363D5" w:rsidRPr="00D80ACC" w14:paraId="55A850F6" w14:textId="77777777" w:rsidTr="00685B62">
        <w:tc>
          <w:tcPr>
            <w:tcW w:w="3999" w:type="pct"/>
            <w:tcBorders>
              <w:top w:val="nil"/>
              <w:left w:val="nil"/>
              <w:bottom w:val="single" w:sz="4" w:space="0" w:color="000000" w:themeColor="text1"/>
              <w:right w:val="nil"/>
            </w:tcBorders>
            <w:vAlign w:val="bottom"/>
          </w:tcPr>
          <w:p w14:paraId="603F505F" w14:textId="77777777" w:rsidR="008363D5" w:rsidRPr="00D80ACC" w:rsidRDefault="008363D5" w:rsidP="00685B62">
            <w:pPr>
              <w:widowControl w:val="0"/>
              <w:autoSpaceDE w:val="0"/>
              <w:autoSpaceDN w:val="0"/>
              <w:adjustRightInd w:val="0"/>
              <w:spacing w:after="0" w:line="240" w:lineRule="auto"/>
              <w:rPr>
                <w:rFonts w:cstheme="minorHAnsi"/>
              </w:rPr>
            </w:pPr>
          </w:p>
        </w:tc>
        <w:tc>
          <w:tcPr>
            <w:tcW w:w="500" w:type="pct"/>
            <w:tcBorders>
              <w:top w:val="nil"/>
              <w:left w:val="nil"/>
              <w:bottom w:val="single" w:sz="4" w:space="0" w:color="000000" w:themeColor="text1"/>
              <w:right w:val="nil"/>
            </w:tcBorders>
            <w:vAlign w:val="bottom"/>
            <w:hideMark/>
          </w:tcPr>
          <w:p w14:paraId="77FB4644"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£m</w:t>
            </w:r>
          </w:p>
        </w:tc>
        <w:tc>
          <w:tcPr>
            <w:tcW w:w="500" w:type="pct"/>
            <w:tcBorders>
              <w:top w:val="nil"/>
              <w:left w:val="nil"/>
              <w:bottom w:val="single" w:sz="4" w:space="0" w:color="000000" w:themeColor="text1"/>
              <w:right w:val="nil"/>
            </w:tcBorders>
            <w:vAlign w:val="bottom"/>
          </w:tcPr>
          <w:p w14:paraId="7DC3A545" w14:textId="77777777" w:rsidR="008363D5" w:rsidRPr="008C51AB" w:rsidRDefault="008363D5" w:rsidP="00685B62">
            <w:pPr>
              <w:widowControl w:val="0"/>
              <w:autoSpaceDE w:val="0"/>
              <w:autoSpaceDN w:val="0"/>
              <w:adjustRightInd w:val="0"/>
              <w:spacing w:after="0" w:line="240" w:lineRule="auto"/>
              <w:jc w:val="right"/>
              <w:rPr>
                <w:rFonts w:cstheme="minorHAnsi"/>
              </w:rPr>
            </w:pPr>
            <w:r w:rsidRPr="008C51AB">
              <w:rPr>
                <w:rFonts w:cstheme="minorHAnsi"/>
              </w:rPr>
              <w:t>£m</w:t>
            </w:r>
          </w:p>
        </w:tc>
      </w:tr>
      <w:tr w:rsidR="008363D5" w:rsidRPr="00D80ACC" w14:paraId="6B18F909" w14:textId="77777777" w:rsidTr="00685B62">
        <w:tc>
          <w:tcPr>
            <w:tcW w:w="3999" w:type="pct"/>
            <w:tcBorders>
              <w:top w:val="single" w:sz="4" w:space="0" w:color="000000" w:themeColor="text1"/>
              <w:left w:val="nil"/>
              <w:bottom w:val="nil"/>
              <w:right w:val="nil"/>
            </w:tcBorders>
            <w:vAlign w:val="bottom"/>
            <w:hideMark/>
          </w:tcPr>
          <w:p w14:paraId="3536C1D0"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Present value of funded obligations</w:t>
            </w:r>
          </w:p>
        </w:tc>
        <w:tc>
          <w:tcPr>
            <w:tcW w:w="500" w:type="pct"/>
            <w:tcBorders>
              <w:top w:val="single" w:sz="4" w:space="0" w:color="000000" w:themeColor="text1"/>
              <w:left w:val="nil"/>
              <w:bottom w:val="nil"/>
              <w:right w:val="nil"/>
            </w:tcBorders>
            <w:vAlign w:val="bottom"/>
            <w:hideMark/>
          </w:tcPr>
          <w:p w14:paraId="10B6173E"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7</w:t>
            </w:r>
            <w:r>
              <w:rPr>
                <w:rFonts w:cstheme="minorHAnsi"/>
                <w:b/>
                <w:bCs/>
              </w:rPr>
              <w:t>6.3</w:t>
            </w:r>
          </w:p>
        </w:tc>
        <w:tc>
          <w:tcPr>
            <w:tcW w:w="500" w:type="pct"/>
            <w:tcBorders>
              <w:top w:val="single" w:sz="4" w:space="0" w:color="000000" w:themeColor="text1"/>
              <w:left w:val="nil"/>
              <w:bottom w:val="nil"/>
              <w:right w:val="nil"/>
            </w:tcBorders>
            <w:vAlign w:val="bottom"/>
          </w:tcPr>
          <w:p w14:paraId="34A64E5C" w14:textId="77777777" w:rsidR="008363D5" w:rsidRPr="008C51AB" w:rsidRDefault="008363D5" w:rsidP="00685B62">
            <w:pPr>
              <w:widowControl w:val="0"/>
              <w:autoSpaceDE w:val="0"/>
              <w:autoSpaceDN w:val="0"/>
              <w:adjustRightInd w:val="0"/>
              <w:spacing w:after="0" w:line="240" w:lineRule="auto"/>
              <w:jc w:val="right"/>
              <w:rPr>
                <w:rFonts w:cstheme="minorHAnsi"/>
              </w:rPr>
            </w:pPr>
            <w:r w:rsidRPr="008C51AB">
              <w:rPr>
                <w:rFonts w:cstheme="minorHAnsi"/>
              </w:rPr>
              <w:t>70.7</w:t>
            </w:r>
          </w:p>
        </w:tc>
      </w:tr>
      <w:tr w:rsidR="008363D5" w:rsidRPr="00D80ACC" w14:paraId="0845A72F" w14:textId="77777777" w:rsidTr="00685B62">
        <w:tc>
          <w:tcPr>
            <w:tcW w:w="3999" w:type="pct"/>
            <w:tcBorders>
              <w:top w:val="nil"/>
              <w:left w:val="nil"/>
              <w:bottom w:val="single" w:sz="4" w:space="0" w:color="000000" w:themeColor="text1"/>
              <w:right w:val="nil"/>
            </w:tcBorders>
            <w:vAlign w:val="bottom"/>
            <w:hideMark/>
          </w:tcPr>
          <w:p w14:paraId="3816B167"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Fair value of plan assets</w:t>
            </w:r>
          </w:p>
        </w:tc>
        <w:tc>
          <w:tcPr>
            <w:tcW w:w="500" w:type="pct"/>
            <w:tcBorders>
              <w:top w:val="nil"/>
              <w:left w:val="nil"/>
              <w:bottom w:val="single" w:sz="4" w:space="0" w:color="000000" w:themeColor="text1"/>
              <w:right w:val="nil"/>
            </w:tcBorders>
            <w:vAlign w:val="bottom"/>
            <w:hideMark/>
          </w:tcPr>
          <w:p w14:paraId="59A07BE2"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(4</w:t>
            </w:r>
            <w:r>
              <w:rPr>
                <w:rFonts w:cstheme="minorHAnsi"/>
                <w:b/>
                <w:bCs/>
              </w:rPr>
              <w:t>6.1</w:t>
            </w:r>
            <w:r w:rsidRPr="00D80ACC">
              <w:rPr>
                <w:rFonts w:cstheme="minorHAnsi"/>
                <w:b/>
                <w:bCs/>
              </w:rPr>
              <w:t>)</w:t>
            </w:r>
          </w:p>
        </w:tc>
        <w:tc>
          <w:tcPr>
            <w:tcW w:w="500" w:type="pct"/>
            <w:tcBorders>
              <w:top w:val="nil"/>
              <w:left w:val="nil"/>
              <w:bottom w:val="single" w:sz="4" w:space="0" w:color="000000" w:themeColor="text1"/>
              <w:right w:val="nil"/>
            </w:tcBorders>
            <w:vAlign w:val="bottom"/>
          </w:tcPr>
          <w:p w14:paraId="7CBD612B" w14:textId="77777777" w:rsidR="008363D5" w:rsidRPr="008C51AB" w:rsidRDefault="008363D5" w:rsidP="00685B62">
            <w:pPr>
              <w:widowControl w:val="0"/>
              <w:autoSpaceDE w:val="0"/>
              <w:autoSpaceDN w:val="0"/>
              <w:adjustRightInd w:val="0"/>
              <w:spacing w:after="0" w:line="240" w:lineRule="auto"/>
              <w:jc w:val="right"/>
              <w:rPr>
                <w:rFonts w:cstheme="minorHAnsi"/>
              </w:rPr>
            </w:pPr>
            <w:r w:rsidRPr="008C51AB">
              <w:rPr>
                <w:rFonts w:cstheme="minorHAnsi"/>
              </w:rPr>
              <w:t>(44.3)</w:t>
            </w:r>
          </w:p>
        </w:tc>
      </w:tr>
      <w:tr w:rsidR="008363D5" w:rsidRPr="00D80ACC" w14:paraId="55A56E86" w14:textId="77777777" w:rsidTr="00685B62">
        <w:tc>
          <w:tcPr>
            <w:tcW w:w="3999" w:type="pct"/>
            <w:tcBorders>
              <w:top w:val="single" w:sz="4" w:space="0" w:color="000000" w:themeColor="text1"/>
              <w:left w:val="nil"/>
              <w:bottom w:val="single" w:sz="12" w:space="0" w:color="000000" w:themeColor="text1"/>
              <w:right w:val="nil"/>
            </w:tcBorders>
            <w:vAlign w:val="bottom"/>
            <w:hideMark/>
          </w:tcPr>
          <w:p w14:paraId="732B7396"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Deficit of funded plans</w:t>
            </w:r>
          </w:p>
        </w:tc>
        <w:tc>
          <w:tcPr>
            <w:tcW w:w="500" w:type="pct"/>
            <w:tcBorders>
              <w:top w:val="single" w:sz="4" w:space="0" w:color="000000" w:themeColor="text1"/>
              <w:left w:val="nil"/>
              <w:bottom w:val="single" w:sz="12" w:space="0" w:color="000000" w:themeColor="text1"/>
              <w:right w:val="nil"/>
            </w:tcBorders>
            <w:vAlign w:val="bottom"/>
            <w:hideMark/>
          </w:tcPr>
          <w:p w14:paraId="64FE4690" w14:textId="77777777" w:rsidR="008363D5" w:rsidRPr="008C51AB" w:rsidRDefault="008363D5" w:rsidP="00685B62">
            <w:pPr>
              <w:widowControl w:val="0"/>
              <w:autoSpaceDE w:val="0"/>
              <w:autoSpaceDN w:val="0"/>
              <w:adjustRightInd w:val="0"/>
              <w:spacing w:after="0" w:line="240" w:lineRule="auto"/>
              <w:jc w:val="right"/>
              <w:rPr>
                <w:rFonts w:cstheme="minorHAnsi"/>
                <w:b/>
                <w:bCs/>
              </w:rPr>
            </w:pPr>
            <w:r w:rsidRPr="008C51AB">
              <w:rPr>
                <w:rFonts w:cstheme="minorHAnsi"/>
                <w:b/>
                <w:bCs/>
              </w:rPr>
              <w:t>30.2</w:t>
            </w:r>
          </w:p>
        </w:tc>
        <w:tc>
          <w:tcPr>
            <w:tcW w:w="500" w:type="pct"/>
            <w:tcBorders>
              <w:top w:val="single" w:sz="4" w:space="0" w:color="000000" w:themeColor="text1"/>
              <w:left w:val="nil"/>
              <w:bottom w:val="single" w:sz="12" w:space="0" w:color="000000" w:themeColor="text1"/>
              <w:right w:val="nil"/>
            </w:tcBorders>
            <w:vAlign w:val="bottom"/>
          </w:tcPr>
          <w:p w14:paraId="09E5F2EF" w14:textId="77777777" w:rsidR="008363D5" w:rsidRPr="008C51AB" w:rsidRDefault="008363D5" w:rsidP="00685B62">
            <w:pPr>
              <w:widowControl w:val="0"/>
              <w:autoSpaceDE w:val="0"/>
              <w:autoSpaceDN w:val="0"/>
              <w:adjustRightInd w:val="0"/>
              <w:spacing w:after="0" w:line="240" w:lineRule="auto"/>
              <w:jc w:val="right"/>
              <w:rPr>
                <w:rFonts w:cstheme="minorHAnsi"/>
              </w:rPr>
            </w:pPr>
            <w:r w:rsidRPr="008C51AB">
              <w:rPr>
                <w:rFonts w:cstheme="minorHAnsi"/>
              </w:rPr>
              <w:t>26.4</w:t>
            </w:r>
          </w:p>
        </w:tc>
      </w:tr>
    </w:tbl>
    <w:p w14:paraId="57C6DCAB" w14:textId="77777777" w:rsidR="008363D5" w:rsidRPr="00D80ACC" w:rsidRDefault="008363D5" w:rsidP="008363D5">
      <w:pPr>
        <w:widowControl w:val="0"/>
        <w:autoSpaceDE w:val="0"/>
        <w:autoSpaceDN w:val="0"/>
        <w:adjustRightInd w:val="0"/>
        <w:spacing w:before="160" w:line="240" w:lineRule="auto"/>
        <w:rPr>
          <w:rFonts w:cstheme="minorHAnsi"/>
        </w:rPr>
      </w:pPr>
      <w:r>
        <w:rPr>
          <w:rFonts w:cstheme="minorHAnsi"/>
        </w:rPr>
        <w:t>Key assumptions used:</w:t>
      </w:r>
    </w:p>
    <w:tbl>
      <w:tblPr>
        <w:tblW w:w="5000" w:type="pct"/>
        <w:tblCellMar>
          <w:left w:w="0" w:type="dxa"/>
          <w:right w:w="0" w:type="dxa"/>
        </w:tblCellMar>
        <w:tblLook w:val="04A0" w:firstRow="1" w:lastRow="0" w:firstColumn="1" w:lastColumn="0" w:noHBand="0" w:noVBand="1"/>
      </w:tblPr>
      <w:tblGrid>
        <w:gridCol w:w="8640"/>
        <w:gridCol w:w="1080"/>
        <w:gridCol w:w="1080"/>
      </w:tblGrid>
      <w:tr w:rsidR="008363D5" w:rsidRPr="00D80ACC" w14:paraId="7B3708FC" w14:textId="77777777" w:rsidTr="00685B62">
        <w:tc>
          <w:tcPr>
            <w:tcW w:w="4000" w:type="pct"/>
            <w:vAlign w:val="bottom"/>
          </w:tcPr>
          <w:p w14:paraId="459DE2D1" w14:textId="77777777" w:rsidR="008363D5" w:rsidRPr="00D80ACC" w:rsidRDefault="008363D5" w:rsidP="00685B62">
            <w:pPr>
              <w:widowControl w:val="0"/>
              <w:autoSpaceDE w:val="0"/>
              <w:autoSpaceDN w:val="0"/>
              <w:adjustRightInd w:val="0"/>
              <w:spacing w:after="0" w:line="240" w:lineRule="auto"/>
              <w:rPr>
                <w:rFonts w:cstheme="minorHAnsi"/>
              </w:rPr>
            </w:pPr>
          </w:p>
        </w:tc>
        <w:tc>
          <w:tcPr>
            <w:tcW w:w="500" w:type="pct"/>
            <w:vAlign w:val="bottom"/>
            <w:hideMark/>
          </w:tcPr>
          <w:p w14:paraId="5513331B"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20</w:t>
            </w:r>
            <w:r>
              <w:rPr>
                <w:rFonts w:cstheme="minorHAnsi"/>
                <w:b/>
                <w:bCs/>
              </w:rPr>
              <w:t>20</w:t>
            </w:r>
          </w:p>
        </w:tc>
        <w:tc>
          <w:tcPr>
            <w:tcW w:w="500" w:type="pct"/>
            <w:vAlign w:val="bottom"/>
          </w:tcPr>
          <w:p w14:paraId="5C9C8213" w14:textId="77777777" w:rsidR="008363D5" w:rsidRPr="008C51AB" w:rsidRDefault="008363D5" w:rsidP="00685B62">
            <w:pPr>
              <w:widowControl w:val="0"/>
              <w:autoSpaceDE w:val="0"/>
              <w:autoSpaceDN w:val="0"/>
              <w:adjustRightInd w:val="0"/>
              <w:spacing w:after="0" w:line="240" w:lineRule="auto"/>
              <w:jc w:val="right"/>
              <w:rPr>
                <w:rFonts w:cstheme="minorHAnsi"/>
              </w:rPr>
            </w:pPr>
            <w:r w:rsidRPr="008C51AB">
              <w:rPr>
                <w:rFonts w:cstheme="minorHAnsi"/>
              </w:rPr>
              <w:t>2019</w:t>
            </w:r>
          </w:p>
        </w:tc>
      </w:tr>
      <w:tr w:rsidR="008363D5" w:rsidRPr="00D80ACC" w14:paraId="494F9BD1" w14:textId="77777777" w:rsidTr="00685B62">
        <w:tc>
          <w:tcPr>
            <w:tcW w:w="4000" w:type="pct"/>
            <w:tcBorders>
              <w:top w:val="nil"/>
              <w:left w:val="nil"/>
              <w:bottom w:val="single" w:sz="4" w:space="0" w:color="000000" w:themeColor="text1"/>
              <w:right w:val="nil"/>
            </w:tcBorders>
            <w:vAlign w:val="bottom"/>
          </w:tcPr>
          <w:p w14:paraId="0960B5F1" w14:textId="77777777" w:rsidR="008363D5" w:rsidRPr="00D80ACC" w:rsidRDefault="008363D5" w:rsidP="00685B62">
            <w:pPr>
              <w:widowControl w:val="0"/>
              <w:autoSpaceDE w:val="0"/>
              <w:autoSpaceDN w:val="0"/>
              <w:adjustRightInd w:val="0"/>
              <w:spacing w:after="0" w:line="240" w:lineRule="auto"/>
              <w:rPr>
                <w:rFonts w:cstheme="minorHAnsi"/>
              </w:rPr>
            </w:pPr>
          </w:p>
        </w:tc>
        <w:tc>
          <w:tcPr>
            <w:tcW w:w="500" w:type="pct"/>
            <w:tcBorders>
              <w:top w:val="nil"/>
              <w:left w:val="nil"/>
              <w:bottom w:val="single" w:sz="4" w:space="0" w:color="000000" w:themeColor="text1"/>
              <w:right w:val="nil"/>
            </w:tcBorders>
            <w:vAlign w:val="bottom"/>
            <w:hideMark/>
          </w:tcPr>
          <w:p w14:paraId="5E30A4E8"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w:t>
            </w:r>
          </w:p>
        </w:tc>
        <w:tc>
          <w:tcPr>
            <w:tcW w:w="500" w:type="pct"/>
            <w:tcBorders>
              <w:top w:val="nil"/>
              <w:left w:val="nil"/>
              <w:bottom w:val="single" w:sz="4" w:space="0" w:color="000000" w:themeColor="text1"/>
              <w:right w:val="nil"/>
            </w:tcBorders>
            <w:vAlign w:val="bottom"/>
          </w:tcPr>
          <w:p w14:paraId="0B3347A1" w14:textId="77777777" w:rsidR="008363D5" w:rsidRPr="008C51AB" w:rsidRDefault="008363D5" w:rsidP="00685B62">
            <w:pPr>
              <w:widowControl w:val="0"/>
              <w:autoSpaceDE w:val="0"/>
              <w:autoSpaceDN w:val="0"/>
              <w:adjustRightInd w:val="0"/>
              <w:spacing w:after="0" w:line="240" w:lineRule="auto"/>
              <w:jc w:val="right"/>
              <w:rPr>
                <w:rFonts w:cstheme="minorHAnsi"/>
              </w:rPr>
            </w:pPr>
            <w:r w:rsidRPr="008C51AB">
              <w:rPr>
                <w:rFonts w:cstheme="minorHAnsi"/>
              </w:rPr>
              <w:t>%</w:t>
            </w:r>
          </w:p>
        </w:tc>
      </w:tr>
      <w:tr w:rsidR="008363D5" w:rsidRPr="00D80ACC" w14:paraId="6F4721DA" w14:textId="77777777" w:rsidTr="00685B62">
        <w:tc>
          <w:tcPr>
            <w:tcW w:w="4000" w:type="pct"/>
            <w:tcBorders>
              <w:top w:val="single" w:sz="4" w:space="0" w:color="000000" w:themeColor="text1"/>
              <w:left w:val="nil"/>
              <w:bottom w:val="nil"/>
              <w:right w:val="nil"/>
            </w:tcBorders>
            <w:vAlign w:val="bottom"/>
            <w:hideMark/>
          </w:tcPr>
          <w:p w14:paraId="0E1980D6"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Rate of increase in salaries</w:t>
            </w:r>
          </w:p>
        </w:tc>
        <w:tc>
          <w:tcPr>
            <w:tcW w:w="500" w:type="pct"/>
            <w:tcBorders>
              <w:top w:val="single" w:sz="4" w:space="0" w:color="000000" w:themeColor="text1"/>
              <w:left w:val="nil"/>
              <w:bottom w:val="nil"/>
              <w:right w:val="nil"/>
            </w:tcBorders>
            <w:vAlign w:val="bottom"/>
            <w:hideMark/>
          </w:tcPr>
          <w:p w14:paraId="03705867"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2.</w:t>
            </w:r>
            <w:r>
              <w:rPr>
                <w:rFonts w:cstheme="minorHAnsi"/>
                <w:b/>
                <w:bCs/>
              </w:rPr>
              <w:t>60</w:t>
            </w:r>
          </w:p>
        </w:tc>
        <w:tc>
          <w:tcPr>
            <w:tcW w:w="500" w:type="pct"/>
            <w:tcBorders>
              <w:top w:val="single" w:sz="4" w:space="0" w:color="000000" w:themeColor="text1"/>
              <w:left w:val="nil"/>
              <w:bottom w:val="nil"/>
              <w:right w:val="nil"/>
            </w:tcBorders>
            <w:vAlign w:val="bottom"/>
          </w:tcPr>
          <w:p w14:paraId="07FC25E9" w14:textId="77777777" w:rsidR="008363D5" w:rsidRPr="008C51AB" w:rsidRDefault="008363D5" w:rsidP="00685B62">
            <w:pPr>
              <w:widowControl w:val="0"/>
              <w:autoSpaceDE w:val="0"/>
              <w:autoSpaceDN w:val="0"/>
              <w:adjustRightInd w:val="0"/>
              <w:spacing w:after="0" w:line="240" w:lineRule="auto"/>
              <w:jc w:val="right"/>
              <w:rPr>
                <w:rFonts w:cstheme="minorHAnsi"/>
              </w:rPr>
            </w:pPr>
            <w:r w:rsidRPr="008C51AB">
              <w:rPr>
                <w:rFonts w:cstheme="minorHAnsi"/>
              </w:rPr>
              <w:t>2.45</w:t>
            </w:r>
          </w:p>
        </w:tc>
      </w:tr>
      <w:tr w:rsidR="008363D5" w:rsidRPr="00D80ACC" w14:paraId="64DF7241" w14:textId="77777777" w:rsidTr="00685B62">
        <w:tc>
          <w:tcPr>
            <w:tcW w:w="4000" w:type="pct"/>
            <w:vAlign w:val="bottom"/>
            <w:hideMark/>
          </w:tcPr>
          <w:p w14:paraId="16EA899B"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Rate of increase of pensions in payment</w:t>
            </w:r>
          </w:p>
        </w:tc>
        <w:tc>
          <w:tcPr>
            <w:tcW w:w="500" w:type="pct"/>
            <w:vAlign w:val="bottom"/>
            <w:hideMark/>
          </w:tcPr>
          <w:p w14:paraId="3EADB7E1"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3.</w:t>
            </w:r>
            <w:r>
              <w:rPr>
                <w:rFonts w:cstheme="minorHAnsi"/>
                <w:b/>
                <w:bCs/>
              </w:rPr>
              <w:t>0</w:t>
            </w:r>
            <w:r w:rsidRPr="00D80ACC">
              <w:rPr>
                <w:rFonts w:cstheme="minorHAnsi"/>
                <w:b/>
                <w:bCs/>
              </w:rPr>
              <w:t>0</w:t>
            </w:r>
          </w:p>
        </w:tc>
        <w:tc>
          <w:tcPr>
            <w:tcW w:w="500" w:type="pct"/>
            <w:vAlign w:val="bottom"/>
          </w:tcPr>
          <w:p w14:paraId="297411E6" w14:textId="77777777" w:rsidR="008363D5" w:rsidRPr="008C51AB" w:rsidRDefault="008363D5" w:rsidP="00685B62">
            <w:pPr>
              <w:widowControl w:val="0"/>
              <w:autoSpaceDE w:val="0"/>
              <w:autoSpaceDN w:val="0"/>
              <w:adjustRightInd w:val="0"/>
              <w:spacing w:after="0" w:line="240" w:lineRule="auto"/>
              <w:jc w:val="right"/>
              <w:rPr>
                <w:rFonts w:cstheme="minorHAnsi"/>
              </w:rPr>
            </w:pPr>
            <w:r w:rsidRPr="008C51AB">
              <w:rPr>
                <w:rFonts w:cstheme="minorHAnsi"/>
              </w:rPr>
              <w:t>3.10</w:t>
            </w:r>
          </w:p>
        </w:tc>
      </w:tr>
      <w:tr w:rsidR="008363D5" w:rsidRPr="00D80ACC" w14:paraId="2BFFB840" w14:textId="77777777" w:rsidTr="00685B62">
        <w:tc>
          <w:tcPr>
            <w:tcW w:w="4000" w:type="pct"/>
            <w:vAlign w:val="bottom"/>
            <w:hideMark/>
          </w:tcPr>
          <w:p w14:paraId="6B2F0F50"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Discount rate</w:t>
            </w:r>
          </w:p>
        </w:tc>
        <w:tc>
          <w:tcPr>
            <w:tcW w:w="500" w:type="pct"/>
            <w:vAlign w:val="bottom"/>
            <w:hideMark/>
          </w:tcPr>
          <w:p w14:paraId="076B58E4"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8C51AB">
              <w:rPr>
                <w:rFonts w:cstheme="minorHAnsi"/>
                <w:b/>
                <w:bCs/>
              </w:rPr>
              <w:t>1.40</w:t>
            </w:r>
          </w:p>
        </w:tc>
        <w:tc>
          <w:tcPr>
            <w:tcW w:w="500" w:type="pct"/>
            <w:vAlign w:val="bottom"/>
          </w:tcPr>
          <w:p w14:paraId="3C3DDACD" w14:textId="77777777" w:rsidR="008363D5" w:rsidRPr="008C51AB" w:rsidRDefault="008363D5" w:rsidP="00685B62">
            <w:pPr>
              <w:widowControl w:val="0"/>
              <w:autoSpaceDE w:val="0"/>
              <w:autoSpaceDN w:val="0"/>
              <w:adjustRightInd w:val="0"/>
              <w:spacing w:after="0" w:line="240" w:lineRule="auto"/>
              <w:jc w:val="right"/>
              <w:rPr>
                <w:rFonts w:cstheme="minorHAnsi"/>
              </w:rPr>
            </w:pPr>
            <w:r w:rsidRPr="008C51AB">
              <w:rPr>
                <w:rFonts w:cstheme="minorHAnsi"/>
              </w:rPr>
              <w:t>2.10</w:t>
            </w:r>
          </w:p>
        </w:tc>
      </w:tr>
      <w:tr w:rsidR="008363D5" w:rsidRPr="00D80ACC" w14:paraId="7AF85199" w14:textId="77777777" w:rsidTr="00685B62">
        <w:tc>
          <w:tcPr>
            <w:tcW w:w="4000" w:type="pct"/>
            <w:tcBorders>
              <w:top w:val="nil"/>
              <w:left w:val="nil"/>
              <w:bottom w:val="single" w:sz="12" w:space="0" w:color="000000" w:themeColor="text1"/>
              <w:right w:val="nil"/>
            </w:tcBorders>
            <w:vAlign w:val="bottom"/>
            <w:hideMark/>
          </w:tcPr>
          <w:p w14:paraId="0C4C378F"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Inf</w:t>
            </w:r>
            <w:r>
              <w:rPr>
                <w:rFonts w:cstheme="minorHAnsi"/>
              </w:rPr>
              <w:t>l</w:t>
            </w:r>
            <w:r w:rsidRPr="00D80ACC">
              <w:rPr>
                <w:rFonts w:cstheme="minorHAnsi"/>
              </w:rPr>
              <w:t>ation assumption</w:t>
            </w:r>
          </w:p>
        </w:tc>
        <w:tc>
          <w:tcPr>
            <w:tcW w:w="500" w:type="pct"/>
            <w:tcBorders>
              <w:top w:val="nil"/>
              <w:left w:val="nil"/>
              <w:bottom w:val="single" w:sz="12" w:space="0" w:color="000000" w:themeColor="text1"/>
              <w:right w:val="nil"/>
            </w:tcBorders>
            <w:vAlign w:val="bottom"/>
            <w:hideMark/>
          </w:tcPr>
          <w:p w14:paraId="62FC274A" w14:textId="77777777" w:rsidR="008363D5" w:rsidRPr="008C51AB" w:rsidRDefault="008363D5" w:rsidP="00685B62">
            <w:pPr>
              <w:widowControl w:val="0"/>
              <w:autoSpaceDE w:val="0"/>
              <w:autoSpaceDN w:val="0"/>
              <w:adjustRightInd w:val="0"/>
              <w:spacing w:after="0" w:line="240" w:lineRule="auto"/>
              <w:jc w:val="right"/>
              <w:rPr>
                <w:rFonts w:cstheme="minorHAnsi"/>
                <w:b/>
                <w:bCs/>
              </w:rPr>
            </w:pPr>
            <w:r w:rsidRPr="008C51AB">
              <w:rPr>
                <w:rFonts w:cstheme="minorHAnsi"/>
                <w:b/>
                <w:bCs/>
              </w:rPr>
              <w:t>2.90</w:t>
            </w:r>
          </w:p>
        </w:tc>
        <w:tc>
          <w:tcPr>
            <w:tcW w:w="500" w:type="pct"/>
            <w:tcBorders>
              <w:top w:val="nil"/>
              <w:left w:val="nil"/>
              <w:bottom w:val="single" w:sz="12" w:space="0" w:color="000000" w:themeColor="text1"/>
              <w:right w:val="nil"/>
            </w:tcBorders>
            <w:vAlign w:val="bottom"/>
          </w:tcPr>
          <w:p w14:paraId="7E7C2084" w14:textId="77777777" w:rsidR="008363D5" w:rsidRPr="008C51AB" w:rsidRDefault="008363D5" w:rsidP="00685B62">
            <w:pPr>
              <w:widowControl w:val="0"/>
              <w:autoSpaceDE w:val="0"/>
              <w:autoSpaceDN w:val="0"/>
              <w:adjustRightInd w:val="0"/>
              <w:spacing w:after="0" w:line="240" w:lineRule="auto"/>
              <w:jc w:val="right"/>
              <w:rPr>
                <w:rFonts w:cstheme="minorHAnsi"/>
              </w:rPr>
            </w:pPr>
            <w:r w:rsidRPr="008C51AB">
              <w:rPr>
                <w:rFonts w:cstheme="minorHAnsi"/>
              </w:rPr>
              <w:t>3.15</w:t>
            </w:r>
          </w:p>
        </w:tc>
      </w:tr>
      <w:tr w:rsidR="008363D5" w:rsidRPr="00D80ACC" w14:paraId="79CB3F94" w14:textId="77777777" w:rsidTr="00685B62">
        <w:tc>
          <w:tcPr>
            <w:tcW w:w="4000" w:type="pct"/>
            <w:tcBorders>
              <w:left w:val="nil"/>
              <w:bottom w:val="nil"/>
              <w:right w:val="nil"/>
            </w:tcBorders>
            <w:vAlign w:val="bottom"/>
          </w:tcPr>
          <w:p w14:paraId="235F5F48" w14:textId="77777777" w:rsidR="008363D5" w:rsidRPr="00D80ACC" w:rsidRDefault="008363D5" w:rsidP="00685B62">
            <w:pPr>
              <w:widowControl w:val="0"/>
              <w:autoSpaceDE w:val="0"/>
              <w:autoSpaceDN w:val="0"/>
              <w:adjustRightInd w:val="0"/>
              <w:spacing w:after="0" w:line="240" w:lineRule="auto"/>
              <w:rPr>
                <w:rFonts w:cstheme="minorHAnsi"/>
              </w:rPr>
            </w:pPr>
          </w:p>
        </w:tc>
        <w:tc>
          <w:tcPr>
            <w:tcW w:w="500" w:type="pct"/>
            <w:tcBorders>
              <w:left w:val="nil"/>
              <w:bottom w:val="nil"/>
              <w:right w:val="nil"/>
            </w:tcBorders>
            <w:vAlign w:val="bottom"/>
            <w:hideMark/>
          </w:tcPr>
          <w:p w14:paraId="1CD71B02"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20</w:t>
            </w:r>
            <w:r>
              <w:rPr>
                <w:rFonts w:cstheme="minorHAnsi"/>
                <w:b/>
                <w:bCs/>
              </w:rPr>
              <w:t>20</w:t>
            </w:r>
          </w:p>
        </w:tc>
        <w:tc>
          <w:tcPr>
            <w:tcW w:w="500" w:type="pct"/>
            <w:tcBorders>
              <w:left w:val="nil"/>
              <w:bottom w:val="nil"/>
              <w:right w:val="nil"/>
            </w:tcBorders>
            <w:vAlign w:val="bottom"/>
          </w:tcPr>
          <w:p w14:paraId="0333EB01" w14:textId="77777777" w:rsidR="008363D5" w:rsidRPr="008C51AB" w:rsidRDefault="008363D5" w:rsidP="00685B62">
            <w:pPr>
              <w:widowControl w:val="0"/>
              <w:autoSpaceDE w:val="0"/>
              <w:autoSpaceDN w:val="0"/>
              <w:adjustRightInd w:val="0"/>
              <w:spacing w:after="0" w:line="240" w:lineRule="auto"/>
              <w:jc w:val="right"/>
              <w:rPr>
                <w:rFonts w:cstheme="minorHAnsi"/>
              </w:rPr>
            </w:pPr>
            <w:r w:rsidRPr="008C51AB">
              <w:rPr>
                <w:rFonts w:cstheme="minorHAnsi"/>
              </w:rPr>
              <w:t>2019</w:t>
            </w:r>
          </w:p>
        </w:tc>
      </w:tr>
      <w:tr w:rsidR="008363D5" w:rsidRPr="00D80ACC" w14:paraId="02BF54C3" w14:textId="77777777" w:rsidTr="00685B62">
        <w:tc>
          <w:tcPr>
            <w:tcW w:w="4000" w:type="pct"/>
            <w:tcBorders>
              <w:top w:val="nil"/>
              <w:left w:val="nil"/>
              <w:bottom w:val="single" w:sz="4" w:space="0" w:color="000000" w:themeColor="text1"/>
              <w:right w:val="nil"/>
            </w:tcBorders>
            <w:vAlign w:val="bottom"/>
            <w:hideMark/>
          </w:tcPr>
          <w:p w14:paraId="05531625"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The mortality assumptions used in the IAS 19 valuation were:</w:t>
            </w:r>
          </w:p>
        </w:tc>
        <w:tc>
          <w:tcPr>
            <w:tcW w:w="500" w:type="pct"/>
            <w:tcBorders>
              <w:top w:val="nil"/>
              <w:left w:val="nil"/>
              <w:bottom w:val="single" w:sz="4" w:space="0" w:color="000000" w:themeColor="text1"/>
              <w:right w:val="nil"/>
            </w:tcBorders>
            <w:vAlign w:val="bottom"/>
            <w:hideMark/>
          </w:tcPr>
          <w:p w14:paraId="5F8539EB"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Years</w:t>
            </w:r>
          </w:p>
        </w:tc>
        <w:tc>
          <w:tcPr>
            <w:tcW w:w="500" w:type="pct"/>
            <w:tcBorders>
              <w:top w:val="nil"/>
              <w:left w:val="nil"/>
              <w:bottom w:val="single" w:sz="4" w:space="0" w:color="000000" w:themeColor="text1"/>
              <w:right w:val="nil"/>
            </w:tcBorders>
            <w:vAlign w:val="bottom"/>
          </w:tcPr>
          <w:p w14:paraId="150BDA38" w14:textId="77777777" w:rsidR="008363D5" w:rsidRPr="008C51AB" w:rsidRDefault="008363D5" w:rsidP="00685B62">
            <w:pPr>
              <w:widowControl w:val="0"/>
              <w:autoSpaceDE w:val="0"/>
              <w:autoSpaceDN w:val="0"/>
              <w:adjustRightInd w:val="0"/>
              <w:spacing w:after="0" w:line="240" w:lineRule="auto"/>
              <w:jc w:val="right"/>
              <w:rPr>
                <w:rFonts w:cstheme="minorHAnsi"/>
              </w:rPr>
            </w:pPr>
            <w:r w:rsidRPr="008C51AB">
              <w:rPr>
                <w:rFonts w:cstheme="minorHAnsi"/>
              </w:rPr>
              <w:t>Years</w:t>
            </w:r>
          </w:p>
        </w:tc>
      </w:tr>
      <w:tr w:rsidR="008363D5" w:rsidRPr="00D80ACC" w14:paraId="73A023D7" w14:textId="77777777" w:rsidTr="00685B62">
        <w:tc>
          <w:tcPr>
            <w:tcW w:w="4000" w:type="pct"/>
            <w:tcBorders>
              <w:top w:val="single" w:sz="4" w:space="0" w:color="000000" w:themeColor="text1"/>
              <w:left w:val="nil"/>
              <w:bottom w:val="nil"/>
              <w:right w:val="nil"/>
            </w:tcBorders>
            <w:vAlign w:val="bottom"/>
            <w:hideMark/>
          </w:tcPr>
          <w:p w14:paraId="01237C15"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Life expectancy at age 65 for current pensioners</w:t>
            </w:r>
          </w:p>
        </w:tc>
        <w:tc>
          <w:tcPr>
            <w:tcW w:w="500" w:type="pct"/>
            <w:tcBorders>
              <w:top w:val="single" w:sz="4" w:space="0" w:color="000000" w:themeColor="text1"/>
              <w:left w:val="nil"/>
              <w:bottom w:val="nil"/>
              <w:right w:val="nil"/>
            </w:tcBorders>
            <w:vAlign w:val="bottom"/>
          </w:tcPr>
          <w:p w14:paraId="495BF0CC" w14:textId="77777777" w:rsidR="008363D5" w:rsidRPr="00D80ACC" w:rsidRDefault="008363D5" w:rsidP="00685B62">
            <w:pPr>
              <w:widowControl w:val="0"/>
              <w:autoSpaceDE w:val="0"/>
              <w:autoSpaceDN w:val="0"/>
              <w:adjustRightInd w:val="0"/>
              <w:spacing w:after="0" w:line="240" w:lineRule="auto"/>
              <w:jc w:val="right"/>
              <w:rPr>
                <w:rFonts w:cstheme="minorHAnsi"/>
              </w:rPr>
            </w:pPr>
          </w:p>
        </w:tc>
        <w:tc>
          <w:tcPr>
            <w:tcW w:w="500" w:type="pct"/>
            <w:tcBorders>
              <w:top w:val="single" w:sz="4" w:space="0" w:color="000000" w:themeColor="text1"/>
              <w:left w:val="nil"/>
              <w:bottom w:val="nil"/>
              <w:right w:val="nil"/>
            </w:tcBorders>
            <w:vAlign w:val="bottom"/>
          </w:tcPr>
          <w:p w14:paraId="6731914D" w14:textId="77777777" w:rsidR="008363D5" w:rsidRPr="008C51AB" w:rsidRDefault="008363D5" w:rsidP="00685B62">
            <w:pPr>
              <w:widowControl w:val="0"/>
              <w:autoSpaceDE w:val="0"/>
              <w:autoSpaceDN w:val="0"/>
              <w:adjustRightInd w:val="0"/>
              <w:spacing w:after="0" w:line="240" w:lineRule="auto"/>
              <w:jc w:val="right"/>
              <w:rPr>
                <w:rFonts w:cstheme="minorHAnsi"/>
              </w:rPr>
            </w:pPr>
          </w:p>
        </w:tc>
      </w:tr>
      <w:tr w:rsidR="008363D5" w:rsidRPr="00D80ACC" w14:paraId="025B683D" w14:textId="77777777" w:rsidTr="00685B62">
        <w:tc>
          <w:tcPr>
            <w:tcW w:w="4000" w:type="pct"/>
            <w:vAlign w:val="bottom"/>
            <w:hideMark/>
          </w:tcPr>
          <w:p w14:paraId="618BEC62"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 </w:t>
            </w:r>
            <w:r w:rsidRPr="00D80ACC">
              <w:rPr>
                <w:rFonts w:cstheme="minorHAnsi"/>
              </w:rPr>
              <w:t xml:space="preserve"> –</w:t>
            </w:r>
            <w:r w:rsidRPr="00D80ACC">
              <w:rPr>
                <w:rFonts w:cstheme="minorHAnsi"/>
              </w:rPr>
              <w:t> </w:t>
            </w:r>
            <w:r w:rsidRPr="00D80ACC">
              <w:rPr>
                <w:rFonts w:cstheme="minorHAnsi"/>
              </w:rPr>
              <w:t xml:space="preserve"> Men</w:t>
            </w:r>
          </w:p>
        </w:tc>
        <w:tc>
          <w:tcPr>
            <w:tcW w:w="500" w:type="pct"/>
            <w:vAlign w:val="bottom"/>
            <w:hideMark/>
          </w:tcPr>
          <w:p w14:paraId="4FF8606A"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21.</w:t>
            </w:r>
            <w:r>
              <w:rPr>
                <w:rFonts w:cstheme="minorHAnsi"/>
                <w:b/>
                <w:bCs/>
              </w:rPr>
              <w:t>8</w:t>
            </w:r>
          </w:p>
        </w:tc>
        <w:tc>
          <w:tcPr>
            <w:tcW w:w="500" w:type="pct"/>
            <w:vAlign w:val="bottom"/>
          </w:tcPr>
          <w:p w14:paraId="0697A32B" w14:textId="77777777" w:rsidR="008363D5" w:rsidRPr="008C51AB" w:rsidRDefault="008363D5" w:rsidP="00685B62">
            <w:pPr>
              <w:widowControl w:val="0"/>
              <w:autoSpaceDE w:val="0"/>
              <w:autoSpaceDN w:val="0"/>
              <w:adjustRightInd w:val="0"/>
              <w:spacing w:after="0" w:line="240" w:lineRule="auto"/>
              <w:jc w:val="right"/>
              <w:rPr>
                <w:rFonts w:cstheme="minorHAnsi"/>
              </w:rPr>
            </w:pPr>
            <w:r w:rsidRPr="008C51AB">
              <w:rPr>
                <w:rFonts w:cstheme="minorHAnsi"/>
              </w:rPr>
              <w:t>21.7</w:t>
            </w:r>
          </w:p>
        </w:tc>
      </w:tr>
      <w:tr w:rsidR="008363D5" w:rsidRPr="00D80ACC" w14:paraId="6BD2F435" w14:textId="77777777" w:rsidTr="00685B62">
        <w:tc>
          <w:tcPr>
            <w:tcW w:w="4000" w:type="pct"/>
            <w:vAlign w:val="bottom"/>
            <w:hideMark/>
          </w:tcPr>
          <w:p w14:paraId="07BAA7CF"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 </w:t>
            </w:r>
            <w:r w:rsidRPr="00D80ACC">
              <w:rPr>
                <w:rFonts w:cstheme="minorHAnsi"/>
              </w:rPr>
              <w:t xml:space="preserve"> –</w:t>
            </w:r>
            <w:r w:rsidRPr="00D80ACC">
              <w:rPr>
                <w:rFonts w:cstheme="minorHAnsi"/>
              </w:rPr>
              <w:t> </w:t>
            </w:r>
            <w:r w:rsidRPr="00D80ACC">
              <w:rPr>
                <w:rFonts w:cstheme="minorHAnsi"/>
              </w:rPr>
              <w:t xml:space="preserve"> Women</w:t>
            </w:r>
          </w:p>
        </w:tc>
        <w:tc>
          <w:tcPr>
            <w:tcW w:w="500" w:type="pct"/>
            <w:vAlign w:val="bottom"/>
            <w:hideMark/>
          </w:tcPr>
          <w:p w14:paraId="1EC453CB"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2</w:t>
            </w:r>
            <w:r>
              <w:rPr>
                <w:rFonts w:cstheme="minorHAnsi"/>
                <w:b/>
                <w:bCs/>
              </w:rPr>
              <w:t>4.1</w:t>
            </w:r>
          </w:p>
        </w:tc>
        <w:tc>
          <w:tcPr>
            <w:tcW w:w="500" w:type="pct"/>
            <w:vAlign w:val="bottom"/>
          </w:tcPr>
          <w:p w14:paraId="6CCF67EE" w14:textId="77777777" w:rsidR="008363D5" w:rsidRPr="008C51AB" w:rsidRDefault="008363D5" w:rsidP="00685B62">
            <w:pPr>
              <w:widowControl w:val="0"/>
              <w:autoSpaceDE w:val="0"/>
              <w:autoSpaceDN w:val="0"/>
              <w:adjustRightInd w:val="0"/>
              <w:spacing w:after="0" w:line="240" w:lineRule="auto"/>
              <w:jc w:val="right"/>
              <w:rPr>
                <w:rFonts w:cstheme="minorHAnsi"/>
              </w:rPr>
            </w:pPr>
            <w:r w:rsidRPr="008C51AB">
              <w:rPr>
                <w:rFonts w:cstheme="minorHAnsi"/>
              </w:rPr>
              <w:t>23.9</w:t>
            </w:r>
          </w:p>
        </w:tc>
      </w:tr>
      <w:tr w:rsidR="008363D5" w:rsidRPr="00D80ACC" w14:paraId="3351A493" w14:textId="77777777" w:rsidTr="00685B62">
        <w:tc>
          <w:tcPr>
            <w:tcW w:w="4000" w:type="pct"/>
            <w:vAlign w:val="bottom"/>
            <w:hideMark/>
          </w:tcPr>
          <w:p w14:paraId="16EF764A"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Life expectancy at age 65 for future pensioners (current age 45)</w:t>
            </w:r>
          </w:p>
        </w:tc>
        <w:tc>
          <w:tcPr>
            <w:tcW w:w="500" w:type="pct"/>
            <w:vAlign w:val="bottom"/>
          </w:tcPr>
          <w:p w14:paraId="7B99B10C" w14:textId="77777777" w:rsidR="008363D5" w:rsidRPr="00D80ACC" w:rsidRDefault="008363D5" w:rsidP="00685B62">
            <w:pPr>
              <w:widowControl w:val="0"/>
              <w:autoSpaceDE w:val="0"/>
              <w:autoSpaceDN w:val="0"/>
              <w:adjustRightInd w:val="0"/>
              <w:spacing w:after="0" w:line="240" w:lineRule="auto"/>
              <w:jc w:val="right"/>
              <w:rPr>
                <w:rFonts w:cstheme="minorHAnsi"/>
              </w:rPr>
            </w:pPr>
          </w:p>
        </w:tc>
        <w:tc>
          <w:tcPr>
            <w:tcW w:w="500" w:type="pct"/>
            <w:vAlign w:val="bottom"/>
          </w:tcPr>
          <w:p w14:paraId="522A1417" w14:textId="77777777" w:rsidR="008363D5" w:rsidRPr="008C51AB" w:rsidRDefault="008363D5" w:rsidP="00685B62">
            <w:pPr>
              <w:widowControl w:val="0"/>
              <w:autoSpaceDE w:val="0"/>
              <w:autoSpaceDN w:val="0"/>
              <w:adjustRightInd w:val="0"/>
              <w:spacing w:after="0" w:line="240" w:lineRule="auto"/>
              <w:jc w:val="right"/>
              <w:rPr>
                <w:rFonts w:cstheme="minorHAnsi"/>
              </w:rPr>
            </w:pPr>
          </w:p>
        </w:tc>
      </w:tr>
      <w:tr w:rsidR="008363D5" w:rsidRPr="00D80ACC" w14:paraId="3113F9E3" w14:textId="77777777" w:rsidTr="00685B62">
        <w:tc>
          <w:tcPr>
            <w:tcW w:w="4000" w:type="pct"/>
            <w:vAlign w:val="bottom"/>
            <w:hideMark/>
          </w:tcPr>
          <w:p w14:paraId="5E237CA8"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 </w:t>
            </w:r>
            <w:r w:rsidRPr="00D80ACC">
              <w:rPr>
                <w:rFonts w:cstheme="minorHAnsi"/>
              </w:rPr>
              <w:t xml:space="preserve"> –</w:t>
            </w:r>
            <w:r w:rsidRPr="00D80ACC">
              <w:rPr>
                <w:rFonts w:cstheme="minorHAnsi"/>
              </w:rPr>
              <w:t> </w:t>
            </w:r>
            <w:r w:rsidRPr="00D80ACC">
              <w:rPr>
                <w:rFonts w:cstheme="minorHAnsi"/>
              </w:rPr>
              <w:t xml:space="preserve"> Men</w:t>
            </w:r>
          </w:p>
        </w:tc>
        <w:tc>
          <w:tcPr>
            <w:tcW w:w="500" w:type="pct"/>
            <w:vAlign w:val="bottom"/>
            <w:hideMark/>
          </w:tcPr>
          <w:p w14:paraId="12723065"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22.</w:t>
            </w:r>
            <w:r>
              <w:rPr>
                <w:rFonts w:cstheme="minorHAnsi"/>
                <w:b/>
                <w:bCs/>
              </w:rPr>
              <w:t>8</w:t>
            </w:r>
          </w:p>
        </w:tc>
        <w:tc>
          <w:tcPr>
            <w:tcW w:w="500" w:type="pct"/>
            <w:vAlign w:val="bottom"/>
          </w:tcPr>
          <w:p w14:paraId="41B753BB" w14:textId="77777777" w:rsidR="008363D5" w:rsidRPr="008C51AB" w:rsidRDefault="008363D5" w:rsidP="00685B62">
            <w:pPr>
              <w:widowControl w:val="0"/>
              <w:autoSpaceDE w:val="0"/>
              <w:autoSpaceDN w:val="0"/>
              <w:adjustRightInd w:val="0"/>
              <w:spacing w:after="0" w:line="240" w:lineRule="auto"/>
              <w:jc w:val="right"/>
              <w:rPr>
                <w:rFonts w:cstheme="minorHAnsi"/>
              </w:rPr>
            </w:pPr>
            <w:r w:rsidRPr="008C51AB">
              <w:rPr>
                <w:rFonts w:cstheme="minorHAnsi"/>
              </w:rPr>
              <w:t>22.7</w:t>
            </w:r>
          </w:p>
        </w:tc>
      </w:tr>
      <w:tr w:rsidR="008363D5" w:rsidRPr="00D80ACC" w14:paraId="1816CCE2" w14:textId="77777777" w:rsidTr="00685B62">
        <w:tc>
          <w:tcPr>
            <w:tcW w:w="4000" w:type="pct"/>
            <w:tcBorders>
              <w:top w:val="nil"/>
              <w:left w:val="nil"/>
              <w:bottom w:val="single" w:sz="12" w:space="0" w:color="000000" w:themeColor="text1"/>
              <w:right w:val="nil"/>
            </w:tcBorders>
            <w:vAlign w:val="bottom"/>
            <w:hideMark/>
          </w:tcPr>
          <w:p w14:paraId="666641D8"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 </w:t>
            </w:r>
            <w:r w:rsidRPr="00D80ACC">
              <w:rPr>
                <w:rFonts w:cstheme="minorHAnsi"/>
              </w:rPr>
              <w:t xml:space="preserve"> –</w:t>
            </w:r>
            <w:r w:rsidRPr="00D80ACC">
              <w:rPr>
                <w:rFonts w:cstheme="minorHAnsi"/>
              </w:rPr>
              <w:t> </w:t>
            </w:r>
            <w:r w:rsidRPr="00D80ACC">
              <w:rPr>
                <w:rFonts w:cstheme="minorHAnsi"/>
              </w:rPr>
              <w:t xml:space="preserve"> Women</w:t>
            </w:r>
          </w:p>
        </w:tc>
        <w:tc>
          <w:tcPr>
            <w:tcW w:w="500" w:type="pct"/>
            <w:tcBorders>
              <w:top w:val="nil"/>
              <w:left w:val="nil"/>
              <w:bottom w:val="single" w:sz="12" w:space="0" w:color="000000" w:themeColor="text1"/>
              <w:right w:val="nil"/>
            </w:tcBorders>
            <w:vAlign w:val="bottom"/>
            <w:hideMark/>
          </w:tcPr>
          <w:p w14:paraId="7BF8E723"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25.</w:t>
            </w:r>
            <w:r>
              <w:rPr>
                <w:rFonts w:cstheme="minorHAnsi"/>
                <w:b/>
                <w:bCs/>
              </w:rPr>
              <w:t>2</w:t>
            </w:r>
          </w:p>
        </w:tc>
        <w:tc>
          <w:tcPr>
            <w:tcW w:w="500" w:type="pct"/>
            <w:tcBorders>
              <w:top w:val="nil"/>
              <w:left w:val="nil"/>
              <w:bottom w:val="single" w:sz="12" w:space="0" w:color="000000" w:themeColor="text1"/>
              <w:right w:val="nil"/>
            </w:tcBorders>
            <w:vAlign w:val="bottom"/>
          </w:tcPr>
          <w:p w14:paraId="16C82A98" w14:textId="77777777" w:rsidR="008363D5" w:rsidRPr="008C51AB" w:rsidRDefault="008363D5" w:rsidP="00685B62">
            <w:pPr>
              <w:widowControl w:val="0"/>
              <w:autoSpaceDE w:val="0"/>
              <w:autoSpaceDN w:val="0"/>
              <w:adjustRightInd w:val="0"/>
              <w:spacing w:after="0" w:line="240" w:lineRule="auto"/>
              <w:jc w:val="right"/>
              <w:rPr>
                <w:rFonts w:cstheme="minorHAnsi"/>
              </w:rPr>
            </w:pPr>
            <w:r w:rsidRPr="008C51AB">
              <w:rPr>
                <w:rFonts w:cstheme="minorHAnsi"/>
              </w:rPr>
              <w:t>25.0</w:t>
            </w:r>
          </w:p>
        </w:tc>
      </w:tr>
    </w:tbl>
    <w:p w14:paraId="4E6D3E01" w14:textId="3DBEAE67" w:rsidR="008363D5" w:rsidRPr="00462821" w:rsidRDefault="008363D5" w:rsidP="00D75CA8">
      <w:pPr>
        <w:widowControl w:val="0"/>
        <w:autoSpaceDE w:val="0"/>
        <w:autoSpaceDN w:val="0"/>
        <w:adjustRightInd w:val="0"/>
        <w:spacing w:after="0"/>
        <w:rPr>
          <w:rFonts w:cs="Times New Roman"/>
          <w:b/>
          <w:bCs/>
          <w:color w:val="002060"/>
        </w:rPr>
      </w:pPr>
    </w:p>
    <w:p w14:paraId="08427D67" w14:textId="77777777" w:rsidR="008363D5" w:rsidRPr="0069297D" w:rsidRDefault="008363D5" w:rsidP="008363D5">
      <w:pPr>
        <w:spacing w:line="240" w:lineRule="auto"/>
        <w:jc w:val="both"/>
        <w:rPr>
          <w:rFonts w:cstheme="minorHAnsi"/>
          <w:b/>
          <w:bCs/>
          <w:color w:val="003366"/>
          <w:sz w:val="24"/>
          <w:szCs w:val="24"/>
        </w:rPr>
      </w:pPr>
      <w:r w:rsidRPr="0069297D">
        <w:rPr>
          <w:rFonts w:cstheme="minorHAnsi"/>
          <w:b/>
          <w:bCs/>
          <w:color w:val="003366"/>
          <w:sz w:val="24"/>
          <w:szCs w:val="24"/>
        </w:rPr>
        <w:t xml:space="preserve">Note </w:t>
      </w:r>
      <w:r>
        <w:rPr>
          <w:rFonts w:cstheme="minorHAnsi"/>
          <w:b/>
          <w:bCs/>
          <w:color w:val="003366"/>
          <w:sz w:val="24"/>
          <w:szCs w:val="24"/>
        </w:rPr>
        <w:t>8</w:t>
      </w:r>
      <w:r w:rsidRPr="0069297D">
        <w:rPr>
          <w:rFonts w:cstheme="minorHAnsi"/>
          <w:b/>
          <w:bCs/>
          <w:color w:val="003366"/>
          <w:sz w:val="24"/>
          <w:szCs w:val="24"/>
        </w:rPr>
        <w:t xml:space="preserve"> – Notes to the statement of cash flows </w:t>
      </w:r>
    </w:p>
    <w:p w14:paraId="2B773399" w14:textId="1703450F" w:rsidR="008363D5" w:rsidRPr="008363D5" w:rsidRDefault="008363D5" w:rsidP="008363D5">
      <w:pPr>
        <w:widowControl w:val="0"/>
        <w:autoSpaceDE w:val="0"/>
        <w:autoSpaceDN w:val="0"/>
        <w:adjustRightInd w:val="0"/>
        <w:spacing w:before="160" w:line="240" w:lineRule="auto"/>
        <w:rPr>
          <w:rFonts w:cstheme="minorHAnsi"/>
        </w:rPr>
      </w:pPr>
      <w:r w:rsidRPr="00D80ACC">
        <w:rPr>
          <w:rFonts w:cstheme="minorHAnsi"/>
          <w:b/>
          <w:bCs/>
        </w:rPr>
        <w:t>(i) Reconciliation of operating profit to net cash (outflow)/inflow from operating activities</w:t>
      </w:r>
    </w:p>
    <w:tbl>
      <w:tblPr>
        <w:tblW w:w="6028" w:type="pct"/>
        <w:tblCellMar>
          <w:left w:w="0" w:type="dxa"/>
          <w:right w:w="0" w:type="dxa"/>
        </w:tblCellMar>
        <w:tblLook w:val="04A0" w:firstRow="1" w:lastRow="0" w:firstColumn="1" w:lastColumn="0" w:noHBand="0" w:noVBand="1"/>
      </w:tblPr>
      <w:tblGrid>
        <w:gridCol w:w="6095"/>
        <w:gridCol w:w="3685"/>
        <w:gridCol w:w="1081"/>
        <w:gridCol w:w="1081"/>
        <w:gridCol w:w="1078"/>
      </w:tblGrid>
      <w:tr w:rsidR="008363D5" w:rsidRPr="00D80ACC" w14:paraId="0FFA2D0C" w14:textId="77777777" w:rsidTr="00685B62">
        <w:trPr>
          <w:trHeight w:val="105"/>
        </w:trPr>
        <w:tc>
          <w:tcPr>
            <w:tcW w:w="2341" w:type="pct"/>
            <w:vAlign w:val="bottom"/>
          </w:tcPr>
          <w:p w14:paraId="782AE162" w14:textId="77777777" w:rsidR="008363D5" w:rsidRPr="00D80ACC" w:rsidRDefault="008363D5" w:rsidP="00685B62">
            <w:pPr>
              <w:widowControl w:val="0"/>
              <w:autoSpaceDE w:val="0"/>
              <w:autoSpaceDN w:val="0"/>
              <w:adjustRightInd w:val="0"/>
              <w:spacing w:after="0" w:line="240" w:lineRule="auto"/>
              <w:rPr>
                <w:rFonts w:cstheme="minorHAnsi"/>
              </w:rPr>
            </w:pPr>
          </w:p>
        </w:tc>
        <w:tc>
          <w:tcPr>
            <w:tcW w:w="1830" w:type="pct"/>
            <w:gridSpan w:val="2"/>
            <w:tcBorders>
              <w:top w:val="nil"/>
              <w:left w:val="nil"/>
              <w:right w:val="nil"/>
            </w:tcBorders>
            <w:vAlign w:val="bottom"/>
          </w:tcPr>
          <w:p w14:paraId="20155EB8" w14:textId="77777777" w:rsidR="008363D5" w:rsidRPr="00D80ACC" w:rsidRDefault="008363D5" w:rsidP="00685B62">
            <w:pPr>
              <w:widowControl w:val="0"/>
              <w:autoSpaceDE w:val="0"/>
              <w:autoSpaceDN w:val="0"/>
              <w:adjustRightInd w:val="0"/>
              <w:spacing w:after="0" w:line="240" w:lineRule="auto"/>
              <w:jc w:val="center"/>
              <w:rPr>
                <w:rFonts w:cstheme="minorHAnsi"/>
              </w:rPr>
            </w:pPr>
          </w:p>
        </w:tc>
        <w:tc>
          <w:tcPr>
            <w:tcW w:w="829" w:type="pct"/>
            <w:gridSpan w:val="2"/>
            <w:tcBorders>
              <w:top w:val="nil"/>
              <w:left w:val="nil"/>
              <w:right w:val="nil"/>
            </w:tcBorders>
            <w:vAlign w:val="bottom"/>
          </w:tcPr>
          <w:p w14:paraId="6EDF84E5" w14:textId="77777777" w:rsidR="008363D5" w:rsidRPr="00D80ACC" w:rsidRDefault="008363D5" w:rsidP="00685B62">
            <w:pPr>
              <w:widowControl w:val="0"/>
              <w:autoSpaceDE w:val="0"/>
              <w:autoSpaceDN w:val="0"/>
              <w:adjustRightInd w:val="0"/>
              <w:spacing w:after="0" w:line="240" w:lineRule="auto"/>
              <w:jc w:val="center"/>
              <w:rPr>
                <w:rFonts w:cstheme="minorHAnsi"/>
              </w:rPr>
            </w:pPr>
          </w:p>
        </w:tc>
      </w:tr>
      <w:tr w:rsidR="008363D5" w:rsidRPr="00D80ACC" w14:paraId="6C9372B9" w14:textId="77777777" w:rsidTr="00685B62">
        <w:tc>
          <w:tcPr>
            <w:tcW w:w="2341" w:type="pct"/>
            <w:vAlign w:val="bottom"/>
          </w:tcPr>
          <w:p w14:paraId="0B9ECF8C" w14:textId="77777777" w:rsidR="008363D5" w:rsidRPr="00D80ACC" w:rsidRDefault="008363D5" w:rsidP="00685B62">
            <w:pPr>
              <w:widowControl w:val="0"/>
              <w:autoSpaceDE w:val="0"/>
              <w:autoSpaceDN w:val="0"/>
              <w:adjustRightInd w:val="0"/>
              <w:spacing w:after="0" w:line="240" w:lineRule="auto"/>
              <w:rPr>
                <w:rFonts w:cstheme="minorHAnsi"/>
              </w:rPr>
            </w:pPr>
          </w:p>
        </w:tc>
        <w:tc>
          <w:tcPr>
            <w:tcW w:w="1415" w:type="pct"/>
            <w:tcBorders>
              <w:left w:val="nil"/>
              <w:bottom w:val="nil"/>
              <w:right w:val="nil"/>
            </w:tcBorders>
            <w:vAlign w:val="bottom"/>
          </w:tcPr>
          <w:p w14:paraId="668CEB73" w14:textId="77777777" w:rsidR="008363D5" w:rsidRPr="008C51AB" w:rsidRDefault="008363D5" w:rsidP="00685B62">
            <w:pPr>
              <w:widowControl w:val="0"/>
              <w:autoSpaceDE w:val="0"/>
              <w:autoSpaceDN w:val="0"/>
              <w:adjustRightInd w:val="0"/>
              <w:spacing w:after="0" w:line="240" w:lineRule="auto"/>
              <w:jc w:val="right"/>
              <w:rPr>
                <w:rFonts w:cstheme="minorHAnsi"/>
                <w:b/>
                <w:bCs/>
              </w:rPr>
            </w:pPr>
            <w:r w:rsidRPr="008C51AB">
              <w:rPr>
                <w:rFonts w:cstheme="minorHAnsi"/>
                <w:b/>
                <w:bCs/>
              </w:rPr>
              <w:t>2020</w:t>
            </w:r>
          </w:p>
        </w:tc>
        <w:tc>
          <w:tcPr>
            <w:tcW w:w="415" w:type="pct"/>
            <w:tcBorders>
              <w:left w:val="nil"/>
              <w:bottom w:val="nil"/>
              <w:right w:val="nil"/>
            </w:tcBorders>
            <w:vAlign w:val="bottom"/>
          </w:tcPr>
          <w:p w14:paraId="47318074" w14:textId="77777777" w:rsidR="008363D5" w:rsidRPr="00D80ACC" w:rsidRDefault="008363D5" w:rsidP="00685B62">
            <w:pPr>
              <w:widowControl w:val="0"/>
              <w:autoSpaceDE w:val="0"/>
              <w:autoSpaceDN w:val="0"/>
              <w:adjustRightInd w:val="0"/>
              <w:spacing w:after="0" w:line="240" w:lineRule="auto"/>
              <w:jc w:val="right"/>
              <w:rPr>
                <w:rFonts w:cstheme="minorHAnsi"/>
              </w:rPr>
            </w:pPr>
            <w:r>
              <w:rPr>
                <w:rFonts w:cstheme="minorHAnsi"/>
              </w:rPr>
              <w:t>2019</w:t>
            </w:r>
          </w:p>
        </w:tc>
        <w:tc>
          <w:tcPr>
            <w:tcW w:w="415" w:type="pct"/>
            <w:tcBorders>
              <w:left w:val="nil"/>
              <w:bottom w:val="nil"/>
              <w:right w:val="nil"/>
            </w:tcBorders>
            <w:vAlign w:val="bottom"/>
          </w:tcPr>
          <w:p w14:paraId="5119CEA3" w14:textId="77777777" w:rsidR="008363D5" w:rsidRPr="00D80ACC" w:rsidRDefault="008363D5" w:rsidP="00685B62">
            <w:pPr>
              <w:widowControl w:val="0"/>
              <w:autoSpaceDE w:val="0"/>
              <w:autoSpaceDN w:val="0"/>
              <w:adjustRightInd w:val="0"/>
              <w:spacing w:after="0" w:line="240" w:lineRule="auto"/>
              <w:jc w:val="right"/>
              <w:rPr>
                <w:rFonts w:cstheme="minorHAnsi"/>
              </w:rPr>
            </w:pPr>
          </w:p>
        </w:tc>
        <w:tc>
          <w:tcPr>
            <w:tcW w:w="414" w:type="pct"/>
            <w:tcBorders>
              <w:left w:val="nil"/>
              <w:bottom w:val="nil"/>
              <w:right w:val="nil"/>
            </w:tcBorders>
            <w:vAlign w:val="bottom"/>
          </w:tcPr>
          <w:p w14:paraId="66191DA7" w14:textId="77777777" w:rsidR="008363D5" w:rsidRPr="00D80ACC" w:rsidRDefault="008363D5" w:rsidP="00685B62">
            <w:pPr>
              <w:widowControl w:val="0"/>
              <w:autoSpaceDE w:val="0"/>
              <w:autoSpaceDN w:val="0"/>
              <w:adjustRightInd w:val="0"/>
              <w:spacing w:after="0" w:line="240" w:lineRule="auto"/>
              <w:jc w:val="right"/>
              <w:rPr>
                <w:rFonts w:cstheme="minorHAnsi"/>
              </w:rPr>
            </w:pPr>
          </w:p>
        </w:tc>
      </w:tr>
      <w:tr w:rsidR="008363D5" w:rsidRPr="00D80ACC" w14:paraId="21617083" w14:textId="77777777" w:rsidTr="00685B62">
        <w:tc>
          <w:tcPr>
            <w:tcW w:w="2341" w:type="pct"/>
            <w:tcBorders>
              <w:top w:val="nil"/>
              <w:left w:val="nil"/>
              <w:bottom w:val="single" w:sz="4" w:space="0" w:color="000000" w:themeColor="text1"/>
              <w:right w:val="nil"/>
            </w:tcBorders>
            <w:vAlign w:val="bottom"/>
          </w:tcPr>
          <w:p w14:paraId="6FA501FD" w14:textId="77777777" w:rsidR="008363D5" w:rsidRPr="00D80ACC" w:rsidRDefault="008363D5" w:rsidP="00685B62">
            <w:pPr>
              <w:widowControl w:val="0"/>
              <w:autoSpaceDE w:val="0"/>
              <w:autoSpaceDN w:val="0"/>
              <w:adjustRightInd w:val="0"/>
              <w:spacing w:after="0" w:line="240" w:lineRule="auto"/>
              <w:rPr>
                <w:rFonts w:cstheme="minorHAnsi"/>
              </w:rPr>
            </w:pPr>
          </w:p>
        </w:tc>
        <w:tc>
          <w:tcPr>
            <w:tcW w:w="1415" w:type="pct"/>
            <w:tcBorders>
              <w:top w:val="nil"/>
              <w:left w:val="nil"/>
              <w:bottom w:val="single" w:sz="4" w:space="0" w:color="000000" w:themeColor="text1"/>
              <w:right w:val="nil"/>
            </w:tcBorders>
            <w:vAlign w:val="bottom"/>
            <w:hideMark/>
          </w:tcPr>
          <w:p w14:paraId="284A3E93"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£m</w:t>
            </w:r>
          </w:p>
        </w:tc>
        <w:tc>
          <w:tcPr>
            <w:tcW w:w="415" w:type="pct"/>
            <w:tcBorders>
              <w:top w:val="nil"/>
              <w:left w:val="nil"/>
              <w:bottom w:val="single" w:sz="4" w:space="0" w:color="000000" w:themeColor="text1"/>
              <w:right w:val="nil"/>
            </w:tcBorders>
            <w:vAlign w:val="bottom"/>
            <w:hideMark/>
          </w:tcPr>
          <w:p w14:paraId="434F4406"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rPr>
              <w:t>£m</w:t>
            </w:r>
          </w:p>
        </w:tc>
        <w:tc>
          <w:tcPr>
            <w:tcW w:w="415" w:type="pct"/>
            <w:tcBorders>
              <w:top w:val="nil"/>
              <w:left w:val="nil"/>
              <w:right w:val="nil"/>
            </w:tcBorders>
            <w:vAlign w:val="bottom"/>
          </w:tcPr>
          <w:p w14:paraId="52F183FA" w14:textId="77777777" w:rsidR="008363D5" w:rsidRPr="00D80ACC" w:rsidRDefault="008363D5" w:rsidP="00685B62">
            <w:pPr>
              <w:widowControl w:val="0"/>
              <w:autoSpaceDE w:val="0"/>
              <w:autoSpaceDN w:val="0"/>
              <w:adjustRightInd w:val="0"/>
              <w:spacing w:after="0" w:line="240" w:lineRule="auto"/>
              <w:jc w:val="right"/>
              <w:rPr>
                <w:rFonts w:cstheme="minorHAnsi"/>
              </w:rPr>
            </w:pPr>
          </w:p>
        </w:tc>
        <w:tc>
          <w:tcPr>
            <w:tcW w:w="414" w:type="pct"/>
            <w:tcBorders>
              <w:top w:val="nil"/>
              <w:left w:val="nil"/>
              <w:right w:val="nil"/>
            </w:tcBorders>
            <w:vAlign w:val="bottom"/>
          </w:tcPr>
          <w:p w14:paraId="1660F9F2" w14:textId="77777777" w:rsidR="008363D5" w:rsidRPr="00D80ACC" w:rsidRDefault="008363D5" w:rsidP="00685B62">
            <w:pPr>
              <w:widowControl w:val="0"/>
              <w:autoSpaceDE w:val="0"/>
              <w:autoSpaceDN w:val="0"/>
              <w:adjustRightInd w:val="0"/>
              <w:spacing w:after="0" w:line="240" w:lineRule="auto"/>
              <w:jc w:val="right"/>
              <w:rPr>
                <w:rFonts w:cstheme="minorHAnsi"/>
              </w:rPr>
            </w:pPr>
          </w:p>
        </w:tc>
      </w:tr>
      <w:tr w:rsidR="008363D5" w:rsidRPr="00D80ACC" w14:paraId="76179065" w14:textId="77777777" w:rsidTr="00685B62">
        <w:tc>
          <w:tcPr>
            <w:tcW w:w="2341" w:type="pct"/>
            <w:tcBorders>
              <w:top w:val="single" w:sz="4" w:space="0" w:color="000000" w:themeColor="text1"/>
              <w:left w:val="nil"/>
              <w:bottom w:val="nil"/>
              <w:right w:val="nil"/>
            </w:tcBorders>
            <w:vAlign w:val="bottom"/>
            <w:hideMark/>
          </w:tcPr>
          <w:p w14:paraId="322622E3"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Operating profit</w:t>
            </w:r>
          </w:p>
        </w:tc>
        <w:tc>
          <w:tcPr>
            <w:tcW w:w="1415" w:type="pct"/>
            <w:tcBorders>
              <w:top w:val="single" w:sz="4" w:space="0" w:color="000000" w:themeColor="text1"/>
              <w:left w:val="nil"/>
              <w:bottom w:val="nil"/>
              <w:right w:val="nil"/>
            </w:tcBorders>
            <w:vAlign w:val="bottom"/>
            <w:hideMark/>
          </w:tcPr>
          <w:p w14:paraId="7C153B5F" w14:textId="77777777" w:rsidR="008363D5" w:rsidRPr="00610B45" w:rsidRDefault="008363D5" w:rsidP="00685B62">
            <w:pPr>
              <w:widowControl w:val="0"/>
              <w:autoSpaceDE w:val="0"/>
              <w:autoSpaceDN w:val="0"/>
              <w:adjustRightInd w:val="0"/>
              <w:spacing w:after="0" w:line="240" w:lineRule="auto"/>
              <w:jc w:val="right"/>
              <w:rPr>
                <w:rFonts w:cstheme="minorHAnsi"/>
                <w:b/>
                <w:bCs/>
              </w:rPr>
            </w:pPr>
            <w:r w:rsidRPr="00610B45">
              <w:rPr>
                <w:rFonts w:cstheme="minorHAnsi"/>
                <w:b/>
                <w:bCs/>
              </w:rPr>
              <w:t>2.1</w:t>
            </w:r>
          </w:p>
        </w:tc>
        <w:tc>
          <w:tcPr>
            <w:tcW w:w="415" w:type="pct"/>
            <w:tcBorders>
              <w:top w:val="single" w:sz="4" w:space="0" w:color="000000" w:themeColor="text1"/>
              <w:left w:val="nil"/>
              <w:bottom w:val="nil"/>
              <w:right w:val="nil"/>
            </w:tcBorders>
            <w:vAlign w:val="bottom"/>
            <w:hideMark/>
          </w:tcPr>
          <w:p w14:paraId="5593B4B4" w14:textId="77777777" w:rsidR="008363D5" w:rsidRPr="008C51AB" w:rsidRDefault="008363D5" w:rsidP="00685B62">
            <w:pPr>
              <w:widowControl w:val="0"/>
              <w:autoSpaceDE w:val="0"/>
              <w:autoSpaceDN w:val="0"/>
              <w:adjustRightInd w:val="0"/>
              <w:spacing w:after="0" w:line="240" w:lineRule="auto"/>
              <w:jc w:val="right"/>
              <w:rPr>
                <w:rFonts w:cstheme="minorHAnsi"/>
              </w:rPr>
            </w:pPr>
            <w:r w:rsidRPr="008C51AB">
              <w:rPr>
                <w:rFonts w:cstheme="minorHAnsi"/>
              </w:rPr>
              <w:t>10.0</w:t>
            </w:r>
          </w:p>
        </w:tc>
        <w:tc>
          <w:tcPr>
            <w:tcW w:w="415" w:type="pct"/>
            <w:tcBorders>
              <w:left w:val="nil"/>
              <w:bottom w:val="nil"/>
              <w:right w:val="nil"/>
            </w:tcBorders>
            <w:vAlign w:val="bottom"/>
          </w:tcPr>
          <w:p w14:paraId="1E884DB6" w14:textId="77777777" w:rsidR="008363D5" w:rsidRPr="00D80ACC" w:rsidRDefault="008363D5" w:rsidP="00685B62">
            <w:pPr>
              <w:widowControl w:val="0"/>
              <w:autoSpaceDE w:val="0"/>
              <w:autoSpaceDN w:val="0"/>
              <w:adjustRightInd w:val="0"/>
              <w:spacing w:after="0" w:line="240" w:lineRule="auto"/>
              <w:jc w:val="right"/>
              <w:rPr>
                <w:rFonts w:cstheme="minorHAnsi"/>
              </w:rPr>
            </w:pPr>
          </w:p>
        </w:tc>
        <w:tc>
          <w:tcPr>
            <w:tcW w:w="414" w:type="pct"/>
            <w:tcBorders>
              <w:left w:val="nil"/>
              <w:bottom w:val="nil"/>
              <w:right w:val="nil"/>
            </w:tcBorders>
            <w:vAlign w:val="bottom"/>
          </w:tcPr>
          <w:p w14:paraId="6E19FD4E" w14:textId="77777777" w:rsidR="008363D5" w:rsidRPr="00D80ACC" w:rsidRDefault="008363D5" w:rsidP="00685B62">
            <w:pPr>
              <w:widowControl w:val="0"/>
              <w:autoSpaceDE w:val="0"/>
              <w:autoSpaceDN w:val="0"/>
              <w:adjustRightInd w:val="0"/>
              <w:spacing w:after="0" w:line="240" w:lineRule="auto"/>
              <w:jc w:val="right"/>
              <w:rPr>
                <w:rFonts w:cstheme="minorHAnsi"/>
              </w:rPr>
            </w:pPr>
          </w:p>
        </w:tc>
      </w:tr>
      <w:tr w:rsidR="008363D5" w:rsidRPr="00D80ACC" w14:paraId="63F37C2D" w14:textId="77777777" w:rsidTr="00685B62">
        <w:tc>
          <w:tcPr>
            <w:tcW w:w="2341" w:type="pct"/>
            <w:vAlign w:val="bottom"/>
            <w:hideMark/>
          </w:tcPr>
          <w:p w14:paraId="010B64A9"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Depreciation charges</w:t>
            </w:r>
          </w:p>
        </w:tc>
        <w:tc>
          <w:tcPr>
            <w:tcW w:w="1415" w:type="pct"/>
            <w:vAlign w:val="bottom"/>
            <w:hideMark/>
          </w:tcPr>
          <w:p w14:paraId="2D216583" w14:textId="4FE25EFD" w:rsidR="008363D5" w:rsidRPr="00D80ACC" w:rsidRDefault="008363D5" w:rsidP="00685B62">
            <w:pPr>
              <w:widowControl w:val="0"/>
              <w:autoSpaceDE w:val="0"/>
              <w:autoSpaceDN w:val="0"/>
              <w:adjustRightInd w:val="0"/>
              <w:spacing w:after="0" w:line="240" w:lineRule="auto"/>
              <w:jc w:val="right"/>
              <w:rPr>
                <w:rFonts w:cstheme="minorHAnsi"/>
              </w:rPr>
            </w:pPr>
            <w:r>
              <w:rPr>
                <w:rFonts w:cstheme="minorHAnsi"/>
                <w:b/>
                <w:bCs/>
              </w:rPr>
              <w:t>2.</w:t>
            </w:r>
            <w:r w:rsidR="005C5B1C">
              <w:rPr>
                <w:rFonts w:cstheme="minorHAnsi"/>
                <w:b/>
                <w:bCs/>
              </w:rPr>
              <w:t>1</w:t>
            </w:r>
          </w:p>
        </w:tc>
        <w:tc>
          <w:tcPr>
            <w:tcW w:w="415" w:type="pct"/>
            <w:vAlign w:val="bottom"/>
            <w:hideMark/>
          </w:tcPr>
          <w:p w14:paraId="75401C51" w14:textId="77777777" w:rsidR="008363D5" w:rsidRPr="008C51AB" w:rsidRDefault="008363D5" w:rsidP="00685B62">
            <w:pPr>
              <w:widowControl w:val="0"/>
              <w:autoSpaceDE w:val="0"/>
              <w:autoSpaceDN w:val="0"/>
              <w:adjustRightInd w:val="0"/>
              <w:spacing w:after="0" w:line="240" w:lineRule="auto"/>
              <w:jc w:val="right"/>
              <w:rPr>
                <w:rFonts w:cstheme="minorHAnsi"/>
              </w:rPr>
            </w:pPr>
            <w:r w:rsidRPr="008C51AB">
              <w:rPr>
                <w:rFonts w:cstheme="minorHAnsi"/>
              </w:rPr>
              <w:t>2.1</w:t>
            </w:r>
          </w:p>
        </w:tc>
        <w:tc>
          <w:tcPr>
            <w:tcW w:w="415" w:type="pct"/>
            <w:vAlign w:val="bottom"/>
          </w:tcPr>
          <w:p w14:paraId="378B50F1" w14:textId="77777777" w:rsidR="008363D5" w:rsidRPr="00D80ACC" w:rsidRDefault="008363D5" w:rsidP="00685B62">
            <w:pPr>
              <w:widowControl w:val="0"/>
              <w:autoSpaceDE w:val="0"/>
              <w:autoSpaceDN w:val="0"/>
              <w:adjustRightInd w:val="0"/>
              <w:spacing w:after="0" w:line="240" w:lineRule="auto"/>
              <w:jc w:val="right"/>
              <w:rPr>
                <w:rFonts w:cstheme="minorHAnsi"/>
              </w:rPr>
            </w:pPr>
          </w:p>
        </w:tc>
        <w:tc>
          <w:tcPr>
            <w:tcW w:w="414" w:type="pct"/>
            <w:vAlign w:val="bottom"/>
          </w:tcPr>
          <w:p w14:paraId="76ACF302" w14:textId="77777777" w:rsidR="008363D5" w:rsidRPr="00D80ACC" w:rsidRDefault="008363D5" w:rsidP="00685B62">
            <w:pPr>
              <w:widowControl w:val="0"/>
              <w:autoSpaceDE w:val="0"/>
              <w:autoSpaceDN w:val="0"/>
              <w:adjustRightInd w:val="0"/>
              <w:spacing w:after="0" w:line="240" w:lineRule="auto"/>
              <w:jc w:val="right"/>
              <w:rPr>
                <w:rFonts w:cstheme="minorHAnsi"/>
              </w:rPr>
            </w:pPr>
          </w:p>
        </w:tc>
      </w:tr>
      <w:tr w:rsidR="008363D5" w:rsidRPr="00D80ACC" w14:paraId="018E6F58" w14:textId="77777777" w:rsidTr="00685B62">
        <w:tc>
          <w:tcPr>
            <w:tcW w:w="2341" w:type="pct"/>
            <w:vAlign w:val="bottom"/>
            <w:hideMark/>
          </w:tcPr>
          <w:p w14:paraId="0EEFAC48"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Equity-settled share-based payment expense</w:t>
            </w:r>
          </w:p>
        </w:tc>
        <w:tc>
          <w:tcPr>
            <w:tcW w:w="1415" w:type="pct"/>
            <w:vAlign w:val="bottom"/>
            <w:hideMark/>
          </w:tcPr>
          <w:p w14:paraId="1BB10925" w14:textId="77777777" w:rsidR="008363D5" w:rsidRPr="00D80ACC" w:rsidRDefault="008363D5" w:rsidP="00685B62">
            <w:pPr>
              <w:widowControl w:val="0"/>
              <w:autoSpaceDE w:val="0"/>
              <w:autoSpaceDN w:val="0"/>
              <w:adjustRightInd w:val="0"/>
              <w:spacing w:after="0" w:line="240" w:lineRule="auto"/>
              <w:jc w:val="right"/>
              <w:rPr>
                <w:rFonts w:cstheme="minorHAnsi"/>
              </w:rPr>
            </w:pPr>
            <w:r>
              <w:rPr>
                <w:rFonts w:cstheme="minorHAnsi"/>
                <w:b/>
                <w:bCs/>
              </w:rPr>
              <w:t>0.4</w:t>
            </w:r>
          </w:p>
        </w:tc>
        <w:tc>
          <w:tcPr>
            <w:tcW w:w="415" w:type="pct"/>
            <w:vAlign w:val="bottom"/>
            <w:hideMark/>
          </w:tcPr>
          <w:p w14:paraId="71B892C0" w14:textId="77777777" w:rsidR="008363D5" w:rsidRPr="008C51AB" w:rsidRDefault="008363D5" w:rsidP="00685B62">
            <w:pPr>
              <w:widowControl w:val="0"/>
              <w:autoSpaceDE w:val="0"/>
              <w:autoSpaceDN w:val="0"/>
              <w:adjustRightInd w:val="0"/>
              <w:spacing w:after="0" w:line="240" w:lineRule="auto"/>
              <w:jc w:val="right"/>
              <w:rPr>
                <w:rFonts w:cstheme="minorHAnsi"/>
              </w:rPr>
            </w:pPr>
            <w:r w:rsidRPr="008C51AB">
              <w:rPr>
                <w:rFonts w:cstheme="minorHAnsi"/>
              </w:rPr>
              <w:t>0.5</w:t>
            </w:r>
          </w:p>
        </w:tc>
        <w:tc>
          <w:tcPr>
            <w:tcW w:w="415" w:type="pct"/>
            <w:vAlign w:val="bottom"/>
          </w:tcPr>
          <w:p w14:paraId="50E2C670" w14:textId="77777777" w:rsidR="008363D5" w:rsidRPr="00D80ACC" w:rsidRDefault="008363D5" w:rsidP="00685B62">
            <w:pPr>
              <w:widowControl w:val="0"/>
              <w:autoSpaceDE w:val="0"/>
              <w:autoSpaceDN w:val="0"/>
              <w:adjustRightInd w:val="0"/>
              <w:spacing w:after="0" w:line="240" w:lineRule="auto"/>
              <w:jc w:val="right"/>
              <w:rPr>
                <w:rFonts w:cstheme="minorHAnsi"/>
              </w:rPr>
            </w:pPr>
          </w:p>
        </w:tc>
        <w:tc>
          <w:tcPr>
            <w:tcW w:w="414" w:type="pct"/>
            <w:vAlign w:val="bottom"/>
          </w:tcPr>
          <w:p w14:paraId="26E385BD" w14:textId="77777777" w:rsidR="008363D5" w:rsidRPr="00D80ACC" w:rsidRDefault="008363D5" w:rsidP="00685B62">
            <w:pPr>
              <w:widowControl w:val="0"/>
              <w:autoSpaceDE w:val="0"/>
              <w:autoSpaceDN w:val="0"/>
              <w:adjustRightInd w:val="0"/>
              <w:spacing w:after="0" w:line="240" w:lineRule="auto"/>
              <w:jc w:val="right"/>
              <w:rPr>
                <w:rFonts w:cstheme="minorHAnsi"/>
              </w:rPr>
            </w:pPr>
          </w:p>
        </w:tc>
      </w:tr>
      <w:tr w:rsidR="008363D5" w:rsidRPr="00D80ACC" w14:paraId="667F5B93" w14:textId="77777777" w:rsidTr="00685B62">
        <w:tc>
          <w:tcPr>
            <w:tcW w:w="2341" w:type="pct"/>
            <w:vAlign w:val="bottom"/>
            <w:hideMark/>
          </w:tcPr>
          <w:p w14:paraId="5052219D"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Amortisation of intangible assets</w:t>
            </w:r>
          </w:p>
        </w:tc>
        <w:tc>
          <w:tcPr>
            <w:tcW w:w="1415" w:type="pct"/>
            <w:vAlign w:val="bottom"/>
            <w:hideMark/>
          </w:tcPr>
          <w:p w14:paraId="79E06909"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0.2</w:t>
            </w:r>
          </w:p>
        </w:tc>
        <w:tc>
          <w:tcPr>
            <w:tcW w:w="415" w:type="pct"/>
            <w:vAlign w:val="bottom"/>
            <w:hideMark/>
          </w:tcPr>
          <w:p w14:paraId="312A843E" w14:textId="77777777" w:rsidR="008363D5" w:rsidRPr="008C51AB" w:rsidRDefault="008363D5" w:rsidP="00685B62">
            <w:pPr>
              <w:widowControl w:val="0"/>
              <w:autoSpaceDE w:val="0"/>
              <w:autoSpaceDN w:val="0"/>
              <w:adjustRightInd w:val="0"/>
              <w:spacing w:after="0" w:line="240" w:lineRule="auto"/>
              <w:jc w:val="right"/>
              <w:rPr>
                <w:rFonts w:cstheme="minorHAnsi"/>
              </w:rPr>
            </w:pPr>
            <w:r w:rsidRPr="008C51AB">
              <w:rPr>
                <w:rFonts w:cstheme="minorHAnsi"/>
              </w:rPr>
              <w:t>0.2</w:t>
            </w:r>
          </w:p>
        </w:tc>
        <w:tc>
          <w:tcPr>
            <w:tcW w:w="415" w:type="pct"/>
            <w:vAlign w:val="bottom"/>
          </w:tcPr>
          <w:p w14:paraId="47200FAC" w14:textId="77777777" w:rsidR="008363D5" w:rsidRPr="00D80ACC" w:rsidRDefault="008363D5" w:rsidP="00685B62">
            <w:pPr>
              <w:widowControl w:val="0"/>
              <w:autoSpaceDE w:val="0"/>
              <w:autoSpaceDN w:val="0"/>
              <w:adjustRightInd w:val="0"/>
              <w:spacing w:after="0" w:line="240" w:lineRule="auto"/>
              <w:jc w:val="right"/>
              <w:rPr>
                <w:rFonts w:cstheme="minorHAnsi"/>
              </w:rPr>
            </w:pPr>
          </w:p>
        </w:tc>
        <w:tc>
          <w:tcPr>
            <w:tcW w:w="414" w:type="pct"/>
            <w:vAlign w:val="bottom"/>
          </w:tcPr>
          <w:p w14:paraId="34060876" w14:textId="77777777" w:rsidR="008363D5" w:rsidRPr="00D80ACC" w:rsidRDefault="008363D5" w:rsidP="00685B62">
            <w:pPr>
              <w:widowControl w:val="0"/>
              <w:autoSpaceDE w:val="0"/>
              <w:autoSpaceDN w:val="0"/>
              <w:adjustRightInd w:val="0"/>
              <w:spacing w:after="0" w:line="240" w:lineRule="auto"/>
              <w:jc w:val="right"/>
              <w:rPr>
                <w:rFonts w:cstheme="minorHAnsi"/>
              </w:rPr>
            </w:pPr>
          </w:p>
        </w:tc>
      </w:tr>
      <w:tr w:rsidR="008363D5" w:rsidRPr="00D80ACC" w14:paraId="6F056E5D" w14:textId="77777777" w:rsidTr="00685B62">
        <w:tc>
          <w:tcPr>
            <w:tcW w:w="2341" w:type="pct"/>
            <w:vAlign w:val="bottom"/>
          </w:tcPr>
          <w:p w14:paraId="3EE905E5" w14:textId="77777777" w:rsidR="008363D5" w:rsidRPr="00D80ACC" w:rsidRDefault="008363D5" w:rsidP="00685B62">
            <w:pPr>
              <w:widowControl w:val="0"/>
              <w:autoSpaceDE w:val="0"/>
              <w:autoSpaceDN w:val="0"/>
              <w:adjustRightInd w:val="0"/>
              <w:spacing w:after="0" w:line="240" w:lineRule="auto"/>
              <w:rPr>
                <w:rFonts w:cstheme="minorHAnsi"/>
              </w:rPr>
            </w:pPr>
            <w:r>
              <w:rPr>
                <w:rFonts w:cstheme="minorHAnsi"/>
              </w:rPr>
              <w:t>Pension deficit reduction contributions</w:t>
            </w:r>
          </w:p>
        </w:tc>
        <w:tc>
          <w:tcPr>
            <w:tcW w:w="1415" w:type="pct"/>
            <w:vAlign w:val="bottom"/>
          </w:tcPr>
          <w:p w14:paraId="0C9406D3" w14:textId="77777777" w:rsidR="008363D5" w:rsidRPr="00D80ACC" w:rsidRDefault="008363D5" w:rsidP="00685B62">
            <w:pPr>
              <w:widowControl w:val="0"/>
              <w:autoSpaceDE w:val="0"/>
              <w:autoSpaceDN w:val="0"/>
              <w:adjustRightInd w:val="0"/>
              <w:spacing w:after="0" w:line="240" w:lineRule="auto"/>
              <w:jc w:val="right"/>
              <w:rPr>
                <w:rFonts w:cstheme="minorHAnsi"/>
                <w:b/>
                <w:bCs/>
              </w:rPr>
            </w:pPr>
            <w:r>
              <w:rPr>
                <w:rFonts w:cstheme="minorHAnsi"/>
                <w:b/>
                <w:bCs/>
              </w:rPr>
              <w:t>(1.5)</w:t>
            </w:r>
          </w:p>
        </w:tc>
        <w:tc>
          <w:tcPr>
            <w:tcW w:w="415" w:type="pct"/>
            <w:vAlign w:val="bottom"/>
          </w:tcPr>
          <w:p w14:paraId="25D67DF5" w14:textId="77777777" w:rsidR="008363D5" w:rsidRPr="008C51AB" w:rsidRDefault="008363D5" w:rsidP="00685B62">
            <w:pPr>
              <w:widowControl w:val="0"/>
              <w:autoSpaceDE w:val="0"/>
              <w:autoSpaceDN w:val="0"/>
              <w:adjustRightInd w:val="0"/>
              <w:spacing w:after="0" w:line="240" w:lineRule="auto"/>
              <w:jc w:val="right"/>
              <w:rPr>
                <w:rFonts w:cstheme="minorHAnsi"/>
              </w:rPr>
            </w:pPr>
            <w:r w:rsidRPr="008C51AB">
              <w:rPr>
                <w:rFonts w:cstheme="minorHAnsi"/>
              </w:rPr>
              <w:t>(1.5)</w:t>
            </w:r>
          </w:p>
        </w:tc>
        <w:tc>
          <w:tcPr>
            <w:tcW w:w="415" w:type="pct"/>
            <w:vAlign w:val="bottom"/>
          </w:tcPr>
          <w:p w14:paraId="30AAE769" w14:textId="77777777" w:rsidR="008363D5" w:rsidRPr="00D80ACC" w:rsidRDefault="008363D5" w:rsidP="00685B62">
            <w:pPr>
              <w:widowControl w:val="0"/>
              <w:autoSpaceDE w:val="0"/>
              <w:autoSpaceDN w:val="0"/>
              <w:adjustRightInd w:val="0"/>
              <w:spacing w:after="0" w:line="240" w:lineRule="auto"/>
              <w:jc w:val="right"/>
              <w:rPr>
                <w:rFonts w:cstheme="minorHAnsi"/>
              </w:rPr>
            </w:pPr>
          </w:p>
        </w:tc>
        <w:tc>
          <w:tcPr>
            <w:tcW w:w="414" w:type="pct"/>
            <w:vAlign w:val="bottom"/>
          </w:tcPr>
          <w:p w14:paraId="277C84F5" w14:textId="77777777" w:rsidR="008363D5" w:rsidRPr="00D80ACC" w:rsidRDefault="008363D5" w:rsidP="00685B62">
            <w:pPr>
              <w:widowControl w:val="0"/>
              <w:autoSpaceDE w:val="0"/>
              <w:autoSpaceDN w:val="0"/>
              <w:adjustRightInd w:val="0"/>
              <w:spacing w:after="0" w:line="240" w:lineRule="auto"/>
              <w:jc w:val="right"/>
              <w:rPr>
                <w:rFonts w:cstheme="minorHAnsi"/>
              </w:rPr>
            </w:pPr>
          </w:p>
        </w:tc>
      </w:tr>
      <w:tr w:rsidR="008363D5" w:rsidRPr="00D80ACC" w14:paraId="747501BD" w14:textId="77777777" w:rsidTr="00685B62">
        <w:tc>
          <w:tcPr>
            <w:tcW w:w="2341" w:type="pct"/>
            <w:tcBorders>
              <w:top w:val="nil"/>
              <w:left w:val="nil"/>
              <w:bottom w:val="single" w:sz="4" w:space="0" w:color="000000" w:themeColor="text1"/>
              <w:right w:val="nil"/>
            </w:tcBorders>
            <w:vAlign w:val="bottom"/>
            <w:hideMark/>
          </w:tcPr>
          <w:p w14:paraId="3E67CAF0"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Defined benefit pension scheme credit</w:t>
            </w:r>
          </w:p>
        </w:tc>
        <w:tc>
          <w:tcPr>
            <w:tcW w:w="1415" w:type="pct"/>
            <w:tcBorders>
              <w:top w:val="nil"/>
              <w:left w:val="nil"/>
              <w:bottom w:val="single" w:sz="4" w:space="0" w:color="000000" w:themeColor="text1"/>
              <w:right w:val="nil"/>
            </w:tcBorders>
            <w:vAlign w:val="bottom"/>
            <w:hideMark/>
          </w:tcPr>
          <w:p w14:paraId="2EE13B6B" w14:textId="0340534D"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w:t>
            </w:r>
            <w:r>
              <w:rPr>
                <w:rFonts w:cstheme="minorHAnsi"/>
                <w:b/>
                <w:bCs/>
              </w:rPr>
              <w:t>1</w:t>
            </w:r>
            <w:r w:rsidRPr="00D80ACC">
              <w:rPr>
                <w:rFonts w:cstheme="minorHAnsi"/>
                <w:b/>
                <w:bCs/>
              </w:rPr>
              <w:t>.</w:t>
            </w:r>
            <w:r w:rsidR="005C5B1C">
              <w:rPr>
                <w:rFonts w:cstheme="minorHAnsi"/>
                <w:b/>
                <w:bCs/>
              </w:rPr>
              <w:t>7</w:t>
            </w:r>
            <w:r w:rsidRPr="00D80ACC">
              <w:rPr>
                <w:rFonts w:cstheme="minorHAnsi"/>
                <w:b/>
                <w:bCs/>
              </w:rPr>
              <w:t>)</w:t>
            </w:r>
          </w:p>
        </w:tc>
        <w:tc>
          <w:tcPr>
            <w:tcW w:w="415" w:type="pct"/>
            <w:tcBorders>
              <w:top w:val="nil"/>
              <w:left w:val="nil"/>
              <w:bottom w:val="single" w:sz="4" w:space="0" w:color="000000" w:themeColor="text1"/>
              <w:right w:val="nil"/>
            </w:tcBorders>
            <w:vAlign w:val="bottom"/>
            <w:hideMark/>
          </w:tcPr>
          <w:p w14:paraId="11B156BC" w14:textId="77777777" w:rsidR="008363D5" w:rsidRPr="008C51AB" w:rsidRDefault="008363D5" w:rsidP="00685B62">
            <w:pPr>
              <w:widowControl w:val="0"/>
              <w:autoSpaceDE w:val="0"/>
              <w:autoSpaceDN w:val="0"/>
              <w:adjustRightInd w:val="0"/>
              <w:spacing w:after="0" w:line="240" w:lineRule="auto"/>
              <w:jc w:val="right"/>
              <w:rPr>
                <w:rFonts w:cstheme="minorHAnsi"/>
              </w:rPr>
            </w:pPr>
            <w:r w:rsidRPr="008C51AB">
              <w:rPr>
                <w:rFonts w:cstheme="minorHAnsi"/>
              </w:rPr>
              <w:t>(1.3)</w:t>
            </w:r>
          </w:p>
        </w:tc>
        <w:tc>
          <w:tcPr>
            <w:tcW w:w="415" w:type="pct"/>
            <w:tcBorders>
              <w:top w:val="nil"/>
              <w:left w:val="nil"/>
              <w:right w:val="nil"/>
            </w:tcBorders>
            <w:vAlign w:val="bottom"/>
          </w:tcPr>
          <w:p w14:paraId="5B591C1F" w14:textId="77777777" w:rsidR="008363D5" w:rsidRPr="00D80ACC" w:rsidRDefault="008363D5" w:rsidP="00685B62">
            <w:pPr>
              <w:widowControl w:val="0"/>
              <w:autoSpaceDE w:val="0"/>
              <w:autoSpaceDN w:val="0"/>
              <w:adjustRightInd w:val="0"/>
              <w:spacing w:after="0" w:line="240" w:lineRule="auto"/>
              <w:jc w:val="right"/>
              <w:rPr>
                <w:rFonts w:cstheme="minorHAnsi"/>
              </w:rPr>
            </w:pPr>
          </w:p>
        </w:tc>
        <w:tc>
          <w:tcPr>
            <w:tcW w:w="414" w:type="pct"/>
            <w:tcBorders>
              <w:top w:val="nil"/>
              <w:left w:val="nil"/>
              <w:right w:val="nil"/>
            </w:tcBorders>
            <w:vAlign w:val="bottom"/>
          </w:tcPr>
          <w:p w14:paraId="0498C973" w14:textId="77777777" w:rsidR="008363D5" w:rsidRPr="00D80ACC" w:rsidRDefault="008363D5" w:rsidP="00685B62">
            <w:pPr>
              <w:widowControl w:val="0"/>
              <w:autoSpaceDE w:val="0"/>
              <w:autoSpaceDN w:val="0"/>
              <w:adjustRightInd w:val="0"/>
              <w:spacing w:after="0" w:line="240" w:lineRule="auto"/>
              <w:jc w:val="right"/>
              <w:rPr>
                <w:rFonts w:cstheme="minorHAnsi"/>
              </w:rPr>
            </w:pPr>
          </w:p>
        </w:tc>
      </w:tr>
      <w:tr w:rsidR="008363D5" w:rsidRPr="00D80ACC" w14:paraId="5B517D22" w14:textId="77777777" w:rsidTr="00685B62">
        <w:tc>
          <w:tcPr>
            <w:tcW w:w="2341" w:type="pct"/>
            <w:tcBorders>
              <w:top w:val="single" w:sz="4" w:space="0" w:color="000000" w:themeColor="text1"/>
              <w:left w:val="nil"/>
              <w:bottom w:val="nil"/>
              <w:right w:val="nil"/>
            </w:tcBorders>
            <w:vAlign w:val="bottom"/>
            <w:hideMark/>
          </w:tcPr>
          <w:p w14:paraId="47D09C02"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Operating cash f</w:t>
            </w:r>
            <w:r>
              <w:rPr>
                <w:rFonts w:cstheme="minorHAnsi"/>
              </w:rPr>
              <w:t>l</w:t>
            </w:r>
            <w:r w:rsidRPr="00D80ACC">
              <w:rPr>
                <w:rFonts w:cstheme="minorHAnsi"/>
              </w:rPr>
              <w:t>ows before movement in working capital</w:t>
            </w:r>
          </w:p>
        </w:tc>
        <w:tc>
          <w:tcPr>
            <w:tcW w:w="1415" w:type="pct"/>
            <w:tcBorders>
              <w:top w:val="single" w:sz="4" w:space="0" w:color="000000" w:themeColor="text1"/>
              <w:left w:val="nil"/>
              <w:bottom w:val="nil"/>
              <w:right w:val="nil"/>
            </w:tcBorders>
            <w:vAlign w:val="bottom"/>
            <w:hideMark/>
          </w:tcPr>
          <w:p w14:paraId="28FDC561" w14:textId="77777777" w:rsidR="008363D5" w:rsidRPr="00D80ACC" w:rsidRDefault="008363D5" w:rsidP="00685B62">
            <w:pPr>
              <w:widowControl w:val="0"/>
              <w:autoSpaceDE w:val="0"/>
              <w:autoSpaceDN w:val="0"/>
              <w:adjustRightInd w:val="0"/>
              <w:spacing w:after="0" w:line="240" w:lineRule="auto"/>
              <w:jc w:val="right"/>
              <w:rPr>
                <w:rFonts w:cstheme="minorHAnsi"/>
              </w:rPr>
            </w:pPr>
            <w:r>
              <w:rPr>
                <w:rFonts w:cstheme="minorHAnsi"/>
                <w:b/>
                <w:bCs/>
              </w:rPr>
              <w:t>1.6</w:t>
            </w:r>
          </w:p>
        </w:tc>
        <w:tc>
          <w:tcPr>
            <w:tcW w:w="415" w:type="pct"/>
            <w:tcBorders>
              <w:top w:val="single" w:sz="4" w:space="0" w:color="000000" w:themeColor="text1"/>
              <w:left w:val="nil"/>
              <w:bottom w:val="nil"/>
              <w:right w:val="nil"/>
            </w:tcBorders>
            <w:vAlign w:val="bottom"/>
            <w:hideMark/>
          </w:tcPr>
          <w:p w14:paraId="2A89ED1C" w14:textId="77777777" w:rsidR="008363D5" w:rsidRPr="008C51AB" w:rsidRDefault="008363D5" w:rsidP="00685B62">
            <w:pPr>
              <w:widowControl w:val="0"/>
              <w:autoSpaceDE w:val="0"/>
              <w:autoSpaceDN w:val="0"/>
              <w:adjustRightInd w:val="0"/>
              <w:spacing w:after="0" w:line="240" w:lineRule="auto"/>
              <w:jc w:val="right"/>
              <w:rPr>
                <w:rFonts w:cstheme="minorHAnsi"/>
              </w:rPr>
            </w:pPr>
            <w:r w:rsidRPr="008C51AB">
              <w:rPr>
                <w:rFonts w:cstheme="minorHAnsi"/>
              </w:rPr>
              <w:t>10.0</w:t>
            </w:r>
          </w:p>
        </w:tc>
        <w:tc>
          <w:tcPr>
            <w:tcW w:w="415" w:type="pct"/>
            <w:tcBorders>
              <w:left w:val="nil"/>
              <w:bottom w:val="nil"/>
              <w:right w:val="nil"/>
            </w:tcBorders>
            <w:vAlign w:val="bottom"/>
          </w:tcPr>
          <w:p w14:paraId="085A20F8" w14:textId="77777777" w:rsidR="008363D5" w:rsidRPr="00D80ACC" w:rsidRDefault="008363D5" w:rsidP="00685B62">
            <w:pPr>
              <w:widowControl w:val="0"/>
              <w:autoSpaceDE w:val="0"/>
              <w:autoSpaceDN w:val="0"/>
              <w:adjustRightInd w:val="0"/>
              <w:spacing w:after="0" w:line="240" w:lineRule="auto"/>
              <w:jc w:val="right"/>
              <w:rPr>
                <w:rFonts w:cstheme="minorHAnsi"/>
              </w:rPr>
            </w:pPr>
          </w:p>
        </w:tc>
        <w:tc>
          <w:tcPr>
            <w:tcW w:w="414" w:type="pct"/>
            <w:tcBorders>
              <w:left w:val="nil"/>
              <w:bottom w:val="nil"/>
              <w:right w:val="nil"/>
            </w:tcBorders>
            <w:vAlign w:val="bottom"/>
          </w:tcPr>
          <w:p w14:paraId="04AF7CC0" w14:textId="77777777" w:rsidR="008363D5" w:rsidRPr="00D80ACC" w:rsidRDefault="008363D5" w:rsidP="00685B62">
            <w:pPr>
              <w:widowControl w:val="0"/>
              <w:autoSpaceDE w:val="0"/>
              <w:autoSpaceDN w:val="0"/>
              <w:adjustRightInd w:val="0"/>
              <w:spacing w:after="0" w:line="240" w:lineRule="auto"/>
              <w:jc w:val="right"/>
              <w:rPr>
                <w:rFonts w:cstheme="minorHAnsi"/>
              </w:rPr>
            </w:pPr>
          </w:p>
        </w:tc>
      </w:tr>
      <w:tr w:rsidR="008363D5" w:rsidRPr="00D80ACC" w14:paraId="556BFA19" w14:textId="77777777" w:rsidTr="00685B62">
        <w:tc>
          <w:tcPr>
            <w:tcW w:w="2341" w:type="pct"/>
            <w:vAlign w:val="bottom"/>
            <w:hideMark/>
          </w:tcPr>
          <w:p w14:paraId="603A61B5"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Movement in inventories</w:t>
            </w:r>
          </w:p>
        </w:tc>
        <w:tc>
          <w:tcPr>
            <w:tcW w:w="1415" w:type="pct"/>
            <w:vAlign w:val="bottom"/>
            <w:hideMark/>
          </w:tcPr>
          <w:p w14:paraId="3AC34D39" w14:textId="77777777" w:rsidR="008363D5" w:rsidRPr="00610B45" w:rsidRDefault="008363D5" w:rsidP="00685B62">
            <w:pPr>
              <w:widowControl w:val="0"/>
              <w:autoSpaceDE w:val="0"/>
              <w:autoSpaceDN w:val="0"/>
              <w:adjustRightInd w:val="0"/>
              <w:spacing w:after="0" w:line="240" w:lineRule="auto"/>
              <w:jc w:val="right"/>
              <w:rPr>
                <w:rFonts w:cstheme="minorHAnsi"/>
                <w:b/>
                <w:bCs/>
              </w:rPr>
            </w:pPr>
            <w:r w:rsidRPr="00610B45">
              <w:rPr>
                <w:rFonts w:cstheme="minorHAnsi"/>
                <w:b/>
                <w:bCs/>
              </w:rPr>
              <w:t>(0.2)</w:t>
            </w:r>
          </w:p>
        </w:tc>
        <w:tc>
          <w:tcPr>
            <w:tcW w:w="415" w:type="pct"/>
            <w:vAlign w:val="bottom"/>
            <w:hideMark/>
          </w:tcPr>
          <w:p w14:paraId="71764FD5" w14:textId="77777777" w:rsidR="008363D5" w:rsidRPr="008C51AB" w:rsidRDefault="008363D5" w:rsidP="00685B62">
            <w:pPr>
              <w:widowControl w:val="0"/>
              <w:autoSpaceDE w:val="0"/>
              <w:autoSpaceDN w:val="0"/>
              <w:adjustRightInd w:val="0"/>
              <w:spacing w:after="0" w:line="240" w:lineRule="auto"/>
              <w:jc w:val="right"/>
              <w:rPr>
                <w:rFonts w:cstheme="minorHAnsi"/>
              </w:rPr>
            </w:pPr>
            <w:r w:rsidRPr="008C51AB">
              <w:rPr>
                <w:rFonts w:cstheme="minorHAnsi"/>
              </w:rPr>
              <w:t>0.1</w:t>
            </w:r>
          </w:p>
        </w:tc>
        <w:tc>
          <w:tcPr>
            <w:tcW w:w="415" w:type="pct"/>
            <w:vAlign w:val="bottom"/>
          </w:tcPr>
          <w:p w14:paraId="62E18D32" w14:textId="77777777" w:rsidR="008363D5" w:rsidRPr="00D80ACC" w:rsidRDefault="008363D5" w:rsidP="00685B62">
            <w:pPr>
              <w:widowControl w:val="0"/>
              <w:autoSpaceDE w:val="0"/>
              <w:autoSpaceDN w:val="0"/>
              <w:adjustRightInd w:val="0"/>
              <w:spacing w:after="0" w:line="240" w:lineRule="auto"/>
              <w:jc w:val="right"/>
              <w:rPr>
                <w:rFonts w:cstheme="minorHAnsi"/>
              </w:rPr>
            </w:pPr>
          </w:p>
        </w:tc>
        <w:tc>
          <w:tcPr>
            <w:tcW w:w="414" w:type="pct"/>
            <w:vAlign w:val="bottom"/>
          </w:tcPr>
          <w:p w14:paraId="01F2A9E2" w14:textId="77777777" w:rsidR="008363D5" w:rsidRPr="00D80ACC" w:rsidRDefault="008363D5" w:rsidP="00685B62">
            <w:pPr>
              <w:widowControl w:val="0"/>
              <w:autoSpaceDE w:val="0"/>
              <w:autoSpaceDN w:val="0"/>
              <w:adjustRightInd w:val="0"/>
              <w:spacing w:after="0" w:line="240" w:lineRule="auto"/>
              <w:jc w:val="right"/>
              <w:rPr>
                <w:rFonts w:cstheme="minorHAnsi"/>
              </w:rPr>
            </w:pPr>
          </w:p>
        </w:tc>
      </w:tr>
      <w:tr w:rsidR="008363D5" w:rsidRPr="00D80ACC" w14:paraId="524BEA3D" w14:textId="77777777" w:rsidTr="00685B62">
        <w:tc>
          <w:tcPr>
            <w:tcW w:w="2341" w:type="pct"/>
            <w:vAlign w:val="bottom"/>
            <w:hideMark/>
          </w:tcPr>
          <w:p w14:paraId="2A66775D" w14:textId="77777777" w:rsidR="008363D5" w:rsidRPr="00D80ACC" w:rsidRDefault="008363D5" w:rsidP="00685B62">
            <w:pPr>
              <w:widowControl w:val="0"/>
              <w:autoSpaceDE w:val="0"/>
              <w:autoSpaceDN w:val="0"/>
              <w:adjustRightInd w:val="0"/>
              <w:spacing w:after="0" w:line="240" w:lineRule="auto"/>
              <w:rPr>
                <w:rFonts w:cstheme="minorHAnsi"/>
              </w:rPr>
            </w:pPr>
            <w:r>
              <w:rPr>
                <w:rFonts w:cstheme="minorHAnsi"/>
              </w:rPr>
              <w:t>Decrease/(increase)</w:t>
            </w:r>
            <w:r w:rsidRPr="00D80ACC">
              <w:rPr>
                <w:rFonts w:cstheme="minorHAnsi"/>
              </w:rPr>
              <w:t xml:space="preserve"> in contract balances</w:t>
            </w:r>
          </w:p>
        </w:tc>
        <w:tc>
          <w:tcPr>
            <w:tcW w:w="1415" w:type="pct"/>
            <w:vAlign w:val="bottom"/>
            <w:hideMark/>
          </w:tcPr>
          <w:p w14:paraId="37FDF2F1" w14:textId="77777777" w:rsidR="008363D5" w:rsidRPr="00D80ACC" w:rsidRDefault="008363D5" w:rsidP="00685B62">
            <w:pPr>
              <w:widowControl w:val="0"/>
              <w:autoSpaceDE w:val="0"/>
              <w:autoSpaceDN w:val="0"/>
              <w:adjustRightInd w:val="0"/>
              <w:spacing w:after="0" w:line="240" w:lineRule="auto"/>
              <w:jc w:val="right"/>
              <w:rPr>
                <w:rFonts w:cstheme="minorHAnsi"/>
              </w:rPr>
            </w:pPr>
            <w:r>
              <w:rPr>
                <w:rFonts w:cstheme="minorHAnsi"/>
                <w:b/>
                <w:bCs/>
              </w:rPr>
              <w:t>3.9</w:t>
            </w:r>
          </w:p>
        </w:tc>
        <w:tc>
          <w:tcPr>
            <w:tcW w:w="415" w:type="pct"/>
            <w:vAlign w:val="bottom"/>
            <w:hideMark/>
          </w:tcPr>
          <w:p w14:paraId="245DDE52" w14:textId="77777777" w:rsidR="008363D5" w:rsidRPr="008C51AB" w:rsidRDefault="008363D5" w:rsidP="00685B62">
            <w:pPr>
              <w:widowControl w:val="0"/>
              <w:autoSpaceDE w:val="0"/>
              <w:autoSpaceDN w:val="0"/>
              <w:adjustRightInd w:val="0"/>
              <w:spacing w:after="0" w:line="240" w:lineRule="auto"/>
              <w:jc w:val="right"/>
              <w:rPr>
                <w:rFonts w:cstheme="minorHAnsi"/>
              </w:rPr>
            </w:pPr>
            <w:r w:rsidRPr="008C51AB">
              <w:rPr>
                <w:rFonts w:cstheme="minorHAnsi"/>
              </w:rPr>
              <w:t>(14.</w:t>
            </w:r>
            <w:r>
              <w:rPr>
                <w:rFonts w:cstheme="minorHAnsi"/>
              </w:rPr>
              <w:t>2</w:t>
            </w:r>
            <w:r w:rsidRPr="008C51AB">
              <w:rPr>
                <w:rFonts w:cstheme="minorHAnsi"/>
              </w:rPr>
              <w:t>)</w:t>
            </w:r>
          </w:p>
        </w:tc>
        <w:tc>
          <w:tcPr>
            <w:tcW w:w="415" w:type="pct"/>
            <w:vAlign w:val="bottom"/>
          </w:tcPr>
          <w:p w14:paraId="4026B04D" w14:textId="77777777" w:rsidR="008363D5" w:rsidRPr="00D80ACC" w:rsidRDefault="008363D5" w:rsidP="00685B62">
            <w:pPr>
              <w:widowControl w:val="0"/>
              <w:autoSpaceDE w:val="0"/>
              <w:autoSpaceDN w:val="0"/>
              <w:adjustRightInd w:val="0"/>
              <w:spacing w:after="0" w:line="240" w:lineRule="auto"/>
              <w:jc w:val="right"/>
              <w:rPr>
                <w:rFonts w:cstheme="minorHAnsi"/>
              </w:rPr>
            </w:pPr>
          </w:p>
        </w:tc>
        <w:tc>
          <w:tcPr>
            <w:tcW w:w="414" w:type="pct"/>
            <w:vAlign w:val="bottom"/>
          </w:tcPr>
          <w:p w14:paraId="274662E0" w14:textId="77777777" w:rsidR="008363D5" w:rsidRPr="00D80ACC" w:rsidRDefault="008363D5" w:rsidP="00685B62">
            <w:pPr>
              <w:widowControl w:val="0"/>
              <w:autoSpaceDE w:val="0"/>
              <w:autoSpaceDN w:val="0"/>
              <w:adjustRightInd w:val="0"/>
              <w:spacing w:after="0" w:line="240" w:lineRule="auto"/>
              <w:jc w:val="right"/>
              <w:rPr>
                <w:rFonts w:cstheme="minorHAnsi"/>
              </w:rPr>
            </w:pPr>
          </w:p>
        </w:tc>
      </w:tr>
      <w:tr w:rsidR="008363D5" w:rsidRPr="00D80ACC" w14:paraId="6DE10329" w14:textId="77777777" w:rsidTr="00685B62">
        <w:tc>
          <w:tcPr>
            <w:tcW w:w="2341" w:type="pct"/>
            <w:vAlign w:val="bottom"/>
            <w:hideMark/>
          </w:tcPr>
          <w:p w14:paraId="45660F36" w14:textId="77777777" w:rsidR="008363D5" w:rsidRPr="00D80ACC" w:rsidRDefault="008363D5" w:rsidP="00685B62">
            <w:pPr>
              <w:widowControl w:val="0"/>
              <w:autoSpaceDE w:val="0"/>
              <w:autoSpaceDN w:val="0"/>
              <w:adjustRightInd w:val="0"/>
              <w:spacing w:after="0" w:line="240" w:lineRule="auto"/>
              <w:rPr>
                <w:rFonts w:cstheme="minorHAnsi"/>
              </w:rPr>
            </w:pPr>
            <w:r>
              <w:rPr>
                <w:rFonts w:cstheme="minorHAnsi"/>
              </w:rPr>
              <w:t>D</w:t>
            </w:r>
            <w:r w:rsidRPr="00D80ACC">
              <w:rPr>
                <w:rFonts w:cstheme="minorHAnsi"/>
              </w:rPr>
              <w:t>ecrease</w:t>
            </w:r>
            <w:r>
              <w:rPr>
                <w:rFonts w:cstheme="minorHAnsi"/>
              </w:rPr>
              <w:t>/(increase)</w:t>
            </w:r>
            <w:r w:rsidRPr="00D80ACC">
              <w:rPr>
                <w:rFonts w:cstheme="minorHAnsi"/>
              </w:rPr>
              <w:t xml:space="preserve"> in operating trade and other receivables</w:t>
            </w:r>
          </w:p>
        </w:tc>
        <w:tc>
          <w:tcPr>
            <w:tcW w:w="1415" w:type="pct"/>
            <w:vAlign w:val="bottom"/>
            <w:hideMark/>
          </w:tcPr>
          <w:p w14:paraId="7762576A" w14:textId="02C56CD6" w:rsidR="008363D5" w:rsidRPr="00610B45" w:rsidRDefault="008363D5" w:rsidP="00685B62">
            <w:pPr>
              <w:widowControl w:val="0"/>
              <w:autoSpaceDE w:val="0"/>
              <w:autoSpaceDN w:val="0"/>
              <w:adjustRightInd w:val="0"/>
              <w:spacing w:after="0" w:line="240" w:lineRule="auto"/>
              <w:jc w:val="right"/>
              <w:rPr>
                <w:rFonts w:cstheme="minorHAnsi"/>
                <w:b/>
                <w:bCs/>
              </w:rPr>
            </w:pPr>
            <w:r w:rsidRPr="00610B45">
              <w:rPr>
                <w:rFonts w:cstheme="minorHAnsi"/>
                <w:b/>
                <w:bCs/>
              </w:rPr>
              <w:t>3.</w:t>
            </w:r>
            <w:r w:rsidR="005C5B1C">
              <w:rPr>
                <w:rFonts w:cstheme="minorHAnsi"/>
                <w:b/>
                <w:bCs/>
              </w:rPr>
              <w:t>8</w:t>
            </w:r>
          </w:p>
        </w:tc>
        <w:tc>
          <w:tcPr>
            <w:tcW w:w="415" w:type="pct"/>
            <w:vAlign w:val="bottom"/>
            <w:hideMark/>
          </w:tcPr>
          <w:p w14:paraId="12C084AE" w14:textId="77777777" w:rsidR="008363D5" w:rsidRPr="008C51AB" w:rsidRDefault="008363D5" w:rsidP="00685B62">
            <w:pPr>
              <w:widowControl w:val="0"/>
              <w:autoSpaceDE w:val="0"/>
              <w:autoSpaceDN w:val="0"/>
              <w:adjustRightInd w:val="0"/>
              <w:spacing w:after="0" w:line="240" w:lineRule="auto"/>
              <w:jc w:val="right"/>
              <w:rPr>
                <w:rFonts w:cstheme="minorHAnsi"/>
              </w:rPr>
            </w:pPr>
            <w:r w:rsidRPr="008C51AB">
              <w:rPr>
                <w:rFonts w:cstheme="minorHAnsi"/>
              </w:rPr>
              <w:t>14.</w:t>
            </w:r>
            <w:r>
              <w:rPr>
                <w:rFonts w:cstheme="minorHAnsi"/>
              </w:rPr>
              <w:t>4</w:t>
            </w:r>
          </w:p>
        </w:tc>
        <w:tc>
          <w:tcPr>
            <w:tcW w:w="415" w:type="pct"/>
            <w:vAlign w:val="bottom"/>
          </w:tcPr>
          <w:p w14:paraId="7EAED4C2" w14:textId="77777777" w:rsidR="008363D5" w:rsidRPr="00D80ACC" w:rsidRDefault="008363D5" w:rsidP="00685B62">
            <w:pPr>
              <w:widowControl w:val="0"/>
              <w:autoSpaceDE w:val="0"/>
              <w:autoSpaceDN w:val="0"/>
              <w:adjustRightInd w:val="0"/>
              <w:spacing w:after="0" w:line="240" w:lineRule="auto"/>
              <w:jc w:val="right"/>
              <w:rPr>
                <w:rFonts w:cstheme="minorHAnsi"/>
              </w:rPr>
            </w:pPr>
          </w:p>
        </w:tc>
        <w:tc>
          <w:tcPr>
            <w:tcW w:w="414" w:type="pct"/>
            <w:vAlign w:val="bottom"/>
          </w:tcPr>
          <w:p w14:paraId="1425169B" w14:textId="77777777" w:rsidR="008363D5" w:rsidRPr="00D80ACC" w:rsidRDefault="008363D5" w:rsidP="00685B62">
            <w:pPr>
              <w:widowControl w:val="0"/>
              <w:autoSpaceDE w:val="0"/>
              <w:autoSpaceDN w:val="0"/>
              <w:adjustRightInd w:val="0"/>
              <w:spacing w:after="0" w:line="240" w:lineRule="auto"/>
              <w:jc w:val="right"/>
              <w:rPr>
                <w:rFonts w:cstheme="minorHAnsi"/>
              </w:rPr>
            </w:pPr>
          </w:p>
        </w:tc>
      </w:tr>
      <w:tr w:rsidR="008363D5" w:rsidRPr="00D80ACC" w14:paraId="63A84DD2" w14:textId="77777777" w:rsidTr="00685B62">
        <w:tc>
          <w:tcPr>
            <w:tcW w:w="2341" w:type="pct"/>
            <w:tcBorders>
              <w:top w:val="nil"/>
              <w:left w:val="nil"/>
              <w:bottom w:val="single" w:sz="4" w:space="0" w:color="000000" w:themeColor="text1"/>
              <w:right w:val="nil"/>
            </w:tcBorders>
            <w:vAlign w:val="bottom"/>
            <w:hideMark/>
          </w:tcPr>
          <w:p w14:paraId="6C432757"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lastRenderedPageBreak/>
              <w:t>(</w:t>
            </w:r>
            <w:r>
              <w:rPr>
                <w:rFonts w:cstheme="minorHAnsi"/>
              </w:rPr>
              <w:t>D</w:t>
            </w:r>
            <w:r w:rsidRPr="00D80ACC">
              <w:rPr>
                <w:rFonts w:cstheme="minorHAnsi"/>
              </w:rPr>
              <w:t>ecrease)</w:t>
            </w:r>
            <w:r>
              <w:rPr>
                <w:rFonts w:cstheme="minorHAnsi"/>
              </w:rPr>
              <w:t>/increase</w:t>
            </w:r>
            <w:r w:rsidRPr="00D80ACC">
              <w:rPr>
                <w:rFonts w:cstheme="minorHAnsi"/>
              </w:rPr>
              <w:t xml:space="preserve"> in operating trade and other payables</w:t>
            </w:r>
          </w:p>
        </w:tc>
        <w:tc>
          <w:tcPr>
            <w:tcW w:w="1415" w:type="pct"/>
            <w:tcBorders>
              <w:top w:val="nil"/>
              <w:left w:val="nil"/>
              <w:bottom w:val="single" w:sz="4" w:space="0" w:color="000000" w:themeColor="text1"/>
              <w:right w:val="nil"/>
            </w:tcBorders>
            <w:vAlign w:val="bottom"/>
            <w:hideMark/>
          </w:tcPr>
          <w:p w14:paraId="674920BA" w14:textId="2190F04E" w:rsidR="008363D5" w:rsidRPr="00610B45" w:rsidRDefault="008363D5" w:rsidP="00685B62">
            <w:pPr>
              <w:widowControl w:val="0"/>
              <w:autoSpaceDE w:val="0"/>
              <w:autoSpaceDN w:val="0"/>
              <w:adjustRightInd w:val="0"/>
              <w:spacing w:after="0" w:line="240" w:lineRule="auto"/>
              <w:jc w:val="right"/>
              <w:rPr>
                <w:rFonts w:cstheme="minorHAnsi"/>
                <w:b/>
                <w:bCs/>
              </w:rPr>
            </w:pPr>
            <w:r w:rsidRPr="00610B45">
              <w:rPr>
                <w:rFonts w:cstheme="minorHAnsi"/>
                <w:b/>
                <w:bCs/>
              </w:rPr>
              <w:t>(4.</w:t>
            </w:r>
            <w:r w:rsidR="005C5B1C">
              <w:rPr>
                <w:rFonts w:cstheme="minorHAnsi"/>
                <w:b/>
                <w:bCs/>
              </w:rPr>
              <w:t>5</w:t>
            </w:r>
            <w:r w:rsidRPr="00610B45">
              <w:rPr>
                <w:rFonts w:cstheme="minorHAnsi"/>
                <w:b/>
                <w:bCs/>
              </w:rPr>
              <w:t>)</w:t>
            </w:r>
          </w:p>
        </w:tc>
        <w:tc>
          <w:tcPr>
            <w:tcW w:w="415" w:type="pct"/>
            <w:tcBorders>
              <w:top w:val="nil"/>
              <w:left w:val="nil"/>
              <w:bottom w:val="single" w:sz="4" w:space="0" w:color="000000" w:themeColor="text1"/>
              <w:right w:val="nil"/>
            </w:tcBorders>
            <w:vAlign w:val="bottom"/>
            <w:hideMark/>
          </w:tcPr>
          <w:p w14:paraId="7B795D9A" w14:textId="77777777" w:rsidR="008363D5" w:rsidRPr="008C51AB" w:rsidRDefault="008363D5" w:rsidP="00685B62">
            <w:pPr>
              <w:widowControl w:val="0"/>
              <w:autoSpaceDE w:val="0"/>
              <w:autoSpaceDN w:val="0"/>
              <w:adjustRightInd w:val="0"/>
              <w:spacing w:after="0" w:line="240" w:lineRule="auto"/>
              <w:jc w:val="right"/>
              <w:rPr>
                <w:rFonts w:cstheme="minorHAnsi"/>
              </w:rPr>
            </w:pPr>
            <w:r w:rsidRPr="008C51AB">
              <w:rPr>
                <w:rFonts w:cstheme="minorHAnsi"/>
              </w:rPr>
              <w:t>(4.6)</w:t>
            </w:r>
          </w:p>
        </w:tc>
        <w:tc>
          <w:tcPr>
            <w:tcW w:w="415" w:type="pct"/>
            <w:tcBorders>
              <w:top w:val="nil"/>
              <w:left w:val="nil"/>
              <w:right w:val="nil"/>
            </w:tcBorders>
            <w:vAlign w:val="bottom"/>
          </w:tcPr>
          <w:p w14:paraId="7A08DB92" w14:textId="77777777" w:rsidR="008363D5" w:rsidRPr="00D80ACC" w:rsidRDefault="008363D5" w:rsidP="00685B62">
            <w:pPr>
              <w:widowControl w:val="0"/>
              <w:autoSpaceDE w:val="0"/>
              <w:autoSpaceDN w:val="0"/>
              <w:adjustRightInd w:val="0"/>
              <w:spacing w:after="0" w:line="240" w:lineRule="auto"/>
              <w:jc w:val="right"/>
              <w:rPr>
                <w:rFonts w:cstheme="minorHAnsi"/>
              </w:rPr>
            </w:pPr>
          </w:p>
        </w:tc>
        <w:tc>
          <w:tcPr>
            <w:tcW w:w="414" w:type="pct"/>
            <w:tcBorders>
              <w:top w:val="nil"/>
              <w:left w:val="nil"/>
              <w:right w:val="nil"/>
            </w:tcBorders>
            <w:vAlign w:val="bottom"/>
          </w:tcPr>
          <w:p w14:paraId="40DC6F58" w14:textId="77777777" w:rsidR="008363D5" w:rsidRPr="00D80ACC" w:rsidRDefault="008363D5" w:rsidP="00685B62">
            <w:pPr>
              <w:widowControl w:val="0"/>
              <w:autoSpaceDE w:val="0"/>
              <w:autoSpaceDN w:val="0"/>
              <w:adjustRightInd w:val="0"/>
              <w:spacing w:after="0" w:line="240" w:lineRule="auto"/>
              <w:jc w:val="right"/>
              <w:rPr>
                <w:rFonts w:cstheme="minorHAnsi"/>
              </w:rPr>
            </w:pPr>
          </w:p>
        </w:tc>
      </w:tr>
      <w:tr w:rsidR="008363D5" w:rsidRPr="00D80ACC" w14:paraId="36040984" w14:textId="77777777" w:rsidTr="00685B62">
        <w:tc>
          <w:tcPr>
            <w:tcW w:w="2341" w:type="pct"/>
            <w:tcBorders>
              <w:top w:val="single" w:sz="4" w:space="0" w:color="000000" w:themeColor="text1"/>
              <w:left w:val="nil"/>
              <w:bottom w:val="nil"/>
              <w:right w:val="nil"/>
            </w:tcBorders>
            <w:vAlign w:val="bottom"/>
            <w:hideMark/>
          </w:tcPr>
          <w:p w14:paraId="4ABE5CBC"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Cash generated from operations</w:t>
            </w:r>
          </w:p>
        </w:tc>
        <w:tc>
          <w:tcPr>
            <w:tcW w:w="1415" w:type="pct"/>
            <w:tcBorders>
              <w:top w:val="single" w:sz="4" w:space="0" w:color="000000" w:themeColor="text1"/>
              <w:left w:val="nil"/>
              <w:bottom w:val="nil"/>
              <w:right w:val="nil"/>
            </w:tcBorders>
            <w:vAlign w:val="bottom"/>
            <w:hideMark/>
          </w:tcPr>
          <w:p w14:paraId="03F88446" w14:textId="7F9F0E3F" w:rsidR="008363D5" w:rsidRPr="00610B45" w:rsidRDefault="008363D5" w:rsidP="00685B62">
            <w:pPr>
              <w:widowControl w:val="0"/>
              <w:autoSpaceDE w:val="0"/>
              <w:autoSpaceDN w:val="0"/>
              <w:adjustRightInd w:val="0"/>
              <w:spacing w:after="0" w:line="240" w:lineRule="auto"/>
              <w:jc w:val="right"/>
              <w:rPr>
                <w:rFonts w:cstheme="minorHAnsi"/>
                <w:b/>
                <w:bCs/>
              </w:rPr>
            </w:pPr>
            <w:r w:rsidRPr="00610B45">
              <w:rPr>
                <w:rFonts w:cstheme="minorHAnsi"/>
                <w:b/>
                <w:bCs/>
              </w:rPr>
              <w:t>4.</w:t>
            </w:r>
            <w:r w:rsidR="005C5B1C">
              <w:rPr>
                <w:rFonts w:cstheme="minorHAnsi"/>
                <w:b/>
                <w:bCs/>
              </w:rPr>
              <w:t>6</w:t>
            </w:r>
          </w:p>
        </w:tc>
        <w:tc>
          <w:tcPr>
            <w:tcW w:w="415" w:type="pct"/>
            <w:tcBorders>
              <w:top w:val="single" w:sz="4" w:space="0" w:color="000000" w:themeColor="text1"/>
              <w:left w:val="nil"/>
              <w:bottom w:val="nil"/>
              <w:right w:val="nil"/>
            </w:tcBorders>
            <w:vAlign w:val="bottom"/>
            <w:hideMark/>
          </w:tcPr>
          <w:p w14:paraId="6FF71B16" w14:textId="77777777" w:rsidR="008363D5" w:rsidRPr="008C51AB" w:rsidRDefault="008363D5" w:rsidP="00685B62">
            <w:pPr>
              <w:widowControl w:val="0"/>
              <w:autoSpaceDE w:val="0"/>
              <w:autoSpaceDN w:val="0"/>
              <w:adjustRightInd w:val="0"/>
              <w:spacing w:after="0" w:line="240" w:lineRule="auto"/>
              <w:jc w:val="right"/>
              <w:rPr>
                <w:rFonts w:cstheme="minorHAnsi"/>
              </w:rPr>
            </w:pPr>
            <w:r w:rsidRPr="008C51AB">
              <w:rPr>
                <w:rFonts w:cstheme="minorHAnsi"/>
              </w:rPr>
              <w:t>5.7</w:t>
            </w:r>
          </w:p>
        </w:tc>
        <w:tc>
          <w:tcPr>
            <w:tcW w:w="415" w:type="pct"/>
            <w:tcBorders>
              <w:left w:val="nil"/>
              <w:bottom w:val="nil"/>
              <w:right w:val="nil"/>
            </w:tcBorders>
            <w:vAlign w:val="bottom"/>
          </w:tcPr>
          <w:p w14:paraId="75D71AE4" w14:textId="77777777" w:rsidR="008363D5" w:rsidRPr="00D80ACC" w:rsidRDefault="008363D5" w:rsidP="00685B62">
            <w:pPr>
              <w:widowControl w:val="0"/>
              <w:autoSpaceDE w:val="0"/>
              <w:autoSpaceDN w:val="0"/>
              <w:adjustRightInd w:val="0"/>
              <w:spacing w:after="0" w:line="240" w:lineRule="auto"/>
              <w:jc w:val="right"/>
              <w:rPr>
                <w:rFonts w:cstheme="minorHAnsi"/>
              </w:rPr>
            </w:pPr>
          </w:p>
        </w:tc>
        <w:tc>
          <w:tcPr>
            <w:tcW w:w="414" w:type="pct"/>
            <w:tcBorders>
              <w:left w:val="nil"/>
              <w:bottom w:val="nil"/>
              <w:right w:val="nil"/>
            </w:tcBorders>
            <w:vAlign w:val="bottom"/>
          </w:tcPr>
          <w:p w14:paraId="582F9F6D" w14:textId="77777777" w:rsidR="008363D5" w:rsidRPr="00D80ACC" w:rsidRDefault="008363D5" w:rsidP="00685B62">
            <w:pPr>
              <w:widowControl w:val="0"/>
              <w:autoSpaceDE w:val="0"/>
              <w:autoSpaceDN w:val="0"/>
              <w:adjustRightInd w:val="0"/>
              <w:spacing w:after="0" w:line="240" w:lineRule="auto"/>
              <w:jc w:val="right"/>
              <w:rPr>
                <w:rFonts w:cstheme="minorHAnsi"/>
              </w:rPr>
            </w:pPr>
          </w:p>
        </w:tc>
      </w:tr>
      <w:tr w:rsidR="008363D5" w:rsidRPr="00D80ACC" w14:paraId="7057E4C1" w14:textId="77777777" w:rsidTr="00685B62">
        <w:tc>
          <w:tcPr>
            <w:tcW w:w="2341" w:type="pct"/>
            <w:vAlign w:val="bottom"/>
            <w:hideMark/>
          </w:tcPr>
          <w:p w14:paraId="53EDDC87"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Corporation tax paid</w:t>
            </w:r>
          </w:p>
        </w:tc>
        <w:tc>
          <w:tcPr>
            <w:tcW w:w="1415" w:type="pct"/>
            <w:vAlign w:val="bottom"/>
            <w:hideMark/>
          </w:tcPr>
          <w:p w14:paraId="6731FD22" w14:textId="58A2E135"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w:t>
            </w:r>
            <w:r>
              <w:rPr>
                <w:rFonts w:cstheme="minorHAnsi"/>
                <w:b/>
                <w:bCs/>
              </w:rPr>
              <w:t>0.</w:t>
            </w:r>
            <w:r w:rsidR="005C5B1C">
              <w:rPr>
                <w:rFonts w:cstheme="minorHAnsi"/>
                <w:b/>
                <w:bCs/>
              </w:rPr>
              <w:t>6</w:t>
            </w:r>
            <w:r w:rsidRPr="00D80ACC">
              <w:rPr>
                <w:rFonts w:cstheme="minorHAnsi"/>
                <w:b/>
                <w:bCs/>
              </w:rPr>
              <w:t>)</w:t>
            </w:r>
          </w:p>
        </w:tc>
        <w:tc>
          <w:tcPr>
            <w:tcW w:w="415" w:type="pct"/>
            <w:vAlign w:val="bottom"/>
            <w:hideMark/>
          </w:tcPr>
          <w:p w14:paraId="03C8F63E" w14:textId="77777777" w:rsidR="008363D5" w:rsidRPr="008C51AB" w:rsidRDefault="008363D5" w:rsidP="00685B62">
            <w:pPr>
              <w:widowControl w:val="0"/>
              <w:autoSpaceDE w:val="0"/>
              <w:autoSpaceDN w:val="0"/>
              <w:adjustRightInd w:val="0"/>
              <w:spacing w:after="0" w:line="240" w:lineRule="auto"/>
              <w:jc w:val="right"/>
              <w:rPr>
                <w:rFonts w:cstheme="minorHAnsi"/>
              </w:rPr>
            </w:pPr>
            <w:r w:rsidRPr="008C51AB">
              <w:rPr>
                <w:rFonts w:cstheme="minorHAnsi"/>
              </w:rPr>
              <w:t>(1.5)</w:t>
            </w:r>
          </w:p>
        </w:tc>
        <w:tc>
          <w:tcPr>
            <w:tcW w:w="415" w:type="pct"/>
            <w:vAlign w:val="bottom"/>
          </w:tcPr>
          <w:p w14:paraId="4F9B69C9" w14:textId="77777777" w:rsidR="008363D5" w:rsidRPr="00D80ACC" w:rsidRDefault="008363D5" w:rsidP="00685B62">
            <w:pPr>
              <w:widowControl w:val="0"/>
              <w:autoSpaceDE w:val="0"/>
              <w:autoSpaceDN w:val="0"/>
              <w:adjustRightInd w:val="0"/>
              <w:spacing w:after="0" w:line="240" w:lineRule="auto"/>
              <w:jc w:val="right"/>
              <w:rPr>
                <w:rFonts w:cstheme="minorHAnsi"/>
              </w:rPr>
            </w:pPr>
          </w:p>
        </w:tc>
        <w:tc>
          <w:tcPr>
            <w:tcW w:w="414" w:type="pct"/>
            <w:vAlign w:val="bottom"/>
          </w:tcPr>
          <w:p w14:paraId="183625E1" w14:textId="77777777" w:rsidR="008363D5" w:rsidRPr="00D80ACC" w:rsidRDefault="008363D5" w:rsidP="00685B62">
            <w:pPr>
              <w:widowControl w:val="0"/>
              <w:autoSpaceDE w:val="0"/>
              <w:autoSpaceDN w:val="0"/>
              <w:adjustRightInd w:val="0"/>
              <w:spacing w:after="0" w:line="240" w:lineRule="auto"/>
              <w:jc w:val="right"/>
              <w:rPr>
                <w:rFonts w:cstheme="minorHAnsi"/>
              </w:rPr>
            </w:pPr>
          </w:p>
        </w:tc>
      </w:tr>
      <w:tr w:rsidR="008363D5" w:rsidRPr="00D80ACC" w14:paraId="16711B81" w14:textId="77777777" w:rsidTr="00685B62">
        <w:tc>
          <w:tcPr>
            <w:tcW w:w="2341" w:type="pct"/>
            <w:tcBorders>
              <w:top w:val="nil"/>
              <w:left w:val="nil"/>
              <w:bottom w:val="single" w:sz="4" w:space="0" w:color="000000" w:themeColor="text1"/>
              <w:right w:val="nil"/>
            </w:tcBorders>
            <w:vAlign w:val="bottom"/>
            <w:hideMark/>
          </w:tcPr>
          <w:p w14:paraId="76EFACE8"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Interest paid</w:t>
            </w:r>
          </w:p>
        </w:tc>
        <w:tc>
          <w:tcPr>
            <w:tcW w:w="1415" w:type="pct"/>
            <w:tcBorders>
              <w:top w:val="nil"/>
              <w:left w:val="nil"/>
              <w:bottom w:val="single" w:sz="4" w:space="0" w:color="000000" w:themeColor="text1"/>
              <w:right w:val="nil"/>
            </w:tcBorders>
            <w:vAlign w:val="bottom"/>
            <w:hideMark/>
          </w:tcPr>
          <w:p w14:paraId="63C93697"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w:t>
            </w:r>
            <w:r>
              <w:rPr>
                <w:rFonts w:cstheme="minorHAnsi"/>
                <w:b/>
                <w:bCs/>
              </w:rPr>
              <w:t>0.3</w:t>
            </w:r>
            <w:r w:rsidRPr="00D80ACC">
              <w:rPr>
                <w:rFonts w:cstheme="minorHAnsi"/>
                <w:b/>
                <w:bCs/>
              </w:rPr>
              <w:t>)</w:t>
            </w:r>
          </w:p>
        </w:tc>
        <w:tc>
          <w:tcPr>
            <w:tcW w:w="415" w:type="pct"/>
            <w:tcBorders>
              <w:top w:val="nil"/>
              <w:left w:val="nil"/>
              <w:bottom w:val="single" w:sz="4" w:space="0" w:color="000000" w:themeColor="text1"/>
              <w:right w:val="nil"/>
            </w:tcBorders>
            <w:vAlign w:val="bottom"/>
            <w:hideMark/>
          </w:tcPr>
          <w:p w14:paraId="394037DE" w14:textId="77777777" w:rsidR="008363D5" w:rsidRPr="008C51AB" w:rsidRDefault="008363D5" w:rsidP="00685B62">
            <w:pPr>
              <w:widowControl w:val="0"/>
              <w:autoSpaceDE w:val="0"/>
              <w:autoSpaceDN w:val="0"/>
              <w:adjustRightInd w:val="0"/>
              <w:spacing w:after="0" w:line="240" w:lineRule="auto"/>
              <w:jc w:val="right"/>
              <w:rPr>
                <w:rFonts w:cstheme="minorHAnsi"/>
              </w:rPr>
            </w:pPr>
            <w:r w:rsidRPr="008C51AB">
              <w:rPr>
                <w:rFonts w:cstheme="minorHAnsi"/>
              </w:rPr>
              <w:t>(0.3)</w:t>
            </w:r>
          </w:p>
        </w:tc>
        <w:tc>
          <w:tcPr>
            <w:tcW w:w="415" w:type="pct"/>
            <w:tcBorders>
              <w:top w:val="nil"/>
              <w:left w:val="nil"/>
              <w:right w:val="nil"/>
            </w:tcBorders>
            <w:vAlign w:val="bottom"/>
          </w:tcPr>
          <w:p w14:paraId="6FAC0089" w14:textId="77777777" w:rsidR="008363D5" w:rsidRPr="00D80ACC" w:rsidRDefault="008363D5" w:rsidP="00685B62">
            <w:pPr>
              <w:widowControl w:val="0"/>
              <w:autoSpaceDE w:val="0"/>
              <w:autoSpaceDN w:val="0"/>
              <w:adjustRightInd w:val="0"/>
              <w:spacing w:after="0" w:line="240" w:lineRule="auto"/>
              <w:jc w:val="right"/>
              <w:rPr>
                <w:rFonts w:cstheme="minorHAnsi"/>
              </w:rPr>
            </w:pPr>
          </w:p>
        </w:tc>
        <w:tc>
          <w:tcPr>
            <w:tcW w:w="414" w:type="pct"/>
            <w:tcBorders>
              <w:top w:val="nil"/>
              <w:left w:val="nil"/>
              <w:right w:val="nil"/>
            </w:tcBorders>
            <w:vAlign w:val="bottom"/>
          </w:tcPr>
          <w:p w14:paraId="349D6D26" w14:textId="77777777" w:rsidR="008363D5" w:rsidRPr="00D80ACC" w:rsidRDefault="008363D5" w:rsidP="00685B62">
            <w:pPr>
              <w:widowControl w:val="0"/>
              <w:autoSpaceDE w:val="0"/>
              <w:autoSpaceDN w:val="0"/>
              <w:adjustRightInd w:val="0"/>
              <w:spacing w:after="0" w:line="240" w:lineRule="auto"/>
              <w:jc w:val="right"/>
              <w:rPr>
                <w:rFonts w:cstheme="minorHAnsi"/>
              </w:rPr>
            </w:pPr>
          </w:p>
        </w:tc>
      </w:tr>
      <w:tr w:rsidR="008363D5" w:rsidRPr="00D80ACC" w14:paraId="0507ED4D" w14:textId="77777777" w:rsidTr="00685B62">
        <w:tc>
          <w:tcPr>
            <w:tcW w:w="2341" w:type="pct"/>
            <w:tcBorders>
              <w:top w:val="single" w:sz="4" w:space="0" w:color="000000" w:themeColor="text1"/>
              <w:left w:val="nil"/>
              <w:bottom w:val="single" w:sz="12" w:space="0" w:color="000000" w:themeColor="text1"/>
              <w:right w:val="nil"/>
            </w:tcBorders>
            <w:vAlign w:val="bottom"/>
            <w:hideMark/>
          </w:tcPr>
          <w:p w14:paraId="0C38EF65"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Net cash generated from operating activities</w:t>
            </w:r>
          </w:p>
        </w:tc>
        <w:tc>
          <w:tcPr>
            <w:tcW w:w="1415" w:type="pct"/>
            <w:tcBorders>
              <w:top w:val="single" w:sz="4" w:space="0" w:color="000000" w:themeColor="text1"/>
              <w:left w:val="nil"/>
              <w:bottom w:val="single" w:sz="12" w:space="0" w:color="000000" w:themeColor="text1"/>
              <w:right w:val="nil"/>
            </w:tcBorders>
            <w:vAlign w:val="bottom"/>
            <w:hideMark/>
          </w:tcPr>
          <w:p w14:paraId="7F44ACC3"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3.</w:t>
            </w:r>
            <w:r>
              <w:rPr>
                <w:rFonts w:cstheme="minorHAnsi"/>
                <w:b/>
                <w:bCs/>
              </w:rPr>
              <w:t>7</w:t>
            </w:r>
          </w:p>
        </w:tc>
        <w:tc>
          <w:tcPr>
            <w:tcW w:w="415" w:type="pct"/>
            <w:tcBorders>
              <w:top w:val="single" w:sz="4" w:space="0" w:color="000000" w:themeColor="text1"/>
              <w:left w:val="nil"/>
              <w:bottom w:val="single" w:sz="12" w:space="0" w:color="000000" w:themeColor="text1"/>
              <w:right w:val="nil"/>
            </w:tcBorders>
            <w:vAlign w:val="bottom"/>
            <w:hideMark/>
          </w:tcPr>
          <w:p w14:paraId="08A4A217" w14:textId="77777777" w:rsidR="008363D5" w:rsidRPr="008C51AB" w:rsidRDefault="008363D5" w:rsidP="00685B62">
            <w:pPr>
              <w:widowControl w:val="0"/>
              <w:autoSpaceDE w:val="0"/>
              <w:autoSpaceDN w:val="0"/>
              <w:adjustRightInd w:val="0"/>
              <w:spacing w:after="0" w:line="240" w:lineRule="auto"/>
              <w:jc w:val="right"/>
              <w:rPr>
                <w:rFonts w:cstheme="minorHAnsi"/>
              </w:rPr>
            </w:pPr>
            <w:r w:rsidRPr="008C51AB">
              <w:rPr>
                <w:rFonts w:cstheme="minorHAnsi"/>
              </w:rPr>
              <w:t>3.9</w:t>
            </w:r>
          </w:p>
        </w:tc>
        <w:tc>
          <w:tcPr>
            <w:tcW w:w="415" w:type="pct"/>
            <w:tcBorders>
              <w:left w:val="nil"/>
              <w:right w:val="nil"/>
            </w:tcBorders>
            <w:vAlign w:val="bottom"/>
          </w:tcPr>
          <w:p w14:paraId="2EEAF98A" w14:textId="77777777" w:rsidR="008363D5" w:rsidRPr="00D80ACC" w:rsidRDefault="008363D5" w:rsidP="00685B62">
            <w:pPr>
              <w:widowControl w:val="0"/>
              <w:autoSpaceDE w:val="0"/>
              <w:autoSpaceDN w:val="0"/>
              <w:adjustRightInd w:val="0"/>
              <w:spacing w:after="0" w:line="240" w:lineRule="auto"/>
              <w:jc w:val="right"/>
              <w:rPr>
                <w:rFonts w:cstheme="minorHAnsi"/>
              </w:rPr>
            </w:pPr>
          </w:p>
        </w:tc>
        <w:tc>
          <w:tcPr>
            <w:tcW w:w="414" w:type="pct"/>
            <w:tcBorders>
              <w:left w:val="nil"/>
              <w:right w:val="nil"/>
            </w:tcBorders>
            <w:vAlign w:val="bottom"/>
          </w:tcPr>
          <w:p w14:paraId="0773EAEB" w14:textId="77777777" w:rsidR="008363D5" w:rsidRPr="00D80ACC" w:rsidRDefault="008363D5" w:rsidP="00685B62">
            <w:pPr>
              <w:widowControl w:val="0"/>
              <w:autoSpaceDE w:val="0"/>
              <w:autoSpaceDN w:val="0"/>
              <w:adjustRightInd w:val="0"/>
              <w:spacing w:after="0" w:line="240" w:lineRule="auto"/>
              <w:jc w:val="right"/>
              <w:rPr>
                <w:rFonts w:cstheme="minorHAnsi"/>
              </w:rPr>
            </w:pPr>
          </w:p>
        </w:tc>
      </w:tr>
    </w:tbl>
    <w:p w14:paraId="0DD89E3B" w14:textId="77777777" w:rsidR="008363D5" w:rsidRPr="00462821" w:rsidRDefault="008363D5" w:rsidP="00D75CA8">
      <w:pPr>
        <w:widowControl w:val="0"/>
        <w:autoSpaceDE w:val="0"/>
        <w:autoSpaceDN w:val="0"/>
        <w:adjustRightInd w:val="0"/>
        <w:spacing w:after="0"/>
        <w:rPr>
          <w:rFonts w:cs="Times New Roman"/>
          <w:b/>
          <w:bCs/>
          <w:color w:val="002060"/>
        </w:rPr>
      </w:pPr>
    </w:p>
    <w:p w14:paraId="787C33D5" w14:textId="77777777" w:rsidR="008363D5" w:rsidRPr="00D80ACC" w:rsidRDefault="008363D5" w:rsidP="008363D5">
      <w:pPr>
        <w:widowControl w:val="0"/>
        <w:autoSpaceDE w:val="0"/>
        <w:autoSpaceDN w:val="0"/>
        <w:adjustRightInd w:val="0"/>
        <w:spacing w:before="160" w:after="0" w:line="240" w:lineRule="auto"/>
        <w:rPr>
          <w:rFonts w:cstheme="minorHAnsi"/>
          <w:lang w:val="en-US"/>
        </w:rPr>
      </w:pPr>
      <w:r w:rsidRPr="00D80ACC">
        <w:rPr>
          <w:rFonts w:cstheme="minorHAnsi"/>
          <w:b/>
          <w:bCs/>
        </w:rPr>
        <w:t>(ii) Cash and cash equivalents</w:t>
      </w:r>
    </w:p>
    <w:p w14:paraId="4FDD5D3A" w14:textId="77777777" w:rsidR="008363D5" w:rsidRPr="00D80ACC" w:rsidRDefault="008363D5" w:rsidP="008363D5">
      <w:pPr>
        <w:widowControl w:val="0"/>
        <w:overflowPunct w:val="0"/>
        <w:autoSpaceDE w:val="0"/>
        <w:autoSpaceDN w:val="0"/>
        <w:adjustRightInd w:val="0"/>
        <w:spacing w:before="160" w:line="240" w:lineRule="auto"/>
        <w:rPr>
          <w:rFonts w:cstheme="minorHAnsi"/>
        </w:rPr>
      </w:pPr>
      <w:r w:rsidRPr="00D80ACC">
        <w:rPr>
          <w:rFonts w:cstheme="minorHAnsi"/>
        </w:rPr>
        <w:t>Cash and cash equivalents comprise cash at bank and other short-term highly liquid investments that are readily convertible into cash, less bank overdrafts, and are analysed as follows.</w:t>
      </w:r>
    </w:p>
    <w:tbl>
      <w:tblPr>
        <w:tblW w:w="5963" w:type="pct"/>
        <w:tblCellMar>
          <w:left w:w="0" w:type="dxa"/>
          <w:right w:w="0" w:type="dxa"/>
        </w:tblCellMar>
        <w:tblLook w:val="04A0" w:firstRow="1" w:lastRow="0" w:firstColumn="1" w:lastColumn="0" w:noHBand="0" w:noVBand="1"/>
      </w:tblPr>
      <w:tblGrid>
        <w:gridCol w:w="6482"/>
        <w:gridCol w:w="2161"/>
        <w:gridCol w:w="997"/>
        <w:gridCol w:w="1079"/>
        <w:gridCol w:w="85"/>
        <w:gridCol w:w="994"/>
        <w:gridCol w:w="1082"/>
      </w:tblGrid>
      <w:tr w:rsidR="008363D5" w:rsidRPr="00D80ACC" w14:paraId="05322F27" w14:textId="77777777" w:rsidTr="00685B62">
        <w:trPr>
          <w:gridAfter w:val="2"/>
          <w:wAfter w:w="806" w:type="pct"/>
        </w:trPr>
        <w:tc>
          <w:tcPr>
            <w:tcW w:w="2516" w:type="pct"/>
            <w:vAlign w:val="bottom"/>
          </w:tcPr>
          <w:p w14:paraId="4A68DC53" w14:textId="77777777" w:rsidR="008363D5" w:rsidRPr="00D80ACC" w:rsidRDefault="008363D5" w:rsidP="00685B62">
            <w:pPr>
              <w:widowControl w:val="0"/>
              <w:autoSpaceDE w:val="0"/>
              <w:autoSpaceDN w:val="0"/>
              <w:adjustRightInd w:val="0"/>
              <w:spacing w:after="0" w:line="240" w:lineRule="auto"/>
              <w:rPr>
                <w:rFonts w:cstheme="minorHAnsi"/>
              </w:rPr>
            </w:pPr>
          </w:p>
        </w:tc>
        <w:tc>
          <w:tcPr>
            <w:tcW w:w="839" w:type="pct"/>
            <w:tcBorders>
              <w:top w:val="nil"/>
              <w:left w:val="nil"/>
              <w:right w:val="nil"/>
            </w:tcBorders>
            <w:vAlign w:val="bottom"/>
            <w:hideMark/>
          </w:tcPr>
          <w:p w14:paraId="33D938D7" w14:textId="77777777" w:rsidR="008363D5" w:rsidRPr="00D80ACC" w:rsidRDefault="008363D5" w:rsidP="00685B62">
            <w:pPr>
              <w:widowControl w:val="0"/>
              <w:autoSpaceDE w:val="0"/>
              <w:autoSpaceDN w:val="0"/>
              <w:adjustRightInd w:val="0"/>
              <w:spacing w:after="0" w:line="240" w:lineRule="auto"/>
              <w:jc w:val="center"/>
              <w:rPr>
                <w:rFonts w:cstheme="minorHAnsi"/>
              </w:rPr>
            </w:pPr>
          </w:p>
        </w:tc>
        <w:tc>
          <w:tcPr>
            <w:tcW w:w="839" w:type="pct"/>
            <w:gridSpan w:val="3"/>
            <w:tcBorders>
              <w:top w:val="nil"/>
              <w:left w:val="nil"/>
              <w:right w:val="nil"/>
            </w:tcBorders>
            <w:vAlign w:val="bottom"/>
          </w:tcPr>
          <w:p w14:paraId="2F665E08" w14:textId="77777777" w:rsidR="008363D5" w:rsidRPr="00D80ACC" w:rsidRDefault="008363D5" w:rsidP="00685B62">
            <w:pPr>
              <w:widowControl w:val="0"/>
              <w:autoSpaceDE w:val="0"/>
              <w:autoSpaceDN w:val="0"/>
              <w:adjustRightInd w:val="0"/>
              <w:spacing w:after="0" w:line="240" w:lineRule="auto"/>
              <w:jc w:val="center"/>
              <w:rPr>
                <w:rFonts w:cstheme="minorHAnsi"/>
              </w:rPr>
            </w:pPr>
          </w:p>
        </w:tc>
      </w:tr>
      <w:tr w:rsidR="008363D5" w:rsidRPr="00D80ACC" w14:paraId="779875C2" w14:textId="77777777" w:rsidTr="00685B62">
        <w:tc>
          <w:tcPr>
            <w:tcW w:w="2516" w:type="pct"/>
            <w:vAlign w:val="bottom"/>
          </w:tcPr>
          <w:p w14:paraId="7147A143" w14:textId="77777777" w:rsidR="008363D5" w:rsidRPr="00D80ACC" w:rsidRDefault="008363D5" w:rsidP="00685B62">
            <w:pPr>
              <w:widowControl w:val="0"/>
              <w:autoSpaceDE w:val="0"/>
              <w:autoSpaceDN w:val="0"/>
              <w:adjustRightInd w:val="0"/>
              <w:spacing w:after="0" w:line="240" w:lineRule="auto"/>
              <w:rPr>
                <w:rFonts w:cstheme="minorHAnsi"/>
              </w:rPr>
            </w:pPr>
          </w:p>
        </w:tc>
        <w:tc>
          <w:tcPr>
            <w:tcW w:w="1226" w:type="pct"/>
            <w:gridSpan w:val="2"/>
            <w:tcBorders>
              <w:left w:val="nil"/>
              <w:bottom w:val="nil"/>
              <w:right w:val="nil"/>
            </w:tcBorders>
            <w:vAlign w:val="bottom"/>
            <w:hideMark/>
          </w:tcPr>
          <w:p w14:paraId="64028D16"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20</w:t>
            </w:r>
            <w:r>
              <w:rPr>
                <w:rFonts w:cstheme="minorHAnsi"/>
                <w:b/>
                <w:bCs/>
              </w:rPr>
              <w:t>20</w:t>
            </w:r>
          </w:p>
        </w:tc>
        <w:tc>
          <w:tcPr>
            <w:tcW w:w="419" w:type="pct"/>
            <w:tcBorders>
              <w:left w:val="nil"/>
              <w:bottom w:val="nil"/>
              <w:right w:val="nil"/>
            </w:tcBorders>
            <w:vAlign w:val="bottom"/>
            <w:hideMark/>
          </w:tcPr>
          <w:p w14:paraId="50EB67AC" w14:textId="77777777" w:rsidR="008363D5" w:rsidRPr="00610B45" w:rsidRDefault="008363D5" w:rsidP="00685B62">
            <w:pPr>
              <w:widowControl w:val="0"/>
              <w:autoSpaceDE w:val="0"/>
              <w:autoSpaceDN w:val="0"/>
              <w:adjustRightInd w:val="0"/>
              <w:spacing w:after="0" w:line="240" w:lineRule="auto"/>
              <w:jc w:val="right"/>
              <w:rPr>
                <w:rFonts w:cstheme="minorHAnsi"/>
              </w:rPr>
            </w:pPr>
            <w:r w:rsidRPr="00610B45">
              <w:rPr>
                <w:rFonts w:cstheme="minorHAnsi"/>
              </w:rPr>
              <w:t>2019</w:t>
            </w:r>
          </w:p>
        </w:tc>
        <w:tc>
          <w:tcPr>
            <w:tcW w:w="419" w:type="pct"/>
            <w:gridSpan w:val="2"/>
            <w:tcBorders>
              <w:left w:val="nil"/>
              <w:bottom w:val="nil"/>
              <w:right w:val="nil"/>
            </w:tcBorders>
            <w:vAlign w:val="bottom"/>
          </w:tcPr>
          <w:p w14:paraId="71F513CA" w14:textId="77777777" w:rsidR="008363D5" w:rsidRPr="00D80ACC" w:rsidRDefault="008363D5" w:rsidP="00685B62">
            <w:pPr>
              <w:widowControl w:val="0"/>
              <w:autoSpaceDE w:val="0"/>
              <w:autoSpaceDN w:val="0"/>
              <w:adjustRightInd w:val="0"/>
              <w:spacing w:after="0" w:line="240" w:lineRule="auto"/>
              <w:jc w:val="right"/>
              <w:rPr>
                <w:rFonts w:cstheme="minorHAnsi"/>
              </w:rPr>
            </w:pPr>
          </w:p>
        </w:tc>
        <w:tc>
          <w:tcPr>
            <w:tcW w:w="420" w:type="pct"/>
            <w:tcBorders>
              <w:top w:val="single" w:sz="4" w:space="0" w:color="000000" w:themeColor="text1"/>
              <w:left w:val="nil"/>
              <w:bottom w:val="nil"/>
              <w:right w:val="nil"/>
            </w:tcBorders>
            <w:vAlign w:val="bottom"/>
          </w:tcPr>
          <w:p w14:paraId="62051235" w14:textId="77777777" w:rsidR="008363D5" w:rsidRPr="00D80ACC" w:rsidRDefault="008363D5" w:rsidP="00685B62">
            <w:pPr>
              <w:widowControl w:val="0"/>
              <w:autoSpaceDE w:val="0"/>
              <w:autoSpaceDN w:val="0"/>
              <w:adjustRightInd w:val="0"/>
              <w:spacing w:after="0" w:line="240" w:lineRule="auto"/>
              <w:jc w:val="right"/>
              <w:rPr>
                <w:rFonts w:cstheme="minorHAnsi"/>
              </w:rPr>
            </w:pPr>
          </w:p>
        </w:tc>
      </w:tr>
      <w:tr w:rsidR="008363D5" w:rsidRPr="00D80ACC" w14:paraId="7D749D73" w14:textId="77777777" w:rsidTr="00685B62">
        <w:tc>
          <w:tcPr>
            <w:tcW w:w="2516" w:type="pct"/>
            <w:tcBorders>
              <w:top w:val="nil"/>
              <w:left w:val="nil"/>
              <w:bottom w:val="single" w:sz="4" w:space="0" w:color="000000" w:themeColor="text1"/>
              <w:right w:val="nil"/>
            </w:tcBorders>
            <w:vAlign w:val="bottom"/>
          </w:tcPr>
          <w:p w14:paraId="2EEA9302" w14:textId="77777777" w:rsidR="008363D5" w:rsidRPr="00D80ACC" w:rsidRDefault="008363D5" w:rsidP="00685B62">
            <w:pPr>
              <w:widowControl w:val="0"/>
              <w:autoSpaceDE w:val="0"/>
              <w:autoSpaceDN w:val="0"/>
              <w:adjustRightInd w:val="0"/>
              <w:spacing w:after="0" w:line="240" w:lineRule="auto"/>
              <w:rPr>
                <w:rFonts w:cstheme="minorHAnsi"/>
              </w:rPr>
            </w:pPr>
          </w:p>
        </w:tc>
        <w:tc>
          <w:tcPr>
            <w:tcW w:w="1226" w:type="pct"/>
            <w:gridSpan w:val="2"/>
            <w:tcBorders>
              <w:top w:val="nil"/>
              <w:left w:val="nil"/>
              <w:bottom w:val="single" w:sz="4" w:space="0" w:color="000000" w:themeColor="text1"/>
              <w:right w:val="nil"/>
            </w:tcBorders>
            <w:vAlign w:val="bottom"/>
            <w:hideMark/>
          </w:tcPr>
          <w:p w14:paraId="78166D32"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£m</w:t>
            </w:r>
          </w:p>
        </w:tc>
        <w:tc>
          <w:tcPr>
            <w:tcW w:w="419" w:type="pct"/>
            <w:tcBorders>
              <w:top w:val="nil"/>
              <w:left w:val="nil"/>
              <w:bottom w:val="single" w:sz="4" w:space="0" w:color="000000" w:themeColor="text1"/>
              <w:right w:val="nil"/>
            </w:tcBorders>
            <w:vAlign w:val="bottom"/>
            <w:hideMark/>
          </w:tcPr>
          <w:p w14:paraId="0F67FD38" w14:textId="77777777" w:rsidR="008363D5" w:rsidRPr="00610B45" w:rsidRDefault="008363D5" w:rsidP="00685B62">
            <w:pPr>
              <w:widowControl w:val="0"/>
              <w:autoSpaceDE w:val="0"/>
              <w:autoSpaceDN w:val="0"/>
              <w:adjustRightInd w:val="0"/>
              <w:spacing w:after="0" w:line="240" w:lineRule="auto"/>
              <w:jc w:val="right"/>
              <w:rPr>
                <w:rFonts w:cstheme="minorHAnsi"/>
              </w:rPr>
            </w:pPr>
            <w:r w:rsidRPr="00610B45">
              <w:rPr>
                <w:rFonts w:cstheme="minorHAnsi"/>
              </w:rPr>
              <w:t>£m</w:t>
            </w:r>
          </w:p>
        </w:tc>
        <w:tc>
          <w:tcPr>
            <w:tcW w:w="419" w:type="pct"/>
            <w:gridSpan w:val="2"/>
            <w:tcBorders>
              <w:top w:val="nil"/>
              <w:left w:val="nil"/>
              <w:right w:val="nil"/>
            </w:tcBorders>
            <w:vAlign w:val="bottom"/>
          </w:tcPr>
          <w:p w14:paraId="236A101B" w14:textId="77777777" w:rsidR="008363D5" w:rsidRPr="00D80ACC" w:rsidRDefault="008363D5" w:rsidP="00685B62">
            <w:pPr>
              <w:widowControl w:val="0"/>
              <w:autoSpaceDE w:val="0"/>
              <w:autoSpaceDN w:val="0"/>
              <w:adjustRightInd w:val="0"/>
              <w:spacing w:after="0" w:line="240" w:lineRule="auto"/>
              <w:jc w:val="right"/>
              <w:rPr>
                <w:rFonts w:cstheme="minorHAnsi"/>
              </w:rPr>
            </w:pPr>
          </w:p>
        </w:tc>
        <w:tc>
          <w:tcPr>
            <w:tcW w:w="420" w:type="pct"/>
            <w:tcBorders>
              <w:top w:val="nil"/>
              <w:left w:val="nil"/>
              <w:right w:val="nil"/>
            </w:tcBorders>
            <w:vAlign w:val="bottom"/>
          </w:tcPr>
          <w:p w14:paraId="36F8AF94" w14:textId="77777777" w:rsidR="008363D5" w:rsidRPr="00D80ACC" w:rsidRDefault="008363D5" w:rsidP="00685B62">
            <w:pPr>
              <w:widowControl w:val="0"/>
              <w:autoSpaceDE w:val="0"/>
              <w:autoSpaceDN w:val="0"/>
              <w:adjustRightInd w:val="0"/>
              <w:spacing w:after="0" w:line="240" w:lineRule="auto"/>
              <w:jc w:val="right"/>
              <w:rPr>
                <w:rFonts w:cstheme="minorHAnsi"/>
              </w:rPr>
            </w:pPr>
          </w:p>
        </w:tc>
      </w:tr>
      <w:tr w:rsidR="008363D5" w:rsidRPr="00D80ACC" w14:paraId="48BBE774" w14:textId="77777777" w:rsidTr="00685B62">
        <w:tc>
          <w:tcPr>
            <w:tcW w:w="2516" w:type="pct"/>
            <w:tcBorders>
              <w:top w:val="single" w:sz="4" w:space="0" w:color="000000" w:themeColor="text1"/>
              <w:left w:val="nil"/>
              <w:bottom w:val="single" w:sz="12" w:space="0" w:color="000000" w:themeColor="text1"/>
              <w:right w:val="nil"/>
            </w:tcBorders>
            <w:vAlign w:val="bottom"/>
            <w:hideMark/>
          </w:tcPr>
          <w:p w14:paraId="7DC93910"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Cash and cash equivalents</w:t>
            </w:r>
          </w:p>
        </w:tc>
        <w:tc>
          <w:tcPr>
            <w:tcW w:w="1226" w:type="pct"/>
            <w:gridSpan w:val="2"/>
            <w:tcBorders>
              <w:top w:val="single" w:sz="4" w:space="0" w:color="000000" w:themeColor="text1"/>
              <w:left w:val="nil"/>
              <w:bottom w:val="single" w:sz="12" w:space="0" w:color="000000" w:themeColor="text1"/>
              <w:right w:val="nil"/>
            </w:tcBorders>
            <w:vAlign w:val="bottom"/>
            <w:hideMark/>
          </w:tcPr>
          <w:p w14:paraId="2B9F176B" w14:textId="77777777" w:rsidR="008363D5" w:rsidRPr="00610B45" w:rsidRDefault="008363D5" w:rsidP="00685B62">
            <w:pPr>
              <w:widowControl w:val="0"/>
              <w:autoSpaceDE w:val="0"/>
              <w:autoSpaceDN w:val="0"/>
              <w:adjustRightInd w:val="0"/>
              <w:spacing w:after="0" w:line="240" w:lineRule="auto"/>
              <w:jc w:val="right"/>
              <w:rPr>
                <w:rFonts w:cstheme="minorHAnsi"/>
                <w:b/>
                <w:bCs/>
              </w:rPr>
            </w:pPr>
            <w:r w:rsidRPr="00610B45">
              <w:rPr>
                <w:rFonts w:cstheme="minorHAnsi"/>
                <w:b/>
                <w:bCs/>
              </w:rPr>
              <w:t>25.2</w:t>
            </w:r>
          </w:p>
        </w:tc>
        <w:tc>
          <w:tcPr>
            <w:tcW w:w="419" w:type="pct"/>
            <w:tcBorders>
              <w:top w:val="single" w:sz="4" w:space="0" w:color="000000" w:themeColor="text1"/>
              <w:left w:val="nil"/>
              <w:bottom w:val="single" w:sz="12" w:space="0" w:color="000000" w:themeColor="text1"/>
              <w:right w:val="nil"/>
            </w:tcBorders>
            <w:vAlign w:val="bottom"/>
            <w:hideMark/>
          </w:tcPr>
          <w:p w14:paraId="11524069" w14:textId="77777777" w:rsidR="008363D5" w:rsidRPr="00610B45" w:rsidRDefault="008363D5" w:rsidP="00685B62">
            <w:pPr>
              <w:widowControl w:val="0"/>
              <w:autoSpaceDE w:val="0"/>
              <w:autoSpaceDN w:val="0"/>
              <w:adjustRightInd w:val="0"/>
              <w:spacing w:after="0" w:line="240" w:lineRule="auto"/>
              <w:jc w:val="right"/>
              <w:rPr>
                <w:rFonts w:cstheme="minorHAnsi"/>
              </w:rPr>
            </w:pPr>
            <w:r w:rsidRPr="00610B45">
              <w:rPr>
                <w:rFonts w:cstheme="minorHAnsi"/>
              </w:rPr>
              <w:t>12.4</w:t>
            </w:r>
          </w:p>
        </w:tc>
        <w:tc>
          <w:tcPr>
            <w:tcW w:w="419" w:type="pct"/>
            <w:gridSpan w:val="2"/>
            <w:tcBorders>
              <w:left w:val="nil"/>
              <w:right w:val="nil"/>
            </w:tcBorders>
            <w:vAlign w:val="bottom"/>
          </w:tcPr>
          <w:p w14:paraId="1B7DBC23" w14:textId="77777777" w:rsidR="008363D5" w:rsidRPr="00D80ACC" w:rsidRDefault="008363D5" w:rsidP="00685B62">
            <w:pPr>
              <w:widowControl w:val="0"/>
              <w:autoSpaceDE w:val="0"/>
              <w:autoSpaceDN w:val="0"/>
              <w:adjustRightInd w:val="0"/>
              <w:spacing w:after="0" w:line="240" w:lineRule="auto"/>
              <w:jc w:val="right"/>
              <w:rPr>
                <w:rFonts w:cstheme="minorHAnsi"/>
              </w:rPr>
            </w:pPr>
          </w:p>
        </w:tc>
        <w:tc>
          <w:tcPr>
            <w:tcW w:w="420" w:type="pct"/>
            <w:tcBorders>
              <w:left w:val="nil"/>
              <w:right w:val="nil"/>
            </w:tcBorders>
            <w:vAlign w:val="bottom"/>
          </w:tcPr>
          <w:p w14:paraId="41A742D6" w14:textId="77777777" w:rsidR="008363D5" w:rsidRPr="00D80ACC" w:rsidRDefault="008363D5" w:rsidP="00685B62">
            <w:pPr>
              <w:widowControl w:val="0"/>
              <w:autoSpaceDE w:val="0"/>
              <w:autoSpaceDN w:val="0"/>
              <w:adjustRightInd w:val="0"/>
              <w:spacing w:after="0" w:line="240" w:lineRule="auto"/>
              <w:jc w:val="right"/>
              <w:rPr>
                <w:rFonts w:cstheme="minorHAnsi"/>
              </w:rPr>
            </w:pPr>
          </w:p>
        </w:tc>
      </w:tr>
    </w:tbl>
    <w:p w14:paraId="75D578C7" w14:textId="21E62722" w:rsidR="008363D5" w:rsidRPr="00462821" w:rsidRDefault="008363D5" w:rsidP="00D75CA8">
      <w:pPr>
        <w:widowControl w:val="0"/>
        <w:autoSpaceDE w:val="0"/>
        <w:autoSpaceDN w:val="0"/>
        <w:adjustRightInd w:val="0"/>
        <w:spacing w:after="0"/>
        <w:rPr>
          <w:rFonts w:cs="Times New Roman"/>
          <w:b/>
          <w:bCs/>
          <w:color w:val="002060"/>
        </w:rPr>
      </w:pPr>
    </w:p>
    <w:p w14:paraId="7EBDE80F" w14:textId="77777777" w:rsidR="008363D5" w:rsidRPr="0056479D" w:rsidRDefault="008363D5" w:rsidP="008363D5">
      <w:pPr>
        <w:widowControl w:val="0"/>
        <w:overflowPunct w:val="0"/>
        <w:autoSpaceDE w:val="0"/>
        <w:autoSpaceDN w:val="0"/>
        <w:adjustRightInd w:val="0"/>
        <w:spacing w:before="160" w:line="240" w:lineRule="auto"/>
        <w:rPr>
          <w:rFonts w:cstheme="minorHAnsi"/>
        </w:rPr>
      </w:pPr>
      <w:r w:rsidRPr="0056479D">
        <w:rPr>
          <w:rFonts w:cstheme="minorHAnsi"/>
        </w:rPr>
        <w:t>Net cash after deducting total borrowings was as follows:</w:t>
      </w:r>
    </w:p>
    <w:tbl>
      <w:tblPr>
        <w:tblW w:w="5963" w:type="pct"/>
        <w:tblCellMar>
          <w:left w:w="0" w:type="dxa"/>
          <w:right w:w="0" w:type="dxa"/>
        </w:tblCellMar>
        <w:tblLook w:val="04A0" w:firstRow="1" w:lastRow="0" w:firstColumn="1" w:lastColumn="0" w:noHBand="0" w:noVBand="1"/>
      </w:tblPr>
      <w:tblGrid>
        <w:gridCol w:w="6482"/>
        <w:gridCol w:w="3158"/>
        <w:gridCol w:w="1079"/>
        <w:gridCol w:w="1079"/>
        <w:gridCol w:w="1082"/>
      </w:tblGrid>
      <w:tr w:rsidR="008363D5" w:rsidRPr="0056479D" w14:paraId="1DD125DF" w14:textId="77777777" w:rsidTr="00685B62">
        <w:tc>
          <w:tcPr>
            <w:tcW w:w="2516" w:type="pct"/>
            <w:vAlign w:val="bottom"/>
          </w:tcPr>
          <w:p w14:paraId="7A8FB9C4" w14:textId="77777777" w:rsidR="008363D5" w:rsidRPr="0056479D" w:rsidRDefault="008363D5" w:rsidP="00685B62">
            <w:pPr>
              <w:widowControl w:val="0"/>
              <w:autoSpaceDE w:val="0"/>
              <w:autoSpaceDN w:val="0"/>
              <w:adjustRightInd w:val="0"/>
              <w:spacing w:after="0" w:line="240" w:lineRule="auto"/>
              <w:rPr>
                <w:rFonts w:cstheme="minorHAnsi"/>
              </w:rPr>
            </w:pPr>
          </w:p>
        </w:tc>
        <w:tc>
          <w:tcPr>
            <w:tcW w:w="1226" w:type="pct"/>
            <w:tcBorders>
              <w:left w:val="nil"/>
              <w:bottom w:val="nil"/>
              <w:right w:val="nil"/>
            </w:tcBorders>
            <w:vAlign w:val="bottom"/>
            <w:hideMark/>
          </w:tcPr>
          <w:p w14:paraId="76D68F28" w14:textId="77777777" w:rsidR="008363D5" w:rsidRPr="0056479D" w:rsidRDefault="008363D5" w:rsidP="00685B62">
            <w:pPr>
              <w:widowControl w:val="0"/>
              <w:autoSpaceDE w:val="0"/>
              <w:autoSpaceDN w:val="0"/>
              <w:adjustRightInd w:val="0"/>
              <w:spacing w:after="0" w:line="240" w:lineRule="auto"/>
              <w:jc w:val="right"/>
              <w:rPr>
                <w:rFonts w:cstheme="minorHAnsi"/>
              </w:rPr>
            </w:pPr>
            <w:r w:rsidRPr="0056479D">
              <w:rPr>
                <w:rFonts w:cstheme="minorHAnsi"/>
                <w:b/>
                <w:bCs/>
              </w:rPr>
              <w:t>2020</w:t>
            </w:r>
          </w:p>
        </w:tc>
        <w:tc>
          <w:tcPr>
            <w:tcW w:w="419" w:type="pct"/>
            <w:tcBorders>
              <w:left w:val="nil"/>
              <w:bottom w:val="nil"/>
              <w:right w:val="nil"/>
            </w:tcBorders>
            <w:vAlign w:val="bottom"/>
            <w:hideMark/>
          </w:tcPr>
          <w:p w14:paraId="203EF495" w14:textId="77777777" w:rsidR="008363D5" w:rsidRPr="0056479D" w:rsidRDefault="008363D5" w:rsidP="00685B62">
            <w:pPr>
              <w:widowControl w:val="0"/>
              <w:autoSpaceDE w:val="0"/>
              <w:autoSpaceDN w:val="0"/>
              <w:adjustRightInd w:val="0"/>
              <w:spacing w:after="0" w:line="240" w:lineRule="auto"/>
              <w:jc w:val="right"/>
              <w:rPr>
                <w:rFonts w:cstheme="minorHAnsi"/>
              </w:rPr>
            </w:pPr>
            <w:r w:rsidRPr="0056479D">
              <w:rPr>
                <w:rFonts w:cstheme="minorHAnsi"/>
              </w:rPr>
              <w:t>2019</w:t>
            </w:r>
          </w:p>
        </w:tc>
        <w:tc>
          <w:tcPr>
            <w:tcW w:w="419" w:type="pct"/>
            <w:tcBorders>
              <w:left w:val="nil"/>
              <w:bottom w:val="nil"/>
              <w:right w:val="nil"/>
            </w:tcBorders>
            <w:vAlign w:val="bottom"/>
          </w:tcPr>
          <w:p w14:paraId="2A39C622" w14:textId="77777777" w:rsidR="008363D5" w:rsidRPr="0056479D" w:rsidRDefault="008363D5" w:rsidP="00685B62">
            <w:pPr>
              <w:widowControl w:val="0"/>
              <w:autoSpaceDE w:val="0"/>
              <w:autoSpaceDN w:val="0"/>
              <w:adjustRightInd w:val="0"/>
              <w:spacing w:after="0" w:line="240" w:lineRule="auto"/>
              <w:jc w:val="right"/>
              <w:rPr>
                <w:rFonts w:cstheme="minorHAnsi"/>
              </w:rPr>
            </w:pPr>
          </w:p>
        </w:tc>
        <w:tc>
          <w:tcPr>
            <w:tcW w:w="420" w:type="pct"/>
            <w:tcBorders>
              <w:top w:val="single" w:sz="4" w:space="0" w:color="000000" w:themeColor="text1"/>
              <w:left w:val="nil"/>
              <w:bottom w:val="nil"/>
              <w:right w:val="nil"/>
            </w:tcBorders>
            <w:vAlign w:val="bottom"/>
          </w:tcPr>
          <w:p w14:paraId="0572BD34" w14:textId="77777777" w:rsidR="008363D5" w:rsidRPr="0056479D" w:rsidRDefault="008363D5" w:rsidP="00685B62">
            <w:pPr>
              <w:widowControl w:val="0"/>
              <w:autoSpaceDE w:val="0"/>
              <w:autoSpaceDN w:val="0"/>
              <w:adjustRightInd w:val="0"/>
              <w:spacing w:after="0" w:line="240" w:lineRule="auto"/>
              <w:jc w:val="right"/>
              <w:rPr>
                <w:rFonts w:cstheme="minorHAnsi"/>
              </w:rPr>
            </w:pPr>
          </w:p>
        </w:tc>
      </w:tr>
      <w:tr w:rsidR="008363D5" w:rsidRPr="0056479D" w14:paraId="46BF8D8A" w14:textId="77777777" w:rsidTr="00685B62">
        <w:tc>
          <w:tcPr>
            <w:tcW w:w="2516" w:type="pct"/>
            <w:tcBorders>
              <w:top w:val="nil"/>
              <w:left w:val="nil"/>
              <w:bottom w:val="single" w:sz="4" w:space="0" w:color="000000" w:themeColor="text1"/>
              <w:right w:val="nil"/>
            </w:tcBorders>
            <w:vAlign w:val="bottom"/>
          </w:tcPr>
          <w:p w14:paraId="7BA69567" w14:textId="77777777" w:rsidR="008363D5" w:rsidRPr="0056479D" w:rsidRDefault="008363D5" w:rsidP="00685B62">
            <w:pPr>
              <w:widowControl w:val="0"/>
              <w:autoSpaceDE w:val="0"/>
              <w:autoSpaceDN w:val="0"/>
              <w:adjustRightInd w:val="0"/>
              <w:spacing w:after="0" w:line="240" w:lineRule="auto"/>
              <w:rPr>
                <w:rFonts w:cstheme="minorHAnsi"/>
              </w:rPr>
            </w:pPr>
          </w:p>
        </w:tc>
        <w:tc>
          <w:tcPr>
            <w:tcW w:w="1226" w:type="pct"/>
            <w:tcBorders>
              <w:top w:val="nil"/>
              <w:left w:val="nil"/>
              <w:bottom w:val="single" w:sz="4" w:space="0" w:color="000000" w:themeColor="text1"/>
              <w:right w:val="nil"/>
            </w:tcBorders>
            <w:vAlign w:val="bottom"/>
            <w:hideMark/>
          </w:tcPr>
          <w:p w14:paraId="40BE95DE" w14:textId="77777777" w:rsidR="008363D5" w:rsidRPr="0056479D" w:rsidRDefault="008363D5" w:rsidP="00685B62">
            <w:pPr>
              <w:widowControl w:val="0"/>
              <w:autoSpaceDE w:val="0"/>
              <w:autoSpaceDN w:val="0"/>
              <w:adjustRightInd w:val="0"/>
              <w:spacing w:after="0" w:line="240" w:lineRule="auto"/>
              <w:jc w:val="right"/>
              <w:rPr>
                <w:rFonts w:cstheme="minorHAnsi"/>
              </w:rPr>
            </w:pPr>
            <w:r w:rsidRPr="0056479D">
              <w:rPr>
                <w:rFonts w:cstheme="minorHAnsi"/>
                <w:b/>
                <w:bCs/>
              </w:rPr>
              <w:t>£m</w:t>
            </w:r>
          </w:p>
        </w:tc>
        <w:tc>
          <w:tcPr>
            <w:tcW w:w="419" w:type="pct"/>
            <w:tcBorders>
              <w:top w:val="nil"/>
              <w:left w:val="nil"/>
              <w:bottom w:val="single" w:sz="4" w:space="0" w:color="000000" w:themeColor="text1"/>
              <w:right w:val="nil"/>
            </w:tcBorders>
            <w:vAlign w:val="bottom"/>
            <w:hideMark/>
          </w:tcPr>
          <w:p w14:paraId="6A882C74" w14:textId="77777777" w:rsidR="008363D5" w:rsidRPr="0056479D" w:rsidRDefault="008363D5" w:rsidP="00685B62">
            <w:pPr>
              <w:widowControl w:val="0"/>
              <w:autoSpaceDE w:val="0"/>
              <w:autoSpaceDN w:val="0"/>
              <w:adjustRightInd w:val="0"/>
              <w:spacing w:after="0" w:line="240" w:lineRule="auto"/>
              <w:jc w:val="right"/>
              <w:rPr>
                <w:rFonts w:cstheme="minorHAnsi"/>
              </w:rPr>
            </w:pPr>
            <w:r w:rsidRPr="0056479D">
              <w:rPr>
                <w:rFonts w:cstheme="minorHAnsi"/>
              </w:rPr>
              <w:t>£m</w:t>
            </w:r>
          </w:p>
        </w:tc>
        <w:tc>
          <w:tcPr>
            <w:tcW w:w="419" w:type="pct"/>
            <w:tcBorders>
              <w:top w:val="nil"/>
              <w:left w:val="nil"/>
              <w:right w:val="nil"/>
            </w:tcBorders>
            <w:vAlign w:val="bottom"/>
          </w:tcPr>
          <w:p w14:paraId="051E50EF" w14:textId="77777777" w:rsidR="008363D5" w:rsidRPr="0056479D" w:rsidRDefault="008363D5" w:rsidP="00685B62">
            <w:pPr>
              <w:widowControl w:val="0"/>
              <w:autoSpaceDE w:val="0"/>
              <w:autoSpaceDN w:val="0"/>
              <w:adjustRightInd w:val="0"/>
              <w:spacing w:after="0" w:line="240" w:lineRule="auto"/>
              <w:jc w:val="right"/>
              <w:rPr>
                <w:rFonts w:cstheme="minorHAnsi"/>
              </w:rPr>
            </w:pPr>
          </w:p>
        </w:tc>
        <w:tc>
          <w:tcPr>
            <w:tcW w:w="420" w:type="pct"/>
            <w:tcBorders>
              <w:top w:val="nil"/>
              <w:left w:val="nil"/>
              <w:right w:val="nil"/>
            </w:tcBorders>
            <w:vAlign w:val="bottom"/>
          </w:tcPr>
          <w:p w14:paraId="77139EC9" w14:textId="77777777" w:rsidR="008363D5" w:rsidRPr="0056479D" w:rsidRDefault="008363D5" w:rsidP="00685B62">
            <w:pPr>
              <w:widowControl w:val="0"/>
              <w:autoSpaceDE w:val="0"/>
              <w:autoSpaceDN w:val="0"/>
              <w:adjustRightInd w:val="0"/>
              <w:spacing w:after="0" w:line="240" w:lineRule="auto"/>
              <w:jc w:val="right"/>
              <w:rPr>
                <w:rFonts w:cstheme="minorHAnsi"/>
              </w:rPr>
            </w:pPr>
          </w:p>
        </w:tc>
      </w:tr>
      <w:tr w:rsidR="008363D5" w:rsidRPr="0056479D" w14:paraId="748967F7" w14:textId="77777777" w:rsidTr="00685B62">
        <w:tc>
          <w:tcPr>
            <w:tcW w:w="2516" w:type="pct"/>
            <w:tcBorders>
              <w:top w:val="single" w:sz="4" w:space="0" w:color="000000" w:themeColor="text1"/>
              <w:left w:val="nil"/>
              <w:bottom w:val="single" w:sz="12" w:space="0" w:color="000000" w:themeColor="text1"/>
              <w:right w:val="nil"/>
            </w:tcBorders>
            <w:vAlign w:val="bottom"/>
          </w:tcPr>
          <w:p w14:paraId="3DA5BF2D" w14:textId="77777777" w:rsidR="008363D5" w:rsidRPr="0056479D" w:rsidRDefault="008363D5" w:rsidP="00685B62">
            <w:pPr>
              <w:widowControl w:val="0"/>
              <w:autoSpaceDE w:val="0"/>
              <w:autoSpaceDN w:val="0"/>
              <w:adjustRightInd w:val="0"/>
              <w:spacing w:after="0" w:line="240" w:lineRule="auto"/>
              <w:rPr>
                <w:rFonts w:cstheme="minorHAnsi"/>
              </w:rPr>
            </w:pPr>
            <w:r w:rsidRPr="0056479D">
              <w:rPr>
                <w:rFonts w:cstheme="minorHAnsi"/>
              </w:rPr>
              <w:t>Cash and cash equivalents</w:t>
            </w:r>
          </w:p>
          <w:p w14:paraId="1AA3E53C" w14:textId="77777777" w:rsidR="008363D5" w:rsidRPr="0056479D" w:rsidRDefault="008363D5" w:rsidP="00685B62">
            <w:pPr>
              <w:widowControl w:val="0"/>
              <w:autoSpaceDE w:val="0"/>
              <w:autoSpaceDN w:val="0"/>
              <w:adjustRightInd w:val="0"/>
              <w:spacing w:after="0" w:line="240" w:lineRule="auto"/>
              <w:rPr>
                <w:rFonts w:cstheme="minorHAnsi"/>
              </w:rPr>
            </w:pPr>
            <w:r w:rsidRPr="0056479D">
              <w:rPr>
                <w:rFonts w:cstheme="minorHAnsi"/>
              </w:rPr>
              <w:t>Less total borrowings</w:t>
            </w:r>
          </w:p>
        </w:tc>
        <w:tc>
          <w:tcPr>
            <w:tcW w:w="1226" w:type="pct"/>
            <w:tcBorders>
              <w:top w:val="single" w:sz="4" w:space="0" w:color="000000" w:themeColor="text1"/>
              <w:left w:val="nil"/>
              <w:bottom w:val="single" w:sz="12" w:space="0" w:color="000000" w:themeColor="text1"/>
              <w:right w:val="nil"/>
            </w:tcBorders>
            <w:vAlign w:val="bottom"/>
          </w:tcPr>
          <w:p w14:paraId="1C9DF801" w14:textId="77777777" w:rsidR="008363D5" w:rsidRPr="0056479D" w:rsidRDefault="008363D5" w:rsidP="00685B62">
            <w:pPr>
              <w:widowControl w:val="0"/>
              <w:autoSpaceDE w:val="0"/>
              <w:autoSpaceDN w:val="0"/>
              <w:adjustRightInd w:val="0"/>
              <w:spacing w:after="0" w:line="240" w:lineRule="auto"/>
              <w:jc w:val="right"/>
              <w:rPr>
                <w:rFonts w:cstheme="minorHAnsi"/>
                <w:b/>
                <w:bCs/>
              </w:rPr>
            </w:pPr>
            <w:r w:rsidRPr="0056479D">
              <w:rPr>
                <w:rFonts w:cstheme="minorHAnsi"/>
                <w:b/>
                <w:bCs/>
              </w:rPr>
              <w:t>25.2</w:t>
            </w:r>
          </w:p>
          <w:p w14:paraId="73400398" w14:textId="77777777" w:rsidR="008363D5" w:rsidRPr="0056479D" w:rsidRDefault="008363D5" w:rsidP="00685B62">
            <w:pPr>
              <w:widowControl w:val="0"/>
              <w:autoSpaceDE w:val="0"/>
              <w:autoSpaceDN w:val="0"/>
              <w:adjustRightInd w:val="0"/>
              <w:spacing w:after="0" w:line="240" w:lineRule="auto"/>
              <w:jc w:val="right"/>
              <w:rPr>
                <w:rFonts w:cstheme="minorHAnsi"/>
                <w:b/>
                <w:bCs/>
              </w:rPr>
            </w:pPr>
            <w:r w:rsidRPr="0056479D">
              <w:rPr>
                <w:rFonts w:cstheme="minorHAnsi"/>
                <w:b/>
                <w:bCs/>
              </w:rPr>
              <w:t>(15.0)</w:t>
            </w:r>
          </w:p>
        </w:tc>
        <w:tc>
          <w:tcPr>
            <w:tcW w:w="419" w:type="pct"/>
            <w:tcBorders>
              <w:top w:val="single" w:sz="4" w:space="0" w:color="000000" w:themeColor="text1"/>
              <w:left w:val="nil"/>
              <w:bottom w:val="single" w:sz="12" w:space="0" w:color="000000" w:themeColor="text1"/>
              <w:right w:val="nil"/>
            </w:tcBorders>
            <w:vAlign w:val="bottom"/>
          </w:tcPr>
          <w:p w14:paraId="79D6D820" w14:textId="77777777" w:rsidR="008363D5" w:rsidRPr="0056479D" w:rsidRDefault="008363D5" w:rsidP="00685B62">
            <w:pPr>
              <w:widowControl w:val="0"/>
              <w:autoSpaceDE w:val="0"/>
              <w:autoSpaceDN w:val="0"/>
              <w:adjustRightInd w:val="0"/>
              <w:spacing w:after="0" w:line="240" w:lineRule="auto"/>
              <w:jc w:val="right"/>
              <w:rPr>
                <w:rFonts w:cstheme="minorHAnsi"/>
              </w:rPr>
            </w:pPr>
            <w:r w:rsidRPr="0056479D">
              <w:rPr>
                <w:rFonts w:cstheme="minorHAnsi"/>
              </w:rPr>
              <w:t>12.4</w:t>
            </w:r>
          </w:p>
          <w:p w14:paraId="422E31D8" w14:textId="77777777" w:rsidR="008363D5" w:rsidRPr="0056479D" w:rsidRDefault="008363D5" w:rsidP="00685B62">
            <w:pPr>
              <w:widowControl w:val="0"/>
              <w:autoSpaceDE w:val="0"/>
              <w:autoSpaceDN w:val="0"/>
              <w:adjustRightInd w:val="0"/>
              <w:spacing w:after="0" w:line="240" w:lineRule="auto"/>
              <w:jc w:val="right"/>
              <w:rPr>
                <w:rFonts w:cstheme="minorHAnsi"/>
              </w:rPr>
            </w:pPr>
            <w:r w:rsidRPr="0056479D">
              <w:rPr>
                <w:rFonts w:cstheme="minorHAnsi"/>
                <w:b/>
                <w:bCs/>
              </w:rPr>
              <w:t>—</w:t>
            </w:r>
          </w:p>
        </w:tc>
        <w:tc>
          <w:tcPr>
            <w:tcW w:w="419" w:type="pct"/>
            <w:tcBorders>
              <w:left w:val="nil"/>
              <w:right w:val="nil"/>
            </w:tcBorders>
            <w:vAlign w:val="bottom"/>
          </w:tcPr>
          <w:p w14:paraId="013B0CCE" w14:textId="77777777" w:rsidR="008363D5" w:rsidRPr="0056479D" w:rsidRDefault="008363D5" w:rsidP="00685B62">
            <w:pPr>
              <w:widowControl w:val="0"/>
              <w:autoSpaceDE w:val="0"/>
              <w:autoSpaceDN w:val="0"/>
              <w:adjustRightInd w:val="0"/>
              <w:spacing w:after="0" w:line="240" w:lineRule="auto"/>
              <w:jc w:val="right"/>
              <w:rPr>
                <w:rFonts w:cstheme="minorHAnsi"/>
              </w:rPr>
            </w:pPr>
          </w:p>
        </w:tc>
        <w:tc>
          <w:tcPr>
            <w:tcW w:w="420" w:type="pct"/>
            <w:tcBorders>
              <w:left w:val="nil"/>
              <w:right w:val="nil"/>
            </w:tcBorders>
            <w:vAlign w:val="bottom"/>
          </w:tcPr>
          <w:p w14:paraId="5166EC70" w14:textId="77777777" w:rsidR="008363D5" w:rsidRPr="0056479D" w:rsidRDefault="008363D5" w:rsidP="00685B62">
            <w:pPr>
              <w:widowControl w:val="0"/>
              <w:autoSpaceDE w:val="0"/>
              <w:autoSpaceDN w:val="0"/>
              <w:adjustRightInd w:val="0"/>
              <w:spacing w:after="0" w:line="240" w:lineRule="auto"/>
              <w:jc w:val="right"/>
              <w:rPr>
                <w:rFonts w:cstheme="minorHAnsi"/>
              </w:rPr>
            </w:pPr>
          </w:p>
        </w:tc>
      </w:tr>
      <w:tr w:rsidR="008363D5" w:rsidRPr="00D80ACC" w14:paraId="3A235B19" w14:textId="77777777" w:rsidTr="00685B62">
        <w:tc>
          <w:tcPr>
            <w:tcW w:w="2516" w:type="pct"/>
            <w:tcBorders>
              <w:top w:val="single" w:sz="4" w:space="0" w:color="000000" w:themeColor="text1"/>
              <w:left w:val="nil"/>
              <w:bottom w:val="single" w:sz="12" w:space="0" w:color="000000" w:themeColor="text1"/>
              <w:right w:val="nil"/>
            </w:tcBorders>
            <w:vAlign w:val="bottom"/>
            <w:hideMark/>
          </w:tcPr>
          <w:p w14:paraId="56666DE2" w14:textId="77777777" w:rsidR="008363D5" w:rsidRPr="0056479D" w:rsidRDefault="008363D5" w:rsidP="00685B62">
            <w:pPr>
              <w:widowControl w:val="0"/>
              <w:autoSpaceDE w:val="0"/>
              <w:autoSpaceDN w:val="0"/>
              <w:adjustRightInd w:val="0"/>
              <w:spacing w:after="0" w:line="240" w:lineRule="auto"/>
              <w:rPr>
                <w:rFonts w:cstheme="minorHAnsi"/>
              </w:rPr>
            </w:pPr>
            <w:r w:rsidRPr="0056479D">
              <w:rPr>
                <w:rFonts w:cstheme="minorHAnsi"/>
              </w:rPr>
              <w:t>Net cash</w:t>
            </w:r>
          </w:p>
        </w:tc>
        <w:tc>
          <w:tcPr>
            <w:tcW w:w="1226" w:type="pct"/>
            <w:tcBorders>
              <w:top w:val="single" w:sz="4" w:space="0" w:color="000000" w:themeColor="text1"/>
              <w:left w:val="nil"/>
              <w:bottom w:val="single" w:sz="12" w:space="0" w:color="000000" w:themeColor="text1"/>
              <w:right w:val="nil"/>
            </w:tcBorders>
            <w:vAlign w:val="bottom"/>
            <w:hideMark/>
          </w:tcPr>
          <w:p w14:paraId="32925A62" w14:textId="77777777" w:rsidR="008363D5" w:rsidRPr="0056479D" w:rsidRDefault="008363D5" w:rsidP="00685B62">
            <w:pPr>
              <w:widowControl w:val="0"/>
              <w:autoSpaceDE w:val="0"/>
              <w:autoSpaceDN w:val="0"/>
              <w:adjustRightInd w:val="0"/>
              <w:spacing w:after="0" w:line="240" w:lineRule="auto"/>
              <w:jc w:val="right"/>
              <w:rPr>
                <w:rFonts w:cstheme="minorHAnsi"/>
                <w:b/>
                <w:bCs/>
              </w:rPr>
            </w:pPr>
            <w:r w:rsidRPr="0056479D">
              <w:rPr>
                <w:rFonts w:cstheme="minorHAnsi"/>
                <w:b/>
                <w:bCs/>
              </w:rPr>
              <w:t>10.2</w:t>
            </w:r>
          </w:p>
        </w:tc>
        <w:tc>
          <w:tcPr>
            <w:tcW w:w="419" w:type="pct"/>
            <w:tcBorders>
              <w:top w:val="single" w:sz="4" w:space="0" w:color="000000" w:themeColor="text1"/>
              <w:left w:val="nil"/>
              <w:bottom w:val="single" w:sz="12" w:space="0" w:color="000000" w:themeColor="text1"/>
              <w:right w:val="nil"/>
            </w:tcBorders>
            <w:vAlign w:val="bottom"/>
            <w:hideMark/>
          </w:tcPr>
          <w:p w14:paraId="33A22EEE" w14:textId="77777777" w:rsidR="008363D5" w:rsidRPr="00610B45" w:rsidRDefault="008363D5" w:rsidP="00685B62">
            <w:pPr>
              <w:widowControl w:val="0"/>
              <w:autoSpaceDE w:val="0"/>
              <w:autoSpaceDN w:val="0"/>
              <w:adjustRightInd w:val="0"/>
              <w:spacing w:after="0" w:line="240" w:lineRule="auto"/>
              <w:jc w:val="right"/>
              <w:rPr>
                <w:rFonts w:cstheme="minorHAnsi"/>
              </w:rPr>
            </w:pPr>
            <w:r w:rsidRPr="0056479D">
              <w:rPr>
                <w:rFonts w:cstheme="minorHAnsi"/>
              </w:rPr>
              <w:t>12.4</w:t>
            </w:r>
          </w:p>
        </w:tc>
        <w:tc>
          <w:tcPr>
            <w:tcW w:w="419" w:type="pct"/>
            <w:tcBorders>
              <w:left w:val="nil"/>
              <w:right w:val="nil"/>
            </w:tcBorders>
            <w:vAlign w:val="bottom"/>
          </w:tcPr>
          <w:p w14:paraId="6FEF2551" w14:textId="77777777" w:rsidR="008363D5" w:rsidRPr="00D80ACC" w:rsidRDefault="008363D5" w:rsidP="00685B62">
            <w:pPr>
              <w:widowControl w:val="0"/>
              <w:autoSpaceDE w:val="0"/>
              <w:autoSpaceDN w:val="0"/>
              <w:adjustRightInd w:val="0"/>
              <w:spacing w:after="0" w:line="240" w:lineRule="auto"/>
              <w:jc w:val="right"/>
              <w:rPr>
                <w:rFonts w:cstheme="minorHAnsi"/>
              </w:rPr>
            </w:pPr>
          </w:p>
        </w:tc>
        <w:tc>
          <w:tcPr>
            <w:tcW w:w="420" w:type="pct"/>
            <w:tcBorders>
              <w:left w:val="nil"/>
              <w:right w:val="nil"/>
            </w:tcBorders>
            <w:vAlign w:val="bottom"/>
          </w:tcPr>
          <w:p w14:paraId="447791DB" w14:textId="77777777" w:rsidR="008363D5" w:rsidRPr="00D80ACC" w:rsidRDefault="008363D5" w:rsidP="00685B62">
            <w:pPr>
              <w:widowControl w:val="0"/>
              <w:autoSpaceDE w:val="0"/>
              <w:autoSpaceDN w:val="0"/>
              <w:adjustRightInd w:val="0"/>
              <w:spacing w:after="0" w:line="240" w:lineRule="auto"/>
              <w:jc w:val="right"/>
              <w:rPr>
                <w:rFonts w:cstheme="minorHAnsi"/>
              </w:rPr>
            </w:pPr>
          </w:p>
        </w:tc>
      </w:tr>
    </w:tbl>
    <w:p w14:paraId="67EF1270" w14:textId="30BAECF8" w:rsidR="00D75CA8" w:rsidRPr="00462821" w:rsidRDefault="00D75CA8" w:rsidP="00D75CA8">
      <w:pPr>
        <w:widowControl w:val="0"/>
        <w:autoSpaceDE w:val="0"/>
        <w:autoSpaceDN w:val="0"/>
        <w:adjustRightInd w:val="0"/>
        <w:spacing w:after="0"/>
        <w:rPr>
          <w:rFonts w:cs="Times New Roman"/>
          <w:b/>
          <w:bCs/>
          <w:color w:val="002060"/>
        </w:rPr>
      </w:pPr>
    </w:p>
    <w:p w14:paraId="24F31060" w14:textId="77777777" w:rsidR="008363D5" w:rsidRPr="0069297D" w:rsidRDefault="008363D5" w:rsidP="008363D5">
      <w:pPr>
        <w:autoSpaceDE w:val="0"/>
        <w:autoSpaceDN w:val="0"/>
        <w:adjustRightInd w:val="0"/>
        <w:spacing w:after="120" w:line="240" w:lineRule="auto"/>
        <w:ind w:right="-540"/>
        <w:jc w:val="both"/>
        <w:rPr>
          <w:rFonts w:cstheme="minorHAnsi"/>
          <w:b/>
          <w:bCs/>
          <w:color w:val="003366"/>
          <w:sz w:val="24"/>
          <w:szCs w:val="24"/>
        </w:rPr>
      </w:pPr>
      <w:r w:rsidRPr="0069297D">
        <w:rPr>
          <w:rFonts w:cstheme="minorHAnsi"/>
          <w:b/>
          <w:bCs/>
          <w:color w:val="003366"/>
          <w:sz w:val="24"/>
          <w:szCs w:val="24"/>
        </w:rPr>
        <w:t xml:space="preserve">Note </w:t>
      </w:r>
      <w:r>
        <w:rPr>
          <w:rFonts w:cstheme="minorHAnsi"/>
          <w:b/>
          <w:bCs/>
          <w:color w:val="003366"/>
          <w:sz w:val="24"/>
          <w:szCs w:val="24"/>
        </w:rPr>
        <w:t>9</w:t>
      </w:r>
      <w:r w:rsidRPr="0069297D">
        <w:rPr>
          <w:rFonts w:cstheme="minorHAnsi"/>
          <w:b/>
          <w:bCs/>
          <w:color w:val="003366"/>
          <w:sz w:val="24"/>
          <w:szCs w:val="24"/>
        </w:rPr>
        <w:t xml:space="preserve"> – Related party transactions</w:t>
      </w:r>
    </w:p>
    <w:p w14:paraId="1BC80034" w14:textId="77777777" w:rsidR="008363D5" w:rsidRPr="00D80ACC" w:rsidRDefault="008363D5" w:rsidP="008363D5">
      <w:pPr>
        <w:widowControl w:val="0"/>
        <w:autoSpaceDE w:val="0"/>
        <w:autoSpaceDN w:val="0"/>
        <w:adjustRightInd w:val="0"/>
        <w:spacing w:before="160" w:line="240" w:lineRule="auto"/>
        <w:rPr>
          <w:rFonts w:cstheme="minorHAnsi"/>
        </w:rPr>
      </w:pPr>
      <w:r w:rsidRPr="00D80ACC">
        <w:rPr>
          <w:rFonts w:cstheme="minorHAnsi"/>
          <w:b/>
          <w:bCs/>
        </w:rPr>
        <w:t>(i) Directors’ remuneration</w:t>
      </w:r>
    </w:p>
    <w:tbl>
      <w:tblPr>
        <w:tblW w:w="5000" w:type="pct"/>
        <w:tblCellMar>
          <w:left w:w="0" w:type="dxa"/>
          <w:right w:w="0" w:type="dxa"/>
        </w:tblCellMar>
        <w:tblLook w:val="04A0" w:firstRow="1" w:lastRow="0" w:firstColumn="1" w:lastColumn="0" w:noHBand="0" w:noVBand="1"/>
      </w:tblPr>
      <w:tblGrid>
        <w:gridCol w:w="8640"/>
        <w:gridCol w:w="1080"/>
        <w:gridCol w:w="1080"/>
      </w:tblGrid>
      <w:tr w:rsidR="008363D5" w:rsidRPr="00D80ACC" w14:paraId="37A48404" w14:textId="77777777" w:rsidTr="00685B62">
        <w:tc>
          <w:tcPr>
            <w:tcW w:w="3999" w:type="pct"/>
            <w:vAlign w:val="bottom"/>
          </w:tcPr>
          <w:p w14:paraId="307E9B11" w14:textId="77777777" w:rsidR="008363D5" w:rsidRPr="00D80ACC" w:rsidRDefault="008363D5" w:rsidP="00685B62">
            <w:pPr>
              <w:widowControl w:val="0"/>
              <w:autoSpaceDE w:val="0"/>
              <w:autoSpaceDN w:val="0"/>
              <w:adjustRightInd w:val="0"/>
              <w:spacing w:after="0" w:line="240" w:lineRule="auto"/>
              <w:rPr>
                <w:rFonts w:cstheme="minorHAnsi"/>
              </w:rPr>
            </w:pPr>
          </w:p>
        </w:tc>
        <w:tc>
          <w:tcPr>
            <w:tcW w:w="500" w:type="pct"/>
            <w:vAlign w:val="bottom"/>
            <w:hideMark/>
          </w:tcPr>
          <w:p w14:paraId="040F98EC"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20</w:t>
            </w:r>
            <w:r>
              <w:rPr>
                <w:rFonts w:cstheme="minorHAnsi"/>
                <w:b/>
                <w:bCs/>
              </w:rPr>
              <w:t>20</w:t>
            </w:r>
          </w:p>
        </w:tc>
        <w:tc>
          <w:tcPr>
            <w:tcW w:w="500" w:type="pct"/>
            <w:vAlign w:val="bottom"/>
          </w:tcPr>
          <w:p w14:paraId="656A3C9F" w14:textId="77777777" w:rsidR="008363D5" w:rsidRPr="00610B45" w:rsidRDefault="008363D5" w:rsidP="00685B62">
            <w:pPr>
              <w:widowControl w:val="0"/>
              <w:autoSpaceDE w:val="0"/>
              <w:autoSpaceDN w:val="0"/>
              <w:adjustRightInd w:val="0"/>
              <w:spacing w:after="0" w:line="240" w:lineRule="auto"/>
              <w:jc w:val="right"/>
              <w:rPr>
                <w:rFonts w:cstheme="minorHAnsi"/>
              </w:rPr>
            </w:pPr>
            <w:r w:rsidRPr="00610B45">
              <w:rPr>
                <w:rFonts w:cstheme="minorHAnsi"/>
              </w:rPr>
              <w:t>2019</w:t>
            </w:r>
          </w:p>
        </w:tc>
      </w:tr>
      <w:tr w:rsidR="008363D5" w:rsidRPr="00D80ACC" w14:paraId="441D7BB7" w14:textId="77777777" w:rsidTr="00685B62">
        <w:tc>
          <w:tcPr>
            <w:tcW w:w="3999" w:type="pct"/>
            <w:tcBorders>
              <w:top w:val="nil"/>
              <w:left w:val="nil"/>
              <w:bottom w:val="single" w:sz="4" w:space="0" w:color="000000" w:themeColor="text1"/>
              <w:right w:val="nil"/>
            </w:tcBorders>
            <w:vAlign w:val="bottom"/>
          </w:tcPr>
          <w:p w14:paraId="3D6968A4" w14:textId="77777777" w:rsidR="008363D5" w:rsidRPr="00D80ACC" w:rsidRDefault="008363D5" w:rsidP="00685B62">
            <w:pPr>
              <w:widowControl w:val="0"/>
              <w:autoSpaceDE w:val="0"/>
              <w:autoSpaceDN w:val="0"/>
              <w:adjustRightInd w:val="0"/>
              <w:spacing w:after="0" w:line="240" w:lineRule="auto"/>
              <w:rPr>
                <w:rFonts w:cstheme="minorHAnsi"/>
              </w:rPr>
            </w:pPr>
          </w:p>
        </w:tc>
        <w:tc>
          <w:tcPr>
            <w:tcW w:w="500" w:type="pct"/>
            <w:tcBorders>
              <w:top w:val="nil"/>
              <w:left w:val="nil"/>
              <w:bottom w:val="single" w:sz="4" w:space="0" w:color="000000" w:themeColor="text1"/>
              <w:right w:val="nil"/>
            </w:tcBorders>
            <w:vAlign w:val="bottom"/>
            <w:hideMark/>
          </w:tcPr>
          <w:p w14:paraId="0FE03798"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£m</w:t>
            </w:r>
          </w:p>
        </w:tc>
        <w:tc>
          <w:tcPr>
            <w:tcW w:w="500" w:type="pct"/>
            <w:tcBorders>
              <w:top w:val="nil"/>
              <w:left w:val="nil"/>
              <w:bottom w:val="single" w:sz="4" w:space="0" w:color="000000" w:themeColor="text1"/>
            </w:tcBorders>
            <w:vAlign w:val="bottom"/>
          </w:tcPr>
          <w:p w14:paraId="27C177CB" w14:textId="77777777" w:rsidR="008363D5" w:rsidRPr="00610B45" w:rsidRDefault="008363D5" w:rsidP="00685B62">
            <w:pPr>
              <w:widowControl w:val="0"/>
              <w:autoSpaceDE w:val="0"/>
              <w:autoSpaceDN w:val="0"/>
              <w:adjustRightInd w:val="0"/>
              <w:spacing w:after="0" w:line="240" w:lineRule="auto"/>
              <w:jc w:val="right"/>
              <w:rPr>
                <w:rFonts w:cstheme="minorHAnsi"/>
              </w:rPr>
            </w:pPr>
            <w:r w:rsidRPr="00610B45">
              <w:rPr>
                <w:rFonts w:cstheme="minorHAnsi"/>
              </w:rPr>
              <w:t>£m</w:t>
            </w:r>
          </w:p>
        </w:tc>
      </w:tr>
      <w:tr w:rsidR="008363D5" w:rsidRPr="00D80ACC" w14:paraId="5A0FF43F" w14:textId="77777777" w:rsidTr="00685B62">
        <w:tc>
          <w:tcPr>
            <w:tcW w:w="3999" w:type="pct"/>
            <w:tcBorders>
              <w:top w:val="single" w:sz="4" w:space="0" w:color="000000" w:themeColor="text1"/>
              <w:left w:val="nil"/>
              <w:bottom w:val="nil"/>
              <w:right w:val="nil"/>
            </w:tcBorders>
            <w:vAlign w:val="bottom"/>
            <w:hideMark/>
          </w:tcPr>
          <w:p w14:paraId="3A1FF492"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 xml:space="preserve">Salaries, </w:t>
            </w:r>
            <w:proofErr w:type="gramStart"/>
            <w:r w:rsidRPr="00D80ACC">
              <w:rPr>
                <w:rFonts w:cstheme="minorHAnsi"/>
              </w:rPr>
              <w:t>fees</w:t>
            </w:r>
            <w:proofErr w:type="gramEnd"/>
            <w:r w:rsidRPr="00D80ACC">
              <w:rPr>
                <w:rFonts w:cstheme="minorHAnsi"/>
              </w:rPr>
              <w:t xml:space="preserve"> and other short-term employee benefits</w:t>
            </w:r>
          </w:p>
        </w:tc>
        <w:tc>
          <w:tcPr>
            <w:tcW w:w="500" w:type="pct"/>
            <w:tcBorders>
              <w:top w:val="single" w:sz="4" w:space="0" w:color="000000" w:themeColor="text1"/>
              <w:left w:val="nil"/>
              <w:bottom w:val="nil"/>
              <w:right w:val="nil"/>
            </w:tcBorders>
            <w:vAlign w:val="bottom"/>
            <w:hideMark/>
          </w:tcPr>
          <w:p w14:paraId="76F65DC0" w14:textId="77777777" w:rsidR="008363D5" w:rsidRPr="00D80ACC" w:rsidRDefault="008363D5" w:rsidP="00685B62">
            <w:pPr>
              <w:widowControl w:val="0"/>
              <w:autoSpaceDE w:val="0"/>
              <w:autoSpaceDN w:val="0"/>
              <w:adjustRightInd w:val="0"/>
              <w:spacing w:after="0" w:line="240" w:lineRule="auto"/>
              <w:jc w:val="right"/>
              <w:rPr>
                <w:rFonts w:cstheme="minorHAnsi"/>
              </w:rPr>
            </w:pPr>
            <w:r>
              <w:rPr>
                <w:rFonts w:cstheme="minorHAnsi"/>
                <w:b/>
                <w:bCs/>
              </w:rPr>
              <w:t>1.9</w:t>
            </w:r>
          </w:p>
        </w:tc>
        <w:tc>
          <w:tcPr>
            <w:tcW w:w="500" w:type="pct"/>
            <w:tcBorders>
              <w:top w:val="single" w:sz="4" w:space="0" w:color="000000" w:themeColor="text1"/>
              <w:left w:val="nil"/>
              <w:bottom w:val="nil"/>
            </w:tcBorders>
            <w:vAlign w:val="bottom"/>
          </w:tcPr>
          <w:p w14:paraId="64779159" w14:textId="77777777" w:rsidR="008363D5" w:rsidRPr="00610B45" w:rsidRDefault="008363D5" w:rsidP="00685B62">
            <w:pPr>
              <w:widowControl w:val="0"/>
              <w:autoSpaceDE w:val="0"/>
              <w:autoSpaceDN w:val="0"/>
              <w:adjustRightInd w:val="0"/>
              <w:spacing w:after="0" w:line="240" w:lineRule="auto"/>
              <w:jc w:val="right"/>
              <w:rPr>
                <w:rFonts w:cstheme="minorHAnsi"/>
              </w:rPr>
            </w:pPr>
            <w:r w:rsidRPr="00610B45">
              <w:rPr>
                <w:rFonts w:cstheme="minorHAnsi"/>
              </w:rPr>
              <w:t>2.1</w:t>
            </w:r>
          </w:p>
        </w:tc>
      </w:tr>
      <w:tr w:rsidR="008363D5" w:rsidRPr="00D80ACC" w14:paraId="5E47B145" w14:textId="77777777" w:rsidTr="00685B62">
        <w:tc>
          <w:tcPr>
            <w:tcW w:w="3999" w:type="pct"/>
            <w:vAlign w:val="bottom"/>
            <w:hideMark/>
          </w:tcPr>
          <w:p w14:paraId="311A0AD3"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Termination benefits</w:t>
            </w:r>
          </w:p>
        </w:tc>
        <w:tc>
          <w:tcPr>
            <w:tcW w:w="500" w:type="pct"/>
            <w:vAlign w:val="bottom"/>
            <w:hideMark/>
          </w:tcPr>
          <w:p w14:paraId="4F1E16BF"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w:t>
            </w:r>
          </w:p>
        </w:tc>
        <w:tc>
          <w:tcPr>
            <w:tcW w:w="500" w:type="pct"/>
            <w:vAlign w:val="bottom"/>
          </w:tcPr>
          <w:p w14:paraId="505B6BE9" w14:textId="77777777" w:rsidR="008363D5" w:rsidRPr="00610B45" w:rsidRDefault="008363D5" w:rsidP="00685B62">
            <w:pPr>
              <w:widowControl w:val="0"/>
              <w:autoSpaceDE w:val="0"/>
              <w:autoSpaceDN w:val="0"/>
              <w:adjustRightInd w:val="0"/>
              <w:spacing w:after="0" w:line="240" w:lineRule="auto"/>
              <w:jc w:val="right"/>
              <w:rPr>
                <w:rFonts w:cstheme="minorHAnsi"/>
              </w:rPr>
            </w:pPr>
            <w:r w:rsidRPr="00610B45">
              <w:rPr>
                <w:rFonts w:cstheme="minorHAnsi"/>
              </w:rPr>
              <w:t>—</w:t>
            </w:r>
          </w:p>
        </w:tc>
      </w:tr>
      <w:tr w:rsidR="008363D5" w:rsidRPr="00D80ACC" w14:paraId="7CB556B2" w14:textId="77777777" w:rsidTr="00685B62">
        <w:tc>
          <w:tcPr>
            <w:tcW w:w="3999" w:type="pct"/>
            <w:vAlign w:val="bottom"/>
            <w:hideMark/>
          </w:tcPr>
          <w:p w14:paraId="7F6885EB"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Share-based payment charge</w:t>
            </w:r>
          </w:p>
        </w:tc>
        <w:tc>
          <w:tcPr>
            <w:tcW w:w="500" w:type="pct"/>
            <w:vAlign w:val="bottom"/>
            <w:hideMark/>
          </w:tcPr>
          <w:p w14:paraId="67E6911D"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0.</w:t>
            </w:r>
            <w:r>
              <w:rPr>
                <w:rFonts w:cstheme="minorHAnsi"/>
                <w:b/>
                <w:bCs/>
              </w:rPr>
              <w:t>4</w:t>
            </w:r>
          </w:p>
        </w:tc>
        <w:tc>
          <w:tcPr>
            <w:tcW w:w="500" w:type="pct"/>
            <w:vAlign w:val="bottom"/>
          </w:tcPr>
          <w:p w14:paraId="1359F269" w14:textId="77777777" w:rsidR="008363D5" w:rsidRPr="00610B45" w:rsidRDefault="008363D5" w:rsidP="00685B62">
            <w:pPr>
              <w:widowControl w:val="0"/>
              <w:autoSpaceDE w:val="0"/>
              <w:autoSpaceDN w:val="0"/>
              <w:adjustRightInd w:val="0"/>
              <w:spacing w:after="0" w:line="240" w:lineRule="auto"/>
              <w:jc w:val="right"/>
              <w:rPr>
                <w:rFonts w:cstheme="minorHAnsi"/>
              </w:rPr>
            </w:pPr>
            <w:r w:rsidRPr="00610B45">
              <w:rPr>
                <w:rFonts w:cstheme="minorHAnsi"/>
              </w:rPr>
              <w:t>0.3</w:t>
            </w:r>
          </w:p>
        </w:tc>
      </w:tr>
      <w:tr w:rsidR="008363D5" w:rsidRPr="00D80ACC" w14:paraId="3E970D02" w14:textId="77777777" w:rsidTr="00685B62">
        <w:tc>
          <w:tcPr>
            <w:tcW w:w="3999" w:type="pct"/>
            <w:tcBorders>
              <w:top w:val="nil"/>
              <w:left w:val="nil"/>
              <w:bottom w:val="single" w:sz="4" w:space="0" w:color="000000" w:themeColor="text1"/>
              <w:right w:val="nil"/>
            </w:tcBorders>
            <w:vAlign w:val="bottom"/>
            <w:hideMark/>
          </w:tcPr>
          <w:p w14:paraId="53CBDF7A"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Post-employment benefits</w:t>
            </w:r>
          </w:p>
        </w:tc>
        <w:tc>
          <w:tcPr>
            <w:tcW w:w="500" w:type="pct"/>
            <w:tcBorders>
              <w:top w:val="nil"/>
              <w:left w:val="nil"/>
              <w:bottom w:val="single" w:sz="4" w:space="0" w:color="000000" w:themeColor="text1"/>
              <w:right w:val="nil"/>
            </w:tcBorders>
            <w:vAlign w:val="bottom"/>
            <w:hideMark/>
          </w:tcPr>
          <w:p w14:paraId="4F492C0D"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w:t>
            </w:r>
          </w:p>
        </w:tc>
        <w:tc>
          <w:tcPr>
            <w:tcW w:w="500" w:type="pct"/>
            <w:tcBorders>
              <w:top w:val="nil"/>
              <w:left w:val="nil"/>
              <w:bottom w:val="single" w:sz="4" w:space="0" w:color="000000" w:themeColor="text1"/>
            </w:tcBorders>
            <w:vAlign w:val="bottom"/>
          </w:tcPr>
          <w:p w14:paraId="452BDBAB" w14:textId="77777777" w:rsidR="008363D5" w:rsidRPr="00610B45" w:rsidRDefault="008363D5" w:rsidP="00685B62">
            <w:pPr>
              <w:widowControl w:val="0"/>
              <w:autoSpaceDE w:val="0"/>
              <w:autoSpaceDN w:val="0"/>
              <w:adjustRightInd w:val="0"/>
              <w:spacing w:after="0" w:line="240" w:lineRule="auto"/>
              <w:jc w:val="right"/>
              <w:rPr>
                <w:rFonts w:cstheme="minorHAnsi"/>
              </w:rPr>
            </w:pPr>
            <w:r w:rsidRPr="00610B45">
              <w:rPr>
                <w:rFonts w:cstheme="minorHAnsi"/>
              </w:rPr>
              <w:t>0.7</w:t>
            </w:r>
          </w:p>
        </w:tc>
      </w:tr>
      <w:tr w:rsidR="008363D5" w:rsidRPr="00D80ACC" w14:paraId="0DEB0777" w14:textId="77777777" w:rsidTr="00685B62">
        <w:tc>
          <w:tcPr>
            <w:tcW w:w="3999" w:type="pct"/>
            <w:tcBorders>
              <w:top w:val="single" w:sz="4" w:space="0" w:color="000000" w:themeColor="text1"/>
              <w:left w:val="nil"/>
              <w:bottom w:val="single" w:sz="12" w:space="0" w:color="000000" w:themeColor="text1"/>
              <w:right w:val="nil"/>
            </w:tcBorders>
            <w:vAlign w:val="bottom"/>
            <w:hideMark/>
          </w:tcPr>
          <w:p w14:paraId="43DAD00E"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b/>
                <w:bCs/>
              </w:rPr>
              <w:t>Total</w:t>
            </w:r>
          </w:p>
        </w:tc>
        <w:tc>
          <w:tcPr>
            <w:tcW w:w="500" w:type="pct"/>
            <w:tcBorders>
              <w:top w:val="single" w:sz="4" w:space="0" w:color="000000" w:themeColor="text1"/>
              <w:left w:val="nil"/>
              <w:bottom w:val="single" w:sz="12" w:space="0" w:color="000000" w:themeColor="text1"/>
              <w:right w:val="nil"/>
            </w:tcBorders>
            <w:vAlign w:val="bottom"/>
            <w:hideMark/>
          </w:tcPr>
          <w:p w14:paraId="3C6C8A1E" w14:textId="77777777" w:rsidR="008363D5" w:rsidRPr="00237EE2" w:rsidRDefault="008363D5" w:rsidP="00685B62">
            <w:pPr>
              <w:widowControl w:val="0"/>
              <w:autoSpaceDE w:val="0"/>
              <w:autoSpaceDN w:val="0"/>
              <w:adjustRightInd w:val="0"/>
              <w:spacing w:after="0" w:line="240" w:lineRule="auto"/>
              <w:jc w:val="right"/>
              <w:rPr>
                <w:rFonts w:cstheme="minorHAnsi"/>
                <w:b/>
                <w:bCs/>
              </w:rPr>
            </w:pPr>
            <w:r w:rsidRPr="00237EE2">
              <w:rPr>
                <w:rFonts w:cstheme="minorHAnsi"/>
                <w:b/>
                <w:bCs/>
              </w:rPr>
              <w:t>2.3</w:t>
            </w:r>
          </w:p>
        </w:tc>
        <w:tc>
          <w:tcPr>
            <w:tcW w:w="500" w:type="pct"/>
            <w:tcBorders>
              <w:top w:val="single" w:sz="4" w:space="0" w:color="000000" w:themeColor="text1"/>
              <w:left w:val="nil"/>
              <w:bottom w:val="single" w:sz="12" w:space="0" w:color="000000" w:themeColor="text1"/>
            </w:tcBorders>
            <w:vAlign w:val="bottom"/>
          </w:tcPr>
          <w:p w14:paraId="2AFB835B" w14:textId="77777777" w:rsidR="008363D5" w:rsidRPr="00610B45" w:rsidRDefault="008363D5" w:rsidP="00685B62">
            <w:pPr>
              <w:widowControl w:val="0"/>
              <w:autoSpaceDE w:val="0"/>
              <w:autoSpaceDN w:val="0"/>
              <w:adjustRightInd w:val="0"/>
              <w:spacing w:after="0" w:line="240" w:lineRule="auto"/>
              <w:jc w:val="right"/>
              <w:rPr>
                <w:rFonts w:cstheme="minorHAnsi"/>
              </w:rPr>
            </w:pPr>
            <w:r w:rsidRPr="00610B45">
              <w:rPr>
                <w:rFonts w:cstheme="minorHAnsi"/>
              </w:rPr>
              <w:t>3.1</w:t>
            </w:r>
          </w:p>
        </w:tc>
      </w:tr>
    </w:tbl>
    <w:p w14:paraId="0E21AD21" w14:textId="0C8A05B3" w:rsidR="008363D5" w:rsidRPr="00462821" w:rsidRDefault="008363D5" w:rsidP="00D75CA8">
      <w:pPr>
        <w:widowControl w:val="0"/>
        <w:autoSpaceDE w:val="0"/>
        <w:autoSpaceDN w:val="0"/>
        <w:adjustRightInd w:val="0"/>
        <w:spacing w:after="0"/>
        <w:rPr>
          <w:rFonts w:cs="Times New Roman"/>
          <w:b/>
          <w:bCs/>
          <w:color w:val="002060"/>
        </w:rPr>
      </w:pPr>
    </w:p>
    <w:p w14:paraId="56FC4011" w14:textId="77777777" w:rsidR="008363D5" w:rsidRPr="00D80ACC" w:rsidRDefault="008363D5" w:rsidP="008363D5">
      <w:pPr>
        <w:widowControl w:val="0"/>
        <w:overflowPunct w:val="0"/>
        <w:autoSpaceDE w:val="0"/>
        <w:autoSpaceDN w:val="0"/>
        <w:adjustRightInd w:val="0"/>
        <w:spacing w:before="160" w:after="0" w:line="240" w:lineRule="auto"/>
        <w:rPr>
          <w:rFonts w:cstheme="minorHAnsi"/>
          <w:lang w:val="en-US"/>
        </w:rPr>
      </w:pPr>
      <w:r w:rsidRPr="00D80ACC">
        <w:rPr>
          <w:rFonts w:cstheme="minorHAnsi"/>
        </w:rPr>
        <w:t>Further disclosures, including details of the highest-paid Director, are included in the Directors’ remuneration report on pages</w:t>
      </w:r>
      <w:r>
        <w:rPr>
          <w:rFonts w:cstheme="minorHAnsi"/>
        </w:rPr>
        <w:t xml:space="preserve"> in the latest annual report</w:t>
      </w:r>
      <w:r w:rsidRPr="00D80ACC">
        <w:rPr>
          <w:rFonts w:cstheme="minorHAnsi"/>
        </w:rPr>
        <w:t>.</w:t>
      </w:r>
    </w:p>
    <w:p w14:paraId="2632A80A" w14:textId="77777777" w:rsidR="008363D5" w:rsidRPr="00D80ACC" w:rsidRDefault="008363D5" w:rsidP="008363D5">
      <w:pPr>
        <w:widowControl w:val="0"/>
        <w:autoSpaceDE w:val="0"/>
        <w:autoSpaceDN w:val="0"/>
        <w:adjustRightInd w:val="0"/>
        <w:spacing w:before="160" w:after="0" w:line="240" w:lineRule="auto"/>
        <w:rPr>
          <w:rFonts w:cstheme="minorHAnsi"/>
        </w:rPr>
      </w:pPr>
      <w:r w:rsidRPr="00D80ACC">
        <w:rPr>
          <w:rFonts w:cstheme="minorHAnsi"/>
          <w:b/>
          <w:bCs/>
        </w:rPr>
        <w:t>(ii) Key management remuneration</w:t>
      </w:r>
    </w:p>
    <w:p w14:paraId="006555A3" w14:textId="77777777" w:rsidR="008363D5" w:rsidRPr="00D80ACC" w:rsidRDefault="008363D5" w:rsidP="008363D5">
      <w:pPr>
        <w:widowControl w:val="0"/>
        <w:overflowPunct w:val="0"/>
        <w:autoSpaceDE w:val="0"/>
        <w:autoSpaceDN w:val="0"/>
        <w:adjustRightInd w:val="0"/>
        <w:spacing w:before="160" w:line="240" w:lineRule="auto"/>
        <w:rPr>
          <w:rFonts w:cstheme="minorHAnsi"/>
        </w:rPr>
      </w:pPr>
      <w:r w:rsidRPr="00D80ACC">
        <w:rPr>
          <w:rFonts w:cstheme="minorHAnsi"/>
        </w:rPr>
        <w:t>Compensation payable to key management for employee services is shown below. Key management represents members of the Group Management Board (excluding Directors).</w:t>
      </w:r>
    </w:p>
    <w:p w14:paraId="2609509D" w14:textId="77777777" w:rsidR="008363D5" w:rsidRPr="00462821" w:rsidRDefault="008363D5" w:rsidP="00D75CA8">
      <w:pPr>
        <w:widowControl w:val="0"/>
        <w:autoSpaceDE w:val="0"/>
        <w:autoSpaceDN w:val="0"/>
        <w:adjustRightInd w:val="0"/>
        <w:spacing w:after="0"/>
        <w:rPr>
          <w:rFonts w:cs="Times New Roman"/>
          <w:b/>
          <w:bCs/>
          <w:color w:val="002060"/>
        </w:rPr>
      </w:pPr>
    </w:p>
    <w:tbl>
      <w:tblPr>
        <w:tblW w:w="5000" w:type="pct"/>
        <w:tblCellMar>
          <w:left w:w="0" w:type="dxa"/>
          <w:right w:w="0" w:type="dxa"/>
        </w:tblCellMar>
        <w:tblLook w:val="04A0" w:firstRow="1" w:lastRow="0" w:firstColumn="1" w:lastColumn="0" w:noHBand="0" w:noVBand="1"/>
      </w:tblPr>
      <w:tblGrid>
        <w:gridCol w:w="8640"/>
        <w:gridCol w:w="1080"/>
        <w:gridCol w:w="1080"/>
      </w:tblGrid>
      <w:tr w:rsidR="008363D5" w:rsidRPr="00D80ACC" w14:paraId="2A04636D" w14:textId="77777777" w:rsidTr="00685B62">
        <w:tc>
          <w:tcPr>
            <w:tcW w:w="3999" w:type="pct"/>
            <w:vAlign w:val="bottom"/>
          </w:tcPr>
          <w:p w14:paraId="713D17CA" w14:textId="77777777" w:rsidR="008363D5" w:rsidRPr="00D80ACC" w:rsidRDefault="008363D5" w:rsidP="00685B62">
            <w:pPr>
              <w:widowControl w:val="0"/>
              <w:autoSpaceDE w:val="0"/>
              <w:autoSpaceDN w:val="0"/>
              <w:adjustRightInd w:val="0"/>
              <w:spacing w:after="0" w:line="240" w:lineRule="auto"/>
              <w:rPr>
                <w:rFonts w:cstheme="minorHAnsi"/>
              </w:rPr>
            </w:pPr>
          </w:p>
        </w:tc>
        <w:tc>
          <w:tcPr>
            <w:tcW w:w="500" w:type="pct"/>
            <w:vAlign w:val="bottom"/>
            <w:hideMark/>
          </w:tcPr>
          <w:p w14:paraId="4FC6A155"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20</w:t>
            </w:r>
            <w:r>
              <w:rPr>
                <w:rFonts w:cstheme="minorHAnsi"/>
                <w:b/>
                <w:bCs/>
              </w:rPr>
              <w:t>20</w:t>
            </w:r>
          </w:p>
        </w:tc>
        <w:tc>
          <w:tcPr>
            <w:tcW w:w="500" w:type="pct"/>
            <w:vAlign w:val="bottom"/>
          </w:tcPr>
          <w:p w14:paraId="12282AF3" w14:textId="77777777" w:rsidR="008363D5" w:rsidRPr="00610B45" w:rsidRDefault="008363D5" w:rsidP="00685B62">
            <w:pPr>
              <w:widowControl w:val="0"/>
              <w:autoSpaceDE w:val="0"/>
              <w:autoSpaceDN w:val="0"/>
              <w:adjustRightInd w:val="0"/>
              <w:spacing w:after="0" w:line="240" w:lineRule="auto"/>
              <w:jc w:val="right"/>
              <w:rPr>
                <w:rFonts w:cstheme="minorHAnsi"/>
              </w:rPr>
            </w:pPr>
            <w:r w:rsidRPr="00610B45">
              <w:rPr>
                <w:rFonts w:cstheme="minorHAnsi"/>
              </w:rPr>
              <w:t>2019</w:t>
            </w:r>
          </w:p>
        </w:tc>
      </w:tr>
      <w:tr w:rsidR="008363D5" w:rsidRPr="00D80ACC" w14:paraId="65D65B58" w14:textId="77777777" w:rsidTr="00685B62">
        <w:tc>
          <w:tcPr>
            <w:tcW w:w="3999" w:type="pct"/>
            <w:tcBorders>
              <w:top w:val="nil"/>
              <w:left w:val="nil"/>
              <w:bottom w:val="single" w:sz="4" w:space="0" w:color="000000" w:themeColor="text1"/>
              <w:right w:val="nil"/>
            </w:tcBorders>
            <w:vAlign w:val="bottom"/>
          </w:tcPr>
          <w:p w14:paraId="05671A74" w14:textId="77777777" w:rsidR="008363D5" w:rsidRPr="00D80ACC" w:rsidRDefault="008363D5" w:rsidP="00685B62">
            <w:pPr>
              <w:widowControl w:val="0"/>
              <w:autoSpaceDE w:val="0"/>
              <w:autoSpaceDN w:val="0"/>
              <w:adjustRightInd w:val="0"/>
              <w:spacing w:after="0" w:line="240" w:lineRule="auto"/>
              <w:rPr>
                <w:rFonts w:cstheme="minorHAnsi"/>
              </w:rPr>
            </w:pPr>
          </w:p>
        </w:tc>
        <w:tc>
          <w:tcPr>
            <w:tcW w:w="500" w:type="pct"/>
            <w:tcBorders>
              <w:top w:val="nil"/>
              <w:left w:val="nil"/>
              <w:bottom w:val="single" w:sz="4" w:space="0" w:color="000000" w:themeColor="text1"/>
              <w:right w:val="nil"/>
            </w:tcBorders>
            <w:vAlign w:val="bottom"/>
            <w:hideMark/>
          </w:tcPr>
          <w:p w14:paraId="5F6E7D0D"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£m</w:t>
            </w:r>
          </w:p>
        </w:tc>
        <w:tc>
          <w:tcPr>
            <w:tcW w:w="500" w:type="pct"/>
            <w:tcBorders>
              <w:top w:val="nil"/>
              <w:left w:val="nil"/>
              <w:bottom w:val="single" w:sz="4" w:space="0" w:color="000000" w:themeColor="text1"/>
              <w:right w:val="nil"/>
            </w:tcBorders>
            <w:vAlign w:val="bottom"/>
          </w:tcPr>
          <w:p w14:paraId="2CC03C4F" w14:textId="77777777" w:rsidR="008363D5" w:rsidRPr="00610B45" w:rsidRDefault="008363D5" w:rsidP="00685B62">
            <w:pPr>
              <w:widowControl w:val="0"/>
              <w:autoSpaceDE w:val="0"/>
              <w:autoSpaceDN w:val="0"/>
              <w:adjustRightInd w:val="0"/>
              <w:spacing w:after="0" w:line="240" w:lineRule="auto"/>
              <w:jc w:val="right"/>
              <w:rPr>
                <w:rFonts w:cstheme="minorHAnsi"/>
              </w:rPr>
            </w:pPr>
            <w:r w:rsidRPr="00610B45">
              <w:rPr>
                <w:rFonts w:cstheme="minorHAnsi"/>
              </w:rPr>
              <w:t>£m</w:t>
            </w:r>
          </w:p>
        </w:tc>
      </w:tr>
      <w:tr w:rsidR="008363D5" w:rsidRPr="00D80ACC" w14:paraId="5E7C90B6" w14:textId="77777777" w:rsidTr="00685B62">
        <w:tc>
          <w:tcPr>
            <w:tcW w:w="3999" w:type="pct"/>
            <w:tcBorders>
              <w:top w:val="single" w:sz="4" w:space="0" w:color="000000" w:themeColor="text1"/>
              <w:left w:val="nil"/>
              <w:bottom w:val="nil"/>
              <w:right w:val="nil"/>
            </w:tcBorders>
            <w:vAlign w:val="bottom"/>
            <w:hideMark/>
          </w:tcPr>
          <w:p w14:paraId="6B7B2518"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 xml:space="preserve">Salaries, </w:t>
            </w:r>
            <w:proofErr w:type="gramStart"/>
            <w:r w:rsidRPr="00D80ACC">
              <w:rPr>
                <w:rFonts w:cstheme="minorHAnsi"/>
              </w:rPr>
              <w:t>fees</w:t>
            </w:r>
            <w:proofErr w:type="gramEnd"/>
            <w:r w:rsidRPr="00D80ACC">
              <w:rPr>
                <w:rFonts w:cstheme="minorHAnsi"/>
              </w:rPr>
              <w:t xml:space="preserve"> and other short-term employee benefits</w:t>
            </w:r>
          </w:p>
        </w:tc>
        <w:tc>
          <w:tcPr>
            <w:tcW w:w="500" w:type="pct"/>
            <w:tcBorders>
              <w:top w:val="single" w:sz="4" w:space="0" w:color="000000" w:themeColor="text1"/>
              <w:left w:val="nil"/>
              <w:bottom w:val="nil"/>
              <w:right w:val="nil"/>
            </w:tcBorders>
            <w:vAlign w:val="bottom"/>
            <w:hideMark/>
          </w:tcPr>
          <w:p w14:paraId="6E4AF9A9"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1.</w:t>
            </w:r>
            <w:r>
              <w:rPr>
                <w:rFonts w:cstheme="minorHAnsi"/>
                <w:b/>
                <w:bCs/>
              </w:rPr>
              <w:t>4</w:t>
            </w:r>
          </w:p>
        </w:tc>
        <w:tc>
          <w:tcPr>
            <w:tcW w:w="500" w:type="pct"/>
            <w:tcBorders>
              <w:top w:val="single" w:sz="4" w:space="0" w:color="000000" w:themeColor="text1"/>
              <w:left w:val="nil"/>
              <w:bottom w:val="nil"/>
              <w:right w:val="nil"/>
            </w:tcBorders>
            <w:vAlign w:val="bottom"/>
          </w:tcPr>
          <w:p w14:paraId="4D58B09F" w14:textId="77777777" w:rsidR="008363D5" w:rsidRPr="00610B45" w:rsidRDefault="008363D5" w:rsidP="00685B62">
            <w:pPr>
              <w:widowControl w:val="0"/>
              <w:autoSpaceDE w:val="0"/>
              <w:autoSpaceDN w:val="0"/>
              <w:adjustRightInd w:val="0"/>
              <w:spacing w:after="0" w:line="240" w:lineRule="auto"/>
              <w:jc w:val="right"/>
              <w:rPr>
                <w:rFonts w:cstheme="minorHAnsi"/>
              </w:rPr>
            </w:pPr>
            <w:r w:rsidRPr="00610B45">
              <w:rPr>
                <w:rFonts w:cstheme="minorHAnsi"/>
              </w:rPr>
              <w:t>1.4</w:t>
            </w:r>
          </w:p>
        </w:tc>
      </w:tr>
      <w:tr w:rsidR="008363D5" w:rsidRPr="00D80ACC" w14:paraId="63AC1BD3" w14:textId="77777777" w:rsidTr="00685B62">
        <w:tc>
          <w:tcPr>
            <w:tcW w:w="3999" w:type="pct"/>
            <w:vAlign w:val="bottom"/>
            <w:hideMark/>
          </w:tcPr>
          <w:p w14:paraId="6BC884DC"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Share-based payment charge</w:t>
            </w:r>
          </w:p>
        </w:tc>
        <w:tc>
          <w:tcPr>
            <w:tcW w:w="500" w:type="pct"/>
            <w:vAlign w:val="bottom"/>
            <w:hideMark/>
          </w:tcPr>
          <w:p w14:paraId="069DD799"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0.1</w:t>
            </w:r>
          </w:p>
        </w:tc>
        <w:tc>
          <w:tcPr>
            <w:tcW w:w="500" w:type="pct"/>
            <w:vAlign w:val="bottom"/>
          </w:tcPr>
          <w:p w14:paraId="7064BCCE" w14:textId="77777777" w:rsidR="008363D5" w:rsidRPr="00610B45" w:rsidRDefault="008363D5" w:rsidP="00685B62">
            <w:pPr>
              <w:widowControl w:val="0"/>
              <w:autoSpaceDE w:val="0"/>
              <w:autoSpaceDN w:val="0"/>
              <w:adjustRightInd w:val="0"/>
              <w:spacing w:after="0" w:line="240" w:lineRule="auto"/>
              <w:jc w:val="right"/>
              <w:rPr>
                <w:rFonts w:cstheme="minorHAnsi"/>
              </w:rPr>
            </w:pPr>
            <w:r w:rsidRPr="00610B45">
              <w:rPr>
                <w:rFonts w:cstheme="minorHAnsi"/>
              </w:rPr>
              <w:t>0.1</w:t>
            </w:r>
          </w:p>
        </w:tc>
      </w:tr>
      <w:tr w:rsidR="008363D5" w:rsidRPr="00D80ACC" w14:paraId="59E9AFF4" w14:textId="77777777" w:rsidTr="00685B62">
        <w:tc>
          <w:tcPr>
            <w:tcW w:w="3999" w:type="pct"/>
            <w:tcBorders>
              <w:top w:val="nil"/>
              <w:left w:val="nil"/>
              <w:bottom w:val="single" w:sz="4" w:space="0" w:color="000000" w:themeColor="text1"/>
              <w:right w:val="nil"/>
            </w:tcBorders>
            <w:vAlign w:val="bottom"/>
            <w:hideMark/>
          </w:tcPr>
          <w:p w14:paraId="5CB46A8E"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rPr>
              <w:t>Post-employment benefits</w:t>
            </w:r>
          </w:p>
        </w:tc>
        <w:tc>
          <w:tcPr>
            <w:tcW w:w="500" w:type="pct"/>
            <w:tcBorders>
              <w:top w:val="nil"/>
              <w:left w:val="nil"/>
              <w:bottom w:val="single" w:sz="4" w:space="0" w:color="000000" w:themeColor="text1"/>
              <w:right w:val="nil"/>
            </w:tcBorders>
            <w:vAlign w:val="bottom"/>
            <w:hideMark/>
          </w:tcPr>
          <w:p w14:paraId="1068C1ED"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0.</w:t>
            </w:r>
            <w:r>
              <w:rPr>
                <w:rFonts w:cstheme="minorHAnsi"/>
                <w:b/>
                <w:bCs/>
              </w:rPr>
              <w:t>1</w:t>
            </w:r>
          </w:p>
        </w:tc>
        <w:tc>
          <w:tcPr>
            <w:tcW w:w="500" w:type="pct"/>
            <w:tcBorders>
              <w:top w:val="nil"/>
              <w:left w:val="nil"/>
              <w:bottom w:val="single" w:sz="4" w:space="0" w:color="000000" w:themeColor="text1"/>
              <w:right w:val="nil"/>
            </w:tcBorders>
            <w:vAlign w:val="bottom"/>
          </w:tcPr>
          <w:p w14:paraId="1DE449A3" w14:textId="77777777" w:rsidR="008363D5" w:rsidRPr="00610B45" w:rsidRDefault="008363D5" w:rsidP="00685B62">
            <w:pPr>
              <w:widowControl w:val="0"/>
              <w:autoSpaceDE w:val="0"/>
              <w:autoSpaceDN w:val="0"/>
              <w:adjustRightInd w:val="0"/>
              <w:spacing w:after="0" w:line="240" w:lineRule="auto"/>
              <w:jc w:val="right"/>
              <w:rPr>
                <w:rFonts w:cstheme="minorHAnsi"/>
              </w:rPr>
            </w:pPr>
            <w:r w:rsidRPr="00610B45">
              <w:rPr>
                <w:rFonts w:cstheme="minorHAnsi"/>
              </w:rPr>
              <w:t>0.2</w:t>
            </w:r>
          </w:p>
        </w:tc>
      </w:tr>
      <w:tr w:rsidR="008363D5" w:rsidRPr="00D80ACC" w14:paraId="3C77CC7F" w14:textId="77777777" w:rsidTr="00685B62">
        <w:tc>
          <w:tcPr>
            <w:tcW w:w="3999" w:type="pct"/>
            <w:tcBorders>
              <w:top w:val="single" w:sz="4" w:space="0" w:color="000000" w:themeColor="text1"/>
              <w:left w:val="nil"/>
              <w:bottom w:val="single" w:sz="12" w:space="0" w:color="000000" w:themeColor="text1"/>
              <w:right w:val="nil"/>
            </w:tcBorders>
            <w:vAlign w:val="bottom"/>
            <w:hideMark/>
          </w:tcPr>
          <w:p w14:paraId="75101741" w14:textId="77777777" w:rsidR="008363D5" w:rsidRPr="00D80ACC" w:rsidRDefault="008363D5" w:rsidP="00685B62">
            <w:pPr>
              <w:widowControl w:val="0"/>
              <w:autoSpaceDE w:val="0"/>
              <w:autoSpaceDN w:val="0"/>
              <w:adjustRightInd w:val="0"/>
              <w:spacing w:after="0" w:line="240" w:lineRule="auto"/>
              <w:rPr>
                <w:rFonts w:cstheme="minorHAnsi"/>
              </w:rPr>
            </w:pPr>
            <w:r w:rsidRPr="00D80ACC">
              <w:rPr>
                <w:rFonts w:cstheme="minorHAnsi"/>
                <w:b/>
                <w:bCs/>
              </w:rPr>
              <w:t>Total</w:t>
            </w:r>
          </w:p>
        </w:tc>
        <w:tc>
          <w:tcPr>
            <w:tcW w:w="500" w:type="pct"/>
            <w:tcBorders>
              <w:top w:val="single" w:sz="4" w:space="0" w:color="000000" w:themeColor="text1"/>
              <w:left w:val="nil"/>
              <w:bottom w:val="single" w:sz="12" w:space="0" w:color="000000" w:themeColor="text1"/>
              <w:right w:val="nil"/>
            </w:tcBorders>
            <w:vAlign w:val="bottom"/>
            <w:hideMark/>
          </w:tcPr>
          <w:p w14:paraId="0558FCDF" w14:textId="77777777" w:rsidR="008363D5" w:rsidRPr="00D80ACC" w:rsidRDefault="008363D5" w:rsidP="00685B62">
            <w:pPr>
              <w:widowControl w:val="0"/>
              <w:autoSpaceDE w:val="0"/>
              <w:autoSpaceDN w:val="0"/>
              <w:adjustRightInd w:val="0"/>
              <w:spacing w:after="0" w:line="240" w:lineRule="auto"/>
              <w:jc w:val="right"/>
              <w:rPr>
                <w:rFonts w:cstheme="minorHAnsi"/>
              </w:rPr>
            </w:pPr>
            <w:r w:rsidRPr="00D80ACC">
              <w:rPr>
                <w:rFonts w:cstheme="minorHAnsi"/>
                <w:b/>
                <w:bCs/>
              </w:rPr>
              <w:t>1.</w:t>
            </w:r>
            <w:r>
              <w:rPr>
                <w:rFonts w:cstheme="minorHAnsi"/>
                <w:b/>
                <w:bCs/>
              </w:rPr>
              <w:t>6</w:t>
            </w:r>
          </w:p>
        </w:tc>
        <w:tc>
          <w:tcPr>
            <w:tcW w:w="500" w:type="pct"/>
            <w:tcBorders>
              <w:top w:val="single" w:sz="4" w:space="0" w:color="000000" w:themeColor="text1"/>
              <w:left w:val="nil"/>
              <w:bottom w:val="single" w:sz="12" w:space="0" w:color="000000" w:themeColor="text1"/>
              <w:right w:val="nil"/>
            </w:tcBorders>
            <w:vAlign w:val="bottom"/>
          </w:tcPr>
          <w:p w14:paraId="41E9ABFC" w14:textId="77777777" w:rsidR="008363D5" w:rsidRPr="00610B45" w:rsidRDefault="008363D5" w:rsidP="00685B62">
            <w:pPr>
              <w:widowControl w:val="0"/>
              <w:autoSpaceDE w:val="0"/>
              <w:autoSpaceDN w:val="0"/>
              <w:adjustRightInd w:val="0"/>
              <w:spacing w:after="0" w:line="240" w:lineRule="auto"/>
              <w:jc w:val="right"/>
              <w:rPr>
                <w:rFonts w:cstheme="minorHAnsi"/>
              </w:rPr>
            </w:pPr>
            <w:r w:rsidRPr="00610B45">
              <w:rPr>
                <w:rFonts w:cstheme="minorHAnsi"/>
              </w:rPr>
              <w:t>1.7</w:t>
            </w:r>
          </w:p>
        </w:tc>
      </w:tr>
    </w:tbl>
    <w:p w14:paraId="579815A7" w14:textId="5AECF7D5" w:rsidR="00D75CA8" w:rsidRPr="00462821" w:rsidRDefault="00D75CA8" w:rsidP="00D75CA8">
      <w:pPr>
        <w:widowControl w:val="0"/>
        <w:autoSpaceDE w:val="0"/>
        <w:autoSpaceDN w:val="0"/>
        <w:adjustRightInd w:val="0"/>
        <w:spacing w:after="0"/>
        <w:rPr>
          <w:rFonts w:cs="Times New Roman"/>
          <w:b/>
          <w:bCs/>
          <w:color w:val="002060"/>
          <w:sz w:val="20"/>
          <w:szCs w:val="20"/>
        </w:rPr>
      </w:pPr>
    </w:p>
    <w:p w14:paraId="578CB319" w14:textId="77777777" w:rsidR="008363D5" w:rsidRDefault="008363D5" w:rsidP="00462821">
      <w:pPr>
        <w:widowControl w:val="0"/>
        <w:overflowPunct w:val="0"/>
        <w:autoSpaceDE w:val="0"/>
        <w:autoSpaceDN w:val="0"/>
        <w:adjustRightInd w:val="0"/>
        <w:spacing w:after="0" w:line="240" w:lineRule="auto"/>
        <w:rPr>
          <w:rFonts w:cstheme="minorHAnsi"/>
        </w:rPr>
      </w:pPr>
      <w:r>
        <w:rPr>
          <w:rFonts w:cstheme="minorHAnsi"/>
        </w:rPr>
        <w:t xml:space="preserve">Transactions between the Company and its subsidiary undertakings, which are related parties, have been eliminated on </w:t>
      </w:r>
      <w:r>
        <w:rPr>
          <w:rFonts w:cstheme="minorHAnsi"/>
        </w:rPr>
        <w:lastRenderedPageBreak/>
        <w:t>consolidation and are not disclosed in this note. There were no other related party transactions requiring disclosure.</w:t>
      </w:r>
    </w:p>
    <w:p w14:paraId="4BBFB2CD" w14:textId="77777777" w:rsidR="008363D5" w:rsidRDefault="008363D5" w:rsidP="00462821">
      <w:pPr>
        <w:widowControl w:val="0"/>
        <w:overflowPunct w:val="0"/>
        <w:autoSpaceDE w:val="0"/>
        <w:autoSpaceDN w:val="0"/>
        <w:adjustRightInd w:val="0"/>
        <w:spacing w:after="0" w:line="240" w:lineRule="auto"/>
        <w:rPr>
          <w:rFonts w:cstheme="minorHAnsi"/>
        </w:rPr>
      </w:pPr>
    </w:p>
    <w:p w14:paraId="143B51D2" w14:textId="77777777" w:rsidR="008363D5" w:rsidRPr="0069297D" w:rsidRDefault="008363D5" w:rsidP="00462821">
      <w:pPr>
        <w:spacing w:after="120" w:line="240" w:lineRule="auto"/>
        <w:jc w:val="both"/>
        <w:rPr>
          <w:rFonts w:cstheme="minorHAnsi"/>
          <w:b/>
          <w:color w:val="003366"/>
          <w:sz w:val="24"/>
          <w:szCs w:val="24"/>
        </w:rPr>
      </w:pPr>
      <w:r w:rsidRPr="0069297D">
        <w:rPr>
          <w:rFonts w:cstheme="minorHAnsi"/>
          <w:b/>
          <w:color w:val="003366"/>
          <w:sz w:val="24"/>
          <w:szCs w:val="24"/>
        </w:rPr>
        <w:t>Note 1</w:t>
      </w:r>
      <w:r>
        <w:rPr>
          <w:rFonts w:cstheme="minorHAnsi"/>
          <w:b/>
          <w:color w:val="003366"/>
          <w:sz w:val="24"/>
          <w:szCs w:val="24"/>
        </w:rPr>
        <w:t>0</w:t>
      </w:r>
      <w:r w:rsidRPr="0069297D">
        <w:rPr>
          <w:rFonts w:cstheme="minorHAnsi"/>
          <w:b/>
          <w:color w:val="003366"/>
          <w:sz w:val="24"/>
          <w:szCs w:val="24"/>
        </w:rPr>
        <w:t xml:space="preserve"> – Annual General Meeting</w:t>
      </w:r>
    </w:p>
    <w:p w14:paraId="42BE959E" w14:textId="77777777" w:rsidR="008363D5" w:rsidRPr="0069297D" w:rsidRDefault="008363D5" w:rsidP="00462821">
      <w:pPr>
        <w:autoSpaceDE w:val="0"/>
        <w:autoSpaceDN w:val="0"/>
        <w:adjustRightInd w:val="0"/>
        <w:spacing w:after="120" w:line="240" w:lineRule="auto"/>
        <w:ind w:right="-199"/>
        <w:jc w:val="both"/>
        <w:rPr>
          <w:rFonts w:cstheme="minorHAnsi"/>
          <w:bCs/>
        </w:rPr>
      </w:pPr>
      <w:r w:rsidRPr="0069297D">
        <w:rPr>
          <w:rFonts w:cstheme="minorHAnsi"/>
          <w:bCs/>
        </w:rPr>
        <w:t>The 10</w:t>
      </w:r>
      <w:r>
        <w:rPr>
          <w:rFonts w:cstheme="minorHAnsi"/>
          <w:bCs/>
        </w:rPr>
        <w:t>9</w:t>
      </w:r>
      <w:r w:rsidRPr="0069297D">
        <w:rPr>
          <w:rFonts w:cstheme="minorHAnsi"/>
          <w:bCs/>
          <w:vertAlign w:val="superscript"/>
        </w:rPr>
        <w:t>th</w:t>
      </w:r>
      <w:r w:rsidRPr="0069297D">
        <w:rPr>
          <w:rFonts w:cstheme="minorHAnsi"/>
          <w:bCs/>
        </w:rPr>
        <w:t xml:space="preserve"> Annual General Meeting will be held at </w:t>
      </w:r>
      <w:r>
        <w:rPr>
          <w:rFonts w:cstheme="minorHAnsi"/>
          <w:bCs/>
        </w:rPr>
        <w:t>the Company’s Head Office, 45 Moorfields London, EC2Y 9AE</w:t>
      </w:r>
      <w:r w:rsidRPr="0069297D">
        <w:rPr>
          <w:rFonts w:cstheme="minorHAnsi"/>
          <w:bCs/>
        </w:rPr>
        <w:t xml:space="preserve"> on Wednesday </w:t>
      </w:r>
      <w:r>
        <w:rPr>
          <w:rFonts w:cstheme="minorHAnsi"/>
          <w:bCs/>
        </w:rPr>
        <w:t>5</w:t>
      </w:r>
      <w:r w:rsidRPr="0069297D">
        <w:rPr>
          <w:rFonts w:cstheme="minorHAnsi"/>
          <w:bCs/>
          <w:vertAlign w:val="superscript"/>
        </w:rPr>
        <w:t>th</w:t>
      </w:r>
      <w:r w:rsidRPr="0069297D">
        <w:rPr>
          <w:rFonts w:cstheme="minorHAnsi"/>
          <w:bCs/>
        </w:rPr>
        <w:t xml:space="preserve"> May 202</w:t>
      </w:r>
      <w:r>
        <w:rPr>
          <w:rFonts w:cstheme="minorHAnsi"/>
          <w:bCs/>
        </w:rPr>
        <w:t>1</w:t>
      </w:r>
      <w:r w:rsidRPr="0069297D">
        <w:rPr>
          <w:rFonts w:cstheme="minorHAnsi"/>
          <w:bCs/>
        </w:rPr>
        <w:t xml:space="preserve"> at </w:t>
      </w:r>
      <w:r w:rsidRPr="004C1136">
        <w:rPr>
          <w:rFonts w:cstheme="minorHAnsi"/>
          <w:bCs/>
        </w:rPr>
        <w:t>10.00 am.</w:t>
      </w:r>
    </w:p>
    <w:p w14:paraId="4FEC7C19" w14:textId="77777777" w:rsidR="008363D5" w:rsidRDefault="008363D5" w:rsidP="00462821">
      <w:pPr>
        <w:widowControl w:val="0"/>
        <w:autoSpaceDE w:val="0"/>
        <w:autoSpaceDN w:val="0"/>
        <w:adjustRightInd w:val="0"/>
        <w:spacing w:after="0"/>
        <w:rPr>
          <w:rFonts w:cs="Times New Roman"/>
          <w:b/>
          <w:bCs/>
          <w:color w:val="002060"/>
          <w:sz w:val="28"/>
          <w:szCs w:val="28"/>
        </w:rPr>
      </w:pPr>
    </w:p>
    <w:p w14:paraId="14139B09" w14:textId="77777777" w:rsidR="00D75CA8" w:rsidRDefault="00D75CA8" w:rsidP="00462821">
      <w:pPr>
        <w:widowControl w:val="0"/>
        <w:autoSpaceDE w:val="0"/>
        <w:autoSpaceDN w:val="0"/>
        <w:adjustRightInd w:val="0"/>
        <w:rPr>
          <w:rFonts w:cs="Times New Roman"/>
          <w:b/>
          <w:bCs/>
          <w:color w:val="002060"/>
          <w:sz w:val="28"/>
          <w:szCs w:val="28"/>
        </w:rPr>
      </w:pPr>
    </w:p>
    <w:sectPr w:rsidR="00D75CA8" w:rsidSect="0069297D">
      <w:pgSz w:w="12240" w:h="15840" w:code="1"/>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AvenirNext LT Pro Regular">
    <w:panose1 w:val="020B0504020202020204"/>
    <w:charset w:val="00"/>
    <w:family w:val="swiss"/>
    <w:notTrueType/>
    <w:pitch w:val="variable"/>
    <w:sig w:usb0="800000AF" w:usb1="50002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9"/>
    <w:multiLevelType w:val="hybridMultilevel"/>
    <w:tmpl w:val="00004823"/>
    <w:lvl w:ilvl="0" w:tplc="000018BE">
      <w:start w:val="1"/>
      <w:numFmt w:val="bullet"/>
      <w:lvlText w:val="&gt;&gt;"/>
      <w:lvlJc w:val="left"/>
      <w:pPr>
        <w:tabs>
          <w:tab w:val="num" w:pos="720"/>
        </w:tabs>
        <w:ind w:left="720" w:hanging="360"/>
      </w:pPr>
    </w:lvl>
    <w:lvl w:ilvl="1" w:tplc="00006784">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74D"/>
    <w:multiLevelType w:val="hybridMultilevel"/>
    <w:tmpl w:val="00004DC8"/>
    <w:lvl w:ilvl="0" w:tplc="0000644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BB3"/>
    <w:multiLevelType w:val="hybridMultilevel"/>
    <w:tmpl w:val="00002EA6"/>
    <w:lvl w:ilvl="0" w:tplc="000012D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153C"/>
    <w:multiLevelType w:val="hybridMultilevel"/>
    <w:tmpl w:val="00007E87"/>
    <w:lvl w:ilvl="0" w:tplc="0000390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1649"/>
    <w:multiLevelType w:val="hybridMultilevel"/>
    <w:tmpl w:val="00006DF1"/>
    <w:lvl w:ilvl="0" w:tplc="00005AF1">
      <w:start w:val="1"/>
      <w:numFmt w:val="bullet"/>
      <w:lvlText w:val=" "/>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305E"/>
    <w:multiLevelType w:val="hybridMultilevel"/>
    <w:tmpl w:val="0000440D"/>
    <w:lvl w:ilvl="0" w:tplc="0000491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41BB"/>
    <w:multiLevelType w:val="hybridMultilevel"/>
    <w:tmpl w:val="000026E9"/>
    <w:lvl w:ilvl="0" w:tplc="000001E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4AE1"/>
    <w:multiLevelType w:val="hybridMultilevel"/>
    <w:tmpl w:val="00003D6C"/>
    <w:lvl w:ilvl="0" w:tplc="00002CD6">
      <w:start w:val="1"/>
      <w:numFmt w:val="bullet"/>
      <w:lvlText w:val="1"/>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4D06"/>
    <w:multiLevelType w:val="hybridMultilevel"/>
    <w:tmpl w:val="00004DB7"/>
    <w:lvl w:ilvl="0" w:tplc="0000154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54DE"/>
    <w:multiLevelType w:val="hybridMultilevel"/>
    <w:tmpl w:val="000039B3"/>
    <w:lvl w:ilvl="0" w:tplc="00002D1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66BB"/>
    <w:multiLevelType w:val="hybridMultilevel"/>
    <w:tmpl w:val="0000428B"/>
    <w:lvl w:ilvl="0" w:tplc="000026A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701F"/>
    <w:multiLevelType w:val="hybridMultilevel"/>
    <w:tmpl w:val="00005D03"/>
    <w:lvl w:ilvl="0" w:tplc="00007A5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72AE"/>
    <w:multiLevelType w:val="hybridMultilevel"/>
    <w:tmpl w:val="00006952"/>
    <w:lvl w:ilvl="0" w:tplc="00005F9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3022021"/>
    <w:multiLevelType w:val="hybridMultilevel"/>
    <w:tmpl w:val="485EC424"/>
    <w:lvl w:ilvl="0" w:tplc="08090001">
      <w:start w:val="1"/>
      <w:numFmt w:val="bullet"/>
      <w:lvlText w:val=""/>
      <w:lvlJc w:val="left"/>
      <w:pPr>
        <w:ind w:left="1215" w:hanging="495"/>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0AC26632"/>
    <w:multiLevelType w:val="hybridMultilevel"/>
    <w:tmpl w:val="A9CC7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8424EF"/>
    <w:multiLevelType w:val="hybridMultilevel"/>
    <w:tmpl w:val="5E263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0739E7"/>
    <w:multiLevelType w:val="hybridMultilevel"/>
    <w:tmpl w:val="2D8CA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CAA4DAE"/>
    <w:multiLevelType w:val="hybridMultilevel"/>
    <w:tmpl w:val="807A5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A15E6E"/>
    <w:multiLevelType w:val="hybridMultilevel"/>
    <w:tmpl w:val="CDA02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5265D2"/>
    <w:multiLevelType w:val="hybridMultilevel"/>
    <w:tmpl w:val="8EDE593C"/>
    <w:lvl w:ilvl="0" w:tplc="F454F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416CBB"/>
    <w:multiLevelType w:val="hybridMultilevel"/>
    <w:tmpl w:val="D2441E86"/>
    <w:lvl w:ilvl="0" w:tplc="997A51F6">
      <w:start w:val="1"/>
      <w:numFmt w:val="decimal"/>
      <w:lvlText w:val="%1"/>
      <w:lvlJc w:val="left"/>
      <w:pPr>
        <w:ind w:left="720" w:hanging="360"/>
      </w:pPr>
      <w:rPr>
        <w:rFonts w:ascii="Tahoma" w:eastAsia="Times New Roman"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C473B8"/>
    <w:multiLevelType w:val="hybridMultilevel"/>
    <w:tmpl w:val="434E7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ED388A"/>
    <w:multiLevelType w:val="hybridMultilevel"/>
    <w:tmpl w:val="5D6A06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E3B5749"/>
    <w:multiLevelType w:val="hybridMultilevel"/>
    <w:tmpl w:val="8CB476F8"/>
    <w:lvl w:ilvl="0" w:tplc="997A51F6">
      <w:start w:val="1"/>
      <w:numFmt w:val="decimal"/>
      <w:lvlText w:val="%1"/>
      <w:lvlJc w:val="left"/>
      <w:pPr>
        <w:ind w:left="720" w:hanging="360"/>
      </w:pPr>
      <w:rPr>
        <w:rFonts w:ascii="Tahoma" w:eastAsia="Times New Roman"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3C673B"/>
    <w:multiLevelType w:val="hybridMultilevel"/>
    <w:tmpl w:val="229AC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0A095D"/>
    <w:multiLevelType w:val="hybridMultilevel"/>
    <w:tmpl w:val="D8EC7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D02E42"/>
    <w:multiLevelType w:val="hybridMultilevel"/>
    <w:tmpl w:val="F80C950E"/>
    <w:lvl w:ilvl="0" w:tplc="255C954C">
      <w:start w:val="16"/>
      <w:numFmt w:val="bullet"/>
      <w:lvlText w:val="-"/>
      <w:lvlJc w:val="left"/>
      <w:pPr>
        <w:ind w:left="645" w:hanging="360"/>
      </w:pPr>
      <w:rPr>
        <w:rFonts w:ascii="Tahoma" w:eastAsiaTheme="minorHAnsi" w:hAnsi="Tahoma" w:cs="Tahoma" w:hint="default"/>
      </w:rPr>
    </w:lvl>
    <w:lvl w:ilvl="1" w:tplc="08090003">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abstractNumId w:val="16"/>
  </w:num>
  <w:num w:numId="2">
    <w:abstractNumId w:val="20"/>
  </w:num>
  <w:num w:numId="3">
    <w:abstractNumId w:val="27"/>
  </w:num>
  <w:num w:numId="4">
    <w:abstractNumId w:val="18"/>
  </w:num>
  <w:num w:numId="5">
    <w:abstractNumId w:val="14"/>
  </w:num>
  <w:num w:numId="6">
    <w:abstractNumId w:val="23"/>
  </w:num>
  <w:num w:numId="7">
    <w:abstractNumId w:val="19"/>
  </w:num>
  <w:num w:numId="8">
    <w:abstractNumId w:val="22"/>
  </w:num>
  <w:num w:numId="9">
    <w:abstractNumId w:val="0"/>
  </w:num>
  <w:num w:numId="10">
    <w:abstractNumId w:val="8"/>
  </w:num>
  <w:num w:numId="11">
    <w:abstractNumId w:val="13"/>
  </w:num>
  <w:num w:numId="12">
    <w:abstractNumId w:val="5"/>
  </w:num>
  <w:num w:numId="13">
    <w:abstractNumId w:val="7"/>
  </w:num>
  <w:num w:numId="14">
    <w:abstractNumId w:val="2"/>
  </w:num>
  <w:num w:numId="15">
    <w:abstractNumId w:val="4"/>
  </w:num>
  <w:num w:numId="16">
    <w:abstractNumId w:val="3"/>
  </w:num>
  <w:num w:numId="17">
    <w:abstractNumId w:val="6"/>
  </w:num>
  <w:num w:numId="18">
    <w:abstractNumId w:val="9"/>
  </w:num>
  <w:num w:numId="19">
    <w:abstractNumId w:val="10"/>
  </w:num>
  <w:num w:numId="20">
    <w:abstractNumId w:val="1"/>
  </w:num>
  <w:num w:numId="21">
    <w:abstractNumId w:val="11"/>
  </w:num>
  <w:num w:numId="22">
    <w:abstractNumId w:val="12"/>
  </w:num>
  <w:num w:numId="23">
    <w:abstractNumId w:val="17"/>
  </w:num>
  <w:num w:numId="24">
    <w:abstractNumId w:val="21"/>
  </w:num>
  <w:num w:numId="25">
    <w:abstractNumId w:val="24"/>
  </w:num>
  <w:num w:numId="26">
    <w:abstractNumId w:val="26"/>
  </w:num>
  <w:num w:numId="27">
    <w:abstractNumId w:val="25"/>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B6A"/>
    <w:rsid w:val="000028B3"/>
    <w:rsid w:val="0001390A"/>
    <w:rsid w:val="00013F83"/>
    <w:rsid w:val="00020D6C"/>
    <w:rsid w:val="00021BEA"/>
    <w:rsid w:val="00021EE6"/>
    <w:rsid w:val="00027595"/>
    <w:rsid w:val="00027779"/>
    <w:rsid w:val="0003565B"/>
    <w:rsid w:val="00037FAF"/>
    <w:rsid w:val="00044334"/>
    <w:rsid w:val="00046629"/>
    <w:rsid w:val="00046E0F"/>
    <w:rsid w:val="000540F3"/>
    <w:rsid w:val="00054351"/>
    <w:rsid w:val="000566A1"/>
    <w:rsid w:val="00061ADD"/>
    <w:rsid w:val="000720C9"/>
    <w:rsid w:val="0007335E"/>
    <w:rsid w:val="000769FE"/>
    <w:rsid w:val="00081980"/>
    <w:rsid w:val="000849B1"/>
    <w:rsid w:val="00090B05"/>
    <w:rsid w:val="00094CF8"/>
    <w:rsid w:val="00097661"/>
    <w:rsid w:val="000A0118"/>
    <w:rsid w:val="000A2F0E"/>
    <w:rsid w:val="000A4F61"/>
    <w:rsid w:val="000B0390"/>
    <w:rsid w:val="000B119C"/>
    <w:rsid w:val="000B17B8"/>
    <w:rsid w:val="000B5A0F"/>
    <w:rsid w:val="000F3929"/>
    <w:rsid w:val="00100A29"/>
    <w:rsid w:val="00102BBF"/>
    <w:rsid w:val="001042FD"/>
    <w:rsid w:val="00104719"/>
    <w:rsid w:val="001058EF"/>
    <w:rsid w:val="00110464"/>
    <w:rsid w:val="00112537"/>
    <w:rsid w:val="001133A8"/>
    <w:rsid w:val="00114EDF"/>
    <w:rsid w:val="00115B95"/>
    <w:rsid w:val="00120255"/>
    <w:rsid w:val="00131094"/>
    <w:rsid w:val="001337E8"/>
    <w:rsid w:val="00133960"/>
    <w:rsid w:val="0013794B"/>
    <w:rsid w:val="00141D59"/>
    <w:rsid w:val="00143509"/>
    <w:rsid w:val="001435E6"/>
    <w:rsid w:val="00146575"/>
    <w:rsid w:val="001467E9"/>
    <w:rsid w:val="001511C7"/>
    <w:rsid w:val="00157AA4"/>
    <w:rsid w:val="00163DED"/>
    <w:rsid w:val="0016414A"/>
    <w:rsid w:val="00165B19"/>
    <w:rsid w:val="00166547"/>
    <w:rsid w:val="00171D5C"/>
    <w:rsid w:val="0017313B"/>
    <w:rsid w:val="001749AF"/>
    <w:rsid w:val="00177E5B"/>
    <w:rsid w:val="00182D80"/>
    <w:rsid w:val="00183FAD"/>
    <w:rsid w:val="001906E6"/>
    <w:rsid w:val="0019162A"/>
    <w:rsid w:val="001A02F5"/>
    <w:rsid w:val="001A5F03"/>
    <w:rsid w:val="001A683E"/>
    <w:rsid w:val="001B0297"/>
    <w:rsid w:val="001B2DA0"/>
    <w:rsid w:val="001B4794"/>
    <w:rsid w:val="001C03D1"/>
    <w:rsid w:val="001C1D75"/>
    <w:rsid w:val="001C1FA2"/>
    <w:rsid w:val="001C26DD"/>
    <w:rsid w:val="001C30AF"/>
    <w:rsid w:val="001C70FE"/>
    <w:rsid w:val="001C7268"/>
    <w:rsid w:val="001D290C"/>
    <w:rsid w:val="001E3FCE"/>
    <w:rsid w:val="001F2FB5"/>
    <w:rsid w:val="001F3F6A"/>
    <w:rsid w:val="002007C8"/>
    <w:rsid w:val="00203857"/>
    <w:rsid w:val="00204C5B"/>
    <w:rsid w:val="002116F6"/>
    <w:rsid w:val="0021207F"/>
    <w:rsid w:val="002204F6"/>
    <w:rsid w:val="002220D0"/>
    <w:rsid w:val="00222BBF"/>
    <w:rsid w:val="00222FD9"/>
    <w:rsid w:val="002329EA"/>
    <w:rsid w:val="00233493"/>
    <w:rsid w:val="00235D4A"/>
    <w:rsid w:val="002406C8"/>
    <w:rsid w:val="002445EC"/>
    <w:rsid w:val="00246DF2"/>
    <w:rsid w:val="002512DC"/>
    <w:rsid w:val="002554D6"/>
    <w:rsid w:val="00256870"/>
    <w:rsid w:val="00256E68"/>
    <w:rsid w:val="00261E93"/>
    <w:rsid w:val="0026464F"/>
    <w:rsid w:val="0026469E"/>
    <w:rsid w:val="00267298"/>
    <w:rsid w:val="00267CB4"/>
    <w:rsid w:val="00271814"/>
    <w:rsid w:val="002762F2"/>
    <w:rsid w:val="002779E4"/>
    <w:rsid w:val="00287807"/>
    <w:rsid w:val="002904BD"/>
    <w:rsid w:val="00291787"/>
    <w:rsid w:val="00294F4A"/>
    <w:rsid w:val="00297DD4"/>
    <w:rsid w:val="002B2C91"/>
    <w:rsid w:val="002B330E"/>
    <w:rsid w:val="002B446A"/>
    <w:rsid w:val="002C38ED"/>
    <w:rsid w:val="002D02B4"/>
    <w:rsid w:val="002D0B45"/>
    <w:rsid w:val="002D6094"/>
    <w:rsid w:val="002E41E5"/>
    <w:rsid w:val="002F20F9"/>
    <w:rsid w:val="002F3261"/>
    <w:rsid w:val="002F73BB"/>
    <w:rsid w:val="00302F70"/>
    <w:rsid w:val="00303057"/>
    <w:rsid w:val="00303EE8"/>
    <w:rsid w:val="00304A15"/>
    <w:rsid w:val="003063F7"/>
    <w:rsid w:val="0031455C"/>
    <w:rsid w:val="003156C0"/>
    <w:rsid w:val="00316D66"/>
    <w:rsid w:val="00323B3C"/>
    <w:rsid w:val="003249AA"/>
    <w:rsid w:val="00325B47"/>
    <w:rsid w:val="0032721F"/>
    <w:rsid w:val="00334755"/>
    <w:rsid w:val="00335B05"/>
    <w:rsid w:val="00336064"/>
    <w:rsid w:val="00337514"/>
    <w:rsid w:val="00344285"/>
    <w:rsid w:val="00346071"/>
    <w:rsid w:val="00351398"/>
    <w:rsid w:val="0035239D"/>
    <w:rsid w:val="0035395C"/>
    <w:rsid w:val="00353BAD"/>
    <w:rsid w:val="00356F3E"/>
    <w:rsid w:val="00360AA5"/>
    <w:rsid w:val="003632E5"/>
    <w:rsid w:val="00367E8B"/>
    <w:rsid w:val="00370977"/>
    <w:rsid w:val="00371616"/>
    <w:rsid w:val="00380894"/>
    <w:rsid w:val="00380F3F"/>
    <w:rsid w:val="00381EA0"/>
    <w:rsid w:val="00386912"/>
    <w:rsid w:val="0038694B"/>
    <w:rsid w:val="0038783C"/>
    <w:rsid w:val="003904C0"/>
    <w:rsid w:val="00390C18"/>
    <w:rsid w:val="00392875"/>
    <w:rsid w:val="00392923"/>
    <w:rsid w:val="00392F3F"/>
    <w:rsid w:val="00395E86"/>
    <w:rsid w:val="00397736"/>
    <w:rsid w:val="003A020F"/>
    <w:rsid w:val="003A3087"/>
    <w:rsid w:val="003A673C"/>
    <w:rsid w:val="003A6B6A"/>
    <w:rsid w:val="003B689E"/>
    <w:rsid w:val="003B6B2A"/>
    <w:rsid w:val="003B6BC2"/>
    <w:rsid w:val="003B6C7C"/>
    <w:rsid w:val="003C1F68"/>
    <w:rsid w:val="003C5524"/>
    <w:rsid w:val="003C5D7B"/>
    <w:rsid w:val="003C76C6"/>
    <w:rsid w:val="003C78C0"/>
    <w:rsid w:val="003D1D04"/>
    <w:rsid w:val="003D1FD4"/>
    <w:rsid w:val="003D4597"/>
    <w:rsid w:val="003E05C9"/>
    <w:rsid w:val="003E2523"/>
    <w:rsid w:val="003E3971"/>
    <w:rsid w:val="003E7E2E"/>
    <w:rsid w:val="003F3509"/>
    <w:rsid w:val="003F4A90"/>
    <w:rsid w:val="003F7757"/>
    <w:rsid w:val="00400702"/>
    <w:rsid w:val="004013F5"/>
    <w:rsid w:val="004058A7"/>
    <w:rsid w:val="00405DBC"/>
    <w:rsid w:val="00416558"/>
    <w:rsid w:val="00421B02"/>
    <w:rsid w:val="0042308A"/>
    <w:rsid w:val="00425324"/>
    <w:rsid w:val="00430D7F"/>
    <w:rsid w:val="004355A4"/>
    <w:rsid w:val="004367A6"/>
    <w:rsid w:val="00446DBE"/>
    <w:rsid w:val="00450DBA"/>
    <w:rsid w:val="00452F20"/>
    <w:rsid w:val="004571CA"/>
    <w:rsid w:val="00457581"/>
    <w:rsid w:val="004606E5"/>
    <w:rsid w:val="00460D0F"/>
    <w:rsid w:val="00461557"/>
    <w:rsid w:val="00462379"/>
    <w:rsid w:val="00462821"/>
    <w:rsid w:val="00462CCA"/>
    <w:rsid w:val="004726F4"/>
    <w:rsid w:val="00475AA5"/>
    <w:rsid w:val="00493C5B"/>
    <w:rsid w:val="00493E42"/>
    <w:rsid w:val="004A3A15"/>
    <w:rsid w:val="004B2952"/>
    <w:rsid w:val="004B5428"/>
    <w:rsid w:val="004B6914"/>
    <w:rsid w:val="004C11EB"/>
    <w:rsid w:val="004C2FA4"/>
    <w:rsid w:val="004C31C0"/>
    <w:rsid w:val="004C4EFF"/>
    <w:rsid w:val="004C64B6"/>
    <w:rsid w:val="004D04F6"/>
    <w:rsid w:val="004D0505"/>
    <w:rsid w:val="004D0AB0"/>
    <w:rsid w:val="004D0DA8"/>
    <w:rsid w:val="004D4B45"/>
    <w:rsid w:val="004E7DBE"/>
    <w:rsid w:val="004F1957"/>
    <w:rsid w:val="00500B9C"/>
    <w:rsid w:val="00504D6F"/>
    <w:rsid w:val="005055E2"/>
    <w:rsid w:val="005056AE"/>
    <w:rsid w:val="00505A01"/>
    <w:rsid w:val="00506F86"/>
    <w:rsid w:val="00514558"/>
    <w:rsid w:val="00516229"/>
    <w:rsid w:val="00522BC7"/>
    <w:rsid w:val="00523A8F"/>
    <w:rsid w:val="005270F4"/>
    <w:rsid w:val="00530425"/>
    <w:rsid w:val="0053093C"/>
    <w:rsid w:val="005309EF"/>
    <w:rsid w:val="00531708"/>
    <w:rsid w:val="0053312F"/>
    <w:rsid w:val="0053555F"/>
    <w:rsid w:val="0054066A"/>
    <w:rsid w:val="005440F6"/>
    <w:rsid w:val="00544513"/>
    <w:rsid w:val="0054794F"/>
    <w:rsid w:val="00547AF6"/>
    <w:rsid w:val="005516CD"/>
    <w:rsid w:val="00553B3B"/>
    <w:rsid w:val="00555831"/>
    <w:rsid w:val="005610A7"/>
    <w:rsid w:val="00563673"/>
    <w:rsid w:val="00563AEA"/>
    <w:rsid w:val="00564524"/>
    <w:rsid w:val="0056479D"/>
    <w:rsid w:val="005659A9"/>
    <w:rsid w:val="00573A95"/>
    <w:rsid w:val="0057469F"/>
    <w:rsid w:val="00574EA9"/>
    <w:rsid w:val="00577196"/>
    <w:rsid w:val="005805B6"/>
    <w:rsid w:val="00580C3C"/>
    <w:rsid w:val="0058178F"/>
    <w:rsid w:val="00587159"/>
    <w:rsid w:val="00590D11"/>
    <w:rsid w:val="00592DD5"/>
    <w:rsid w:val="00593A33"/>
    <w:rsid w:val="00594C18"/>
    <w:rsid w:val="005B058E"/>
    <w:rsid w:val="005B3DF0"/>
    <w:rsid w:val="005B3E78"/>
    <w:rsid w:val="005C56AF"/>
    <w:rsid w:val="005C5B1C"/>
    <w:rsid w:val="005C6096"/>
    <w:rsid w:val="005D04AA"/>
    <w:rsid w:val="005D2521"/>
    <w:rsid w:val="005D6007"/>
    <w:rsid w:val="005E56B2"/>
    <w:rsid w:val="005F2936"/>
    <w:rsid w:val="005F3D71"/>
    <w:rsid w:val="005F5495"/>
    <w:rsid w:val="005F7AC3"/>
    <w:rsid w:val="0060052A"/>
    <w:rsid w:val="006013E6"/>
    <w:rsid w:val="0060192C"/>
    <w:rsid w:val="006028AB"/>
    <w:rsid w:val="00604384"/>
    <w:rsid w:val="0060666A"/>
    <w:rsid w:val="006112B9"/>
    <w:rsid w:val="006157DD"/>
    <w:rsid w:val="0061700E"/>
    <w:rsid w:val="00622AC0"/>
    <w:rsid w:val="0063526E"/>
    <w:rsid w:val="00635424"/>
    <w:rsid w:val="006375DC"/>
    <w:rsid w:val="00645F95"/>
    <w:rsid w:val="00650BE5"/>
    <w:rsid w:val="00651DA8"/>
    <w:rsid w:val="0066161A"/>
    <w:rsid w:val="00662D22"/>
    <w:rsid w:val="00665EE1"/>
    <w:rsid w:val="0067440C"/>
    <w:rsid w:val="0067526B"/>
    <w:rsid w:val="00675AAB"/>
    <w:rsid w:val="0068143B"/>
    <w:rsid w:val="00682AD1"/>
    <w:rsid w:val="00682FD5"/>
    <w:rsid w:val="00683D20"/>
    <w:rsid w:val="00685B62"/>
    <w:rsid w:val="00686A6A"/>
    <w:rsid w:val="0069297D"/>
    <w:rsid w:val="006960F0"/>
    <w:rsid w:val="006A16CD"/>
    <w:rsid w:val="006A3494"/>
    <w:rsid w:val="006A357C"/>
    <w:rsid w:val="006A62CC"/>
    <w:rsid w:val="006A7EFB"/>
    <w:rsid w:val="006B3108"/>
    <w:rsid w:val="006C0FA5"/>
    <w:rsid w:val="006C4176"/>
    <w:rsid w:val="006D3274"/>
    <w:rsid w:val="006D3943"/>
    <w:rsid w:val="006D459D"/>
    <w:rsid w:val="006D735E"/>
    <w:rsid w:val="006E0711"/>
    <w:rsid w:val="006E2418"/>
    <w:rsid w:val="006E4C7C"/>
    <w:rsid w:val="006E4FB2"/>
    <w:rsid w:val="006F0EC5"/>
    <w:rsid w:val="006F3059"/>
    <w:rsid w:val="006F3BB9"/>
    <w:rsid w:val="006F3E53"/>
    <w:rsid w:val="006F4181"/>
    <w:rsid w:val="006F690C"/>
    <w:rsid w:val="006F6EE9"/>
    <w:rsid w:val="00700120"/>
    <w:rsid w:val="0070142E"/>
    <w:rsid w:val="007042A4"/>
    <w:rsid w:val="00705EC0"/>
    <w:rsid w:val="00711E3C"/>
    <w:rsid w:val="00714455"/>
    <w:rsid w:val="007201C9"/>
    <w:rsid w:val="0072157C"/>
    <w:rsid w:val="00723F4A"/>
    <w:rsid w:val="00724AD7"/>
    <w:rsid w:val="00731C5C"/>
    <w:rsid w:val="007447D9"/>
    <w:rsid w:val="00756065"/>
    <w:rsid w:val="00764664"/>
    <w:rsid w:val="007656E8"/>
    <w:rsid w:val="00767C1A"/>
    <w:rsid w:val="007724A4"/>
    <w:rsid w:val="00774F09"/>
    <w:rsid w:val="00775B7F"/>
    <w:rsid w:val="00775F82"/>
    <w:rsid w:val="00776A7F"/>
    <w:rsid w:val="00777C12"/>
    <w:rsid w:val="0078168C"/>
    <w:rsid w:val="00791345"/>
    <w:rsid w:val="007933AF"/>
    <w:rsid w:val="007951AC"/>
    <w:rsid w:val="00797C3F"/>
    <w:rsid w:val="007B2A56"/>
    <w:rsid w:val="007B5668"/>
    <w:rsid w:val="007B5FA4"/>
    <w:rsid w:val="007C2726"/>
    <w:rsid w:val="007C5247"/>
    <w:rsid w:val="007C65E8"/>
    <w:rsid w:val="007C6C7B"/>
    <w:rsid w:val="007D3098"/>
    <w:rsid w:val="007D3195"/>
    <w:rsid w:val="007D3C18"/>
    <w:rsid w:val="007E3914"/>
    <w:rsid w:val="007E69BD"/>
    <w:rsid w:val="007E7DB4"/>
    <w:rsid w:val="007F30DF"/>
    <w:rsid w:val="007F6210"/>
    <w:rsid w:val="00801548"/>
    <w:rsid w:val="00802754"/>
    <w:rsid w:val="00815BAA"/>
    <w:rsid w:val="008363D5"/>
    <w:rsid w:val="00842B62"/>
    <w:rsid w:val="00842DBF"/>
    <w:rsid w:val="0084684E"/>
    <w:rsid w:val="00857F72"/>
    <w:rsid w:val="00861D53"/>
    <w:rsid w:val="00862312"/>
    <w:rsid w:val="00864F26"/>
    <w:rsid w:val="00865330"/>
    <w:rsid w:val="00866334"/>
    <w:rsid w:val="00867BB0"/>
    <w:rsid w:val="00870535"/>
    <w:rsid w:val="008708BF"/>
    <w:rsid w:val="008712E8"/>
    <w:rsid w:val="00871E63"/>
    <w:rsid w:val="00874672"/>
    <w:rsid w:val="00881E46"/>
    <w:rsid w:val="00885FB3"/>
    <w:rsid w:val="00886AFC"/>
    <w:rsid w:val="008927CD"/>
    <w:rsid w:val="008949FE"/>
    <w:rsid w:val="00895E66"/>
    <w:rsid w:val="008A03E6"/>
    <w:rsid w:val="008A4D31"/>
    <w:rsid w:val="008A6CEB"/>
    <w:rsid w:val="008B2D28"/>
    <w:rsid w:val="008B43F6"/>
    <w:rsid w:val="008C1220"/>
    <w:rsid w:val="008C1767"/>
    <w:rsid w:val="008C2BFC"/>
    <w:rsid w:val="008C4CA3"/>
    <w:rsid w:val="008C79F3"/>
    <w:rsid w:val="008E0EA9"/>
    <w:rsid w:val="008E57A3"/>
    <w:rsid w:val="008F2A2C"/>
    <w:rsid w:val="008F3C94"/>
    <w:rsid w:val="00903D73"/>
    <w:rsid w:val="009048C0"/>
    <w:rsid w:val="009107AF"/>
    <w:rsid w:val="00910DB9"/>
    <w:rsid w:val="009176BB"/>
    <w:rsid w:val="0092098D"/>
    <w:rsid w:val="00923123"/>
    <w:rsid w:val="009240AF"/>
    <w:rsid w:val="0093383A"/>
    <w:rsid w:val="009360FA"/>
    <w:rsid w:val="009366B6"/>
    <w:rsid w:val="009435D5"/>
    <w:rsid w:val="00944102"/>
    <w:rsid w:val="009478E4"/>
    <w:rsid w:val="00954511"/>
    <w:rsid w:val="00956D41"/>
    <w:rsid w:val="00960265"/>
    <w:rsid w:val="009607B0"/>
    <w:rsid w:val="009650D7"/>
    <w:rsid w:val="009679BB"/>
    <w:rsid w:val="00967E61"/>
    <w:rsid w:val="00971831"/>
    <w:rsid w:val="009727DF"/>
    <w:rsid w:val="00973B66"/>
    <w:rsid w:val="00974122"/>
    <w:rsid w:val="009820C3"/>
    <w:rsid w:val="0098404C"/>
    <w:rsid w:val="0098537C"/>
    <w:rsid w:val="00991FBA"/>
    <w:rsid w:val="0099212D"/>
    <w:rsid w:val="00992A80"/>
    <w:rsid w:val="00993241"/>
    <w:rsid w:val="00993349"/>
    <w:rsid w:val="009A3553"/>
    <w:rsid w:val="009A3F72"/>
    <w:rsid w:val="009A4A58"/>
    <w:rsid w:val="009B1D8B"/>
    <w:rsid w:val="009B270E"/>
    <w:rsid w:val="009B61C0"/>
    <w:rsid w:val="009D0CD2"/>
    <w:rsid w:val="009D0D5E"/>
    <w:rsid w:val="009D0D9A"/>
    <w:rsid w:val="009D792A"/>
    <w:rsid w:val="009E4154"/>
    <w:rsid w:val="009E5120"/>
    <w:rsid w:val="009F4BF1"/>
    <w:rsid w:val="00A036B2"/>
    <w:rsid w:val="00A045C6"/>
    <w:rsid w:val="00A1079C"/>
    <w:rsid w:val="00A1585B"/>
    <w:rsid w:val="00A16BB0"/>
    <w:rsid w:val="00A17D5D"/>
    <w:rsid w:val="00A21BF2"/>
    <w:rsid w:val="00A25B72"/>
    <w:rsid w:val="00A26310"/>
    <w:rsid w:val="00A27ECB"/>
    <w:rsid w:val="00A32F72"/>
    <w:rsid w:val="00A45CBD"/>
    <w:rsid w:val="00A47408"/>
    <w:rsid w:val="00A52617"/>
    <w:rsid w:val="00A5626A"/>
    <w:rsid w:val="00A56369"/>
    <w:rsid w:val="00A57F1A"/>
    <w:rsid w:val="00A6351F"/>
    <w:rsid w:val="00A66550"/>
    <w:rsid w:val="00A67535"/>
    <w:rsid w:val="00A717FF"/>
    <w:rsid w:val="00A723A1"/>
    <w:rsid w:val="00A72A00"/>
    <w:rsid w:val="00A761E6"/>
    <w:rsid w:val="00A81B8E"/>
    <w:rsid w:val="00A86F83"/>
    <w:rsid w:val="00A96D2F"/>
    <w:rsid w:val="00AA1B77"/>
    <w:rsid w:val="00AB1619"/>
    <w:rsid w:val="00AB1D3C"/>
    <w:rsid w:val="00AB2B49"/>
    <w:rsid w:val="00AB302C"/>
    <w:rsid w:val="00AC4016"/>
    <w:rsid w:val="00AC413A"/>
    <w:rsid w:val="00AC5769"/>
    <w:rsid w:val="00AC57BB"/>
    <w:rsid w:val="00AD3506"/>
    <w:rsid w:val="00AD39EA"/>
    <w:rsid w:val="00AD71B9"/>
    <w:rsid w:val="00AD7F1F"/>
    <w:rsid w:val="00AD7F97"/>
    <w:rsid w:val="00AE6F73"/>
    <w:rsid w:val="00AE7004"/>
    <w:rsid w:val="00AF099B"/>
    <w:rsid w:val="00AF0D50"/>
    <w:rsid w:val="00AF4476"/>
    <w:rsid w:val="00AF45F0"/>
    <w:rsid w:val="00AF5765"/>
    <w:rsid w:val="00B02754"/>
    <w:rsid w:val="00B031A6"/>
    <w:rsid w:val="00B0570C"/>
    <w:rsid w:val="00B0730C"/>
    <w:rsid w:val="00B13B03"/>
    <w:rsid w:val="00B13E92"/>
    <w:rsid w:val="00B158A5"/>
    <w:rsid w:val="00B20305"/>
    <w:rsid w:val="00B21A94"/>
    <w:rsid w:val="00B25963"/>
    <w:rsid w:val="00B35E95"/>
    <w:rsid w:val="00B35FDA"/>
    <w:rsid w:val="00B3759E"/>
    <w:rsid w:val="00B46E6C"/>
    <w:rsid w:val="00B52C37"/>
    <w:rsid w:val="00B533F3"/>
    <w:rsid w:val="00B53A3E"/>
    <w:rsid w:val="00B609A3"/>
    <w:rsid w:val="00B60FD9"/>
    <w:rsid w:val="00B61E43"/>
    <w:rsid w:val="00B632F8"/>
    <w:rsid w:val="00B6528A"/>
    <w:rsid w:val="00B749BC"/>
    <w:rsid w:val="00B75A24"/>
    <w:rsid w:val="00B774A5"/>
    <w:rsid w:val="00B80C4F"/>
    <w:rsid w:val="00B90EBA"/>
    <w:rsid w:val="00B92B5F"/>
    <w:rsid w:val="00BA261E"/>
    <w:rsid w:val="00BA5BA1"/>
    <w:rsid w:val="00BB1044"/>
    <w:rsid w:val="00BB679E"/>
    <w:rsid w:val="00BC367B"/>
    <w:rsid w:val="00BC6431"/>
    <w:rsid w:val="00BC7068"/>
    <w:rsid w:val="00BD4865"/>
    <w:rsid w:val="00BE55E0"/>
    <w:rsid w:val="00BE66BB"/>
    <w:rsid w:val="00BE7158"/>
    <w:rsid w:val="00BF49C9"/>
    <w:rsid w:val="00C0301C"/>
    <w:rsid w:val="00C046E1"/>
    <w:rsid w:val="00C065A8"/>
    <w:rsid w:val="00C07195"/>
    <w:rsid w:val="00C07763"/>
    <w:rsid w:val="00C07E27"/>
    <w:rsid w:val="00C13B7F"/>
    <w:rsid w:val="00C16056"/>
    <w:rsid w:val="00C17EC2"/>
    <w:rsid w:val="00C232E4"/>
    <w:rsid w:val="00C2380D"/>
    <w:rsid w:val="00C23ED8"/>
    <w:rsid w:val="00C24B36"/>
    <w:rsid w:val="00C302AE"/>
    <w:rsid w:val="00C335B0"/>
    <w:rsid w:val="00C36DCB"/>
    <w:rsid w:val="00C3718F"/>
    <w:rsid w:val="00C40830"/>
    <w:rsid w:val="00C41EEA"/>
    <w:rsid w:val="00C45DBE"/>
    <w:rsid w:val="00C46D98"/>
    <w:rsid w:val="00C509F2"/>
    <w:rsid w:val="00C51B89"/>
    <w:rsid w:val="00C54DE9"/>
    <w:rsid w:val="00C60EC4"/>
    <w:rsid w:val="00C62C51"/>
    <w:rsid w:val="00C6468C"/>
    <w:rsid w:val="00C73580"/>
    <w:rsid w:val="00C92E46"/>
    <w:rsid w:val="00C9564E"/>
    <w:rsid w:val="00C957ED"/>
    <w:rsid w:val="00CA2C98"/>
    <w:rsid w:val="00CA4CEB"/>
    <w:rsid w:val="00CB2102"/>
    <w:rsid w:val="00CB3100"/>
    <w:rsid w:val="00CB4626"/>
    <w:rsid w:val="00CB71CE"/>
    <w:rsid w:val="00CB7313"/>
    <w:rsid w:val="00CC3D1C"/>
    <w:rsid w:val="00CE2FFC"/>
    <w:rsid w:val="00CF12A2"/>
    <w:rsid w:val="00CF2B0E"/>
    <w:rsid w:val="00CF39C5"/>
    <w:rsid w:val="00D023C5"/>
    <w:rsid w:val="00D05514"/>
    <w:rsid w:val="00D11E7A"/>
    <w:rsid w:val="00D1207B"/>
    <w:rsid w:val="00D12C52"/>
    <w:rsid w:val="00D15176"/>
    <w:rsid w:val="00D20D29"/>
    <w:rsid w:val="00D25C6F"/>
    <w:rsid w:val="00D26310"/>
    <w:rsid w:val="00D30FF7"/>
    <w:rsid w:val="00D3168C"/>
    <w:rsid w:val="00D4081F"/>
    <w:rsid w:val="00D437C6"/>
    <w:rsid w:val="00D47C32"/>
    <w:rsid w:val="00D50361"/>
    <w:rsid w:val="00D5037D"/>
    <w:rsid w:val="00D52300"/>
    <w:rsid w:val="00D54081"/>
    <w:rsid w:val="00D57227"/>
    <w:rsid w:val="00D61D2F"/>
    <w:rsid w:val="00D66C06"/>
    <w:rsid w:val="00D73913"/>
    <w:rsid w:val="00D753E3"/>
    <w:rsid w:val="00D75647"/>
    <w:rsid w:val="00D75CA8"/>
    <w:rsid w:val="00D80ACC"/>
    <w:rsid w:val="00D84813"/>
    <w:rsid w:val="00D848A2"/>
    <w:rsid w:val="00D84AE5"/>
    <w:rsid w:val="00D8584D"/>
    <w:rsid w:val="00D94D76"/>
    <w:rsid w:val="00D97FA1"/>
    <w:rsid w:val="00DA24C5"/>
    <w:rsid w:val="00DA2E32"/>
    <w:rsid w:val="00DA427E"/>
    <w:rsid w:val="00DA667C"/>
    <w:rsid w:val="00DA726F"/>
    <w:rsid w:val="00DA79F7"/>
    <w:rsid w:val="00DB0F4E"/>
    <w:rsid w:val="00DC179A"/>
    <w:rsid w:val="00DC2262"/>
    <w:rsid w:val="00DC3C52"/>
    <w:rsid w:val="00DC441A"/>
    <w:rsid w:val="00DC50E3"/>
    <w:rsid w:val="00DC6CCE"/>
    <w:rsid w:val="00DD124A"/>
    <w:rsid w:val="00DD1675"/>
    <w:rsid w:val="00DD459C"/>
    <w:rsid w:val="00DE09DB"/>
    <w:rsid w:val="00DE3D44"/>
    <w:rsid w:val="00DF180B"/>
    <w:rsid w:val="00DF3C14"/>
    <w:rsid w:val="00DF4420"/>
    <w:rsid w:val="00DF6ACB"/>
    <w:rsid w:val="00E025DC"/>
    <w:rsid w:val="00E03FD9"/>
    <w:rsid w:val="00E050BE"/>
    <w:rsid w:val="00E11DD4"/>
    <w:rsid w:val="00E265C3"/>
    <w:rsid w:val="00E26F8A"/>
    <w:rsid w:val="00E319AB"/>
    <w:rsid w:val="00E35B48"/>
    <w:rsid w:val="00E36172"/>
    <w:rsid w:val="00E36E3C"/>
    <w:rsid w:val="00E43DB0"/>
    <w:rsid w:val="00E452C8"/>
    <w:rsid w:val="00E51DC0"/>
    <w:rsid w:val="00E52E55"/>
    <w:rsid w:val="00E55753"/>
    <w:rsid w:val="00E61841"/>
    <w:rsid w:val="00E67571"/>
    <w:rsid w:val="00E7494C"/>
    <w:rsid w:val="00E758F3"/>
    <w:rsid w:val="00E815FB"/>
    <w:rsid w:val="00E82125"/>
    <w:rsid w:val="00E8263B"/>
    <w:rsid w:val="00E9217D"/>
    <w:rsid w:val="00E9684B"/>
    <w:rsid w:val="00EA1A3B"/>
    <w:rsid w:val="00EA1D86"/>
    <w:rsid w:val="00EA58DF"/>
    <w:rsid w:val="00EB208A"/>
    <w:rsid w:val="00EB5E04"/>
    <w:rsid w:val="00EB6CC3"/>
    <w:rsid w:val="00EC565B"/>
    <w:rsid w:val="00EC57F7"/>
    <w:rsid w:val="00ED4423"/>
    <w:rsid w:val="00ED5763"/>
    <w:rsid w:val="00EE2C81"/>
    <w:rsid w:val="00EE3756"/>
    <w:rsid w:val="00EF0083"/>
    <w:rsid w:val="00EF0C8F"/>
    <w:rsid w:val="00EF353E"/>
    <w:rsid w:val="00EF3828"/>
    <w:rsid w:val="00EF715A"/>
    <w:rsid w:val="00F05CB4"/>
    <w:rsid w:val="00F0642C"/>
    <w:rsid w:val="00F11A35"/>
    <w:rsid w:val="00F14DB3"/>
    <w:rsid w:val="00F168D8"/>
    <w:rsid w:val="00F2040D"/>
    <w:rsid w:val="00F20E22"/>
    <w:rsid w:val="00F24A1C"/>
    <w:rsid w:val="00F25F2B"/>
    <w:rsid w:val="00F31AE3"/>
    <w:rsid w:val="00F451AC"/>
    <w:rsid w:val="00F47F12"/>
    <w:rsid w:val="00F52445"/>
    <w:rsid w:val="00F52831"/>
    <w:rsid w:val="00F52AF1"/>
    <w:rsid w:val="00F5516D"/>
    <w:rsid w:val="00F55274"/>
    <w:rsid w:val="00F57BFF"/>
    <w:rsid w:val="00F63073"/>
    <w:rsid w:val="00F6780F"/>
    <w:rsid w:val="00F73206"/>
    <w:rsid w:val="00F867EC"/>
    <w:rsid w:val="00F9031E"/>
    <w:rsid w:val="00FA5F94"/>
    <w:rsid w:val="00FB7807"/>
    <w:rsid w:val="00FC13B6"/>
    <w:rsid w:val="00FD1100"/>
    <w:rsid w:val="00FD3502"/>
    <w:rsid w:val="00FD4678"/>
    <w:rsid w:val="00FD5085"/>
    <w:rsid w:val="00FE118A"/>
    <w:rsid w:val="00FE1A25"/>
    <w:rsid w:val="00FE6BAC"/>
    <w:rsid w:val="00FE7767"/>
    <w:rsid w:val="00FF5DD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CD513"/>
  <w15:chartTrackingRefBased/>
  <w15:docId w15:val="{74E6F463-29B0-46AE-AA50-236BFAC8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337E8"/>
    <w:pPr>
      <w:keepNext/>
      <w:widowControl w:val="0"/>
      <w:spacing w:after="0" w:line="240" w:lineRule="auto"/>
      <w:outlineLvl w:val="0"/>
    </w:pPr>
    <w:rPr>
      <w:rFonts w:ascii="Times New Roman" w:eastAsia="Times New Roman"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37E8"/>
    <w:rPr>
      <w:rFonts w:ascii="Times New Roman" w:eastAsia="Times New Roman" w:hAnsi="Times New Roman" w:cs="Times New Roman"/>
      <w:b/>
      <w:sz w:val="24"/>
      <w:szCs w:val="20"/>
      <w:lang w:val="en-US"/>
    </w:rPr>
  </w:style>
  <w:style w:type="paragraph" w:customStyle="1" w:styleId="pj">
    <w:name w:val="pj"/>
    <w:basedOn w:val="Normal"/>
    <w:rsid w:val="003A6B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k">
    <w:name w:val="pk"/>
    <w:basedOn w:val="DefaultParagraphFont"/>
    <w:rsid w:val="003A6B6A"/>
  </w:style>
  <w:style w:type="character" w:customStyle="1" w:styleId="apple-converted-space">
    <w:name w:val="apple-converted-space"/>
    <w:basedOn w:val="DefaultParagraphFont"/>
    <w:rsid w:val="003A6B6A"/>
  </w:style>
  <w:style w:type="character" w:customStyle="1" w:styleId="pl">
    <w:name w:val="pl"/>
    <w:basedOn w:val="DefaultParagraphFont"/>
    <w:rsid w:val="003A6B6A"/>
  </w:style>
  <w:style w:type="paragraph" w:customStyle="1" w:styleId="pn">
    <w:name w:val="pn"/>
    <w:basedOn w:val="Normal"/>
    <w:rsid w:val="003A6B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c">
    <w:name w:val="pc"/>
    <w:basedOn w:val="DefaultParagraphFont"/>
    <w:rsid w:val="003A6B6A"/>
  </w:style>
  <w:style w:type="paragraph" w:customStyle="1" w:styleId="po">
    <w:name w:val="po"/>
    <w:basedOn w:val="Normal"/>
    <w:rsid w:val="003A6B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z">
    <w:name w:val="oz"/>
    <w:basedOn w:val="DefaultParagraphFont"/>
    <w:rsid w:val="003A6B6A"/>
  </w:style>
  <w:style w:type="paragraph" w:customStyle="1" w:styleId="pp">
    <w:name w:val="pp"/>
    <w:basedOn w:val="Normal"/>
    <w:rsid w:val="003A6B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q">
    <w:name w:val="pq"/>
    <w:basedOn w:val="Normal"/>
    <w:rsid w:val="003A6B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u">
    <w:name w:val="ou"/>
    <w:basedOn w:val="DefaultParagraphFont"/>
    <w:rsid w:val="003A6B6A"/>
  </w:style>
  <w:style w:type="paragraph" w:customStyle="1" w:styleId="pr">
    <w:name w:val="pr"/>
    <w:basedOn w:val="Normal"/>
    <w:rsid w:val="003A6B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s">
    <w:name w:val="os"/>
    <w:basedOn w:val="DefaultParagraphFont"/>
    <w:rsid w:val="003A6B6A"/>
  </w:style>
  <w:style w:type="paragraph" w:customStyle="1" w:styleId="ps">
    <w:name w:val="ps"/>
    <w:basedOn w:val="Normal"/>
    <w:rsid w:val="003A6B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t">
    <w:name w:val="pt"/>
    <w:basedOn w:val="Normal"/>
    <w:rsid w:val="003A6B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u">
    <w:name w:val="pu"/>
    <w:basedOn w:val="Normal"/>
    <w:rsid w:val="003A6B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v">
    <w:name w:val="pv"/>
    <w:basedOn w:val="Normal"/>
    <w:rsid w:val="003A6B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w">
    <w:name w:val="pw"/>
    <w:basedOn w:val="Normal"/>
    <w:rsid w:val="003A6B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x">
    <w:name w:val="px"/>
    <w:basedOn w:val="Normal"/>
    <w:rsid w:val="003A6B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y">
    <w:name w:val="py"/>
    <w:basedOn w:val="Normal"/>
    <w:rsid w:val="003A6B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z">
    <w:name w:val="pz"/>
    <w:basedOn w:val="Normal"/>
    <w:rsid w:val="003A6B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a">
    <w:name w:val="qa"/>
    <w:basedOn w:val="Normal"/>
    <w:rsid w:val="003A6B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g">
    <w:name w:val="og"/>
    <w:basedOn w:val="DefaultParagraphFont"/>
    <w:rsid w:val="003A6B6A"/>
  </w:style>
  <w:style w:type="paragraph" w:customStyle="1" w:styleId="qb">
    <w:name w:val="qb"/>
    <w:basedOn w:val="Normal"/>
    <w:rsid w:val="003A6B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f">
    <w:name w:val="of"/>
    <w:basedOn w:val="DefaultParagraphFont"/>
    <w:rsid w:val="003A6B6A"/>
  </w:style>
  <w:style w:type="character" w:customStyle="1" w:styleId="oe">
    <w:name w:val="oe"/>
    <w:basedOn w:val="DefaultParagraphFont"/>
    <w:rsid w:val="003A6B6A"/>
  </w:style>
  <w:style w:type="paragraph" w:customStyle="1" w:styleId="qc">
    <w:name w:val="qc"/>
    <w:basedOn w:val="Normal"/>
    <w:rsid w:val="003A6B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c">
    <w:name w:val="oc"/>
    <w:basedOn w:val="DefaultParagraphFont"/>
    <w:rsid w:val="003A6B6A"/>
  </w:style>
  <w:style w:type="paragraph" w:customStyle="1" w:styleId="qd">
    <w:name w:val="qd"/>
    <w:basedOn w:val="Normal"/>
    <w:rsid w:val="003A6B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f">
    <w:name w:val="qf"/>
    <w:basedOn w:val="Normal"/>
    <w:rsid w:val="003A6B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g">
    <w:name w:val="qg"/>
    <w:basedOn w:val="Normal"/>
    <w:rsid w:val="003A6B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
    <w:name w:val="i"/>
    <w:basedOn w:val="Normal"/>
    <w:rsid w:val="003A6B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qh">
    <w:name w:val="qh"/>
    <w:basedOn w:val="DefaultParagraphFont"/>
    <w:rsid w:val="003A6B6A"/>
  </w:style>
  <w:style w:type="paragraph" w:customStyle="1" w:styleId="qi">
    <w:name w:val="qi"/>
    <w:basedOn w:val="Normal"/>
    <w:rsid w:val="003A6B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t">
    <w:name w:val="nt"/>
    <w:basedOn w:val="DefaultParagraphFont"/>
    <w:rsid w:val="003A6B6A"/>
  </w:style>
  <w:style w:type="paragraph" w:customStyle="1" w:styleId="qj">
    <w:name w:val="qj"/>
    <w:basedOn w:val="Normal"/>
    <w:rsid w:val="003A6B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r">
    <w:name w:val="nr"/>
    <w:basedOn w:val="DefaultParagraphFont"/>
    <w:rsid w:val="003A6B6A"/>
  </w:style>
  <w:style w:type="paragraph" w:customStyle="1" w:styleId="qk">
    <w:name w:val="qk"/>
    <w:basedOn w:val="Normal"/>
    <w:rsid w:val="003A6B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m">
    <w:name w:val="qm"/>
    <w:basedOn w:val="Normal"/>
    <w:rsid w:val="003A6B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n">
    <w:name w:val="qn"/>
    <w:basedOn w:val="Normal"/>
    <w:rsid w:val="003A6B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o">
    <w:name w:val="qo"/>
    <w:basedOn w:val="Normal"/>
    <w:rsid w:val="003A6B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g">
    <w:name w:val="pg"/>
    <w:basedOn w:val="DefaultParagraphFont"/>
    <w:rsid w:val="003A6B6A"/>
  </w:style>
  <w:style w:type="character" w:styleId="Hyperlink">
    <w:name w:val="Hyperlink"/>
    <w:basedOn w:val="DefaultParagraphFont"/>
    <w:unhideWhenUsed/>
    <w:rsid w:val="003A6B6A"/>
    <w:rPr>
      <w:color w:val="0000FF"/>
      <w:u w:val="single"/>
    </w:rPr>
  </w:style>
  <w:style w:type="character" w:customStyle="1" w:styleId="ng">
    <w:name w:val="ng"/>
    <w:basedOn w:val="DefaultParagraphFont"/>
    <w:rsid w:val="003A6B6A"/>
  </w:style>
  <w:style w:type="character" w:styleId="Emphasis">
    <w:name w:val="Emphasis"/>
    <w:basedOn w:val="DefaultParagraphFont"/>
    <w:uiPriority w:val="99"/>
    <w:qFormat/>
    <w:rsid w:val="00D15176"/>
    <w:rPr>
      <w:i/>
      <w:iCs/>
    </w:rPr>
  </w:style>
  <w:style w:type="paragraph" w:styleId="PlainText">
    <w:name w:val="Plain Text"/>
    <w:basedOn w:val="Normal"/>
    <w:link w:val="PlainTextChar"/>
    <w:uiPriority w:val="99"/>
    <w:unhideWhenUsed/>
    <w:rsid w:val="00222FD9"/>
    <w:pPr>
      <w:spacing w:after="0" w:line="240" w:lineRule="auto"/>
    </w:pPr>
    <w:rPr>
      <w:rFonts w:ascii="Tahoma" w:hAnsi="Tahoma" w:cs="Tahoma"/>
      <w:color w:val="000000" w:themeColor="text1"/>
    </w:rPr>
  </w:style>
  <w:style w:type="character" w:customStyle="1" w:styleId="PlainTextChar">
    <w:name w:val="Plain Text Char"/>
    <w:basedOn w:val="DefaultParagraphFont"/>
    <w:link w:val="PlainText"/>
    <w:uiPriority w:val="99"/>
    <w:rsid w:val="00222FD9"/>
    <w:rPr>
      <w:rFonts w:ascii="Tahoma" w:hAnsi="Tahoma" w:cs="Tahoma"/>
      <w:color w:val="000000" w:themeColor="text1"/>
    </w:rPr>
  </w:style>
  <w:style w:type="paragraph" w:styleId="BalloonText">
    <w:name w:val="Balloon Text"/>
    <w:basedOn w:val="Normal"/>
    <w:link w:val="BalloonTextChar"/>
    <w:uiPriority w:val="99"/>
    <w:semiHidden/>
    <w:unhideWhenUsed/>
    <w:rsid w:val="005317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708"/>
    <w:rPr>
      <w:rFonts w:ascii="Segoe UI" w:hAnsi="Segoe UI" w:cs="Segoe UI"/>
      <w:sz w:val="18"/>
      <w:szCs w:val="18"/>
    </w:rPr>
  </w:style>
  <w:style w:type="paragraph" w:styleId="BodyTextIndent">
    <w:name w:val="Body Text Indent"/>
    <w:basedOn w:val="Normal"/>
    <w:link w:val="BodyTextIndentChar"/>
    <w:rsid w:val="001337E8"/>
    <w:pPr>
      <w:widowControl w:val="0"/>
      <w:tabs>
        <w:tab w:val="left" w:pos="-1440"/>
      </w:tabs>
      <w:spacing w:after="0" w:line="360" w:lineRule="auto"/>
      <w:ind w:left="720"/>
      <w:jc w:val="both"/>
    </w:pPr>
    <w:rPr>
      <w:rFonts w:ascii="CG Omega" w:eastAsia="Times New Roman" w:hAnsi="CG Omega" w:cs="Times New Roman"/>
      <w:snapToGrid w:val="0"/>
      <w:szCs w:val="20"/>
    </w:rPr>
  </w:style>
  <w:style w:type="character" w:customStyle="1" w:styleId="BodyTextIndentChar">
    <w:name w:val="Body Text Indent Char"/>
    <w:basedOn w:val="DefaultParagraphFont"/>
    <w:link w:val="BodyTextIndent"/>
    <w:rsid w:val="001337E8"/>
    <w:rPr>
      <w:rFonts w:ascii="CG Omega" w:eastAsia="Times New Roman" w:hAnsi="CG Omega" w:cs="Times New Roman"/>
      <w:snapToGrid w:val="0"/>
      <w:szCs w:val="20"/>
    </w:rPr>
  </w:style>
  <w:style w:type="paragraph" w:styleId="Title">
    <w:name w:val="Title"/>
    <w:basedOn w:val="Normal"/>
    <w:link w:val="TitleChar"/>
    <w:qFormat/>
    <w:rsid w:val="001337E8"/>
    <w:pPr>
      <w:widowControl w:val="0"/>
      <w:tabs>
        <w:tab w:val="center" w:pos="4800"/>
      </w:tabs>
      <w:spacing w:after="0" w:line="240" w:lineRule="auto"/>
      <w:jc w:val="center"/>
    </w:pPr>
    <w:rPr>
      <w:rFonts w:ascii="CG Omega" w:eastAsia="Times New Roman" w:hAnsi="CG Omega" w:cs="Times New Roman"/>
      <w:b/>
      <w:snapToGrid w:val="0"/>
      <w:sz w:val="32"/>
      <w:szCs w:val="20"/>
    </w:rPr>
  </w:style>
  <w:style w:type="character" w:customStyle="1" w:styleId="TitleChar">
    <w:name w:val="Title Char"/>
    <w:basedOn w:val="DefaultParagraphFont"/>
    <w:link w:val="Title"/>
    <w:rsid w:val="001337E8"/>
    <w:rPr>
      <w:rFonts w:ascii="CG Omega" w:eastAsia="Times New Roman" w:hAnsi="CG Omega" w:cs="Times New Roman"/>
      <w:b/>
      <w:snapToGrid w:val="0"/>
      <w:sz w:val="32"/>
      <w:szCs w:val="20"/>
    </w:rPr>
  </w:style>
  <w:style w:type="table" w:styleId="TableGrid">
    <w:name w:val="Table Grid"/>
    <w:basedOn w:val="TableNormal"/>
    <w:uiPriority w:val="39"/>
    <w:rsid w:val="001337E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1337E8"/>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1337E8"/>
    <w:pPr>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1337E8"/>
    <w:rPr>
      <w:sz w:val="20"/>
      <w:szCs w:val="20"/>
    </w:rPr>
  </w:style>
  <w:style w:type="character" w:customStyle="1" w:styleId="CommentSubjectChar">
    <w:name w:val="Comment Subject Char"/>
    <w:basedOn w:val="CommentTextChar"/>
    <w:link w:val="CommentSubject"/>
    <w:semiHidden/>
    <w:rsid w:val="001337E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1337E8"/>
    <w:rPr>
      <w:b/>
      <w:bCs/>
    </w:rPr>
  </w:style>
  <w:style w:type="character" w:customStyle="1" w:styleId="CommentSubjectChar1">
    <w:name w:val="Comment Subject Char1"/>
    <w:basedOn w:val="CommentTextChar1"/>
    <w:uiPriority w:val="99"/>
    <w:semiHidden/>
    <w:rsid w:val="001337E8"/>
    <w:rPr>
      <w:b/>
      <w:bCs/>
      <w:sz w:val="20"/>
      <w:szCs w:val="20"/>
    </w:rPr>
  </w:style>
  <w:style w:type="character" w:styleId="Strong">
    <w:name w:val="Strong"/>
    <w:basedOn w:val="DefaultParagraphFont"/>
    <w:uiPriority w:val="99"/>
    <w:qFormat/>
    <w:rsid w:val="001337E8"/>
    <w:rPr>
      <w:b/>
      <w:bCs/>
    </w:rPr>
  </w:style>
  <w:style w:type="paragraph" w:styleId="NormalWeb">
    <w:name w:val="Normal (Web)"/>
    <w:basedOn w:val="Normal"/>
    <w:uiPriority w:val="99"/>
    <w:rsid w:val="001337E8"/>
    <w:pPr>
      <w:spacing w:after="0" w:line="384" w:lineRule="atLeast"/>
    </w:pPr>
    <w:rPr>
      <w:rFonts w:ascii="Times New Roman" w:eastAsia="Times New Roman" w:hAnsi="Times New Roman" w:cs="Times New Roman"/>
      <w:lang w:eastAsia="en-GB"/>
    </w:rPr>
  </w:style>
  <w:style w:type="paragraph" w:styleId="NoSpacing">
    <w:name w:val="No Spacing"/>
    <w:uiPriority w:val="1"/>
    <w:qFormat/>
    <w:rsid w:val="001337E8"/>
    <w:pPr>
      <w:spacing w:after="0" w:line="240" w:lineRule="auto"/>
      <w:jc w:val="both"/>
    </w:pPr>
    <w:rPr>
      <w:rFonts w:ascii="Tahoma" w:hAnsi="Tahoma"/>
    </w:rPr>
  </w:style>
  <w:style w:type="character" w:customStyle="1" w:styleId="aet">
    <w:name w:val="aet"/>
    <w:basedOn w:val="DefaultParagraphFont"/>
    <w:rsid w:val="001337E8"/>
  </w:style>
  <w:style w:type="paragraph" w:styleId="ListParagraph">
    <w:name w:val="List Paragraph"/>
    <w:basedOn w:val="Normal"/>
    <w:uiPriority w:val="34"/>
    <w:qFormat/>
    <w:rsid w:val="001337E8"/>
    <w:pPr>
      <w:spacing w:after="200" w:line="276" w:lineRule="auto"/>
      <w:ind w:left="720"/>
      <w:contextualSpacing/>
    </w:pPr>
    <w:rPr>
      <w:rFonts w:ascii="Tahoma" w:hAnsi="Tahoma"/>
    </w:rPr>
  </w:style>
  <w:style w:type="character" w:customStyle="1" w:styleId="ox">
    <w:name w:val="ox"/>
    <w:basedOn w:val="DefaultParagraphFont"/>
    <w:rsid w:val="001337E8"/>
  </w:style>
  <w:style w:type="paragraph" w:customStyle="1" w:styleId="ki">
    <w:name w:val="ki"/>
    <w:basedOn w:val="Normal"/>
    <w:rsid w:val="001337E8"/>
    <w:pPr>
      <w:spacing w:before="100" w:beforeAutospacing="1" w:after="100" w:afterAutospacing="1" w:line="240" w:lineRule="auto"/>
    </w:pPr>
    <w:rPr>
      <w:rFonts w:ascii="Times New Roman" w:eastAsia="Calibri" w:hAnsi="Times New Roman" w:cs="Times New Roman"/>
      <w:sz w:val="24"/>
      <w:szCs w:val="24"/>
      <w:lang w:eastAsia="en-GB"/>
    </w:rPr>
  </w:style>
  <w:style w:type="character" w:customStyle="1" w:styleId="kd">
    <w:name w:val="kd"/>
    <w:rsid w:val="001337E8"/>
    <w:rPr>
      <w:rFonts w:cs="Times New Roman"/>
    </w:rPr>
  </w:style>
  <w:style w:type="paragraph" w:customStyle="1" w:styleId="kk">
    <w:name w:val="kk"/>
    <w:basedOn w:val="Normal"/>
    <w:rsid w:val="001337E8"/>
    <w:pPr>
      <w:spacing w:before="100" w:beforeAutospacing="1" w:after="100" w:afterAutospacing="1" w:line="240" w:lineRule="auto"/>
    </w:pPr>
    <w:rPr>
      <w:rFonts w:ascii="Times New Roman" w:eastAsia="Calibri" w:hAnsi="Times New Roman" w:cs="Times New Roman"/>
      <w:sz w:val="24"/>
      <w:szCs w:val="24"/>
      <w:lang w:eastAsia="en-GB"/>
    </w:rPr>
  </w:style>
  <w:style w:type="character" w:customStyle="1" w:styleId="ka">
    <w:name w:val="ka"/>
    <w:rsid w:val="001337E8"/>
    <w:rPr>
      <w:rFonts w:cs="Times New Roman"/>
    </w:rPr>
  </w:style>
  <w:style w:type="paragraph" w:customStyle="1" w:styleId="km">
    <w:name w:val="km"/>
    <w:basedOn w:val="Normal"/>
    <w:rsid w:val="001337E8"/>
    <w:pPr>
      <w:spacing w:before="100" w:beforeAutospacing="1" w:after="100" w:afterAutospacing="1" w:line="240" w:lineRule="auto"/>
    </w:pPr>
    <w:rPr>
      <w:rFonts w:ascii="Times New Roman" w:eastAsia="Calibri" w:hAnsi="Times New Roman" w:cs="Times New Roman"/>
      <w:sz w:val="24"/>
      <w:szCs w:val="24"/>
      <w:lang w:eastAsia="en-GB"/>
    </w:rPr>
  </w:style>
  <w:style w:type="character" w:customStyle="1" w:styleId="jy">
    <w:name w:val="jy"/>
    <w:rsid w:val="001337E8"/>
    <w:rPr>
      <w:rFonts w:cs="Times New Roman"/>
    </w:rPr>
  </w:style>
  <w:style w:type="paragraph" w:customStyle="1" w:styleId="kn">
    <w:name w:val="kn"/>
    <w:basedOn w:val="Normal"/>
    <w:rsid w:val="001337E8"/>
    <w:pP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ko">
    <w:name w:val="ko"/>
    <w:basedOn w:val="Normal"/>
    <w:rsid w:val="001337E8"/>
    <w:pP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kp">
    <w:name w:val="kp"/>
    <w:basedOn w:val="Normal"/>
    <w:rsid w:val="001337E8"/>
    <w:pPr>
      <w:spacing w:before="100" w:beforeAutospacing="1" w:after="100" w:afterAutospacing="1" w:line="240" w:lineRule="auto"/>
    </w:pPr>
    <w:rPr>
      <w:rFonts w:ascii="Times New Roman" w:eastAsia="Calibri" w:hAnsi="Times New Roman" w:cs="Times New Roman"/>
      <w:sz w:val="24"/>
      <w:szCs w:val="24"/>
      <w:lang w:eastAsia="en-GB"/>
    </w:rPr>
  </w:style>
  <w:style w:type="character" w:customStyle="1" w:styleId="jr">
    <w:name w:val="jr"/>
    <w:rsid w:val="001337E8"/>
    <w:rPr>
      <w:rFonts w:cs="Times New Roman"/>
    </w:rPr>
  </w:style>
  <w:style w:type="paragraph" w:customStyle="1" w:styleId="a">
    <w:name w:val="a"/>
    <w:basedOn w:val="Normal"/>
    <w:rsid w:val="001337E8"/>
    <w:pP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kq">
    <w:name w:val="kq"/>
    <w:basedOn w:val="Normal"/>
    <w:rsid w:val="001337E8"/>
    <w:pP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kr">
    <w:name w:val="kr"/>
    <w:basedOn w:val="Normal"/>
    <w:rsid w:val="001337E8"/>
    <w:pPr>
      <w:spacing w:before="100" w:beforeAutospacing="1" w:after="100" w:afterAutospacing="1" w:line="240" w:lineRule="auto"/>
    </w:pPr>
    <w:rPr>
      <w:rFonts w:ascii="Times New Roman" w:eastAsia="Calibri" w:hAnsi="Times New Roman" w:cs="Times New Roman"/>
      <w:sz w:val="24"/>
      <w:szCs w:val="24"/>
      <w:lang w:eastAsia="en-GB"/>
    </w:rPr>
  </w:style>
  <w:style w:type="character" w:customStyle="1" w:styleId="jm">
    <w:name w:val="jm"/>
    <w:rsid w:val="001337E8"/>
    <w:rPr>
      <w:rFonts w:cs="Times New Roman"/>
    </w:rPr>
  </w:style>
  <w:style w:type="paragraph" w:customStyle="1" w:styleId="ks">
    <w:name w:val="ks"/>
    <w:basedOn w:val="Normal"/>
    <w:rsid w:val="001337E8"/>
    <w:pPr>
      <w:spacing w:before="100" w:beforeAutospacing="1" w:after="100" w:afterAutospacing="1" w:line="240" w:lineRule="auto"/>
    </w:pPr>
    <w:rPr>
      <w:rFonts w:ascii="Times New Roman" w:eastAsia="Calibri" w:hAnsi="Times New Roman" w:cs="Times New Roman"/>
      <w:sz w:val="24"/>
      <w:szCs w:val="24"/>
      <w:lang w:eastAsia="en-GB"/>
    </w:rPr>
  </w:style>
  <w:style w:type="character" w:customStyle="1" w:styleId="jj">
    <w:name w:val="jj"/>
    <w:rsid w:val="001337E8"/>
    <w:rPr>
      <w:rFonts w:cs="Times New Roman"/>
    </w:rPr>
  </w:style>
  <w:style w:type="paragraph" w:customStyle="1" w:styleId="kj">
    <w:name w:val="kj"/>
    <w:basedOn w:val="Normal"/>
    <w:rsid w:val="001337E8"/>
    <w:pPr>
      <w:spacing w:before="100" w:beforeAutospacing="1" w:after="100" w:afterAutospacing="1" w:line="240" w:lineRule="auto"/>
    </w:pPr>
    <w:rPr>
      <w:rFonts w:ascii="Times New Roman" w:eastAsia="Calibri" w:hAnsi="Times New Roman" w:cs="Times New Roman"/>
      <w:sz w:val="24"/>
      <w:szCs w:val="24"/>
      <w:lang w:eastAsia="en-GB"/>
    </w:rPr>
  </w:style>
  <w:style w:type="character" w:customStyle="1" w:styleId="jg">
    <w:name w:val="jg"/>
    <w:rsid w:val="001337E8"/>
    <w:rPr>
      <w:rFonts w:cs="Times New Roman"/>
    </w:rPr>
  </w:style>
  <w:style w:type="character" w:customStyle="1" w:styleId="jf">
    <w:name w:val="jf"/>
    <w:rsid w:val="001337E8"/>
    <w:rPr>
      <w:rFonts w:cs="Times New Roman"/>
    </w:rPr>
  </w:style>
  <w:style w:type="character" w:customStyle="1" w:styleId="jd">
    <w:name w:val="jd"/>
    <w:rsid w:val="001337E8"/>
    <w:rPr>
      <w:rFonts w:cs="Times New Roman"/>
    </w:rPr>
  </w:style>
  <w:style w:type="character" w:styleId="HTMLCite">
    <w:name w:val="HTML Cite"/>
    <w:rsid w:val="001337E8"/>
    <w:rPr>
      <w:rFonts w:cs="Times New Roman"/>
      <w:color w:val="0E774A"/>
    </w:rPr>
  </w:style>
  <w:style w:type="character" w:customStyle="1" w:styleId="lj">
    <w:name w:val="lj"/>
    <w:rsid w:val="001337E8"/>
    <w:rPr>
      <w:rFonts w:cs="Times New Roman"/>
    </w:rPr>
  </w:style>
  <w:style w:type="paragraph" w:customStyle="1" w:styleId="la">
    <w:name w:val="la"/>
    <w:basedOn w:val="Normal"/>
    <w:rsid w:val="001337E8"/>
    <w:pP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ao">
    <w:name w:val="ao"/>
    <w:basedOn w:val="Normal"/>
    <w:rsid w:val="001337E8"/>
    <w:pPr>
      <w:spacing w:after="0" w:line="240" w:lineRule="auto"/>
    </w:pPr>
    <w:rPr>
      <w:rFonts w:ascii="Times New Roman" w:eastAsia="Times New Roman" w:hAnsi="Times New Roman" w:cs="Times New Roman"/>
      <w:b/>
      <w:bCs/>
      <w:sz w:val="24"/>
      <w:szCs w:val="24"/>
      <w:lang w:eastAsia="en-GB"/>
    </w:rPr>
  </w:style>
  <w:style w:type="character" w:customStyle="1" w:styleId="al">
    <w:name w:val="al"/>
    <w:basedOn w:val="DefaultParagraphFont"/>
    <w:rsid w:val="001337E8"/>
    <w:rPr>
      <w:rFonts w:ascii="Arial" w:hAnsi="Arial" w:cs="Arial" w:hint="default"/>
      <w:color w:val="000000"/>
    </w:rPr>
  </w:style>
  <w:style w:type="character" w:customStyle="1" w:styleId="ai">
    <w:name w:val="ai"/>
    <w:basedOn w:val="DefaultParagraphFont"/>
    <w:rsid w:val="001337E8"/>
    <w:rPr>
      <w:rFonts w:ascii="Arial" w:hAnsi="Arial" w:cs="Arial" w:hint="default"/>
      <w:color w:val="000000"/>
    </w:rPr>
  </w:style>
  <w:style w:type="character" w:customStyle="1" w:styleId="ag">
    <w:name w:val="ag"/>
    <w:basedOn w:val="DefaultParagraphFont"/>
    <w:rsid w:val="001337E8"/>
    <w:rPr>
      <w:color w:val="000000"/>
    </w:rPr>
  </w:style>
  <w:style w:type="character" w:customStyle="1" w:styleId="lu">
    <w:name w:val="lu"/>
    <w:basedOn w:val="DefaultParagraphFont"/>
    <w:rsid w:val="001337E8"/>
    <w:rPr>
      <w:rFonts w:ascii="Arial" w:hAnsi="Arial" w:cs="Arial" w:hint="default"/>
      <w:color w:val="auto"/>
    </w:rPr>
  </w:style>
  <w:style w:type="character" w:customStyle="1" w:styleId="ql">
    <w:name w:val="ql"/>
    <w:basedOn w:val="DefaultParagraphFont"/>
    <w:rsid w:val="001337E8"/>
    <w:rPr>
      <w:rFonts w:ascii="Tahoma" w:hAnsi="Tahoma" w:cs="Tahoma" w:hint="default"/>
      <w:sz w:val="20"/>
      <w:szCs w:val="20"/>
    </w:rPr>
  </w:style>
  <w:style w:type="character" w:customStyle="1" w:styleId="nj">
    <w:name w:val="nj"/>
    <w:basedOn w:val="DefaultParagraphFont"/>
    <w:rsid w:val="001337E8"/>
    <w:rPr>
      <w:sz w:val="18"/>
      <w:szCs w:val="18"/>
    </w:rPr>
  </w:style>
  <w:style w:type="character" w:customStyle="1" w:styleId="cf">
    <w:name w:val="cf"/>
    <w:basedOn w:val="DefaultParagraphFont"/>
    <w:rsid w:val="001337E8"/>
    <w:rPr>
      <w:rFonts w:ascii="Tahoma" w:hAnsi="Tahoma" w:cs="Tahoma" w:hint="default"/>
      <w:sz w:val="18"/>
      <w:szCs w:val="18"/>
    </w:rPr>
  </w:style>
  <w:style w:type="character" w:customStyle="1" w:styleId="bl">
    <w:name w:val="bl"/>
    <w:basedOn w:val="DefaultParagraphFont"/>
    <w:rsid w:val="001337E8"/>
    <w:rPr>
      <w:rFonts w:ascii="Tahoma" w:hAnsi="Tahoma" w:cs="Tahoma" w:hint="default"/>
      <w:sz w:val="18"/>
      <w:szCs w:val="18"/>
    </w:rPr>
  </w:style>
  <w:style w:type="character" w:customStyle="1" w:styleId="np">
    <w:name w:val="np"/>
    <w:basedOn w:val="DefaultParagraphFont"/>
    <w:rsid w:val="001337E8"/>
    <w:rPr>
      <w:rFonts w:ascii="Arial" w:hAnsi="Arial" w:cs="Arial" w:hint="default"/>
      <w:color w:val="335786"/>
      <w:sz w:val="40"/>
      <w:szCs w:val="40"/>
    </w:rPr>
  </w:style>
  <w:style w:type="character" w:customStyle="1" w:styleId="nn">
    <w:name w:val="nn"/>
    <w:basedOn w:val="DefaultParagraphFont"/>
    <w:rsid w:val="001337E8"/>
    <w:rPr>
      <w:rFonts w:ascii="Arial" w:hAnsi="Arial" w:cs="Arial" w:hint="default"/>
      <w:color w:val="335786"/>
      <w:sz w:val="36"/>
      <w:szCs w:val="36"/>
    </w:rPr>
  </w:style>
  <w:style w:type="character" w:customStyle="1" w:styleId="na">
    <w:name w:val="na"/>
    <w:basedOn w:val="DefaultParagraphFont"/>
    <w:rsid w:val="001337E8"/>
    <w:rPr>
      <w:rFonts w:ascii="Tahoma" w:hAnsi="Tahoma" w:cs="Tahoma" w:hint="default"/>
      <w:sz w:val="18"/>
      <w:szCs w:val="18"/>
    </w:rPr>
  </w:style>
  <w:style w:type="character" w:customStyle="1" w:styleId="cb">
    <w:name w:val="cb"/>
    <w:basedOn w:val="DefaultParagraphFont"/>
    <w:rsid w:val="001337E8"/>
    <w:rPr>
      <w:rFonts w:ascii="Tahoma" w:hAnsi="Tahoma" w:cs="Tahoma" w:hint="default"/>
      <w:sz w:val="18"/>
      <w:szCs w:val="18"/>
    </w:rPr>
  </w:style>
  <w:style w:type="character" w:customStyle="1" w:styleId="cm">
    <w:name w:val="cm"/>
    <w:basedOn w:val="DefaultParagraphFont"/>
    <w:rsid w:val="001337E8"/>
    <w:rPr>
      <w:rFonts w:ascii="Tahoma" w:hAnsi="Tahoma" w:cs="Tahoma" w:hint="default"/>
      <w:color w:val="auto"/>
      <w:sz w:val="18"/>
      <w:szCs w:val="18"/>
    </w:rPr>
  </w:style>
  <w:style w:type="character" w:customStyle="1" w:styleId="cn">
    <w:name w:val="cn"/>
    <w:basedOn w:val="DefaultParagraphFont"/>
    <w:rsid w:val="001337E8"/>
    <w:rPr>
      <w:rFonts w:ascii="Tahoma" w:hAnsi="Tahoma" w:cs="Tahoma" w:hint="default"/>
      <w:sz w:val="18"/>
      <w:szCs w:val="18"/>
    </w:rPr>
  </w:style>
  <w:style w:type="character" w:customStyle="1" w:styleId="co">
    <w:name w:val="co"/>
    <w:basedOn w:val="DefaultParagraphFont"/>
    <w:rsid w:val="001337E8"/>
    <w:rPr>
      <w:rFonts w:ascii="Tahoma" w:hAnsi="Tahoma" w:cs="Tahoma" w:hint="default"/>
      <w:color w:val="auto"/>
      <w:sz w:val="18"/>
      <w:szCs w:val="18"/>
    </w:rPr>
  </w:style>
  <w:style w:type="character" w:customStyle="1" w:styleId="cp">
    <w:name w:val="cp"/>
    <w:basedOn w:val="DefaultParagraphFont"/>
    <w:rsid w:val="001337E8"/>
    <w:rPr>
      <w:rFonts w:ascii="Tahoma" w:hAnsi="Tahoma" w:cs="Tahoma" w:hint="default"/>
      <w:sz w:val="18"/>
      <w:szCs w:val="18"/>
    </w:rPr>
  </w:style>
  <w:style w:type="character" w:customStyle="1" w:styleId="ju">
    <w:name w:val="ju"/>
    <w:basedOn w:val="DefaultParagraphFont"/>
    <w:rsid w:val="001337E8"/>
  </w:style>
  <w:style w:type="character" w:customStyle="1" w:styleId="ab">
    <w:name w:val="ab"/>
    <w:basedOn w:val="DefaultParagraphFont"/>
    <w:rsid w:val="001337E8"/>
    <w:rPr>
      <w:rFonts w:ascii="Tahoma" w:hAnsi="Tahoma" w:cs="Tahoma" w:hint="default"/>
    </w:rPr>
  </w:style>
  <w:style w:type="paragraph" w:styleId="Header">
    <w:name w:val="header"/>
    <w:basedOn w:val="Normal"/>
    <w:link w:val="HeaderChar"/>
    <w:uiPriority w:val="99"/>
    <w:unhideWhenUsed/>
    <w:rsid w:val="001337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7E8"/>
  </w:style>
  <w:style w:type="paragraph" w:styleId="Footer">
    <w:name w:val="footer"/>
    <w:basedOn w:val="Normal"/>
    <w:link w:val="FooterChar"/>
    <w:uiPriority w:val="99"/>
    <w:unhideWhenUsed/>
    <w:rsid w:val="001337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7E8"/>
  </w:style>
  <w:style w:type="character" w:styleId="SubtleEmphasis">
    <w:name w:val="Subtle Emphasis"/>
    <w:basedOn w:val="DefaultParagraphFont"/>
    <w:uiPriority w:val="19"/>
    <w:qFormat/>
    <w:rsid w:val="001337E8"/>
    <w:rPr>
      <w:i/>
      <w:iCs/>
      <w:color w:val="808080"/>
    </w:rPr>
  </w:style>
  <w:style w:type="character" w:styleId="FollowedHyperlink">
    <w:name w:val="FollowedHyperlink"/>
    <w:basedOn w:val="DefaultParagraphFont"/>
    <w:uiPriority w:val="99"/>
    <w:semiHidden/>
    <w:unhideWhenUsed/>
    <w:rsid w:val="005C56AF"/>
    <w:rPr>
      <w:color w:val="954F72" w:themeColor="followedHyperlink"/>
      <w:u w:val="single"/>
    </w:rPr>
  </w:style>
  <w:style w:type="paragraph" w:styleId="Revision">
    <w:name w:val="Revision"/>
    <w:hidden/>
    <w:uiPriority w:val="99"/>
    <w:semiHidden/>
    <w:rsid w:val="00344285"/>
    <w:pPr>
      <w:spacing w:after="0" w:line="240" w:lineRule="auto"/>
    </w:pPr>
  </w:style>
  <w:style w:type="table" w:customStyle="1" w:styleId="TableGrid1">
    <w:name w:val="Table Grid1"/>
    <w:basedOn w:val="TableNormal"/>
    <w:next w:val="TableGrid"/>
    <w:uiPriority w:val="39"/>
    <w:rsid w:val="005270F4"/>
    <w:pPr>
      <w:spacing w:after="0" w:line="240" w:lineRule="auto"/>
      <w:contextualSpacing/>
      <w:jc w:val="right"/>
    </w:pPr>
    <w:rPr>
      <w:rFonts w:ascii="Times New Roman" w:hAnsi="Times New Roman"/>
      <w:sz w:val="16"/>
      <w:lang w:val="en-US"/>
    </w:rPr>
    <w:tblPr>
      <w:tblCellMar>
        <w:left w:w="0" w:type="dxa"/>
        <w:right w:w="0" w:type="dxa"/>
      </w:tblCellMar>
    </w:tblPr>
    <w:tcPr>
      <w:vAlign w:val="bottom"/>
    </w:tcPr>
    <w:tblStylePr w:type="firstCol">
      <w:pPr>
        <w:wordWrap/>
        <w:jc w:val="left"/>
      </w:pPr>
    </w:tblStylePr>
  </w:style>
  <w:style w:type="table" w:customStyle="1" w:styleId="TableGrid2">
    <w:name w:val="Table Grid2"/>
    <w:basedOn w:val="TableNormal"/>
    <w:next w:val="TableGrid"/>
    <w:uiPriority w:val="39"/>
    <w:rsid w:val="005270F4"/>
    <w:pPr>
      <w:spacing w:after="0" w:line="240" w:lineRule="auto"/>
      <w:contextualSpacing/>
      <w:jc w:val="right"/>
    </w:pPr>
    <w:rPr>
      <w:rFonts w:ascii="Times New Roman" w:hAnsi="Times New Roman"/>
      <w:sz w:val="16"/>
      <w:lang w:val="en-US"/>
    </w:rPr>
    <w:tblPr>
      <w:tblCellMar>
        <w:left w:w="0" w:type="dxa"/>
        <w:right w:w="0" w:type="dxa"/>
      </w:tblCellMar>
    </w:tblPr>
    <w:tcPr>
      <w:vAlign w:val="bottom"/>
    </w:tcPr>
    <w:tblStylePr w:type="firstCol">
      <w:pPr>
        <w:wordWrap/>
        <w:jc w:val="left"/>
      </w:pPr>
    </w:tblStylePr>
  </w:style>
  <w:style w:type="table" w:customStyle="1" w:styleId="TableGrid3">
    <w:name w:val="Table Grid3"/>
    <w:basedOn w:val="TableNormal"/>
    <w:next w:val="TableGrid"/>
    <w:uiPriority w:val="39"/>
    <w:rsid w:val="00D73913"/>
    <w:pPr>
      <w:spacing w:after="0" w:line="240" w:lineRule="auto"/>
      <w:contextualSpacing/>
      <w:jc w:val="right"/>
    </w:pPr>
    <w:rPr>
      <w:rFonts w:ascii="Times New Roman" w:hAnsi="Times New Roman"/>
      <w:sz w:val="16"/>
      <w:lang w:val="en-US"/>
    </w:rPr>
    <w:tblPr>
      <w:tblCellMar>
        <w:left w:w="0" w:type="dxa"/>
        <w:right w:w="0" w:type="dxa"/>
      </w:tblCellMar>
    </w:tblPr>
    <w:tcPr>
      <w:vAlign w:val="bottom"/>
    </w:tcPr>
    <w:tblStylePr w:type="firstCol">
      <w:pPr>
        <w:wordWrap/>
        <w:jc w:val="left"/>
      </w:pPr>
    </w:tblStylePr>
  </w:style>
  <w:style w:type="table" w:customStyle="1" w:styleId="TableGrid4">
    <w:name w:val="Table Grid4"/>
    <w:basedOn w:val="TableNormal"/>
    <w:next w:val="TableGrid"/>
    <w:uiPriority w:val="39"/>
    <w:rsid w:val="00D73913"/>
    <w:pPr>
      <w:spacing w:after="0" w:line="240" w:lineRule="auto"/>
      <w:contextualSpacing/>
      <w:jc w:val="right"/>
    </w:pPr>
    <w:rPr>
      <w:rFonts w:ascii="Times New Roman" w:hAnsi="Times New Roman"/>
      <w:sz w:val="16"/>
      <w:lang w:val="en-US"/>
    </w:rPr>
    <w:tblPr>
      <w:tblCellMar>
        <w:left w:w="0" w:type="dxa"/>
        <w:right w:w="0" w:type="dxa"/>
      </w:tblCellMar>
    </w:tblPr>
    <w:tcPr>
      <w:vAlign w:val="bottom"/>
    </w:tcPr>
    <w:tblStylePr w:type="firstCol">
      <w:pPr>
        <w:wordWrap/>
        <w:jc w:val="left"/>
      </w:pPr>
    </w:tblStylePr>
  </w:style>
  <w:style w:type="character" w:styleId="CommentReference">
    <w:name w:val="annotation reference"/>
    <w:basedOn w:val="DefaultParagraphFont"/>
    <w:uiPriority w:val="99"/>
    <w:semiHidden/>
    <w:unhideWhenUsed/>
    <w:rsid w:val="00B3759E"/>
    <w:rPr>
      <w:sz w:val="16"/>
      <w:szCs w:val="16"/>
    </w:rPr>
  </w:style>
  <w:style w:type="paragraph" w:customStyle="1" w:styleId="BodyTextBalanced">
    <w:name w:val="BodyTextBalanced"/>
    <w:basedOn w:val="Normal"/>
    <w:uiPriority w:val="99"/>
    <w:rsid w:val="002445EC"/>
    <w:pPr>
      <w:suppressAutoHyphens/>
      <w:autoSpaceDE w:val="0"/>
      <w:autoSpaceDN w:val="0"/>
      <w:adjustRightInd w:val="0"/>
      <w:spacing w:after="0" w:line="200" w:lineRule="atLeast"/>
      <w:textAlignment w:val="center"/>
    </w:pPr>
    <w:rPr>
      <w:rFonts w:ascii="AvenirNext LT Pro Regular" w:hAnsi="AvenirNext LT Pro Regular" w:cs="AvenirNext LT Pro Regular"/>
      <w:color w:val="0055B7"/>
      <w:sz w:val="16"/>
      <w:szCs w:val="16"/>
    </w:rPr>
  </w:style>
  <w:style w:type="paragraph" w:customStyle="1" w:styleId="BodyText">
    <w:name w:val="BodyText"/>
    <w:basedOn w:val="Normal"/>
    <w:uiPriority w:val="99"/>
    <w:rsid w:val="000028B3"/>
    <w:pPr>
      <w:suppressAutoHyphens/>
      <w:autoSpaceDE w:val="0"/>
      <w:autoSpaceDN w:val="0"/>
      <w:adjustRightInd w:val="0"/>
      <w:spacing w:after="0" w:line="200" w:lineRule="atLeast"/>
      <w:textAlignment w:val="center"/>
    </w:pPr>
    <w:rPr>
      <w:rFonts w:ascii="AvenirNext LT Pro Regular" w:hAnsi="AvenirNext LT Pro Regular" w:cs="AvenirNext LT Pro Regular"/>
      <w:color w:val="0055B7"/>
      <w:sz w:val="16"/>
      <w:szCs w:val="16"/>
    </w:rPr>
  </w:style>
  <w:style w:type="character" w:styleId="UnresolvedMention">
    <w:name w:val="Unresolved Mention"/>
    <w:basedOn w:val="DefaultParagraphFont"/>
    <w:uiPriority w:val="99"/>
    <w:semiHidden/>
    <w:unhideWhenUsed/>
    <w:rsid w:val="006A1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5338">
      <w:bodyDiv w:val="1"/>
      <w:marLeft w:val="0"/>
      <w:marRight w:val="0"/>
      <w:marTop w:val="0"/>
      <w:marBottom w:val="0"/>
      <w:divBdr>
        <w:top w:val="none" w:sz="0" w:space="0" w:color="auto"/>
        <w:left w:val="none" w:sz="0" w:space="0" w:color="auto"/>
        <w:bottom w:val="none" w:sz="0" w:space="0" w:color="auto"/>
        <w:right w:val="none" w:sz="0" w:space="0" w:color="auto"/>
      </w:divBdr>
    </w:div>
    <w:div w:id="467163332">
      <w:bodyDiv w:val="1"/>
      <w:marLeft w:val="0"/>
      <w:marRight w:val="0"/>
      <w:marTop w:val="0"/>
      <w:marBottom w:val="0"/>
      <w:divBdr>
        <w:top w:val="none" w:sz="0" w:space="0" w:color="auto"/>
        <w:left w:val="none" w:sz="0" w:space="0" w:color="auto"/>
        <w:bottom w:val="none" w:sz="0" w:space="0" w:color="auto"/>
        <w:right w:val="none" w:sz="0" w:space="0" w:color="auto"/>
      </w:divBdr>
    </w:div>
    <w:div w:id="543643480">
      <w:bodyDiv w:val="1"/>
      <w:marLeft w:val="0"/>
      <w:marRight w:val="0"/>
      <w:marTop w:val="0"/>
      <w:marBottom w:val="0"/>
      <w:divBdr>
        <w:top w:val="none" w:sz="0" w:space="0" w:color="auto"/>
        <w:left w:val="none" w:sz="0" w:space="0" w:color="auto"/>
        <w:bottom w:val="none" w:sz="0" w:space="0" w:color="auto"/>
        <w:right w:val="none" w:sz="0" w:space="0" w:color="auto"/>
      </w:divBdr>
    </w:div>
    <w:div w:id="715470734">
      <w:bodyDiv w:val="1"/>
      <w:marLeft w:val="0"/>
      <w:marRight w:val="0"/>
      <w:marTop w:val="0"/>
      <w:marBottom w:val="0"/>
      <w:divBdr>
        <w:top w:val="none" w:sz="0" w:space="0" w:color="auto"/>
        <w:left w:val="none" w:sz="0" w:space="0" w:color="auto"/>
        <w:bottom w:val="none" w:sz="0" w:space="0" w:color="auto"/>
        <w:right w:val="none" w:sz="0" w:space="0" w:color="auto"/>
      </w:divBdr>
    </w:div>
    <w:div w:id="943463399">
      <w:bodyDiv w:val="1"/>
      <w:marLeft w:val="0"/>
      <w:marRight w:val="0"/>
      <w:marTop w:val="0"/>
      <w:marBottom w:val="0"/>
      <w:divBdr>
        <w:top w:val="none" w:sz="0" w:space="0" w:color="auto"/>
        <w:left w:val="none" w:sz="0" w:space="0" w:color="auto"/>
        <w:bottom w:val="none" w:sz="0" w:space="0" w:color="auto"/>
        <w:right w:val="none" w:sz="0" w:space="0" w:color="auto"/>
      </w:divBdr>
    </w:div>
    <w:div w:id="1019699969">
      <w:bodyDiv w:val="1"/>
      <w:marLeft w:val="0"/>
      <w:marRight w:val="0"/>
      <w:marTop w:val="0"/>
      <w:marBottom w:val="0"/>
      <w:divBdr>
        <w:top w:val="none" w:sz="0" w:space="0" w:color="auto"/>
        <w:left w:val="none" w:sz="0" w:space="0" w:color="auto"/>
        <w:bottom w:val="none" w:sz="0" w:space="0" w:color="auto"/>
        <w:right w:val="none" w:sz="0" w:space="0" w:color="auto"/>
      </w:divBdr>
    </w:div>
    <w:div w:id="1111898891">
      <w:bodyDiv w:val="1"/>
      <w:marLeft w:val="0"/>
      <w:marRight w:val="0"/>
      <w:marTop w:val="0"/>
      <w:marBottom w:val="0"/>
      <w:divBdr>
        <w:top w:val="none" w:sz="0" w:space="0" w:color="auto"/>
        <w:left w:val="none" w:sz="0" w:space="0" w:color="auto"/>
        <w:bottom w:val="none" w:sz="0" w:space="0" w:color="auto"/>
        <w:right w:val="none" w:sz="0" w:space="0" w:color="auto"/>
      </w:divBdr>
    </w:div>
    <w:div w:id="1238054593">
      <w:bodyDiv w:val="1"/>
      <w:marLeft w:val="0"/>
      <w:marRight w:val="0"/>
      <w:marTop w:val="0"/>
      <w:marBottom w:val="0"/>
      <w:divBdr>
        <w:top w:val="none" w:sz="0" w:space="0" w:color="auto"/>
        <w:left w:val="none" w:sz="0" w:space="0" w:color="auto"/>
        <w:bottom w:val="none" w:sz="0" w:space="0" w:color="auto"/>
        <w:right w:val="none" w:sz="0" w:space="0" w:color="auto"/>
      </w:divBdr>
    </w:div>
    <w:div w:id="1272932854">
      <w:bodyDiv w:val="1"/>
      <w:marLeft w:val="0"/>
      <w:marRight w:val="0"/>
      <w:marTop w:val="0"/>
      <w:marBottom w:val="0"/>
      <w:divBdr>
        <w:top w:val="none" w:sz="0" w:space="0" w:color="auto"/>
        <w:left w:val="none" w:sz="0" w:space="0" w:color="auto"/>
        <w:bottom w:val="none" w:sz="0" w:space="0" w:color="auto"/>
        <w:right w:val="none" w:sz="0" w:space="0" w:color="auto"/>
      </w:divBdr>
    </w:div>
    <w:div w:id="1417246294">
      <w:bodyDiv w:val="1"/>
      <w:marLeft w:val="0"/>
      <w:marRight w:val="0"/>
      <w:marTop w:val="0"/>
      <w:marBottom w:val="0"/>
      <w:divBdr>
        <w:top w:val="none" w:sz="0" w:space="0" w:color="auto"/>
        <w:left w:val="none" w:sz="0" w:space="0" w:color="auto"/>
        <w:bottom w:val="none" w:sz="0" w:space="0" w:color="auto"/>
        <w:right w:val="none" w:sz="0" w:space="0" w:color="auto"/>
      </w:divBdr>
    </w:div>
    <w:div w:id="1440099322">
      <w:bodyDiv w:val="1"/>
      <w:marLeft w:val="0"/>
      <w:marRight w:val="0"/>
      <w:marTop w:val="0"/>
      <w:marBottom w:val="0"/>
      <w:divBdr>
        <w:top w:val="none" w:sz="0" w:space="0" w:color="auto"/>
        <w:left w:val="none" w:sz="0" w:space="0" w:color="auto"/>
        <w:bottom w:val="none" w:sz="0" w:space="0" w:color="auto"/>
        <w:right w:val="none" w:sz="0" w:space="0" w:color="auto"/>
      </w:divBdr>
    </w:div>
    <w:div w:id="191766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enkos.com" TargetMode="External"/><Relationship Id="rId4" Type="http://schemas.openxmlformats.org/officeDocument/2006/relationships/customXml" Target="../customXml/item4.xml"/><Relationship Id="rId9" Type="http://schemas.openxmlformats.org/officeDocument/2006/relationships/hyperlink" Target="http://www.tclark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C5A0F759760D4BA59D51E31866CDD3" ma:contentTypeVersion="10" ma:contentTypeDescription="Create a new document." ma:contentTypeScope="" ma:versionID="5abec7cc4a1c46cddfdcaed09ebddc29">
  <xsd:schema xmlns:xsd="http://www.w3.org/2001/XMLSchema" xmlns:xs="http://www.w3.org/2001/XMLSchema" xmlns:p="http://schemas.microsoft.com/office/2006/metadata/properties" xmlns:ns3="40d16ac0-56a5-4459-944b-f8ce7b652b31" targetNamespace="http://schemas.microsoft.com/office/2006/metadata/properties" ma:root="true" ma:fieldsID="0f01f0ffc96af3381c630497a2083449" ns3:_="">
    <xsd:import namespace="40d16ac0-56a5-4459-944b-f8ce7b652b3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16ac0-56a5-4459-944b-f8ce7b652b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3D1464-1AD3-4D57-8A56-D4393B434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16ac0-56a5-4459-944b-f8ce7b652b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34219-9F7C-466D-9379-64C42A6FD120}">
  <ds:schemaRefs>
    <ds:schemaRef ds:uri="http://schemas.openxmlformats.org/officeDocument/2006/bibliography"/>
  </ds:schemaRefs>
</ds:datastoreItem>
</file>

<file path=customXml/itemProps3.xml><?xml version="1.0" encoding="utf-8"?>
<ds:datastoreItem xmlns:ds="http://schemas.openxmlformats.org/officeDocument/2006/customXml" ds:itemID="{AEB9FBE3-276C-4F05-9679-0D199CDA710E}">
  <ds:schemaRefs>
    <ds:schemaRef ds:uri="http://schemas.microsoft.com/sharepoint/v3/contenttype/forms"/>
  </ds:schemaRefs>
</ds:datastoreItem>
</file>

<file path=customXml/itemProps4.xml><?xml version="1.0" encoding="utf-8"?>
<ds:datastoreItem xmlns:ds="http://schemas.openxmlformats.org/officeDocument/2006/customXml" ds:itemID="{E009B4E2-2CB1-49E7-A50C-F27B38087D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7255</Words>
  <Characters>41359</Characters>
  <Application>Microsoft Office Word</Application>
  <DocSecurity>4</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Lawrence</dc:creator>
  <cp:keywords/>
  <dc:description/>
  <cp:lastModifiedBy>Mark Robinson</cp:lastModifiedBy>
  <cp:revision>2</cp:revision>
  <cp:lastPrinted>2019-03-21T13:21:00Z</cp:lastPrinted>
  <dcterms:created xsi:type="dcterms:W3CDTF">2021-03-26T17:13:00Z</dcterms:created>
  <dcterms:modified xsi:type="dcterms:W3CDTF">2021-03-26T17:13:00Z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0x01010018C5A0F759760D4BA59D51E31866CDD3</vt:lpwstr>
  </property>
</Properties>
</file>