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6775" w14:textId="64A11955" w:rsidR="00C679B9" w:rsidRPr="00E95082" w:rsidRDefault="00E95082" w:rsidP="00E95082">
      <w:pPr>
        <w:spacing w:after="0"/>
        <w:jc w:val="center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SEGRO plc</w:t>
      </w:r>
    </w:p>
    <w:p w14:paraId="1355B40A" w14:textId="6B3944B2" w:rsidR="00E95082" w:rsidRDefault="00E95082" w:rsidP="00E95082">
      <w:pPr>
        <w:spacing w:after="0"/>
        <w:jc w:val="center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(the Company)</w:t>
      </w:r>
    </w:p>
    <w:p w14:paraId="0F0D5209" w14:textId="77777777" w:rsidR="00E95082" w:rsidRPr="00E95082" w:rsidRDefault="00E95082" w:rsidP="00E95082">
      <w:pPr>
        <w:spacing w:after="0"/>
        <w:jc w:val="center"/>
        <w:rPr>
          <w:rFonts w:cs="Arial"/>
          <w:b/>
          <w:bCs/>
          <w:szCs w:val="20"/>
        </w:rPr>
      </w:pPr>
    </w:p>
    <w:p w14:paraId="13C0BD02" w14:textId="3C284506" w:rsidR="00E95082" w:rsidRPr="00E95082" w:rsidRDefault="00E95082" w:rsidP="00E95082">
      <w:pPr>
        <w:jc w:val="center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RESOLUTIONS PASSED AS SPECIAL BUSINESS ON 22 APRIL 2021</w:t>
      </w:r>
    </w:p>
    <w:p w14:paraId="6FECC481" w14:textId="3E324FFE" w:rsidR="00E95082" w:rsidRPr="00E95082" w:rsidRDefault="00E95082" w:rsidP="00E95082">
      <w:pPr>
        <w:rPr>
          <w:rFonts w:cs="Arial"/>
          <w:szCs w:val="20"/>
        </w:rPr>
      </w:pPr>
      <w:r w:rsidRPr="00E95082">
        <w:rPr>
          <w:rFonts w:cs="Arial"/>
          <w:szCs w:val="20"/>
        </w:rPr>
        <w:t xml:space="preserve">At the Company’s one hundredth Annual General Meeting which was duly convened and held at 1 New Burlington Place, London, W1S 2HR and electronically on Thursday 22 April 2021, the following resolutions were passed under special business. </w:t>
      </w:r>
    </w:p>
    <w:p w14:paraId="2B339AB7" w14:textId="75D6B244" w:rsidR="00E95082" w:rsidRPr="00E95082" w:rsidRDefault="00E95082" w:rsidP="00E95082">
      <w:pPr>
        <w:rPr>
          <w:rFonts w:cs="Arial"/>
          <w:szCs w:val="20"/>
        </w:rPr>
      </w:pPr>
      <w:r w:rsidRPr="00E95082">
        <w:rPr>
          <w:rFonts w:cs="Arial"/>
          <w:szCs w:val="20"/>
        </w:rPr>
        <w:t xml:space="preserve">Resolutions 15, 16 and 21 to 23 (inclusive) were passed as ordinary resolutions, and resolutions 17 to 20 (inclusive) as special resolutions. </w:t>
      </w:r>
    </w:p>
    <w:p w14:paraId="320216AE" w14:textId="6DBB3368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Political donations and expenditure</w:t>
      </w:r>
    </w:p>
    <w:p w14:paraId="41B0180A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24E4678D" w14:textId="2EAADD0D" w:rsid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That, in accordance with section 366 of the Companies Act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2006 (the Act), the Company at the time at which this resolution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is passed, or at any time during the period for which this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resolution has effect, is authorised to:</w:t>
      </w:r>
    </w:p>
    <w:p w14:paraId="6BEEFF15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204AE71C" w14:textId="4ABCADC8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make political donations (as defined in section 364 of the Act)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to political parties (as defined in section 363 of the Act) or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independent election candidates (as defined in section 363 of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the Act), not exceeding £25,000 in total;</w:t>
      </w:r>
    </w:p>
    <w:p w14:paraId="4363B3E3" w14:textId="77777777" w:rsid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szCs w:val="20"/>
        </w:rPr>
      </w:pPr>
    </w:p>
    <w:p w14:paraId="0A4215D4" w14:textId="62F8EA52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 xml:space="preserve"> make political donations (as defined in section 364 of the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Act) to political organisations other than political parties (as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defined in section 363 of the Act), not exceeding £25,000 in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total; and</w:t>
      </w:r>
    </w:p>
    <w:p w14:paraId="02424A59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60AF2F80" w14:textId="752E3F5F" w:rsidR="00E95082" w:rsidRP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incur political expenditure (as defined in section 365 of the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Act), not exceeding £25,000 in total,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during the period beginning with the date of the passing of this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resolution and ending on the date of the Company’s next annual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general meeting (or, if earlier, at the close of business on 21 July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2022). In any event, the aggregate amount of political donations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and political expenditure made or incurred by the Company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and its subsidiaries pursuant to this resolution shall not exceed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£50,000.</w:t>
      </w:r>
    </w:p>
    <w:p w14:paraId="2D5D266C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3BBE3DF5" w14:textId="7C0B556A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Authority to allot shares</w:t>
      </w:r>
    </w:p>
    <w:p w14:paraId="59D8BC24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1F402B1A" w14:textId="1A4F85E6" w:rsidR="00E95082" w:rsidRP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That, the Directors be and are hereby generally and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unconditionally authorised in accordance with section 551 of the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Act to exercise all the Company’s power to allot shares in the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Company and to grant rights to subscribe for, or to convert any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security into, shares in the Company (Rights) up to an aggregate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nominal amount of £39,719,287, on the following terms:</w:t>
      </w:r>
    </w:p>
    <w:p w14:paraId="098B6863" w14:textId="77777777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7CE5973A" w14:textId="7762D7DF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this authority expires (unless previously renewed, varied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or revoked) at the end of the Company’s next annual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general meeting (or, if earlier, at the close of business on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21 July 2022); and</w:t>
      </w:r>
    </w:p>
    <w:p w14:paraId="26006E64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szCs w:val="20"/>
        </w:rPr>
      </w:pPr>
    </w:p>
    <w:p w14:paraId="4F81B0E3" w14:textId="731B3F93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the Directors may make offers, and enter into arrangements,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before the expiry of this authority, which would, or might,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require shares to be allotted or Rights to be granted after the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authority expires and the Directors may allot shares and grant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Rights pursuant to any such offer or agreements as if the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authority had not expired; and the authority is in substitution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for all subsisting authorities.</w:t>
      </w:r>
    </w:p>
    <w:p w14:paraId="369E901C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3D6BCBC2" w14:textId="6AB69C00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General power to disapply pre-emption rights</w:t>
      </w:r>
    </w:p>
    <w:p w14:paraId="7A8B8D8E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5F4A5BFD" w14:textId="0757B46B" w:rsidR="00E95082" w:rsidRP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That, if resolution 16 is passed, the Directors be and are hereby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empowered pursuant to section 570 and section 573 of the Act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to allot equity securities (within the meaning of section 560 of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the Act) for cash pursuant to the authority given by resolution 16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and/or to sell ordinary shares held by the Company as treasury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shares for cash as if section 561 of the Act did not apply to any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such allotment or sale, such power to be limited:</w:t>
      </w:r>
    </w:p>
    <w:p w14:paraId="34518DB3" w14:textId="46CAB59E" w:rsidR="00E95082" w:rsidRP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to the allotment of equity securities or sale of treasury shares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in connection with an offer or issue of, or invitation to apply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for, equity securities in favour of:</w:t>
      </w:r>
    </w:p>
    <w:p w14:paraId="4AEEF4B4" w14:textId="09516A86" w:rsidR="00E95082" w:rsidRDefault="00E95082" w:rsidP="00E95082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lastRenderedPageBreak/>
        <w:t>ordinary shareholders where the equity securities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respectively attributable to the interests of the ordinary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shareholders (other than the Company) are proportionate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(as nearly as may be) to the respective number of ordinary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shares held by them; and</w:t>
      </w:r>
    </w:p>
    <w:p w14:paraId="1370491C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cs="Arial"/>
          <w:szCs w:val="20"/>
        </w:rPr>
      </w:pPr>
    </w:p>
    <w:p w14:paraId="2BF7773F" w14:textId="26EFC91D" w:rsidR="00E95082" w:rsidRDefault="00E95082" w:rsidP="00E95082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ii. holders of other equity securities, as required by the rights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of those securities,</w:t>
      </w:r>
    </w:p>
    <w:p w14:paraId="58031535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cs="Arial"/>
          <w:szCs w:val="20"/>
        </w:rPr>
      </w:pPr>
    </w:p>
    <w:p w14:paraId="3E1F6536" w14:textId="75DB0DAA" w:rsidR="00E95082" w:rsidRDefault="00E95082" w:rsidP="00E95082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szCs w:val="20"/>
        </w:rPr>
      </w:pPr>
      <w:r w:rsidRPr="00E95082">
        <w:rPr>
          <w:rFonts w:cs="Arial"/>
          <w:szCs w:val="20"/>
        </w:rPr>
        <w:t>or as the Directors otherwise consider necessary, and so that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the Directors may impose any limits, exclusions or restrictions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and make any arrangements which they deem necessary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or expedient in relation to treasury shares, fractional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entitlements, record dates, legal or practical problems in,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or under the laws of, or the requirements of, any relevant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regulatory body or stock exchange in, any territory, or any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other matter; and</w:t>
      </w:r>
      <w:r w:rsidRPr="00E95082">
        <w:rPr>
          <w:rFonts w:cs="Arial"/>
          <w:szCs w:val="20"/>
        </w:rPr>
        <w:t xml:space="preserve"> </w:t>
      </w:r>
    </w:p>
    <w:p w14:paraId="6FA8355B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13BC83D0" w14:textId="77777777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to the allotment (otherwise than pursuant to paragraph (a)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above, of equity securities or sale of treasury shares up to a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total aggregate nominal amount of £5,957,893,</w:t>
      </w:r>
      <w:r>
        <w:rPr>
          <w:rFonts w:cs="Arial"/>
          <w:szCs w:val="20"/>
        </w:rPr>
        <w:t xml:space="preserve"> </w:t>
      </w:r>
    </w:p>
    <w:p w14:paraId="05F66564" w14:textId="77777777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55F96F64" w14:textId="3111765C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szCs w:val="20"/>
        </w:rPr>
      </w:pPr>
      <w:r w:rsidRPr="00E95082">
        <w:rPr>
          <w:rFonts w:cs="Arial"/>
          <w:szCs w:val="20"/>
        </w:rPr>
        <w:t>such power to apply until the end of the Company’s next annual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general meeting (or, if earlier, until the close of business on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21 July 2022) but, in each case, prior to its expiry the Directors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may make offers, and enter into agreements, which would, or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might, require equity securities to be allotted (and treasury shares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to be sold) after the power expires and the Directors may allot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equity securities (and sell treasury shares) under any such offer or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agreement as if the power had not expired.</w:t>
      </w:r>
    </w:p>
    <w:p w14:paraId="72A8AE7C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488DD0A7" w14:textId="2D6F8A1E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Specific power to disapply pre-emption rights in</w:t>
      </w:r>
      <w:r>
        <w:rPr>
          <w:rFonts w:cs="Arial"/>
          <w:b/>
          <w:bCs/>
          <w:szCs w:val="20"/>
        </w:rPr>
        <w:t xml:space="preserve"> </w:t>
      </w:r>
      <w:r w:rsidRPr="00E95082">
        <w:rPr>
          <w:rFonts w:cs="Arial"/>
          <w:b/>
          <w:bCs/>
          <w:szCs w:val="20"/>
        </w:rPr>
        <w:t xml:space="preserve">connection with an acquisition or specified </w:t>
      </w:r>
      <w:r>
        <w:rPr>
          <w:rFonts w:cs="Arial"/>
          <w:b/>
          <w:bCs/>
          <w:szCs w:val="20"/>
        </w:rPr>
        <w:t>c</w:t>
      </w:r>
      <w:r w:rsidRPr="00E95082">
        <w:rPr>
          <w:rFonts w:cs="Arial"/>
          <w:b/>
          <w:bCs/>
          <w:szCs w:val="20"/>
        </w:rPr>
        <w:t>apital</w:t>
      </w:r>
      <w:r>
        <w:rPr>
          <w:rFonts w:cs="Arial"/>
          <w:b/>
          <w:bCs/>
          <w:szCs w:val="20"/>
        </w:rPr>
        <w:t xml:space="preserve"> </w:t>
      </w:r>
      <w:r w:rsidRPr="00E95082">
        <w:rPr>
          <w:rFonts w:cs="Arial"/>
          <w:b/>
          <w:bCs/>
          <w:szCs w:val="20"/>
        </w:rPr>
        <w:t>investment</w:t>
      </w:r>
    </w:p>
    <w:p w14:paraId="2B126F80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0980374B" w14:textId="0C426E59" w:rsid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That, if resolution 16 is passed, the Directors be and are hereby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empowered pursuant to section 570 and section 573 of the Act,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in addition to any power granted under resolution 17 to allot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equity securities (within the meaning of section 560 of the Act)for cash pursuant to the authority given by resolution 16 and/or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to sell ordinary shares held by the Company as treasury shares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for cash as if section 561 of the Act did not apply to any such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allotment or sale, such power to be:</w:t>
      </w:r>
    </w:p>
    <w:p w14:paraId="6B900A39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6795865E" w14:textId="6FE83AB0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limited to the allotment of equity securities or sale of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treasury shares up to a total aggregate nominal amount of£5,957,893; and</w:t>
      </w:r>
    </w:p>
    <w:p w14:paraId="63DED4A3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szCs w:val="20"/>
        </w:rPr>
      </w:pPr>
    </w:p>
    <w:p w14:paraId="0AA2F2A1" w14:textId="45D9AEC2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used only for the purposes of financing (or refinancing,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if the power is to be used within six months after the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original transaction) a transaction which the </w:t>
      </w:r>
      <w:r w:rsidRPr="00E95082">
        <w:rPr>
          <w:rFonts w:cs="Arial"/>
          <w:szCs w:val="20"/>
        </w:rPr>
        <w:t>Directors determine</w:t>
      </w:r>
      <w:r w:rsidRPr="00E95082">
        <w:rPr>
          <w:rFonts w:cs="Arial"/>
          <w:szCs w:val="20"/>
        </w:rPr>
        <w:t xml:space="preserve"> to be an acquisition or other capital investment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of a kind contemplated by the Statement of Principles </w:t>
      </w:r>
      <w:r w:rsidRPr="00E95082">
        <w:rPr>
          <w:rFonts w:cs="Arial"/>
          <w:szCs w:val="20"/>
        </w:rPr>
        <w:t>on Disapplying</w:t>
      </w:r>
      <w:r w:rsidRPr="00E95082">
        <w:rPr>
          <w:rFonts w:cs="Arial"/>
          <w:szCs w:val="20"/>
        </w:rPr>
        <w:t xml:space="preserve"> Pre-Emption Rights most recently published </w:t>
      </w:r>
      <w:r w:rsidRPr="00E95082">
        <w:rPr>
          <w:rFonts w:cs="Arial"/>
          <w:szCs w:val="20"/>
        </w:rPr>
        <w:t>by the</w:t>
      </w:r>
      <w:r w:rsidRPr="00E95082">
        <w:rPr>
          <w:rFonts w:cs="Arial"/>
          <w:szCs w:val="20"/>
        </w:rPr>
        <w:t xml:space="preserve"> Pre</w:t>
      </w:r>
      <w:r w:rsidRPr="00E95082">
        <w:rPr>
          <w:rFonts w:ascii="Cambria Math" w:hAnsi="Cambria Math" w:cs="Cambria Math"/>
          <w:szCs w:val="20"/>
        </w:rPr>
        <w:t>‑</w:t>
      </w:r>
      <w:r w:rsidRPr="00E95082">
        <w:rPr>
          <w:rFonts w:cs="Arial"/>
          <w:szCs w:val="20"/>
        </w:rPr>
        <w:t xml:space="preserve">Emption Group prior to the date of this Notice </w:t>
      </w:r>
      <w:r w:rsidRPr="00E95082">
        <w:rPr>
          <w:rFonts w:cs="Arial"/>
          <w:szCs w:val="20"/>
        </w:rPr>
        <w:t>and including</w:t>
      </w:r>
      <w:r w:rsidRPr="00E95082">
        <w:rPr>
          <w:rFonts w:cs="Arial"/>
          <w:szCs w:val="20"/>
        </w:rPr>
        <w:t xml:space="preserve"> development </w:t>
      </w:r>
      <w:r w:rsidRPr="00E95082">
        <w:rPr>
          <w:rFonts w:cs="Arial"/>
          <w:szCs w:val="20"/>
        </w:rPr>
        <w:t xml:space="preserve">expenditure, </w:t>
      </w:r>
    </w:p>
    <w:p w14:paraId="4B122876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0F72FCCC" w14:textId="340DA5EB" w:rsidR="00E95082" w:rsidRDefault="00E95082" w:rsidP="00E95082">
      <w:pPr>
        <w:autoSpaceDE w:val="0"/>
        <w:autoSpaceDN w:val="0"/>
        <w:adjustRightInd w:val="0"/>
        <w:spacing w:after="0" w:line="240" w:lineRule="auto"/>
        <w:ind w:left="851"/>
        <w:rPr>
          <w:rFonts w:cs="Arial"/>
          <w:szCs w:val="20"/>
        </w:rPr>
      </w:pPr>
      <w:r w:rsidRPr="00E95082">
        <w:rPr>
          <w:rFonts w:cs="Arial"/>
          <w:szCs w:val="20"/>
        </w:rPr>
        <w:t>such</w:t>
      </w:r>
      <w:r w:rsidRPr="00E95082">
        <w:rPr>
          <w:rFonts w:cs="Arial"/>
          <w:szCs w:val="20"/>
        </w:rPr>
        <w:t xml:space="preserve"> power to expire at the end of the Company’s next annual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general meeting (or, if earlier, at the close of business on 21 July2022) but, in each case, prior to its expiry the Directors </w:t>
      </w:r>
      <w:r w:rsidRPr="00E95082">
        <w:rPr>
          <w:rFonts w:cs="Arial"/>
          <w:szCs w:val="20"/>
        </w:rPr>
        <w:t>may make</w:t>
      </w:r>
      <w:r w:rsidRPr="00E95082">
        <w:rPr>
          <w:rFonts w:cs="Arial"/>
          <w:szCs w:val="20"/>
        </w:rPr>
        <w:t xml:space="preserve"> offers, and enter into agreements, which would, or </w:t>
      </w:r>
      <w:r w:rsidRPr="00E95082">
        <w:rPr>
          <w:rFonts w:cs="Arial"/>
          <w:szCs w:val="20"/>
        </w:rPr>
        <w:t>might, require</w:t>
      </w:r>
      <w:r w:rsidRPr="00E95082">
        <w:rPr>
          <w:rFonts w:cs="Arial"/>
          <w:szCs w:val="20"/>
        </w:rPr>
        <w:t xml:space="preserve"> equity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securities to be allotted (and treasury shares to </w:t>
      </w:r>
      <w:r w:rsidRPr="00E95082">
        <w:rPr>
          <w:rFonts w:cs="Arial"/>
          <w:szCs w:val="20"/>
        </w:rPr>
        <w:t>be sold</w:t>
      </w:r>
      <w:r w:rsidRPr="00E95082">
        <w:rPr>
          <w:rFonts w:cs="Arial"/>
          <w:szCs w:val="20"/>
        </w:rPr>
        <w:t xml:space="preserve">) after the power expires and the Directors may allot </w:t>
      </w:r>
      <w:r w:rsidRPr="00E95082">
        <w:rPr>
          <w:rFonts w:cs="Arial"/>
          <w:szCs w:val="20"/>
        </w:rPr>
        <w:t>equity securities</w:t>
      </w:r>
      <w:r w:rsidRPr="00E95082">
        <w:rPr>
          <w:rFonts w:cs="Arial"/>
          <w:szCs w:val="20"/>
        </w:rPr>
        <w:t xml:space="preserve"> (and sell treasury shares) pursuant to any such offer </w:t>
      </w:r>
      <w:r w:rsidRPr="00E95082">
        <w:rPr>
          <w:rFonts w:cs="Arial"/>
          <w:szCs w:val="20"/>
        </w:rPr>
        <w:t>or agreement</w:t>
      </w:r>
      <w:r w:rsidRPr="00E95082">
        <w:rPr>
          <w:rFonts w:cs="Arial"/>
          <w:szCs w:val="20"/>
        </w:rPr>
        <w:t xml:space="preserve"> as if the power had not expired.</w:t>
      </w:r>
    </w:p>
    <w:p w14:paraId="2426BE9D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4958CAEB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Authority to purchase own shares</w:t>
      </w:r>
    </w:p>
    <w:p w14:paraId="7983A08B" w14:textId="77777777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5CE9C211" w14:textId="739E44E8" w:rsid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That, the Company be and is hereby generally and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unconditionally authorised for the purposes of section 701 of the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Act to make market purchases (within the meaning of section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693(4) of the Act) of ordinary shares of 10 pence each in the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capital of the Company provided that:</w:t>
      </w:r>
    </w:p>
    <w:p w14:paraId="19C674AA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02C59A81" w14:textId="4B0CEF3A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the maximum aggregate number of ordinary shares hereby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authorised to be purchased is </w:t>
      </w:r>
      <w:proofErr w:type="gramStart"/>
      <w:r w:rsidRPr="00E95082">
        <w:rPr>
          <w:rFonts w:cs="Arial"/>
          <w:szCs w:val="20"/>
        </w:rPr>
        <w:t>119,157,863;</w:t>
      </w:r>
      <w:proofErr w:type="gramEnd"/>
    </w:p>
    <w:p w14:paraId="4A424EC6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szCs w:val="20"/>
        </w:rPr>
      </w:pPr>
    </w:p>
    <w:p w14:paraId="2A7487EC" w14:textId="7E1F2D6B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the minimum price which may be paid for each ordinary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share (exclusive of expenses) is 10 </w:t>
      </w:r>
      <w:proofErr w:type="gramStart"/>
      <w:r w:rsidRPr="00E95082">
        <w:rPr>
          <w:rFonts w:cs="Arial"/>
          <w:szCs w:val="20"/>
        </w:rPr>
        <w:t>pence;</w:t>
      </w:r>
      <w:proofErr w:type="gramEnd"/>
    </w:p>
    <w:p w14:paraId="0D1E5BB5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385BE5B3" w14:textId="43703342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the maximum price which may be paid for each ordinary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share (exclusive of expenses) shall be the higher of:</w:t>
      </w:r>
    </w:p>
    <w:p w14:paraId="426B43C4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05EABB8B" w14:textId="45177E0C" w:rsidR="00E95082" w:rsidRDefault="00E95082" w:rsidP="00E95082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an amount equal to 105 per cent of the average of the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middle market quotations for an ordinary share as derived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from the London Stock Exchange’s Daily Official List for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the five business days immediately preceding the day on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which such ordinary share is contracted to be purchased;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and</w:t>
      </w:r>
    </w:p>
    <w:p w14:paraId="314B793D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cs="Arial"/>
          <w:szCs w:val="20"/>
        </w:rPr>
      </w:pPr>
    </w:p>
    <w:p w14:paraId="608B6DE9" w14:textId="16D00DF1" w:rsidR="00E95082" w:rsidRDefault="00E95082" w:rsidP="00E95082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an amount that is the higher of the price of the last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independent trade and the highest current independent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purchase bid on the London Stock Exchange at the time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the purchase is carried </w:t>
      </w:r>
      <w:proofErr w:type="gramStart"/>
      <w:r w:rsidRPr="00E95082">
        <w:rPr>
          <w:rFonts w:cs="Arial"/>
          <w:szCs w:val="20"/>
        </w:rPr>
        <w:t>out;</w:t>
      </w:r>
      <w:proofErr w:type="gramEnd"/>
    </w:p>
    <w:p w14:paraId="46B3A41A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6F4EAE35" w14:textId="7D8DEC4C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this authority shall expire (unless previously renewed, varied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or revoked) at the end of the Company’s next annual general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meeting (or, if earlier, at the close of business on 21 July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2022); and</w:t>
      </w:r>
    </w:p>
    <w:p w14:paraId="48AF0DC1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szCs w:val="20"/>
        </w:rPr>
      </w:pPr>
    </w:p>
    <w:p w14:paraId="5C473FB0" w14:textId="2052AFFE" w:rsidR="00E95082" w:rsidRP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before this authority expires, the Company may make a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contract to purchase its ordinary shares under this authority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which would or might involve the Company purchasing its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own shares after this authority expires and the Company may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purchase its ordinary shares pursuant to such contract as if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this authority had not expired.</w:t>
      </w:r>
    </w:p>
    <w:p w14:paraId="58ED39C3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34633594" w14:textId="7BE82291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Notice of General Meeting</w:t>
      </w:r>
    </w:p>
    <w:p w14:paraId="138312DC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1468F9EF" w14:textId="3D8A8C88" w:rsidR="00E95082" w:rsidRP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That, a general meeting, other than an annual general meeting,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may be called on not less than 14 clear days’ notice.</w:t>
      </w:r>
    </w:p>
    <w:p w14:paraId="4D6817A8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1A48F69B" w14:textId="267730E7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SEGRO plc Savings Related Share Option Plan</w:t>
      </w:r>
    </w:p>
    <w:p w14:paraId="459BE37C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7C29554C" w14:textId="77B4EAE6" w:rsid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That:</w:t>
      </w:r>
    </w:p>
    <w:p w14:paraId="72A46347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62637808" w14:textId="73795EDF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the SEGRO plc Savings Related Share Option Plan 2021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(the 2021 SAYE), summarised in the explanatory note to this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resolution 21 set out in Appendix 2, and the rules of which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are produced to this Annual General Meeting and for the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purposes of identification initialled by the Chair, be approved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and the Directors be authorised to do all such acts and things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necessary or desirable to establish the 2021 SAYE; and</w:t>
      </w:r>
    </w:p>
    <w:p w14:paraId="123988C0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szCs w:val="20"/>
        </w:rPr>
      </w:pPr>
    </w:p>
    <w:p w14:paraId="5BB7D3FD" w14:textId="19F552E2" w:rsidR="00E95082" w:rsidRP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the Directors be authorised to adopt further plans based on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the 2021 SAYE but modified to take account of local tax,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exchange control or securities laws in overseas territories,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provided that any cash or shares made available under such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further plans are treated as counting against any limits on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individual or overall participation in the 2021 SAYE.</w:t>
      </w:r>
    </w:p>
    <w:p w14:paraId="1C195D76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364C73F7" w14:textId="511C9440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SEGRO plc Share Incentive Plan</w:t>
      </w:r>
    </w:p>
    <w:p w14:paraId="50703683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2E09A984" w14:textId="3F72D9FD" w:rsid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That:</w:t>
      </w:r>
    </w:p>
    <w:p w14:paraId="3421923B" w14:textId="77777777" w:rsidR="004C5CBE" w:rsidRPr="00E95082" w:rsidRDefault="004C5CBE" w:rsidP="004C5CBE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1F8E504F" w14:textId="06355CCC" w:rsid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the SEGRO plc Share Incentive Plan 2021 (the 2021 SIP),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summarised in the explanatory note to this resolution 22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set out in Appendix 2, and the rules of which are produced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to this Annual General Meeting and for the purposes of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identification initialled by the Chair, be approved and the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Directors be authorised to do all such acts and things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necessary or desirable to establish the 2021 SIP; and</w:t>
      </w:r>
    </w:p>
    <w:p w14:paraId="4835B7D7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szCs w:val="20"/>
        </w:rPr>
      </w:pPr>
    </w:p>
    <w:p w14:paraId="69DAFBCA" w14:textId="64A0D419" w:rsidR="00E95082" w:rsidRP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the Directors be authorised to adopt further plans based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on the 2021 SIP but modified to take account of local tax,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exchange control or securities laws in overseas </w:t>
      </w:r>
      <w:r w:rsidRPr="00E95082">
        <w:rPr>
          <w:rFonts w:cs="Arial"/>
          <w:szCs w:val="20"/>
        </w:rPr>
        <w:lastRenderedPageBreak/>
        <w:t>territories,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provided that any cash or shares made available under such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further plans are treated as counting against any limits on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individual or overall participation in the 2021 SIP.</w:t>
      </w:r>
    </w:p>
    <w:p w14:paraId="10FA599D" w14:textId="7FB703DB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2B1BEA30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6F4C9EB8" w14:textId="1F4222BE" w:rsid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E95082">
        <w:rPr>
          <w:rFonts w:cs="Arial"/>
          <w:b/>
          <w:bCs/>
          <w:szCs w:val="20"/>
        </w:rPr>
        <w:t>Scrip dividend</w:t>
      </w:r>
    </w:p>
    <w:p w14:paraId="473B82FA" w14:textId="77777777" w:rsidR="00E95082" w:rsidRPr="00E95082" w:rsidRDefault="00E95082" w:rsidP="00E9508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</w:p>
    <w:p w14:paraId="5277E99C" w14:textId="55313525" w:rsidR="00E95082" w:rsidRDefault="00E95082" w:rsidP="00E950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That, if resolution 16 is passed, the Directors be and are hereby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generally and unconditionally authorised:</w:t>
      </w:r>
    </w:p>
    <w:p w14:paraId="5BD0C0BB" w14:textId="77777777" w:rsidR="00E95082" w:rsidRPr="00E95082" w:rsidRDefault="00E95082" w:rsidP="00E95082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4EAAA7FA" w14:textId="5961C08D" w:rsidR="00E95082" w:rsidRP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to offer holders of ordinary shares, the right to elect to receive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ordinary shares in the capital of the Company, credited as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fully paid instead of cash, in respect of the whole (or some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part, to be determined by the Directors) of dividends declared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or paid during the period starting on the date of this Annual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General Meeting and ending on the earlier of 21 April 2024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and the beginning of the third annual general meeting of the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Company following the date of this Annual General Meeting</w:t>
      </w:r>
      <w:r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upon such terms as the Directors may determine; and</w:t>
      </w:r>
    </w:p>
    <w:p w14:paraId="4881D25D" w14:textId="04133B26" w:rsidR="00E95082" w:rsidRPr="00E95082" w:rsidRDefault="00E95082" w:rsidP="00E9508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E95082">
        <w:rPr>
          <w:rFonts w:cs="Arial"/>
          <w:szCs w:val="20"/>
        </w:rPr>
        <w:t>to do all acts and things required or permitted to be done in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accordance with Article 122 of the Articles of Association of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the Company in connection therewith, including to capitalise,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out of any sum which is part of the company’s reserves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(including any share premium account, capital redemption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 xml:space="preserve">reserve or other </w:t>
      </w:r>
      <w:proofErr w:type="spellStart"/>
      <w:r w:rsidRPr="00E95082">
        <w:rPr>
          <w:rFonts w:cs="Arial"/>
          <w:szCs w:val="20"/>
        </w:rPr>
        <w:t>undistributable</w:t>
      </w:r>
      <w:proofErr w:type="spellEnd"/>
      <w:r w:rsidRPr="00E95082">
        <w:rPr>
          <w:rFonts w:cs="Arial"/>
          <w:szCs w:val="20"/>
        </w:rPr>
        <w:t xml:space="preserve"> reserve) or profit and loss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account as the Directors may determine, such amount as</w:t>
      </w:r>
      <w:r w:rsidRPr="00E95082">
        <w:rPr>
          <w:rFonts w:cs="Arial"/>
          <w:szCs w:val="20"/>
        </w:rPr>
        <w:t xml:space="preserve"> </w:t>
      </w:r>
      <w:r w:rsidRPr="00E95082">
        <w:rPr>
          <w:rFonts w:cs="Arial"/>
          <w:szCs w:val="20"/>
        </w:rPr>
        <w:t>may be necessary.</w:t>
      </w:r>
    </w:p>
    <w:sectPr w:rsidR="00E95082" w:rsidRPr="00E95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44805" w14:textId="77777777" w:rsidR="004C5CBE" w:rsidRDefault="004C5CBE" w:rsidP="004C5CBE">
      <w:pPr>
        <w:spacing w:after="0" w:line="240" w:lineRule="auto"/>
      </w:pPr>
      <w:r>
        <w:separator/>
      </w:r>
    </w:p>
  </w:endnote>
  <w:endnote w:type="continuationSeparator" w:id="0">
    <w:p w14:paraId="2A2B293F" w14:textId="77777777" w:rsidR="004C5CBE" w:rsidRDefault="004C5CBE" w:rsidP="004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6E7DB" w14:textId="77777777" w:rsidR="004C5CBE" w:rsidRDefault="004C5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599647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692A2DA" w14:textId="0E317D18" w:rsidR="004C5CBE" w:rsidRPr="004C5CBE" w:rsidRDefault="004C5CBE">
        <w:pPr>
          <w:pStyle w:val="Footer"/>
          <w:jc w:val="right"/>
          <w:rPr>
            <w:sz w:val="16"/>
            <w:szCs w:val="16"/>
          </w:rPr>
        </w:pPr>
        <w:r w:rsidRPr="004C5CBE">
          <w:rPr>
            <w:sz w:val="16"/>
            <w:szCs w:val="16"/>
          </w:rPr>
          <w:fldChar w:fldCharType="begin"/>
        </w:r>
        <w:r w:rsidRPr="004C5CBE">
          <w:rPr>
            <w:sz w:val="16"/>
            <w:szCs w:val="16"/>
          </w:rPr>
          <w:instrText xml:space="preserve"> PAGE   \* MERGEFORMAT </w:instrText>
        </w:r>
        <w:r w:rsidRPr="004C5CBE">
          <w:rPr>
            <w:sz w:val="16"/>
            <w:szCs w:val="16"/>
          </w:rPr>
          <w:fldChar w:fldCharType="separate"/>
        </w:r>
        <w:r w:rsidRPr="004C5CBE">
          <w:rPr>
            <w:noProof/>
            <w:sz w:val="16"/>
            <w:szCs w:val="16"/>
          </w:rPr>
          <w:t>2</w:t>
        </w:r>
        <w:r w:rsidRPr="004C5CBE">
          <w:rPr>
            <w:noProof/>
            <w:sz w:val="16"/>
            <w:szCs w:val="16"/>
          </w:rPr>
          <w:fldChar w:fldCharType="end"/>
        </w:r>
      </w:p>
    </w:sdtContent>
  </w:sdt>
  <w:p w14:paraId="3E22C334" w14:textId="77777777" w:rsidR="004C5CBE" w:rsidRDefault="004C5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EE2A" w14:textId="77777777" w:rsidR="004C5CBE" w:rsidRDefault="004C5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6E0F2" w14:textId="77777777" w:rsidR="004C5CBE" w:rsidRDefault="004C5CBE" w:rsidP="004C5CBE">
      <w:pPr>
        <w:spacing w:after="0" w:line="240" w:lineRule="auto"/>
      </w:pPr>
      <w:r>
        <w:separator/>
      </w:r>
    </w:p>
  </w:footnote>
  <w:footnote w:type="continuationSeparator" w:id="0">
    <w:p w14:paraId="2AFA97CB" w14:textId="77777777" w:rsidR="004C5CBE" w:rsidRDefault="004C5CBE" w:rsidP="004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1A526" w14:textId="77777777" w:rsidR="004C5CBE" w:rsidRDefault="004C5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3015085"/>
      <w:docPartObj>
        <w:docPartGallery w:val="Watermarks"/>
        <w:docPartUnique/>
      </w:docPartObj>
    </w:sdtPr>
    <w:sdtContent>
      <w:p w14:paraId="6AF148D0" w14:textId="672DAC6A" w:rsidR="004C5CBE" w:rsidRDefault="004C5CBE">
        <w:pPr>
          <w:pStyle w:val="Header"/>
        </w:pPr>
        <w:r>
          <w:rPr>
            <w:noProof/>
          </w:rPr>
          <w:pict w14:anchorId="00D88B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7B2A" w14:textId="77777777" w:rsidR="004C5CBE" w:rsidRDefault="004C5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3343"/>
    <w:multiLevelType w:val="hybridMultilevel"/>
    <w:tmpl w:val="35FC5E08"/>
    <w:lvl w:ilvl="0" w:tplc="1A0A3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E7552"/>
    <w:multiLevelType w:val="hybridMultilevel"/>
    <w:tmpl w:val="F0801AA6"/>
    <w:lvl w:ilvl="0" w:tplc="4C62CA6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40892"/>
    <w:multiLevelType w:val="hybridMultilevel"/>
    <w:tmpl w:val="11EAAC6E"/>
    <w:lvl w:ilvl="0" w:tplc="4C62CA6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0A326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D0E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FFF5054"/>
    <w:multiLevelType w:val="hybridMultilevel"/>
    <w:tmpl w:val="C746427E"/>
    <w:lvl w:ilvl="0" w:tplc="1A0A3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82"/>
    <w:rsid w:val="00400287"/>
    <w:rsid w:val="004C5CBE"/>
    <w:rsid w:val="005E5A19"/>
    <w:rsid w:val="00756360"/>
    <w:rsid w:val="009517C2"/>
    <w:rsid w:val="00C679B9"/>
    <w:rsid w:val="00E379D6"/>
    <w:rsid w:val="00E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CE42B7"/>
  <w15:chartTrackingRefBased/>
  <w15:docId w15:val="{80DCC6ED-8258-44F6-9824-89645027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360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36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360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636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6360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6360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360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A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636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6360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6360"/>
    <w:rPr>
      <w:rFonts w:eastAsiaTheme="majorEastAsia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6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56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56360"/>
    <w:rPr>
      <w:rFonts w:eastAsiaTheme="majorEastAsi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360"/>
    <w:rPr>
      <w:rFonts w:eastAsiaTheme="majorEastAsia" w:cstheme="majorBidi"/>
      <w:i/>
      <w:iCs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5636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360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360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6360"/>
    <w:rPr>
      <w:rFonts w:eastAsiaTheme="minorEastAsia"/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75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BE"/>
  </w:style>
  <w:style w:type="paragraph" w:styleId="Footer">
    <w:name w:val="footer"/>
    <w:basedOn w:val="Normal"/>
    <w:link w:val="FooterChar"/>
    <w:uiPriority w:val="99"/>
    <w:unhideWhenUsed/>
    <w:rsid w:val="004C5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Smith</dc:creator>
  <cp:keywords/>
  <dc:description/>
  <cp:lastModifiedBy>Carys Smith</cp:lastModifiedBy>
  <cp:revision>1</cp:revision>
  <dcterms:created xsi:type="dcterms:W3CDTF">2021-03-22T13:43:00Z</dcterms:created>
  <dcterms:modified xsi:type="dcterms:W3CDTF">2021-03-22T14:03:00Z</dcterms:modified>
</cp:coreProperties>
</file>