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A104" w14:textId="60ABCCB1" w:rsidR="00D42CDD" w:rsidRPr="007A69ED" w:rsidRDefault="00D42CDD" w:rsidP="00D42CDD">
      <w:pPr>
        <w:pStyle w:val="NormalWeb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A69ED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ZIGUP plc</w:t>
      </w:r>
    </w:p>
    <w:p w14:paraId="2429D7F1" w14:textId="0E4FBEA5" w:rsidR="00D42CDD" w:rsidRPr="007A69ED" w:rsidRDefault="00D42CDD" w:rsidP="00D42CDD">
      <w:pPr>
        <w:pStyle w:val="NormalWeb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A69ED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("ZIGUP" or the "Company")</w:t>
      </w:r>
    </w:p>
    <w:p w14:paraId="744E08F2" w14:textId="69C0B5EA" w:rsidR="00D42CDD" w:rsidRPr="007A69ED" w:rsidRDefault="00D42CDD" w:rsidP="00D42CDD">
      <w:pPr>
        <w:pStyle w:val="NormalWeb"/>
        <w:spacing w:before="0" w:beforeAutospacing="0" w:after="20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r w:rsidRPr="007A69ED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Director/PDMR </w:t>
      </w:r>
      <w:r w:rsidR="004E1F7E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Shareholding</w:t>
      </w:r>
    </w:p>
    <w:p w14:paraId="480D35CE" w14:textId="1E8E5455" w:rsidR="002964C1" w:rsidRPr="007A69ED" w:rsidRDefault="002964C1" w:rsidP="003529CF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A69ED">
        <w:rPr>
          <w:rStyle w:val="bc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This announcement is made in accordance with Article 19</w:t>
      </w:r>
      <w:r w:rsidRPr="007A69ED">
        <w:rPr>
          <w:rFonts w:ascii="Arial" w:hAnsi="Arial" w:cs="Arial"/>
          <w:color w:val="222222"/>
          <w:sz w:val="20"/>
          <w:szCs w:val="20"/>
          <w:shd w:val="clear" w:color="auto" w:fill="F9F9F9"/>
        </w:rPr>
        <w:t> </w:t>
      </w:r>
      <w:r w:rsidRPr="007A69ED">
        <w:rPr>
          <w:rStyle w:val="bb"/>
          <w:rFonts w:ascii="Arial" w:eastAsiaTheme="majorEastAsia" w:hAnsi="Arial" w:cs="Arial"/>
          <w:color w:val="222222"/>
          <w:sz w:val="20"/>
          <w:szCs w:val="20"/>
          <w:shd w:val="clear" w:color="auto" w:fill="F9F9F9"/>
        </w:rPr>
        <w:t>of the Market Abuse Regulation ('MAR').</w:t>
      </w:r>
    </w:p>
    <w:p w14:paraId="72D00386" w14:textId="35607BD2" w:rsidR="004E1F7E" w:rsidRDefault="004E1F7E" w:rsidP="00D42CDD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Company announces </w:t>
      </w:r>
      <w:r w:rsidR="004915A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that </w:t>
      </w:r>
      <w:r w:rsidR="00DB06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on </w:t>
      </w:r>
      <w:r w:rsidR="00CD151C" w:rsidRPr="00D416F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2 August 2024</w:t>
      </w:r>
      <w:r w:rsidR="00DB06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9334DF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Jorge</w:t>
      </w:r>
      <w:r w:rsidR="00362B0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Al</w:t>
      </w:r>
      <w:r w:rsidR="00A1095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arcón</w:t>
      </w:r>
      <w:r w:rsidR="009334DF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 Person Discharging Managerial Responsibility</w:t>
      </w:r>
      <w:r w:rsidR="0063477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9334DF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exercised </w:t>
      </w:r>
      <w:r w:rsidR="00861FB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options </w:t>
      </w:r>
      <w:r w:rsidR="00874FF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(the “Options”) </w:t>
      </w:r>
      <w:r w:rsidR="004F414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to purchase </w:t>
      </w:r>
      <w:r w:rsidR="000E7F52" w:rsidRPr="00D416F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8,487</w:t>
      </w:r>
      <w:r w:rsidR="00861FB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ordinary shares of </w:t>
      </w:r>
      <w:r w:rsidR="005E50E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£0.50</w:t>
      </w:r>
      <w:r w:rsidR="00861FB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pence each </w:t>
      </w:r>
      <w:r w:rsidR="004F414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in the Company</w:t>
      </w:r>
      <w:r w:rsidR="000D33E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C121A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at a price of </w:t>
      </w:r>
      <w:r w:rsidR="0066558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£2.12</w:t>
      </w:r>
      <w:r w:rsidR="00C121A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per share</w:t>
      </w:r>
      <w:r w:rsidR="00874FF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.  The Options were granted </w:t>
      </w:r>
      <w:r w:rsidR="00BA33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on </w:t>
      </w:r>
      <w:r w:rsidR="0066558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5 February 2021</w:t>
      </w:r>
      <w:r w:rsidR="00BA33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74FF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pursuant to the rules of the Company’s Save </w:t>
      </w:r>
      <w:r w:rsidR="00934C8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="00874FF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 You Earn scheme</w:t>
      </w:r>
      <w:r w:rsidR="00BA33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67478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which received shareholder approval on 28 October 2020</w:t>
      </w:r>
      <w:r w:rsidR="00CA72A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C76A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  <w:r w:rsidR="00367DDD" w:rsidRPr="00321B0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ordinary shares required to satisfy the Options were transferred from the Company’s Employee Benefit Trust.</w:t>
      </w:r>
    </w:p>
    <w:p w14:paraId="5D4A1B3E" w14:textId="43063E10" w:rsidR="00D42CDD" w:rsidRDefault="00D42CDD" w:rsidP="00D42CDD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D42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Details of the full notification by the Company </w:t>
      </w:r>
      <w:r w:rsidR="0013789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are</w:t>
      </w:r>
      <w:r w:rsidRPr="00D42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set out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"/>
        <w:gridCol w:w="3081"/>
        <w:gridCol w:w="5283"/>
      </w:tblGrid>
      <w:tr w:rsidR="00D42CDD" w:rsidRPr="00DC3FBB" w14:paraId="08E0B290" w14:textId="77777777" w:rsidTr="00D42CDD">
        <w:tc>
          <w:tcPr>
            <w:tcW w:w="412" w:type="dxa"/>
          </w:tcPr>
          <w:p w14:paraId="2FEFA378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</w:p>
          <w:p w14:paraId="175F06D1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339539B2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person discharging managerial responsibilities / person closely associated </w:t>
            </w:r>
          </w:p>
          <w:p w14:paraId="7ED33D39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794F66AA" w14:textId="77777777" w:rsidTr="00D42CDD">
        <w:tc>
          <w:tcPr>
            <w:tcW w:w="412" w:type="dxa"/>
          </w:tcPr>
          <w:p w14:paraId="2F2F05B8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39FB41A8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77128D64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1DC71A7C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7A4FC2E9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60F569DE" w14:textId="77777777" w:rsidR="00D42CDD" w:rsidRPr="00DC3FBB" w:rsidRDefault="00D42CDD" w:rsidP="002539C8">
            <w:pPr>
              <w:rPr>
                <w:rFonts w:ascii="Arial" w:hAnsi="Arial" w:cs="Arial"/>
                <w:iCs/>
              </w:rPr>
            </w:pPr>
          </w:p>
          <w:p w14:paraId="41EB41FD" w14:textId="6A81A49B" w:rsidR="00D42CDD" w:rsidRPr="00DC3FBB" w:rsidRDefault="000E7F52" w:rsidP="002539C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Jorge Alarcón</w:t>
            </w:r>
          </w:p>
        </w:tc>
      </w:tr>
      <w:tr w:rsidR="00D42CDD" w:rsidRPr="00DC3FBB" w14:paraId="4286E675" w14:textId="77777777" w:rsidTr="00D42CDD">
        <w:tc>
          <w:tcPr>
            <w:tcW w:w="412" w:type="dxa"/>
          </w:tcPr>
          <w:p w14:paraId="76228D34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</w:p>
          <w:p w14:paraId="268FF110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7B1FBF50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for the notification </w:t>
            </w:r>
          </w:p>
          <w:p w14:paraId="0BFB4B5D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36C13D99" w14:textId="77777777" w:rsidTr="00D42CDD">
        <w:tc>
          <w:tcPr>
            <w:tcW w:w="412" w:type="dxa"/>
          </w:tcPr>
          <w:p w14:paraId="4C43EEC5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652BD45B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5D7E8A43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Position/status </w:t>
            </w:r>
          </w:p>
          <w:p w14:paraId="5A8B190F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54D43CB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202E9971" w14:textId="335F45A8" w:rsidR="00D42CDD" w:rsidRPr="00DC3FBB" w:rsidRDefault="00287CD3" w:rsidP="00253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Managing Director, Northgate Espana </w:t>
            </w:r>
            <w:r w:rsidR="005E50E5">
              <w:rPr>
                <w:rFonts w:ascii="Arial" w:hAnsi="Arial" w:cs="Arial"/>
              </w:rPr>
              <w:t>(PDMR)</w:t>
            </w:r>
          </w:p>
        </w:tc>
      </w:tr>
      <w:tr w:rsidR="00D42CDD" w:rsidRPr="00DC3FBB" w14:paraId="0BF4D559" w14:textId="77777777" w:rsidTr="00D42CDD">
        <w:tc>
          <w:tcPr>
            <w:tcW w:w="412" w:type="dxa"/>
          </w:tcPr>
          <w:p w14:paraId="2E64DD3E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6E885203" w14:textId="77777777" w:rsidR="00D42CDD" w:rsidRPr="00DC3FBB" w:rsidRDefault="00D42CDD" w:rsidP="002539C8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7EBF29A8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Initial notification /Amendment </w:t>
            </w:r>
          </w:p>
          <w:p w14:paraId="06AE19E1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60238C5A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4ECC3AB3" w14:textId="77777777" w:rsidR="00D42CDD" w:rsidRPr="00DC3FBB" w:rsidRDefault="00D42CDD" w:rsidP="002539C8">
            <w:pPr>
              <w:rPr>
                <w:rFonts w:ascii="Arial" w:hAnsi="Arial" w:cs="Arial"/>
              </w:rPr>
            </w:pPr>
            <w:r w:rsidRPr="00DC3FBB">
              <w:rPr>
                <w:rFonts w:ascii="Arial" w:hAnsi="Arial" w:cs="Arial"/>
              </w:rPr>
              <w:t>Initial notification</w:t>
            </w:r>
          </w:p>
        </w:tc>
      </w:tr>
      <w:tr w:rsidR="00D42CDD" w:rsidRPr="00DC3FBB" w14:paraId="1BD61876" w14:textId="77777777" w:rsidTr="00D42CDD">
        <w:tc>
          <w:tcPr>
            <w:tcW w:w="412" w:type="dxa"/>
          </w:tcPr>
          <w:p w14:paraId="4AA97586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</w:p>
          <w:p w14:paraId="620E6660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5D7A62C4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  <w:p w14:paraId="3B2BD6A4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63E9DCA3" w14:textId="77777777" w:rsidTr="00D42CDD">
        <w:tc>
          <w:tcPr>
            <w:tcW w:w="412" w:type="dxa"/>
          </w:tcPr>
          <w:p w14:paraId="7F753A42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4F48FC8C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3E0D6964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2390F5B3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0B2E9BBD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16194E9F" w14:textId="47861720" w:rsidR="00D42CDD" w:rsidRPr="00DC3FBB" w:rsidRDefault="00D42CDD" w:rsidP="00253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ZIGUP</w:t>
            </w:r>
            <w:r w:rsidRPr="00DC3FBB">
              <w:rPr>
                <w:rFonts w:ascii="Arial" w:hAnsi="Arial" w:cs="Arial"/>
              </w:rPr>
              <w:t xml:space="preserve"> plc</w:t>
            </w:r>
          </w:p>
        </w:tc>
      </w:tr>
      <w:tr w:rsidR="00D42CDD" w:rsidRPr="00DC3FBB" w14:paraId="4267BF06" w14:textId="77777777" w:rsidTr="00D42CDD">
        <w:tc>
          <w:tcPr>
            <w:tcW w:w="412" w:type="dxa"/>
          </w:tcPr>
          <w:p w14:paraId="1DC23FDE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4018FBA5" w14:textId="77777777" w:rsidR="00D42CDD" w:rsidRPr="00DC3FBB" w:rsidRDefault="00D42CDD" w:rsidP="002539C8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97AB42C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LEI </w:t>
            </w:r>
          </w:p>
          <w:p w14:paraId="135EBD8D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349A7B3A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257631F8" w14:textId="77777777" w:rsidR="00D42CDD" w:rsidRPr="00DC3FBB" w:rsidRDefault="00D42CDD" w:rsidP="002539C8">
            <w:pPr>
              <w:rPr>
                <w:rFonts w:ascii="Arial" w:hAnsi="Arial" w:cs="Arial"/>
              </w:rPr>
            </w:pPr>
            <w:r w:rsidRPr="00DC3FBB">
              <w:rPr>
                <w:rFonts w:ascii="Arial" w:hAnsi="Arial" w:cs="Arial"/>
              </w:rPr>
              <w:t>213800B3ZUTDOZYVJB41</w:t>
            </w:r>
          </w:p>
        </w:tc>
      </w:tr>
      <w:tr w:rsidR="00D42CDD" w:rsidRPr="00DC3FBB" w14:paraId="19843AAC" w14:textId="77777777" w:rsidTr="00D42CDD">
        <w:tc>
          <w:tcPr>
            <w:tcW w:w="412" w:type="dxa"/>
          </w:tcPr>
          <w:p w14:paraId="21183168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</w:t>
            </w:r>
          </w:p>
          <w:p w14:paraId="382C2FA9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122D27CF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F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14:paraId="695CF9A0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2EE16FA1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2D406D52" w14:textId="77777777" w:rsidTr="00D42CDD">
        <w:tc>
          <w:tcPr>
            <w:tcW w:w="412" w:type="dxa"/>
          </w:tcPr>
          <w:p w14:paraId="00CBA165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1EFB490E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292E5BC1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282CCE5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1EFB6438" w14:textId="22CDB887" w:rsidR="00D42CDD" w:rsidRPr="00DC3FBB" w:rsidRDefault="005E50E5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Ordinary Shares of £0.50 pence each in </w:t>
            </w:r>
            <w:r w:rsidR="00A3063E">
              <w:rPr>
                <w:rFonts w:ascii="Arial" w:hAnsi="Arial" w:cs="Arial"/>
                <w:sz w:val="22"/>
                <w:szCs w:val="22"/>
              </w:rPr>
              <w:t>ZIGUP plc</w:t>
            </w:r>
          </w:p>
        </w:tc>
      </w:tr>
      <w:tr w:rsidR="00D42CDD" w:rsidRPr="00DC3FBB" w14:paraId="687132D7" w14:textId="77777777" w:rsidTr="00D42CDD">
        <w:tc>
          <w:tcPr>
            <w:tcW w:w="412" w:type="dxa"/>
          </w:tcPr>
          <w:p w14:paraId="1BAEA660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081" w:type="dxa"/>
          </w:tcPr>
          <w:p w14:paraId="16318493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>Identification code</w:t>
            </w:r>
          </w:p>
          <w:p w14:paraId="04B7AAC3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51EA687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3" w:type="dxa"/>
          </w:tcPr>
          <w:p w14:paraId="53E7388C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>GB00B41H7391</w:t>
            </w:r>
          </w:p>
        </w:tc>
      </w:tr>
      <w:tr w:rsidR="00D42CDD" w:rsidRPr="00DC3FBB" w14:paraId="678978C8" w14:textId="77777777" w:rsidTr="00D42CDD">
        <w:tc>
          <w:tcPr>
            <w:tcW w:w="412" w:type="dxa"/>
          </w:tcPr>
          <w:p w14:paraId="59B85618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c) </w:t>
            </w:r>
          </w:p>
          <w:p w14:paraId="0FCBB774" w14:textId="77777777" w:rsidR="00D42CDD" w:rsidRPr="00DC3FBB" w:rsidRDefault="00D42CDD" w:rsidP="002539C8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549A3BA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Nature of the transaction </w:t>
            </w:r>
          </w:p>
          <w:p w14:paraId="451ACE18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3061390D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1CD66265" w14:textId="4A9DACE1" w:rsidR="00D42CDD" w:rsidRPr="00DC3FBB" w:rsidRDefault="00C2062E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Exercise of options granted under the </w:t>
            </w:r>
            <w:r w:rsidR="00A361C7">
              <w:rPr>
                <w:rFonts w:ascii="Arial" w:hAnsi="Arial" w:cs="Arial"/>
                <w:sz w:val="22"/>
                <w:szCs w:val="22"/>
              </w:rPr>
              <w:t>Company SAYE Scheme.</w:t>
            </w:r>
          </w:p>
        </w:tc>
      </w:tr>
      <w:tr w:rsidR="00D42CDD" w:rsidRPr="00DC3FBB" w14:paraId="617589D4" w14:textId="77777777" w:rsidTr="00D42CDD">
        <w:tc>
          <w:tcPr>
            <w:tcW w:w="412" w:type="dxa"/>
          </w:tcPr>
          <w:p w14:paraId="1FEB846C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lastRenderedPageBreak/>
              <w:t xml:space="preserve">d) </w:t>
            </w:r>
          </w:p>
          <w:p w14:paraId="2943EF10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2E370BC2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Price(s) and volume(s) </w:t>
            </w:r>
          </w:p>
          <w:p w14:paraId="10CAEE3E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54226F0E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480B3E35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D42CDD" w:rsidRPr="00DC3FBB" w14:paraId="3C19D8EC" w14:textId="77777777" w:rsidTr="002539C8">
              <w:trPr>
                <w:trHeight w:val="545"/>
              </w:trPr>
              <w:tc>
                <w:tcPr>
                  <w:tcW w:w="2424" w:type="dxa"/>
                </w:tcPr>
                <w:p w14:paraId="725E5416" w14:textId="77777777" w:rsidR="00D42CDD" w:rsidRPr="00DC3FBB" w:rsidRDefault="00D42CDD" w:rsidP="002539C8">
                  <w:pPr>
                    <w:rPr>
                      <w:rFonts w:ascii="Arial" w:hAnsi="Arial" w:cs="Arial"/>
                    </w:rPr>
                  </w:pPr>
                  <w:r w:rsidRPr="00DC3FBB">
                    <w:rPr>
                      <w:rFonts w:ascii="Arial" w:hAnsi="Arial" w:cs="Arial"/>
                    </w:rPr>
                    <w:t>Price(s)</w:t>
                  </w:r>
                </w:p>
                <w:p w14:paraId="27CCD238" w14:textId="77777777" w:rsidR="00D42CDD" w:rsidRPr="00DC3FBB" w:rsidRDefault="00D42CDD" w:rsidP="002539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4" w:type="dxa"/>
                </w:tcPr>
                <w:p w14:paraId="77A97C7E" w14:textId="77777777" w:rsidR="00D42CDD" w:rsidRPr="00DC3FBB" w:rsidRDefault="00D42CDD" w:rsidP="002539C8">
                  <w:pPr>
                    <w:rPr>
                      <w:rFonts w:ascii="Arial" w:hAnsi="Arial" w:cs="Arial"/>
                    </w:rPr>
                  </w:pPr>
                  <w:r w:rsidRPr="00DC3FBB">
                    <w:rPr>
                      <w:rFonts w:ascii="Arial" w:hAnsi="Arial" w:cs="Arial"/>
                    </w:rPr>
                    <w:t>Volume(s)</w:t>
                  </w:r>
                </w:p>
              </w:tc>
            </w:tr>
            <w:tr w:rsidR="00D42CDD" w:rsidRPr="00DC3FBB" w14:paraId="0C8B6785" w14:textId="77777777" w:rsidTr="002539C8">
              <w:trPr>
                <w:trHeight w:val="545"/>
              </w:trPr>
              <w:tc>
                <w:tcPr>
                  <w:tcW w:w="2424" w:type="dxa"/>
                </w:tcPr>
                <w:p w14:paraId="46A3A5FC" w14:textId="30673000" w:rsidR="00D42CDD" w:rsidRPr="00DC3FBB" w:rsidRDefault="00D42CDD" w:rsidP="002539C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</w:t>
                  </w:r>
                  <w:r w:rsidR="00395B15">
                    <w:rPr>
                      <w:rFonts w:ascii="Arial" w:hAnsi="Arial" w:cs="Arial"/>
                    </w:rPr>
                    <w:t>2.12</w:t>
                  </w:r>
                </w:p>
                <w:p w14:paraId="0F237CA2" w14:textId="77777777" w:rsidR="00D42CDD" w:rsidRPr="00DC3FBB" w:rsidRDefault="00D42CDD" w:rsidP="002539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4" w:type="dxa"/>
                </w:tcPr>
                <w:p w14:paraId="5F70FC49" w14:textId="0EF4A3F2" w:rsidR="00D42CDD" w:rsidRPr="00DC3FBB" w:rsidRDefault="00A472AF" w:rsidP="002539C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8,487</w:t>
                  </w:r>
                </w:p>
              </w:tc>
            </w:tr>
          </w:tbl>
          <w:p w14:paraId="5B0F1B7A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6D9E0011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2B341898" w14:textId="77777777" w:rsidTr="00D42CDD">
        <w:trPr>
          <w:trHeight w:val="2110"/>
        </w:trPr>
        <w:tc>
          <w:tcPr>
            <w:tcW w:w="412" w:type="dxa"/>
          </w:tcPr>
          <w:p w14:paraId="75357B61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e) </w:t>
            </w:r>
          </w:p>
          <w:p w14:paraId="1FCB31A0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513B847E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Aggregated information </w:t>
            </w:r>
          </w:p>
          <w:p w14:paraId="7356A68B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5E401B5B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- Aggregated Volume </w:t>
            </w:r>
          </w:p>
          <w:p w14:paraId="5C664B72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694900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- Price </w:t>
            </w:r>
          </w:p>
          <w:p w14:paraId="7122771D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24085E0" w14:textId="77777777" w:rsidR="00D42CDD" w:rsidRPr="00DC3FBB" w:rsidRDefault="00D42CDD" w:rsidP="002539C8">
            <w:pPr>
              <w:pStyle w:val="Default"/>
              <w:ind w:left="1440" w:hanging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3" w:type="dxa"/>
          </w:tcPr>
          <w:p w14:paraId="105CC369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1C14F3C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009A491" w14:textId="7DC4C392" w:rsidR="00D42CDD" w:rsidRPr="00DC3FBB" w:rsidRDefault="00C35AF1" w:rsidP="00253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8,487</w:t>
            </w:r>
          </w:p>
          <w:p w14:paraId="0CFAF425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274DC07" w14:textId="3D4D934E" w:rsidR="00D42CDD" w:rsidRPr="00DC3FBB" w:rsidRDefault="00E86D1B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86D1B">
              <w:rPr>
                <w:rFonts w:ascii="Arial" w:hAnsi="Arial" w:cs="Arial"/>
                <w:sz w:val="22"/>
                <w:szCs w:val="22"/>
              </w:rPr>
              <w:t>£</w:t>
            </w:r>
            <w:r w:rsidR="00395B15">
              <w:rPr>
                <w:rFonts w:ascii="Arial" w:hAnsi="Arial" w:cs="Arial"/>
                <w:sz w:val="22"/>
                <w:szCs w:val="22"/>
              </w:rPr>
              <w:t>2.12</w:t>
            </w:r>
          </w:p>
          <w:p w14:paraId="2829BC99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43508DF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1A25217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</w:tr>
      <w:tr w:rsidR="00D42CDD" w:rsidRPr="00DC3FBB" w14:paraId="634B7516" w14:textId="77777777" w:rsidTr="00395B15">
        <w:tc>
          <w:tcPr>
            <w:tcW w:w="412" w:type="dxa"/>
          </w:tcPr>
          <w:p w14:paraId="08A049B4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f) </w:t>
            </w:r>
          </w:p>
          <w:p w14:paraId="083820A3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C48C110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Date of the transaction </w:t>
            </w:r>
          </w:p>
          <w:p w14:paraId="3E237754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71A5965F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  <w:shd w:val="clear" w:color="auto" w:fill="auto"/>
          </w:tcPr>
          <w:p w14:paraId="7886B7F0" w14:textId="29373C0F" w:rsidR="00D42CDD" w:rsidRPr="00DC3FBB" w:rsidRDefault="00E86D1B" w:rsidP="002539C8">
            <w:pPr>
              <w:rPr>
                <w:rFonts w:ascii="Arial" w:hAnsi="Arial" w:cs="Arial"/>
              </w:rPr>
            </w:pPr>
            <w:r w:rsidRPr="00395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August 2024</w:t>
            </w:r>
          </w:p>
        </w:tc>
      </w:tr>
      <w:tr w:rsidR="00D42CDD" w:rsidRPr="00DC3FBB" w14:paraId="06B67D00" w14:textId="77777777" w:rsidTr="00D42CDD">
        <w:tc>
          <w:tcPr>
            <w:tcW w:w="412" w:type="dxa"/>
          </w:tcPr>
          <w:p w14:paraId="60D7B36B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g) </w:t>
            </w:r>
          </w:p>
          <w:p w14:paraId="4E0AF553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57248BF" w14:textId="77777777" w:rsidR="00D42CDD" w:rsidRPr="00DC3FBB" w:rsidRDefault="00D42CDD" w:rsidP="002539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C3FBB">
              <w:rPr>
                <w:rFonts w:ascii="Arial" w:hAnsi="Arial" w:cs="Arial"/>
                <w:sz w:val="22"/>
                <w:szCs w:val="22"/>
              </w:rPr>
              <w:t xml:space="preserve">Place of the transaction </w:t>
            </w:r>
          </w:p>
          <w:p w14:paraId="5C5D87D3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  <w:p w14:paraId="0B308B96" w14:textId="77777777" w:rsidR="00D42CDD" w:rsidRPr="00DC3FBB" w:rsidRDefault="00D42CDD" w:rsidP="002539C8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6067BC7A" w14:textId="13A0E8D1" w:rsidR="00D42CDD" w:rsidRPr="00DC3FBB" w:rsidRDefault="00E86D1B" w:rsidP="002539C8">
            <w:pPr>
              <w:rPr>
                <w:rFonts w:ascii="Arial" w:hAnsi="Arial" w:cs="Arial"/>
              </w:rPr>
            </w:pPr>
            <w:r w:rsidRPr="00395B15">
              <w:rPr>
                <w:rFonts w:ascii="Arial" w:hAnsi="Arial" w:cs="Arial"/>
              </w:rPr>
              <w:t>Outside of Trading Venue</w:t>
            </w:r>
          </w:p>
        </w:tc>
      </w:tr>
    </w:tbl>
    <w:p w14:paraId="0052E271" w14:textId="77777777" w:rsidR="00206B5C" w:rsidRDefault="00206B5C"/>
    <w:p w14:paraId="3D8A9F8A" w14:textId="5A4EF4EA" w:rsidR="00D42CDD" w:rsidRDefault="00686314">
      <w:r>
        <w:t>For fur</w:t>
      </w:r>
      <w:r w:rsidR="00CF20D3">
        <w:t>ther information, please contact:</w:t>
      </w:r>
    </w:p>
    <w:p w14:paraId="5AB45B7D" w14:textId="51C5FF59" w:rsidR="00CF20D3" w:rsidRDefault="00CF20D3">
      <w:r>
        <w:t>ZIGUP plc</w:t>
      </w:r>
    </w:p>
    <w:p w14:paraId="7CE468D2" w14:textId="17C2243F" w:rsidR="00CF20D3" w:rsidRDefault="00CF20D3">
      <w:r>
        <w:t xml:space="preserve">Matthew Barton, Company Secretary </w:t>
      </w:r>
    </w:p>
    <w:p w14:paraId="15CA7F14" w14:textId="3C5B0167" w:rsidR="00CF20D3" w:rsidRDefault="000148C7">
      <w:hyperlink r:id="rId4" w:history="1">
        <w:r w:rsidRPr="009F0DFD">
          <w:rPr>
            <w:rStyle w:val="Hyperlink"/>
          </w:rPr>
          <w:t>matt.barton@zigup.com</w:t>
        </w:r>
      </w:hyperlink>
      <w:r w:rsidR="009D344B">
        <w:t xml:space="preserve"> </w:t>
      </w:r>
    </w:p>
    <w:sectPr w:rsidR="00CF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DD"/>
    <w:rsid w:val="000148C7"/>
    <w:rsid w:val="000D33ED"/>
    <w:rsid w:val="000E7F52"/>
    <w:rsid w:val="001223D9"/>
    <w:rsid w:val="00137896"/>
    <w:rsid w:val="001639B9"/>
    <w:rsid w:val="00206B5C"/>
    <w:rsid w:val="00232F36"/>
    <w:rsid w:val="00287CD3"/>
    <w:rsid w:val="002964C1"/>
    <w:rsid w:val="002B38E3"/>
    <w:rsid w:val="00321B0C"/>
    <w:rsid w:val="003529CF"/>
    <w:rsid w:val="00362B0B"/>
    <w:rsid w:val="00367DDD"/>
    <w:rsid w:val="00395B15"/>
    <w:rsid w:val="004120B5"/>
    <w:rsid w:val="004653F2"/>
    <w:rsid w:val="00485490"/>
    <w:rsid w:val="004915AA"/>
    <w:rsid w:val="004C7156"/>
    <w:rsid w:val="004E1F7E"/>
    <w:rsid w:val="004F414A"/>
    <w:rsid w:val="005804E2"/>
    <w:rsid w:val="005B7B15"/>
    <w:rsid w:val="005E50E5"/>
    <w:rsid w:val="005F277F"/>
    <w:rsid w:val="00634779"/>
    <w:rsid w:val="00665584"/>
    <w:rsid w:val="00674787"/>
    <w:rsid w:val="00677C62"/>
    <w:rsid w:val="00686314"/>
    <w:rsid w:val="0071123E"/>
    <w:rsid w:val="00733AE7"/>
    <w:rsid w:val="00787EED"/>
    <w:rsid w:val="007A69ED"/>
    <w:rsid w:val="007F22E1"/>
    <w:rsid w:val="00861FBC"/>
    <w:rsid w:val="00874FF5"/>
    <w:rsid w:val="009334DF"/>
    <w:rsid w:val="00934C87"/>
    <w:rsid w:val="009A7BB7"/>
    <w:rsid w:val="009D344B"/>
    <w:rsid w:val="00A07F0B"/>
    <w:rsid w:val="00A1095C"/>
    <w:rsid w:val="00A3063E"/>
    <w:rsid w:val="00A361C7"/>
    <w:rsid w:val="00A472AF"/>
    <w:rsid w:val="00BA336B"/>
    <w:rsid w:val="00C121A6"/>
    <w:rsid w:val="00C2062E"/>
    <w:rsid w:val="00C210DE"/>
    <w:rsid w:val="00C310B0"/>
    <w:rsid w:val="00C35AF1"/>
    <w:rsid w:val="00C76ADD"/>
    <w:rsid w:val="00C96FE6"/>
    <w:rsid w:val="00CA72A3"/>
    <w:rsid w:val="00CB343B"/>
    <w:rsid w:val="00CB6C69"/>
    <w:rsid w:val="00CD151C"/>
    <w:rsid w:val="00CF20D3"/>
    <w:rsid w:val="00D416F4"/>
    <w:rsid w:val="00D42CDD"/>
    <w:rsid w:val="00D55FBF"/>
    <w:rsid w:val="00D65D3E"/>
    <w:rsid w:val="00DB06DD"/>
    <w:rsid w:val="00E60CEA"/>
    <w:rsid w:val="00E86D1B"/>
    <w:rsid w:val="00F12BD8"/>
    <w:rsid w:val="00F1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145F"/>
  <w15:chartTrackingRefBased/>
  <w15:docId w15:val="{D7881BE0-69D8-41E8-9D13-ABD9FBE1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C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42CD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CDD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2CDD"/>
    <w:rPr>
      <w:color w:val="0000FF"/>
      <w:u w:val="single"/>
    </w:rPr>
  </w:style>
  <w:style w:type="table" w:styleId="TableGrid">
    <w:name w:val="Table Grid"/>
    <w:basedOn w:val="TableNormal"/>
    <w:uiPriority w:val="59"/>
    <w:rsid w:val="00D4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C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bp">
    <w:name w:val="bp"/>
    <w:basedOn w:val="DefaultParagraphFont"/>
    <w:rsid w:val="00D42CDD"/>
  </w:style>
  <w:style w:type="character" w:customStyle="1" w:styleId="bc">
    <w:name w:val="bc"/>
    <w:basedOn w:val="DefaultParagraphFont"/>
    <w:rsid w:val="002964C1"/>
  </w:style>
  <w:style w:type="character" w:customStyle="1" w:styleId="bb">
    <w:name w:val="bb"/>
    <w:basedOn w:val="DefaultParagraphFont"/>
    <w:rsid w:val="002964C1"/>
  </w:style>
  <w:style w:type="character" w:styleId="UnresolvedMention">
    <w:name w:val="Unresolved Mention"/>
    <w:basedOn w:val="DefaultParagraphFont"/>
    <w:uiPriority w:val="99"/>
    <w:semiHidden/>
    <w:unhideWhenUsed/>
    <w:rsid w:val="00CF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.barton@zig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Bains</dc:creator>
  <cp:keywords/>
  <dc:description/>
  <cp:lastModifiedBy>Matt Barton</cp:lastModifiedBy>
  <cp:revision>11</cp:revision>
  <dcterms:created xsi:type="dcterms:W3CDTF">2024-08-05T16:25:00Z</dcterms:created>
  <dcterms:modified xsi:type="dcterms:W3CDTF">2024-08-06T11:28:00Z</dcterms:modified>
</cp:coreProperties>
</file>