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2632" w14:textId="77777777" w:rsidR="00E00093" w:rsidRPr="00651B50" w:rsidRDefault="00E00093" w:rsidP="00651B50">
      <w:pPr>
        <w:pStyle w:val="Title"/>
        <w:rPr>
          <w:rFonts w:cs="Arial"/>
          <w:sz w:val="22"/>
          <w:szCs w:val="22"/>
        </w:rPr>
      </w:pPr>
    </w:p>
    <w:p w14:paraId="1A4F10A7" w14:textId="77777777" w:rsidR="00E00093" w:rsidRPr="00651B50" w:rsidRDefault="00E00093" w:rsidP="00651B50">
      <w:pPr>
        <w:pStyle w:val="Title"/>
        <w:rPr>
          <w:rFonts w:cs="Arial"/>
          <w:sz w:val="22"/>
          <w:szCs w:val="22"/>
        </w:rPr>
      </w:pPr>
      <w:r w:rsidRPr="00651B50">
        <w:rPr>
          <w:rFonts w:cs="Arial"/>
          <w:sz w:val="22"/>
          <w:szCs w:val="22"/>
        </w:rPr>
        <w:t>SPIRENT COMMUNICATIONS plc</w:t>
      </w:r>
    </w:p>
    <w:p w14:paraId="663E8AE4" w14:textId="77777777" w:rsidR="006635D8" w:rsidRPr="00651B50" w:rsidRDefault="006635D8" w:rsidP="00651B50">
      <w:pPr>
        <w:pStyle w:val="Title"/>
        <w:rPr>
          <w:rFonts w:cs="Arial"/>
          <w:sz w:val="22"/>
          <w:szCs w:val="22"/>
        </w:rPr>
      </w:pPr>
      <w:r w:rsidRPr="00651B50">
        <w:rPr>
          <w:rFonts w:cs="Arial"/>
          <w:sz w:val="22"/>
          <w:szCs w:val="22"/>
        </w:rPr>
        <w:t>(the “Company”)</w:t>
      </w:r>
    </w:p>
    <w:p w14:paraId="08633DD3" w14:textId="77777777" w:rsidR="00E00093" w:rsidRPr="00651B50" w:rsidRDefault="00E00093" w:rsidP="00651B50">
      <w:pPr>
        <w:jc w:val="center"/>
        <w:rPr>
          <w:rFonts w:ascii="Arial" w:hAnsi="Arial" w:cs="Arial"/>
          <w:b/>
          <w:sz w:val="22"/>
          <w:szCs w:val="22"/>
        </w:rPr>
      </w:pPr>
    </w:p>
    <w:p w14:paraId="624777D4" w14:textId="77777777" w:rsidR="00E00093" w:rsidRPr="00651B50" w:rsidRDefault="00E00093" w:rsidP="00651B50">
      <w:pPr>
        <w:pStyle w:val="Subtitle"/>
        <w:jc w:val="center"/>
        <w:rPr>
          <w:rFonts w:cs="Arial"/>
          <w:sz w:val="22"/>
          <w:szCs w:val="22"/>
        </w:rPr>
      </w:pPr>
      <w:r w:rsidRPr="00651B50">
        <w:rPr>
          <w:rFonts w:cs="Arial"/>
          <w:sz w:val="22"/>
          <w:szCs w:val="22"/>
        </w:rPr>
        <w:t>Company Number:  470893</w:t>
      </w:r>
    </w:p>
    <w:p w14:paraId="6ACCF859" w14:textId="77777777" w:rsidR="00E00093" w:rsidRPr="00651B50" w:rsidRDefault="00E00093" w:rsidP="00651B50">
      <w:pPr>
        <w:rPr>
          <w:rFonts w:ascii="Arial" w:hAnsi="Arial" w:cs="Arial"/>
          <w:b/>
          <w:sz w:val="22"/>
          <w:szCs w:val="22"/>
        </w:rPr>
      </w:pPr>
    </w:p>
    <w:p w14:paraId="54606398" w14:textId="445C5719" w:rsidR="00E00093" w:rsidRPr="00651B50" w:rsidRDefault="00E00093" w:rsidP="00651B50">
      <w:pPr>
        <w:rPr>
          <w:rFonts w:ascii="Arial" w:hAnsi="Arial" w:cs="Arial"/>
          <w:sz w:val="22"/>
          <w:szCs w:val="22"/>
        </w:rPr>
      </w:pPr>
      <w:r w:rsidRPr="00651B50">
        <w:rPr>
          <w:rFonts w:ascii="Arial" w:hAnsi="Arial" w:cs="Arial"/>
          <w:sz w:val="22"/>
          <w:szCs w:val="22"/>
        </w:rPr>
        <w:t xml:space="preserve">At an Annual General Meeting of the Company held at </w:t>
      </w:r>
      <w:r w:rsidR="00F30EC8" w:rsidRPr="00651B50">
        <w:rPr>
          <w:rFonts w:ascii="Arial" w:hAnsi="Arial" w:cs="Arial"/>
          <w:sz w:val="22"/>
          <w:szCs w:val="22"/>
        </w:rPr>
        <w:t xml:space="preserve">the </w:t>
      </w:r>
      <w:r w:rsidR="004279B8">
        <w:rPr>
          <w:rFonts w:ascii="Arial" w:hAnsi="Arial" w:cs="Arial"/>
          <w:sz w:val="22"/>
          <w:szCs w:val="22"/>
        </w:rPr>
        <w:t xml:space="preserve">offices of </w:t>
      </w:r>
      <w:r w:rsidR="00964FFC">
        <w:rPr>
          <w:rFonts w:ascii="Arial" w:hAnsi="Arial" w:cs="Arial"/>
          <w:sz w:val="22"/>
          <w:szCs w:val="22"/>
        </w:rPr>
        <w:t>UBS, 5 Broadgate, London EC2M 2QS</w:t>
      </w:r>
      <w:r w:rsidR="0063781F" w:rsidRPr="00651B50">
        <w:rPr>
          <w:rFonts w:ascii="Arial" w:hAnsi="Arial" w:cs="Arial"/>
          <w:sz w:val="22"/>
          <w:szCs w:val="22"/>
        </w:rPr>
        <w:t xml:space="preserve"> </w:t>
      </w:r>
      <w:r w:rsidRPr="00651B50">
        <w:rPr>
          <w:rFonts w:ascii="Arial" w:hAnsi="Arial" w:cs="Arial"/>
          <w:sz w:val="22"/>
          <w:szCs w:val="22"/>
        </w:rPr>
        <w:t>on</w:t>
      </w:r>
      <w:r w:rsidR="00902CF0">
        <w:rPr>
          <w:rFonts w:ascii="Arial" w:hAnsi="Arial" w:cs="Arial"/>
          <w:sz w:val="22"/>
          <w:szCs w:val="22"/>
        </w:rPr>
        <w:t xml:space="preserve"> Wedne</w:t>
      </w:r>
      <w:r w:rsidR="00303184">
        <w:rPr>
          <w:rFonts w:ascii="Arial" w:hAnsi="Arial" w:cs="Arial"/>
          <w:sz w:val="22"/>
          <w:szCs w:val="22"/>
        </w:rPr>
        <w:t xml:space="preserve">sday </w:t>
      </w:r>
      <w:r w:rsidR="00902CF0">
        <w:rPr>
          <w:rFonts w:ascii="Arial" w:hAnsi="Arial" w:cs="Arial"/>
          <w:sz w:val="22"/>
          <w:szCs w:val="22"/>
        </w:rPr>
        <w:t>1</w:t>
      </w:r>
      <w:r w:rsidR="00F30EC8" w:rsidRPr="00651B50">
        <w:rPr>
          <w:rFonts w:ascii="Arial" w:hAnsi="Arial" w:cs="Arial"/>
          <w:sz w:val="22"/>
          <w:szCs w:val="22"/>
        </w:rPr>
        <w:t xml:space="preserve"> </w:t>
      </w:r>
      <w:r w:rsidR="004279B8">
        <w:rPr>
          <w:rFonts w:ascii="Arial" w:hAnsi="Arial" w:cs="Arial"/>
          <w:sz w:val="22"/>
          <w:szCs w:val="22"/>
        </w:rPr>
        <w:t>May</w:t>
      </w:r>
      <w:r w:rsidR="00F30EC8" w:rsidRPr="00651B50">
        <w:rPr>
          <w:rFonts w:ascii="Arial" w:hAnsi="Arial" w:cs="Arial"/>
          <w:sz w:val="22"/>
          <w:szCs w:val="22"/>
        </w:rPr>
        <w:t xml:space="preserve"> 202</w:t>
      </w:r>
      <w:r w:rsidR="00902CF0">
        <w:rPr>
          <w:rFonts w:ascii="Arial" w:hAnsi="Arial" w:cs="Arial"/>
          <w:sz w:val="22"/>
          <w:szCs w:val="22"/>
        </w:rPr>
        <w:t>4</w:t>
      </w:r>
      <w:r w:rsidR="003F6311" w:rsidRPr="00651B50">
        <w:rPr>
          <w:rFonts w:ascii="Arial" w:hAnsi="Arial" w:cs="Arial"/>
          <w:sz w:val="22"/>
          <w:szCs w:val="22"/>
        </w:rPr>
        <w:t xml:space="preserve"> </w:t>
      </w:r>
      <w:r w:rsidRPr="00651B50">
        <w:rPr>
          <w:rFonts w:ascii="Arial" w:hAnsi="Arial" w:cs="Arial"/>
          <w:sz w:val="22"/>
          <w:szCs w:val="22"/>
        </w:rPr>
        <w:t xml:space="preserve">at </w:t>
      </w:r>
      <w:r w:rsidR="00303184">
        <w:rPr>
          <w:rFonts w:ascii="Arial" w:hAnsi="Arial" w:cs="Arial"/>
          <w:sz w:val="22"/>
          <w:szCs w:val="22"/>
        </w:rPr>
        <w:t>12.30 pm</w:t>
      </w:r>
      <w:r w:rsidRPr="00651B50">
        <w:rPr>
          <w:rFonts w:ascii="Arial" w:hAnsi="Arial" w:cs="Arial"/>
          <w:sz w:val="22"/>
          <w:szCs w:val="22"/>
        </w:rPr>
        <w:t xml:space="preserve"> the following resolutions were duly passed:</w:t>
      </w:r>
    </w:p>
    <w:p w14:paraId="10D9A267" w14:textId="77777777" w:rsidR="00E00093" w:rsidRPr="00651B50" w:rsidRDefault="00E00093" w:rsidP="00651B50">
      <w:pPr>
        <w:rPr>
          <w:rFonts w:ascii="Arial" w:hAnsi="Arial" w:cs="Arial"/>
          <w:sz w:val="22"/>
          <w:szCs w:val="22"/>
        </w:rPr>
      </w:pPr>
    </w:p>
    <w:p w14:paraId="6182F27B" w14:textId="298E0A61" w:rsidR="00B12215" w:rsidRPr="00B12215" w:rsidRDefault="00B12215" w:rsidP="00B12215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231F20"/>
          <w:sz w:val="22"/>
          <w:szCs w:val="22"/>
          <w:lang w:eastAsia="en-GB"/>
        </w:rPr>
        <w:t xml:space="preserve">Resolution </w:t>
      </w:r>
      <w:r w:rsidRPr="00B12215">
        <w:rPr>
          <w:rFonts w:ascii="Arial" w:hAnsi="Arial" w:cs="Arial"/>
          <w:b/>
          <w:bCs/>
          <w:color w:val="231F20"/>
          <w:sz w:val="22"/>
          <w:szCs w:val="22"/>
          <w:lang w:eastAsia="en-GB"/>
        </w:rPr>
        <w:t>1</w:t>
      </w:r>
      <w:r w:rsidR="00902CF0">
        <w:rPr>
          <w:rFonts w:ascii="Arial" w:hAnsi="Arial" w:cs="Arial"/>
          <w:b/>
          <w:bCs/>
          <w:color w:val="231F20"/>
          <w:sz w:val="22"/>
          <w:szCs w:val="22"/>
          <w:lang w:eastAsia="en-GB"/>
        </w:rPr>
        <w:t>5</w:t>
      </w:r>
      <w:r w:rsidRPr="00B12215">
        <w:rPr>
          <w:rFonts w:ascii="Arial" w:hAnsi="Arial" w:cs="Arial"/>
          <w:b/>
          <w:bCs/>
          <w:color w:val="231F20"/>
          <w:sz w:val="22"/>
          <w:szCs w:val="22"/>
          <w:lang w:eastAsia="en-GB"/>
        </w:rPr>
        <w:t>. Authority to allot securities</w:t>
      </w:r>
    </w:p>
    <w:p w14:paraId="042EC3A4" w14:textId="434CCA0A" w:rsidR="00964FFC" w:rsidRDefault="002D148C" w:rsidP="002D148C">
      <w:pPr>
        <w:autoSpaceDE w:val="0"/>
        <w:autoSpaceDN w:val="0"/>
        <w:adjustRightInd w:val="0"/>
        <w:rPr>
          <w:rFonts w:ascii="Arial" w:hAnsi="Arial" w:cs="Arial"/>
          <w:color w:val="414042"/>
          <w:spacing w:val="-2"/>
          <w:sz w:val="22"/>
          <w:szCs w:val="22"/>
          <w:lang w:eastAsia="en-GB"/>
        </w:rPr>
      </w:pP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To authorise the Directors generally and unconditionally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pursuant to and in accordance with Section 551 of the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Companies Act 2006 (the “2006 Act”) to exercise all the powers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of the Company to allot shares or grant rights to subscribe for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or to convert any security into shares up to a nominal amount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of £6,429,400, such authority to apply in substitution for all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previous authorities pursuant to Section 551 of the 2006 Act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and to expire at the end of the next Annual General Meeting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of the Company or fifteen months from the date of passing,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whichever is the earlier, but so that the Company may, before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such expiry, make offers and enter into agreements during the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relevant period which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would, or might, require shares to be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allotted or rights to subscribe for or to convert any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security into</w:t>
      </w:r>
      <w:r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 xml:space="preserve"> </w:t>
      </w:r>
      <w:r w:rsidRPr="002D148C">
        <w:rPr>
          <w:rFonts w:ascii="Arial" w:hAnsi="Arial" w:cs="Arial"/>
          <w:color w:val="414042"/>
          <w:spacing w:val="-2"/>
          <w:sz w:val="22"/>
          <w:szCs w:val="22"/>
          <w:lang w:eastAsia="en-GB"/>
        </w:rPr>
        <w:t>shares to be granted after the authority ends.</w:t>
      </w:r>
    </w:p>
    <w:p w14:paraId="415A80C6" w14:textId="77777777" w:rsidR="002D148C" w:rsidRPr="002D148C" w:rsidRDefault="002D148C" w:rsidP="002D148C">
      <w:pPr>
        <w:autoSpaceDE w:val="0"/>
        <w:autoSpaceDN w:val="0"/>
        <w:adjustRightInd w:val="0"/>
        <w:rPr>
          <w:rFonts w:ascii="Arial" w:hAnsi="Arial" w:cs="Arial"/>
          <w:color w:val="414042"/>
          <w:spacing w:val="-2"/>
          <w:sz w:val="22"/>
          <w:szCs w:val="22"/>
          <w:lang w:eastAsia="en-GB"/>
        </w:rPr>
      </w:pPr>
    </w:p>
    <w:p w14:paraId="2DD6CF72" w14:textId="7899C210" w:rsidR="00B12215" w:rsidRPr="00B12215" w:rsidRDefault="00B12215" w:rsidP="00B12215">
      <w:pPr>
        <w:pStyle w:val="Title"/>
        <w:kinsoku w:val="0"/>
        <w:overflowPunct w:val="0"/>
        <w:jc w:val="left"/>
        <w:rPr>
          <w:rFonts w:cs="Arial"/>
          <w:color w:val="231F20"/>
          <w:sz w:val="22"/>
          <w:szCs w:val="22"/>
        </w:rPr>
      </w:pPr>
      <w:r>
        <w:rPr>
          <w:rFonts w:cs="Arial"/>
          <w:color w:val="231F20"/>
          <w:sz w:val="22"/>
          <w:szCs w:val="22"/>
        </w:rPr>
        <w:t xml:space="preserve">Resolution </w:t>
      </w:r>
      <w:r w:rsidRPr="00B12215">
        <w:rPr>
          <w:rFonts w:cs="Arial"/>
          <w:color w:val="231F20"/>
          <w:sz w:val="22"/>
          <w:szCs w:val="22"/>
        </w:rPr>
        <w:t>1</w:t>
      </w:r>
      <w:r w:rsidR="00902CF0">
        <w:rPr>
          <w:rFonts w:cs="Arial"/>
          <w:color w:val="231F20"/>
          <w:sz w:val="22"/>
          <w:szCs w:val="22"/>
        </w:rPr>
        <w:t>6</w:t>
      </w:r>
      <w:r w:rsidRPr="00B12215">
        <w:rPr>
          <w:rFonts w:cs="Arial"/>
          <w:color w:val="231F20"/>
          <w:sz w:val="22"/>
          <w:szCs w:val="22"/>
        </w:rPr>
        <w:t>. Disapplication of pre-emption rights</w:t>
      </w:r>
    </w:p>
    <w:p w14:paraId="59D114E7" w14:textId="28514B2D" w:rsidR="002D148C" w:rsidRPr="002D148C" w:rsidRDefault="002D148C" w:rsidP="002D148C">
      <w:pPr>
        <w:pStyle w:val="BodyText"/>
        <w:kinsoku w:val="0"/>
        <w:overflowPunct w:val="0"/>
        <w:ind w:right="333"/>
        <w:rPr>
          <w:color w:val="414042"/>
          <w:sz w:val="22"/>
          <w:szCs w:val="22"/>
        </w:rPr>
      </w:pPr>
      <w:r w:rsidRPr="002D148C">
        <w:rPr>
          <w:color w:val="414042"/>
          <w:sz w:val="22"/>
          <w:szCs w:val="22"/>
        </w:rPr>
        <w:t>Subject to the passing of resolution 15 above, to authorise the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Directors to allot equity securities (as defined in Section 560(1)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of the 2006 Act) wholly for cash pursuant to the authority given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by resolution 15 above or where the allotment constitutes an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allotment of equity securities by virtue of Section 560(3) of the</w:t>
      </w:r>
    </w:p>
    <w:p w14:paraId="451BC8DF" w14:textId="77777777" w:rsidR="002D148C" w:rsidRDefault="002D148C" w:rsidP="002D148C">
      <w:pPr>
        <w:pStyle w:val="BodyText"/>
        <w:kinsoku w:val="0"/>
        <w:overflowPunct w:val="0"/>
        <w:ind w:right="333"/>
        <w:rPr>
          <w:color w:val="414042"/>
          <w:sz w:val="22"/>
          <w:szCs w:val="22"/>
        </w:rPr>
      </w:pPr>
      <w:r w:rsidRPr="002D148C">
        <w:rPr>
          <w:color w:val="414042"/>
          <w:sz w:val="22"/>
          <w:szCs w:val="22"/>
        </w:rPr>
        <w:t>2006 Act, in each case:</w:t>
      </w:r>
    </w:p>
    <w:p w14:paraId="78E9F5A5" w14:textId="77777777" w:rsidR="002D148C" w:rsidRPr="002D148C" w:rsidRDefault="002D148C" w:rsidP="002D148C">
      <w:pPr>
        <w:pStyle w:val="BodyText"/>
        <w:kinsoku w:val="0"/>
        <w:overflowPunct w:val="0"/>
        <w:ind w:right="333"/>
        <w:rPr>
          <w:color w:val="414042"/>
          <w:sz w:val="22"/>
          <w:szCs w:val="22"/>
        </w:rPr>
      </w:pPr>
    </w:p>
    <w:p w14:paraId="55F5DC84" w14:textId="4281A976" w:rsidR="002D148C" w:rsidRPr="002D148C" w:rsidRDefault="002D148C" w:rsidP="002D148C">
      <w:pPr>
        <w:pStyle w:val="BodyText"/>
        <w:kinsoku w:val="0"/>
        <w:overflowPunct w:val="0"/>
        <w:ind w:right="333"/>
        <w:rPr>
          <w:color w:val="414042"/>
          <w:sz w:val="22"/>
          <w:szCs w:val="22"/>
        </w:rPr>
      </w:pPr>
      <w:r w:rsidRPr="002D148C">
        <w:rPr>
          <w:color w:val="414042"/>
          <w:sz w:val="22"/>
          <w:szCs w:val="22"/>
        </w:rPr>
        <w:t xml:space="preserve">a. </w:t>
      </w:r>
      <w:r>
        <w:rPr>
          <w:color w:val="414042"/>
          <w:sz w:val="22"/>
          <w:szCs w:val="22"/>
        </w:rPr>
        <w:tab/>
      </w:r>
      <w:r w:rsidRPr="002D148C">
        <w:rPr>
          <w:color w:val="414042"/>
          <w:sz w:val="22"/>
          <w:szCs w:val="22"/>
        </w:rPr>
        <w:t>in connection with a pre-emptive offer; and</w:t>
      </w:r>
    </w:p>
    <w:p w14:paraId="5419950F" w14:textId="034EEAB7" w:rsidR="002D148C" w:rsidRDefault="002D148C" w:rsidP="002D148C">
      <w:pPr>
        <w:pStyle w:val="BodyText"/>
        <w:kinsoku w:val="0"/>
        <w:overflowPunct w:val="0"/>
        <w:ind w:right="333"/>
        <w:rPr>
          <w:color w:val="414042"/>
          <w:sz w:val="22"/>
          <w:szCs w:val="22"/>
        </w:rPr>
      </w:pPr>
      <w:r w:rsidRPr="002D148C">
        <w:rPr>
          <w:color w:val="414042"/>
          <w:sz w:val="22"/>
          <w:szCs w:val="22"/>
        </w:rPr>
        <w:t xml:space="preserve">b. </w:t>
      </w:r>
      <w:r>
        <w:rPr>
          <w:color w:val="414042"/>
          <w:sz w:val="22"/>
          <w:szCs w:val="22"/>
        </w:rPr>
        <w:tab/>
      </w:r>
      <w:r w:rsidRPr="002D148C">
        <w:rPr>
          <w:color w:val="414042"/>
          <w:sz w:val="22"/>
          <w:szCs w:val="22"/>
        </w:rPr>
        <w:t>otherwise than in connection with a pre-emptive offer,</w:t>
      </w:r>
    </w:p>
    <w:p w14:paraId="5C56455D" w14:textId="77777777" w:rsidR="002D148C" w:rsidRPr="002D148C" w:rsidRDefault="002D148C" w:rsidP="002D148C">
      <w:pPr>
        <w:pStyle w:val="BodyText"/>
        <w:kinsoku w:val="0"/>
        <w:overflowPunct w:val="0"/>
        <w:ind w:right="333"/>
        <w:rPr>
          <w:color w:val="414042"/>
          <w:sz w:val="22"/>
          <w:szCs w:val="22"/>
        </w:rPr>
      </w:pPr>
    </w:p>
    <w:p w14:paraId="4E00ADC0" w14:textId="6009E80E" w:rsidR="002D148C" w:rsidRDefault="002D148C" w:rsidP="002D148C">
      <w:pPr>
        <w:pStyle w:val="BodyText"/>
        <w:kinsoku w:val="0"/>
        <w:overflowPunct w:val="0"/>
        <w:ind w:right="333"/>
        <w:rPr>
          <w:color w:val="414042"/>
          <w:sz w:val="22"/>
          <w:szCs w:val="22"/>
        </w:rPr>
      </w:pPr>
      <w:r w:rsidRPr="002D148C">
        <w:rPr>
          <w:color w:val="414042"/>
          <w:sz w:val="22"/>
          <w:szCs w:val="22"/>
        </w:rPr>
        <w:t>up to an aggregate nominal amount of £964,410.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as if Section 561(1) of the 2006 Act did not apply to any such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allotment, such authority to expire at the end of the next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Annual General Meeting of the Company or fifteen months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from the date o</w:t>
      </w:r>
      <w:r>
        <w:rPr>
          <w:color w:val="414042"/>
          <w:sz w:val="22"/>
          <w:szCs w:val="22"/>
        </w:rPr>
        <w:t xml:space="preserve">f </w:t>
      </w:r>
      <w:r w:rsidRPr="002D148C">
        <w:rPr>
          <w:color w:val="414042"/>
          <w:sz w:val="22"/>
          <w:szCs w:val="22"/>
        </w:rPr>
        <w:t>passing, whichever is the earlier, but so that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the Company may make offers and enter into agreements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during this period which would, or might, require equity securities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to be allotted and treasury shares to be sold after the authority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given by this resolution has expired and the Directors may allot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equity securities and sell treasury shares under any such offe</w:t>
      </w:r>
      <w:r>
        <w:rPr>
          <w:color w:val="414042"/>
          <w:sz w:val="22"/>
          <w:szCs w:val="22"/>
        </w:rPr>
        <w:t xml:space="preserve">r </w:t>
      </w:r>
      <w:r w:rsidRPr="002D148C">
        <w:rPr>
          <w:color w:val="414042"/>
          <w:sz w:val="22"/>
          <w:szCs w:val="22"/>
        </w:rPr>
        <w:t>or agreement as if the authority had not expired.</w:t>
      </w:r>
    </w:p>
    <w:p w14:paraId="029499C3" w14:textId="77777777" w:rsidR="002D148C" w:rsidRDefault="002D148C" w:rsidP="00B12215">
      <w:pPr>
        <w:pStyle w:val="BodyText"/>
        <w:kinsoku w:val="0"/>
        <w:overflowPunct w:val="0"/>
        <w:ind w:left="0" w:right="333"/>
        <w:rPr>
          <w:color w:val="414042"/>
          <w:sz w:val="22"/>
          <w:szCs w:val="22"/>
        </w:rPr>
      </w:pPr>
    </w:p>
    <w:p w14:paraId="731B1B76" w14:textId="6489871D" w:rsidR="00B12215" w:rsidRDefault="00B12215" w:rsidP="00B12215">
      <w:pPr>
        <w:pStyle w:val="BodyText"/>
        <w:kinsoku w:val="0"/>
        <w:overflowPunct w:val="0"/>
        <w:ind w:left="0"/>
        <w:rPr>
          <w:color w:val="414042"/>
          <w:sz w:val="22"/>
          <w:szCs w:val="22"/>
        </w:rPr>
      </w:pPr>
      <w:r w:rsidRPr="00B12215">
        <w:rPr>
          <w:color w:val="414042"/>
          <w:sz w:val="22"/>
          <w:szCs w:val="22"/>
        </w:rPr>
        <w:t>For the purposes of this resolution:</w:t>
      </w:r>
    </w:p>
    <w:p w14:paraId="56EB2C45" w14:textId="77777777" w:rsidR="00B12215" w:rsidRPr="00B12215" w:rsidRDefault="00B12215" w:rsidP="00B12215">
      <w:pPr>
        <w:pStyle w:val="BodyText"/>
        <w:kinsoku w:val="0"/>
        <w:overflowPunct w:val="0"/>
        <w:ind w:left="0"/>
        <w:rPr>
          <w:color w:val="414042"/>
          <w:sz w:val="22"/>
          <w:szCs w:val="22"/>
        </w:rPr>
      </w:pPr>
    </w:p>
    <w:p w14:paraId="71F98616" w14:textId="77777777" w:rsidR="00B12215" w:rsidRPr="00B12215" w:rsidRDefault="00B12215" w:rsidP="00B12215">
      <w:pPr>
        <w:pStyle w:val="ListParagraph"/>
        <w:numPr>
          <w:ilvl w:val="0"/>
          <w:numId w:val="2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right="242" w:hanging="436"/>
        <w:contextualSpacing w:val="0"/>
        <w:rPr>
          <w:rFonts w:ascii="Arial" w:hAnsi="Arial" w:cs="Arial"/>
          <w:color w:val="414042"/>
          <w:spacing w:val="-2"/>
          <w:sz w:val="22"/>
          <w:szCs w:val="22"/>
        </w:rPr>
      </w:pPr>
      <w:r w:rsidRPr="00B12215">
        <w:rPr>
          <w:rFonts w:ascii="Arial" w:hAnsi="Arial" w:cs="Arial"/>
          <w:color w:val="414042"/>
          <w:spacing w:val="-2"/>
          <w:sz w:val="22"/>
          <w:szCs w:val="22"/>
        </w:rPr>
        <w:t>“pre-emptive offer” means an offer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equity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securities open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for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acceptance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for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 period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fixed by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 Directors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to holders (other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than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 Company) on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 register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on a record date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fixed by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 Directors of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Ordinary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Shares in proportion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their respective holdings but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subject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to such exclusions or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other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arrangements as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 Directors may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deem necessary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or expedient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in relation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treasury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shares,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fractional entitlements, record dates or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legal, regulatory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practical problems in, or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under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 laws of, any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territory;</w:t>
      </w:r>
    </w:p>
    <w:p w14:paraId="0C99DC87" w14:textId="77777777" w:rsidR="00B12215" w:rsidRPr="00B12215" w:rsidRDefault="00B12215" w:rsidP="00B12215">
      <w:pPr>
        <w:pStyle w:val="ListParagraph"/>
        <w:numPr>
          <w:ilvl w:val="0"/>
          <w:numId w:val="2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hanging="436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references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an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allotment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equity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securities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shall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include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sale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treasury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shares;</w:t>
      </w:r>
      <w:r w:rsidRPr="00B12215">
        <w:rPr>
          <w:rFonts w:ascii="Arial" w:hAnsi="Arial" w:cs="Arial"/>
          <w:color w:val="414042"/>
          <w:spacing w:val="-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and</w:t>
      </w:r>
    </w:p>
    <w:p w14:paraId="05ADD521" w14:textId="77777777" w:rsidR="00B12215" w:rsidRPr="00B12215" w:rsidRDefault="00B12215" w:rsidP="00B12215">
      <w:pPr>
        <w:pStyle w:val="ListParagraph"/>
        <w:numPr>
          <w:ilvl w:val="0"/>
          <w:numId w:val="2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right="98" w:hanging="436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nominal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amount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any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securities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shall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taken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be,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in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case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rights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subscribe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for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convert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any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securities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into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shares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Company,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nominal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amount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such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shares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which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may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allotted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pursuant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such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rights.</w:t>
      </w:r>
    </w:p>
    <w:p w14:paraId="09535C91" w14:textId="5E12D342" w:rsidR="00964FFC" w:rsidRPr="00B12215" w:rsidRDefault="00964FFC" w:rsidP="00B122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10DF4F2B" w14:textId="77777777" w:rsidR="003F35EC" w:rsidRDefault="003F35EC">
      <w:pPr>
        <w:rPr>
          <w:rFonts w:ascii="Arial" w:hAnsi="Arial" w:cs="Arial"/>
          <w:b/>
          <w:color w:val="231F20"/>
          <w:sz w:val="22"/>
          <w:szCs w:val="22"/>
        </w:rPr>
      </w:pPr>
      <w:r>
        <w:rPr>
          <w:rFonts w:cs="Arial"/>
          <w:color w:val="231F20"/>
          <w:sz w:val="22"/>
          <w:szCs w:val="22"/>
        </w:rPr>
        <w:br w:type="page"/>
      </w:r>
    </w:p>
    <w:p w14:paraId="38D3FF19" w14:textId="416097AA" w:rsidR="00B12215" w:rsidRPr="00B12215" w:rsidRDefault="00B12215" w:rsidP="00B12215">
      <w:pPr>
        <w:pStyle w:val="Title"/>
        <w:kinsoku w:val="0"/>
        <w:overflowPunct w:val="0"/>
        <w:jc w:val="left"/>
        <w:rPr>
          <w:rFonts w:cs="Arial"/>
          <w:color w:val="231F20"/>
          <w:sz w:val="22"/>
          <w:szCs w:val="22"/>
        </w:rPr>
      </w:pPr>
      <w:r>
        <w:rPr>
          <w:rFonts w:cs="Arial"/>
          <w:color w:val="231F20"/>
          <w:sz w:val="22"/>
          <w:szCs w:val="22"/>
        </w:rPr>
        <w:lastRenderedPageBreak/>
        <w:t>Resolution 1</w:t>
      </w:r>
      <w:r w:rsidR="00902CF0">
        <w:rPr>
          <w:rFonts w:cs="Arial"/>
          <w:color w:val="231F20"/>
          <w:sz w:val="22"/>
          <w:szCs w:val="22"/>
        </w:rPr>
        <w:t>7</w:t>
      </w:r>
      <w:r>
        <w:rPr>
          <w:rFonts w:cs="Arial"/>
          <w:color w:val="231F20"/>
          <w:sz w:val="22"/>
          <w:szCs w:val="22"/>
        </w:rPr>
        <w:t>. Authority for Spirent Com</w:t>
      </w:r>
      <w:r w:rsidRPr="00B12215">
        <w:rPr>
          <w:rFonts w:cs="Arial"/>
          <w:color w:val="231F20"/>
          <w:sz w:val="22"/>
          <w:szCs w:val="22"/>
        </w:rPr>
        <w:t>munications plc to purchase its own Ordinary Shares</w:t>
      </w:r>
    </w:p>
    <w:p w14:paraId="6C9F9A13" w14:textId="65511CFE" w:rsidR="002D148C" w:rsidRDefault="002D148C" w:rsidP="002D148C">
      <w:pPr>
        <w:pStyle w:val="BodyText"/>
        <w:kinsoku w:val="0"/>
        <w:overflowPunct w:val="0"/>
        <w:rPr>
          <w:color w:val="414042"/>
          <w:sz w:val="22"/>
          <w:szCs w:val="22"/>
        </w:rPr>
      </w:pPr>
      <w:r w:rsidRPr="002D148C">
        <w:rPr>
          <w:color w:val="414042"/>
          <w:sz w:val="22"/>
          <w:szCs w:val="22"/>
        </w:rPr>
        <w:t>the purposes of Section 701 of the 2006 Act to make market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purchases (within the meaning of Section 693(4) of the 2006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Act) of its own Ordinary Shares of 3 &amp; 1/3 pence each on such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terms and in such manner as the Directors may from time to</w:t>
      </w:r>
      <w:r>
        <w:rPr>
          <w:color w:val="414042"/>
          <w:sz w:val="22"/>
          <w:szCs w:val="22"/>
        </w:rPr>
        <w:t xml:space="preserve"> </w:t>
      </w:r>
      <w:r w:rsidRPr="002D148C">
        <w:rPr>
          <w:color w:val="414042"/>
          <w:sz w:val="22"/>
          <w:szCs w:val="22"/>
        </w:rPr>
        <w:t>time determine subject to the following conditions:</w:t>
      </w:r>
    </w:p>
    <w:p w14:paraId="189845E0" w14:textId="77777777" w:rsidR="002D148C" w:rsidRDefault="002D148C" w:rsidP="00B12215">
      <w:pPr>
        <w:pStyle w:val="BodyText"/>
        <w:kinsoku w:val="0"/>
        <w:overflowPunct w:val="0"/>
        <w:ind w:left="0"/>
        <w:rPr>
          <w:color w:val="414042"/>
          <w:sz w:val="22"/>
          <w:szCs w:val="22"/>
        </w:rPr>
      </w:pPr>
    </w:p>
    <w:p w14:paraId="37EE3747" w14:textId="5F429699" w:rsidR="00B12215" w:rsidRDefault="00B12215" w:rsidP="00B12215">
      <w:pPr>
        <w:pStyle w:val="BodyText"/>
        <w:kinsoku w:val="0"/>
        <w:overflowPunct w:val="0"/>
        <w:ind w:left="0"/>
        <w:rPr>
          <w:color w:val="414042"/>
          <w:sz w:val="22"/>
          <w:szCs w:val="22"/>
        </w:rPr>
      </w:pPr>
      <w:r w:rsidRPr="00B12215">
        <w:rPr>
          <w:color w:val="414042"/>
          <w:sz w:val="22"/>
          <w:szCs w:val="22"/>
        </w:rPr>
        <w:t>To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authorise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the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Company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generally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and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unconditionally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for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the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purposes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of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Section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701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of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the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2006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Act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to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make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market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purchases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(within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the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meaning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of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Section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693(4)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of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the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2006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Act)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of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its</w:t>
      </w:r>
      <w:r w:rsidRPr="00B12215">
        <w:rPr>
          <w:color w:val="414042"/>
          <w:spacing w:val="-9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own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Ordinary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Shares</w:t>
      </w:r>
      <w:r w:rsidRPr="00B12215">
        <w:rPr>
          <w:color w:val="414042"/>
          <w:spacing w:val="-9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of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3</w:t>
      </w:r>
      <w:r w:rsidRPr="00B12215">
        <w:rPr>
          <w:color w:val="414042"/>
          <w:spacing w:val="-9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&amp;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1/3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pence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each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on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such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terms</w:t>
      </w:r>
      <w:r w:rsidRPr="00B12215">
        <w:rPr>
          <w:color w:val="414042"/>
          <w:spacing w:val="-8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and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in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such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manner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as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the</w:t>
      </w:r>
      <w:r w:rsidRPr="00B12215">
        <w:rPr>
          <w:color w:val="414042"/>
          <w:spacing w:val="-9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Directors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may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from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time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to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time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determine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subject</w:t>
      </w:r>
      <w:r w:rsidRPr="00B12215">
        <w:rPr>
          <w:color w:val="414042"/>
          <w:spacing w:val="-1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to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the</w:t>
      </w:r>
      <w:r w:rsidRPr="00B12215">
        <w:rPr>
          <w:color w:val="414042"/>
          <w:spacing w:val="-11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following</w:t>
      </w:r>
      <w:r w:rsidRPr="00B12215">
        <w:rPr>
          <w:color w:val="414042"/>
          <w:spacing w:val="-10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conditions:</w:t>
      </w:r>
    </w:p>
    <w:p w14:paraId="03FEBC46" w14:textId="77777777" w:rsidR="00B12215" w:rsidRPr="00B12215" w:rsidRDefault="00B12215" w:rsidP="00B12215">
      <w:pPr>
        <w:pStyle w:val="BodyText"/>
        <w:kinsoku w:val="0"/>
        <w:overflowPunct w:val="0"/>
        <w:ind w:left="0"/>
        <w:rPr>
          <w:color w:val="414042"/>
          <w:sz w:val="22"/>
          <w:szCs w:val="22"/>
        </w:rPr>
      </w:pPr>
    </w:p>
    <w:p w14:paraId="48CB666D" w14:textId="145714C7" w:rsidR="00B12215" w:rsidRPr="00B12215" w:rsidRDefault="00B12215" w:rsidP="00B12215">
      <w:pPr>
        <w:pStyle w:val="ListParagraph"/>
        <w:numPr>
          <w:ilvl w:val="0"/>
          <w:numId w:val="2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maximum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number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Ordinary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Shares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authorised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purchased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may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not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more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than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="002D148C" w:rsidRPr="002D148C">
        <w:rPr>
          <w:rFonts w:ascii="Arial" w:hAnsi="Arial" w:cs="Arial"/>
          <w:color w:val="414042"/>
          <w:sz w:val="22"/>
          <w:szCs w:val="22"/>
        </w:rPr>
        <w:t>57,864,63</w:t>
      </w:r>
      <w:r w:rsidR="002D148C">
        <w:rPr>
          <w:rFonts w:ascii="Arial" w:hAnsi="Arial" w:cs="Arial"/>
          <w:color w:val="414042"/>
          <w:sz w:val="22"/>
          <w:szCs w:val="22"/>
        </w:rPr>
        <w:t>6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Ordinary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Shares;</w:t>
      </w:r>
    </w:p>
    <w:p w14:paraId="3E252FF3" w14:textId="77777777" w:rsidR="00B12215" w:rsidRPr="00B12215" w:rsidRDefault="00B12215" w:rsidP="00B12215">
      <w:pPr>
        <w:pStyle w:val="ListParagraph"/>
        <w:numPr>
          <w:ilvl w:val="0"/>
          <w:numId w:val="2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right="308" w:hanging="720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minimum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price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(exclusive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expenses)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which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Company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pay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for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each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Ordinary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is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3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&amp;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1/3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pence,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being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nominal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value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each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Ordinary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Share;</w:t>
      </w:r>
    </w:p>
    <w:p w14:paraId="33AD5AA4" w14:textId="77777777" w:rsidR="00B12215" w:rsidRPr="00B12215" w:rsidRDefault="00B12215" w:rsidP="00B12215">
      <w:pPr>
        <w:pStyle w:val="ListParagraph"/>
        <w:numPr>
          <w:ilvl w:val="0"/>
          <w:numId w:val="2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maximum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price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(exclusive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expenses)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which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may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paid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for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each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Ordinary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shall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higher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of:</w:t>
      </w:r>
    </w:p>
    <w:p w14:paraId="1C7B057F" w14:textId="77777777" w:rsidR="00B12215" w:rsidRPr="00B12215" w:rsidRDefault="00B12215" w:rsidP="00B12215">
      <w:pPr>
        <w:pStyle w:val="ListParagraph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ind w:left="993" w:right="201" w:hanging="284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an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amount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equal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105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per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cent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average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closing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price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Company’s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Ordinary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derived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from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London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Stock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Exchange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Daily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Official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List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for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five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business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days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immediately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preceding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day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on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which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contracted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purchased;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</w:t>
      </w:r>
    </w:p>
    <w:p w14:paraId="368E8A4A" w14:textId="77777777" w:rsidR="00B12215" w:rsidRPr="00B12215" w:rsidRDefault="00B12215" w:rsidP="00B12215">
      <w:pPr>
        <w:pStyle w:val="ListParagraph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ind w:left="993" w:right="104" w:hanging="284"/>
        <w:contextualSpacing w:val="0"/>
        <w:rPr>
          <w:rFonts w:ascii="Arial" w:hAnsi="Arial" w:cs="Arial"/>
          <w:color w:val="414042"/>
          <w:spacing w:val="-2"/>
          <w:sz w:val="22"/>
          <w:szCs w:val="22"/>
        </w:rPr>
      </w:pP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an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amount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equal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higher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price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last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independent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trade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share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and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highest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current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independent bid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for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share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as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stipulated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by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Commission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Delegated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Regulation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(EU)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2016/1052,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regulatory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technical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standards</w:t>
      </w:r>
      <w:r w:rsidRPr="00B12215">
        <w:rPr>
          <w:rFonts w:ascii="Arial" w:hAnsi="Arial" w:cs="Arial"/>
          <w:color w:val="414042"/>
          <w:spacing w:val="-4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adopted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pursuant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article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5(6)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Market</w:t>
      </w:r>
      <w:r w:rsidRPr="00B12215">
        <w:rPr>
          <w:rFonts w:ascii="Arial" w:hAnsi="Arial" w:cs="Arial"/>
          <w:color w:val="414042"/>
          <w:spacing w:val="-13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Abuse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Regulation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as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it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forms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part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retained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EU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pacing w:val="-2"/>
          <w:sz w:val="22"/>
          <w:szCs w:val="22"/>
        </w:rPr>
        <w:t>law;</w:t>
      </w:r>
    </w:p>
    <w:p w14:paraId="155C18B8" w14:textId="1A57718C" w:rsidR="00B12215" w:rsidRPr="00B12215" w:rsidRDefault="00B12215" w:rsidP="00B12215">
      <w:pPr>
        <w:pStyle w:val="ListParagraph"/>
        <w:numPr>
          <w:ilvl w:val="0"/>
          <w:numId w:val="2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right="279" w:hanging="720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unless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previously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renewed,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varied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revoked,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authority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shall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expire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at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end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next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Annual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General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Meeting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5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Company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</w:t>
      </w:r>
      <w:r w:rsidR="002D148C">
        <w:rPr>
          <w:rFonts w:ascii="Arial" w:hAnsi="Arial" w:cs="Arial"/>
          <w:color w:val="414042"/>
          <w:sz w:val="22"/>
          <w:szCs w:val="22"/>
        </w:rPr>
        <w:t xml:space="preserve"> fifteen months from the date of passing, </w:t>
      </w:r>
      <w:r w:rsidRPr="00B12215">
        <w:rPr>
          <w:rFonts w:ascii="Arial" w:hAnsi="Arial" w:cs="Arial"/>
          <w:color w:val="414042"/>
          <w:sz w:val="22"/>
          <w:szCs w:val="22"/>
        </w:rPr>
        <w:t>whichever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is</w:t>
      </w:r>
      <w:r w:rsidRPr="00B12215">
        <w:rPr>
          <w:rFonts w:ascii="Arial" w:hAnsi="Arial" w:cs="Arial"/>
          <w:color w:val="414042"/>
          <w:spacing w:val="-9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earlier;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and</w:t>
      </w:r>
    </w:p>
    <w:p w14:paraId="092D0A89" w14:textId="77777777" w:rsidR="00B12215" w:rsidRPr="00B12215" w:rsidRDefault="00B12215" w:rsidP="00B12215">
      <w:pPr>
        <w:pStyle w:val="ListParagraph"/>
        <w:numPr>
          <w:ilvl w:val="0"/>
          <w:numId w:val="2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right="120" w:hanging="720"/>
        <w:contextualSpacing w:val="0"/>
        <w:rPr>
          <w:rFonts w:ascii="Arial" w:hAnsi="Arial" w:cs="Arial"/>
          <w:color w:val="414042"/>
          <w:sz w:val="22"/>
          <w:szCs w:val="22"/>
        </w:rPr>
      </w:pPr>
      <w:r w:rsidRPr="00B12215">
        <w:rPr>
          <w:rFonts w:ascii="Arial" w:hAnsi="Arial" w:cs="Arial"/>
          <w:color w:val="414042"/>
          <w:sz w:val="22"/>
          <w:szCs w:val="22"/>
        </w:rPr>
        <w:t>a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contract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purchase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shares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under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this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authority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be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made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prior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to</w:t>
      </w:r>
      <w:r w:rsidRPr="00B12215">
        <w:rPr>
          <w:rFonts w:ascii="Arial" w:hAnsi="Arial" w:cs="Arial"/>
          <w:color w:val="414042"/>
          <w:spacing w:val="-8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expiry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this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authority,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and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executed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in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whole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or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in</w:t>
      </w:r>
      <w:r w:rsidRPr="00B12215">
        <w:rPr>
          <w:rFonts w:ascii="Arial" w:hAnsi="Arial" w:cs="Arial"/>
          <w:color w:val="414042"/>
          <w:spacing w:val="-7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part</w:t>
      </w:r>
      <w:r w:rsidRPr="00B12215">
        <w:rPr>
          <w:rFonts w:ascii="Arial" w:hAnsi="Arial" w:cs="Arial"/>
          <w:color w:val="414042"/>
          <w:spacing w:val="-10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after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the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expiry</w:t>
      </w:r>
      <w:r w:rsidRPr="00B12215">
        <w:rPr>
          <w:rFonts w:ascii="Arial" w:hAnsi="Arial" w:cs="Arial"/>
          <w:color w:val="414042"/>
          <w:spacing w:val="-11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of</w:t>
      </w:r>
      <w:r w:rsidRPr="00B12215">
        <w:rPr>
          <w:rFonts w:ascii="Arial" w:hAnsi="Arial" w:cs="Arial"/>
          <w:color w:val="414042"/>
          <w:spacing w:val="-12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this</w:t>
      </w:r>
      <w:r w:rsidRPr="00B12215">
        <w:rPr>
          <w:rFonts w:ascii="Arial" w:hAnsi="Arial" w:cs="Arial"/>
          <w:color w:val="414042"/>
          <w:spacing w:val="-6"/>
          <w:sz w:val="22"/>
          <w:szCs w:val="22"/>
        </w:rPr>
        <w:t xml:space="preserve"> </w:t>
      </w:r>
      <w:r w:rsidRPr="00B12215">
        <w:rPr>
          <w:rFonts w:ascii="Arial" w:hAnsi="Arial" w:cs="Arial"/>
          <w:color w:val="414042"/>
          <w:sz w:val="22"/>
          <w:szCs w:val="22"/>
        </w:rPr>
        <w:t>authority.</w:t>
      </w:r>
    </w:p>
    <w:p w14:paraId="154AFBCF" w14:textId="764E637B" w:rsidR="00964FFC" w:rsidRPr="00B12215" w:rsidRDefault="00964FFC" w:rsidP="00B122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7017E5BB" w14:textId="62274DC7" w:rsidR="00B12215" w:rsidRPr="00B12215" w:rsidRDefault="00742E80" w:rsidP="00742E80">
      <w:pPr>
        <w:pStyle w:val="Title"/>
        <w:kinsoku w:val="0"/>
        <w:overflowPunct w:val="0"/>
        <w:jc w:val="left"/>
        <w:rPr>
          <w:rFonts w:cs="Arial"/>
          <w:color w:val="231F20"/>
          <w:sz w:val="22"/>
          <w:szCs w:val="22"/>
        </w:rPr>
      </w:pPr>
      <w:r>
        <w:rPr>
          <w:rFonts w:cs="Arial"/>
          <w:color w:val="231F20"/>
          <w:sz w:val="22"/>
          <w:szCs w:val="22"/>
        </w:rPr>
        <w:t xml:space="preserve">Resolution </w:t>
      </w:r>
      <w:r w:rsidR="00B12215" w:rsidRPr="00B12215">
        <w:rPr>
          <w:rFonts w:cs="Arial"/>
          <w:color w:val="231F20"/>
          <w:sz w:val="22"/>
          <w:szCs w:val="22"/>
        </w:rPr>
        <w:t>1</w:t>
      </w:r>
      <w:r w:rsidR="00902CF0">
        <w:rPr>
          <w:rFonts w:cs="Arial"/>
          <w:color w:val="231F20"/>
          <w:sz w:val="22"/>
          <w:szCs w:val="22"/>
        </w:rPr>
        <w:t>8</w:t>
      </w:r>
      <w:r w:rsidR="00B12215" w:rsidRPr="00B12215">
        <w:rPr>
          <w:rFonts w:cs="Arial"/>
          <w:color w:val="231F20"/>
          <w:sz w:val="22"/>
          <w:szCs w:val="22"/>
        </w:rPr>
        <w:t>. Notice period for general meetings</w:t>
      </w:r>
    </w:p>
    <w:p w14:paraId="11FBC81A" w14:textId="0CC5DCF6" w:rsidR="00B12215" w:rsidRPr="00B12215" w:rsidRDefault="00B12215" w:rsidP="00B12215">
      <w:pPr>
        <w:pStyle w:val="BodyText"/>
        <w:kinsoku w:val="0"/>
        <w:overflowPunct w:val="0"/>
        <w:ind w:left="0"/>
        <w:rPr>
          <w:color w:val="414042"/>
          <w:sz w:val="22"/>
          <w:szCs w:val="22"/>
        </w:rPr>
      </w:pPr>
      <w:r w:rsidRPr="00B12215">
        <w:rPr>
          <w:color w:val="414042"/>
          <w:sz w:val="22"/>
          <w:szCs w:val="22"/>
        </w:rPr>
        <w:t>To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resolve</w:t>
      </w:r>
      <w:r w:rsidRPr="00B12215">
        <w:rPr>
          <w:color w:val="414042"/>
          <w:spacing w:val="-5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that</w:t>
      </w:r>
      <w:r w:rsidRPr="00B12215">
        <w:rPr>
          <w:color w:val="414042"/>
          <w:spacing w:val="-6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a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g</w:t>
      </w:r>
      <w:r w:rsidR="00742E80">
        <w:rPr>
          <w:color w:val="414042"/>
          <w:sz w:val="22"/>
          <w:szCs w:val="22"/>
        </w:rPr>
        <w:t>e</w:t>
      </w:r>
      <w:r w:rsidRPr="00B12215">
        <w:rPr>
          <w:color w:val="414042"/>
          <w:sz w:val="22"/>
          <w:szCs w:val="22"/>
        </w:rPr>
        <w:t>neral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meeting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of</w:t>
      </w:r>
      <w:r w:rsidRPr="00B12215">
        <w:rPr>
          <w:color w:val="414042"/>
          <w:spacing w:val="-9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</w:t>
      </w:r>
      <w:r w:rsidR="00742E80">
        <w:rPr>
          <w:color w:val="414042"/>
          <w:sz w:val="22"/>
          <w:szCs w:val="22"/>
        </w:rPr>
        <w:t xml:space="preserve">e Company other than an Annual General Meeting may </w:t>
      </w:r>
      <w:r w:rsidRPr="00B12215">
        <w:rPr>
          <w:color w:val="414042"/>
          <w:sz w:val="22"/>
          <w:szCs w:val="22"/>
        </w:rPr>
        <w:t>be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called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on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not</w:t>
      </w:r>
      <w:r w:rsidRPr="00B12215">
        <w:rPr>
          <w:color w:val="414042"/>
          <w:spacing w:val="-6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less</w:t>
      </w:r>
      <w:r w:rsidRPr="00B12215">
        <w:rPr>
          <w:color w:val="414042"/>
          <w:spacing w:val="-5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than</w:t>
      </w:r>
      <w:r w:rsidRPr="00B12215">
        <w:rPr>
          <w:color w:val="414042"/>
          <w:spacing w:val="-3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14</w:t>
      </w:r>
      <w:r w:rsidR="00742E80">
        <w:rPr>
          <w:color w:val="414042"/>
          <w:sz w:val="22"/>
          <w:szCs w:val="22"/>
        </w:rPr>
        <w:t xml:space="preserve"> </w:t>
      </w:r>
      <w:r w:rsidRPr="00B12215">
        <w:rPr>
          <w:color w:val="414042"/>
          <w:sz w:val="22"/>
          <w:szCs w:val="22"/>
        </w:rPr>
        <w:t>clear days’ notice.</w:t>
      </w:r>
    </w:p>
    <w:p w14:paraId="5FE18314" w14:textId="77777777" w:rsidR="00FF2355" w:rsidRPr="00651B50" w:rsidRDefault="00FF2355" w:rsidP="00B12215">
      <w:pPr>
        <w:rPr>
          <w:rFonts w:ascii="Arial" w:hAnsi="Arial" w:cs="Arial"/>
          <w:sz w:val="22"/>
          <w:szCs w:val="22"/>
        </w:rPr>
      </w:pPr>
    </w:p>
    <w:p w14:paraId="696E78A5" w14:textId="77777777" w:rsidR="00E00093" w:rsidRPr="00651B50" w:rsidRDefault="00E00093" w:rsidP="00651B50">
      <w:pPr>
        <w:rPr>
          <w:rFonts w:ascii="Arial" w:hAnsi="Arial" w:cs="Arial"/>
          <w:sz w:val="22"/>
          <w:szCs w:val="22"/>
        </w:rPr>
      </w:pPr>
      <w:r w:rsidRPr="00651B50">
        <w:rPr>
          <w:rFonts w:ascii="Arial" w:hAnsi="Arial" w:cs="Arial"/>
          <w:sz w:val="22"/>
          <w:szCs w:val="22"/>
        </w:rPr>
        <w:t>Certified a true and correct copy</w:t>
      </w:r>
    </w:p>
    <w:p w14:paraId="4E173EBD" w14:textId="77777777" w:rsidR="00E00093" w:rsidRPr="00651B50" w:rsidRDefault="00E00093" w:rsidP="00651B50">
      <w:pPr>
        <w:rPr>
          <w:rFonts w:ascii="Arial" w:hAnsi="Arial" w:cs="Arial"/>
          <w:sz w:val="22"/>
          <w:szCs w:val="22"/>
        </w:rPr>
      </w:pPr>
    </w:p>
    <w:p w14:paraId="6CCEA89B" w14:textId="77777777" w:rsidR="00E00093" w:rsidRPr="00651B50" w:rsidRDefault="00E00093" w:rsidP="00651B50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4F273B3E" w14:textId="77777777" w:rsidR="00B50550" w:rsidRPr="00651B50" w:rsidRDefault="000F2286" w:rsidP="00651B50">
      <w:pPr>
        <w:rPr>
          <w:rFonts w:ascii="Arial" w:hAnsi="Arial" w:cs="Arial"/>
          <w:noProof/>
          <w:sz w:val="22"/>
          <w:szCs w:val="22"/>
          <w:lang w:eastAsia="en-GB"/>
        </w:rPr>
      </w:pPr>
      <w:r w:rsidRPr="00651B5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0191119" wp14:editId="2CB1ADDF">
            <wp:extent cx="1024128" cy="780178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gus Ives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464" cy="78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899F5" w14:textId="77777777" w:rsidR="00B50550" w:rsidRPr="00651B50" w:rsidRDefault="00B50550" w:rsidP="00651B50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5DD71D13" w14:textId="77777777" w:rsidR="00B50550" w:rsidRPr="00651B50" w:rsidRDefault="00B50550" w:rsidP="00651B50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20835046" w14:textId="77777777" w:rsidR="00B50550" w:rsidRPr="00651B50" w:rsidRDefault="00B50550" w:rsidP="00651B50">
      <w:pPr>
        <w:rPr>
          <w:rFonts w:ascii="Arial" w:hAnsi="Arial" w:cs="Arial"/>
          <w:sz w:val="22"/>
          <w:szCs w:val="22"/>
        </w:rPr>
      </w:pPr>
    </w:p>
    <w:p w14:paraId="68AB5642" w14:textId="77777777" w:rsidR="00E00093" w:rsidRPr="00651B50" w:rsidRDefault="00E904F3" w:rsidP="00651B50">
      <w:pPr>
        <w:pStyle w:val="Heading2"/>
        <w:rPr>
          <w:rFonts w:cs="Arial"/>
          <w:sz w:val="22"/>
          <w:szCs w:val="22"/>
        </w:rPr>
      </w:pPr>
      <w:r w:rsidRPr="00651B50">
        <w:rPr>
          <w:rFonts w:cs="Arial"/>
          <w:sz w:val="22"/>
          <w:szCs w:val="22"/>
        </w:rPr>
        <w:t>Angus Iveson</w:t>
      </w:r>
      <w:r w:rsidR="00E00093" w:rsidRPr="00651B50">
        <w:rPr>
          <w:rFonts w:cs="Arial"/>
          <w:sz w:val="22"/>
          <w:szCs w:val="22"/>
        </w:rPr>
        <w:t>, Company Secretary</w:t>
      </w:r>
    </w:p>
    <w:sectPr w:rsidR="00E00093" w:rsidRPr="00651B50" w:rsidSect="00374E62">
      <w:pgSz w:w="11906" w:h="16838"/>
      <w:pgMar w:top="737" w:right="1797" w:bottom="90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390" w:hanging="284"/>
      </w:pPr>
      <w:rPr>
        <w:rFonts w:ascii="Arial" w:hAnsi="Arial" w:cs="Arial"/>
        <w:b w:val="0"/>
        <w:bCs w:val="0"/>
        <w:color w:val="3C3C3B"/>
        <w:spacing w:val="-2"/>
        <w:w w:val="93"/>
        <w:sz w:val="17"/>
        <w:szCs w:val="17"/>
      </w:rPr>
    </w:lvl>
    <w:lvl w:ilvl="1">
      <w:numFmt w:val="bullet"/>
      <w:lvlText w:val="•"/>
      <w:lvlJc w:val="left"/>
      <w:pPr>
        <w:ind w:left="1422" w:hanging="284"/>
      </w:pPr>
    </w:lvl>
    <w:lvl w:ilvl="2">
      <w:numFmt w:val="bullet"/>
      <w:lvlText w:val="•"/>
      <w:lvlJc w:val="left"/>
      <w:pPr>
        <w:ind w:left="2445" w:hanging="284"/>
      </w:pPr>
    </w:lvl>
    <w:lvl w:ilvl="3">
      <w:numFmt w:val="bullet"/>
      <w:lvlText w:val="•"/>
      <w:lvlJc w:val="left"/>
      <w:pPr>
        <w:ind w:left="3467" w:hanging="284"/>
      </w:pPr>
    </w:lvl>
    <w:lvl w:ilvl="4">
      <w:numFmt w:val="bullet"/>
      <w:lvlText w:val="•"/>
      <w:lvlJc w:val="left"/>
      <w:pPr>
        <w:ind w:left="4490" w:hanging="284"/>
      </w:pPr>
    </w:lvl>
    <w:lvl w:ilvl="5">
      <w:numFmt w:val="bullet"/>
      <w:lvlText w:val="•"/>
      <w:lvlJc w:val="left"/>
      <w:pPr>
        <w:ind w:left="5512" w:hanging="284"/>
      </w:pPr>
    </w:lvl>
    <w:lvl w:ilvl="6">
      <w:numFmt w:val="bullet"/>
      <w:lvlText w:val="•"/>
      <w:lvlJc w:val="left"/>
      <w:pPr>
        <w:ind w:left="6535" w:hanging="284"/>
      </w:pPr>
    </w:lvl>
    <w:lvl w:ilvl="7">
      <w:numFmt w:val="bullet"/>
      <w:lvlText w:val="•"/>
      <w:lvlJc w:val="left"/>
      <w:pPr>
        <w:ind w:left="7557" w:hanging="284"/>
      </w:pPr>
    </w:lvl>
    <w:lvl w:ilvl="8">
      <w:numFmt w:val="bullet"/>
      <w:lvlText w:val="•"/>
      <w:lvlJc w:val="left"/>
      <w:pPr>
        <w:ind w:left="8580" w:hanging="284"/>
      </w:pPr>
    </w:lvl>
  </w:abstractNum>
  <w:abstractNum w:abstractNumId="1" w15:restartNumberingAfterBreak="0">
    <w:nsid w:val="09DF5521"/>
    <w:multiLevelType w:val="hybridMultilevel"/>
    <w:tmpl w:val="1D525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BCE"/>
    <w:multiLevelType w:val="hybridMultilevel"/>
    <w:tmpl w:val="2760F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576"/>
    <w:multiLevelType w:val="hybridMultilevel"/>
    <w:tmpl w:val="09647CE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7439"/>
    <w:multiLevelType w:val="hybridMultilevel"/>
    <w:tmpl w:val="E68892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3146"/>
    <w:multiLevelType w:val="hybridMultilevel"/>
    <w:tmpl w:val="0B680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53CF1"/>
    <w:multiLevelType w:val="hybridMultilevel"/>
    <w:tmpl w:val="F70C42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A0F05"/>
    <w:multiLevelType w:val="hybridMultilevel"/>
    <w:tmpl w:val="ACF26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D85"/>
    <w:multiLevelType w:val="multilevel"/>
    <w:tmpl w:val="00000885"/>
    <w:lvl w:ilvl="0">
      <w:start w:val="1"/>
      <w:numFmt w:val="lowerLetter"/>
      <w:lvlText w:val="%1."/>
      <w:lvlJc w:val="left"/>
      <w:pPr>
        <w:ind w:left="390" w:hanging="284"/>
      </w:pPr>
      <w:rPr>
        <w:rFonts w:ascii="Arial" w:hAnsi="Arial" w:cs="Arial"/>
        <w:b w:val="0"/>
        <w:bCs w:val="0"/>
        <w:color w:val="3C3C3B"/>
        <w:spacing w:val="-2"/>
        <w:w w:val="93"/>
        <w:sz w:val="17"/>
        <w:szCs w:val="17"/>
      </w:rPr>
    </w:lvl>
    <w:lvl w:ilvl="1">
      <w:numFmt w:val="bullet"/>
      <w:lvlText w:val="•"/>
      <w:lvlJc w:val="left"/>
      <w:pPr>
        <w:ind w:left="1422" w:hanging="284"/>
      </w:pPr>
    </w:lvl>
    <w:lvl w:ilvl="2">
      <w:numFmt w:val="bullet"/>
      <w:lvlText w:val="•"/>
      <w:lvlJc w:val="left"/>
      <w:pPr>
        <w:ind w:left="2445" w:hanging="284"/>
      </w:pPr>
    </w:lvl>
    <w:lvl w:ilvl="3">
      <w:numFmt w:val="bullet"/>
      <w:lvlText w:val="•"/>
      <w:lvlJc w:val="left"/>
      <w:pPr>
        <w:ind w:left="3467" w:hanging="284"/>
      </w:pPr>
    </w:lvl>
    <w:lvl w:ilvl="4">
      <w:numFmt w:val="bullet"/>
      <w:lvlText w:val="•"/>
      <w:lvlJc w:val="left"/>
      <w:pPr>
        <w:ind w:left="4490" w:hanging="284"/>
      </w:pPr>
    </w:lvl>
    <w:lvl w:ilvl="5">
      <w:numFmt w:val="bullet"/>
      <w:lvlText w:val="•"/>
      <w:lvlJc w:val="left"/>
      <w:pPr>
        <w:ind w:left="5512" w:hanging="284"/>
      </w:pPr>
    </w:lvl>
    <w:lvl w:ilvl="6">
      <w:numFmt w:val="bullet"/>
      <w:lvlText w:val="•"/>
      <w:lvlJc w:val="left"/>
      <w:pPr>
        <w:ind w:left="6535" w:hanging="284"/>
      </w:pPr>
    </w:lvl>
    <w:lvl w:ilvl="7">
      <w:numFmt w:val="bullet"/>
      <w:lvlText w:val="•"/>
      <w:lvlJc w:val="left"/>
      <w:pPr>
        <w:ind w:left="7557" w:hanging="284"/>
      </w:pPr>
    </w:lvl>
    <w:lvl w:ilvl="8">
      <w:numFmt w:val="bullet"/>
      <w:lvlText w:val="•"/>
      <w:lvlJc w:val="left"/>
      <w:pPr>
        <w:ind w:left="8580" w:hanging="284"/>
      </w:pPr>
    </w:lvl>
  </w:abstractNum>
  <w:abstractNum w:abstractNumId="9" w15:restartNumberingAfterBreak="0">
    <w:nsid w:val="385D1589"/>
    <w:multiLevelType w:val="hybridMultilevel"/>
    <w:tmpl w:val="BF3AC0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25A87"/>
    <w:multiLevelType w:val="hybridMultilevel"/>
    <w:tmpl w:val="DF1CE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505B7"/>
    <w:multiLevelType w:val="singleLevel"/>
    <w:tmpl w:val="B98223B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C3B5385"/>
    <w:multiLevelType w:val="hybridMultilevel"/>
    <w:tmpl w:val="6E2C02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3A2A"/>
    <w:multiLevelType w:val="hybridMultilevel"/>
    <w:tmpl w:val="431E27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D6ACA"/>
    <w:multiLevelType w:val="hybridMultilevel"/>
    <w:tmpl w:val="1DA6B256"/>
    <w:lvl w:ilvl="0" w:tplc="FE1AC1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16DAC"/>
    <w:multiLevelType w:val="hybridMultilevel"/>
    <w:tmpl w:val="65725A58"/>
    <w:lvl w:ilvl="0" w:tplc="FE1AC1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61F5"/>
    <w:multiLevelType w:val="hybridMultilevel"/>
    <w:tmpl w:val="6BF4F4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D7E4E"/>
    <w:multiLevelType w:val="hybridMultilevel"/>
    <w:tmpl w:val="92DA62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87987"/>
    <w:multiLevelType w:val="hybridMultilevel"/>
    <w:tmpl w:val="CC08C45C"/>
    <w:lvl w:ilvl="0" w:tplc="4932778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D9804D8"/>
    <w:multiLevelType w:val="hybridMultilevel"/>
    <w:tmpl w:val="19D43A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C0804"/>
    <w:multiLevelType w:val="hybridMultilevel"/>
    <w:tmpl w:val="6C4AAD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F62DE"/>
    <w:multiLevelType w:val="hybridMultilevel"/>
    <w:tmpl w:val="53704D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F1914"/>
    <w:multiLevelType w:val="hybridMultilevel"/>
    <w:tmpl w:val="48AEC40C"/>
    <w:lvl w:ilvl="0" w:tplc="306021B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EE0A4E"/>
    <w:multiLevelType w:val="hybridMultilevel"/>
    <w:tmpl w:val="0FB03D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61928">
    <w:abstractNumId w:val="11"/>
  </w:num>
  <w:num w:numId="2" w16cid:durableId="259528684">
    <w:abstractNumId w:val="18"/>
  </w:num>
  <w:num w:numId="3" w16cid:durableId="294260067">
    <w:abstractNumId w:val="22"/>
  </w:num>
  <w:num w:numId="4" w16cid:durableId="1898079778">
    <w:abstractNumId w:val="2"/>
  </w:num>
  <w:num w:numId="5" w16cid:durableId="1989476995">
    <w:abstractNumId w:val="13"/>
  </w:num>
  <w:num w:numId="6" w16cid:durableId="1263345170">
    <w:abstractNumId w:val="10"/>
  </w:num>
  <w:num w:numId="7" w16cid:durableId="1658653992">
    <w:abstractNumId w:val="23"/>
  </w:num>
  <w:num w:numId="8" w16cid:durableId="629436549">
    <w:abstractNumId w:val="1"/>
  </w:num>
  <w:num w:numId="9" w16cid:durableId="524486745">
    <w:abstractNumId w:val="0"/>
  </w:num>
  <w:num w:numId="10" w16cid:durableId="1100418011">
    <w:abstractNumId w:val="7"/>
  </w:num>
  <w:num w:numId="11" w16cid:durableId="1439982165">
    <w:abstractNumId w:val="15"/>
  </w:num>
  <w:num w:numId="12" w16cid:durableId="2067341175">
    <w:abstractNumId w:val="16"/>
  </w:num>
  <w:num w:numId="13" w16cid:durableId="1470439310">
    <w:abstractNumId w:val="4"/>
  </w:num>
  <w:num w:numId="14" w16cid:durableId="483163771">
    <w:abstractNumId w:val="3"/>
  </w:num>
  <w:num w:numId="15" w16cid:durableId="36517698">
    <w:abstractNumId w:val="12"/>
  </w:num>
  <w:num w:numId="16" w16cid:durableId="1938950321">
    <w:abstractNumId w:val="14"/>
  </w:num>
  <w:num w:numId="17" w16cid:durableId="2025665126">
    <w:abstractNumId w:val="19"/>
  </w:num>
  <w:num w:numId="18" w16cid:durableId="1972248106">
    <w:abstractNumId w:val="8"/>
  </w:num>
  <w:num w:numId="19" w16cid:durableId="1795902611">
    <w:abstractNumId w:val="21"/>
  </w:num>
  <w:num w:numId="20" w16cid:durableId="1059087034">
    <w:abstractNumId w:val="9"/>
  </w:num>
  <w:num w:numId="21" w16cid:durableId="1035010676">
    <w:abstractNumId w:val="17"/>
  </w:num>
  <w:num w:numId="22" w16cid:durableId="508448442">
    <w:abstractNumId w:val="6"/>
  </w:num>
  <w:num w:numId="23" w16cid:durableId="480268237">
    <w:abstractNumId w:val="5"/>
  </w:num>
  <w:num w:numId="24" w16cid:durableId="551768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8B5"/>
    <w:rsid w:val="00052A75"/>
    <w:rsid w:val="000573B8"/>
    <w:rsid w:val="00071901"/>
    <w:rsid w:val="00074100"/>
    <w:rsid w:val="000C6487"/>
    <w:rsid w:val="000D203F"/>
    <w:rsid w:val="000D2063"/>
    <w:rsid w:val="000F2286"/>
    <w:rsid w:val="00142612"/>
    <w:rsid w:val="00150868"/>
    <w:rsid w:val="0019415E"/>
    <w:rsid w:val="00232AE8"/>
    <w:rsid w:val="00240330"/>
    <w:rsid w:val="00245954"/>
    <w:rsid w:val="002D148C"/>
    <w:rsid w:val="00303184"/>
    <w:rsid w:val="003562FE"/>
    <w:rsid w:val="003628B5"/>
    <w:rsid w:val="00374E62"/>
    <w:rsid w:val="003F35EC"/>
    <w:rsid w:val="003F6311"/>
    <w:rsid w:val="004279B8"/>
    <w:rsid w:val="00447D62"/>
    <w:rsid w:val="00494D48"/>
    <w:rsid w:val="004F2D83"/>
    <w:rsid w:val="00575C03"/>
    <w:rsid w:val="0059671B"/>
    <w:rsid w:val="005C5A34"/>
    <w:rsid w:val="005F401C"/>
    <w:rsid w:val="006235C5"/>
    <w:rsid w:val="0063781F"/>
    <w:rsid w:val="00651B50"/>
    <w:rsid w:val="006635D8"/>
    <w:rsid w:val="006A6DEA"/>
    <w:rsid w:val="006C64CF"/>
    <w:rsid w:val="00742E80"/>
    <w:rsid w:val="0079063C"/>
    <w:rsid w:val="007C60E0"/>
    <w:rsid w:val="007D4B83"/>
    <w:rsid w:val="007F3CDE"/>
    <w:rsid w:val="00832F49"/>
    <w:rsid w:val="008A58E6"/>
    <w:rsid w:val="00902CF0"/>
    <w:rsid w:val="00964FFC"/>
    <w:rsid w:val="00985B44"/>
    <w:rsid w:val="009A115E"/>
    <w:rsid w:val="009A2D99"/>
    <w:rsid w:val="009B542A"/>
    <w:rsid w:val="009B59C5"/>
    <w:rsid w:val="00A66A1A"/>
    <w:rsid w:val="00A967CD"/>
    <w:rsid w:val="00AC32B4"/>
    <w:rsid w:val="00AF112F"/>
    <w:rsid w:val="00B12215"/>
    <w:rsid w:val="00B3456A"/>
    <w:rsid w:val="00B50550"/>
    <w:rsid w:val="00B85B87"/>
    <w:rsid w:val="00BD0EE9"/>
    <w:rsid w:val="00C00ADB"/>
    <w:rsid w:val="00C30B17"/>
    <w:rsid w:val="00C4596C"/>
    <w:rsid w:val="00C63719"/>
    <w:rsid w:val="00CB0C64"/>
    <w:rsid w:val="00D135BF"/>
    <w:rsid w:val="00D65A87"/>
    <w:rsid w:val="00DA4705"/>
    <w:rsid w:val="00DD753F"/>
    <w:rsid w:val="00E00093"/>
    <w:rsid w:val="00E70DCC"/>
    <w:rsid w:val="00E717EF"/>
    <w:rsid w:val="00E904F3"/>
    <w:rsid w:val="00EA7921"/>
    <w:rsid w:val="00F30EC8"/>
    <w:rsid w:val="00FE2B39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16845"/>
  <w15:docId w15:val="{D9D5BCCF-8120-4468-8A9B-373BCDF5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4261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32AE8"/>
    <w:pPr>
      <w:autoSpaceDE w:val="0"/>
      <w:autoSpaceDN w:val="0"/>
      <w:adjustRightInd w:val="0"/>
      <w:ind w:left="39"/>
    </w:pPr>
    <w:rPr>
      <w:rFonts w:ascii="Arial" w:hAnsi="Arial" w:cs="Arial"/>
      <w:sz w:val="17"/>
      <w:szCs w:val="17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232AE8"/>
    <w:rPr>
      <w:rFonts w:ascii="Arial" w:hAnsi="Arial" w:cs="Arial"/>
      <w:sz w:val="17"/>
      <w:szCs w:val="17"/>
    </w:rPr>
  </w:style>
  <w:style w:type="character" w:customStyle="1" w:styleId="TitleChar">
    <w:name w:val="Title Char"/>
    <w:basedOn w:val="DefaultParagraphFont"/>
    <w:link w:val="Title"/>
    <w:uiPriority w:val="1"/>
    <w:rsid w:val="00B1221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SPIRENT plc</vt:lpstr>
    </vt:vector>
  </TitlesOfParts>
  <Company>Spirent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SPIRENT plc</dc:title>
  <dc:creator>JGomm</dc:creator>
  <cp:lastModifiedBy>McHugh, Georgina</cp:lastModifiedBy>
  <cp:revision>26</cp:revision>
  <cp:lastPrinted>2017-03-29T14:30:00Z</cp:lastPrinted>
  <dcterms:created xsi:type="dcterms:W3CDTF">2016-04-08T12:21:00Z</dcterms:created>
  <dcterms:modified xsi:type="dcterms:W3CDTF">2024-04-02T10:40:00Z</dcterms:modified>
</cp:coreProperties>
</file>