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1FD4" w14:textId="23D390D3" w:rsidR="00BB6C4A" w:rsidRPr="003359DD" w:rsidRDefault="00BB6C4A" w:rsidP="00BB6C4A">
      <w:pPr>
        <w:rPr>
          <w:rFonts w:ascii="Arial" w:hAnsi="Arial" w:cs="Arial"/>
          <w:b/>
          <w:bCs/>
          <w:sz w:val="20"/>
        </w:rPr>
      </w:pPr>
      <w:r w:rsidRPr="003359DD">
        <w:rPr>
          <w:rFonts w:ascii="Arial" w:hAnsi="Arial" w:cs="Arial"/>
          <w:b/>
          <w:bCs/>
          <w:sz w:val="20"/>
        </w:rPr>
        <w:t>Land Securities Group PLC</w:t>
      </w:r>
    </w:p>
    <w:p w14:paraId="75A9CE5F" w14:textId="77777777" w:rsidR="00BB6C4A" w:rsidRPr="003359DD" w:rsidRDefault="00BB6C4A" w:rsidP="00BB6C4A">
      <w:pPr>
        <w:rPr>
          <w:rFonts w:ascii="Arial" w:hAnsi="Arial" w:cs="Arial"/>
          <w:b/>
          <w:bCs/>
          <w:sz w:val="20"/>
        </w:rPr>
      </w:pPr>
    </w:p>
    <w:p w14:paraId="0E5F01DC" w14:textId="574E799E" w:rsidR="00BB6C4A" w:rsidRPr="003359DD" w:rsidRDefault="00BB6C4A" w:rsidP="00BB6C4A">
      <w:pPr>
        <w:rPr>
          <w:rFonts w:ascii="Arial" w:hAnsi="Arial" w:cs="Arial"/>
          <w:b/>
          <w:bCs/>
          <w:sz w:val="20"/>
        </w:rPr>
      </w:pPr>
      <w:r w:rsidRPr="003359DD">
        <w:rPr>
          <w:rFonts w:ascii="Arial" w:hAnsi="Arial" w:cs="Arial"/>
          <w:b/>
          <w:bCs/>
          <w:sz w:val="20"/>
        </w:rPr>
        <w:t xml:space="preserve">Annual General Meeting – </w:t>
      </w:r>
      <w:r w:rsidR="009E7820" w:rsidRPr="003359DD">
        <w:rPr>
          <w:rFonts w:ascii="Arial" w:hAnsi="Arial" w:cs="Arial"/>
          <w:b/>
          <w:bCs/>
          <w:sz w:val="20"/>
        </w:rPr>
        <w:t>1</w:t>
      </w:r>
      <w:r w:rsidR="003359DD">
        <w:rPr>
          <w:rFonts w:ascii="Arial" w:hAnsi="Arial" w:cs="Arial"/>
          <w:b/>
          <w:bCs/>
          <w:sz w:val="20"/>
        </w:rPr>
        <w:t>0</w:t>
      </w:r>
      <w:r w:rsidR="009E7820" w:rsidRPr="003359DD">
        <w:rPr>
          <w:rFonts w:ascii="Arial" w:hAnsi="Arial" w:cs="Arial"/>
          <w:b/>
          <w:bCs/>
          <w:sz w:val="20"/>
        </w:rPr>
        <w:t xml:space="preserve"> </w:t>
      </w:r>
      <w:r w:rsidRPr="003359DD">
        <w:rPr>
          <w:rFonts w:ascii="Arial" w:hAnsi="Arial" w:cs="Arial"/>
          <w:b/>
          <w:bCs/>
          <w:sz w:val="20"/>
        </w:rPr>
        <w:t>July 202</w:t>
      </w:r>
      <w:r w:rsidR="003359DD">
        <w:rPr>
          <w:rFonts w:ascii="Arial" w:hAnsi="Arial" w:cs="Arial"/>
          <w:b/>
          <w:bCs/>
          <w:sz w:val="20"/>
        </w:rPr>
        <w:t>5</w:t>
      </w:r>
      <w:r w:rsidRPr="003359DD">
        <w:rPr>
          <w:rFonts w:ascii="Arial" w:hAnsi="Arial" w:cs="Arial"/>
          <w:b/>
          <w:bCs/>
          <w:sz w:val="20"/>
        </w:rPr>
        <w:t xml:space="preserve"> (“AGM”)</w:t>
      </w:r>
    </w:p>
    <w:p w14:paraId="6DD70566" w14:textId="77777777" w:rsidR="00BB6C4A" w:rsidRPr="003359DD" w:rsidRDefault="00BB6C4A" w:rsidP="00BB6C4A">
      <w:pPr>
        <w:rPr>
          <w:rFonts w:ascii="Arial" w:hAnsi="Arial" w:cs="Arial"/>
          <w:b/>
          <w:bCs/>
          <w:sz w:val="20"/>
        </w:rPr>
      </w:pPr>
    </w:p>
    <w:p w14:paraId="6CF707E6" w14:textId="77777777" w:rsidR="00BB6C4A" w:rsidRPr="003359DD" w:rsidRDefault="00BB6C4A" w:rsidP="00BB6C4A">
      <w:pPr>
        <w:rPr>
          <w:rFonts w:ascii="Arial" w:hAnsi="Arial" w:cs="Arial"/>
          <w:b/>
          <w:bCs/>
          <w:sz w:val="20"/>
        </w:rPr>
      </w:pPr>
      <w:r w:rsidRPr="003359DD">
        <w:rPr>
          <w:rFonts w:ascii="Arial" w:hAnsi="Arial" w:cs="Arial"/>
          <w:b/>
          <w:bCs/>
          <w:sz w:val="20"/>
        </w:rPr>
        <w:t>Special business resolutions passed at the AGM</w:t>
      </w:r>
    </w:p>
    <w:p w14:paraId="6B23D671" w14:textId="77777777" w:rsidR="00BB6C4A" w:rsidRPr="003359DD" w:rsidRDefault="00BB6C4A" w:rsidP="0010459B">
      <w:pPr>
        <w:spacing w:after="120" w:line="240" w:lineRule="exact"/>
        <w:rPr>
          <w:rFonts w:ascii="Arial" w:hAnsi="Arial" w:cs="Arial"/>
          <w:sz w:val="20"/>
        </w:rPr>
      </w:pPr>
    </w:p>
    <w:p w14:paraId="66AECF03" w14:textId="330E74C7" w:rsidR="008C55A4" w:rsidRPr="003359DD" w:rsidRDefault="008C55A4" w:rsidP="00650A72">
      <w:pPr>
        <w:kinsoku w:val="0"/>
        <w:overflowPunct w:val="0"/>
        <w:spacing w:before="202" w:line="259" w:lineRule="exact"/>
        <w:textAlignment w:val="baseline"/>
        <w:rPr>
          <w:rFonts w:ascii="Arial" w:eastAsia="Arial" w:hAnsi="Arial" w:cs="Arial"/>
          <w:color w:val="181717"/>
          <w:sz w:val="20"/>
          <w:lang w:val="en-US"/>
        </w:rPr>
      </w:pPr>
      <w:r w:rsidRPr="003359DD">
        <w:rPr>
          <w:rFonts w:ascii="Arial" w:eastAsia="Arial" w:hAnsi="Arial" w:cs="Arial"/>
          <w:color w:val="181717"/>
          <w:sz w:val="20"/>
          <w:lang w:val="en-US"/>
        </w:rPr>
        <w:t xml:space="preserve">At the AGM held on </w:t>
      </w:r>
      <w:r w:rsidR="009E7820" w:rsidRPr="003359DD">
        <w:rPr>
          <w:rFonts w:ascii="Arial" w:eastAsia="Arial" w:hAnsi="Arial" w:cs="Arial"/>
          <w:color w:val="181717"/>
          <w:sz w:val="20"/>
          <w:lang w:val="en-US"/>
        </w:rPr>
        <w:t>1</w:t>
      </w:r>
      <w:r w:rsidR="003359DD">
        <w:rPr>
          <w:rFonts w:ascii="Arial" w:eastAsia="Arial" w:hAnsi="Arial" w:cs="Arial"/>
          <w:color w:val="181717"/>
          <w:sz w:val="20"/>
          <w:lang w:val="en-US"/>
        </w:rPr>
        <w:t>0</w:t>
      </w:r>
      <w:r w:rsidRPr="003359DD">
        <w:rPr>
          <w:rFonts w:ascii="Arial" w:eastAsia="Arial" w:hAnsi="Arial" w:cs="Arial"/>
          <w:color w:val="181717"/>
          <w:sz w:val="20"/>
          <w:lang w:val="en-US"/>
        </w:rPr>
        <w:t xml:space="preserve"> July 202</w:t>
      </w:r>
      <w:r w:rsidR="006F65A5">
        <w:rPr>
          <w:rFonts w:ascii="Arial" w:eastAsia="Arial" w:hAnsi="Arial" w:cs="Arial"/>
          <w:color w:val="181717"/>
          <w:sz w:val="20"/>
          <w:lang w:val="en-US"/>
        </w:rPr>
        <w:t>5</w:t>
      </w:r>
      <w:r w:rsidRPr="003359DD">
        <w:rPr>
          <w:rFonts w:ascii="Arial" w:eastAsia="Arial" w:hAnsi="Arial" w:cs="Arial"/>
          <w:color w:val="181717"/>
          <w:sz w:val="20"/>
          <w:lang w:val="en-US"/>
        </w:rPr>
        <w:t>, in addition to the resolutions concerning ordinary business, the following resolutions concerning special business were duly passed. Resolution 1</w:t>
      </w:r>
      <w:r w:rsidR="00222C36" w:rsidRPr="003359DD">
        <w:rPr>
          <w:rFonts w:ascii="Arial" w:eastAsia="Arial" w:hAnsi="Arial" w:cs="Arial"/>
          <w:color w:val="181717"/>
          <w:sz w:val="20"/>
          <w:lang w:val="en-US"/>
        </w:rPr>
        <w:t>7</w:t>
      </w:r>
      <w:r w:rsidRPr="003359DD">
        <w:rPr>
          <w:rFonts w:ascii="Arial" w:eastAsia="Arial" w:hAnsi="Arial" w:cs="Arial"/>
          <w:color w:val="181717"/>
          <w:sz w:val="20"/>
          <w:lang w:val="en-US"/>
        </w:rPr>
        <w:t xml:space="preserve"> </w:t>
      </w:r>
      <w:r w:rsidR="006F65A5">
        <w:rPr>
          <w:rFonts w:ascii="Arial" w:eastAsia="Arial" w:hAnsi="Arial" w:cs="Arial"/>
          <w:color w:val="181717"/>
          <w:sz w:val="20"/>
          <w:lang w:val="en-US"/>
        </w:rPr>
        <w:t>was</w:t>
      </w:r>
      <w:r w:rsidRPr="003359DD">
        <w:rPr>
          <w:rFonts w:ascii="Arial" w:eastAsia="Arial" w:hAnsi="Arial" w:cs="Arial"/>
          <w:color w:val="181717"/>
          <w:sz w:val="20"/>
          <w:lang w:val="en-US"/>
        </w:rPr>
        <w:t xml:space="preserve"> passed as </w:t>
      </w:r>
      <w:r w:rsidR="006F65A5">
        <w:rPr>
          <w:rFonts w:ascii="Arial" w:eastAsia="Arial" w:hAnsi="Arial" w:cs="Arial"/>
          <w:color w:val="181717"/>
          <w:sz w:val="20"/>
          <w:lang w:val="en-US"/>
        </w:rPr>
        <w:t xml:space="preserve">an </w:t>
      </w:r>
      <w:r w:rsidRPr="003359DD">
        <w:rPr>
          <w:rFonts w:ascii="Arial" w:eastAsia="Arial" w:hAnsi="Arial" w:cs="Arial"/>
          <w:color w:val="181717"/>
          <w:sz w:val="20"/>
          <w:lang w:val="en-US"/>
        </w:rPr>
        <w:t>Ordinary Resolution and resolutions 1</w:t>
      </w:r>
      <w:r w:rsidR="006F65A5">
        <w:rPr>
          <w:rFonts w:ascii="Arial" w:eastAsia="Arial" w:hAnsi="Arial" w:cs="Arial"/>
          <w:color w:val="181717"/>
          <w:sz w:val="20"/>
          <w:lang w:val="en-US"/>
        </w:rPr>
        <w:t>8</w:t>
      </w:r>
      <w:r w:rsidRPr="003359DD">
        <w:rPr>
          <w:rFonts w:ascii="Arial" w:eastAsia="Arial" w:hAnsi="Arial" w:cs="Arial"/>
          <w:color w:val="181717"/>
          <w:sz w:val="20"/>
          <w:lang w:val="en-US"/>
        </w:rPr>
        <w:t xml:space="preserve"> to 2</w:t>
      </w:r>
      <w:r w:rsidR="006F65A5">
        <w:rPr>
          <w:rFonts w:ascii="Arial" w:eastAsia="Arial" w:hAnsi="Arial" w:cs="Arial"/>
          <w:color w:val="181717"/>
          <w:sz w:val="20"/>
          <w:lang w:val="en-US"/>
        </w:rPr>
        <w:t>0</w:t>
      </w:r>
      <w:r w:rsidRPr="003359DD">
        <w:rPr>
          <w:rFonts w:ascii="Arial" w:eastAsia="Arial" w:hAnsi="Arial" w:cs="Arial"/>
          <w:color w:val="181717"/>
          <w:sz w:val="20"/>
          <w:lang w:val="en-US"/>
        </w:rPr>
        <w:t xml:space="preserve"> were passed as Special Resolutions.  This information is being provided in compliance with </w:t>
      </w:r>
      <w:r w:rsidR="007B0BC7" w:rsidRPr="00CD6088">
        <w:rPr>
          <w:rFonts w:ascii="Arial" w:eastAsia="Arial" w:hAnsi="Arial" w:cs="Arial"/>
          <w:color w:val="000000"/>
          <w:sz w:val="20"/>
        </w:rPr>
        <w:t>paragraphs 6.4.1 and 6.4.3 of the FCA Listing Rules and 4.1 of the FCA Disclosure Guidance and Transparency Rules ("DTR")</w:t>
      </w:r>
      <w:r w:rsidR="009D23E5">
        <w:rPr>
          <w:rFonts w:ascii="Arial" w:eastAsia="Arial" w:hAnsi="Arial" w:cs="Arial"/>
          <w:color w:val="000000"/>
          <w:sz w:val="20"/>
        </w:rPr>
        <w:t>.</w:t>
      </w:r>
    </w:p>
    <w:p w14:paraId="0EBE8380" w14:textId="68BA02E5" w:rsidR="0003350C" w:rsidRPr="003359DD" w:rsidRDefault="0003350C" w:rsidP="00650A72">
      <w:pPr>
        <w:kinsoku w:val="0"/>
        <w:overflowPunct w:val="0"/>
        <w:spacing w:before="226" w:line="261" w:lineRule="exact"/>
        <w:textAlignment w:val="baseline"/>
        <w:rPr>
          <w:rFonts w:ascii="Arial" w:hAnsi="Arial" w:cs="Arial"/>
          <w:b/>
          <w:bCs/>
          <w:spacing w:val="1"/>
          <w:sz w:val="20"/>
        </w:rPr>
      </w:pPr>
      <w:r w:rsidRPr="003359DD">
        <w:rPr>
          <w:rFonts w:ascii="Arial" w:hAnsi="Arial" w:cs="Arial"/>
          <w:b/>
          <w:bCs/>
          <w:spacing w:val="1"/>
          <w:sz w:val="20"/>
        </w:rPr>
        <w:t>1</w:t>
      </w:r>
      <w:r w:rsidR="00597A32" w:rsidRPr="003359DD">
        <w:rPr>
          <w:rFonts w:ascii="Arial" w:hAnsi="Arial" w:cs="Arial"/>
          <w:b/>
          <w:bCs/>
          <w:spacing w:val="1"/>
          <w:sz w:val="20"/>
        </w:rPr>
        <w:t>7</w:t>
      </w:r>
      <w:r w:rsidRPr="003359DD">
        <w:rPr>
          <w:rFonts w:ascii="Arial" w:hAnsi="Arial" w:cs="Arial"/>
          <w:b/>
          <w:bCs/>
          <w:spacing w:val="1"/>
          <w:sz w:val="20"/>
        </w:rPr>
        <w:t>. Authority to allot securities</w:t>
      </w:r>
      <w:r w:rsidR="00D65D2E" w:rsidRPr="003359DD">
        <w:rPr>
          <w:rFonts w:ascii="Arial" w:hAnsi="Arial" w:cs="Arial"/>
          <w:b/>
          <w:bCs/>
          <w:spacing w:val="1"/>
          <w:sz w:val="20"/>
        </w:rPr>
        <w:t xml:space="preserve"> </w:t>
      </w:r>
      <w:r w:rsidR="00CA23CB" w:rsidRPr="003359DD">
        <w:rPr>
          <w:rFonts w:ascii="Arial" w:hAnsi="Arial" w:cs="Arial"/>
          <w:b/>
          <w:sz w:val="20"/>
        </w:rPr>
        <w:t>(Ordinary Resolution)</w:t>
      </w:r>
    </w:p>
    <w:p w14:paraId="496410A9" w14:textId="4F5D1EAF"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Pursuant to section 551 of the 2006 Act, to authorise the Directors generally and unconditionally</w:t>
      </w:r>
      <w:r w:rsidR="000477CE"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to allot shares in the Company and to grant rights to subscribe for or convert any security</w:t>
      </w:r>
      <w:r w:rsidR="000477CE"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into shares in the Company:</w:t>
      </w:r>
    </w:p>
    <w:p w14:paraId="36016D94" w14:textId="77777777" w:rsidR="000477CE" w:rsidRPr="003359DD" w:rsidRDefault="000477CE" w:rsidP="00650A72">
      <w:pPr>
        <w:autoSpaceDE w:val="0"/>
        <w:autoSpaceDN w:val="0"/>
        <w:adjustRightInd w:val="0"/>
        <w:rPr>
          <w:rFonts w:ascii="Arial" w:eastAsiaTheme="minorHAnsi" w:hAnsi="Arial" w:cs="Arial"/>
          <w:sz w:val="20"/>
          <w:lang w:eastAsia="en-US"/>
        </w:rPr>
      </w:pPr>
    </w:p>
    <w:p w14:paraId="1EDFF00C" w14:textId="7844C83F"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 up to an aggregate nominal amount of £</w:t>
      </w:r>
      <w:r w:rsidR="004C48EA" w:rsidRPr="004C48EA">
        <w:rPr>
          <w:rFonts w:ascii="Arial" w:eastAsiaTheme="minorHAnsi" w:hAnsi="Arial" w:cs="Arial"/>
          <w:sz w:val="20"/>
          <w:lang w:eastAsia="en-US"/>
        </w:rPr>
        <w:t>26,486,856</w:t>
      </w:r>
      <w:r w:rsidRPr="003359DD">
        <w:rPr>
          <w:rFonts w:ascii="Arial" w:eastAsiaTheme="minorHAnsi" w:hAnsi="Arial" w:cs="Arial"/>
          <w:sz w:val="20"/>
          <w:lang w:eastAsia="en-US"/>
        </w:rPr>
        <w:t>; and</w:t>
      </w:r>
    </w:p>
    <w:p w14:paraId="3260EA16" w14:textId="15B1EC80"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(ii) in so far as such shares comprise equity securities (as defined in section 560 of the 2006</w:t>
      </w:r>
      <w:r w:rsidR="000477CE"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Act) up to a further nominal amount of £</w:t>
      </w:r>
      <w:r w:rsidR="007B3643" w:rsidRPr="003359DD">
        <w:rPr>
          <w:rFonts w:ascii="Arial" w:eastAsiaTheme="minorHAnsi" w:hAnsi="Arial" w:cs="Arial"/>
          <w:sz w:val="20"/>
          <w:lang w:eastAsia="en-US"/>
        </w:rPr>
        <w:t>26,</w:t>
      </w:r>
      <w:r w:rsidR="004C48EA" w:rsidRPr="004C48EA">
        <w:rPr>
          <w:rFonts w:ascii="Arial" w:eastAsiaTheme="minorHAnsi" w:hAnsi="Arial" w:cs="Arial"/>
          <w:sz w:val="20"/>
          <w:lang w:eastAsia="en-US"/>
        </w:rPr>
        <w:t>486,856</w:t>
      </w:r>
      <w:r w:rsidRPr="003359DD">
        <w:rPr>
          <w:rFonts w:ascii="Arial" w:eastAsiaTheme="minorHAnsi" w:hAnsi="Arial" w:cs="Arial"/>
          <w:sz w:val="20"/>
          <w:lang w:eastAsia="en-US"/>
        </w:rPr>
        <w:t xml:space="preserve"> in connection with a pre-emptive</w:t>
      </w:r>
      <w:r w:rsidR="000477CE"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offer (including an offer by way of a rights issue or open offer):</w:t>
      </w:r>
    </w:p>
    <w:p w14:paraId="4B011FBD" w14:textId="77777777"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 to ordinary shareholders in proportion (as nearly as may be practicable) to their</w:t>
      </w:r>
    </w:p>
    <w:p w14:paraId="052B7606" w14:textId="77777777"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existing holdings; and</w:t>
      </w:r>
    </w:p>
    <w:p w14:paraId="6F5B67EB" w14:textId="77777777"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(b) to holders of other equity securities as required by the rights of those securities or</w:t>
      </w:r>
    </w:p>
    <w:p w14:paraId="20AE94DD" w14:textId="77777777"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as the Directors otherwise consider necessary,</w:t>
      </w:r>
    </w:p>
    <w:p w14:paraId="3936392F" w14:textId="40FA8F70"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and so that the Directors may impose any limits or restrictions and make any arrangements</w:t>
      </w:r>
      <w:r w:rsidR="000477CE"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which they consider necessary or appropriate to deal with treasury shares, fractional</w:t>
      </w:r>
      <w:r w:rsidR="000477CE"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entitlements, record dates, legal, regulatory or practical problems in, or under the laws</w:t>
      </w:r>
      <w:r w:rsidR="000477CE"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of, any territory or any other matter.</w:t>
      </w:r>
    </w:p>
    <w:p w14:paraId="091C31CD" w14:textId="77777777" w:rsidR="000477CE" w:rsidRPr="003359DD" w:rsidRDefault="000477CE" w:rsidP="00650A72">
      <w:pPr>
        <w:autoSpaceDE w:val="0"/>
        <w:autoSpaceDN w:val="0"/>
        <w:adjustRightInd w:val="0"/>
        <w:rPr>
          <w:rFonts w:ascii="Arial" w:eastAsiaTheme="minorHAnsi" w:hAnsi="Arial" w:cs="Arial"/>
          <w:sz w:val="20"/>
          <w:lang w:eastAsia="en-US"/>
        </w:rPr>
      </w:pPr>
    </w:p>
    <w:p w14:paraId="703C9737" w14:textId="77777777"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This authority shall expire at the earlier of the conclusion of the next AGM of the Company</w:t>
      </w:r>
    </w:p>
    <w:p w14:paraId="5F81FC55" w14:textId="77777777"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or 15 months from the date this Resolution is passed (unless previously renewed, varied or</w:t>
      </w:r>
    </w:p>
    <w:p w14:paraId="18BA43B0" w14:textId="77777777"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revoked by the Company in a general meeting), provided that the Company may make</w:t>
      </w:r>
    </w:p>
    <w:p w14:paraId="3CC3859D" w14:textId="77777777"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offers and enter into agreements before this authority expires which would, or might,</w:t>
      </w:r>
    </w:p>
    <w:p w14:paraId="33E9A73C" w14:textId="77777777"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require equity securities to be allotted or subscription or conversion rights to be granted</w:t>
      </w:r>
    </w:p>
    <w:p w14:paraId="25C1826A" w14:textId="77777777" w:rsidR="009A181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after the authority ends and the Directors may allot equity securities or grant rights to</w:t>
      </w:r>
    </w:p>
    <w:p w14:paraId="09A08F9F" w14:textId="4A1D9C16" w:rsidR="00272156" w:rsidRPr="003359DD" w:rsidRDefault="009A1816"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subscribe for or convert securities into ordinary shares under any such offer or agreement</w:t>
      </w:r>
      <w:r w:rsidR="000477CE"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as if the authority had not expired. This authority replaces all previous authorities.</w:t>
      </w:r>
    </w:p>
    <w:p w14:paraId="1D2F8ADC" w14:textId="77777777" w:rsidR="001B4063" w:rsidRPr="003359DD" w:rsidRDefault="001B4063" w:rsidP="00650A72">
      <w:pPr>
        <w:autoSpaceDE w:val="0"/>
        <w:autoSpaceDN w:val="0"/>
        <w:adjustRightInd w:val="0"/>
        <w:rPr>
          <w:rFonts w:ascii="Arial" w:eastAsiaTheme="minorHAnsi" w:hAnsi="Arial" w:cs="Arial"/>
          <w:sz w:val="20"/>
          <w:lang w:eastAsia="en-US"/>
        </w:rPr>
      </w:pPr>
    </w:p>
    <w:p w14:paraId="4EEBE5FE" w14:textId="44D8C266" w:rsidR="00272156" w:rsidRPr="003359DD" w:rsidRDefault="00371123" w:rsidP="00650A72">
      <w:pPr>
        <w:spacing w:after="120" w:line="240" w:lineRule="exact"/>
        <w:ind w:right="171"/>
        <w:rPr>
          <w:rFonts w:ascii="Arial" w:hAnsi="Arial" w:cs="Arial"/>
          <w:b/>
          <w:sz w:val="20"/>
        </w:rPr>
      </w:pPr>
      <w:r w:rsidRPr="003359DD">
        <w:rPr>
          <w:rFonts w:ascii="Arial" w:hAnsi="Arial" w:cs="Arial"/>
          <w:b/>
          <w:bCs/>
          <w:spacing w:val="2"/>
          <w:sz w:val="20"/>
        </w:rPr>
        <w:t>1</w:t>
      </w:r>
      <w:r w:rsidR="00C675EE">
        <w:rPr>
          <w:rFonts w:ascii="Arial" w:hAnsi="Arial" w:cs="Arial"/>
          <w:b/>
          <w:bCs/>
          <w:spacing w:val="2"/>
          <w:sz w:val="20"/>
        </w:rPr>
        <w:t>8</w:t>
      </w:r>
      <w:r w:rsidRPr="003359DD">
        <w:rPr>
          <w:rFonts w:ascii="Arial" w:hAnsi="Arial" w:cs="Arial"/>
          <w:b/>
          <w:bCs/>
          <w:spacing w:val="2"/>
          <w:sz w:val="20"/>
        </w:rPr>
        <w:t>. General authority to disapply pre-emption rights</w:t>
      </w:r>
      <w:r w:rsidR="00272156" w:rsidRPr="003359DD">
        <w:rPr>
          <w:rFonts w:ascii="Arial" w:hAnsi="Arial" w:cs="Arial"/>
          <w:b/>
          <w:bCs/>
          <w:spacing w:val="2"/>
          <w:sz w:val="20"/>
        </w:rPr>
        <w:t xml:space="preserve"> </w:t>
      </w:r>
      <w:r w:rsidR="00272156" w:rsidRPr="003359DD">
        <w:rPr>
          <w:rFonts w:ascii="Arial" w:hAnsi="Arial" w:cs="Arial"/>
          <w:b/>
          <w:sz w:val="20"/>
        </w:rPr>
        <w:t>(Special Resolution)</w:t>
      </w:r>
    </w:p>
    <w:p w14:paraId="614DB6C5" w14:textId="1222660B"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Subject to Resolution 1</w:t>
      </w:r>
      <w:r w:rsidR="0037632F" w:rsidRPr="003359DD">
        <w:rPr>
          <w:rFonts w:ascii="Arial" w:eastAsiaTheme="minorHAnsi" w:hAnsi="Arial" w:cs="Arial"/>
          <w:sz w:val="20"/>
          <w:lang w:eastAsia="en-US"/>
        </w:rPr>
        <w:t>7</w:t>
      </w:r>
      <w:r w:rsidRPr="003359DD">
        <w:rPr>
          <w:rFonts w:ascii="Arial" w:eastAsiaTheme="minorHAnsi" w:hAnsi="Arial" w:cs="Arial"/>
          <w:sz w:val="20"/>
          <w:lang w:eastAsia="en-US"/>
        </w:rPr>
        <w:t xml:space="preserve"> being passed, to authorise the Directors to allot equity securities</w:t>
      </w:r>
    </w:p>
    <w:p w14:paraId="7D698053"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(pursuant to sections 570 and 573 of the 2006 Act) for cash under the authority given by</w:t>
      </w:r>
    </w:p>
    <w:p w14:paraId="148FED58" w14:textId="240743CF"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Resolution 1</w:t>
      </w:r>
      <w:r w:rsidR="00127036" w:rsidRPr="003359DD">
        <w:rPr>
          <w:rFonts w:ascii="Arial" w:eastAsiaTheme="minorHAnsi" w:hAnsi="Arial" w:cs="Arial"/>
          <w:sz w:val="20"/>
          <w:lang w:eastAsia="en-US"/>
        </w:rPr>
        <w:t>7</w:t>
      </w:r>
      <w:r w:rsidRPr="003359DD">
        <w:rPr>
          <w:rFonts w:ascii="Arial" w:eastAsiaTheme="minorHAnsi" w:hAnsi="Arial" w:cs="Arial"/>
          <w:sz w:val="20"/>
          <w:lang w:eastAsia="en-US"/>
        </w:rPr>
        <w:t xml:space="preserve"> and/or to sell treasury shares as if section 561(1) of the 2006 Act did not apply to any such allotment or sale, provided that this power shall be limited to:</w:t>
      </w:r>
    </w:p>
    <w:p w14:paraId="529D2D56" w14:textId="77777777" w:rsidR="00DC68ED" w:rsidRPr="003359DD" w:rsidRDefault="00DC68ED" w:rsidP="00650A72">
      <w:pPr>
        <w:autoSpaceDE w:val="0"/>
        <w:autoSpaceDN w:val="0"/>
        <w:adjustRightInd w:val="0"/>
        <w:rPr>
          <w:rFonts w:ascii="Arial" w:eastAsiaTheme="minorHAnsi" w:hAnsi="Arial" w:cs="Arial"/>
          <w:sz w:val="20"/>
          <w:lang w:eastAsia="en-US"/>
        </w:rPr>
      </w:pPr>
    </w:p>
    <w:p w14:paraId="70910668"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 the allotment of equity securities and sale of treasury shares for cash in connection with</w:t>
      </w:r>
    </w:p>
    <w:p w14:paraId="06AFC1E4"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an offer of, or invitation to apply for, equity securities made to (but in the case of the</w:t>
      </w:r>
    </w:p>
    <w:p w14:paraId="1FADEFEB" w14:textId="1FCD149C"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authority granted under paragraph (ii) of Resolution 1</w:t>
      </w:r>
      <w:r w:rsidR="00127036" w:rsidRPr="003359DD">
        <w:rPr>
          <w:rFonts w:ascii="Arial" w:eastAsiaTheme="minorHAnsi" w:hAnsi="Arial" w:cs="Arial"/>
          <w:sz w:val="20"/>
          <w:lang w:eastAsia="en-US"/>
        </w:rPr>
        <w:t>7</w:t>
      </w:r>
      <w:r w:rsidRPr="003359DD">
        <w:rPr>
          <w:rFonts w:ascii="Arial" w:eastAsiaTheme="minorHAnsi" w:hAnsi="Arial" w:cs="Arial"/>
          <w:sz w:val="20"/>
          <w:lang w:eastAsia="en-US"/>
        </w:rPr>
        <w:t>, by way of a pre-emptive offer</w:t>
      </w:r>
    </w:p>
    <w:p w14:paraId="6ED9C4AA"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(including a rights issue or open offer)):</w:t>
      </w:r>
    </w:p>
    <w:p w14:paraId="335A93BC"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 ordinary shareholders in proportion (as nearly as may be practicable) to their existing</w:t>
      </w:r>
    </w:p>
    <w:p w14:paraId="34E27561"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holdings; and</w:t>
      </w:r>
    </w:p>
    <w:p w14:paraId="6EBDDB29"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(b) holders of other equity securities, as required by the rights of those securities or,</w:t>
      </w:r>
    </w:p>
    <w:p w14:paraId="048D9455"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if the Directors consider it necessary, as permitted by the rights of those securities,</w:t>
      </w:r>
    </w:p>
    <w:p w14:paraId="4C0201DB" w14:textId="5D834D34"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and so that the Directors may impose any limits or restrictions and make any arrangements</w:t>
      </w:r>
      <w:r w:rsidR="00DC68ED"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which they consider necessary or appropriate to deal with treasury shares, fractional</w:t>
      </w:r>
      <w:r w:rsidR="00DC68ED"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entitlements, record dates, legal, regulatory or practical problems in, or under the laws</w:t>
      </w:r>
      <w:r w:rsidR="00DC68ED"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of, any territory or any other matter;</w:t>
      </w:r>
    </w:p>
    <w:p w14:paraId="31A8917C" w14:textId="77777777" w:rsidR="0068675B" w:rsidRPr="003359DD" w:rsidRDefault="0068675B" w:rsidP="00650A72">
      <w:pPr>
        <w:autoSpaceDE w:val="0"/>
        <w:autoSpaceDN w:val="0"/>
        <w:adjustRightInd w:val="0"/>
        <w:rPr>
          <w:rFonts w:ascii="Arial" w:eastAsiaTheme="minorHAnsi" w:hAnsi="Arial" w:cs="Arial"/>
          <w:sz w:val="20"/>
          <w:lang w:eastAsia="en-US"/>
        </w:rPr>
      </w:pPr>
    </w:p>
    <w:p w14:paraId="040E1331" w14:textId="4BDD587F"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(ii) in the case of the authority granted under paragraph (i) of Resolution 1</w:t>
      </w:r>
      <w:r w:rsidR="00E352D9" w:rsidRPr="003359DD">
        <w:rPr>
          <w:rFonts w:ascii="Arial" w:eastAsiaTheme="minorHAnsi" w:hAnsi="Arial" w:cs="Arial"/>
          <w:sz w:val="20"/>
          <w:lang w:eastAsia="en-US"/>
        </w:rPr>
        <w:t>7</w:t>
      </w:r>
      <w:r w:rsidRPr="003359DD">
        <w:rPr>
          <w:rFonts w:ascii="Arial" w:eastAsiaTheme="minorHAnsi" w:hAnsi="Arial" w:cs="Arial"/>
          <w:sz w:val="20"/>
          <w:lang w:eastAsia="en-US"/>
        </w:rPr>
        <w:t xml:space="preserve"> and/or in the</w:t>
      </w:r>
    </w:p>
    <w:p w14:paraId="2B02F01B"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case of any sale of treasury shares, to the allotment (otherwise than under paragraph</w:t>
      </w:r>
    </w:p>
    <w:p w14:paraId="2AC20338"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lastRenderedPageBreak/>
        <w:t>(i) of this Resolution) of equity securities or sale of treasury shares up to a nominal</w:t>
      </w:r>
    </w:p>
    <w:p w14:paraId="700232CA" w14:textId="02002A71"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amount of £</w:t>
      </w:r>
      <w:r w:rsidR="0043739C" w:rsidRPr="0043739C">
        <w:rPr>
          <w:rFonts w:ascii="Arial" w:eastAsiaTheme="minorHAnsi" w:hAnsi="Arial" w:cs="Arial"/>
          <w:sz w:val="20"/>
          <w:lang w:eastAsia="en-US"/>
        </w:rPr>
        <w:t xml:space="preserve">7,946,057 </w:t>
      </w:r>
      <w:r w:rsidRPr="003359DD">
        <w:rPr>
          <w:rFonts w:ascii="Arial" w:eastAsiaTheme="minorHAnsi" w:hAnsi="Arial" w:cs="Arial"/>
          <w:sz w:val="20"/>
          <w:lang w:eastAsia="en-US"/>
        </w:rPr>
        <w:t>(being 10% of the Company’s issued ordinary share capital,</w:t>
      </w:r>
    </w:p>
    <w:p w14:paraId="415E4609" w14:textId="36F6A17E" w:rsidR="00966639" w:rsidRPr="003359DD" w:rsidRDefault="00966639" w:rsidP="00C77DFC">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excluding treasury shares as at 1</w:t>
      </w:r>
      <w:r w:rsidR="007C6F70">
        <w:rPr>
          <w:rFonts w:ascii="Arial" w:eastAsiaTheme="minorHAnsi" w:hAnsi="Arial" w:cs="Arial"/>
          <w:sz w:val="20"/>
          <w:lang w:eastAsia="en-US"/>
        </w:rPr>
        <w:t>6</w:t>
      </w:r>
      <w:r w:rsidRPr="003359DD">
        <w:rPr>
          <w:rFonts w:ascii="Arial" w:eastAsiaTheme="minorHAnsi" w:hAnsi="Arial" w:cs="Arial"/>
          <w:sz w:val="20"/>
          <w:lang w:eastAsia="en-US"/>
        </w:rPr>
        <w:t xml:space="preserve"> May 202</w:t>
      </w:r>
      <w:r w:rsidR="007C6F70">
        <w:rPr>
          <w:rFonts w:ascii="Arial" w:eastAsiaTheme="minorHAnsi" w:hAnsi="Arial" w:cs="Arial"/>
          <w:sz w:val="20"/>
          <w:lang w:eastAsia="en-US"/>
        </w:rPr>
        <w:t>5</w:t>
      </w:r>
      <w:r w:rsidRPr="003359DD">
        <w:rPr>
          <w:rFonts w:ascii="Arial" w:eastAsiaTheme="minorHAnsi" w:hAnsi="Arial" w:cs="Arial"/>
          <w:sz w:val="20"/>
          <w:lang w:eastAsia="en-US"/>
        </w:rPr>
        <w:t>); and</w:t>
      </w:r>
    </w:p>
    <w:p w14:paraId="3FFF1677" w14:textId="77777777" w:rsidR="00DC68ED" w:rsidRPr="003359DD" w:rsidRDefault="00DC68ED" w:rsidP="00650A72">
      <w:pPr>
        <w:autoSpaceDE w:val="0"/>
        <w:autoSpaceDN w:val="0"/>
        <w:adjustRightInd w:val="0"/>
        <w:rPr>
          <w:rFonts w:ascii="Arial" w:eastAsiaTheme="minorHAnsi" w:hAnsi="Arial" w:cs="Arial"/>
          <w:sz w:val="20"/>
          <w:lang w:eastAsia="en-US"/>
        </w:rPr>
      </w:pPr>
    </w:p>
    <w:p w14:paraId="58B1B051"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(iii) to the allotment of equity securities or sale of treasury shares (otherwise than under</w:t>
      </w:r>
    </w:p>
    <w:p w14:paraId="33C60697"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paragraph (i) or paragraph (ii) of this Resolution) up to a nominal amount equal to 20%</w:t>
      </w:r>
    </w:p>
    <w:p w14:paraId="4EF7AFAA"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of any allotment of equity securities or sale of treasury shares from time to time under</w:t>
      </w:r>
    </w:p>
    <w:p w14:paraId="0F1ADA50"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paragraph (ii) of this Resolution, such power to be used only for the purposes of making</w:t>
      </w:r>
    </w:p>
    <w:p w14:paraId="1435E277"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 follow-on offer which the Directors determine to be of a kind contemplated by</w:t>
      </w:r>
    </w:p>
    <w:p w14:paraId="723DB9EE"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paragraph 3 of Section 2B of the Statement of Principles on Disapplying Pre-Emption</w:t>
      </w:r>
    </w:p>
    <w:p w14:paraId="4512E356" w14:textId="77777777" w:rsidR="00966639" w:rsidRPr="003359DD" w:rsidRDefault="00966639"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Rights most recently published by the Pre-Emption Group prior to the date of this Notice.</w:t>
      </w:r>
    </w:p>
    <w:p w14:paraId="2751252B" w14:textId="77777777" w:rsidR="003C42AD" w:rsidRPr="003359DD" w:rsidRDefault="003C42AD" w:rsidP="00650A72">
      <w:pPr>
        <w:autoSpaceDE w:val="0"/>
        <w:autoSpaceDN w:val="0"/>
        <w:adjustRightInd w:val="0"/>
        <w:rPr>
          <w:rFonts w:ascii="Arial" w:eastAsiaTheme="minorHAnsi" w:hAnsi="Arial" w:cs="Arial"/>
          <w:sz w:val="20"/>
          <w:lang w:eastAsia="en-US"/>
        </w:rPr>
      </w:pPr>
    </w:p>
    <w:p w14:paraId="00A82819" w14:textId="77777777" w:rsidR="00966639" w:rsidRPr="003359DD" w:rsidRDefault="00966639" w:rsidP="00E23A4D">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This power shall expire at the earlier of the conclusion of the next AGM of the Company</w:t>
      </w:r>
    </w:p>
    <w:p w14:paraId="4E16EFFE" w14:textId="77777777" w:rsidR="00966639" w:rsidRPr="003359DD" w:rsidRDefault="00966639" w:rsidP="00E23A4D">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or 15 months from the date this Resolution is passed, provided that the Company may</w:t>
      </w:r>
    </w:p>
    <w:p w14:paraId="0121DEEC" w14:textId="61E52E84" w:rsidR="00F41E0F" w:rsidRPr="003359DD" w:rsidRDefault="00966639" w:rsidP="00E23A4D">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make offers and enter into agreements before this authority expires which would, or might,</w:t>
      </w:r>
      <w:r w:rsidR="003C42AD"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require equity securities to be allotted (and treasury shares to be held) after the authorisation</w:t>
      </w:r>
      <w:r w:rsidR="003C42AD"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expires and the Directors may allot equity securities (and sell treasury shares) under any</w:t>
      </w:r>
      <w:r w:rsidR="003C42AD"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such offer or agreement as if the authority had not expired.</w:t>
      </w:r>
    </w:p>
    <w:p w14:paraId="342B465F" w14:textId="77777777" w:rsidR="003C42AD" w:rsidRPr="003359DD" w:rsidRDefault="003C42AD" w:rsidP="00650A72">
      <w:pPr>
        <w:autoSpaceDE w:val="0"/>
        <w:autoSpaceDN w:val="0"/>
        <w:adjustRightInd w:val="0"/>
        <w:rPr>
          <w:rFonts w:ascii="BrownStd-Light" w:eastAsiaTheme="minorHAnsi" w:hAnsi="BrownStd-Light" w:cs="BrownStd-Light"/>
          <w:sz w:val="22"/>
          <w:szCs w:val="22"/>
          <w:lang w:eastAsia="en-US"/>
        </w:rPr>
      </w:pPr>
    </w:p>
    <w:p w14:paraId="015ADA98" w14:textId="58AB9215" w:rsidR="00F41E0F" w:rsidRPr="003359DD" w:rsidRDefault="00C675EE" w:rsidP="00650A72">
      <w:pPr>
        <w:spacing w:after="120" w:line="240" w:lineRule="exact"/>
        <w:ind w:right="171"/>
        <w:rPr>
          <w:rFonts w:ascii="Arial" w:hAnsi="Arial" w:cs="Arial"/>
          <w:b/>
          <w:sz w:val="20"/>
        </w:rPr>
      </w:pPr>
      <w:r>
        <w:rPr>
          <w:rFonts w:ascii="Arial" w:hAnsi="Arial" w:cs="Arial"/>
          <w:b/>
          <w:bCs/>
          <w:sz w:val="20"/>
        </w:rPr>
        <w:t>19</w:t>
      </w:r>
      <w:r w:rsidR="00371123" w:rsidRPr="003359DD">
        <w:rPr>
          <w:rFonts w:ascii="Arial" w:hAnsi="Arial" w:cs="Arial"/>
          <w:b/>
          <w:bCs/>
          <w:sz w:val="20"/>
        </w:rPr>
        <w:t>. Additional authority to disapply pre-emption rights for purposes of acquisitions or capital investments</w:t>
      </w:r>
      <w:r w:rsidR="00F41E0F" w:rsidRPr="003359DD">
        <w:rPr>
          <w:rFonts w:ascii="Arial" w:hAnsi="Arial" w:cs="Arial"/>
          <w:b/>
          <w:bCs/>
          <w:sz w:val="20"/>
        </w:rPr>
        <w:t xml:space="preserve"> </w:t>
      </w:r>
      <w:r w:rsidR="00F41E0F" w:rsidRPr="003359DD">
        <w:rPr>
          <w:rFonts w:ascii="Arial" w:hAnsi="Arial" w:cs="Arial"/>
          <w:b/>
          <w:sz w:val="20"/>
        </w:rPr>
        <w:t>(Special Resolution)</w:t>
      </w:r>
    </w:p>
    <w:p w14:paraId="66816260" w14:textId="7DB44E40"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Subject to Resolution 1</w:t>
      </w:r>
      <w:r w:rsidR="00EF43E6" w:rsidRPr="003359DD">
        <w:rPr>
          <w:rFonts w:ascii="Arial" w:eastAsiaTheme="minorHAnsi" w:hAnsi="Arial" w:cs="Arial"/>
          <w:sz w:val="20"/>
          <w:lang w:eastAsia="en-US"/>
        </w:rPr>
        <w:t>7</w:t>
      </w:r>
      <w:r w:rsidRPr="003359DD">
        <w:rPr>
          <w:rFonts w:ascii="Arial" w:eastAsiaTheme="minorHAnsi" w:hAnsi="Arial" w:cs="Arial"/>
          <w:sz w:val="20"/>
          <w:lang w:eastAsia="en-US"/>
        </w:rPr>
        <w:t xml:space="preserve"> being passed and in addition to any authority granted under</w:t>
      </w:r>
    </w:p>
    <w:p w14:paraId="0CA7D7FE" w14:textId="08A3E29F"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Resolution 1</w:t>
      </w:r>
      <w:r w:rsidR="00C675EE">
        <w:rPr>
          <w:rFonts w:ascii="Arial" w:eastAsiaTheme="minorHAnsi" w:hAnsi="Arial" w:cs="Arial"/>
          <w:sz w:val="20"/>
          <w:lang w:eastAsia="en-US"/>
        </w:rPr>
        <w:t>8</w:t>
      </w:r>
      <w:r w:rsidRPr="003359DD">
        <w:rPr>
          <w:rFonts w:ascii="Arial" w:eastAsiaTheme="minorHAnsi" w:hAnsi="Arial" w:cs="Arial"/>
          <w:sz w:val="20"/>
          <w:lang w:eastAsia="en-US"/>
        </w:rPr>
        <w:t xml:space="preserve"> to allot equity securities (pursuant to the 2006 Act) for cash under the</w:t>
      </w:r>
    </w:p>
    <w:p w14:paraId="1E15D9F5"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authority given by that Resolution, to authorise the Directors to allot equity securities</w:t>
      </w:r>
    </w:p>
    <w:p w14:paraId="475745B3"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(pursuant to sections 570 and 573 of the 2006 Act) for cash under the authority given</w:t>
      </w:r>
    </w:p>
    <w:p w14:paraId="7A19B89E" w14:textId="019494AD"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by Resolution 1</w:t>
      </w:r>
      <w:r w:rsidR="00EF43E6" w:rsidRPr="003359DD">
        <w:rPr>
          <w:rFonts w:ascii="Arial" w:eastAsiaTheme="minorHAnsi" w:hAnsi="Arial" w:cs="Arial"/>
          <w:sz w:val="20"/>
          <w:lang w:eastAsia="en-US"/>
        </w:rPr>
        <w:t>7</w:t>
      </w:r>
      <w:r w:rsidRPr="003359DD">
        <w:rPr>
          <w:rFonts w:ascii="Arial" w:eastAsiaTheme="minorHAnsi" w:hAnsi="Arial" w:cs="Arial"/>
          <w:sz w:val="20"/>
          <w:lang w:eastAsia="en-US"/>
        </w:rPr>
        <w:t xml:space="preserve"> and/or to sell treasury shares as if section 561(1) of the 2006 Act did not</w:t>
      </w:r>
    </w:p>
    <w:p w14:paraId="47CC885F"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apply to any such allotment or sale, provided that this power shall be:</w:t>
      </w:r>
    </w:p>
    <w:p w14:paraId="69289796" w14:textId="6962B191" w:rsidR="00650A72" w:rsidRPr="003359DD" w:rsidRDefault="00E63DE8"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 xml:space="preserve"> </w:t>
      </w:r>
    </w:p>
    <w:p w14:paraId="3B1B3441" w14:textId="745A290B" w:rsidR="00650A72" w:rsidRPr="003359DD" w:rsidRDefault="00650A72" w:rsidP="00E63DE8">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 limited, in the case of the authority granted under paragraph (i) of Resolution 1</w:t>
      </w:r>
      <w:r w:rsidR="0041347A" w:rsidRPr="003359DD">
        <w:rPr>
          <w:rFonts w:ascii="Arial" w:eastAsiaTheme="minorHAnsi" w:hAnsi="Arial" w:cs="Arial"/>
          <w:sz w:val="20"/>
          <w:lang w:eastAsia="en-US"/>
        </w:rPr>
        <w:t>7</w:t>
      </w:r>
      <w:r w:rsidRPr="003359DD">
        <w:rPr>
          <w:rFonts w:ascii="Arial" w:eastAsiaTheme="minorHAnsi" w:hAnsi="Arial" w:cs="Arial"/>
          <w:sz w:val="20"/>
          <w:lang w:eastAsia="en-US"/>
        </w:rPr>
        <w:t xml:space="preserve"> and/or in the case of any sale of treasury shares, to the allotment of equity securities or sale of treasury shares up to a nominal amount of £</w:t>
      </w:r>
      <w:r w:rsidR="00D54B0E" w:rsidRPr="00D54B0E">
        <w:rPr>
          <w:rFonts w:ascii="Arial" w:eastAsiaTheme="minorHAnsi" w:hAnsi="Arial" w:cs="Arial"/>
          <w:sz w:val="20"/>
          <w:lang w:eastAsia="en-US"/>
        </w:rPr>
        <w:t xml:space="preserve">7,946,057 </w:t>
      </w:r>
      <w:r w:rsidRPr="003359DD">
        <w:rPr>
          <w:rFonts w:ascii="Arial" w:eastAsiaTheme="minorHAnsi" w:hAnsi="Arial" w:cs="Arial"/>
          <w:sz w:val="20"/>
          <w:lang w:eastAsia="en-US"/>
        </w:rPr>
        <w:t>(being 10% of the Company’s issued ordinary share capital, excluding treasury shares as at 1</w:t>
      </w:r>
      <w:r w:rsidR="00045F06">
        <w:rPr>
          <w:rFonts w:ascii="Arial" w:eastAsiaTheme="minorHAnsi" w:hAnsi="Arial" w:cs="Arial"/>
          <w:sz w:val="20"/>
          <w:lang w:eastAsia="en-US"/>
        </w:rPr>
        <w:t>6</w:t>
      </w:r>
      <w:r w:rsidRPr="003359DD">
        <w:rPr>
          <w:rFonts w:ascii="Arial" w:eastAsiaTheme="minorHAnsi" w:hAnsi="Arial" w:cs="Arial"/>
          <w:sz w:val="20"/>
          <w:lang w:eastAsia="en-US"/>
        </w:rPr>
        <w:t xml:space="preserve"> May 202</w:t>
      </w:r>
      <w:r w:rsidR="00045F06">
        <w:rPr>
          <w:rFonts w:ascii="Arial" w:eastAsiaTheme="minorHAnsi" w:hAnsi="Arial" w:cs="Arial"/>
          <w:sz w:val="20"/>
          <w:lang w:eastAsia="en-US"/>
        </w:rPr>
        <w:t>5</w:t>
      </w:r>
      <w:r w:rsidRPr="003359DD">
        <w:rPr>
          <w:rFonts w:ascii="Arial" w:eastAsiaTheme="minorHAnsi" w:hAnsi="Arial" w:cs="Arial"/>
          <w:sz w:val="20"/>
          <w:lang w:eastAsia="en-US"/>
        </w:rPr>
        <w:t>), such power to be used only for the purposes of financing (or refinancing, if the authority is to be used within 12 months after the original transaction) a transaction which the Directors determine to be</w:t>
      </w:r>
      <w:r w:rsidR="00E63DE8"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either an acquisition or a specified capital investment of a kind contemplated by the</w:t>
      </w:r>
      <w:r w:rsidR="00E63DE8"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Statement of Principles on Disapplying Pre-Emption Rights most recently published by</w:t>
      </w:r>
      <w:r w:rsidR="00E63DE8"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the Pre-Emption Group prior to the date of this Notice; and</w:t>
      </w:r>
    </w:p>
    <w:p w14:paraId="39160B9B" w14:textId="77777777" w:rsidR="00650A72" w:rsidRPr="003359DD" w:rsidRDefault="00650A72" w:rsidP="00650A72">
      <w:pPr>
        <w:autoSpaceDE w:val="0"/>
        <w:autoSpaceDN w:val="0"/>
        <w:adjustRightInd w:val="0"/>
        <w:rPr>
          <w:rFonts w:ascii="Arial" w:eastAsiaTheme="minorHAnsi" w:hAnsi="Arial" w:cs="Arial"/>
          <w:sz w:val="20"/>
          <w:lang w:eastAsia="en-US"/>
        </w:rPr>
      </w:pPr>
    </w:p>
    <w:p w14:paraId="1DB07B01"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(ii) limited to the allotment of equity securities or sale of treasury shares (otherwise than</w:t>
      </w:r>
    </w:p>
    <w:p w14:paraId="166BA397"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under paragraph (i) of this Resolution) up to a nominal amount equal to 20% of</w:t>
      </w:r>
    </w:p>
    <w:p w14:paraId="3A6FA39C"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any allotment of equity securities or sale of treasury shares from time to time under</w:t>
      </w:r>
    </w:p>
    <w:p w14:paraId="67E463A6"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paragraph (i) of this Resolution, such power to be used only for the purposes of making</w:t>
      </w:r>
    </w:p>
    <w:p w14:paraId="3FCFB830"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 follow-on offer which the Directors determine to be of a kind contemplated by</w:t>
      </w:r>
    </w:p>
    <w:p w14:paraId="1ED9DDF5"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paragraph 3 of Section 2B of the Statement of Principles on Disapplying Pre-Emption</w:t>
      </w:r>
    </w:p>
    <w:p w14:paraId="2724D5A6"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Rights most recently published by the Pre-Emption Group prior to the date of this Notice.</w:t>
      </w:r>
    </w:p>
    <w:p w14:paraId="1BD6358B" w14:textId="77777777" w:rsidR="00650A72" w:rsidRPr="003359DD" w:rsidRDefault="00650A72" w:rsidP="00650A72">
      <w:pPr>
        <w:autoSpaceDE w:val="0"/>
        <w:autoSpaceDN w:val="0"/>
        <w:adjustRightInd w:val="0"/>
        <w:rPr>
          <w:rFonts w:ascii="Arial" w:eastAsiaTheme="minorHAnsi" w:hAnsi="Arial" w:cs="Arial"/>
          <w:sz w:val="20"/>
          <w:lang w:eastAsia="en-US"/>
        </w:rPr>
      </w:pPr>
    </w:p>
    <w:p w14:paraId="4B250C62"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This power shall expire at the earlier of the conclusion of the next AGM of the Company</w:t>
      </w:r>
    </w:p>
    <w:p w14:paraId="6758E597" w14:textId="77777777" w:rsidR="00650A72"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or 15 months from the date this Resolution is passed, provided that the Company may</w:t>
      </w:r>
    </w:p>
    <w:p w14:paraId="1C9BC564" w14:textId="6F43DAF6" w:rsidR="001747D4" w:rsidRPr="003359DD" w:rsidRDefault="00650A72" w:rsidP="00650A7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make offers and enter into agreements before this authority expires which would, or might, require equity securities to be allotted (and treasury shares to be held) after the authorisation expires and the Directors may allot equity securities (and sell treasury shares) under any such offer or agreement as if the authority had not expired.</w:t>
      </w:r>
    </w:p>
    <w:p w14:paraId="57680E55" w14:textId="77777777" w:rsidR="004D71ED" w:rsidRPr="003359DD" w:rsidRDefault="004D71ED" w:rsidP="00371123">
      <w:pPr>
        <w:kinsoku w:val="0"/>
        <w:overflowPunct w:val="0"/>
        <w:spacing w:before="115" w:line="280" w:lineRule="exact"/>
        <w:textAlignment w:val="baseline"/>
        <w:rPr>
          <w:rFonts w:ascii="Arial" w:hAnsi="Arial" w:cs="Arial"/>
          <w:spacing w:val="9"/>
          <w:sz w:val="20"/>
        </w:rPr>
      </w:pPr>
    </w:p>
    <w:p w14:paraId="77BCA572" w14:textId="24482FDC" w:rsidR="001747D4" w:rsidRPr="003359DD" w:rsidRDefault="00371123" w:rsidP="001747D4">
      <w:pPr>
        <w:spacing w:after="120" w:line="240" w:lineRule="exact"/>
        <w:ind w:right="171"/>
        <w:rPr>
          <w:rFonts w:ascii="Arial" w:hAnsi="Arial" w:cs="Arial"/>
          <w:b/>
          <w:sz w:val="20"/>
        </w:rPr>
      </w:pPr>
      <w:r w:rsidRPr="003359DD">
        <w:rPr>
          <w:rFonts w:ascii="Arial" w:hAnsi="Arial" w:cs="Arial"/>
          <w:b/>
          <w:bCs/>
          <w:sz w:val="20"/>
        </w:rPr>
        <w:t>2</w:t>
      </w:r>
      <w:r w:rsidR="005B18C7">
        <w:rPr>
          <w:rFonts w:ascii="Arial" w:hAnsi="Arial" w:cs="Arial"/>
          <w:b/>
          <w:bCs/>
          <w:sz w:val="20"/>
        </w:rPr>
        <w:t>0</w:t>
      </w:r>
      <w:r w:rsidRPr="003359DD">
        <w:rPr>
          <w:rFonts w:ascii="Arial" w:hAnsi="Arial" w:cs="Arial"/>
          <w:b/>
          <w:bCs/>
          <w:sz w:val="20"/>
        </w:rPr>
        <w:t>. Authority to purchase own shares</w:t>
      </w:r>
      <w:r w:rsidR="001747D4" w:rsidRPr="003359DD">
        <w:rPr>
          <w:rFonts w:ascii="Arial" w:hAnsi="Arial" w:cs="Arial"/>
          <w:b/>
          <w:bCs/>
          <w:sz w:val="20"/>
        </w:rPr>
        <w:t xml:space="preserve"> </w:t>
      </w:r>
      <w:r w:rsidR="001747D4" w:rsidRPr="003359DD">
        <w:rPr>
          <w:rFonts w:ascii="Arial" w:hAnsi="Arial" w:cs="Arial"/>
          <w:b/>
          <w:sz w:val="20"/>
        </w:rPr>
        <w:t>(Special Resolution)</w:t>
      </w:r>
    </w:p>
    <w:p w14:paraId="52942F80"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Pursuant to section 701 of the 2006 Act, to authorise the Company generally and</w:t>
      </w:r>
    </w:p>
    <w:p w14:paraId="19EF156C"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unconditionally to make market purchases (as defined in section 693(4) of the 2006 Act)</w:t>
      </w:r>
    </w:p>
    <w:p w14:paraId="0415947F"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of its ordinary shares on such terms as the Directors think fit, provided that:</w:t>
      </w:r>
    </w:p>
    <w:p w14:paraId="33472B93" w14:textId="239B31A5" w:rsidR="00D25042" w:rsidRPr="003359DD" w:rsidRDefault="00D25042" w:rsidP="0054316B">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 xml:space="preserve">(i) the maximum number of ordinary shares that may be acquired is </w:t>
      </w:r>
      <w:r w:rsidR="00313612" w:rsidRPr="00313612">
        <w:rPr>
          <w:rFonts w:ascii="Arial" w:eastAsiaTheme="minorHAnsi" w:hAnsi="Arial" w:cs="Arial"/>
          <w:sz w:val="20"/>
          <w:lang w:eastAsia="en-US"/>
        </w:rPr>
        <w:t xml:space="preserve">74,494,283 </w:t>
      </w:r>
      <w:r w:rsidRPr="003359DD">
        <w:rPr>
          <w:rFonts w:ascii="Arial" w:eastAsiaTheme="minorHAnsi" w:hAnsi="Arial" w:cs="Arial"/>
          <w:sz w:val="20"/>
          <w:lang w:eastAsia="en-US"/>
        </w:rPr>
        <w:t>(being 10%</w:t>
      </w:r>
      <w:r w:rsidR="00DE5215"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of the Company’s issued ordinary share capital, excluding treasury shares as at 1</w:t>
      </w:r>
      <w:r w:rsidR="00313612">
        <w:rPr>
          <w:rFonts w:ascii="Arial" w:eastAsiaTheme="minorHAnsi" w:hAnsi="Arial" w:cs="Arial"/>
          <w:sz w:val="20"/>
          <w:lang w:eastAsia="en-US"/>
        </w:rPr>
        <w:t>6</w:t>
      </w:r>
      <w:r w:rsidRPr="003359DD">
        <w:rPr>
          <w:rFonts w:ascii="Arial" w:eastAsiaTheme="minorHAnsi" w:hAnsi="Arial" w:cs="Arial"/>
          <w:sz w:val="20"/>
          <w:lang w:eastAsia="en-US"/>
        </w:rPr>
        <w:t xml:space="preserve"> May 202</w:t>
      </w:r>
      <w:r w:rsidR="00313612">
        <w:rPr>
          <w:rFonts w:ascii="Arial" w:eastAsiaTheme="minorHAnsi" w:hAnsi="Arial" w:cs="Arial"/>
          <w:sz w:val="20"/>
          <w:lang w:eastAsia="en-US"/>
        </w:rPr>
        <w:t>5</w:t>
      </w:r>
      <w:r w:rsidRPr="003359DD">
        <w:rPr>
          <w:rFonts w:ascii="Arial" w:eastAsiaTheme="minorHAnsi" w:hAnsi="Arial" w:cs="Arial"/>
          <w:sz w:val="20"/>
          <w:lang w:eastAsia="en-US"/>
        </w:rPr>
        <w:t>);</w:t>
      </w:r>
    </w:p>
    <w:p w14:paraId="4C5F82F0"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lastRenderedPageBreak/>
        <w:t>(ii) the minimum price (exclusive of expenses) which may be paid for an ordinary share</w:t>
      </w:r>
    </w:p>
    <w:p w14:paraId="072F178B"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is 10</w:t>
      </w:r>
      <w:r w:rsidRPr="003359DD">
        <w:rPr>
          <w:rFonts w:ascii="Arial" w:eastAsiaTheme="minorHAnsi" w:hAnsi="Arial" w:cs="Arial"/>
          <w:sz w:val="16"/>
          <w:szCs w:val="16"/>
          <w:lang w:eastAsia="en-US"/>
        </w:rPr>
        <w:t>2/3</w:t>
      </w:r>
      <w:r w:rsidRPr="003359DD">
        <w:rPr>
          <w:rFonts w:ascii="Arial" w:eastAsiaTheme="minorHAnsi" w:hAnsi="Arial" w:cs="Arial"/>
          <w:sz w:val="20"/>
          <w:lang w:eastAsia="en-US"/>
        </w:rPr>
        <w:t>p; and</w:t>
      </w:r>
    </w:p>
    <w:p w14:paraId="34A6E79E"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(iii) the maximum price (exclusive of expenses) which may be paid for each ordinary share</w:t>
      </w:r>
    </w:p>
    <w:p w14:paraId="0210741D"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is the higher of:</w:t>
      </w:r>
    </w:p>
    <w:p w14:paraId="4C433C99"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(a) 105% of the average of the middle-market quotations of an ordinary share of the</w:t>
      </w:r>
    </w:p>
    <w:p w14:paraId="4A789F09"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Company as derived from the London Stock Exchange Daily Official List for the five</w:t>
      </w:r>
    </w:p>
    <w:p w14:paraId="107A0ADE"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business days immediately preceding the day on which the ordinary share is contracted</w:t>
      </w:r>
    </w:p>
    <w:p w14:paraId="34FF9E05"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to be purchased; and</w:t>
      </w:r>
    </w:p>
    <w:p w14:paraId="437488C5" w14:textId="7DCD3ABE" w:rsidR="00D25042" w:rsidRPr="003359DD" w:rsidRDefault="00D25042" w:rsidP="00DE5215">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(b) an amount equal to the higher of the price of the last independent trade of an ordinary</w:t>
      </w:r>
      <w:r w:rsidR="00DE5215"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share and the highest current independent purchase bid for an ordinary share on the</w:t>
      </w:r>
      <w:r w:rsidR="00DE5215" w:rsidRPr="003359DD">
        <w:rPr>
          <w:rFonts w:ascii="Arial" w:eastAsiaTheme="minorHAnsi" w:hAnsi="Arial" w:cs="Arial"/>
          <w:sz w:val="20"/>
          <w:lang w:eastAsia="en-US"/>
        </w:rPr>
        <w:t xml:space="preserve"> </w:t>
      </w:r>
      <w:r w:rsidRPr="003359DD">
        <w:rPr>
          <w:rFonts w:ascii="Arial" w:eastAsiaTheme="minorHAnsi" w:hAnsi="Arial" w:cs="Arial"/>
          <w:sz w:val="20"/>
          <w:lang w:eastAsia="en-US"/>
        </w:rPr>
        <w:t>trading venues where the purchase is carried out.</w:t>
      </w:r>
    </w:p>
    <w:p w14:paraId="33194A56" w14:textId="77777777" w:rsidR="00DE5215" w:rsidRPr="003359DD" w:rsidRDefault="00DE5215" w:rsidP="00DE5215">
      <w:pPr>
        <w:autoSpaceDE w:val="0"/>
        <w:autoSpaceDN w:val="0"/>
        <w:adjustRightInd w:val="0"/>
        <w:rPr>
          <w:rFonts w:ascii="Arial" w:eastAsiaTheme="minorHAnsi" w:hAnsi="Arial" w:cs="Arial"/>
          <w:sz w:val="20"/>
          <w:lang w:eastAsia="en-US"/>
        </w:rPr>
      </w:pPr>
    </w:p>
    <w:p w14:paraId="68AFC202"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This authority shall expire at the earlier of the conclusion of the next AGM of the Company</w:t>
      </w:r>
    </w:p>
    <w:p w14:paraId="39B2BBC4"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or 15 months from the date this Resolution is passed, provided that the Company shall be</w:t>
      </w:r>
    </w:p>
    <w:p w14:paraId="18DA1D68"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entitled, at any time prior to the expiry of this authority, to make a contract of purchase</w:t>
      </w:r>
    </w:p>
    <w:p w14:paraId="02A6D209" w14:textId="77777777" w:rsidR="00D25042" w:rsidRPr="003359DD" w:rsidRDefault="00D25042" w:rsidP="00D25042">
      <w:pPr>
        <w:autoSpaceDE w:val="0"/>
        <w:autoSpaceDN w:val="0"/>
        <w:adjustRightInd w:val="0"/>
        <w:rPr>
          <w:rFonts w:ascii="Arial" w:eastAsiaTheme="minorHAnsi" w:hAnsi="Arial" w:cs="Arial"/>
          <w:sz w:val="20"/>
          <w:lang w:eastAsia="en-US"/>
        </w:rPr>
      </w:pPr>
      <w:r w:rsidRPr="003359DD">
        <w:rPr>
          <w:rFonts w:ascii="Arial" w:eastAsiaTheme="minorHAnsi" w:hAnsi="Arial" w:cs="Arial"/>
          <w:sz w:val="20"/>
          <w:lang w:eastAsia="en-US"/>
        </w:rPr>
        <w:t>which would or might be executed wholly or partly after the expiry of this authority and to</w:t>
      </w:r>
    </w:p>
    <w:p w14:paraId="1D3F9AC0" w14:textId="54D46009" w:rsidR="00D25042" w:rsidRPr="004611CD" w:rsidRDefault="00D25042" w:rsidP="00D25042">
      <w:pPr>
        <w:spacing w:after="120" w:line="240" w:lineRule="exact"/>
        <w:ind w:right="171"/>
        <w:rPr>
          <w:rFonts w:ascii="Arial" w:hAnsi="Arial" w:cs="Arial"/>
          <w:b/>
          <w:sz w:val="20"/>
        </w:rPr>
      </w:pPr>
      <w:r w:rsidRPr="003359DD">
        <w:rPr>
          <w:rFonts w:ascii="Arial" w:eastAsiaTheme="minorHAnsi" w:hAnsi="Arial" w:cs="Arial"/>
          <w:sz w:val="20"/>
          <w:lang w:eastAsia="en-US"/>
        </w:rPr>
        <w:t>purchase ordinary shares in accordance with such contract as if the authority had not expired.</w:t>
      </w:r>
    </w:p>
    <w:sectPr w:rsidR="00D25042" w:rsidRPr="004611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B28B" w14:textId="77777777" w:rsidR="00DA1224" w:rsidRDefault="00DA1224" w:rsidP="00B51A66">
      <w:r>
        <w:separator/>
      </w:r>
    </w:p>
  </w:endnote>
  <w:endnote w:type="continuationSeparator" w:id="0">
    <w:p w14:paraId="3A248AB7" w14:textId="77777777" w:rsidR="00DA1224" w:rsidRDefault="00DA1224" w:rsidP="00B5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issBold">
    <w:altName w:val="Arial Narrow"/>
    <w:charset w:val="00"/>
    <w:family w:val="auto"/>
    <w:pitch w:val="variable"/>
    <w:sig w:usb0="80000027" w:usb1="00000000" w:usb2="00000000" w:usb3="00000000" w:csb0="00000001" w:csb1="00000000"/>
  </w:font>
  <w:font w:name="BrownStd Light">
    <w:panose1 w:val="00010400010101010101"/>
    <w:charset w:val="00"/>
    <w:family w:val="modern"/>
    <w:notTrueType/>
    <w:pitch w:val="variable"/>
    <w:sig w:usb0="800000AF" w:usb1="4000206B" w:usb2="00000000" w:usb3="00000000" w:csb0="00000001" w:csb1="00000000"/>
  </w:font>
  <w:font w:name="Brown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8C361" w14:textId="77777777" w:rsidR="00DA1224" w:rsidRDefault="00DA1224" w:rsidP="00B51A66">
      <w:r>
        <w:separator/>
      </w:r>
    </w:p>
  </w:footnote>
  <w:footnote w:type="continuationSeparator" w:id="0">
    <w:p w14:paraId="226C7D44" w14:textId="77777777" w:rsidR="00DA1224" w:rsidRDefault="00DA1224" w:rsidP="00B51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A746"/>
    <w:multiLevelType w:val="singleLevel"/>
    <w:tmpl w:val="FFFFFFFF"/>
    <w:lvl w:ilvl="0">
      <w:start w:val="1"/>
      <w:numFmt w:val="lowerRoman"/>
      <w:lvlText w:val="(%1)"/>
      <w:lvlJc w:val="left"/>
      <w:pPr>
        <w:tabs>
          <w:tab w:val="num" w:pos="360"/>
        </w:tabs>
        <w:ind w:left="360" w:hanging="360"/>
      </w:pPr>
      <w:rPr>
        <w:rFonts w:ascii="Tahoma" w:hAnsi="Tahoma" w:cs="Tahoma"/>
        <w:snapToGrid/>
        <w:spacing w:val="7"/>
        <w:sz w:val="20"/>
        <w:szCs w:val="20"/>
      </w:rPr>
    </w:lvl>
  </w:abstractNum>
  <w:abstractNum w:abstractNumId="1" w15:restartNumberingAfterBreak="0">
    <w:nsid w:val="00EC79D2"/>
    <w:multiLevelType w:val="singleLevel"/>
    <w:tmpl w:val="FFFFFFFF"/>
    <w:lvl w:ilvl="0">
      <w:start w:val="1"/>
      <w:numFmt w:val="lowerLetter"/>
      <w:lvlText w:val="(%1)"/>
      <w:lvlJc w:val="left"/>
      <w:pPr>
        <w:tabs>
          <w:tab w:val="num" w:pos="720"/>
        </w:tabs>
        <w:ind w:left="720" w:hanging="360"/>
      </w:pPr>
      <w:rPr>
        <w:rFonts w:ascii="Tahoma" w:hAnsi="Tahoma" w:cs="Tahoma"/>
        <w:snapToGrid/>
        <w:sz w:val="20"/>
        <w:szCs w:val="20"/>
      </w:rPr>
    </w:lvl>
  </w:abstractNum>
  <w:abstractNum w:abstractNumId="2" w15:restartNumberingAfterBreak="0">
    <w:nsid w:val="02FB7681"/>
    <w:multiLevelType w:val="singleLevel"/>
    <w:tmpl w:val="FFFFFFFF"/>
    <w:lvl w:ilvl="0">
      <w:start w:val="1"/>
      <w:numFmt w:val="lowerLetter"/>
      <w:lvlText w:val="(%1)"/>
      <w:lvlJc w:val="left"/>
      <w:pPr>
        <w:tabs>
          <w:tab w:val="num" w:pos="648"/>
        </w:tabs>
        <w:ind w:left="648" w:hanging="288"/>
      </w:pPr>
      <w:rPr>
        <w:rFonts w:ascii="Tahoma" w:hAnsi="Tahoma" w:cs="Tahoma"/>
        <w:snapToGrid/>
        <w:sz w:val="20"/>
        <w:szCs w:val="20"/>
      </w:rPr>
    </w:lvl>
  </w:abstractNum>
  <w:abstractNum w:abstractNumId="3" w15:restartNumberingAfterBreak="0">
    <w:nsid w:val="055D690A"/>
    <w:multiLevelType w:val="hybridMultilevel"/>
    <w:tmpl w:val="F064E54E"/>
    <w:lvl w:ilvl="0" w:tplc="6F42D5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7D55CA"/>
    <w:multiLevelType w:val="singleLevel"/>
    <w:tmpl w:val="FFFFFFFF"/>
    <w:lvl w:ilvl="0">
      <w:start w:val="1"/>
      <w:numFmt w:val="lowerRoman"/>
      <w:lvlText w:val="(%1)"/>
      <w:lvlJc w:val="left"/>
      <w:pPr>
        <w:tabs>
          <w:tab w:val="num" w:pos="360"/>
        </w:tabs>
        <w:ind w:left="360" w:hanging="360"/>
      </w:pPr>
      <w:rPr>
        <w:rFonts w:ascii="Tahoma" w:hAnsi="Tahoma" w:cs="Tahoma"/>
        <w:snapToGrid/>
        <w:spacing w:val="8"/>
        <w:sz w:val="20"/>
        <w:szCs w:val="20"/>
      </w:rPr>
    </w:lvl>
  </w:abstractNum>
  <w:abstractNum w:abstractNumId="5" w15:restartNumberingAfterBreak="0">
    <w:nsid w:val="05EA89A1"/>
    <w:multiLevelType w:val="singleLevel"/>
    <w:tmpl w:val="FFFFFFFF"/>
    <w:lvl w:ilvl="0">
      <w:start w:val="1"/>
      <w:numFmt w:val="lowerLetter"/>
      <w:lvlText w:val="(%1)"/>
      <w:lvlJc w:val="left"/>
      <w:pPr>
        <w:tabs>
          <w:tab w:val="num" w:pos="720"/>
        </w:tabs>
        <w:ind w:left="720" w:hanging="360"/>
      </w:pPr>
      <w:rPr>
        <w:rFonts w:ascii="Tahoma" w:hAnsi="Tahoma" w:cs="Tahoma"/>
        <w:snapToGrid/>
        <w:sz w:val="20"/>
        <w:szCs w:val="20"/>
      </w:rPr>
    </w:lvl>
  </w:abstractNum>
  <w:abstractNum w:abstractNumId="6" w15:restartNumberingAfterBreak="0">
    <w:nsid w:val="19E77907"/>
    <w:multiLevelType w:val="hybridMultilevel"/>
    <w:tmpl w:val="B42EE022"/>
    <w:lvl w:ilvl="0" w:tplc="FB824D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71E47"/>
    <w:multiLevelType w:val="hybridMultilevel"/>
    <w:tmpl w:val="69568D32"/>
    <w:lvl w:ilvl="0" w:tplc="49DCDDEA">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2089B8E">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2B1665E8">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13FAD2B0">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1F60FBF0">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BC2A1CB4">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680C33B6">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56A9B9C">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3E1AD5E8">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235363A6"/>
    <w:multiLevelType w:val="hybridMultilevel"/>
    <w:tmpl w:val="66B828DA"/>
    <w:lvl w:ilvl="0" w:tplc="A84264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16A5F"/>
    <w:multiLevelType w:val="hybridMultilevel"/>
    <w:tmpl w:val="C3B8E342"/>
    <w:lvl w:ilvl="0" w:tplc="AD900AD2">
      <w:start w:val="1"/>
      <w:numFmt w:val="lowerRoman"/>
      <w:lvlText w:val="%1)"/>
      <w:lvlJc w:val="left"/>
      <w:pPr>
        <w:tabs>
          <w:tab w:val="num" w:pos="360"/>
        </w:tabs>
        <w:ind w:left="360" w:hanging="360"/>
      </w:pPr>
      <w:rPr>
        <w:rFonts w:hint="default"/>
      </w:rPr>
    </w:lvl>
    <w:lvl w:ilvl="1" w:tplc="08090017">
      <w:start w:val="1"/>
      <w:numFmt w:val="lowerLetter"/>
      <w:lvlText w:val="%2)"/>
      <w:lvlJc w:val="left"/>
      <w:pPr>
        <w:tabs>
          <w:tab w:val="num" w:pos="1080"/>
        </w:tabs>
        <w:ind w:left="1080" w:hanging="360"/>
      </w:pPr>
      <w:rPr>
        <w:rFonts w:hint="default"/>
      </w:rPr>
    </w:lvl>
    <w:lvl w:ilvl="2" w:tplc="EEB67EAC">
      <w:start w:val="1"/>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19C59B4"/>
    <w:multiLevelType w:val="hybridMultilevel"/>
    <w:tmpl w:val="763AF9B0"/>
    <w:lvl w:ilvl="0" w:tplc="114E32A0">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B1760F"/>
    <w:multiLevelType w:val="hybridMultilevel"/>
    <w:tmpl w:val="BC0ED6A8"/>
    <w:lvl w:ilvl="0" w:tplc="C8FE46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315B3F"/>
    <w:multiLevelType w:val="hybridMultilevel"/>
    <w:tmpl w:val="BAF84A34"/>
    <w:lvl w:ilvl="0" w:tplc="84C0322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0421A7"/>
    <w:multiLevelType w:val="hybridMultilevel"/>
    <w:tmpl w:val="2B04B448"/>
    <w:lvl w:ilvl="0" w:tplc="6F42D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583DA5"/>
    <w:multiLevelType w:val="hybridMultilevel"/>
    <w:tmpl w:val="4CD851F0"/>
    <w:lvl w:ilvl="0" w:tplc="2996E098">
      <w:start w:val="1"/>
      <w:numFmt w:val="lowerLetter"/>
      <w:lvlText w:val="(%1)"/>
      <w:lvlJc w:val="left"/>
      <w:pPr>
        <w:ind w:left="720" w:hanging="360"/>
      </w:pPr>
      <w:rPr>
        <w:rFonts w:ascii="Arial" w:eastAsia="Arial" w:hAnsi="Arial" w:cs="Arial"/>
        <w:b w:val="0"/>
        <w:i w:val="0"/>
        <w:strike w:val="0"/>
        <w:dstrike w:val="0"/>
        <w:color w:val="181717"/>
        <w:sz w:val="22"/>
        <w:szCs w:val="22"/>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C573AA6"/>
    <w:multiLevelType w:val="hybridMultilevel"/>
    <w:tmpl w:val="84D45A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E162941"/>
    <w:multiLevelType w:val="hybridMultilevel"/>
    <w:tmpl w:val="B838E3F8"/>
    <w:lvl w:ilvl="0" w:tplc="6F42D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26E4F"/>
    <w:multiLevelType w:val="hybridMultilevel"/>
    <w:tmpl w:val="124C3064"/>
    <w:lvl w:ilvl="0" w:tplc="B1406638">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0D8E7F66">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CA1AE716">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D4A085C8">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A4EF586">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D7044FCA">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7CE2656A">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FEC2FDC8">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AAAC00FE">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8" w15:restartNumberingAfterBreak="0">
    <w:nsid w:val="60074735"/>
    <w:multiLevelType w:val="hybridMultilevel"/>
    <w:tmpl w:val="C1D8FC16"/>
    <w:lvl w:ilvl="0" w:tplc="93500B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A92E36"/>
    <w:multiLevelType w:val="hybridMultilevel"/>
    <w:tmpl w:val="292E4898"/>
    <w:lvl w:ilvl="0" w:tplc="6F42D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D225A"/>
    <w:multiLevelType w:val="hybridMultilevel"/>
    <w:tmpl w:val="6B0E945E"/>
    <w:lvl w:ilvl="0" w:tplc="FE3CF7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C206A1"/>
    <w:multiLevelType w:val="hybridMultilevel"/>
    <w:tmpl w:val="1730D58C"/>
    <w:lvl w:ilvl="0" w:tplc="EEA24400">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962DC3A">
      <w:start w:val="1"/>
      <w:numFmt w:val="lowerLetter"/>
      <w:lvlText w:val="%2"/>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5886A7AE">
      <w:start w:val="1"/>
      <w:numFmt w:val="lowerRoman"/>
      <w:lvlText w:val="%3"/>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471C6E66">
      <w:start w:val="1"/>
      <w:numFmt w:val="decimal"/>
      <w:lvlText w:val="%4"/>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66CC2BC">
      <w:start w:val="1"/>
      <w:numFmt w:val="lowerLetter"/>
      <w:lvlText w:val="%5"/>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23A270CC">
      <w:start w:val="1"/>
      <w:numFmt w:val="lowerRoman"/>
      <w:lvlText w:val="%6"/>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C472E6CC">
      <w:start w:val="1"/>
      <w:numFmt w:val="decimal"/>
      <w:lvlText w:val="%7"/>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E9890A4">
      <w:start w:val="1"/>
      <w:numFmt w:val="lowerLetter"/>
      <w:lvlText w:val="%8"/>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760288DA">
      <w:start w:val="1"/>
      <w:numFmt w:val="lowerRoman"/>
      <w:lvlText w:val="%9"/>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2" w15:restartNumberingAfterBreak="0">
    <w:nsid w:val="6F111BDE"/>
    <w:multiLevelType w:val="hybridMultilevel"/>
    <w:tmpl w:val="25383488"/>
    <w:lvl w:ilvl="0" w:tplc="D2C6A048">
      <w:start w:val="1"/>
      <w:numFmt w:val="bullet"/>
      <w:lvlText w:val="—"/>
      <w:lvlJc w:val="left"/>
      <w:pPr>
        <w:ind w:left="567" w:hanging="567"/>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294E45"/>
    <w:multiLevelType w:val="hybridMultilevel"/>
    <w:tmpl w:val="FAB229F0"/>
    <w:lvl w:ilvl="0" w:tplc="2C48301C">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2996E098">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D1A44200">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60CCE8DE">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41ACF35E">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025A9142">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3D206346">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083AEC02">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CCEC077E">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4" w15:restartNumberingAfterBreak="0">
    <w:nsid w:val="728B03B0"/>
    <w:multiLevelType w:val="hybridMultilevel"/>
    <w:tmpl w:val="636A4AFA"/>
    <w:lvl w:ilvl="0" w:tplc="2996E098">
      <w:start w:val="1"/>
      <w:numFmt w:val="lowerLetter"/>
      <w:lvlText w:val="(%1)"/>
      <w:lvlJc w:val="left"/>
      <w:pPr>
        <w:ind w:left="720" w:hanging="360"/>
      </w:pPr>
      <w:rPr>
        <w:rFonts w:ascii="Arial" w:eastAsia="Arial" w:hAnsi="Arial" w:cs="Arial"/>
        <w:b w:val="0"/>
        <w:i w:val="0"/>
        <w:strike w:val="0"/>
        <w:dstrike w:val="0"/>
        <w:color w:val="181717"/>
        <w:sz w:val="22"/>
        <w:szCs w:val="22"/>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56D354A"/>
    <w:multiLevelType w:val="hybridMultilevel"/>
    <w:tmpl w:val="48CE974A"/>
    <w:lvl w:ilvl="0" w:tplc="AD900AD2">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DA20881"/>
    <w:multiLevelType w:val="hybridMultilevel"/>
    <w:tmpl w:val="7F904616"/>
    <w:lvl w:ilvl="0" w:tplc="78166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AD24EA"/>
    <w:multiLevelType w:val="hybridMultilevel"/>
    <w:tmpl w:val="A4DC261A"/>
    <w:lvl w:ilvl="0" w:tplc="B70E14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457822">
    <w:abstractNumId w:val="9"/>
  </w:num>
  <w:num w:numId="2" w16cid:durableId="1235898717">
    <w:abstractNumId w:val="25"/>
  </w:num>
  <w:num w:numId="3" w16cid:durableId="1212956513">
    <w:abstractNumId w:val="12"/>
  </w:num>
  <w:num w:numId="4" w16cid:durableId="308486228">
    <w:abstractNumId w:val="8"/>
  </w:num>
  <w:num w:numId="5" w16cid:durableId="1543131231">
    <w:abstractNumId w:val="23"/>
  </w:num>
  <w:num w:numId="6" w16cid:durableId="1564834443">
    <w:abstractNumId w:val="21"/>
  </w:num>
  <w:num w:numId="7" w16cid:durableId="1493179809">
    <w:abstractNumId w:val="17"/>
  </w:num>
  <w:num w:numId="8" w16cid:durableId="1518807720">
    <w:abstractNumId w:val="7"/>
  </w:num>
  <w:num w:numId="9" w16cid:durableId="1368214571">
    <w:abstractNumId w:val="27"/>
  </w:num>
  <w:num w:numId="10" w16cid:durableId="1987203094">
    <w:abstractNumId w:val="6"/>
  </w:num>
  <w:num w:numId="11" w16cid:durableId="1435439298">
    <w:abstractNumId w:val="11"/>
  </w:num>
  <w:num w:numId="12" w16cid:durableId="1239292127">
    <w:abstractNumId w:val="13"/>
  </w:num>
  <w:num w:numId="13" w16cid:durableId="1298412822">
    <w:abstractNumId w:val="16"/>
  </w:num>
  <w:num w:numId="14" w16cid:durableId="387804789">
    <w:abstractNumId w:val="19"/>
  </w:num>
  <w:num w:numId="15" w16cid:durableId="1640457645">
    <w:abstractNumId w:val="22"/>
  </w:num>
  <w:num w:numId="16" w16cid:durableId="2630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39006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1011612">
    <w:abstractNumId w:val="18"/>
  </w:num>
  <w:num w:numId="19" w16cid:durableId="1838574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1583036">
    <w:abstractNumId w:val="10"/>
  </w:num>
  <w:num w:numId="21" w16cid:durableId="1089085639">
    <w:abstractNumId w:val="26"/>
  </w:num>
  <w:num w:numId="22" w16cid:durableId="1064793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7022545">
    <w:abstractNumId w:val="20"/>
  </w:num>
  <w:num w:numId="24" w16cid:durableId="489909608">
    <w:abstractNumId w:val="1"/>
  </w:num>
  <w:num w:numId="25" w16cid:durableId="1989243812">
    <w:abstractNumId w:val="0"/>
  </w:num>
  <w:num w:numId="26" w16cid:durableId="478498164">
    <w:abstractNumId w:val="5"/>
  </w:num>
  <w:num w:numId="27" w16cid:durableId="443699006">
    <w:abstractNumId w:val="4"/>
  </w:num>
  <w:num w:numId="28" w16cid:durableId="999582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81"/>
    <w:rsid w:val="00001900"/>
    <w:rsid w:val="0000347E"/>
    <w:rsid w:val="00017309"/>
    <w:rsid w:val="00017908"/>
    <w:rsid w:val="00017D4D"/>
    <w:rsid w:val="000203C8"/>
    <w:rsid w:val="00021317"/>
    <w:rsid w:val="000223B5"/>
    <w:rsid w:val="0002505D"/>
    <w:rsid w:val="0003034D"/>
    <w:rsid w:val="0003350C"/>
    <w:rsid w:val="000402A1"/>
    <w:rsid w:val="00041996"/>
    <w:rsid w:val="0004275A"/>
    <w:rsid w:val="00045F06"/>
    <w:rsid w:val="0004764E"/>
    <w:rsid w:val="000477CE"/>
    <w:rsid w:val="00055432"/>
    <w:rsid w:val="0005691C"/>
    <w:rsid w:val="000604A6"/>
    <w:rsid w:val="00063484"/>
    <w:rsid w:val="00064F78"/>
    <w:rsid w:val="00074E5F"/>
    <w:rsid w:val="00077AA2"/>
    <w:rsid w:val="00080866"/>
    <w:rsid w:val="00084007"/>
    <w:rsid w:val="00086F94"/>
    <w:rsid w:val="000B2ECF"/>
    <w:rsid w:val="000B6FF6"/>
    <w:rsid w:val="000C7117"/>
    <w:rsid w:val="000D1248"/>
    <w:rsid w:val="000D4B85"/>
    <w:rsid w:val="000E03B9"/>
    <w:rsid w:val="000E113F"/>
    <w:rsid w:val="000E3463"/>
    <w:rsid w:val="000E7D35"/>
    <w:rsid w:val="000F5779"/>
    <w:rsid w:val="000F7D03"/>
    <w:rsid w:val="0010459B"/>
    <w:rsid w:val="00114AA4"/>
    <w:rsid w:val="001159B0"/>
    <w:rsid w:val="0012215D"/>
    <w:rsid w:val="00127036"/>
    <w:rsid w:val="001334C3"/>
    <w:rsid w:val="001351CB"/>
    <w:rsid w:val="00145421"/>
    <w:rsid w:val="001527DA"/>
    <w:rsid w:val="00155E80"/>
    <w:rsid w:val="001562A3"/>
    <w:rsid w:val="00156811"/>
    <w:rsid w:val="00156E04"/>
    <w:rsid w:val="0016002E"/>
    <w:rsid w:val="00161BA8"/>
    <w:rsid w:val="001633F6"/>
    <w:rsid w:val="00164E22"/>
    <w:rsid w:val="001747D4"/>
    <w:rsid w:val="0018181E"/>
    <w:rsid w:val="001826CB"/>
    <w:rsid w:val="00183EC9"/>
    <w:rsid w:val="00195DC9"/>
    <w:rsid w:val="00197452"/>
    <w:rsid w:val="001A45FF"/>
    <w:rsid w:val="001A70D1"/>
    <w:rsid w:val="001B11EC"/>
    <w:rsid w:val="001B4063"/>
    <w:rsid w:val="001C0FC1"/>
    <w:rsid w:val="001D13A0"/>
    <w:rsid w:val="001D2010"/>
    <w:rsid w:val="001D4192"/>
    <w:rsid w:val="001E05A4"/>
    <w:rsid w:val="001E783C"/>
    <w:rsid w:val="001F4167"/>
    <w:rsid w:val="001F66C7"/>
    <w:rsid w:val="001F7674"/>
    <w:rsid w:val="00200304"/>
    <w:rsid w:val="00204330"/>
    <w:rsid w:val="00220203"/>
    <w:rsid w:val="00220504"/>
    <w:rsid w:val="00222C36"/>
    <w:rsid w:val="00234085"/>
    <w:rsid w:val="002401CF"/>
    <w:rsid w:val="00240789"/>
    <w:rsid w:val="00252512"/>
    <w:rsid w:val="002579EB"/>
    <w:rsid w:val="00270D27"/>
    <w:rsid w:val="00272156"/>
    <w:rsid w:val="0027344A"/>
    <w:rsid w:val="00274F2E"/>
    <w:rsid w:val="00276BE9"/>
    <w:rsid w:val="00283DD2"/>
    <w:rsid w:val="002940E4"/>
    <w:rsid w:val="00294BC3"/>
    <w:rsid w:val="002A01C6"/>
    <w:rsid w:val="002A03D1"/>
    <w:rsid w:val="002A414D"/>
    <w:rsid w:val="002B43C4"/>
    <w:rsid w:val="002D3E02"/>
    <w:rsid w:val="002F33C0"/>
    <w:rsid w:val="002F52FF"/>
    <w:rsid w:val="00301B0E"/>
    <w:rsid w:val="0030249E"/>
    <w:rsid w:val="00313612"/>
    <w:rsid w:val="00314F6F"/>
    <w:rsid w:val="00322A81"/>
    <w:rsid w:val="003259A9"/>
    <w:rsid w:val="003273C7"/>
    <w:rsid w:val="0033165D"/>
    <w:rsid w:val="00331981"/>
    <w:rsid w:val="003333D5"/>
    <w:rsid w:val="003359DD"/>
    <w:rsid w:val="003407B1"/>
    <w:rsid w:val="00343CA8"/>
    <w:rsid w:val="00361415"/>
    <w:rsid w:val="00364394"/>
    <w:rsid w:val="003658F1"/>
    <w:rsid w:val="00370106"/>
    <w:rsid w:val="00371123"/>
    <w:rsid w:val="00372D67"/>
    <w:rsid w:val="00374A9C"/>
    <w:rsid w:val="0037632F"/>
    <w:rsid w:val="003822BD"/>
    <w:rsid w:val="00385D15"/>
    <w:rsid w:val="00390FEA"/>
    <w:rsid w:val="00391976"/>
    <w:rsid w:val="00391A91"/>
    <w:rsid w:val="00394768"/>
    <w:rsid w:val="00394969"/>
    <w:rsid w:val="003A73BE"/>
    <w:rsid w:val="003B0C23"/>
    <w:rsid w:val="003B1312"/>
    <w:rsid w:val="003C2AD2"/>
    <w:rsid w:val="003C42AD"/>
    <w:rsid w:val="003C765F"/>
    <w:rsid w:val="003D4A50"/>
    <w:rsid w:val="003D7CF5"/>
    <w:rsid w:val="003E046F"/>
    <w:rsid w:val="003E0792"/>
    <w:rsid w:val="003F4C1E"/>
    <w:rsid w:val="00412931"/>
    <w:rsid w:val="0041347A"/>
    <w:rsid w:val="00413505"/>
    <w:rsid w:val="004148FD"/>
    <w:rsid w:val="00415CD2"/>
    <w:rsid w:val="00416347"/>
    <w:rsid w:val="0042242B"/>
    <w:rsid w:val="00432CCD"/>
    <w:rsid w:val="00433078"/>
    <w:rsid w:val="004355AD"/>
    <w:rsid w:val="00436565"/>
    <w:rsid w:val="0043739C"/>
    <w:rsid w:val="004611CD"/>
    <w:rsid w:val="004625E7"/>
    <w:rsid w:val="004663E5"/>
    <w:rsid w:val="00470DCA"/>
    <w:rsid w:val="004743B4"/>
    <w:rsid w:val="004773FD"/>
    <w:rsid w:val="00484229"/>
    <w:rsid w:val="00485AC9"/>
    <w:rsid w:val="004861D7"/>
    <w:rsid w:val="0049326F"/>
    <w:rsid w:val="00494C17"/>
    <w:rsid w:val="004A23C0"/>
    <w:rsid w:val="004A3C2D"/>
    <w:rsid w:val="004A60EC"/>
    <w:rsid w:val="004B6FC5"/>
    <w:rsid w:val="004C0728"/>
    <w:rsid w:val="004C441E"/>
    <w:rsid w:val="004C48EA"/>
    <w:rsid w:val="004C4D63"/>
    <w:rsid w:val="004C747E"/>
    <w:rsid w:val="004D5684"/>
    <w:rsid w:val="004D71BD"/>
    <w:rsid w:val="004D71ED"/>
    <w:rsid w:val="004E26D4"/>
    <w:rsid w:val="004E37FA"/>
    <w:rsid w:val="004E423B"/>
    <w:rsid w:val="004F6859"/>
    <w:rsid w:val="00501024"/>
    <w:rsid w:val="00511655"/>
    <w:rsid w:val="00511F8D"/>
    <w:rsid w:val="0051224A"/>
    <w:rsid w:val="0052651E"/>
    <w:rsid w:val="00536175"/>
    <w:rsid w:val="0054121A"/>
    <w:rsid w:val="00541776"/>
    <w:rsid w:val="0054316B"/>
    <w:rsid w:val="005479B8"/>
    <w:rsid w:val="00553882"/>
    <w:rsid w:val="00561D7E"/>
    <w:rsid w:val="00567066"/>
    <w:rsid w:val="00570635"/>
    <w:rsid w:val="00577406"/>
    <w:rsid w:val="005874C0"/>
    <w:rsid w:val="00593F3D"/>
    <w:rsid w:val="00596108"/>
    <w:rsid w:val="00597A32"/>
    <w:rsid w:val="005A0DCC"/>
    <w:rsid w:val="005A7496"/>
    <w:rsid w:val="005B18C7"/>
    <w:rsid w:val="005B56D4"/>
    <w:rsid w:val="005B58B4"/>
    <w:rsid w:val="005C4517"/>
    <w:rsid w:val="005C47A4"/>
    <w:rsid w:val="005D0C2A"/>
    <w:rsid w:val="005E163B"/>
    <w:rsid w:val="005E179F"/>
    <w:rsid w:val="005E2A6F"/>
    <w:rsid w:val="005E79C6"/>
    <w:rsid w:val="005F095C"/>
    <w:rsid w:val="005F52C3"/>
    <w:rsid w:val="005F70CE"/>
    <w:rsid w:val="0060066A"/>
    <w:rsid w:val="00600E8D"/>
    <w:rsid w:val="00611DFF"/>
    <w:rsid w:val="0061478B"/>
    <w:rsid w:val="00616525"/>
    <w:rsid w:val="00617AC3"/>
    <w:rsid w:val="0062488A"/>
    <w:rsid w:val="00630AD8"/>
    <w:rsid w:val="00631F99"/>
    <w:rsid w:val="00632690"/>
    <w:rsid w:val="006409FC"/>
    <w:rsid w:val="00644D11"/>
    <w:rsid w:val="006463B0"/>
    <w:rsid w:val="00650A72"/>
    <w:rsid w:val="00651249"/>
    <w:rsid w:val="0065314B"/>
    <w:rsid w:val="00670164"/>
    <w:rsid w:val="00670A74"/>
    <w:rsid w:val="00671B4A"/>
    <w:rsid w:val="0067202B"/>
    <w:rsid w:val="006732FF"/>
    <w:rsid w:val="00674C77"/>
    <w:rsid w:val="006829E9"/>
    <w:rsid w:val="0068675B"/>
    <w:rsid w:val="006933D2"/>
    <w:rsid w:val="006947D8"/>
    <w:rsid w:val="006B0924"/>
    <w:rsid w:val="006B39E3"/>
    <w:rsid w:val="006B6A6D"/>
    <w:rsid w:val="006C3A86"/>
    <w:rsid w:val="006C4444"/>
    <w:rsid w:val="006D120A"/>
    <w:rsid w:val="006D5CC1"/>
    <w:rsid w:val="006E0784"/>
    <w:rsid w:val="006E21DF"/>
    <w:rsid w:val="006E2FB8"/>
    <w:rsid w:val="006F2F12"/>
    <w:rsid w:val="006F573E"/>
    <w:rsid w:val="006F65A5"/>
    <w:rsid w:val="006F70CF"/>
    <w:rsid w:val="0070074D"/>
    <w:rsid w:val="0070383F"/>
    <w:rsid w:val="00704EDC"/>
    <w:rsid w:val="007065E0"/>
    <w:rsid w:val="007078E6"/>
    <w:rsid w:val="0071162D"/>
    <w:rsid w:val="007123EE"/>
    <w:rsid w:val="00714417"/>
    <w:rsid w:val="00716476"/>
    <w:rsid w:val="007272BD"/>
    <w:rsid w:val="0072744C"/>
    <w:rsid w:val="007303E3"/>
    <w:rsid w:val="00732B73"/>
    <w:rsid w:val="0073613F"/>
    <w:rsid w:val="00736D52"/>
    <w:rsid w:val="0073722F"/>
    <w:rsid w:val="0075029B"/>
    <w:rsid w:val="0075208A"/>
    <w:rsid w:val="00763CA1"/>
    <w:rsid w:val="0077057A"/>
    <w:rsid w:val="00770AEA"/>
    <w:rsid w:val="007819DF"/>
    <w:rsid w:val="00792C1C"/>
    <w:rsid w:val="00792CD9"/>
    <w:rsid w:val="00793BCF"/>
    <w:rsid w:val="00795539"/>
    <w:rsid w:val="007955FC"/>
    <w:rsid w:val="007A19F1"/>
    <w:rsid w:val="007A2E12"/>
    <w:rsid w:val="007B0BC7"/>
    <w:rsid w:val="007B3643"/>
    <w:rsid w:val="007B5608"/>
    <w:rsid w:val="007C36E9"/>
    <w:rsid w:val="007C54EC"/>
    <w:rsid w:val="007C6F70"/>
    <w:rsid w:val="007D0B8B"/>
    <w:rsid w:val="007D24BB"/>
    <w:rsid w:val="007D49B8"/>
    <w:rsid w:val="007D58B8"/>
    <w:rsid w:val="007D750E"/>
    <w:rsid w:val="007E0499"/>
    <w:rsid w:val="007E2E51"/>
    <w:rsid w:val="007F4736"/>
    <w:rsid w:val="007F758D"/>
    <w:rsid w:val="008027CF"/>
    <w:rsid w:val="00804116"/>
    <w:rsid w:val="00807615"/>
    <w:rsid w:val="008114DB"/>
    <w:rsid w:val="008226C4"/>
    <w:rsid w:val="00827C2D"/>
    <w:rsid w:val="008328E8"/>
    <w:rsid w:val="00836714"/>
    <w:rsid w:val="00837412"/>
    <w:rsid w:val="00840FB4"/>
    <w:rsid w:val="00853F5C"/>
    <w:rsid w:val="0085613B"/>
    <w:rsid w:val="00870196"/>
    <w:rsid w:val="008723EC"/>
    <w:rsid w:val="008816C8"/>
    <w:rsid w:val="0088550A"/>
    <w:rsid w:val="0089494C"/>
    <w:rsid w:val="008974AE"/>
    <w:rsid w:val="008A0533"/>
    <w:rsid w:val="008A09F1"/>
    <w:rsid w:val="008A6DF1"/>
    <w:rsid w:val="008B6434"/>
    <w:rsid w:val="008B713D"/>
    <w:rsid w:val="008C0087"/>
    <w:rsid w:val="008C0B71"/>
    <w:rsid w:val="008C55A4"/>
    <w:rsid w:val="008D0470"/>
    <w:rsid w:val="008D278E"/>
    <w:rsid w:val="008D3888"/>
    <w:rsid w:val="008D7ECE"/>
    <w:rsid w:val="008E104A"/>
    <w:rsid w:val="008E6172"/>
    <w:rsid w:val="008E71DB"/>
    <w:rsid w:val="008F1F54"/>
    <w:rsid w:val="008F37B8"/>
    <w:rsid w:val="008F5275"/>
    <w:rsid w:val="00903C3F"/>
    <w:rsid w:val="009115E8"/>
    <w:rsid w:val="00927DF7"/>
    <w:rsid w:val="009309B4"/>
    <w:rsid w:val="00934602"/>
    <w:rsid w:val="0094798A"/>
    <w:rsid w:val="0095313D"/>
    <w:rsid w:val="00955115"/>
    <w:rsid w:val="00956ECD"/>
    <w:rsid w:val="009657ED"/>
    <w:rsid w:val="00966639"/>
    <w:rsid w:val="00966DBE"/>
    <w:rsid w:val="0097362D"/>
    <w:rsid w:val="009773A6"/>
    <w:rsid w:val="009801E2"/>
    <w:rsid w:val="009822B5"/>
    <w:rsid w:val="00985CA9"/>
    <w:rsid w:val="00991225"/>
    <w:rsid w:val="009A03AA"/>
    <w:rsid w:val="009A1035"/>
    <w:rsid w:val="009A1816"/>
    <w:rsid w:val="009A63AF"/>
    <w:rsid w:val="009B49C3"/>
    <w:rsid w:val="009B6532"/>
    <w:rsid w:val="009B65B3"/>
    <w:rsid w:val="009B6767"/>
    <w:rsid w:val="009D23E5"/>
    <w:rsid w:val="009D5417"/>
    <w:rsid w:val="009D5C32"/>
    <w:rsid w:val="009D5FB4"/>
    <w:rsid w:val="009D6721"/>
    <w:rsid w:val="009D7D18"/>
    <w:rsid w:val="009E43C4"/>
    <w:rsid w:val="009E52CD"/>
    <w:rsid w:val="009E6172"/>
    <w:rsid w:val="009E7346"/>
    <w:rsid w:val="009E7820"/>
    <w:rsid w:val="009F3E8D"/>
    <w:rsid w:val="00A006E7"/>
    <w:rsid w:val="00A0134E"/>
    <w:rsid w:val="00A013A5"/>
    <w:rsid w:val="00A04BF6"/>
    <w:rsid w:val="00A05C60"/>
    <w:rsid w:val="00A119D7"/>
    <w:rsid w:val="00A12FD5"/>
    <w:rsid w:val="00A14B9E"/>
    <w:rsid w:val="00A1744A"/>
    <w:rsid w:val="00A257EF"/>
    <w:rsid w:val="00A2641B"/>
    <w:rsid w:val="00A33E51"/>
    <w:rsid w:val="00A41CCF"/>
    <w:rsid w:val="00A450C8"/>
    <w:rsid w:val="00A5695D"/>
    <w:rsid w:val="00A56EBB"/>
    <w:rsid w:val="00A577E1"/>
    <w:rsid w:val="00A60743"/>
    <w:rsid w:val="00A6403E"/>
    <w:rsid w:val="00A70BB3"/>
    <w:rsid w:val="00A72887"/>
    <w:rsid w:val="00A760A7"/>
    <w:rsid w:val="00A80EC6"/>
    <w:rsid w:val="00AA1729"/>
    <w:rsid w:val="00AA4634"/>
    <w:rsid w:val="00AA5791"/>
    <w:rsid w:val="00AB2E0C"/>
    <w:rsid w:val="00AC0F53"/>
    <w:rsid w:val="00AC4A0B"/>
    <w:rsid w:val="00AC66BC"/>
    <w:rsid w:val="00AD108C"/>
    <w:rsid w:val="00AD4971"/>
    <w:rsid w:val="00AD5734"/>
    <w:rsid w:val="00AD7E48"/>
    <w:rsid w:val="00AE65F6"/>
    <w:rsid w:val="00AE6EE5"/>
    <w:rsid w:val="00AF2AF6"/>
    <w:rsid w:val="00B060D6"/>
    <w:rsid w:val="00B068F0"/>
    <w:rsid w:val="00B07FE7"/>
    <w:rsid w:val="00B20CC0"/>
    <w:rsid w:val="00B2429C"/>
    <w:rsid w:val="00B2786E"/>
    <w:rsid w:val="00B356FB"/>
    <w:rsid w:val="00B41BE7"/>
    <w:rsid w:val="00B422E7"/>
    <w:rsid w:val="00B458B4"/>
    <w:rsid w:val="00B51A66"/>
    <w:rsid w:val="00B55A34"/>
    <w:rsid w:val="00B56488"/>
    <w:rsid w:val="00B71BBD"/>
    <w:rsid w:val="00B72B07"/>
    <w:rsid w:val="00B77BF2"/>
    <w:rsid w:val="00B81547"/>
    <w:rsid w:val="00B82F8B"/>
    <w:rsid w:val="00B91581"/>
    <w:rsid w:val="00B94463"/>
    <w:rsid w:val="00BA137A"/>
    <w:rsid w:val="00BB0FEB"/>
    <w:rsid w:val="00BB4714"/>
    <w:rsid w:val="00BB6C4A"/>
    <w:rsid w:val="00BD4C8F"/>
    <w:rsid w:val="00BD75C6"/>
    <w:rsid w:val="00BF517A"/>
    <w:rsid w:val="00BF63B0"/>
    <w:rsid w:val="00C07D1E"/>
    <w:rsid w:val="00C10AA6"/>
    <w:rsid w:val="00C138A5"/>
    <w:rsid w:val="00C2162B"/>
    <w:rsid w:val="00C21ED4"/>
    <w:rsid w:val="00C22218"/>
    <w:rsid w:val="00C24ECF"/>
    <w:rsid w:val="00C25333"/>
    <w:rsid w:val="00C265BD"/>
    <w:rsid w:val="00C31BA7"/>
    <w:rsid w:val="00C34702"/>
    <w:rsid w:val="00C37B19"/>
    <w:rsid w:val="00C4353C"/>
    <w:rsid w:val="00C465B6"/>
    <w:rsid w:val="00C50B8B"/>
    <w:rsid w:val="00C53547"/>
    <w:rsid w:val="00C60D31"/>
    <w:rsid w:val="00C6552C"/>
    <w:rsid w:val="00C675EE"/>
    <w:rsid w:val="00C700BB"/>
    <w:rsid w:val="00C75CF5"/>
    <w:rsid w:val="00C77DFC"/>
    <w:rsid w:val="00C8247E"/>
    <w:rsid w:val="00C856A1"/>
    <w:rsid w:val="00C92AB9"/>
    <w:rsid w:val="00CA23CB"/>
    <w:rsid w:val="00CA287B"/>
    <w:rsid w:val="00CA32FD"/>
    <w:rsid w:val="00CB5B3D"/>
    <w:rsid w:val="00CB719B"/>
    <w:rsid w:val="00CB7FC2"/>
    <w:rsid w:val="00CC117C"/>
    <w:rsid w:val="00CC1B0A"/>
    <w:rsid w:val="00CC480C"/>
    <w:rsid w:val="00CD13CE"/>
    <w:rsid w:val="00CF5CBA"/>
    <w:rsid w:val="00D02698"/>
    <w:rsid w:val="00D03AD1"/>
    <w:rsid w:val="00D078E0"/>
    <w:rsid w:val="00D1242B"/>
    <w:rsid w:val="00D12840"/>
    <w:rsid w:val="00D202B9"/>
    <w:rsid w:val="00D25042"/>
    <w:rsid w:val="00D256AD"/>
    <w:rsid w:val="00D40869"/>
    <w:rsid w:val="00D41791"/>
    <w:rsid w:val="00D43027"/>
    <w:rsid w:val="00D50D5A"/>
    <w:rsid w:val="00D526D6"/>
    <w:rsid w:val="00D52E8A"/>
    <w:rsid w:val="00D54B0E"/>
    <w:rsid w:val="00D639D3"/>
    <w:rsid w:val="00D64A78"/>
    <w:rsid w:val="00D65D2E"/>
    <w:rsid w:val="00D75234"/>
    <w:rsid w:val="00D9051A"/>
    <w:rsid w:val="00D90CBD"/>
    <w:rsid w:val="00D95190"/>
    <w:rsid w:val="00D95EFF"/>
    <w:rsid w:val="00DA1224"/>
    <w:rsid w:val="00DA3003"/>
    <w:rsid w:val="00DA31B8"/>
    <w:rsid w:val="00DA6DFE"/>
    <w:rsid w:val="00DB4054"/>
    <w:rsid w:val="00DC1AB2"/>
    <w:rsid w:val="00DC2E29"/>
    <w:rsid w:val="00DC51FF"/>
    <w:rsid w:val="00DC68ED"/>
    <w:rsid w:val="00DC7FB0"/>
    <w:rsid w:val="00DD132A"/>
    <w:rsid w:val="00DD1B7C"/>
    <w:rsid w:val="00DE0EDF"/>
    <w:rsid w:val="00DE5215"/>
    <w:rsid w:val="00DF5748"/>
    <w:rsid w:val="00DF66CB"/>
    <w:rsid w:val="00E01BC9"/>
    <w:rsid w:val="00E06EF3"/>
    <w:rsid w:val="00E11D89"/>
    <w:rsid w:val="00E16C62"/>
    <w:rsid w:val="00E2307A"/>
    <w:rsid w:val="00E233C2"/>
    <w:rsid w:val="00E23A4D"/>
    <w:rsid w:val="00E32E04"/>
    <w:rsid w:val="00E352D9"/>
    <w:rsid w:val="00E37D65"/>
    <w:rsid w:val="00E419A0"/>
    <w:rsid w:val="00E41F28"/>
    <w:rsid w:val="00E52069"/>
    <w:rsid w:val="00E61394"/>
    <w:rsid w:val="00E63DE8"/>
    <w:rsid w:val="00E65692"/>
    <w:rsid w:val="00E75ABE"/>
    <w:rsid w:val="00E835C0"/>
    <w:rsid w:val="00E8799F"/>
    <w:rsid w:val="00E91F73"/>
    <w:rsid w:val="00EA08BA"/>
    <w:rsid w:val="00EA75B8"/>
    <w:rsid w:val="00EC0AFE"/>
    <w:rsid w:val="00ED3597"/>
    <w:rsid w:val="00EE6727"/>
    <w:rsid w:val="00EF43E6"/>
    <w:rsid w:val="00EF4DCC"/>
    <w:rsid w:val="00EF7B4E"/>
    <w:rsid w:val="00F14859"/>
    <w:rsid w:val="00F16E8A"/>
    <w:rsid w:val="00F175F3"/>
    <w:rsid w:val="00F20BD6"/>
    <w:rsid w:val="00F27AF7"/>
    <w:rsid w:val="00F40BF2"/>
    <w:rsid w:val="00F4154A"/>
    <w:rsid w:val="00F41E0F"/>
    <w:rsid w:val="00F51B52"/>
    <w:rsid w:val="00F53C15"/>
    <w:rsid w:val="00F736D1"/>
    <w:rsid w:val="00F75E52"/>
    <w:rsid w:val="00F87C54"/>
    <w:rsid w:val="00F87E21"/>
    <w:rsid w:val="00F95352"/>
    <w:rsid w:val="00F956D4"/>
    <w:rsid w:val="00FB0997"/>
    <w:rsid w:val="00FB5842"/>
    <w:rsid w:val="00FB7480"/>
    <w:rsid w:val="00FC21AE"/>
    <w:rsid w:val="00FC40DC"/>
    <w:rsid w:val="00FD2AE4"/>
    <w:rsid w:val="00FD508B"/>
    <w:rsid w:val="00FF1B14"/>
    <w:rsid w:val="00FF23F0"/>
    <w:rsid w:val="00FF3F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6646"/>
  <w15:docId w15:val="{60688AF6-83A8-4CC1-A459-440E05C5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81"/>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B91581"/>
    <w:pPr>
      <w:keepNext/>
      <w:outlineLvl w:val="0"/>
    </w:pPr>
    <w:rPr>
      <w:rFonts w:ascii="BlissBold" w:hAnsi="Bliss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581"/>
    <w:pPr>
      <w:ind w:left="720"/>
    </w:pPr>
  </w:style>
  <w:style w:type="character" w:customStyle="1" w:styleId="Heading1Char">
    <w:name w:val="Heading 1 Char"/>
    <w:basedOn w:val="DefaultParagraphFont"/>
    <w:link w:val="Heading1"/>
    <w:rsid w:val="00B91581"/>
    <w:rPr>
      <w:rFonts w:ascii="BlissBold" w:eastAsia="Times New Roman" w:hAnsi="BlissBold" w:cs="Times New Roman"/>
      <w:b/>
      <w:sz w:val="28"/>
      <w:szCs w:val="20"/>
      <w:lang w:eastAsia="en-GB"/>
    </w:rPr>
  </w:style>
  <w:style w:type="paragraph" w:styleId="BalloonText">
    <w:name w:val="Balloon Text"/>
    <w:basedOn w:val="Normal"/>
    <w:link w:val="BalloonTextChar"/>
    <w:uiPriority w:val="99"/>
    <w:semiHidden/>
    <w:unhideWhenUsed/>
    <w:rsid w:val="00EE6727"/>
    <w:rPr>
      <w:rFonts w:ascii="Tahoma" w:hAnsi="Tahoma" w:cs="Tahoma"/>
      <w:sz w:val="16"/>
      <w:szCs w:val="16"/>
    </w:rPr>
  </w:style>
  <w:style w:type="character" w:customStyle="1" w:styleId="BalloonTextChar">
    <w:name w:val="Balloon Text Char"/>
    <w:basedOn w:val="DefaultParagraphFont"/>
    <w:link w:val="BalloonText"/>
    <w:uiPriority w:val="99"/>
    <w:semiHidden/>
    <w:rsid w:val="00EE6727"/>
    <w:rPr>
      <w:rFonts w:ascii="Tahoma" w:eastAsia="Times New Roman" w:hAnsi="Tahoma" w:cs="Tahoma"/>
      <w:sz w:val="16"/>
      <w:szCs w:val="16"/>
      <w:lang w:eastAsia="en-GB"/>
    </w:rPr>
  </w:style>
  <w:style w:type="paragraph" w:customStyle="1" w:styleId="Pa1">
    <w:name w:val="Pa1"/>
    <w:basedOn w:val="Normal"/>
    <w:next w:val="Normal"/>
    <w:uiPriority w:val="99"/>
    <w:rsid w:val="00C50B8B"/>
    <w:pPr>
      <w:autoSpaceDE w:val="0"/>
      <w:autoSpaceDN w:val="0"/>
      <w:adjustRightInd w:val="0"/>
      <w:spacing w:line="221" w:lineRule="atLeast"/>
    </w:pPr>
    <w:rPr>
      <w:rFonts w:ascii="BrownStd Light" w:eastAsiaTheme="minorHAnsi" w:hAnsi="BrownStd Light"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5119">
      <w:bodyDiv w:val="1"/>
      <w:marLeft w:val="0"/>
      <w:marRight w:val="0"/>
      <w:marTop w:val="0"/>
      <w:marBottom w:val="0"/>
      <w:divBdr>
        <w:top w:val="none" w:sz="0" w:space="0" w:color="auto"/>
        <w:left w:val="none" w:sz="0" w:space="0" w:color="auto"/>
        <w:bottom w:val="none" w:sz="0" w:space="0" w:color="auto"/>
        <w:right w:val="none" w:sz="0" w:space="0" w:color="auto"/>
      </w:divBdr>
    </w:div>
    <w:div w:id="190461086">
      <w:bodyDiv w:val="1"/>
      <w:marLeft w:val="0"/>
      <w:marRight w:val="0"/>
      <w:marTop w:val="0"/>
      <w:marBottom w:val="0"/>
      <w:divBdr>
        <w:top w:val="none" w:sz="0" w:space="0" w:color="auto"/>
        <w:left w:val="none" w:sz="0" w:space="0" w:color="auto"/>
        <w:bottom w:val="none" w:sz="0" w:space="0" w:color="auto"/>
        <w:right w:val="none" w:sz="0" w:space="0" w:color="auto"/>
      </w:divBdr>
    </w:div>
    <w:div w:id="207114178">
      <w:bodyDiv w:val="1"/>
      <w:marLeft w:val="0"/>
      <w:marRight w:val="0"/>
      <w:marTop w:val="0"/>
      <w:marBottom w:val="0"/>
      <w:divBdr>
        <w:top w:val="none" w:sz="0" w:space="0" w:color="auto"/>
        <w:left w:val="none" w:sz="0" w:space="0" w:color="auto"/>
        <w:bottom w:val="none" w:sz="0" w:space="0" w:color="auto"/>
        <w:right w:val="none" w:sz="0" w:space="0" w:color="auto"/>
      </w:divBdr>
    </w:div>
    <w:div w:id="436564022">
      <w:bodyDiv w:val="1"/>
      <w:marLeft w:val="0"/>
      <w:marRight w:val="0"/>
      <w:marTop w:val="0"/>
      <w:marBottom w:val="0"/>
      <w:divBdr>
        <w:top w:val="none" w:sz="0" w:space="0" w:color="auto"/>
        <w:left w:val="none" w:sz="0" w:space="0" w:color="auto"/>
        <w:bottom w:val="none" w:sz="0" w:space="0" w:color="auto"/>
        <w:right w:val="none" w:sz="0" w:space="0" w:color="auto"/>
      </w:divBdr>
    </w:div>
    <w:div w:id="529537930">
      <w:bodyDiv w:val="1"/>
      <w:marLeft w:val="0"/>
      <w:marRight w:val="0"/>
      <w:marTop w:val="0"/>
      <w:marBottom w:val="0"/>
      <w:divBdr>
        <w:top w:val="none" w:sz="0" w:space="0" w:color="auto"/>
        <w:left w:val="none" w:sz="0" w:space="0" w:color="auto"/>
        <w:bottom w:val="none" w:sz="0" w:space="0" w:color="auto"/>
        <w:right w:val="none" w:sz="0" w:space="0" w:color="auto"/>
      </w:divBdr>
    </w:div>
    <w:div w:id="631835434">
      <w:bodyDiv w:val="1"/>
      <w:marLeft w:val="0"/>
      <w:marRight w:val="0"/>
      <w:marTop w:val="0"/>
      <w:marBottom w:val="0"/>
      <w:divBdr>
        <w:top w:val="none" w:sz="0" w:space="0" w:color="auto"/>
        <w:left w:val="none" w:sz="0" w:space="0" w:color="auto"/>
        <w:bottom w:val="none" w:sz="0" w:space="0" w:color="auto"/>
        <w:right w:val="none" w:sz="0" w:space="0" w:color="auto"/>
      </w:divBdr>
    </w:div>
    <w:div w:id="1104032948">
      <w:bodyDiv w:val="1"/>
      <w:marLeft w:val="0"/>
      <w:marRight w:val="0"/>
      <w:marTop w:val="0"/>
      <w:marBottom w:val="0"/>
      <w:divBdr>
        <w:top w:val="none" w:sz="0" w:space="0" w:color="auto"/>
        <w:left w:val="none" w:sz="0" w:space="0" w:color="auto"/>
        <w:bottom w:val="none" w:sz="0" w:space="0" w:color="auto"/>
        <w:right w:val="none" w:sz="0" w:space="0" w:color="auto"/>
      </w:divBdr>
    </w:div>
    <w:div w:id="1320692583">
      <w:bodyDiv w:val="1"/>
      <w:marLeft w:val="0"/>
      <w:marRight w:val="0"/>
      <w:marTop w:val="0"/>
      <w:marBottom w:val="0"/>
      <w:divBdr>
        <w:top w:val="none" w:sz="0" w:space="0" w:color="auto"/>
        <w:left w:val="none" w:sz="0" w:space="0" w:color="auto"/>
        <w:bottom w:val="none" w:sz="0" w:space="0" w:color="auto"/>
        <w:right w:val="none" w:sz="0" w:space="0" w:color="auto"/>
      </w:divBdr>
    </w:div>
    <w:div w:id="1604605251">
      <w:bodyDiv w:val="1"/>
      <w:marLeft w:val="0"/>
      <w:marRight w:val="0"/>
      <w:marTop w:val="0"/>
      <w:marBottom w:val="0"/>
      <w:divBdr>
        <w:top w:val="none" w:sz="0" w:space="0" w:color="auto"/>
        <w:left w:val="none" w:sz="0" w:space="0" w:color="auto"/>
        <w:bottom w:val="none" w:sz="0" w:space="0" w:color="auto"/>
        <w:right w:val="none" w:sz="0" w:space="0" w:color="auto"/>
      </w:divBdr>
    </w:div>
    <w:div w:id="1728644254">
      <w:bodyDiv w:val="1"/>
      <w:marLeft w:val="0"/>
      <w:marRight w:val="0"/>
      <w:marTop w:val="0"/>
      <w:marBottom w:val="0"/>
      <w:divBdr>
        <w:top w:val="none" w:sz="0" w:space="0" w:color="auto"/>
        <w:left w:val="none" w:sz="0" w:space="0" w:color="auto"/>
        <w:bottom w:val="none" w:sz="0" w:space="0" w:color="auto"/>
        <w:right w:val="none" w:sz="0" w:space="0" w:color="auto"/>
      </w:divBdr>
    </w:div>
    <w:div w:id="18320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3f37a94-3ab4-42af-aa08-2e2d101c9c62" xsi:nil="true"/>
    <lcf76f155ced4ddcb4097134ff3c332f xmlns="ffbb6407-9812-4f09-84d4-c8c3e7a52d0d">
      <Terms xmlns="http://schemas.microsoft.com/office/infopath/2007/PartnerControls"/>
    </lcf76f155ced4ddcb4097134ff3c332f>
    <mvAttach_x005f_x0020_Count xmlns="73f37a94-3ab4-42af-aa08-2e2d101c9c62" xsi:nil="true"/>
    <Original_x0020_Modified xmlns="ffbb6407-9812-4f09-84d4-c8c3e7a52d0d" xsi:nil="true"/>
    <_dlc_DocIdPersistId xmlns="ffbb6407-9812-4f09-84d4-c8c3e7a52d0d" xsi:nil="true"/>
    <Original_x0020_Author xmlns="ffbb6407-9812-4f09-84d4-c8c3e7a52d0d" xsi:nil="true"/>
    <_dlc_DocIdUrl xmlns="ffbb6407-9812-4f09-84d4-c8c3e7a52d0d">
      <Url xsi:nil="true"/>
      <Description xsi:nil="true"/>
    </_dlc_DocIdUrl>
    <_dlc_DocId xmlns="ffbb6407-9812-4f09-84d4-c8c3e7a52d0d" xsi:nil="true"/>
    <Original_x0020_Created xmlns="ffbb6407-9812-4f09-84d4-c8c3e7a52d0d" xsi:nil="true"/>
    <Original_x0020_Producer xmlns="ffbb6407-9812-4f09-84d4-c8c3e7a52d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F2076E79D9FB449760477F6E420CBF" ma:contentTypeVersion="33" ma:contentTypeDescription="Create a new document." ma:contentTypeScope="" ma:versionID="7af8aba6c8edd8d61305416583180762">
  <xsd:schema xmlns:xsd="http://www.w3.org/2001/XMLSchema" xmlns:xs="http://www.w3.org/2001/XMLSchema" xmlns:p="http://schemas.microsoft.com/office/2006/metadata/properties" xmlns:ns1="http://schemas.microsoft.com/sharepoint/v3" xmlns:ns2="ffbb6407-9812-4f09-84d4-c8c3e7a52d0d" xmlns:ns3="73f37a94-3ab4-42af-aa08-2e2d101c9c62" xmlns:ns4="bfd68f37-da20-4db0-b75f-aecb8a4fc0e8" targetNamespace="http://schemas.microsoft.com/office/2006/metadata/properties" ma:root="true" ma:fieldsID="26a98d6fc5d62f3da387ecc69d486e9b" ns1:_="" ns2:_="" ns3:_="" ns4:_="">
    <xsd:import namespace="http://schemas.microsoft.com/sharepoint/v3"/>
    <xsd:import namespace="ffbb6407-9812-4f09-84d4-c8c3e7a52d0d"/>
    <xsd:import namespace="73f37a94-3ab4-42af-aa08-2e2d101c9c62"/>
    <xsd:import namespace="bfd68f37-da20-4db0-b75f-aecb8a4fc0e8"/>
    <xsd:element name="properties">
      <xsd:complexType>
        <xsd:sequence>
          <xsd:element name="documentManagement">
            <xsd:complexType>
              <xsd:all>
                <xsd:element ref="ns2:_dlc_DocId" minOccurs="0"/>
                <xsd:element ref="ns2:_dlc_DocIdUrl" minOccurs="0"/>
                <xsd:element ref="ns2:_dlc_DocIdPersistId" minOccurs="0"/>
                <xsd:element ref="ns2:Original_x0020_Modified" minOccurs="0"/>
                <xsd:element ref="ns2:Original_x0020_Author" minOccurs="0"/>
                <xsd:element ref="ns2:Original_x0020_Created" minOccurs="0"/>
                <xsd:element ref="ns2:Original_x0020_Producer" minOccurs="0"/>
                <xsd:element ref="ns3:mvAttach_x005f_x0020_Count" minOccurs="0"/>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b6407-9812-4f09-84d4-c8c3e7a52d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Original_x0020_Modified" ma:index="11" nillable="true" ma:displayName="Original Modified" ma:format="DateTime" ma:hidden="true" ma:internalName="Original_x0020_Modified" ma:readOnly="false">
      <xsd:simpleType>
        <xsd:restriction base="dms:DateTime"/>
      </xsd:simpleType>
    </xsd:element>
    <xsd:element name="Original_x0020_Author" ma:index="12" nillable="true" ma:displayName="Original Author" ma:hidden="true" ma:internalName="Original_x0020_Author" ma:readOnly="false">
      <xsd:simpleType>
        <xsd:restriction base="dms:Text">
          <xsd:maxLength value="255"/>
        </xsd:restriction>
      </xsd:simpleType>
    </xsd:element>
    <xsd:element name="Original_x0020_Created" ma:index="13" nillable="true" ma:displayName="Original Created" ma:format="DateTime" ma:hidden="true" ma:internalName="Original_x0020_Created" ma:readOnly="false">
      <xsd:simpleType>
        <xsd:restriction base="dms:DateTime"/>
      </xsd:simpleType>
    </xsd:element>
    <xsd:element name="Original_x0020_Producer" ma:index="14" nillable="true" ma:displayName="Original Producer" ma:hidden="true" ma:internalName="Original_x0020_Producer"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461a764-44f5-4c3f-b1bf-b7d62b8d65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37a94-3ab4-42af-aa08-2e2d101c9c62" elementFormDefault="qualified">
    <xsd:import namespace="http://schemas.microsoft.com/office/2006/documentManagement/types"/>
    <xsd:import namespace="http://schemas.microsoft.com/office/infopath/2007/PartnerControls"/>
    <xsd:element name="mvAttach_x005f_x0020_Count" ma:index="17" nillable="true" ma:displayName="Attach Count" ma:description="" ma:hidden="true" ma:internalName="mvAttach_x0020_Count">
      <xsd:simpleType>
        <xsd:restriction base="dms:Text"/>
      </xsd:simpleType>
    </xsd:element>
    <xsd:element name="TaxCatchAll" ma:index="34" nillable="true" ma:displayName="Taxonomy Catch All Column" ma:hidden="true" ma:list="{f1b32986-05fd-47d5-af09-01b23f7dd7cd}" ma:internalName="TaxCatchAll" ma:showField="CatchAllData" ma:web="bfd68f37-da20-4db0-b75f-aecb8a4fc0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68f37-da20-4db0-b75f-aecb8a4fc0e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75743-1D31-4EE7-B7E6-9C18042C73AF}">
  <ds:schemaRefs>
    <ds:schemaRef ds:uri="http://schemas.microsoft.com/office/2006/metadata/properties"/>
    <ds:schemaRef ds:uri="http://schemas.microsoft.com/office/infopath/2007/PartnerControls"/>
    <ds:schemaRef ds:uri="http://schemas.microsoft.com/sharepoint/v3"/>
    <ds:schemaRef ds:uri="73f37a94-3ab4-42af-aa08-2e2d101c9c62"/>
    <ds:schemaRef ds:uri="ffbb6407-9812-4f09-84d4-c8c3e7a52d0d"/>
  </ds:schemaRefs>
</ds:datastoreItem>
</file>

<file path=customXml/itemProps2.xml><?xml version="1.0" encoding="utf-8"?>
<ds:datastoreItem xmlns:ds="http://schemas.openxmlformats.org/officeDocument/2006/customXml" ds:itemID="{39813640-E7E2-4332-8B37-AAA3391E2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bb6407-9812-4f09-84d4-c8c3e7a52d0d"/>
    <ds:schemaRef ds:uri="73f37a94-3ab4-42af-aa08-2e2d101c9c62"/>
    <ds:schemaRef ds:uri="bfd68f37-da20-4db0-b75f-aecb8a4fc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86C5D-2E29-43F8-BFD2-54BFFF7E0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Land Securities Properties Limited</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Maria Smout</cp:lastModifiedBy>
  <cp:revision>44</cp:revision>
  <cp:lastPrinted>2017-07-12T10:22:00Z</cp:lastPrinted>
  <dcterms:created xsi:type="dcterms:W3CDTF">2024-07-03T09:49:00Z</dcterms:created>
  <dcterms:modified xsi:type="dcterms:W3CDTF">2025-07-10T08:10:00Z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0x010100CFF2076E79D9FB449760477F6E420CBF</vt:lpwstr>
  </property>
  <property fmtid="{D5CDD505-2E9C-101B-9397-08002B2CF9AE}" pid="3" name="Order">
    <vt:r8>44000</vt:r8>
  </property>
  <property fmtid="{D5CDD505-2E9C-101B-9397-08002B2CF9AE}" pid="4" name="MSIP_Label_e2a0656d-6ff7-4828-812c-96b3a3fdf02f_Enabled">
    <vt:lpwstr>true</vt:lpwstr>
  </property>
  <property fmtid="{D5CDD505-2E9C-101B-9397-08002B2CF9AE}" pid="5" name="MSIP_Label_e2a0656d-6ff7-4828-812c-96b3a3fdf02f_SetDate">
    <vt:lpwstr>2021-04-27T07:26:48Z</vt:lpwstr>
  </property>
  <property fmtid="{D5CDD505-2E9C-101B-9397-08002B2CF9AE}" pid="6" name="MSIP_Label_e2a0656d-6ff7-4828-812c-96b3a3fdf02f_Method">
    <vt:lpwstr>Privileged</vt:lpwstr>
  </property>
  <property fmtid="{D5CDD505-2E9C-101B-9397-08002B2CF9AE}" pid="7" name="MSIP_Label_e2a0656d-6ff7-4828-812c-96b3a3fdf02f_Name">
    <vt:lpwstr>Confidential</vt:lpwstr>
  </property>
  <property fmtid="{D5CDD505-2E9C-101B-9397-08002B2CF9AE}" pid="8" name="MSIP_Label_e2a0656d-6ff7-4828-812c-96b3a3fdf02f_SiteId">
    <vt:lpwstr>555f73fc-4e80-4ea2-9b63-84224832cced</vt:lpwstr>
  </property>
  <property fmtid="{D5CDD505-2E9C-101B-9397-08002B2CF9AE}" pid="9" name="MSIP_Label_e2a0656d-6ff7-4828-812c-96b3a3fdf02f_ActionId">
    <vt:lpwstr>ff441b81-af53-403d-9936-e95a0c1aa328</vt:lpwstr>
  </property>
  <property fmtid="{D5CDD505-2E9C-101B-9397-08002B2CF9AE}" pid="10" name="MSIP_Label_e2a0656d-6ff7-4828-812c-96b3a3fdf02f_ContentBits">
    <vt:lpwstr>0</vt:lpwstr>
  </property>
  <property fmtid="{D5CDD505-2E9C-101B-9397-08002B2CF9AE}" pid="11" name="MediaServiceImageTags">
    <vt:lpwstr/>
  </property>
</Properties>
</file>