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4F2C" w14:textId="67F6D5D6" w:rsidR="00194F2C" w:rsidRPr="005529D5" w:rsidRDefault="00161914" w:rsidP="00194F2C">
      <w:pPr>
        <w:pBdr>
          <w:bottom w:val="single" w:sz="8" w:space="1" w:color="55565A"/>
        </w:pBdr>
        <w:spacing w:after="0" w:line="240" w:lineRule="auto"/>
        <w:rPr>
          <w:rFonts w:ascii="Gotham Light" w:hAnsi="Gotham Light"/>
          <w:b/>
          <w:sz w:val="20"/>
          <w:szCs w:val="20"/>
        </w:rPr>
      </w:pPr>
      <w:r>
        <w:rPr>
          <w:rFonts w:ascii="Gotham Light" w:hAnsi="Gotham Light"/>
          <w:b/>
          <w:sz w:val="20"/>
          <w:szCs w:val="20"/>
        </w:rPr>
        <w:t>21 March</w:t>
      </w:r>
      <w:r w:rsidR="008D4B7D" w:rsidRPr="005529D5">
        <w:rPr>
          <w:rFonts w:ascii="Gotham Light" w:hAnsi="Gotham Light"/>
          <w:b/>
          <w:sz w:val="20"/>
          <w:szCs w:val="20"/>
        </w:rPr>
        <w:t xml:space="preserve"> 202</w:t>
      </w:r>
      <w:r w:rsidR="00231A2E">
        <w:rPr>
          <w:rFonts w:ascii="Gotham Light" w:hAnsi="Gotham Light"/>
          <w:b/>
          <w:sz w:val="20"/>
          <w:szCs w:val="20"/>
        </w:rPr>
        <w:t>2</w:t>
      </w:r>
    </w:p>
    <w:p w14:paraId="77B733E2" w14:textId="77777777" w:rsidR="00B913BD" w:rsidRPr="005529D5" w:rsidRDefault="00B913BD" w:rsidP="00275E30">
      <w:pPr>
        <w:pBdr>
          <w:bottom w:val="single" w:sz="8" w:space="1" w:color="55565A"/>
        </w:pBdr>
        <w:spacing w:after="0" w:line="240" w:lineRule="auto"/>
        <w:jc w:val="center"/>
        <w:rPr>
          <w:rFonts w:ascii="Gotham Light" w:hAnsi="Gotham Light"/>
          <w:b/>
          <w:color w:val="55565A"/>
          <w:sz w:val="24"/>
          <w:szCs w:val="28"/>
        </w:rPr>
      </w:pPr>
      <w:r w:rsidRPr="005529D5">
        <w:rPr>
          <w:rFonts w:ascii="Gotham Light" w:hAnsi="Gotham Light"/>
          <w:b/>
          <w:color w:val="55565A"/>
          <w:sz w:val="24"/>
          <w:szCs w:val="28"/>
        </w:rPr>
        <w:t xml:space="preserve">HELICAL PLC </w:t>
      </w:r>
    </w:p>
    <w:p w14:paraId="4A4E4A54" w14:textId="6D31ECC5" w:rsidR="009243A7" w:rsidRPr="005529D5" w:rsidRDefault="00B913BD" w:rsidP="00275E30">
      <w:pPr>
        <w:pBdr>
          <w:bottom w:val="single" w:sz="8" w:space="1" w:color="55565A"/>
        </w:pBdr>
        <w:spacing w:after="0" w:line="240" w:lineRule="auto"/>
        <w:jc w:val="center"/>
        <w:rPr>
          <w:rFonts w:ascii="Gotham Light" w:hAnsi="Gotham Light"/>
          <w:b/>
          <w:color w:val="55565A"/>
          <w:sz w:val="24"/>
          <w:szCs w:val="28"/>
        </w:rPr>
      </w:pPr>
      <w:r w:rsidRPr="005529D5">
        <w:rPr>
          <w:rFonts w:ascii="Gotham Light" w:hAnsi="Gotham Light"/>
          <w:b/>
          <w:color w:val="55565A"/>
          <w:sz w:val="24"/>
          <w:szCs w:val="28"/>
        </w:rPr>
        <w:t xml:space="preserve">(“Helical” or </w:t>
      </w:r>
      <w:r w:rsidR="00654A7E" w:rsidRPr="005529D5">
        <w:rPr>
          <w:rFonts w:ascii="Gotham Light" w:hAnsi="Gotham Light"/>
          <w:b/>
          <w:color w:val="55565A"/>
          <w:sz w:val="24"/>
          <w:szCs w:val="28"/>
        </w:rPr>
        <w:t xml:space="preserve">the </w:t>
      </w:r>
      <w:r w:rsidRPr="005529D5">
        <w:rPr>
          <w:rFonts w:ascii="Gotham Light" w:hAnsi="Gotham Light"/>
          <w:b/>
          <w:color w:val="55565A"/>
          <w:sz w:val="24"/>
          <w:szCs w:val="28"/>
        </w:rPr>
        <w:t>“Company”)</w:t>
      </w:r>
    </w:p>
    <w:p w14:paraId="317F1507" w14:textId="0EF6D20F" w:rsidR="00876CCF" w:rsidRPr="005529D5" w:rsidRDefault="00161914" w:rsidP="005357CE">
      <w:pPr>
        <w:pBdr>
          <w:bottom w:val="single" w:sz="8" w:space="1" w:color="55565A"/>
        </w:pBdr>
        <w:spacing w:after="120" w:line="240" w:lineRule="auto"/>
        <w:jc w:val="center"/>
        <w:rPr>
          <w:rFonts w:ascii="Gotham Light" w:hAnsi="Gotham Light"/>
          <w:b/>
          <w:color w:val="BE744A"/>
          <w:sz w:val="24"/>
          <w:szCs w:val="20"/>
        </w:rPr>
      </w:pPr>
      <w:r w:rsidRPr="00161914">
        <w:rPr>
          <w:rFonts w:ascii="Gotham Light" w:hAnsi="Gotham Light"/>
          <w:b/>
          <w:color w:val="BE744A"/>
          <w:sz w:val="24"/>
          <w:szCs w:val="20"/>
        </w:rPr>
        <w:t>Results of General Meeting – Proposed (</w:t>
      </w:r>
      <w:proofErr w:type="spellStart"/>
      <w:r w:rsidRPr="00161914">
        <w:rPr>
          <w:rFonts w:ascii="Gotham Light" w:hAnsi="Gotham Light"/>
          <w:b/>
          <w:color w:val="BE744A"/>
          <w:sz w:val="24"/>
          <w:szCs w:val="20"/>
        </w:rPr>
        <w:t>i</w:t>
      </w:r>
      <w:proofErr w:type="spellEnd"/>
      <w:r w:rsidRPr="00161914">
        <w:rPr>
          <w:rFonts w:ascii="Gotham Light" w:hAnsi="Gotham Light"/>
          <w:b/>
          <w:color w:val="BE744A"/>
          <w:sz w:val="24"/>
          <w:szCs w:val="20"/>
        </w:rPr>
        <w:t>) buy-back and cancellation of Deferred Shares and (ii) amendments to articles of association in connection with becoming a REIT</w:t>
      </w:r>
    </w:p>
    <w:p w14:paraId="479E0C78" w14:textId="549E7AE8" w:rsidR="005357CE" w:rsidRPr="005529D5" w:rsidRDefault="005357CE" w:rsidP="005357CE">
      <w:pPr>
        <w:pStyle w:val="NoSpacing"/>
        <w:jc w:val="both"/>
        <w:rPr>
          <w:rFonts w:ascii="Gotham Light" w:hAnsi="Gotham Light"/>
          <w:sz w:val="20"/>
          <w:szCs w:val="20"/>
        </w:rPr>
      </w:pPr>
    </w:p>
    <w:p w14:paraId="7F08BD8A"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sz w:val="20"/>
          <w:szCs w:val="20"/>
        </w:rPr>
        <w:t>On 25 February 2022, Helical published its circular (the "</w:t>
      </w:r>
      <w:r w:rsidRPr="00161914">
        <w:rPr>
          <w:rFonts w:ascii="Gotham Light" w:hAnsi="Gotham Light" w:cs="Times New Roman"/>
          <w:b/>
          <w:bCs/>
          <w:sz w:val="20"/>
          <w:szCs w:val="20"/>
        </w:rPr>
        <w:t>Circular</w:t>
      </w:r>
      <w:r w:rsidRPr="00161914">
        <w:rPr>
          <w:rFonts w:ascii="Gotham Light" w:hAnsi="Gotham Light" w:cs="Times New Roman"/>
          <w:sz w:val="20"/>
          <w:szCs w:val="20"/>
        </w:rPr>
        <w:t>") containing a notice of General Meeting in relation to the proposed ordinary resolution to approve the buy-back and cancellation of the Company's Deferred Shares and the proposed special resolution to approve amendments to the Articles in connection with becoming a REIT (the "</w:t>
      </w:r>
      <w:r w:rsidRPr="00161914">
        <w:rPr>
          <w:rFonts w:ascii="Gotham Light" w:hAnsi="Gotham Light" w:cs="Times New Roman"/>
          <w:b/>
          <w:bCs/>
          <w:sz w:val="20"/>
          <w:szCs w:val="20"/>
        </w:rPr>
        <w:t>Resolutions</w:t>
      </w:r>
      <w:r w:rsidRPr="00161914">
        <w:rPr>
          <w:rFonts w:ascii="Gotham Light" w:hAnsi="Gotham Light" w:cs="Times New Roman"/>
          <w:sz w:val="20"/>
          <w:szCs w:val="20"/>
        </w:rPr>
        <w:t xml:space="preserve">"). </w:t>
      </w:r>
    </w:p>
    <w:p w14:paraId="0D5C419C"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sz w:val="20"/>
          <w:szCs w:val="20"/>
        </w:rPr>
        <w:t>At the General Meeting held earlier today, the Resolutions were duly passed by Shareholders in attendance on a show of hands. Proxies lodged before the General Meeting are set out below:</w:t>
      </w:r>
    </w:p>
    <w:tbl>
      <w:tblPr>
        <w:tblStyle w:val="TableGrid"/>
        <w:tblW w:w="0" w:type="auto"/>
        <w:jc w:val="center"/>
        <w:tblLook w:val="04A0" w:firstRow="1" w:lastRow="0" w:firstColumn="1" w:lastColumn="0" w:noHBand="0" w:noVBand="1"/>
      </w:tblPr>
      <w:tblGrid>
        <w:gridCol w:w="2118"/>
        <w:gridCol w:w="1214"/>
        <w:gridCol w:w="1100"/>
        <w:gridCol w:w="1114"/>
        <w:gridCol w:w="1109"/>
        <w:gridCol w:w="1229"/>
        <w:gridCol w:w="1132"/>
      </w:tblGrid>
      <w:tr w:rsidR="00161914" w:rsidRPr="00161914" w14:paraId="4174C4A3" w14:textId="77777777" w:rsidTr="002725C6">
        <w:trPr>
          <w:jc w:val="center"/>
        </w:trPr>
        <w:tc>
          <w:tcPr>
            <w:tcW w:w="2148" w:type="dxa"/>
          </w:tcPr>
          <w:p w14:paraId="274DB57F"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Resolutions</w:t>
            </w:r>
          </w:p>
        </w:tc>
        <w:tc>
          <w:tcPr>
            <w:tcW w:w="1124" w:type="dxa"/>
          </w:tcPr>
          <w:p w14:paraId="6B3888F9"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Number of votes for*</w:t>
            </w:r>
          </w:p>
        </w:tc>
        <w:tc>
          <w:tcPr>
            <w:tcW w:w="1121" w:type="dxa"/>
          </w:tcPr>
          <w:p w14:paraId="72EBAF5E"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 xml:space="preserve">% </w:t>
            </w:r>
            <w:proofErr w:type="gramStart"/>
            <w:r w:rsidRPr="00161914">
              <w:rPr>
                <w:rFonts w:ascii="Gotham Light" w:hAnsi="Gotham Light" w:cs="Times New Roman"/>
                <w:sz w:val="18"/>
                <w:szCs w:val="18"/>
              </w:rPr>
              <w:t>of</w:t>
            </w:r>
            <w:proofErr w:type="gramEnd"/>
            <w:r w:rsidRPr="00161914">
              <w:rPr>
                <w:rFonts w:ascii="Gotham Light" w:hAnsi="Gotham Light" w:cs="Times New Roman"/>
                <w:sz w:val="18"/>
                <w:szCs w:val="18"/>
              </w:rPr>
              <w:t xml:space="preserve"> votes for</w:t>
            </w:r>
          </w:p>
        </w:tc>
        <w:tc>
          <w:tcPr>
            <w:tcW w:w="1124" w:type="dxa"/>
          </w:tcPr>
          <w:p w14:paraId="56B38D2D"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Number of votes against</w:t>
            </w:r>
          </w:p>
        </w:tc>
        <w:tc>
          <w:tcPr>
            <w:tcW w:w="1123" w:type="dxa"/>
          </w:tcPr>
          <w:p w14:paraId="413BE412"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 xml:space="preserve">% </w:t>
            </w:r>
            <w:proofErr w:type="gramStart"/>
            <w:r w:rsidRPr="00161914">
              <w:rPr>
                <w:rFonts w:ascii="Gotham Light" w:hAnsi="Gotham Light" w:cs="Times New Roman"/>
                <w:sz w:val="18"/>
                <w:szCs w:val="18"/>
              </w:rPr>
              <w:t>of</w:t>
            </w:r>
            <w:proofErr w:type="gramEnd"/>
            <w:r w:rsidRPr="00161914">
              <w:rPr>
                <w:rFonts w:ascii="Gotham Light" w:hAnsi="Gotham Light" w:cs="Times New Roman"/>
                <w:sz w:val="18"/>
                <w:szCs w:val="18"/>
              </w:rPr>
              <w:t xml:space="preserve"> votes against</w:t>
            </w:r>
          </w:p>
        </w:tc>
        <w:tc>
          <w:tcPr>
            <w:tcW w:w="1124" w:type="dxa"/>
          </w:tcPr>
          <w:p w14:paraId="31A94F85"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Total number of votes</w:t>
            </w:r>
          </w:p>
        </w:tc>
        <w:tc>
          <w:tcPr>
            <w:tcW w:w="1127" w:type="dxa"/>
          </w:tcPr>
          <w:p w14:paraId="475C7802"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Number of votes withheld**</w:t>
            </w:r>
          </w:p>
        </w:tc>
      </w:tr>
      <w:tr w:rsidR="00161914" w:rsidRPr="00161914" w14:paraId="1E146AFC" w14:textId="77777777" w:rsidTr="009A02D1">
        <w:trPr>
          <w:trHeight w:val="3655"/>
          <w:jc w:val="center"/>
        </w:trPr>
        <w:tc>
          <w:tcPr>
            <w:tcW w:w="2148" w:type="dxa"/>
          </w:tcPr>
          <w:p w14:paraId="37A867E0"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b/>
                <w:bCs/>
                <w:i/>
                <w:iCs/>
                <w:sz w:val="18"/>
                <w:szCs w:val="18"/>
              </w:rPr>
              <w:t>Ordinary resolution</w:t>
            </w:r>
            <w:r w:rsidRPr="00161914">
              <w:rPr>
                <w:rFonts w:ascii="Gotham Light" w:hAnsi="Gotham Light" w:cs="Times New Roman"/>
                <w:sz w:val="18"/>
                <w:szCs w:val="18"/>
              </w:rPr>
              <w:t>:</w:t>
            </w:r>
            <w:r w:rsidRPr="00161914">
              <w:rPr>
                <w:rFonts w:ascii="Gotham Light" w:hAnsi="Gotham Light" w:cs="Times New Roman"/>
                <w:i/>
                <w:iCs/>
                <w:sz w:val="18"/>
                <w:szCs w:val="18"/>
              </w:rPr>
              <w:t xml:space="preserve"> </w:t>
            </w:r>
            <w:r w:rsidRPr="00161914">
              <w:rPr>
                <w:rFonts w:ascii="Gotham Light" w:hAnsi="Gotham Light" w:cs="Times New Roman"/>
                <w:sz w:val="18"/>
                <w:szCs w:val="18"/>
              </w:rPr>
              <w:t>Approval of the Company's entry into and performance of its obligations under the Buy-Back Agreement to be entered into between the Company and the Sellers' Representative (as defined therein) in relation to the purchase and cancellation of the Deferred Shares</w:t>
            </w:r>
          </w:p>
        </w:tc>
        <w:tc>
          <w:tcPr>
            <w:tcW w:w="1124" w:type="dxa"/>
          </w:tcPr>
          <w:p w14:paraId="52A5BADD"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97,943,097</w:t>
            </w:r>
          </w:p>
        </w:tc>
        <w:tc>
          <w:tcPr>
            <w:tcW w:w="1121" w:type="dxa"/>
          </w:tcPr>
          <w:p w14:paraId="3AFE9CDB"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99.99</w:t>
            </w:r>
          </w:p>
        </w:tc>
        <w:tc>
          <w:tcPr>
            <w:tcW w:w="1124" w:type="dxa"/>
          </w:tcPr>
          <w:p w14:paraId="54D45EF7"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1,953</w:t>
            </w:r>
          </w:p>
        </w:tc>
        <w:tc>
          <w:tcPr>
            <w:tcW w:w="1123" w:type="dxa"/>
          </w:tcPr>
          <w:p w14:paraId="724C08A9"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0.01</w:t>
            </w:r>
          </w:p>
        </w:tc>
        <w:tc>
          <w:tcPr>
            <w:tcW w:w="1124" w:type="dxa"/>
          </w:tcPr>
          <w:p w14:paraId="69F540EA"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97,945,050</w:t>
            </w:r>
          </w:p>
        </w:tc>
        <w:tc>
          <w:tcPr>
            <w:tcW w:w="1127" w:type="dxa"/>
          </w:tcPr>
          <w:p w14:paraId="00C8453A"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90</w:t>
            </w:r>
          </w:p>
        </w:tc>
      </w:tr>
      <w:tr w:rsidR="00161914" w:rsidRPr="00161914" w14:paraId="41204D43" w14:textId="77777777" w:rsidTr="002725C6">
        <w:trPr>
          <w:jc w:val="center"/>
        </w:trPr>
        <w:tc>
          <w:tcPr>
            <w:tcW w:w="2148" w:type="dxa"/>
          </w:tcPr>
          <w:p w14:paraId="1058FFC5"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b/>
                <w:bCs/>
                <w:i/>
                <w:iCs/>
                <w:sz w:val="18"/>
                <w:szCs w:val="18"/>
              </w:rPr>
              <w:t>Special resolution</w:t>
            </w:r>
            <w:r w:rsidRPr="00161914">
              <w:rPr>
                <w:rFonts w:ascii="Gotham Light" w:hAnsi="Gotham Light" w:cs="Times New Roman"/>
                <w:sz w:val="18"/>
                <w:szCs w:val="18"/>
              </w:rPr>
              <w:t>: Approval of the Company's adoption of the New Articles in substitution for and to the exclusion of the Articles</w:t>
            </w:r>
          </w:p>
        </w:tc>
        <w:tc>
          <w:tcPr>
            <w:tcW w:w="1124" w:type="dxa"/>
          </w:tcPr>
          <w:p w14:paraId="4158ECB7"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97,943,097</w:t>
            </w:r>
          </w:p>
        </w:tc>
        <w:tc>
          <w:tcPr>
            <w:tcW w:w="1121" w:type="dxa"/>
          </w:tcPr>
          <w:p w14:paraId="0B7DF6E5"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99.99</w:t>
            </w:r>
          </w:p>
        </w:tc>
        <w:tc>
          <w:tcPr>
            <w:tcW w:w="1124" w:type="dxa"/>
          </w:tcPr>
          <w:p w14:paraId="7A757938"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1,953</w:t>
            </w:r>
          </w:p>
        </w:tc>
        <w:tc>
          <w:tcPr>
            <w:tcW w:w="1123" w:type="dxa"/>
          </w:tcPr>
          <w:p w14:paraId="07B844DF"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0.01</w:t>
            </w:r>
          </w:p>
        </w:tc>
        <w:tc>
          <w:tcPr>
            <w:tcW w:w="1124" w:type="dxa"/>
          </w:tcPr>
          <w:p w14:paraId="4336C54D"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97,945,050</w:t>
            </w:r>
          </w:p>
        </w:tc>
        <w:tc>
          <w:tcPr>
            <w:tcW w:w="1127" w:type="dxa"/>
          </w:tcPr>
          <w:p w14:paraId="273BEDD8" w14:textId="77777777" w:rsidR="00161914" w:rsidRPr="00161914" w:rsidRDefault="00161914" w:rsidP="00161914">
            <w:pPr>
              <w:spacing w:after="160" w:line="259" w:lineRule="auto"/>
              <w:jc w:val="both"/>
              <w:rPr>
                <w:rFonts w:ascii="Gotham Light" w:hAnsi="Gotham Light" w:cs="Times New Roman"/>
                <w:sz w:val="18"/>
                <w:szCs w:val="18"/>
              </w:rPr>
            </w:pPr>
            <w:r w:rsidRPr="00161914">
              <w:rPr>
                <w:rFonts w:ascii="Gotham Light" w:hAnsi="Gotham Light" w:cs="Times New Roman"/>
                <w:sz w:val="18"/>
                <w:szCs w:val="18"/>
              </w:rPr>
              <w:t>90</w:t>
            </w:r>
          </w:p>
        </w:tc>
      </w:tr>
    </w:tbl>
    <w:p w14:paraId="7C869B6A" w14:textId="77777777" w:rsidR="00161914" w:rsidRDefault="00161914" w:rsidP="00161914">
      <w:pPr>
        <w:jc w:val="both"/>
        <w:rPr>
          <w:rFonts w:ascii="Gotham Light" w:hAnsi="Gotham Light" w:cs="Times New Roman"/>
          <w:b/>
          <w:bCs/>
          <w:sz w:val="20"/>
          <w:szCs w:val="20"/>
        </w:rPr>
      </w:pPr>
    </w:p>
    <w:p w14:paraId="065A0703" w14:textId="77777777" w:rsidR="00161914" w:rsidRDefault="00161914" w:rsidP="00161914">
      <w:pPr>
        <w:jc w:val="both"/>
        <w:rPr>
          <w:rFonts w:ascii="Gotham Light" w:hAnsi="Gotham Light" w:cs="Times New Roman"/>
          <w:b/>
          <w:bCs/>
          <w:sz w:val="20"/>
          <w:szCs w:val="20"/>
        </w:rPr>
      </w:pPr>
    </w:p>
    <w:p w14:paraId="304CFB27" w14:textId="53051DEE" w:rsidR="00161914" w:rsidRDefault="00161914" w:rsidP="00161914">
      <w:pPr>
        <w:spacing w:after="0"/>
        <w:jc w:val="both"/>
        <w:rPr>
          <w:rFonts w:ascii="Gotham Light" w:hAnsi="Gotham Light" w:cs="Times New Roman"/>
          <w:b/>
          <w:bCs/>
          <w:sz w:val="20"/>
          <w:szCs w:val="20"/>
        </w:rPr>
      </w:pPr>
      <w:r w:rsidRPr="00161914">
        <w:rPr>
          <w:rFonts w:ascii="Gotham Light" w:hAnsi="Gotham Light" w:cs="Times New Roman"/>
          <w:b/>
          <w:bCs/>
          <w:sz w:val="20"/>
          <w:szCs w:val="20"/>
        </w:rPr>
        <w:lastRenderedPageBreak/>
        <w:t>Notes:</w:t>
      </w:r>
    </w:p>
    <w:p w14:paraId="61589F31" w14:textId="144BC85C" w:rsidR="00161914" w:rsidRPr="00161914" w:rsidRDefault="00161914" w:rsidP="00161914">
      <w:pPr>
        <w:spacing w:after="0"/>
        <w:jc w:val="both"/>
        <w:rPr>
          <w:rFonts w:ascii="Gotham Light" w:hAnsi="Gotham Light" w:cs="Times New Roman"/>
          <w:b/>
          <w:bCs/>
          <w:sz w:val="20"/>
          <w:szCs w:val="20"/>
        </w:rPr>
      </w:pPr>
      <w:r>
        <w:rPr>
          <w:rFonts w:ascii="Gotham Light" w:hAnsi="Gotham Light" w:cs="Times New Roman"/>
          <w:b/>
          <w:bCs/>
          <w:sz w:val="20"/>
          <w:szCs w:val="20"/>
        </w:rPr>
        <w:t>*</w:t>
      </w:r>
      <w:r w:rsidRPr="00161914">
        <w:rPr>
          <w:rFonts w:ascii="Gotham Light" w:hAnsi="Gotham Light" w:cs="Times New Roman"/>
          <w:sz w:val="20"/>
          <w:szCs w:val="20"/>
        </w:rPr>
        <w:t>Includes discretionary votes.</w:t>
      </w:r>
    </w:p>
    <w:p w14:paraId="1FE00B45" w14:textId="6D7CF7D4" w:rsidR="00161914" w:rsidRDefault="00161914" w:rsidP="00161914">
      <w:pPr>
        <w:spacing w:after="0"/>
        <w:jc w:val="both"/>
        <w:rPr>
          <w:rFonts w:ascii="Gotham Light" w:hAnsi="Gotham Light" w:cs="Times New Roman"/>
          <w:sz w:val="20"/>
          <w:szCs w:val="20"/>
        </w:rPr>
      </w:pPr>
      <w:r w:rsidRPr="00161914">
        <w:rPr>
          <w:rFonts w:ascii="Gotham Light" w:hAnsi="Gotham Light" w:cs="Times New Roman"/>
          <w:b/>
          <w:bCs/>
          <w:sz w:val="20"/>
          <w:szCs w:val="20"/>
        </w:rPr>
        <w:t xml:space="preserve">** </w:t>
      </w:r>
      <w:r w:rsidRPr="00161914">
        <w:rPr>
          <w:rFonts w:ascii="Gotham Light" w:hAnsi="Gotham Light" w:cs="Times New Roman"/>
          <w:sz w:val="20"/>
          <w:szCs w:val="20"/>
        </w:rPr>
        <w:t>A "vote withheld" is not a vote in law and is not counted in the calculation of the votes for against a resolution.</w:t>
      </w:r>
    </w:p>
    <w:p w14:paraId="6E3C62D8" w14:textId="77777777" w:rsidR="00161914" w:rsidRPr="00161914" w:rsidRDefault="00161914" w:rsidP="00161914">
      <w:pPr>
        <w:spacing w:after="0"/>
        <w:jc w:val="both"/>
        <w:rPr>
          <w:rFonts w:ascii="Gotham Light" w:hAnsi="Gotham Light" w:cs="Times New Roman"/>
          <w:sz w:val="20"/>
          <w:szCs w:val="20"/>
        </w:rPr>
      </w:pPr>
    </w:p>
    <w:p w14:paraId="711D2231" w14:textId="77777777" w:rsidR="00161914" w:rsidRPr="00161914" w:rsidRDefault="00161914" w:rsidP="00161914">
      <w:pPr>
        <w:jc w:val="both"/>
        <w:rPr>
          <w:rFonts w:ascii="Gotham Light" w:hAnsi="Gotham Light" w:cs="Times New Roman"/>
          <w:sz w:val="20"/>
          <w:szCs w:val="20"/>
        </w:rPr>
      </w:pPr>
      <w:bookmarkStart w:id="0" w:name="_Hlk96004005"/>
      <w:r w:rsidRPr="00161914">
        <w:rPr>
          <w:rFonts w:ascii="Gotham Light" w:hAnsi="Gotham Light" w:cs="Times New Roman"/>
          <w:sz w:val="20"/>
          <w:szCs w:val="20"/>
        </w:rPr>
        <w:t>As at the date of the General Meeting, the total number of shares with voting rights in the Company is 122,325,413.</w:t>
      </w:r>
    </w:p>
    <w:bookmarkEnd w:id="0"/>
    <w:p w14:paraId="05B5A0A0"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bCs/>
          <w:sz w:val="20"/>
          <w:szCs w:val="20"/>
        </w:rPr>
        <w:t xml:space="preserve">In accordance with Listing Rules 9.6.2R and 14.3.6R(2), a copy of the Resolutions passed at the General Meeting will shortly be submitted to the FCA's National Storage Mechanism and can be viewed at </w:t>
      </w:r>
      <w:hyperlink r:id="rId8" w:history="1">
        <w:r w:rsidRPr="00161914">
          <w:rPr>
            <w:rStyle w:val="Hyperlink"/>
            <w:rFonts w:ascii="Gotham Light" w:hAnsi="Gotham Light" w:cs="Times New Roman"/>
            <w:sz w:val="20"/>
            <w:szCs w:val="20"/>
          </w:rPr>
          <w:t>https://data.fca.org.uk/#/nsm/nationalstoragemechanism</w:t>
        </w:r>
      </w:hyperlink>
      <w:r w:rsidRPr="00161914">
        <w:rPr>
          <w:rFonts w:ascii="Gotham Light" w:hAnsi="Gotham Light" w:cs="Times New Roman"/>
          <w:bCs/>
          <w:sz w:val="20"/>
          <w:szCs w:val="20"/>
        </w:rPr>
        <w:t>.</w:t>
      </w:r>
    </w:p>
    <w:p w14:paraId="23DFC01E" w14:textId="77777777" w:rsidR="00161914" w:rsidRPr="00161914" w:rsidRDefault="00161914" w:rsidP="00161914">
      <w:pPr>
        <w:jc w:val="both"/>
        <w:rPr>
          <w:rFonts w:ascii="Gotham Light" w:hAnsi="Gotham Light" w:cs="Times New Roman"/>
          <w:bCs/>
          <w:sz w:val="20"/>
          <w:szCs w:val="20"/>
        </w:rPr>
      </w:pPr>
      <w:r w:rsidRPr="00161914">
        <w:rPr>
          <w:rFonts w:ascii="Gotham Light" w:hAnsi="Gotham Light" w:cs="Times New Roman"/>
          <w:bCs/>
          <w:sz w:val="20"/>
          <w:szCs w:val="20"/>
        </w:rPr>
        <w:t xml:space="preserve">Unless otherwise defined, capitalised terms used in this announcement (including in the Important Notice below) have the meanings given to them in the Circular, which is available on the Company's website at </w:t>
      </w:r>
      <w:hyperlink r:id="rId9" w:history="1">
        <w:r w:rsidRPr="00161914">
          <w:rPr>
            <w:rStyle w:val="Hyperlink"/>
            <w:rFonts w:ascii="Gotham Light" w:hAnsi="Gotham Light" w:cs="Times New Roman"/>
            <w:bCs/>
            <w:sz w:val="20"/>
            <w:szCs w:val="20"/>
          </w:rPr>
          <w:t>https://www.helical.co.uk/investors/shareholder-information/egm/</w:t>
        </w:r>
      </w:hyperlink>
      <w:r w:rsidRPr="00161914">
        <w:rPr>
          <w:rFonts w:ascii="Gotham Light" w:hAnsi="Gotham Light" w:cs="Times New Roman"/>
          <w:bCs/>
          <w:sz w:val="20"/>
          <w:szCs w:val="20"/>
        </w:rPr>
        <w:t xml:space="preserve">. </w:t>
      </w:r>
    </w:p>
    <w:p w14:paraId="73F74BA5" w14:textId="77777777" w:rsidR="00161914" w:rsidRDefault="00161914" w:rsidP="00161914">
      <w:pPr>
        <w:jc w:val="both"/>
        <w:rPr>
          <w:rFonts w:ascii="Gotham Light" w:hAnsi="Gotham Light" w:cs="Times New Roman"/>
          <w:b/>
          <w:sz w:val="20"/>
          <w:szCs w:val="20"/>
        </w:rPr>
      </w:pPr>
    </w:p>
    <w:p w14:paraId="59D9F5E5" w14:textId="1DA8E8CA" w:rsidR="00161914" w:rsidRPr="00161914" w:rsidRDefault="00161914" w:rsidP="00161914">
      <w:pPr>
        <w:jc w:val="both"/>
        <w:rPr>
          <w:rFonts w:ascii="Gotham Light" w:hAnsi="Gotham Light" w:cs="Times New Roman"/>
          <w:b/>
          <w:sz w:val="20"/>
          <w:szCs w:val="20"/>
          <w:u w:val="single"/>
        </w:rPr>
      </w:pPr>
      <w:r w:rsidRPr="00161914">
        <w:rPr>
          <w:rFonts w:ascii="Gotham Light" w:hAnsi="Gotham Light" w:cs="Times New Roman"/>
          <w:b/>
          <w:sz w:val="20"/>
          <w:szCs w:val="20"/>
          <w:u w:val="single"/>
        </w:rPr>
        <w:t>For further information please contact:</w:t>
      </w:r>
    </w:p>
    <w:p w14:paraId="19BB3879" w14:textId="77777777" w:rsidR="00161914" w:rsidRPr="00161914" w:rsidRDefault="00161914" w:rsidP="00161914">
      <w:pPr>
        <w:jc w:val="both"/>
        <w:rPr>
          <w:rFonts w:ascii="Gotham Light" w:hAnsi="Gotham Light" w:cs="Times New Roman"/>
          <w:b/>
          <w:sz w:val="20"/>
          <w:szCs w:val="20"/>
        </w:rPr>
      </w:pPr>
      <w:r w:rsidRPr="00161914">
        <w:rPr>
          <w:rFonts w:ascii="Gotham Light" w:hAnsi="Gotham Light" w:cs="Times New Roman"/>
          <w:b/>
          <w:sz w:val="20"/>
          <w:szCs w:val="20"/>
        </w:rPr>
        <w:t>Helical</w:t>
      </w:r>
    </w:p>
    <w:p w14:paraId="3E722B1C" w14:textId="77777777" w:rsidR="00161914" w:rsidRPr="00161914" w:rsidRDefault="00161914" w:rsidP="00161914">
      <w:pPr>
        <w:jc w:val="both"/>
        <w:rPr>
          <w:rFonts w:ascii="Gotham Light" w:hAnsi="Gotham Light" w:cs="Times New Roman"/>
          <w:bCs/>
          <w:sz w:val="20"/>
          <w:szCs w:val="20"/>
        </w:rPr>
      </w:pPr>
      <w:r w:rsidRPr="00161914">
        <w:rPr>
          <w:rFonts w:ascii="Gotham Light" w:hAnsi="Gotham Light" w:cs="Times New Roman"/>
          <w:bCs/>
          <w:sz w:val="20"/>
          <w:szCs w:val="20"/>
        </w:rPr>
        <w:t>Gerald Kaye/Tim Murphy</w:t>
      </w:r>
    </w:p>
    <w:p w14:paraId="00187A51" w14:textId="77777777" w:rsidR="00F22427" w:rsidRDefault="00161914" w:rsidP="00161914">
      <w:pPr>
        <w:jc w:val="both"/>
        <w:rPr>
          <w:rFonts w:ascii="Gotham Light" w:hAnsi="Gotham Light" w:cs="Times New Roman"/>
          <w:bCs/>
          <w:sz w:val="20"/>
          <w:szCs w:val="20"/>
        </w:rPr>
      </w:pPr>
      <w:r w:rsidRPr="00161914">
        <w:rPr>
          <w:rFonts w:ascii="Gotham Light" w:hAnsi="Gotham Light" w:cs="Times New Roman"/>
          <w:bCs/>
          <w:sz w:val="20"/>
          <w:szCs w:val="20"/>
        </w:rPr>
        <w:t>Tel: 020 7629 0113</w:t>
      </w:r>
    </w:p>
    <w:p w14:paraId="5F4F596A" w14:textId="39C9719E" w:rsidR="00161914" w:rsidRPr="00161914" w:rsidRDefault="00161914" w:rsidP="00161914">
      <w:pPr>
        <w:jc w:val="both"/>
        <w:rPr>
          <w:rFonts w:ascii="Gotham Light" w:hAnsi="Gotham Light" w:cs="Times New Roman"/>
          <w:bCs/>
          <w:sz w:val="20"/>
          <w:szCs w:val="20"/>
        </w:rPr>
      </w:pP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r>
    </w:p>
    <w:p w14:paraId="0226207D" w14:textId="77777777" w:rsidR="00161914" w:rsidRPr="00161914" w:rsidRDefault="00161914" w:rsidP="00161914">
      <w:pPr>
        <w:jc w:val="both"/>
        <w:rPr>
          <w:rFonts w:ascii="Gotham Light" w:hAnsi="Gotham Light" w:cs="Times New Roman"/>
          <w:b/>
          <w:bCs/>
          <w:sz w:val="20"/>
          <w:szCs w:val="20"/>
        </w:rPr>
      </w:pPr>
      <w:r w:rsidRPr="00161914">
        <w:rPr>
          <w:rFonts w:ascii="Gotham Light" w:hAnsi="Gotham Light" w:cs="Times New Roman"/>
          <w:b/>
          <w:bCs/>
          <w:sz w:val="20"/>
          <w:szCs w:val="20"/>
        </w:rPr>
        <w:t>FTI Consulting</w:t>
      </w:r>
    </w:p>
    <w:p w14:paraId="0BB8FAE2"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sz w:val="20"/>
          <w:szCs w:val="20"/>
        </w:rPr>
        <w:t>Dido Laurimore/Richard Gotla/Andrew Davis</w:t>
      </w:r>
    </w:p>
    <w:p w14:paraId="527D6EAB"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sz w:val="20"/>
          <w:szCs w:val="20"/>
        </w:rPr>
        <w:t>Tel: 020 3727 1000</w:t>
      </w:r>
    </w:p>
    <w:p w14:paraId="310B7A4B" w14:textId="77777777" w:rsidR="00161914" w:rsidRPr="00161914" w:rsidRDefault="00161914" w:rsidP="00161914">
      <w:pPr>
        <w:jc w:val="both"/>
        <w:rPr>
          <w:rFonts w:ascii="Gotham Light" w:hAnsi="Gotham Light" w:cs="Times New Roman"/>
          <w:sz w:val="20"/>
          <w:szCs w:val="20"/>
        </w:rPr>
      </w:pPr>
      <w:r w:rsidRPr="00161914">
        <w:rPr>
          <w:rFonts w:ascii="Gotham Light" w:hAnsi="Gotham Light" w:cs="Times New Roman"/>
          <w:sz w:val="20"/>
          <w:szCs w:val="20"/>
        </w:rPr>
        <w:t>schelical@fticonsulting.com</w:t>
      </w:r>
      <w:r w:rsidRPr="00161914">
        <w:rPr>
          <w:rFonts w:ascii="Gotham Light" w:hAnsi="Gotham Light" w:cs="Times New Roman"/>
          <w:sz w:val="20"/>
          <w:szCs w:val="20"/>
        </w:rPr>
        <w:tab/>
      </w:r>
      <w:r w:rsidRPr="00161914">
        <w:rPr>
          <w:rFonts w:ascii="Gotham Light" w:hAnsi="Gotham Light" w:cs="Times New Roman"/>
          <w:sz w:val="20"/>
          <w:szCs w:val="20"/>
        </w:rPr>
        <w:tab/>
      </w:r>
      <w:r w:rsidRPr="00161914">
        <w:rPr>
          <w:rFonts w:ascii="Gotham Light" w:hAnsi="Gotham Light" w:cs="Times New Roman"/>
          <w:sz w:val="20"/>
          <w:szCs w:val="20"/>
        </w:rPr>
        <w:tab/>
        <w:t xml:space="preserve">             </w:t>
      </w:r>
      <w:r w:rsidRPr="00161914">
        <w:rPr>
          <w:rFonts w:ascii="Gotham Light" w:hAnsi="Gotham Light" w:cs="Times New Roman"/>
          <w:sz w:val="20"/>
          <w:szCs w:val="20"/>
        </w:rPr>
        <w:tab/>
      </w:r>
    </w:p>
    <w:p w14:paraId="205F542F" w14:textId="77777777" w:rsidR="00161914" w:rsidRPr="00161914" w:rsidRDefault="00161914" w:rsidP="00161914">
      <w:pPr>
        <w:jc w:val="both"/>
        <w:rPr>
          <w:rFonts w:ascii="Gotham Light" w:hAnsi="Gotham Light" w:cs="Times New Roman"/>
          <w:b/>
          <w:sz w:val="20"/>
          <w:szCs w:val="20"/>
        </w:rPr>
      </w:pPr>
    </w:p>
    <w:p w14:paraId="042D46C0" w14:textId="77777777" w:rsidR="00161914" w:rsidRPr="00161914" w:rsidRDefault="00161914" w:rsidP="00161914">
      <w:pPr>
        <w:jc w:val="both"/>
        <w:rPr>
          <w:rFonts w:ascii="Gotham Light" w:hAnsi="Gotham Light" w:cs="Times New Roman"/>
          <w:b/>
          <w:bCs/>
          <w:iCs/>
          <w:sz w:val="20"/>
          <w:szCs w:val="20"/>
        </w:rPr>
      </w:pPr>
      <w:r w:rsidRPr="00161914">
        <w:rPr>
          <w:rFonts w:ascii="Gotham Light" w:hAnsi="Gotham Light" w:cs="Times New Roman"/>
          <w:b/>
          <w:bCs/>
          <w:iCs/>
          <w:sz w:val="20"/>
          <w:szCs w:val="20"/>
        </w:rPr>
        <w:t>This announcement has been authorised for release by the Board</w:t>
      </w:r>
    </w:p>
    <w:p w14:paraId="57FFE5A7" w14:textId="77777777" w:rsidR="00161914" w:rsidRPr="00161914" w:rsidRDefault="00161914" w:rsidP="00161914">
      <w:pPr>
        <w:jc w:val="both"/>
        <w:rPr>
          <w:rFonts w:ascii="Gotham Light" w:hAnsi="Gotham Light" w:cs="Times New Roman"/>
          <w:bCs/>
          <w:sz w:val="20"/>
          <w:szCs w:val="20"/>
        </w:rPr>
      </w:pPr>
    </w:p>
    <w:p w14:paraId="0F1A1076" w14:textId="77777777" w:rsidR="00161914" w:rsidRPr="00161914" w:rsidRDefault="00161914" w:rsidP="00161914">
      <w:pPr>
        <w:jc w:val="both"/>
        <w:rPr>
          <w:rFonts w:ascii="Gotham Light" w:hAnsi="Gotham Light" w:cs="Times New Roman"/>
          <w:bCs/>
          <w:sz w:val="20"/>
          <w:szCs w:val="20"/>
        </w:rPr>
      </w:pPr>
      <w:r w:rsidRPr="00161914">
        <w:rPr>
          <w:rFonts w:ascii="Gotham Light" w:hAnsi="Gotham Light" w:cs="Times New Roman"/>
          <w:b/>
          <w:sz w:val="20"/>
          <w:szCs w:val="20"/>
        </w:rPr>
        <w:t>Important Notice</w:t>
      </w:r>
    </w:p>
    <w:p w14:paraId="75F63BB5" w14:textId="77777777" w:rsidR="00161914" w:rsidRPr="00161914" w:rsidRDefault="00161914" w:rsidP="00161914">
      <w:pPr>
        <w:jc w:val="both"/>
        <w:rPr>
          <w:rFonts w:ascii="Gotham Light" w:hAnsi="Gotham Light" w:cs="Times New Roman"/>
          <w:i/>
          <w:iCs/>
          <w:sz w:val="20"/>
          <w:szCs w:val="20"/>
        </w:rPr>
      </w:pPr>
      <w:r w:rsidRPr="00161914">
        <w:rPr>
          <w:rFonts w:ascii="Gotham Light" w:hAnsi="Gotham Light" w:cs="Times New Roman"/>
          <w:i/>
          <w:iCs/>
          <w:sz w:val="20"/>
          <w:szCs w:val="20"/>
        </w:rPr>
        <w:t xml:space="preserve">The release, </w:t>
      </w:r>
      <w:proofErr w:type="gramStart"/>
      <w:r w:rsidRPr="00161914">
        <w:rPr>
          <w:rFonts w:ascii="Gotham Light" w:hAnsi="Gotham Light" w:cs="Times New Roman"/>
          <w:i/>
          <w:iCs/>
          <w:sz w:val="20"/>
          <w:szCs w:val="20"/>
        </w:rPr>
        <w:t>publication</w:t>
      </w:r>
      <w:proofErr w:type="gramEnd"/>
      <w:r w:rsidRPr="00161914">
        <w:rPr>
          <w:rFonts w:ascii="Gotham Light" w:hAnsi="Gotham Light" w:cs="Times New Roman"/>
          <w:i/>
          <w:iCs/>
          <w:sz w:val="20"/>
          <w:szCs w:val="20"/>
        </w:rPr>
        <w:t xml:space="preserve"> or distribution of this announcement in jurisdictions other than the United Kingdom may be restricted by law and therefore any persons who are subject to the laws of any jurisdiction other than the United Kingdom should inform themselves about, and observe, any applicable requirements. The information disclosed in this announcement may not be the same as that which would have been disclosed if this announcement had been prepared in accordance with the laws and regulations of any jurisdiction outside of the United Kingdom.</w:t>
      </w:r>
    </w:p>
    <w:p w14:paraId="025D7B7B" w14:textId="77777777" w:rsidR="00161914" w:rsidRPr="00161914" w:rsidRDefault="00161914" w:rsidP="00161914">
      <w:pPr>
        <w:jc w:val="both"/>
        <w:rPr>
          <w:rFonts w:ascii="Gotham Light" w:hAnsi="Gotham Light" w:cs="Times New Roman"/>
          <w:i/>
          <w:sz w:val="20"/>
          <w:szCs w:val="20"/>
        </w:rPr>
      </w:pPr>
    </w:p>
    <w:p w14:paraId="70A76E58" w14:textId="442FF64D" w:rsidR="005867F2" w:rsidRPr="005867F2" w:rsidRDefault="005867F2" w:rsidP="00161914">
      <w:pPr>
        <w:jc w:val="both"/>
        <w:rPr>
          <w:rFonts w:ascii="Gotham Light" w:hAnsi="Gotham Light" w:cs="Times New Roman"/>
          <w:i/>
          <w:sz w:val="20"/>
          <w:szCs w:val="20"/>
        </w:rPr>
      </w:pPr>
    </w:p>
    <w:sectPr w:rsidR="005867F2" w:rsidRPr="005867F2" w:rsidSect="00C82B46">
      <w:headerReference w:type="default" r:id="rId10"/>
      <w:headerReference w:type="first" r:id="rId11"/>
      <w:pgSz w:w="11906" w:h="16838"/>
      <w:pgMar w:top="1440" w:right="1440" w:bottom="1134" w:left="1440"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5CF5" w14:textId="77777777" w:rsidR="00A06B86" w:rsidRDefault="00A06B86" w:rsidP="008C2FC5">
      <w:pPr>
        <w:spacing w:after="0" w:line="240" w:lineRule="auto"/>
      </w:pPr>
      <w:r>
        <w:separator/>
      </w:r>
    </w:p>
  </w:endnote>
  <w:endnote w:type="continuationSeparator" w:id="0">
    <w:p w14:paraId="59AFE374" w14:textId="77777777" w:rsidR="00A06B86" w:rsidRDefault="00A06B86" w:rsidP="008C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Arial"/>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BB4B9" w14:textId="77777777" w:rsidR="00A06B86" w:rsidRDefault="00A06B86" w:rsidP="008C2FC5">
      <w:pPr>
        <w:spacing w:after="0" w:line="240" w:lineRule="auto"/>
      </w:pPr>
      <w:r>
        <w:separator/>
      </w:r>
    </w:p>
  </w:footnote>
  <w:footnote w:type="continuationSeparator" w:id="0">
    <w:p w14:paraId="7ED2E1B5" w14:textId="77777777" w:rsidR="00A06B86" w:rsidRDefault="00A06B86" w:rsidP="008C2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AE2E" w14:textId="77777777" w:rsidR="008C2FC5" w:rsidRDefault="008C2FC5" w:rsidP="008C2F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004B" w14:textId="57290748" w:rsidR="005867F2" w:rsidRPr="005867F2" w:rsidRDefault="005867F2" w:rsidP="005867F2">
    <w:pPr>
      <w:jc w:val="both"/>
      <w:rPr>
        <w:rFonts w:ascii="Gotham Light" w:hAnsi="Gotham Light" w:cs="Times New Roman"/>
        <w:b/>
        <w:bCs/>
        <w:sz w:val="20"/>
        <w:szCs w:val="20"/>
      </w:rPr>
    </w:pPr>
    <w:r w:rsidRPr="005867F2">
      <w:rPr>
        <w:rFonts w:ascii="Gotham Light" w:hAnsi="Gotham Light" w:cs="Times New Roman"/>
        <w:b/>
        <w:bCs/>
        <w:sz w:val="20"/>
        <w:szCs w:val="20"/>
      </w:rPr>
      <w:t>NOT FOR RELEASE, PUBLICATION OR DISTRIBUTION, IN WHOLE OR IN PART, DIRECTLY OR INDIRECTLY, IN, INTO, OR FROM ANY JURISDICTION WHERE TO DO SO WOULD CONSTITUTE A VIOLATION OF THE RELEVANT LAWS OR REGULATIONS OF SUCH JURISDICTION</w:t>
    </w:r>
  </w:p>
  <w:p w14:paraId="75532BC3" w14:textId="77777777" w:rsidR="005867F2" w:rsidRPr="005867F2" w:rsidRDefault="005867F2" w:rsidP="005867F2">
    <w:pPr>
      <w:rPr>
        <w:rFonts w:ascii="Gotham Light" w:hAnsi="Gotham Light" w:cs="Times New Roman"/>
        <w:b/>
        <w:bCs/>
        <w:sz w:val="20"/>
        <w:szCs w:val="20"/>
      </w:rPr>
    </w:pPr>
    <w:r w:rsidRPr="005867F2">
      <w:rPr>
        <w:rFonts w:ascii="Gotham Light" w:hAnsi="Gotham Light" w:cs="Times New Roman"/>
        <w:b/>
        <w:bCs/>
        <w:sz w:val="20"/>
        <w:szCs w:val="20"/>
      </w:rPr>
      <w:t>FOR IMMEDIATE RELEASE</w:t>
    </w:r>
  </w:p>
  <w:p w14:paraId="5B2425BA" w14:textId="45E94748" w:rsidR="008C2FC5" w:rsidRDefault="008C2FC5" w:rsidP="005867F2">
    <w:pPr>
      <w:pStyle w:val="Header"/>
      <w:tabs>
        <w:tab w:val="left" w:pos="3675"/>
      </w:tabs>
      <w:jc w:val="center"/>
    </w:pPr>
    <w:r>
      <w:rPr>
        <w:noProof/>
        <w:lang w:eastAsia="en-GB"/>
      </w:rPr>
      <w:drawing>
        <wp:inline distT="0" distB="0" distL="0" distR="0" wp14:anchorId="1D46B0D1" wp14:editId="3BF9F554">
          <wp:extent cx="648000" cy="8893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889355"/>
                  </a:xfrm>
                  <a:prstGeom prst="rect">
                    <a:avLst/>
                  </a:prstGeom>
                  <a:noFill/>
                </pic:spPr>
              </pic:pic>
            </a:graphicData>
          </a:graphic>
        </wp:inline>
      </w:drawing>
    </w:r>
  </w:p>
  <w:p w14:paraId="14C8399F" w14:textId="77777777" w:rsidR="008C2FC5" w:rsidRDefault="008C2FC5" w:rsidP="008C2F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570"/>
    <w:multiLevelType w:val="hybridMultilevel"/>
    <w:tmpl w:val="946ED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ED4FBE"/>
    <w:multiLevelType w:val="hybridMultilevel"/>
    <w:tmpl w:val="CB0A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748C1"/>
    <w:multiLevelType w:val="hybridMultilevel"/>
    <w:tmpl w:val="7354F99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984991"/>
    <w:multiLevelType w:val="hybridMultilevel"/>
    <w:tmpl w:val="40AEB4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4525A4"/>
    <w:multiLevelType w:val="hybridMultilevel"/>
    <w:tmpl w:val="468CEFF6"/>
    <w:lvl w:ilvl="0" w:tplc="2E9A2F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13944"/>
    <w:multiLevelType w:val="hybridMultilevel"/>
    <w:tmpl w:val="3AF8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F3067"/>
    <w:multiLevelType w:val="hybridMultilevel"/>
    <w:tmpl w:val="01FC639C"/>
    <w:lvl w:ilvl="0" w:tplc="AE300598">
      <w:start w:val="1"/>
      <w:numFmt w:val="bullet"/>
      <w:lvlText w:val=""/>
      <w:lvlJc w:val="left"/>
      <w:pPr>
        <w:ind w:left="720" w:hanging="360"/>
      </w:pPr>
      <w:rPr>
        <w:rFonts w:ascii="Symbol" w:hAnsi="Symbol" w:hint="default"/>
        <w:color w:val="BE744A"/>
      </w:rPr>
    </w:lvl>
    <w:lvl w:ilvl="1" w:tplc="E9003904">
      <w:start w:val="1"/>
      <w:numFmt w:val="bullet"/>
      <w:lvlText w:val="o"/>
      <w:lvlJc w:val="left"/>
      <w:pPr>
        <w:ind w:left="1440" w:hanging="360"/>
      </w:pPr>
      <w:rPr>
        <w:rFonts w:ascii="Courier New" w:hAnsi="Courier New" w:cs="Courier New" w:hint="default"/>
        <w:color w:val="BE744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94F55"/>
    <w:multiLevelType w:val="hybridMultilevel"/>
    <w:tmpl w:val="6A8E2268"/>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39287436"/>
    <w:multiLevelType w:val="hybridMultilevel"/>
    <w:tmpl w:val="33D6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9424F"/>
    <w:multiLevelType w:val="hybridMultilevel"/>
    <w:tmpl w:val="3C641AE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44164B9C"/>
    <w:multiLevelType w:val="hybridMultilevel"/>
    <w:tmpl w:val="B2CC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5DCB"/>
    <w:multiLevelType w:val="hybridMultilevel"/>
    <w:tmpl w:val="A134BE6A"/>
    <w:lvl w:ilvl="0" w:tplc="66DA2D14">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A7D38"/>
    <w:multiLevelType w:val="hybridMultilevel"/>
    <w:tmpl w:val="0A9A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51927"/>
    <w:multiLevelType w:val="multilevel"/>
    <w:tmpl w:val="1D9417B2"/>
    <w:lvl w:ilvl="0">
      <w:start w:val="1"/>
      <w:numFmt w:val="decimal"/>
      <w:lvlText w:val="%1."/>
      <w:lvlJc w:val="left"/>
      <w:pPr>
        <w:ind w:left="360" w:hanging="360"/>
      </w:pPr>
      <w:rPr>
        <w:b/>
        <w:color w:val="BE744A"/>
      </w:rPr>
    </w:lvl>
    <w:lvl w:ilvl="1">
      <w:start w:val="1"/>
      <w:numFmt w:val="decimal"/>
      <w:lvlText w:val="%1.%2."/>
      <w:lvlJc w:val="left"/>
      <w:pPr>
        <w:ind w:left="792" w:hanging="432"/>
      </w:pPr>
      <w:rPr>
        <w:b/>
        <w:color w:val="BE744A"/>
      </w:rPr>
    </w:lvl>
    <w:lvl w:ilvl="2">
      <w:start w:val="1"/>
      <w:numFmt w:val="decimal"/>
      <w:lvlText w:val="%1.%2.%3."/>
      <w:lvlJc w:val="left"/>
      <w:pPr>
        <w:ind w:left="1224" w:hanging="504"/>
      </w:pPr>
      <w:rPr>
        <w:b/>
        <w:color w:val="BE744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54377A"/>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F1669"/>
    <w:multiLevelType w:val="hybridMultilevel"/>
    <w:tmpl w:val="EBFCA532"/>
    <w:lvl w:ilvl="0" w:tplc="EAD0E008">
      <w:start w:val="1"/>
      <w:numFmt w:val="bullet"/>
      <w:lvlText w:val=""/>
      <w:lvlJc w:val="left"/>
      <w:pPr>
        <w:ind w:left="720" w:hanging="360"/>
      </w:pPr>
      <w:rPr>
        <w:rFonts w:ascii="Symbol" w:hAnsi="Symbol" w:hint="default"/>
        <w:color w:val="BE744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C448F"/>
    <w:multiLevelType w:val="hybridMultilevel"/>
    <w:tmpl w:val="E876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5348C"/>
    <w:multiLevelType w:val="hybridMultilevel"/>
    <w:tmpl w:val="2B7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93346"/>
    <w:multiLevelType w:val="hybridMultilevel"/>
    <w:tmpl w:val="74C0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86BEB"/>
    <w:multiLevelType w:val="hybridMultilevel"/>
    <w:tmpl w:val="AB9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2679D"/>
    <w:multiLevelType w:val="hybridMultilevel"/>
    <w:tmpl w:val="AC885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670"/>
    <w:multiLevelType w:val="hybridMultilevel"/>
    <w:tmpl w:val="D548B34C"/>
    <w:lvl w:ilvl="0" w:tplc="1506CC32">
      <w:start w:val="1"/>
      <w:numFmt w:val="decimal"/>
      <w:lvlText w:val="%1."/>
      <w:lvlJc w:val="left"/>
      <w:pPr>
        <w:ind w:left="720" w:hanging="360"/>
      </w:pPr>
      <w:rPr>
        <w:rFonts w:ascii="Gotham Light" w:hAnsi="Gotham Light"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3"/>
  </w:num>
  <w:num w:numId="3">
    <w:abstractNumId w:val="15"/>
  </w:num>
  <w:num w:numId="4">
    <w:abstractNumId w:val="2"/>
  </w:num>
  <w:num w:numId="5">
    <w:abstractNumId w:val="11"/>
  </w:num>
  <w:num w:numId="6">
    <w:abstractNumId w:val="0"/>
  </w:num>
  <w:num w:numId="7">
    <w:abstractNumId w:val="9"/>
  </w:num>
  <w:num w:numId="8">
    <w:abstractNumId w:val="10"/>
  </w:num>
  <w:num w:numId="9">
    <w:abstractNumId w:val="19"/>
  </w:num>
  <w:num w:numId="10">
    <w:abstractNumId w:val="1"/>
  </w:num>
  <w:num w:numId="11">
    <w:abstractNumId w:val="4"/>
  </w:num>
  <w:num w:numId="12">
    <w:abstractNumId w:val="18"/>
  </w:num>
  <w:num w:numId="13">
    <w:abstractNumId w:val="5"/>
  </w:num>
  <w:num w:numId="14">
    <w:abstractNumId w:val="17"/>
  </w:num>
  <w:num w:numId="15">
    <w:abstractNumId w:val="8"/>
  </w:num>
  <w:num w:numId="16">
    <w:abstractNumId w:val="16"/>
  </w:num>
  <w:num w:numId="17">
    <w:abstractNumId w:val="20"/>
  </w:num>
  <w:num w:numId="18">
    <w:abstractNumId w:val="7"/>
  </w:num>
  <w:num w:numId="19">
    <w:abstractNumId w:val="14"/>
  </w:num>
  <w:num w:numId="20">
    <w:abstractNumId w:val="21"/>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FC5"/>
    <w:rsid w:val="0002700D"/>
    <w:rsid w:val="00075D54"/>
    <w:rsid w:val="00095412"/>
    <w:rsid w:val="000A2405"/>
    <w:rsid w:val="000A36A6"/>
    <w:rsid w:val="000A4D8A"/>
    <w:rsid w:val="000A5E03"/>
    <w:rsid w:val="000B2F1A"/>
    <w:rsid w:val="000E240F"/>
    <w:rsid w:val="00107DB5"/>
    <w:rsid w:val="00113CBE"/>
    <w:rsid w:val="0011654B"/>
    <w:rsid w:val="001223B8"/>
    <w:rsid w:val="00134347"/>
    <w:rsid w:val="00153F69"/>
    <w:rsid w:val="00161914"/>
    <w:rsid w:val="00164401"/>
    <w:rsid w:val="00175364"/>
    <w:rsid w:val="00177343"/>
    <w:rsid w:val="0018446C"/>
    <w:rsid w:val="001870A1"/>
    <w:rsid w:val="00194F2C"/>
    <w:rsid w:val="001B72BC"/>
    <w:rsid w:val="001C7A89"/>
    <w:rsid w:val="001E39AC"/>
    <w:rsid w:val="001E69F0"/>
    <w:rsid w:val="001E6F67"/>
    <w:rsid w:val="001F0897"/>
    <w:rsid w:val="00212EF7"/>
    <w:rsid w:val="002135FF"/>
    <w:rsid w:val="00216177"/>
    <w:rsid w:val="00226636"/>
    <w:rsid w:val="00231A2E"/>
    <w:rsid w:val="00261EFD"/>
    <w:rsid w:val="00262188"/>
    <w:rsid w:val="002623FC"/>
    <w:rsid w:val="0027029F"/>
    <w:rsid w:val="00275E30"/>
    <w:rsid w:val="00282D36"/>
    <w:rsid w:val="002A35C5"/>
    <w:rsid w:val="002A513E"/>
    <w:rsid w:val="002B6D63"/>
    <w:rsid w:val="002D2EBD"/>
    <w:rsid w:val="002E1037"/>
    <w:rsid w:val="00303D66"/>
    <w:rsid w:val="0030519A"/>
    <w:rsid w:val="00306186"/>
    <w:rsid w:val="00311B7B"/>
    <w:rsid w:val="0031726A"/>
    <w:rsid w:val="00330750"/>
    <w:rsid w:val="00336D1D"/>
    <w:rsid w:val="003673ED"/>
    <w:rsid w:val="00377C54"/>
    <w:rsid w:val="00393A91"/>
    <w:rsid w:val="003A38BA"/>
    <w:rsid w:val="003B4A9F"/>
    <w:rsid w:val="003C4457"/>
    <w:rsid w:val="003D72D6"/>
    <w:rsid w:val="003F3140"/>
    <w:rsid w:val="003F4DC4"/>
    <w:rsid w:val="00400BF7"/>
    <w:rsid w:val="0040433A"/>
    <w:rsid w:val="004069F8"/>
    <w:rsid w:val="00432A69"/>
    <w:rsid w:val="00437BFD"/>
    <w:rsid w:val="00450B4A"/>
    <w:rsid w:val="0047357C"/>
    <w:rsid w:val="004752FE"/>
    <w:rsid w:val="00481C9B"/>
    <w:rsid w:val="0048750A"/>
    <w:rsid w:val="00497270"/>
    <w:rsid w:val="004B001F"/>
    <w:rsid w:val="004C5DAA"/>
    <w:rsid w:val="004C68B8"/>
    <w:rsid w:val="004D04A4"/>
    <w:rsid w:val="004D41AA"/>
    <w:rsid w:val="004E0775"/>
    <w:rsid w:val="004E1AE6"/>
    <w:rsid w:val="005072D0"/>
    <w:rsid w:val="0051787E"/>
    <w:rsid w:val="00520B0B"/>
    <w:rsid w:val="00522A91"/>
    <w:rsid w:val="0053031E"/>
    <w:rsid w:val="00533BE8"/>
    <w:rsid w:val="005357CE"/>
    <w:rsid w:val="00545294"/>
    <w:rsid w:val="005529D5"/>
    <w:rsid w:val="005867F2"/>
    <w:rsid w:val="005A7F4D"/>
    <w:rsid w:val="005B069E"/>
    <w:rsid w:val="005F05BC"/>
    <w:rsid w:val="005F525E"/>
    <w:rsid w:val="0061054B"/>
    <w:rsid w:val="00624161"/>
    <w:rsid w:val="00654A7E"/>
    <w:rsid w:val="0069491D"/>
    <w:rsid w:val="006A2CF7"/>
    <w:rsid w:val="006B64B9"/>
    <w:rsid w:val="006D0DC0"/>
    <w:rsid w:val="006D2F08"/>
    <w:rsid w:val="006E56C4"/>
    <w:rsid w:val="006F1203"/>
    <w:rsid w:val="00723E8E"/>
    <w:rsid w:val="007423C7"/>
    <w:rsid w:val="00743EDD"/>
    <w:rsid w:val="00750CF7"/>
    <w:rsid w:val="0076197D"/>
    <w:rsid w:val="007727C6"/>
    <w:rsid w:val="0077494E"/>
    <w:rsid w:val="00780DAF"/>
    <w:rsid w:val="007A30AE"/>
    <w:rsid w:val="007A58CE"/>
    <w:rsid w:val="007B296E"/>
    <w:rsid w:val="007B54F3"/>
    <w:rsid w:val="007B76D3"/>
    <w:rsid w:val="007E7F0F"/>
    <w:rsid w:val="008222B4"/>
    <w:rsid w:val="008230B2"/>
    <w:rsid w:val="0083698E"/>
    <w:rsid w:val="00837BA4"/>
    <w:rsid w:val="00845A8D"/>
    <w:rsid w:val="008503A4"/>
    <w:rsid w:val="00876CCF"/>
    <w:rsid w:val="00896FE9"/>
    <w:rsid w:val="008B642F"/>
    <w:rsid w:val="008B6DED"/>
    <w:rsid w:val="008C2FC5"/>
    <w:rsid w:val="008C3D17"/>
    <w:rsid w:val="008D4B7D"/>
    <w:rsid w:val="009008A7"/>
    <w:rsid w:val="00901559"/>
    <w:rsid w:val="00914FE8"/>
    <w:rsid w:val="0091583F"/>
    <w:rsid w:val="009243A7"/>
    <w:rsid w:val="00960C84"/>
    <w:rsid w:val="009A02D1"/>
    <w:rsid w:val="009A0BEC"/>
    <w:rsid w:val="009A62F7"/>
    <w:rsid w:val="009C467F"/>
    <w:rsid w:val="009C643F"/>
    <w:rsid w:val="009D0E31"/>
    <w:rsid w:val="009D6689"/>
    <w:rsid w:val="009E3DA0"/>
    <w:rsid w:val="009F01CA"/>
    <w:rsid w:val="00A06B86"/>
    <w:rsid w:val="00A1463B"/>
    <w:rsid w:val="00A26996"/>
    <w:rsid w:val="00A27B9A"/>
    <w:rsid w:val="00A419D1"/>
    <w:rsid w:val="00A44ED7"/>
    <w:rsid w:val="00A54160"/>
    <w:rsid w:val="00A56426"/>
    <w:rsid w:val="00A72135"/>
    <w:rsid w:val="00A87B5A"/>
    <w:rsid w:val="00AB1CAC"/>
    <w:rsid w:val="00AB23D3"/>
    <w:rsid w:val="00AD4B96"/>
    <w:rsid w:val="00AE0EC3"/>
    <w:rsid w:val="00AE69CB"/>
    <w:rsid w:val="00B0690D"/>
    <w:rsid w:val="00B26E44"/>
    <w:rsid w:val="00B56FB3"/>
    <w:rsid w:val="00B67CBC"/>
    <w:rsid w:val="00B80192"/>
    <w:rsid w:val="00B913BD"/>
    <w:rsid w:val="00BA10C4"/>
    <w:rsid w:val="00BA2836"/>
    <w:rsid w:val="00BE3864"/>
    <w:rsid w:val="00BF6131"/>
    <w:rsid w:val="00C001C1"/>
    <w:rsid w:val="00C10445"/>
    <w:rsid w:val="00C1085B"/>
    <w:rsid w:val="00C3698C"/>
    <w:rsid w:val="00C37D85"/>
    <w:rsid w:val="00C739BB"/>
    <w:rsid w:val="00C7502C"/>
    <w:rsid w:val="00C76977"/>
    <w:rsid w:val="00C82B46"/>
    <w:rsid w:val="00C95032"/>
    <w:rsid w:val="00CA228C"/>
    <w:rsid w:val="00CA241B"/>
    <w:rsid w:val="00CA39BF"/>
    <w:rsid w:val="00CB1673"/>
    <w:rsid w:val="00CB4739"/>
    <w:rsid w:val="00CD0C70"/>
    <w:rsid w:val="00CD3808"/>
    <w:rsid w:val="00CE54E8"/>
    <w:rsid w:val="00CE57DC"/>
    <w:rsid w:val="00CE6A3A"/>
    <w:rsid w:val="00CF5382"/>
    <w:rsid w:val="00D035E2"/>
    <w:rsid w:val="00D227A3"/>
    <w:rsid w:val="00D23AA5"/>
    <w:rsid w:val="00D34757"/>
    <w:rsid w:val="00D34E50"/>
    <w:rsid w:val="00D4093C"/>
    <w:rsid w:val="00D51218"/>
    <w:rsid w:val="00D52416"/>
    <w:rsid w:val="00D73AAF"/>
    <w:rsid w:val="00D84DF1"/>
    <w:rsid w:val="00D86643"/>
    <w:rsid w:val="00DA2789"/>
    <w:rsid w:val="00DB3351"/>
    <w:rsid w:val="00DB5BA7"/>
    <w:rsid w:val="00DC38A1"/>
    <w:rsid w:val="00DC4C94"/>
    <w:rsid w:val="00DE1CBC"/>
    <w:rsid w:val="00DE42F0"/>
    <w:rsid w:val="00DF0366"/>
    <w:rsid w:val="00DF3564"/>
    <w:rsid w:val="00DF546B"/>
    <w:rsid w:val="00E05CDF"/>
    <w:rsid w:val="00E305A6"/>
    <w:rsid w:val="00E32154"/>
    <w:rsid w:val="00E45825"/>
    <w:rsid w:val="00E46109"/>
    <w:rsid w:val="00E62D67"/>
    <w:rsid w:val="00E66C58"/>
    <w:rsid w:val="00E713E6"/>
    <w:rsid w:val="00E95735"/>
    <w:rsid w:val="00EC63E6"/>
    <w:rsid w:val="00ED1040"/>
    <w:rsid w:val="00ED6A2B"/>
    <w:rsid w:val="00EE2ACB"/>
    <w:rsid w:val="00EE4B56"/>
    <w:rsid w:val="00F01D46"/>
    <w:rsid w:val="00F039A8"/>
    <w:rsid w:val="00F14515"/>
    <w:rsid w:val="00F22427"/>
    <w:rsid w:val="00F3191D"/>
    <w:rsid w:val="00F34AED"/>
    <w:rsid w:val="00F52F92"/>
    <w:rsid w:val="00F61363"/>
    <w:rsid w:val="00F65961"/>
    <w:rsid w:val="00F71FAA"/>
    <w:rsid w:val="00F85F29"/>
    <w:rsid w:val="00FA0A59"/>
    <w:rsid w:val="00FB63E3"/>
    <w:rsid w:val="00FD2021"/>
    <w:rsid w:val="00FD3C1E"/>
    <w:rsid w:val="00FE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3D5DBDB"/>
  <w15:chartTrackingRefBased/>
  <w15:docId w15:val="{81723987-B98D-4E7C-8A5F-613B6908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C5"/>
  </w:style>
  <w:style w:type="paragraph" w:styleId="Footer">
    <w:name w:val="footer"/>
    <w:basedOn w:val="Normal"/>
    <w:link w:val="FooterChar"/>
    <w:uiPriority w:val="99"/>
    <w:unhideWhenUsed/>
    <w:rsid w:val="008C2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C5"/>
  </w:style>
  <w:style w:type="paragraph" w:styleId="ListParagraph">
    <w:name w:val="List Paragraph"/>
    <w:basedOn w:val="Normal"/>
    <w:uiPriority w:val="34"/>
    <w:qFormat/>
    <w:rsid w:val="00D227A3"/>
    <w:pPr>
      <w:ind w:left="720"/>
      <w:contextualSpacing/>
    </w:pPr>
  </w:style>
  <w:style w:type="paragraph" w:styleId="BalloonText">
    <w:name w:val="Balloon Text"/>
    <w:basedOn w:val="Normal"/>
    <w:link w:val="BalloonTextChar"/>
    <w:uiPriority w:val="99"/>
    <w:semiHidden/>
    <w:unhideWhenUsed/>
    <w:rsid w:val="00545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4"/>
    <w:rPr>
      <w:rFonts w:ascii="Segoe UI" w:hAnsi="Segoe UI" w:cs="Segoe UI"/>
      <w:sz w:val="18"/>
      <w:szCs w:val="18"/>
    </w:rPr>
  </w:style>
  <w:style w:type="table" w:styleId="TableGrid">
    <w:name w:val="Table Grid"/>
    <w:basedOn w:val="TableNormal"/>
    <w:uiPriority w:val="39"/>
    <w:rsid w:val="004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913B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B913BD"/>
    <w:rPr>
      <w:color w:val="0000FF"/>
      <w:u w:val="single"/>
    </w:rPr>
  </w:style>
  <w:style w:type="table" w:customStyle="1" w:styleId="TableGrid1">
    <w:name w:val="Table Grid1"/>
    <w:basedOn w:val="TableNormal"/>
    <w:next w:val="TableGrid"/>
    <w:uiPriority w:val="39"/>
    <w:rsid w:val="004D04A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434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customStyle="1" w:styleId="a">
    <w:name w:val="a"/>
    <w:basedOn w:val="Normal"/>
    <w:rsid w:val="00BA10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54E8"/>
    <w:rPr>
      <w:color w:val="605E5C"/>
      <w:shd w:val="clear" w:color="auto" w:fill="E1DFDD"/>
    </w:rPr>
  </w:style>
  <w:style w:type="paragraph" w:styleId="FootnoteText">
    <w:name w:val="footnote text"/>
    <w:basedOn w:val="Normal"/>
    <w:link w:val="FootnoteTextChar"/>
    <w:uiPriority w:val="99"/>
    <w:semiHidden/>
    <w:unhideWhenUsed/>
    <w:rsid w:val="00153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F69"/>
    <w:rPr>
      <w:sz w:val="20"/>
      <w:szCs w:val="20"/>
    </w:rPr>
  </w:style>
  <w:style w:type="character" w:styleId="FootnoteReference">
    <w:name w:val="footnote reference"/>
    <w:basedOn w:val="DefaultParagraphFont"/>
    <w:uiPriority w:val="99"/>
    <w:semiHidden/>
    <w:unhideWhenUsed/>
    <w:rsid w:val="00153F69"/>
    <w:rPr>
      <w:vertAlign w:val="superscript"/>
    </w:rPr>
  </w:style>
  <w:style w:type="paragraph" w:styleId="EndnoteText">
    <w:name w:val="endnote text"/>
    <w:basedOn w:val="Normal"/>
    <w:link w:val="EndnoteTextChar"/>
    <w:uiPriority w:val="99"/>
    <w:semiHidden/>
    <w:unhideWhenUsed/>
    <w:rsid w:val="00153F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F69"/>
    <w:rPr>
      <w:sz w:val="20"/>
      <w:szCs w:val="20"/>
    </w:rPr>
  </w:style>
  <w:style w:type="character" w:styleId="EndnoteReference">
    <w:name w:val="endnote reference"/>
    <w:basedOn w:val="DefaultParagraphFont"/>
    <w:uiPriority w:val="99"/>
    <w:semiHidden/>
    <w:unhideWhenUsed/>
    <w:rsid w:val="00153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2432">
      <w:bodyDiv w:val="1"/>
      <w:marLeft w:val="0"/>
      <w:marRight w:val="0"/>
      <w:marTop w:val="0"/>
      <w:marBottom w:val="0"/>
      <w:divBdr>
        <w:top w:val="none" w:sz="0" w:space="0" w:color="auto"/>
        <w:left w:val="none" w:sz="0" w:space="0" w:color="auto"/>
        <w:bottom w:val="none" w:sz="0" w:space="0" w:color="auto"/>
        <w:right w:val="none" w:sz="0" w:space="0" w:color="auto"/>
      </w:divBdr>
    </w:div>
    <w:div w:id="570845209">
      <w:bodyDiv w:val="1"/>
      <w:marLeft w:val="0"/>
      <w:marRight w:val="0"/>
      <w:marTop w:val="0"/>
      <w:marBottom w:val="0"/>
      <w:divBdr>
        <w:top w:val="none" w:sz="0" w:space="0" w:color="auto"/>
        <w:left w:val="none" w:sz="0" w:space="0" w:color="auto"/>
        <w:bottom w:val="none" w:sz="0" w:space="0" w:color="auto"/>
        <w:right w:val="none" w:sz="0" w:space="0" w:color="auto"/>
      </w:divBdr>
    </w:div>
    <w:div w:id="855120554">
      <w:bodyDiv w:val="1"/>
      <w:marLeft w:val="0"/>
      <w:marRight w:val="0"/>
      <w:marTop w:val="0"/>
      <w:marBottom w:val="0"/>
      <w:divBdr>
        <w:top w:val="none" w:sz="0" w:space="0" w:color="auto"/>
        <w:left w:val="none" w:sz="0" w:space="0" w:color="auto"/>
        <w:bottom w:val="none" w:sz="0" w:space="0" w:color="auto"/>
        <w:right w:val="none" w:sz="0" w:space="0" w:color="auto"/>
      </w:divBdr>
    </w:div>
    <w:div w:id="1087463895">
      <w:bodyDiv w:val="1"/>
      <w:marLeft w:val="0"/>
      <w:marRight w:val="0"/>
      <w:marTop w:val="0"/>
      <w:marBottom w:val="0"/>
      <w:divBdr>
        <w:top w:val="none" w:sz="0" w:space="0" w:color="auto"/>
        <w:left w:val="none" w:sz="0" w:space="0" w:color="auto"/>
        <w:bottom w:val="none" w:sz="0" w:space="0" w:color="auto"/>
        <w:right w:val="none" w:sz="0" w:space="0" w:color="auto"/>
      </w:divBdr>
    </w:div>
    <w:div w:id="1293053554">
      <w:bodyDiv w:val="1"/>
      <w:marLeft w:val="0"/>
      <w:marRight w:val="0"/>
      <w:marTop w:val="0"/>
      <w:marBottom w:val="0"/>
      <w:divBdr>
        <w:top w:val="none" w:sz="0" w:space="0" w:color="auto"/>
        <w:left w:val="none" w:sz="0" w:space="0" w:color="auto"/>
        <w:bottom w:val="none" w:sz="0" w:space="0" w:color="auto"/>
        <w:right w:val="none" w:sz="0" w:space="0" w:color="auto"/>
      </w:divBdr>
    </w:div>
    <w:div w:id="1309898713">
      <w:bodyDiv w:val="1"/>
      <w:marLeft w:val="0"/>
      <w:marRight w:val="0"/>
      <w:marTop w:val="0"/>
      <w:marBottom w:val="0"/>
      <w:divBdr>
        <w:top w:val="none" w:sz="0" w:space="0" w:color="auto"/>
        <w:left w:val="none" w:sz="0" w:space="0" w:color="auto"/>
        <w:bottom w:val="none" w:sz="0" w:space="0" w:color="auto"/>
        <w:right w:val="none" w:sz="0" w:space="0" w:color="auto"/>
      </w:divBdr>
    </w:div>
    <w:div w:id="1342393588">
      <w:bodyDiv w:val="1"/>
      <w:marLeft w:val="0"/>
      <w:marRight w:val="0"/>
      <w:marTop w:val="0"/>
      <w:marBottom w:val="0"/>
      <w:divBdr>
        <w:top w:val="none" w:sz="0" w:space="0" w:color="auto"/>
        <w:left w:val="none" w:sz="0" w:space="0" w:color="auto"/>
        <w:bottom w:val="none" w:sz="0" w:space="0" w:color="auto"/>
        <w:right w:val="none" w:sz="0" w:space="0" w:color="auto"/>
      </w:divBdr>
    </w:div>
    <w:div w:id="1682123915">
      <w:bodyDiv w:val="1"/>
      <w:marLeft w:val="0"/>
      <w:marRight w:val="0"/>
      <w:marTop w:val="0"/>
      <w:marBottom w:val="0"/>
      <w:divBdr>
        <w:top w:val="none" w:sz="0" w:space="0" w:color="auto"/>
        <w:left w:val="none" w:sz="0" w:space="0" w:color="auto"/>
        <w:bottom w:val="none" w:sz="0" w:space="0" w:color="auto"/>
        <w:right w:val="none" w:sz="0" w:space="0" w:color="auto"/>
      </w:divBdr>
    </w:div>
    <w:div w:id="1742143769">
      <w:bodyDiv w:val="1"/>
      <w:marLeft w:val="0"/>
      <w:marRight w:val="0"/>
      <w:marTop w:val="0"/>
      <w:marBottom w:val="0"/>
      <w:divBdr>
        <w:top w:val="none" w:sz="0" w:space="0" w:color="auto"/>
        <w:left w:val="none" w:sz="0" w:space="0" w:color="auto"/>
        <w:bottom w:val="none" w:sz="0" w:space="0" w:color="auto"/>
        <w:right w:val="none" w:sz="0" w:space="0" w:color="auto"/>
      </w:divBdr>
    </w:div>
    <w:div w:id="1813868839">
      <w:bodyDiv w:val="1"/>
      <w:marLeft w:val="0"/>
      <w:marRight w:val="0"/>
      <w:marTop w:val="0"/>
      <w:marBottom w:val="0"/>
      <w:divBdr>
        <w:top w:val="none" w:sz="0" w:space="0" w:color="auto"/>
        <w:left w:val="none" w:sz="0" w:space="0" w:color="auto"/>
        <w:bottom w:val="none" w:sz="0" w:space="0" w:color="auto"/>
        <w:right w:val="none" w:sz="0" w:space="0" w:color="auto"/>
      </w:divBdr>
    </w:div>
    <w:div w:id="2029019722">
      <w:bodyDiv w:val="1"/>
      <w:marLeft w:val="0"/>
      <w:marRight w:val="0"/>
      <w:marTop w:val="0"/>
      <w:marBottom w:val="0"/>
      <w:divBdr>
        <w:top w:val="none" w:sz="0" w:space="0" w:color="auto"/>
        <w:left w:val="none" w:sz="0" w:space="0" w:color="auto"/>
        <w:bottom w:val="none" w:sz="0" w:space="0" w:color="auto"/>
        <w:right w:val="none" w:sz="0" w:space="0" w:color="auto"/>
      </w:divBdr>
    </w:div>
    <w:div w:id="20411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data.fca.org.uk%2F%23%2Fnsm%2Fnationalstoragemechanism&amp;data=02%7C01%7Clisa.daniels%40jupiteram.com%7Cf244af61eb4342ff721c08d7e778ef08%7C70e1a0b75bf5416b96c4f244fca5ae53%7C0%7C0%7C637232378919258219&amp;sdata=fkIXUD3TfG1QwIU03eZwSbCu%2F%2BJXhUpLsZd6lA32jVU%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lical.co.uk/investors/shareholder-information/eg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C21D-FFA4-4F0C-92F0-89401043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Palmano</dc:creator>
  <cp:keywords/>
  <dc:description/>
  <cp:lastModifiedBy>Eleanor Gavin</cp:lastModifiedBy>
  <cp:revision>4</cp:revision>
  <cp:lastPrinted>2019-01-23T10:38:00Z</cp:lastPrinted>
  <dcterms:created xsi:type="dcterms:W3CDTF">2022-03-18T14:42:00Z</dcterms:created>
  <dcterms:modified xsi:type="dcterms:W3CDTF">2022-03-18T14:44:00Z</dcterms:modified>
</cp:coreProperties>
</file>