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3824D521" w:rsidR="003C663D" w:rsidRPr="00DA3C49" w:rsidRDefault="00B95821" w:rsidP="00DA3C49">
            <w:pPr>
              <w:jc w:val="center"/>
              <w:rPr>
                <w:rFonts w:ascii="Arial" w:hAnsi="Arial" w:cs="Arial"/>
                <w:szCs w:val="20"/>
              </w:rPr>
            </w:pPr>
            <w:r>
              <w:rPr>
                <w:rFonts w:ascii="Arial" w:hAnsi="Arial" w:cs="Arial"/>
                <w:szCs w:val="20"/>
              </w:rPr>
              <w:t>RICARDO</w:t>
            </w:r>
            <w:r w:rsidR="00612DCA" w:rsidRPr="00612DCA">
              <w:rPr>
                <w:rFonts w:ascii="Arial" w:hAnsi="Arial" w:cs="Arial"/>
                <w:szCs w:val="20"/>
              </w:rPr>
              <w:t xml:space="preserve">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71469229" w:rsidR="00B66C47" w:rsidRPr="00B66C47" w:rsidRDefault="00612DCA"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3B622B4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0E1A17CA"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r w:rsidR="00E14C0E">
              <w:rPr>
                <w:rFonts w:ascii="Arial" w:hAnsi="Arial" w:cs="Arial"/>
                <w:sz w:val="21"/>
                <w:szCs w:val="21"/>
              </w:rPr>
              <w:t xml:space="preserve"> </w:t>
            </w:r>
          </w:p>
        </w:tc>
        <w:tc>
          <w:tcPr>
            <w:tcW w:w="686" w:type="dxa"/>
            <w:vAlign w:val="center"/>
          </w:tcPr>
          <w:p w14:paraId="49F84879" w14:textId="25DF02DC"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E14C0E" w14:paraId="0E37DC8B" w14:textId="77777777" w:rsidTr="00DF279F">
        <w:trPr>
          <w:trHeight w:val="390"/>
        </w:trPr>
        <w:tc>
          <w:tcPr>
            <w:tcW w:w="5398" w:type="dxa"/>
            <w:gridSpan w:val="3"/>
            <w:tcBorders>
              <w:bottom w:val="nil"/>
            </w:tcBorders>
            <w:vAlign w:val="center"/>
          </w:tcPr>
          <w:p w14:paraId="4DCFC34E" w14:textId="77777777" w:rsidR="00E14C0E" w:rsidRPr="003C663D" w:rsidRDefault="00E14C0E" w:rsidP="00E14C0E">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3E3ED58F" w:rsidR="00E14C0E" w:rsidRPr="00B66C47" w:rsidRDefault="00E14C0E" w:rsidP="00E14C0E">
            <w:pPr>
              <w:rPr>
                <w:rFonts w:ascii="Arial" w:hAnsi="Arial" w:cs="Arial"/>
              </w:rPr>
            </w:pPr>
            <w:r w:rsidRPr="00DC137B">
              <w:rPr>
                <w:rFonts w:ascii="Arial" w:hAnsi="Arial" w:cs="Arial"/>
              </w:rPr>
              <w:t>Gresham House Asset Management Limited</w:t>
            </w:r>
          </w:p>
        </w:tc>
      </w:tr>
      <w:tr w:rsidR="00E14C0E" w14:paraId="3E3BCB28" w14:textId="77777777" w:rsidTr="00DF279F">
        <w:trPr>
          <w:trHeight w:val="390"/>
        </w:trPr>
        <w:tc>
          <w:tcPr>
            <w:tcW w:w="5398" w:type="dxa"/>
            <w:gridSpan w:val="3"/>
            <w:tcBorders>
              <w:bottom w:val="nil"/>
            </w:tcBorders>
            <w:vAlign w:val="center"/>
          </w:tcPr>
          <w:p w14:paraId="10146F54" w14:textId="77777777" w:rsidR="00E14C0E" w:rsidRPr="003C663D" w:rsidRDefault="00E14C0E" w:rsidP="00E14C0E">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0B93AB57" w:rsidR="00E14C0E" w:rsidRDefault="00E14C0E" w:rsidP="00E14C0E">
            <w:pPr>
              <w:rPr>
                <w:rFonts w:ascii="Arial" w:hAnsi="Arial" w:cs="Arial"/>
              </w:rPr>
            </w:pPr>
            <w:r>
              <w:rPr>
                <w:rFonts w:ascii="Arial" w:hAnsi="Arial" w:cs="Arial"/>
              </w:rPr>
              <w:t>London, UK</w:t>
            </w:r>
          </w:p>
        </w:tc>
      </w:tr>
      <w:tr w:rsidR="00E14C0E" w14:paraId="345EE2FA" w14:textId="77777777" w:rsidTr="00461C29">
        <w:trPr>
          <w:trHeight w:val="489"/>
        </w:trPr>
        <w:tc>
          <w:tcPr>
            <w:tcW w:w="10620" w:type="dxa"/>
            <w:gridSpan w:val="7"/>
            <w:vAlign w:val="center"/>
          </w:tcPr>
          <w:p w14:paraId="16ED9AF8" w14:textId="0C66183E" w:rsidR="00E14C0E" w:rsidRPr="000B4E53" w:rsidRDefault="00E14C0E" w:rsidP="00E14C0E">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E14C0E" w14:paraId="31BC7DF8" w14:textId="77777777" w:rsidTr="00DF279F">
        <w:trPr>
          <w:trHeight w:val="483"/>
        </w:trPr>
        <w:tc>
          <w:tcPr>
            <w:tcW w:w="5398" w:type="dxa"/>
            <w:gridSpan w:val="3"/>
            <w:vAlign w:val="center"/>
          </w:tcPr>
          <w:p w14:paraId="37366437" w14:textId="77777777" w:rsidR="00E14C0E" w:rsidRPr="003C663D" w:rsidRDefault="00E14C0E" w:rsidP="00E14C0E">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C35AAFA" w:rsidR="00612DCA" w:rsidRPr="00DA3C49" w:rsidRDefault="00612DCA" w:rsidP="00B95821">
            <w:pPr>
              <w:rPr>
                <w:rFonts w:ascii="Arial" w:hAnsi="Arial" w:cs="Arial"/>
              </w:rPr>
            </w:pPr>
          </w:p>
        </w:tc>
      </w:tr>
      <w:tr w:rsidR="00E14C0E" w14:paraId="06945583" w14:textId="77777777" w:rsidTr="00DF279F">
        <w:trPr>
          <w:trHeight w:val="537"/>
        </w:trPr>
        <w:tc>
          <w:tcPr>
            <w:tcW w:w="5398" w:type="dxa"/>
            <w:gridSpan w:val="3"/>
            <w:vAlign w:val="center"/>
          </w:tcPr>
          <w:p w14:paraId="27396777" w14:textId="77777777" w:rsidR="00E14C0E" w:rsidRPr="003C663D" w:rsidRDefault="00E14C0E" w:rsidP="00E14C0E">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40F047C" w:rsidR="00E14C0E" w:rsidRPr="00DA3C49" w:rsidRDefault="00E14C0E" w:rsidP="00E14C0E">
            <w:pPr>
              <w:rPr>
                <w:rFonts w:ascii="Arial" w:hAnsi="Arial" w:cs="Arial"/>
              </w:rPr>
            </w:pPr>
            <w:r>
              <w:rPr>
                <w:rFonts w:ascii="Arial" w:hAnsi="Arial" w:cs="Arial"/>
              </w:rPr>
              <w:t>London, UK</w:t>
            </w:r>
          </w:p>
        </w:tc>
      </w:tr>
      <w:tr w:rsidR="00E14C0E" w:rsidRPr="00C02C65" w14:paraId="6DCE3E18" w14:textId="77777777" w:rsidTr="00DF279F">
        <w:trPr>
          <w:trHeight w:val="669"/>
        </w:trPr>
        <w:tc>
          <w:tcPr>
            <w:tcW w:w="5398" w:type="dxa"/>
            <w:gridSpan w:val="3"/>
            <w:vAlign w:val="center"/>
          </w:tcPr>
          <w:p w14:paraId="03A13578" w14:textId="5E7E6A3A" w:rsidR="00E14C0E" w:rsidRPr="00C02C65" w:rsidRDefault="00E14C0E" w:rsidP="00E14C0E">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52D96943" w:rsidR="00E14C0E" w:rsidRPr="00C02C65" w:rsidRDefault="00E65D3E" w:rsidP="00E14C0E">
            <w:pPr>
              <w:rPr>
                <w:rFonts w:ascii="Arial" w:hAnsi="Arial" w:cs="Arial"/>
              </w:rPr>
            </w:pPr>
            <w:r>
              <w:rPr>
                <w:rFonts w:ascii="Arial" w:hAnsi="Arial" w:cs="Arial"/>
              </w:rPr>
              <w:t>13</w:t>
            </w:r>
            <w:r w:rsidR="00E14C0E" w:rsidRPr="009F423C">
              <w:rPr>
                <w:rFonts w:ascii="Arial" w:hAnsi="Arial" w:cs="Arial"/>
              </w:rPr>
              <w:t>/</w:t>
            </w:r>
            <w:r>
              <w:rPr>
                <w:rFonts w:ascii="Arial" w:hAnsi="Arial" w:cs="Arial"/>
              </w:rPr>
              <w:t>11</w:t>
            </w:r>
            <w:r w:rsidR="00E14C0E">
              <w:rPr>
                <w:rFonts w:ascii="Arial" w:hAnsi="Arial" w:cs="Arial"/>
              </w:rPr>
              <w:t>/202</w:t>
            </w:r>
            <w:r w:rsidR="00443F34">
              <w:rPr>
                <w:rFonts w:ascii="Arial" w:hAnsi="Arial" w:cs="Arial"/>
              </w:rPr>
              <w:t>4</w:t>
            </w:r>
          </w:p>
        </w:tc>
      </w:tr>
      <w:tr w:rsidR="00E14C0E" w:rsidRPr="00C02C65" w14:paraId="6AAB677D" w14:textId="77777777" w:rsidTr="00DF279F">
        <w:trPr>
          <w:trHeight w:val="535"/>
        </w:trPr>
        <w:tc>
          <w:tcPr>
            <w:tcW w:w="5398" w:type="dxa"/>
            <w:gridSpan w:val="3"/>
            <w:vAlign w:val="center"/>
          </w:tcPr>
          <w:p w14:paraId="1C311050" w14:textId="77777777" w:rsidR="00E14C0E" w:rsidRPr="00C02C65" w:rsidRDefault="00E14C0E" w:rsidP="00E14C0E">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0749C25" w:rsidR="00E14C0E" w:rsidRPr="00FA5D07" w:rsidRDefault="00E65D3E" w:rsidP="00E14C0E">
            <w:pPr>
              <w:rPr>
                <w:rFonts w:ascii="Arial" w:hAnsi="Arial" w:cs="Arial"/>
              </w:rPr>
            </w:pPr>
            <w:r>
              <w:rPr>
                <w:rFonts w:ascii="Arial" w:hAnsi="Arial" w:cs="Arial"/>
              </w:rPr>
              <w:t>15</w:t>
            </w:r>
            <w:r w:rsidR="00E14C0E" w:rsidRPr="00D516F0">
              <w:rPr>
                <w:rFonts w:ascii="Arial" w:hAnsi="Arial" w:cs="Arial"/>
              </w:rPr>
              <w:t>/</w:t>
            </w:r>
            <w:r>
              <w:rPr>
                <w:rFonts w:ascii="Arial" w:hAnsi="Arial" w:cs="Arial"/>
              </w:rPr>
              <w:t>11</w:t>
            </w:r>
            <w:r w:rsidR="00E14C0E" w:rsidRPr="00D516F0">
              <w:rPr>
                <w:rFonts w:ascii="Arial" w:hAnsi="Arial" w:cs="Arial"/>
              </w:rPr>
              <w:t>/202</w:t>
            </w:r>
            <w:r w:rsidR="00443F34">
              <w:rPr>
                <w:rFonts w:ascii="Arial" w:hAnsi="Arial" w:cs="Arial"/>
              </w:rPr>
              <w:t>4</w:t>
            </w:r>
          </w:p>
        </w:tc>
      </w:tr>
      <w:tr w:rsidR="00E14C0E" w:rsidRPr="00C02C65" w14:paraId="4EDB746A" w14:textId="77777777" w:rsidTr="00B66C47">
        <w:trPr>
          <w:trHeight w:val="555"/>
        </w:trPr>
        <w:tc>
          <w:tcPr>
            <w:tcW w:w="10620" w:type="dxa"/>
            <w:gridSpan w:val="7"/>
            <w:vAlign w:val="center"/>
          </w:tcPr>
          <w:p w14:paraId="4CAE1EAB" w14:textId="77777777" w:rsidR="00E14C0E" w:rsidRPr="00C02C65" w:rsidRDefault="00E14C0E" w:rsidP="00E14C0E">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E14C0E" w:rsidRPr="00C02C65" w14:paraId="41263170" w14:textId="77777777" w:rsidTr="00B66C47">
        <w:trPr>
          <w:trHeight w:val="555"/>
        </w:trPr>
        <w:tc>
          <w:tcPr>
            <w:tcW w:w="2124" w:type="dxa"/>
            <w:vAlign w:val="center"/>
          </w:tcPr>
          <w:p w14:paraId="540DEEBB" w14:textId="77777777" w:rsidR="00E14C0E" w:rsidRPr="00C02C65" w:rsidRDefault="00E14C0E" w:rsidP="00E14C0E">
            <w:pPr>
              <w:rPr>
                <w:rFonts w:ascii="Arial" w:hAnsi="Arial" w:cs="Arial"/>
              </w:rPr>
            </w:pPr>
          </w:p>
        </w:tc>
        <w:tc>
          <w:tcPr>
            <w:tcW w:w="2124" w:type="dxa"/>
            <w:vAlign w:val="center"/>
          </w:tcPr>
          <w:p w14:paraId="358C6F2D"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E14C0E" w:rsidRPr="006B0D69" w:rsidRDefault="00E14C0E" w:rsidP="00E14C0E">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E14C0E" w:rsidRPr="00C02C65" w14:paraId="692C4821" w14:textId="77777777" w:rsidTr="00B66C47">
        <w:trPr>
          <w:trHeight w:val="555"/>
        </w:trPr>
        <w:tc>
          <w:tcPr>
            <w:tcW w:w="2124" w:type="dxa"/>
            <w:vAlign w:val="center"/>
          </w:tcPr>
          <w:p w14:paraId="71435E97" w14:textId="77777777" w:rsidR="00E14C0E" w:rsidRPr="006B0D69" w:rsidRDefault="00E14C0E" w:rsidP="00E14C0E">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78F85653" w:rsidR="00E14C0E" w:rsidRPr="00C02C65" w:rsidRDefault="00E976F8" w:rsidP="00E14C0E">
            <w:pP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F10ED3" w:rsidRPr="00F10ED3">
              <w:rPr>
                <w:rFonts w:ascii="Arial" w:hAnsi="Arial" w:cs="Arial"/>
              </w:rPr>
              <w:t>%</w:t>
            </w:r>
          </w:p>
        </w:tc>
        <w:tc>
          <w:tcPr>
            <w:tcW w:w="2313" w:type="dxa"/>
            <w:gridSpan w:val="2"/>
            <w:vAlign w:val="center"/>
          </w:tcPr>
          <w:p w14:paraId="0BAD4D95" w14:textId="77777777" w:rsidR="00E14C0E" w:rsidRPr="00C02C65" w:rsidRDefault="00E14C0E" w:rsidP="00E14C0E">
            <w:pPr>
              <w:rPr>
                <w:rFonts w:ascii="Arial" w:hAnsi="Arial" w:cs="Arial"/>
              </w:rPr>
            </w:pPr>
          </w:p>
        </w:tc>
        <w:tc>
          <w:tcPr>
            <w:tcW w:w="2126" w:type="dxa"/>
            <w:vAlign w:val="center"/>
          </w:tcPr>
          <w:p w14:paraId="1286136A" w14:textId="0E891EC8" w:rsidR="00E14C0E" w:rsidRPr="00C02C65" w:rsidRDefault="00E976F8" w:rsidP="00E14C0E">
            <w:pP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422910" w:rsidRPr="00422910">
              <w:rPr>
                <w:rFonts w:ascii="Arial" w:hAnsi="Arial" w:cs="Arial"/>
              </w:rPr>
              <w:t>%</w:t>
            </w:r>
          </w:p>
        </w:tc>
        <w:tc>
          <w:tcPr>
            <w:tcW w:w="1933" w:type="dxa"/>
            <w:gridSpan w:val="2"/>
            <w:vAlign w:val="center"/>
          </w:tcPr>
          <w:p w14:paraId="3CA38B85" w14:textId="3EAD069C" w:rsidR="00E14C0E" w:rsidRPr="00C02C65" w:rsidRDefault="00E976F8" w:rsidP="00E14C0E">
            <w:pPr>
              <w:rPr>
                <w:rFonts w:ascii="Arial" w:hAnsi="Arial" w:cs="Arial"/>
              </w:rPr>
            </w:pPr>
            <w:r>
              <w:rPr>
                <w:rFonts w:ascii="Arial" w:hAnsi="Arial" w:cs="Arial"/>
              </w:rPr>
              <w:t>1</w:t>
            </w:r>
            <w:r w:rsidR="00E65D3E">
              <w:rPr>
                <w:rFonts w:ascii="Arial" w:hAnsi="Arial" w:cs="Arial"/>
              </w:rPr>
              <w:t>3</w:t>
            </w:r>
            <w:r>
              <w:rPr>
                <w:rFonts w:ascii="Arial" w:hAnsi="Arial" w:cs="Arial"/>
              </w:rPr>
              <w:t>,</w:t>
            </w:r>
            <w:r w:rsidR="00E65D3E">
              <w:rPr>
                <w:rFonts w:ascii="Arial" w:hAnsi="Arial" w:cs="Arial"/>
              </w:rPr>
              <w:t>151</w:t>
            </w:r>
            <w:r>
              <w:rPr>
                <w:rFonts w:ascii="Arial" w:hAnsi="Arial" w:cs="Arial"/>
              </w:rPr>
              <w:t>,</w:t>
            </w:r>
            <w:r w:rsidR="00E65D3E">
              <w:rPr>
                <w:rFonts w:ascii="Arial" w:hAnsi="Arial" w:cs="Arial"/>
              </w:rPr>
              <w:t>696</w:t>
            </w:r>
          </w:p>
        </w:tc>
      </w:tr>
      <w:tr w:rsidR="00E14C0E" w:rsidRPr="00C02C65" w14:paraId="705323D6" w14:textId="77777777" w:rsidTr="003C663D">
        <w:trPr>
          <w:trHeight w:val="848"/>
        </w:trPr>
        <w:tc>
          <w:tcPr>
            <w:tcW w:w="2124" w:type="dxa"/>
            <w:vAlign w:val="center"/>
          </w:tcPr>
          <w:p w14:paraId="62D7F985" w14:textId="77777777" w:rsidR="00E14C0E" w:rsidRDefault="00E14C0E" w:rsidP="00E14C0E">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E14C0E" w:rsidRPr="006B0D69" w:rsidRDefault="00E14C0E" w:rsidP="00E14C0E">
            <w:pPr>
              <w:rPr>
                <w:rFonts w:ascii="Arial" w:hAnsi="Arial" w:cs="Arial"/>
                <w:sz w:val="20"/>
                <w:szCs w:val="20"/>
              </w:rPr>
            </w:pPr>
            <w:r>
              <w:rPr>
                <w:rFonts w:ascii="Arial" w:hAnsi="Arial" w:cs="Arial"/>
                <w:sz w:val="20"/>
                <w:szCs w:val="20"/>
              </w:rPr>
              <w:t>applicable)</w:t>
            </w:r>
          </w:p>
        </w:tc>
        <w:tc>
          <w:tcPr>
            <w:tcW w:w="2124" w:type="dxa"/>
            <w:vAlign w:val="center"/>
          </w:tcPr>
          <w:p w14:paraId="2C79F205" w14:textId="5D65B8EC" w:rsidR="00E14C0E" w:rsidRPr="00C02C65" w:rsidRDefault="00E65D3E" w:rsidP="00E14C0E">
            <w:pPr>
              <w:rPr>
                <w:rFonts w:ascii="Arial" w:hAnsi="Arial" w:cs="Arial"/>
              </w:rPr>
            </w:pPr>
            <w:r>
              <w:rPr>
                <w:rFonts w:ascii="Arial" w:hAnsi="Arial" w:cs="Arial"/>
              </w:rPr>
              <w:t>20</w:t>
            </w:r>
            <w:r w:rsidR="00E976F8">
              <w:rPr>
                <w:rFonts w:ascii="Arial" w:hAnsi="Arial" w:cs="Arial"/>
              </w:rPr>
              <w:t>.</w:t>
            </w:r>
            <w:r>
              <w:rPr>
                <w:rFonts w:ascii="Arial" w:hAnsi="Arial" w:cs="Arial"/>
              </w:rPr>
              <w:t>15</w:t>
            </w:r>
            <w:r w:rsidR="00422910" w:rsidRPr="00422910">
              <w:rPr>
                <w:rFonts w:ascii="Arial" w:hAnsi="Arial" w:cs="Arial"/>
              </w:rPr>
              <w:t>%</w:t>
            </w:r>
          </w:p>
        </w:tc>
        <w:tc>
          <w:tcPr>
            <w:tcW w:w="2313" w:type="dxa"/>
            <w:gridSpan w:val="2"/>
            <w:vAlign w:val="center"/>
          </w:tcPr>
          <w:p w14:paraId="5D466E26" w14:textId="77777777" w:rsidR="00E14C0E" w:rsidRPr="00C02C65" w:rsidRDefault="00E14C0E" w:rsidP="00E14C0E">
            <w:pPr>
              <w:rPr>
                <w:rFonts w:ascii="Arial" w:hAnsi="Arial" w:cs="Arial"/>
              </w:rPr>
            </w:pPr>
          </w:p>
        </w:tc>
        <w:tc>
          <w:tcPr>
            <w:tcW w:w="2126" w:type="dxa"/>
            <w:vAlign w:val="center"/>
          </w:tcPr>
          <w:p w14:paraId="71FC9AD1" w14:textId="157EE143" w:rsidR="00E14C0E" w:rsidRPr="00C02C65" w:rsidRDefault="00E65D3E" w:rsidP="00E14C0E">
            <w:pPr>
              <w:rPr>
                <w:rFonts w:ascii="Arial" w:hAnsi="Arial" w:cs="Arial"/>
              </w:rPr>
            </w:pPr>
            <w:r>
              <w:rPr>
                <w:rFonts w:ascii="Arial" w:hAnsi="Arial" w:cs="Arial"/>
              </w:rPr>
              <w:t>20</w:t>
            </w:r>
            <w:r w:rsidR="00E976F8">
              <w:rPr>
                <w:rFonts w:ascii="Arial" w:hAnsi="Arial" w:cs="Arial"/>
              </w:rPr>
              <w:t>.</w:t>
            </w:r>
            <w:r>
              <w:rPr>
                <w:rFonts w:ascii="Arial" w:hAnsi="Arial" w:cs="Arial"/>
              </w:rPr>
              <w:t>15</w:t>
            </w:r>
            <w:r w:rsidR="00422910" w:rsidRPr="00422910">
              <w:rPr>
                <w:rFonts w:ascii="Arial" w:hAnsi="Arial" w:cs="Arial"/>
              </w:rPr>
              <w:t>%</w:t>
            </w:r>
          </w:p>
        </w:tc>
        <w:tc>
          <w:tcPr>
            <w:tcW w:w="1933" w:type="dxa"/>
            <w:gridSpan w:val="2"/>
            <w:shd w:val="thinDiagStripe" w:color="auto" w:fill="auto"/>
            <w:vAlign w:val="center"/>
          </w:tcPr>
          <w:p w14:paraId="02CC3D2A" w14:textId="77777777" w:rsidR="00E14C0E" w:rsidRPr="00C02C65" w:rsidRDefault="00E14C0E" w:rsidP="00E14C0E">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612DCA"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5FF6F200" w:rsidR="00612DCA" w:rsidRPr="004D4E06" w:rsidRDefault="00612DCA" w:rsidP="00612DCA">
            <w:pPr>
              <w:rPr>
                <w:rFonts w:ascii="Arial" w:hAnsi="Arial" w:cs="Arial"/>
              </w:rPr>
            </w:pPr>
            <w:r w:rsidRPr="00612DCA">
              <w:rPr>
                <w:rFonts w:ascii="Arial" w:hAnsi="Arial" w:cs="Arial"/>
              </w:rPr>
              <w:t>GB00</w:t>
            </w:r>
            <w:r w:rsidR="00B95821">
              <w:rPr>
                <w:rFonts w:ascii="Arial" w:hAnsi="Arial" w:cs="Arial"/>
              </w:rPr>
              <w:t>07370074</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253AD582" w:rsidR="00612DCA" w:rsidRPr="000B4E53" w:rsidRDefault="00E976F8" w:rsidP="00612DCA">
            <w:pPr>
              <w:rPr>
                <w:rFonts w:ascii="Arial" w:hAnsi="Arial" w:cs="Arial"/>
              </w:rPr>
            </w:pPr>
            <w:r>
              <w:rPr>
                <w:rFonts w:ascii="Arial" w:hAnsi="Arial" w:cs="Arial"/>
              </w:rPr>
              <w:t>1</w:t>
            </w:r>
            <w:r w:rsidR="00E65D3E">
              <w:rPr>
                <w:rFonts w:ascii="Arial" w:hAnsi="Arial" w:cs="Arial"/>
              </w:rPr>
              <w:t>3</w:t>
            </w:r>
            <w:r>
              <w:rPr>
                <w:rFonts w:ascii="Arial" w:hAnsi="Arial" w:cs="Arial"/>
              </w:rPr>
              <w:t>,</w:t>
            </w:r>
            <w:r w:rsidR="00E65D3E">
              <w:rPr>
                <w:rFonts w:ascii="Arial" w:hAnsi="Arial" w:cs="Arial"/>
              </w:rPr>
              <w:t>151</w:t>
            </w:r>
            <w:r>
              <w:rPr>
                <w:rFonts w:ascii="Arial" w:hAnsi="Arial" w:cs="Arial"/>
              </w:rPr>
              <w:t>,</w:t>
            </w:r>
            <w:r w:rsidR="00E65D3E">
              <w:rPr>
                <w:rFonts w:ascii="Arial" w:hAnsi="Arial" w:cs="Arial"/>
              </w:rPr>
              <w:t>696</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425DCB60" w:rsidR="00612DCA" w:rsidRPr="000B4E53" w:rsidRDefault="00E976F8" w:rsidP="00612DCA">
            <w:pP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422910" w:rsidRPr="00422910">
              <w:rPr>
                <w:rFonts w:ascii="Arial" w:hAnsi="Arial" w:cs="Arial"/>
              </w:rPr>
              <w:t>%</w:t>
            </w:r>
          </w:p>
        </w:tc>
      </w:tr>
      <w:tr w:rsidR="00612DCA"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612DCA" w:rsidRPr="004D4E06" w:rsidRDefault="00612DCA" w:rsidP="00612DC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612DCA" w:rsidRPr="000B4E53" w:rsidRDefault="00612DCA" w:rsidP="00612DC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612DCA" w:rsidRPr="000B4E53" w:rsidRDefault="00612DCA" w:rsidP="00612DCA">
            <w:pPr>
              <w:rPr>
                <w:rFonts w:ascii="Arial" w:hAnsi="Arial" w:cs="Arial"/>
              </w:rPr>
            </w:pPr>
          </w:p>
        </w:tc>
      </w:tr>
      <w:tr w:rsidR="00612DCA"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612DCA" w:rsidRPr="004D4E06" w:rsidRDefault="00612DCA" w:rsidP="00612DC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612DCA" w:rsidRPr="000B4E53" w:rsidRDefault="00612DCA" w:rsidP="00612DC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612DCA" w:rsidRPr="000B4E53" w:rsidRDefault="00612DCA" w:rsidP="00612DCA">
            <w:pPr>
              <w:rPr>
                <w:rFonts w:ascii="Arial" w:hAnsi="Arial" w:cs="Arial"/>
              </w:rPr>
            </w:pPr>
          </w:p>
        </w:tc>
      </w:tr>
      <w:tr w:rsidR="00612DCA"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612DCA" w:rsidRPr="004D4E06" w:rsidRDefault="00612DCA" w:rsidP="00612DCA">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0B4712A7" w:rsidR="00612DCA" w:rsidRPr="000B4E53" w:rsidRDefault="00E976F8" w:rsidP="00612DCA">
            <w:pPr>
              <w:jc w:val="center"/>
              <w:rPr>
                <w:rFonts w:ascii="Arial" w:hAnsi="Arial" w:cs="Arial"/>
              </w:rPr>
            </w:pPr>
            <w:r>
              <w:rPr>
                <w:rFonts w:ascii="Arial" w:hAnsi="Arial" w:cs="Arial"/>
              </w:rPr>
              <w:t>1</w:t>
            </w:r>
            <w:r w:rsidR="00E65D3E">
              <w:rPr>
                <w:rFonts w:ascii="Arial" w:hAnsi="Arial" w:cs="Arial"/>
              </w:rPr>
              <w:t>3</w:t>
            </w:r>
            <w:r>
              <w:rPr>
                <w:rFonts w:ascii="Arial" w:hAnsi="Arial" w:cs="Arial"/>
              </w:rPr>
              <w:t>,</w:t>
            </w:r>
            <w:r w:rsidR="00E65D3E">
              <w:rPr>
                <w:rFonts w:ascii="Arial" w:hAnsi="Arial" w:cs="Arial"/>
              </w:rPr>
              <w:t>151</w:t>
            </w:r>
            <w:r>
              <w:rPr>
                <w:rFonts w:ascii="Arial" w:hAnsi="Arial" w:cs="Arial"/>
              </w:rPr>
              <w:t>,</w:t>
            </w:r>
            <w:r w:rsidR="00E65D3E">
              <w:rPr>
                <w:rFonts w:ascii="Arial" w:hAnsi="Arial" w:cs="Arial"/>
              </w:rPr>
              <w:t>696</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394DC03D" w:rsidR="00612DCA" w:rsidRPr="000B4E53" w:rsidRDefault="00E976F8" w:rsidP="00612DCA">
            <w:pPr>
              <w:jc w:val="cente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422910" w:rsidRPr="00422910">
              <w:rPr>
                <w:rFonts w:ascii="Arial" w:hAnsi="Arial" w:cs="Arial"/>
              </w:rPr>
              <w:t>%</w:t>
            </w:r>
          </w:p>
        </w:tc>
      </w:tr>
      <w:tr w:rsidR="00612DCA"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612DCA" w:rsidRDefault="00612DCA" w:rsidP="00612DCA">
            <w:pPr>
              <w:rPr>
                <w:rFonts w:ascii="Arial" w:hAnsi="Arial" w:cs="Arial"/>
              </w:rPr>
            </w:pPr>
          </w:p>
          <w:p w14:paraId="20595C03" w14:textId="77777777" w:rsidR="00612DCA" w:rsidRPr="000B4E53" w:rsidRDefault="00612DCA" w:rsidP="00612DCA">
            <w:pPr>
              <w:rPr>
                <w:rFonts w:ascii="Arial" w:hAnsi="Arial" w:cs="Arial"/>
              </w:rPr>
            </w:pPr>
          </w:p>
        </w:tc>
      </w:tr>
      <w:tr w:rsidR="00612DCA"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612DCA" w:rsidRPr="000B4E53" w:rsidRDefault="00612DCA" w:rsidP="00612DCA">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612DCA"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612DCA" w:rsidRPr="00B83ACF" w:rsidRDefault="00612DCA" w:rsidP="00612DC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612DCA" w:rsidRPr="000B4E53" w:rsidRDefault="00612DCA" w:rsidP="00612DC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612DCA" w:rsidRPr="000B4E53" w:rsidRDefault="00612DCA" w:rsidP="00612DCA">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612DCA" w:rsidRDefault="00612DCA" w:rsidP="00612DC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612DCA" w:rsidRPr="00AA0444" w:rsidRDefault="00612DCA" w:rsidP="00612DCA">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612DCA" w:rsidRPr="0027431A" w:rsidRDefault="00612DCA" w:rsidP="00612DC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12DCA"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612DCA" w:rsidRPr="000B4E53" w:rsidRDefault="00612DCA" w:rsidP="00612DCA">
            <w:pPr>
              <w:rPr>
                <w:rFonts w:ascii="Arial" w:hAnsi="Arial" w:cs="Arial"/>
              </w:rPr>
            </w:pPr>
          </w:p>
        </w:tc>
      </w:tr>
      <w:tr w:rsidR="00612DCA"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612DCA" w:rsidRPr="000B4E53" w:rsidRDefault="00612DCA" w:rsidP="00612DCA">
            <w:pPr>
              <w:rPr>
                <w:rFonts w:ascii="Arial" w:hAnsi="Arial" w:cs="Arial"/>
              </w:rPr>
            </w:pPr>
          </w:p>
        </w:tc>
      </w:tr>
      <w:tr w:rsidR="00612DCA"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612DCA" w:rsidRPr="000B4E53" w:rsidRDefault="00612DCA" w:rsidP="00612DCA">
            <w:pPr>
              <w:rPr>
                <w:rFonts w:ascii="Arial" w:hAnsi="Arial" w:cs="Arial"/>
              </w:rPr>
            </w:pPr>
          </w:p>
        </w:tc>
      </w:tr>
      <w:tr w:rsidR="00612DCA"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612DCA" w:rsidRPr="000B4E53" w:rsidRDefault="00612DCA" w:rsidP="00612DCA">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612DCA" w:rsidRPr="00E96684" w:rsidRDefault="00612DCA" w:rsidP="00612DCA">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612DCA" w:rsidRPr="000B4E53" w:rsidRDefault="00612DCA" w:rsidP="00612DCA">
            <w:pPr>
              <w:rPr>
                <w:rFonts w:ascii="Arial" w:hAnsi="Arial" w:cs="Arial"/>
              </w:rPr>
            </w:pPr>
          </w:p>
        </w:tc>
      </w:tr>
      <w:tr w:rsidR="00612DCA"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612DCA" w:rsidRDefault="00612DCA" w:rsidP="00612DCA">
            <w:pPr>
              <w:rPr>
                <w:rFonts w:ascii="Arial" w:hAnsi="Arial" w:cs="Arial"/>
              </w:rPr>
            </w:pPr>
          </w:p>
          <w:p w14:paraId="21E8EB91" w14:textId="77777777" w:rsidR="00612DCA" w:rsidRPr="000B4E53" w:rsidRDefault="00612DCA" w:rsidP="00612DCA">
            <w:pPr>
              <w:rPr>
                <w:rFonts w:ascii="Arial" w:hAnsi="Arial" w:cs="Arial"/>
              </w:rPr>
            </w:pPr>
          </w:p>
        </w:tc>
      </w:tr>
      <w:tr w:rsidR="00612DCA"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612DCA" w:rsidRPr="000B4E53" w:rsidRDefault="00612DCA" w:rsidP="00612DCA">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612DCA"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612DCA" w:rsidRPr="00B83ACF" w:rsidRDefault="00612DCA" w:rsidP="00612DC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612DCA" w:rsidRPr="000B4E53" w:rsidRDefault="00612DCA" w:rsidP="00612DC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612DCA" w:rsidRPr="003B54C6" w:rsidRDefault="00612DCA" w:rsidP="00612DCA">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612DCA" w:rsidRDefault="00612DCA" w:rsidP="00612DCA">
            <w:pPr>
              <w:rPr>
                <w:rFonts w:ascii="Arial" w:hAnsi="Arial" w:cs="Arial"/>
                <w:b/>
                <w:sz w:val="20"/>
                <w:szCs w:val="20"/>
              </w:rPr>
            </w:pPr>
            <w:r>
              <w:rPr>
                <w:rFonts w:ascii="Arial" w:hAnsi="Arial" w:cs="Arial"/>
                <w:b/>
                <w:sz w:val="20"/>
                <w:szCs w:val="20"/>
              </w:rPr>
              <w:t xml:space="preserve">Physical or cash </w:t>
            </w:r>
          </w:p>
          <w:p w14:paraId="1BA40094" w14:textId="51CE9B9A" w:rsidR="00612DCA" w:rsidRPr="000B4E53" w:rsidRDefault="00612DCA" w:rsidP="00612DCA">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612DCA" w:rsidRPr="00AA0444" w:rsidRDefault="00612DCA" w:rsidP="00612DC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612DCA" w:rsidRPr="000B4E53" w:rsidRDefault="00612DCA" w:rsidP="00612DC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12DCA"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612DCA" w:rsidRPr="00E75CA8" w:rsidRDefault="00612DCA" w:rsidP="00612DC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612DCA" w:rsidRPr="00E75CA8" w:rsidRDefault="00612DCA" w:rsidP="00612DCA">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612DCA" w:rsidRPr="00E75CA8" w:rsidRDefault="00612DCA" w:rsidP="00612DCA">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612DCA" w:rsidRPr="00E75CA8" w:rsidRDefault="00612DCA" w:rsidP="00612DCA">
            <w:pPr>
              <w:rPr>
                <w:rFonts w:ascii="Arial" w:hAnsi="Arial" w:cs="Arial"/>
                <w:szCs w:val="22"/>
              </w:rPr>
            </w:pPr>
          </w:p>
        </w:tc>
      </w:tr>
      <w:tr w:rsidR="00612DCA"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612DCA" w:rsidRPr="00562A7B" w:rsidRDefault="00612DCA" w:rsidP="00612DC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612DCA" w:rsidRPr="00562A7B" w:rsidRDefault="00612DCA" w:rsidP="00612DC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612DCA" w:rsidRPr="00562A7B"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612DCA" w:rsidRPr="00562A7B" w:rsidRDefault="00612DCA" w:rsidP="00612DCA">
            <w:pPr>
              <w:rPr>
                <w:rFonts w:ascii="Arial" w:hAnsi="Arial" w:cs="Arial"/>
              </w:rPr>
            </w:pPr>
          </w:p>
        </w:tc>
      </w:tr>
      <w:tr w:rsidR="00612DCA"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612DCA" w:rsidRPr="00562A7B" w:rsidRDefault="00612DCA" w:rsidP="00612DC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612DCA" w:rsidRPr="00562A7B" w:rsidRDefault="00612DCA" w:rsidP="00612DC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612DCA" w:rsidRPr="00562A7B"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612DCA" w:rsidRPr="00562A7B" w:rsidRDefault="00612DCA" w:rsidP="00612DCA">
            <w:pPr>
              <w:rPr>
                <w:rFonts w:ascii="Arial" w:hAnsi="Arial" w:cs="Arial"/>
              </w:rPr>
            </w:pPr>
          </w:p>
        </w:tc>
      </w:tr>
      <w:tr w:rsidR="00612DCA"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612DCA" w:rsidRPr="000B4E53" w:rsidRDefault="00612DCA" w:rsidP="00612DCA">
            <w:pPr>
              <w:rPr>
                <w:rFonts w:ascii="Arial" w:hAnsi="Arial" w:cs="Arial"/>
              </w:rPr>
            </w:pPr>
          </w:p>
        </w:tc>
        <w:tc>
          <w:tcPr>
            <w:tcW w:w="1649" w:type="dxa"/>
            <w:gridSpan w:val="2"/>
            <w:tcBorders>
              <w:top w:val="single" w:sz="4" w:space="0" w:color="auto"/>
              <w:left w:val="nil"/>
              <w:bottom w:val="nil"/>
              <w:right w:val="nil"/>
            </w:tcBorders>
          </w:tcPr>
          <w:p w14:paraId="3538C775" w14:textId="77777777" w:rsidR="00612DCA" w:rsidRPr="000B4E53" w:rsidRDefault="00612DCA" w:rsidP="00612DCA">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612DCA" w:rsidRPr="00E96684" w:rsidRDefault="00612DCA" w:rsidP="00612DCA">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612DCA" w:rsidRPr="000B4E53" w:rsidRDefault="00612DCA" w:rsidP="00612DCA">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612DCA" w:rsidRPr="000B4E53" w:rsidRDefault="00612DCA" w:rsidP="00612DCA">
            <w:pPr>
              <w:rPr>
                <w:rFonts w:ascii="Arial" w:hAnsi="Arial" w:cs="Arial"/>
              </w:rPr>
            </w:pPr>
          </w:p>
        </w:tc>
      </w:tr>
      <w:tr w:rsidR="00612DCA"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612DCA" w:rsidRDefault="00612DCA" w:rsidP="00612DCA">
            <w:pPr>
              <w:rPr>
                <w:rFonts w:ascii="Arial" w:hAnsi="Arial" w:cs="Arial"/>
              </w:rPr>
            </w:pPr>
          </w:p>
          <w:p w14:paraId="7DFF70E7" w14:textId="77777777" w:rsidR="00612DCA" w:rsidRPr="000B4E53" w:rsidRDefault="00612DCA" w:rsidP="00612DCA">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4"/>
        <w:gridCol w:w="2576"/>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3414434" w:rsidR="002C1BD6" w:rsidRPr="00DA3C49" w:rsidRDefault="00FB210F" w:rsidP="00DA3C49">
            <w:pPr>
              <w:jc w:val="center"/>
              <w:rPr>
                <w:rFonts w:ascii="Arial" w:hAnsi="Arial" w:cs="Arial"/>
              </w:rPr>
            </w:pPr>
            <w:r>
              <w:rPr>
                <w:rFonts w:ascii="Arial" w:hAnsi="Arial" w:cs="Arial"/>
              </w:rPr>
              <w:t>X</w:t>
            </w:r>
          </w:p>
        </w:tc>
      </w:tr>
      <w:tr w:rsidR="00234209" w:rsidRPr="00002001" w14:paraId="0B620563" w14:textId="77777777" w:rsidTr="007D2F07">
        <w:trPr>
          <w:trHeight w:val="1149"/>
        </w:trPr>
        <w:tc>
          <w:tcPr>
            <w:tcW w:w="2734"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576"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E14C0E" w:rsidRPr="00002001" w14:paraId="28240DDE" w14:textId="77777777" w:rsidTr="007D2F07">
        <w:trPr>
          <w:trHeight w:val="440"/>
        </w:trPr>
        <w:tc>
          <w:tcPr>
            <w:tcW w:w="2734" w:type="dxa"/>
            <w:vAlign w:val="center"/>
          </w:tcPr>
          <w:p w14:paraId="4A755D10" w14:textId="6A3A4824" w:rsidR="00E14C0E" w:rsidRPr="00DA3C49" w:rsidRDefault="0076419B" w:rsidP="00E14C0E">
            <w:pPr>
              <w:rPr>
                <w:rFonts w:ascii="Arial" w:hAnsi="Arial" w:cs="Arial"/>
              </w:rPr>
            </w:pPr>
            <w:r w:rsidRPr="0076419B">
              <w:rPr>
                <w:rFonts w:ascii="Arial" w:hAnsi="Arial" w:cs="Arial"/>
              </w:rPr>
              <w:t>Gresham House Asset Management Limited</w:t>
            </w:r>
          </w:p>
        </w:tc>
        <w:tc>
          <w:tcPr>
            <w:tcW w:w="2576" w:type="dxa"/>
            <w:vAlign w:val="center"/>
          </w:tcPr>
          <w:p w14:paraId="13800E33" w14:textId="519A750C" w:rsidR="00E14C0E" w:rsidRPr="00DA3C49" w:rsidRDefault="00E976F8" w:rsidP="00E14C0E">
            <w:pP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422910" w:rsidRPr="00422910">
              <w:rPr>
                <w:rFonts w:ascii="Arial" w:hAnsi="Arial" w:cs="Arial"/>
              </w:rPr>
              <w:t>%</w:t>
            </w:r>
          </w:p>
        </w:tc>
        <w:tc>
          <w:tcPr>
            <w:tcW w:w="2655" w:type="dxa"/>
            <w:vAlign w:val="center"/>
          </w:tcPr>
          <w:p w14:paraId="32AD76C5" w14:textId="77777777" w:rsidR="00E14C0E" w:rsidRPr="00DA3C49" w:rsidRDefault="00E14C0E" w:rsidP="00E14C0E">
            <w:pPr>
              <w:rPr>
                <w:rFonts w:ascii="Arial" w:hAnsi="Arial" w:cs="Arial"/>
              </w:rPr>
            </w:pPr>
          </w:p>
        </w:tc>
        <w:tc>
          <w:tcPr>
            <w:tcW w:w="2655" w:type="dxa"/>
            <w:gridSpan w:val="2"/>
            <w:vAlign w:val="center"/>
          </w:tcPr>
          <w:p w14:paraId="43B23EE7" w14:textId="76753DAE" w:rsidR="00E14C0E" w:rsidRPr="0060309C" w:rsidRDefault="00E976F8" w:rsidP="00E14C0E">
            <w:pPr>
              <w:rPr>
                <w:rFonts w:ascii="Arial" w:hAnsi="Arial" w:cs="Arial"/>
              </w:rPr>
            </w:pPr>
            <w:r>
              <w:rPr>
                <w:rFonts w:ascii="Arial" w:hAnsi="Arial" w:cs="Arial"/>
              </w:rPr>
              <w:t>2</w:t>
            </w:r>
            <w:r w:rsidR="00E65D3E">
              <w:rPr>
                <w:rFonts w:ascii="Arial" w:hAnsi="Arial" w:cs="Arial"/>
              </w:rPr>
              <w:t>1</w:t>
            </w:r>
            <w:r>
              <w:rPr>
                <w:rFonts w:ascii="Arial" w:hAnsi="Arial" w:cs="Arial"/>
              </w:rPr>
              <w:t>.1</w:t>
            </w:r>
            <w:r w:rsidR="00E65D3E">
              <w:rPr>
                <w:rFonts w:ascii="Arial" w:hAnsi="Arial" w:cs="Arial"/>
              </w:rPr>
              <w:t>4</w:t>
            </w:r>
            <w:r w:rsidR="00422910" w:rsidRPr="00422910">
              <w:rPr>
                <w:rFonts w:ascii="Arial" w:hAnsi="Arial" w:cs="Arial"/>
              </w:rPr>
              <w:t>%</w:t>
            </w:r>
          </w:p>
        </w:tc>
      </w:tr>
      <w:tr w:rsidR="00E14C0E" w:rsidRPr="00002001" w14:paraId="7EC68A7D" w14:textId="77777777" w:rsidTr="007D2F07">
        <w:trPr>
          <w:trHeight w:val="440"/>
        </w:trPr>
        <w:tc>
          <w:tcPr>
            <w:tcW w:w="2734" w:type="dxa"/>
            <w:vAlign w:val="center"/>
          </w:tcPr>
          <w:p w14:paraId="0A34D159" w14:textId="3EC455B6" w:rsidR="00E14C0E" w:rsidRPr="00DA3C49" w:rsidRDefault="00E14C0E" w:rsidP="00E14C0E">
            <w:pPr>
              <w:rPr>
                <w:rFonts w:ascii="Arial" w:hAnsi="Arial" w:cs="Arial"/>
              </w:rPr>
            </w:pPr>
          </w:p>
        </w:tc>
        <w:tc>
          <w:tcPr>
            <w:tcW w:w="2576" w:type="dxa"/>
            <w:vAlign w:val="center"/>
          </w:tcPr>
          <w:p w14:paraId="274FF2B0" w14:textId="339A3A89" w:rsidR="00E14C0E" w:rsidRPr="00DA3C49" w:rsidRDefault="00E14C0E" w:rsidP="00E14C0E">
            <w:pPr>
              <w:rPr>
                <w:rFonts w:ascii="Arial" w:hAnsi="Arial" w:cs="Arial"/>
              </w:rPr>
            </w:pPr>
          </w:p>
        </w:tc>
        <w:tc>
          <w:tcPr>
            <w:tcW w:w="2655" w:type="dxa"/>
            <w:vAlign w:val="center"/>
          </w:tcPr>
          <w:p w14:paraId="411E1BFC" w14:textId="77777777" w:rsidR="00E14C0E" w:rsidRPr="00DA3C49" w:rsidRDefault="00E14C0E" w:rsidP="00E14C0E">
            <w:pPr>
              <w:rPr>
                <w:rFonts w:ascii="Arial" w:hAnsi="Arial" w:cs="Arial"/>
              </w:rPr>
            </w:pPr>
          </w:p>
        </w:tc>
        <w:tc>
          <w:tcPr>
            <w:tcW w:w="2655" w:type="dxa"/>
            <w:gridSpan w:val="2"/>
            <w:vAlign w:val="center"/>
          </w:tcPr>
          <w:p w14:paraId="3B24686A" w14:textId="68B645A2" w:rsidR="00E14C0E" w:rsidRPr="0060309C" w:rsidRDefault="00E14C0E" w:rsidP="00E14C0E">
            <w:pPr>
              <w:rPr>
                <w:rFonts w:ascii="Arial" w:hAnsi="Arial" w:cs="Arial"/>
              </w:rPr>
            </w:pPr>
          </w:p>
        </w:tc>
      </w:tr>
      <w:tr w:rsidR="00E14C0E" w:rsidRPr="00002001" w14:paraId="429545BA" w14:textId="77777777" w:rsidTr="007D2F07">
        <w:trPr>
          <w:trHeight w:val="440"/>
        </w:trPr>
        <w:tc>
          <w:tcPr>
            <w:tcW w:w="2734" w:type="dxa"/>
            <w:vAlign w:val="center"/>
          </w:tcPr>
          <w:p w14:paraId="21BBD167" w14:textId="21BE8EC4" w:rsidR="00E14C0E" w:rsidRPr="00B95821" w:rsidRDefault="00E14C0E" w:rsidP="00E14C0E">
            <w:pPr>
              <w:rPr>
                <w:rFonts w:ascii="Arial" w:hAnsi="Arial" w:cs="Arial"/>
                <w:szCs w:val="22"/>
              </w:rPr>
            </w:pPr>
          </w:p>
        </w:tc>
        <w:tc>
          <w:tcPr>
            <w:tcW w:w="2576" w:type="dxa"/>
            <w:vAlign w:val="center"/>
          </w:tcPr>
          <w:p w14:paraId="3D5D16CA" w14:textId="16A71652" w:rsidR="00E14C0E" w:rsidRPr="00DA3C49" w:rsidRDefault="00E14C0E" w:rsidP="00E14C0E">
            <w:pPr>
              <w:rPr>
                <w:rFonts w:ascii="Arial" w:hAnsi="Arial" w:cs="Arial"/>
              </w:rPr>
            </w:pPr>
          </w:p>
        </w:tc>
        <w:tc>
          <w:tcPr>
            <w:tcW w:w="2655" w:type="dxa"/>
            <w:vAlign w:val="center"/>
          </w:tcPr>
          <w:p w14:paraId="374009F7" w14:textId="77777777" w:rsidR="00E14C0E" w:rsidRPr="00DA3C49" w:rsidRDefault="00E14C0E" w:rsidP="00E14C0E">
            <w:pPr>
              <w:rPr>
                <w:rFonts w:ascii="Arial" w:hAnsi="Arial" w:cs="Arial"/>
              </w:rPr>
            </w:pPr>
          </w:p>
        </w:tc>
        <w:tc>
          <w:tcPr>
            <w:tcW w:w="2655" w:type="dxa"/>
            <w:gridSpan w:val="2"/>
            <w:vAlign w:val="center"/>
          </w:tcPr>
          <w:p w14:paraId="2ECB269E" w14:textId="54A05F89" w:rsidR="00E14C0E" w:rsidRPr="0060309C" w:rsidRDefault="00E14C0E" w:rsidP="00E14C0E">
            <w:pPr>
              <w:rPr>
                <w:rFonts w:ascii="Arial" w:hAnsi="Arial" w:cs="Arial"/>
              </w:rPr>
            </w:pPr>
          </w:p>
        </w:tc>
      </w:tr>
      <w:tr w:rsidR="00E14C0E" w:rsidRPr="00002001" w14:paraId="6A8A447E" w14:textId="77777777" w:rsidTr="007D2F07">
        <w:trPr>
          <w:trHeight w:val="440"/>
        </w:trPr>
        <w:tc>
          <w:tcPr>
            <w:tcW w:w="2734" w:type="dxa"/>
            <w:vAlign w:val="center"/>
          </w:tcPr>
          <w:p w14:paraId="73A0D19A" w14:textId="053D7502" w:rsidR="00E14C0E" w:rsidRPr="00DA3C49" w:rsidRDefault="00E14C0E" w:rsidP="00E14C0E">
            <w:pPr>
              <w:rPr>
                <w:rFonts w:ascii="Arial" w:hAnsi="Arial" w:cs="Arial"/>
              </w:rPr>
            </w:pPr>
          </w:p>
        </w:tc>
        <w:tc>
          <w:tcPr>
            <w:tcW w:w="2576" w:type="dxa"/>
            <w:vAlign w:val="center"/>
          </w:tcPr>
          <w:p w14:paraId="7B95E366" w14:textId="69E4AFE9" w:rsidR="00E14C0E" w:rsidRPr="00DA3C49" w:rsidRDefault="00E14C0E" w:rsidP="00E14C0E">
            <w:pPr>
              <w:rPr>
                <w:rFonts w:ascii="Arial" w:hAnsi="Arial" w:cs="Arial"/>
              </w:rPr>
            </w:pPr>
          </w:p>
        </w:tc>
        <w:tc>
          <w:tcPr>
            <w:tcW w:w="2655" w:type="dxa"/>
            <w:vAlign w:val="center"/>
          </w:tcPr>
          <w:p w14:paraId="4041B3F8" w14:textId="77777777" w:rsidR="00E14C0E" w:rsidRPr="00DA3C49" w:rsidRDefault="00E14C0E" w:rsidP="00E14C0E">
            <w:pPr>
              <w:rPr>
                <w:rFonts w:ascii="Arial" w:hAnsi="Arial" w:cs="Arial"/>
              </w:rPr>
            </w:pPr>
          </w:p>
        </w:tc>
        <w:tc>
          <w:tcPr>
            <w:tcW w:w="2655" w:type="dxa"/>
            <w:gridSpan w:val="2"/>
            <w:vAlign w:val="center"/>
          </w:tcPr>
          <w:p w14:paraId="33A20AEF" w14:textId="766261F7" w:rsidR="00E14C0E" w:rsidRPr="0060309C" w:rsidRDefault="00E14C0E" w:rsidP="00E14C0E">
            <w:pPr>
              <w:rPr>
                <w:rFonts w:ascii="Arial" w:hAnsi="Arial" w:cs="Arial"/>
              </w:rPr>
            </w:pPr>
          </w:p>
        </w:tc>
      </w:tr>
      <w:tr w:rsidR="00E14C0E" w:rsidRPr="00002001" w14:paraId="01B34997" w14:textId="77777777" w:rsidTr="007D2F07">
        <w:trPr>
          <w:trHeight w:val="440"/>
        </w:trPr>
        <w:tc>
          <w:tcPr>
            <w:tcW w:w="2734" w:type="dxa"/>
            <w:vAlign w:val="center"/>
          </w:tcPr>
          <w:p w14:paraId="55729586" w14:textId="7BF51177" w:rsidR="00E14C0E" w:rsidRPr="00DA3C49" w:rsidRDefault="00E14C0E" w:rsidP="00E14C0E">
            <w:pPr>
              <w:rPr>
                <w:rFonts w:ascii="Arial" w:hAnsi="Arial" w:cs="Arial"/>
              </w:rPr>
            </w:pPr>
          </w:p>
        </w:tc>
        <w:tc>
          <w:tcPr>
            <w:tcW w:w="2576" w:type="dxa"/>
            <w:vAlign w:val="center"/>
          </w:tcPr>
          <w:p w14:paraId="27DF2A45" w14:textId="01ECFEBC" w:rsidR="00E14C0E" w:rsidRPr="00DA3C49" w:rsidRDefault="00E14C0E" w:rsidP="00E14C0E">
            <w:pPr>
              <w:rPr>
                <w:rFonts w:ascii="Arial" w:hAnsi="Arial" w:cs="Arial"/>
              </w:rPr>
            </w:pPr>
          </w:p>
        </w:tc>
        <w:tc>
          <w:tcPr>
            <w:tcW w:w="2655" w:type="dxa"/>
            <w:vAlign w:val="center"/>
          </w:tcPr>
          <w:p w14:paraId="376564D2" w14:textId="77777777" w:rsidR="00E14C0E" w:rsidRPr="00DA3C49" w:rsidRDefault="00E14C0E" w:rsidP="00E14C0E">
            <w:pPr>
              <w:rPr>
                <w:rFonts w:ascii="Arial" w:hAnsi="Arial" w:cs="Arial"/>
              </w:rPr>
            </w:pPr>
          </w:p>
        </w:tc>
        <w:tc>
          <w:tcPr>
            <w:tcW w:w="2655" w:type="dxa"/>
            <w:gridSpan w:val="2"/>
            <w:vAlign w:val="center"/>
          </w:tcPr>
          <w:p w14:paraId="47D99844" w14:textId="03ABF1A8" w:rsidR="00E14C0E" w:rsidRPr="0060309C" w:rsidRDefault="00E14C0E" w:rsidP="00E14C0E">
            <w:pPr>
              <w:rPr>
                <w:rFonts w:ascii="Arial" w:hAnsi="Arial" w:cs="Arial"/>
              </w:rPr>
            </w:pPr>
          </w:p>
        </w:tc>
      </w:tr>
      <w:tr w:rsidR="00E14C0E" w:rsidRPr="00002001" w14:paraId="5E444CBC" w14:textId="77777777" w:rsidTr="004B60AF">
        <w:trPr>
          <w:trHeight w:val="710"/>
        </w:trPr>
        <w:tc>
          <w:tcPr>
            <w:tcW w:w="10620" w:type="dxa"/>
            <w:gridSpan w:val="5"/>
            <w:tcBorders>
              <w:left w:val="nil"/>
              <w:right w:val="nil"/>
            </w:tcBorders>
          </w:tcPr>
          <w:p w14:paraId="561AD403" w14:textId="77777777" w:rsidR="00E14C0E" w:rsidRPr="000B4E53" w:rsidRDefault="00E14C0E" w:rsidP="00E14C0E">
            <w:pPr>
              <w:rPr>
                <w:rFonts w:ascii="Arial" w:hAnsi="Arial" w:cs="Arial"/>
                <w:b/>
              </w:rPr>
            </w:pPr>
          </w:p>
        </w:tc>
      </w:tr>
      <w:tr w:rsidR="00E14C0E" w:rsidRPr="00002001" w14:paraId="34D51C29" w14:textId="77777777" w:rsidTr="002C1BD6">
        <w:trPr>
          <w:trHeight w:val="414"/>
        </w:trPr>
        <w:tc>
          <w:tcPr>
            <w:tcW w:w="10620" w:type="dxa"/>
            <w:gridSpan w:val="5"/>
            <w:vAlign w:val="center"/>
          </w:tcPr>
          <w:p w14:paraId="7D40AA60" w14:textId="77777777" w:rsidR="00E14C0E" w:rsidRPr="000B4E53" w:rsidRDefault="00E14C0E" w:rsidP="00E14C0E">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529FE" w:rsidRPr="00002001" w14:paraId="5A514D03" w14:textId="77777777" w:rsidTr="002C1BD6">
        <w:trPr>
          <w:trHeight w:val="406"/>
        </w:trPr>
        <w:tc>
          <w:tcPr>
            <w:tcW w:w="5310" w:type="dxa"/>
            <w:gridSpan w:val="2"/>
            <w:vAlign w:val="center"/>
          </w:tcPr>
          <w:p w14:paraId="6EA63153"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154EDB53" w:rsidR="008529FE" w:rsidRPr="00DA3C49" w:rsidRDefault="008529FE" w:rsidP="008529FE">
            <w:pPr>
              <w:autoSpaceDE w:val="0"/>
              <w:autoSpaceDN w:val="0"/>
              <w:adjustRightInd w:val="0"/>
              <w:rPr>
                <w:rFonts w:ascii="Arial" w:hAnsi="Arial" w:cs="Arial"/>
                <w:szCs w:val="22"/>
              </w:rPr>
            </w:pPr>
            <w:r w:rsidRPr="00DC137B">
              <w:rPr>
                <w:rFonts w:ascii="Arial" w:hAnsi="Arial" w:cs="Arial"/>
                <w:szCs w:val="22"/>
              </w:rPr>
              <w:t>Gresham House Asset Management Limited</w:t>
            </w:r>
          </w:p>
        </w:tc>
      </w:tr>
      <w:tr w:rsidR="008529FE" w:rsidRPr="00002001" w14:paraId="74619F43" w14:textId="77777777" w:rsidTr="002C1BD6">
        <w:trPr>
          <w:trHeight w:val="555"/>
        </w:trPr>
        <w:tc>
          <w:tcPr>
            <w:tcW w:w="5310" w:type="dxa"/>
            <w:gridSpan w:val="2"/>
            <w:vAlign w:val="center"/>
          </w:tcPr>
          <w:p w14:paraId="7C0442EE"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D40CA4F" w:rsidR="008529FE" w:rsidRPr="00DA3C49" w:rsidRDefault="008529FE" w:rsidP="008529FE">
            <w:pPr>
              <w:autoSpaceDE w:val="0"/>
              <w:autoSpaceDN w:val="0"/>
              <w:adjustRightInd w:val="0"/>
              <w:rPr>
                <w:rFonts w:ascii="Arial" w:hAnsi="Arial" w:cs="Arial"/>
                <w:szCs w:val="22"/>
              </w:rPr>
            </w:pPr>
            <w:r>
              <w:rPr>
                <w:rFonts w:ascii="Arial" w:hAnsi="Arial" w:cs="Arial"/>
                <w:szCs w:val="22"/>
              </w:rPr>
              <w:t>N/A</w:t>
            </w:r>
          </w:p>
        </w:tc>
      </w:tr>
      <w:tr w:rsidR="008529FE" w:rsidRPr="00002001" w14:paraId="7D13663A" w14:textId="77777777" w:rsidTr="002C1BD6">
        <w:trPr>
          <w:trHeight w:val="562"/>
        </w:trPr>
        <w:tc>
          <w:tcPr>
            <w:tcW w:w="5310" w:type="dxa"/>
            <w:gridSpan w:val="2"/>
            <w:vAlign w:val="center"/>
          </w:tcPr>
          <w:p w14:paraId="6027C0E1"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099DF34C" w:rsidR="008529FE" w:rsidRPr="00DA3C49" w:rsidRDefault="008529FE" w:rsidP="008529FE">
            <w:pPr>
              <w:autoSpaceDE w:val="0"/>
              <w:autoSpaceDN w:val="0"/>
              <w:adjustRightInd w:val="0"/>
              <w:rPr>
                <w:rFonts w:ascii="Arial" w:hAnsi="Arial" w:cs="Arial"/>
                <w:szCs w:val="22"/>
              </w:rPr>
            </w:pPr>
            <w:r>
              <w:rPr>
                <w:rFonts w:ascii="Arial" w:hAnsi="Arial" w:cs="Arial"/>
                <w:szCs w:val="22"/>
              </w:rPr>
              <w:t>N/A</w:t>
            </w:r>
          </w:p>
        </w:tc>
      </w:tr>
      <w:tr w:rsidR="008529FE"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529FE" w:rsidRPr="000B4E53" w:rsidRDefault="008529FE" w:rsidP="008529FE">
            <w:pPr>
              <w:rPr>
                <w:rFonts w:ascii="Arial" w:hAnsi="Arial" w:cs="Arial"/>
              </w:rPr>
            </w:pPr>
          </w:p>
        </w:tc>
      </w:tr>
      <w:tr w:rsidR="008529FE" w:rsidRPr="00002001" w14:paraId="38E9A0B2" w14:textId="77777777" w:rsidTr="00F4153C">
        <w:trPr>
          <w:trHeight w:val="437"/>
        </w:trPr>
        <w:tc>
          <w:tcPr>
            <w:tcW w:w="10620" w:type="dxa"/>
            <w:gridSpan w:val="5"/>
            <w:vAlign w:val="center"/>
          </w:tcPr>
          <w:p w14:paraId="3AF089F7" w14:textId="2E10A1DE" w:rsidR="008529FE" w:rsidRPr="00F4153C" w:rsidRDefault="008529FE" w:rsidP="008529FE">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529FE" w:rsidRPr="00002001" w14:paraId="6258A43D" w14:textId="77777777" w:rsidTr="00DA3C49">
        <w:trPr>
          <w:trHeight w:val="950"/>
        </w:trPr>
        <w:tc>
          <w:tcPr>
            <w:tcW w:w="10620" w:type="dxa"/>
            <w:gridSpan w:val="5"/>
          </w:tcPr>
          <w:p w14:paraId="75C6AFF1" w14:textId="77777777" w:rsidR="008529FE" w:rsidRPr="00DA3C49" w:rsidRDefault="008529FE" w:rsidP="008529FE">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7CE480D1" w:rsidR="00DF279F" w:rsidRPr="00DA3C49" w:rsidRDefault="008529FE" w:rsidP="00DA3C49">
            <w:pPr>
              <w:rPr>
                <w:rFonts w:ascii="Arial" w:hAnsi="Arial" w:cs="Arial"/>
                <w:sz w:val="22"/>
              </w:rPr>
            </w:pPr>
            <w:r w:rsidRPr="00DC137B">
              <w:rPr>
                <w:rFonts w:ascii="Arial" w:hAnsi="Arial" w:cs="Arial"/>
                <w:sz w:val="22"/>
              </w:rPr>
              <w:t>Gresham House Asset Management Limited, London</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B611F41" w:rsidR="00DF279F" w:rsidRPr="00D516F0" w:rsidRDefault="00E65D3E" w:rsidP="00DA3C49">
            <w:pPr>
              <w:rPr>
                <w:rFonts w:ascii="Arial" w:hAnsi="Arial" w:cs="Arial"/>
                <w:sz w:val="22"/>
              </w:rPr>
            </w:pPr>
            <w:r>
              <w:rPr>
                <w:rFonts w:ascii="Arial" w:hAnsi="Arial" w:cs="Arial"/>
                <w:sz w:val="22"/>
              </w:rPr>
              <w:t>15</w:t>
            </w:r>
            <w:r w:rsidR="008529FE" w:rsidRPr="00D516F0">
              <w:rPr>
                <w:rFonts w:ascii="Arial" w:hAnsi="Arial" w:cs="Arial"/>
                <w:sz w:val="22"/>
              </w:rPr>
              <w:t>/</w:t>
            </w:r>
            <w:r>
              <w:rPr>
                <w:rFonts w:ascii="Arial" w:hAnsi="Arial" w:cs="Arial"/>
                <w:sz w:val="22"/>
              </w:rPr>
              <w:t>11</w:t>
            </w:r>
            <w:r w:rsidR="008529FE" w:rsidRPr="00D516F0">
              <w:rPr>
                <w:rFonts w:ascii="Arial" w:hAnsi="Arial" w:cs="Arial"/>
                <w:sz w:val="22"/>
              </w:rPr>
              <w:t>/202</w:t>
            </w:r>
            <w:r w:rsidR="00443F34">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2CDF3C2E" w14:textId="27C81059" w:rsidR="00234209" w:rsidRPr="00632309" w:rsidRDefault="00234209" w:rsidP="00F772F0">
      <w:pPr>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153552">
    <w:abstractNumId w:val="8"/>
  </w:num>
  <w:num w:numId="2" w16cid:durableId="497617671">
    <w:abstractNumId w:val="10"/>
  </w:num>
  <w:num w:numId="3" w16cid:durableId="2116748264">
    <w:abstractNumId w:val="7"/>
  </w:num>
  <w:num w:numId="4" w16cid:durableId="446243790">
    <w:abstractNumId w:val="13"/>
  </w:num>
  <w:num w:numId="5" w16cid:durableId="1735930923">
    <w:abstractNumId w:val="12"/>
  </w:num>
  <w:num w:numId="6" w16cid:durableId="1600675552">
    <w:abstractNumId w:val="1"/>
  </w:num>
  <w:num w:numId="7" w16cid:durableId="1748962448">
    <w:abstractNumId w:val="11"/>
  </w:num>
  <w:num w:numId="8" w16cid:durableId="397703169">
    <w:abstractNumId w:val="19"/>
  </w:num>
  <w:num w:numId="9" w16cid:durableId="1255626342">
    <w:abstractNumId w:val="14"/>
  </w:num>
  <w:num w:numId="10" w16cid:durableId="239562258">
    <w:abstractNumId w:val="18"/>
  </w:num>
  <w:num w:numId="11" w16cid:durableId="1062486604">
    <w:abstractNumId w:val="3"/>
  </w:num>
  <w:num w:numId="12" w16cid:durableId="1607348951">
    <w:abstractNumId w:val="17"/>
  </w:num>
  <w:num w:numId="13" w16cid:durableId="1386833191">
    <w:abstractNumId w:val="6"/>
  </w:num>
  <w:num w:numId="14" w16cid:durableId="1345784885">
    <w:abstractNumId w:val="9"/>
  </w:num>
  <w:num w:numId="15" w16cid:durableId="1260407219">
    <w:abstractNumId w:val="15"/>
  </w:num>
  <w:num w:numId="16" w16cid:durableId="1229731344">
    <w:abstractNumId w:val="2"/>
  </w:num>
  <w:num w:numId="17" w16cid:durableId="897521939">
    <w:abstractNumId w:val="16"/>
  </w:num>
  <w:num w:numId="18" w16cid:durableId="244193873">
    <w:abstractNumId w:val="0"/>
  </w:num>
  <w:num w:numId="19" w16cid:durableId="152569698">
    <w:abstractNumId w:val="5"/>
  </w:num>
  <w:num w:numId="20" w16cid:durableId="13969688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D75E7"/>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A7B"/>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910"/>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3F34"/>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3A8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2DC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9C7"/>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419B"/>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2F07"/>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9FE"/>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225"/>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1F4C"/>
    <w:rsid w:val="008C2A81"/>
    <w:rsid w:val="008C45AD"/>
    <w:rsid w:val="008C4BDC"/>
    <w:rsid w:val="008C5195"/>
    <w:rsid w:val="008C58E6"/>
    <w:rsid w:val="008C60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821"/>
    <w:rsid w:val="00B959A1"/>
    <w:rsid w:val="00B96484"/>
    <w:rsid w:val="00B965EE"/>
    <w:rsid w:val="00B96921"/>
    <w:rsid w:val="00B96B88"/>
    <w:rsid w:val="00B97FEF"/>
    <w:rsid w:val="00BA0A02"/>
    <w:rsid w:val="00BA0A9C"/>
    <w:rsid w:val="00BA0E1B"/>
    <w:rsid w:val="00BA13CA"/>
    <w:rsid w:val="00BA1820"/>
    <w:rsid w:val="00BA2E5C"/>
    <w:rsid w:val="00BA32F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4C06"/>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A705A"/>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42E8"/>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067"/>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16F0"/>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227"/>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06BB4"/>
    <w:rsid w:val="00E1166E"/>
    <w:rsid w:val="00E1180F"/>
    <w:rsid w:val="00E12076"/>
    <w:rsid w:val="00E12320"/>
    <w:rsid w:val="00E12799"/>
    <w:rsid w:val="00E14A1B"/>
    <w:rsid w:val="00E14C0E"/>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5D3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6F8"/>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3B8"/>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0ED3"/>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772F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5D07"/>
    <w:rsid w:val="00FA6480"/>
    <w:rsid w:val="00FA6D6B"/>
    <w:rsid w:val="00FA7236"/>
    <w:rsid w:val="00FB08C2"/>
    <w:rsid w:val="00FB0C62"/>
    <w:rsid w:val="00FB13C6"/>
    <w:rsid w:val="00FB1A53"/>
    <w:rsid w:val="00FB1E0B"/>
    <w:rsid w:val="00FB210F"/>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2023-05-10T09:11:00Z</dcterms:created>
  <dcterms:modified xsi:type="dcterms:W3CDTF">2024-11-15T11:20:00Z</dcterms:modified>
</cp:coreProperties>
</file>