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AA3A" w14:textId="77777777" w:rsidR="00926334" w:rsidRDefault="00926334">
      <w:pPr>
        <w:pStyle w:val="NormalWeb"/>
        <w:jc w:val="center"/>
        <w:divId w:val="1879269781"/>
        <w:rPr>
          <w:rFonts w:ascii="Verdana" w:hAnsi="Verdana"/>
          <w:sz w:val="22"/>
          <w:szCs w:val="22"/>
        </w:rPr>
      </w:pPr>
      <w:r>
        <w:rPr>
          <w:rFonts w:ascii="Verdana" w:hAnsi="Verdana"/>
          <w:sz w:val="22"/>
          <w:szCs w:val="22"/>
        </w:rPr>
        <w:t xml:space="preserve">TR-1: Standard form for notification of major holdings </w:t>
      </w:r>
    </w:p>
    <w:p w14:paraId="1BAC3A1B" w14:textId="77777777" w:rsidR="00926334" w:rsidRDefault="00926334">
      <w:pPr>
        <w:shd w:val="clear" w:color="auto" w:fill="7C173A"/>
        <w:divId w:val="867596983"/>
        <w:rPr>
          <w:rFonts w:ascii="Verdana" w:eastAsia="Times New Roman" w:hAnsi="Verdana"/>
          <w:b/>
          <w:bCs/>
          <w:sz w:val="22"/>
          <w:szCs w:val="22"/>
        </w:rPr>
      </w:pPr>
      <w:r>
        <w:rPr>
          <w:rFonts w:ascii="Verdana" w:eastAsia="Times New Roman" w:hAnsi="Verdana"/>
          <w:b/>
          <w:bCs/>
          <w:sz w:val="22"/>
          <w:szCs w:val="22"/>
        </w:rPr>
        <w:t xml:space="preserve">1. Issuer Details </w:t>
      </w:r>
    </w:p>
    <w:p w14:paraId="393DD8C7" w14:textId="77777777" w:rsidR="00926334" w:rsidRDefault="00926334">
      <w:pPr>
        <w:divId w:val="1945721274"/>
        <w:rPr>
          <w:rFonts w:ascii="Verdana" w:eastAsia="Times New Roman" w:hAnsi="Verdana"/>
          <w:b/>
          <w:bCs/>
          <w:sz w:val="22"/>
          <w:szCs w:val="22"/>
        </w:rPr>
      </w:pPr>
      <w:r>
        <w:rPr>
          <w:rFonts w:ascii="Verdana" w:eastAsia="Times New Roman" w:hAnsi="Verdana"/>
          <w:b/>
          <w:bCs/>
          <w:sz w:val="22"/>
          <w:szCs w:val="22"/>
        </w:rPr>
        <w:t xml:space="preserve">ISIN </w:t>
      </w:r>
    </w:p>
    <w:p w14:paraId="14B22243" w14:textId="24D5608C" w:rsidR="00926334" w:rsidRDefault="00926334">
      <w:pPr>
        <w:divId w:val="1552230104"/>
        <w:rPr>
          <w:rFonts w:ascii="Verdana" w:eastAsia="Times New Roman" w:hAnsi="Verdana"/>
          <w:sz w:val="22"/>
          <w:szCs w:val="22"/>
        </w:rPr>
      </w:pPr>
      <w:r>
        <w:rPr>
          <w:rFonts w:ascii="Verdana" w:eastAsia="Times New Roman" w:hAnsi="Verdana"/>
          <w:sz w:val="22"/>
          <w:szCs w:val="22"/>
        </w:rPr>
        <w:t>GB0007370074</w:t>
      </w:r>
    </w:p>
    <w:p w14:paraId="10D92142" w14:textId="77777777" w:rsidR="00926334" w:rsidRDefault="00926334">
      <w:pPr>
        <w:divId w:val="1135753649"/>
        <w:rPr>
          <w:rFonts w:ascii="Verdana" w:eastAsia="Times New Roman" w:hAnsi="Verdana"/>
          <w:b/>
          <w:bCs/>
          <w:sz w:val="22"/>
          <w:szCs w:val="22"/>
        </w:rPr>
      </w:pPr>
      <w:r>
        <w:rPr>
          <w:rFonts w:ascii="Verdana" w:eastAsia="Times New Roman" w:hAnsi="Verdana"/>
          <w:b/>
          <w:bCs/>
          <w:sz w:val="22"/>
          <w:szCs w:val="22"/>
        </w:rPr>
        <w:t xml:space="preserve">Issuer Name </w:t>
      </w:r>
    </w:p>
    <w:p w14:paraId="74DDAE4D" w14:textId="28E59D3F" w:rsidR="00926334" w:rsidRDefault="00926334">
      <w:pPr>
        <w:divId w:val="1222591967"/>
        <w:rPr>
          <w:rFonts w:ascii="Verdana" w:eastAsia="Times New Roman" w:hAnsi="Verdana"/>
          <w:sz w:val="22"/>
          <w:szCs w:val="22"/>
        </w:rPr>
      </w:pPr>
      <w:r>
        <w:rPr>
          <w:rFonts w:ascii="Verdana" w:eastAsia="Times New Roman" w:hAnsi="Verdana"/>
          <w:sz w:val="22"/>
          <w:szCs w:val="22"/>
        </w:rPr>
        <w:t>RICARDO PLC</w:t>
      </w:r>
    </w:p>
    <w:p w14:paraId="7774AB31" w14:textId="77777777" w:rsidR="00926334" w:rsidRDefault="00926334">
      <w:pPr>
        <w:divId w:val="516584554"/>
        <w:rPr>
          <w:rFonts w:ascii="Verdana" w:eastAsia="Times New Roman" w:hAnsi="Verdana"/>
          <w:b/>
          <w:bCs/>
          <w:sz w:val="22"/>
          <w:szCs w:val="22"/>
        </w:rPr>
      </w:pPr>
      <w:r>
        <w:rPr>
          <w:rFonts w:ascii="Verdana" w:eastAsia="Times New Roman" w:hAnsi="Verdana"/>
          <w:b/>
          <w:bCs/>
          <w:sz w:val="22"/>
          <w:szCs w:val="22"/>
        </w:rPr>
        <w:t xml:space="preserve">UK or Non-UK Issuer </w:t>
      </w:r>
    </w:p>
    <w:p w14:paraId="51D8744E" w14:textId="0BCE512F" w:rsidR="00926334" w:rsidRDefault="00926334">
      <w:pPr>
        <w:divId w:val="901135035"/>
        <w:rPr>
          <w:rFonts w:ascii="Verdana" w:eastAsia="Times New Roman" w:hAnsi="Verdana"/>
          <w:sz w:val="22"/>
          <w:szCs w:val="22"/>
        </w:rPr>
      </w:pPr>
      <w:r>
        <w:rPr>
          <w:rFonts w:ascii="Verdana" w:eastAsia="Times New Roman" w:hAnsi="Verdana"/>
          <w:sz w:val="22"/>
          <w:szCs w:val="22"/>
        </w:rPr>
        <w:t>UK</w:t>
      </w:r>
    </w:p>
    <w:p w14:paraId="77F2B7C3" w14:textId="77777777" w:rsidR="00926334" w:rsidRDefault="00926334">
      <w:pPr>
        <w:shd w:val="clear" w:color="auto" w:fill="7C173A"/>
        <w:divId w:val="1090076649"/>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3580B577" w14:textId="77777777" w:rsidR="00926334" w:rsidRDefault="00926334">
      <w:pPr>
        <w:divId w:val="1886984375"/>
        <w:rPr>
          <w:rFonts w:ascii="Verdana" w:eastAsia="Times New Roman" w:hAnsi="Verdana"/>
          <w:sz w:val="22"/>
          <w:szCs w:val="22"/>
        </w:rPr>
      </w:pPr>
      <w:r>
        <w:rPr>
          <w:rFonts w:ascii="Verdana" w:eastAsia="Times New Roman" w:hAnsi="Verdana"/>
          <w:sz w:val="22"/>
          <w:szCs w:val="22"/>
        </w:rPr>
        <w:t xml:space="preserve">An acquisition or disposal of voting rights </w:t>
      </w:r>
    </w:p>
    <w:p w14:paraId="25BE795D" w14:textId="77777777" w:rsidR="00926334" w:rsidRDefault="00926334">
      <w:pPr>
        <w:shd w:val="clear" w:color="auto" w:fill="7C173A"/>
        <w:divId w:val="790251290"/>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1742A42D" w14:textId="77777777" w:rsidR="00926334" w:rsidRDefault="00926334">
      <w:pPr>
        <w:divId w:val="1407728259"/>
        <w:rPr>
          <w:rFonts w:ascii="Verdana" w:eastAsia="Times New Roman" w:hAnsi="Verdana"/>
          <w:b/>
          <w:bCs/>
          <w:sz w:val="22"/>
          <w:szCs w:val="22"/>
        </w:rPr>
      </w:pPr>
      <w:r>
        <w:rPr>
          <w:rFonts w:ascii="Verdana" w:eastAsia="Times New Roman" w:hAnsi="Verdana"/>
          <w:b/>
          <w:bCs/>
          <w:sz w:val="22"/>
          <w:szCs w:val="22"/>
        </w:rPr>
        <w:t xml:space="preserve">Name </w:t>
      </w:r>
    </w:p>
    <w:p w14:paraId="72A11F72" w14:textId="77777777" w:rsidR="00926334" w:rsidRDefault="00926334">
      <w:pPr>
        <w:divId w:val="1365902134"/>
        <w:rPr>
          <w:rFonts w:ascii="Verdana" w:eastAsia="Times New Roman" w:hAnsi="Verdana"/>
          <w:sz w:val="22"/>
          <w:szCs w:val="22"/>
        </w:rPr>
      </w:pPr>
      <w:r>
        <w:rPr>
          <w:rFonts w:ascii="Verdana" w:eastAsia="Times New Roman" w:hAnsi="Verdana"/>
          <w:sz w:val="22"/>
          <w:szCs w:val="22"/>
        </w:rPr>
        <w:t xml:space="preserve">Aggregate of abrdn plc affiliated investment management entities with delegated voting rights on behalf of multiple managed portfolios </w:t>
      </w:r>
    </w:p>
    <w:p w14:paraId="2A405519" w14:textId="77777777" w:rsidR="00926334" w:rsidRDefault="00926334">
      <w:pPr>
        <w:divId w:val="1024867588"/>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010D5D27" w14:textId="77777777" w:rsidR="00926334" w:rsidRDefault="00926334">
      <w:pPr>
        <w:divId w:val="1823154883"/>
        <w:rPr>
          <w:rFonts w:ascii="Verdana" w:eastAsia="Times New Roman" w:hAnsi="Verdana"/>
          <w:sz w:val="22"/>
          <w:szCs w:val="22"/>
        </w:rPr>
      </w:pPr>
      <w:r>
        <w:rPr>
          <w:rFonts w:ascii="Verdana" w:eastAsia="Times New Roman" w:hAnsi="Verdana"/>
          <w:sz w:val="22"/>
          <w:szCs w:val="22"/>
        </w:rPr>
        <w:t xml:space="preserve">Edinburgh </w:t>
      </w:r>
    </w:p>
    <w:p w14:paraId="78BB5610" w14:textId="77777777" w:rsidR="00926334" w:rsidRDefault="00926334">
      <w:pPr>
        <w:divId w:val="826475475"/>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45E1AD28" w14:textId="77777777" w:rsidR="00926334" w:rsidRDefault="00926334">
      <w:pPr>
        <w:divId w:val="1221746881"/>
        <w:rPr>
          <w:rFonts w:ascii="Verdana" w:eastAsia="Times New Roman" w:hAnsi="Verdana"/>
          <w:sz w:val="22"/>
          <w:szCs w:val="22"/>
        </w:rPr>
      </w:pPr>
      <w:r>
        <w:rPr>
          <w:rFonts w:ascii="Verdana" w:eastAsia="Times New Roman" w:hAnsi="Verdana"/>
          <w:sz w:val="22"/>
          <w:szCs w:val="22"/>
        </w:rPr>
        <w:t xml:space="preserve">United Kingdom </w:t>
      </w:r>
    </w:p>
    <w:p w14:paraId="7DBCBAF5" w14:textId="77777777" w:rsidR="00926334" w:rsidRDefault="00926334">
      <w:pPr>
        <w:shd w:val="clear" w:color="auto" w:fill="7C173A"/>
        <w:divId w:val="1521818574"/>
        <w:rPr>
          <w:rFonts w:ascii="Verdana" w:eastAsia="Times New Roman" w:hAnsi="Verdana"/>
          <w:b/>
          <w:bCs/>
          <w:sz w:val="22"/>
          <w:szCs w:val="22"/>
        </w:rPr>
      </w:pPr>
      <w:r>
        <w:rPr>
          <w:rFonts w:ascii="Verdana" w:eastAsia="Times New Roman" w:hAnsi="Verdana"/>
          <w:b/>
          <w:bCs/>
          <w:sz w:val="22"/>
          <w:szCs w:val="22"/>
        </w:rPr>
        <w:t xml:space="preserve">4. Details of the shareholder </w:t>
      </w:r>
    </w:p>
    <w:p w14:paraId="4C5D4AA1" w14:textId="77777777" w:rsidR="00926334" w:rsidRDefault="00926334">
      <w:pPr>
        <w:divId w:val="1158419611"/>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14:paraId="3204E59F" w14:textId="77777777" w:rsidR="00926334" w:rsidRDefault="00926334">
      <w:pPr>
        <w:divId w:val="2088767766"/>
        <w:rPr>
          <w:rFonts w:ascii="Verdana" w:eastAsia="Times New Roman" w:hAnsi="Verdana"/>
          <w:b/>
          <w:bCs/>
          <w:sz w:val="22"/>
          <w:szCs w:val="22"/>
        </w:rPr>
      </w:pPr>
    </w:p>
    <w:p w14:paraId="00E9C428" w14:textId="77777777" w:rsidR="00926334" w:rsidRDefault="00926334">
      <w:pPr>
        <w:divId w:val="71002267"/>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2316D945" w14:textId="77777777" w:rsidR="00926334" w:rsidRDefault="00926334">
      <w:pPr>
        <w:divId w:val="393744346"/>
        <w:rPr>
          <w:rFonts w:ascii="Verdana" w:eastAsia="Times New Roman" w:hAnsi="Verdana"/>
          <w:b/>
          <w:bCs/>
          <w:sz w:val="22"/>
          <w:szCs w:val="22"/>
        </w:rPr>
      </w:pPr>
    </w:p>
    <w:p w14:paraId="3E9A0263" w14:textId="77777777" w:rsidR="00926334" w:rsidRDefault="00926334">
      <w:pPr>
        <w:divId w:val="513033350"/>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355A5889" w14:textId="77777777" w:rsidR="00926334" w:rsidRDefault="00926334">
      <w:pPr>
        <w:divId w:val="1677221263"/>
        <w:rPr>
          <w:rFonts w:ascii="Verdana" w:eastAsia="Times New Roman" w:hAnsi="Verdana"/>
          <w:b/>
          <w:bCs/>
          <w:sz w:val="22"/>
          <w:szCs w:val="22"/>
        </w:rPr>
      </w:pPr>
    </w:p>
    <w:p w14:paraId="6603435A" w14:textId="77777777" w:rsidR="00926334" w:rsidRDefault="00926334">
      <w:pPr>
        <w:shd w:val="clear" w:color="auto" w:fill="7C173A"/>
        <w:divId w:val="815151360"/>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263BCDC1" w14:textId="77777777" w:rsidR="00926334" w:rsidRDefault="00926334">
      <w:pPr>
        <w:divId w:val="1626540400"/>
        <w:rPr>
          <w:rFonts w:ascii="Verdana" w:eastAsia="Times New Roman" w:hAnsi="Verdana"/>
          <w:sz w:val="22"/>
          <w:szCs w:val="22"/>
        </w:rPr>
      </w:pPr>
      <w:r>
        <w:rPr>
          <w:rFonts w:ascii="Verdana" w:eastAsia="Times New Roman" w:hAnsi="Verdana"/>
          <w:sz w:val="22"/>
          <w:szCs w:val="22"/>
        </w:rPr>
        <w:t xml:space="preserve">30-Jan-2025 </w:t>
      </w:r>
    </w:p>
    <w:p w14:paraId="5F513AD4" w14:textId="77777777" w:rsidR="00926334" w:rsidRDefault="00926334">
      <w:pPr>
        <w:shd w:val="clear" w:color="auto" w:fill="7C173A"/>
        <w:divId w:val="93092084"/>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4A4ACF6D" w14:textId="77777777" w:rsidR="00926334" w:rsidRDefault="00926334">
      <w:pPr>
        <w:divId w:val="1645887680"/>
        <w:rPr>
          <w:rFonts w:ascii="Verdana" w:eastAsia="Times New Roman" w:hAnsi="Verdana"/>
          <w:sz w:val="22"/>
          <w:szCs w:val="22"/>
        </w:rPr>
      </w:pPr>
      <w:r>
        <w:rPr>
          <w:rFonts w:ascii="Verdana" w:eastAsia="Times New Roman" w:hAnsi="Verdana"/>
          <w:sz w:val="22"/>
          <w:szCs w:val="22"/>
        </w:rPr>
        <w:t xml:space="preserve">31-Jan-2025 </w:t>
      </w:r>
    </w:p>
    <w:p w14:paraId="33045E77" w14:textId="77777777" w:rsidR="00926334" w:rsidRDefault="00926334">
      <w:pPr>
        <w:shd w:val="clear" w:color="auto" w:fill="7C173A"/>
        <w:divId w:val="723068983"/>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146"/>
        <w:gridCol w:w="1598"/>
        <w:gridCol w:w="1773"/>
        <w:gridCol w:w="1422"/>
        <w:gridCol w:w="1170"/>
      </w:tblGrid>
      <w:tr w:rsidR="00AC5688" w14:paraId="0E6926C3" w14:textId="77777777" w:rsidTr="00F07129">
        <w:trPr>
          <w:divId w:val="1879269781"/>
        </w:trPr>
        <w:tc>
          <w:tcPr>
            <w:tcW w:w="0" w:type="auto"/>
            <w:vAlign w:val="center"/>
            <w:hideMark/>
          </w:tcPr>
          <w:p w14:paraId="49A8DB37" w14:textId="77777777" w:rsidR="00926334" w:rsidRDefault="00926334">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DEE9A9B"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5AE0D0A"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13725A8"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BAC5C99"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AC5688" w14:paraId="02905D95" w14:textId="77777777" w:rsidTr="00F07129">
        <w:trPr>
          <w:divId w:val="1879269781"/>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300BDC2"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E7CC125" w14:textId="0B699CA4" w:rsidR="00926334" w:rsidRDefault="00C3202E" w:rsidP="00F07129">
            <w:pPr>
              <w:spacing w:before="75" w:after="150"/>
              <w:ind w:left="195"/>
              <w:jc w:val="center"/>
              <w:rPr>
                <w:rFonts w:ascii="Verdana" w:eastAsia="Times New Roman" w:hAnsi="Verdana"/>
                <w:sz w:val="22"/>
                <w:szCs w:val="22"/>
              </w:rPr>
            </w:pPr>
            <w:r w:rsidRPr="00C3202E">
              <w:rPr>
                <w:rFonts w:ascii="Verdana" w:eastAsia="Times New Roman" w:hAnsi="Verdana"/>
                <w:sz w:val="22"/>
                <w:szCs w:val="22"/>
              </w:rPr>
              <w:t>Below 5%</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30AAA72" w14:textId="52878B97" w:rsidR="00926334" w:rsidRDefault="00926334" w:rsidP="00F07129">
            <w:pPr>
              <w:spacing w:before="75" w:after="150"/>
              <w:ind w:left="195"/>
              <w:jc w:val="center"/>
              <w:rPr>
                <w:rFonts w:ascii="Verdana" w:eastAsia="Times New Roman" w:hAnsi="Verdana"/>
                <w:sz w:val="22"/>
                <w:szCs w:val="22"/>
              </w:rPr>
            </w:pPr>
            <w:r>
              <w:rPr>
                <w:rFonts w:ascii="Verdana" w:eastAsia="Times New Roman" w:hAnsi="Verdana"/>
                <w:sz w:val="22"/>
                <w:szCs w:val="22"/>
              </w:rPr>
              <w:t>0.000000</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B399096" w14:textId="77EBAF39" w:rsidR="00926334" w:rsidRDefault="00C3202E" w:rsidP="00F07129">
            <w:pPr>
              <w:spacing w:before="75" w:after="150"/>
              <w:ind w:left="195"/>
              <w:jc w:val="center"/>
              <w:rPr>
                <w:rFonts w:ascii="Verdana" w:eastAsia="Times New Roman" w:hAnsi="Verdana"/>
                <w:sz w:val="22"/>
                <w:szCs w:val="22"/>
              </w:rPr>
            </w:pPr>
            <w:r w:rsidRPr="00C3202E">
              <w:rPr>
                <w:rFonts w:ascii="Verdana" w:eastAsia="Times New Roman" w:hAnsi="Verdana"/>
                <w:sz w:val="22"/>
                <w:szCs w:val="22"/>
              </w:rPr>
              <w:t>Below 5%</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A6C94AD" w14:textId="1F5B3104" w:rsidR="00926334" w:rsidRDefault="00F07129" w:rsidP="00F07129">
            <w:pPr>
              <w:spacing w:before="75" w:after="150"/>
              <w:ind w:left="195"/>
              <w:jc w:val="center"/>
              <w:rPr>
                <w:rFonts w:ascii="Verdana" w:eastAsia="Times New Roman" w:hAnsi="Verdana"/>
                <w:sz w:val="22"/>
                <w:szCs w:val="22"/>
              </w:rPr>
            </w:pPr>
            <w:r w:rsidRPr="00F07129">
              <w:rPr>
                <w:rFonts w:ascii="Verdana" w:eastAsia="Times New Roman" w:hAnsi="Verdana"/>
                <w:sz w:val="22"/>
                <w:szCs w:val="22"/>
              </w:rPr>
              <w:t>Below 5%</w:t>
            </w:r>
          </w:p>
        </w:tc>
      </w:tr>
      <w:tr w:rsidR="00AC5688" w14:paraId="2FC7E4C7" w14:textId="77777777" w:rsidTr="00F07129">
        <w:trPr>
          <w:divId w:val="1879269781"/>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762E176"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705EE3" w14:textId="14E79E50" w:rsidR="00926334" w:rsidRDefault="00926334" w:rsidP="00F07129">
            <w:pPr>
              <w:spacing w:before="75" w:after="150"/>
              <w:ind w:left="195"/>
              <w:jc w:val="center"/>
              <w:rPr>
                <w:rFonts w:ascii="Verdana" w:eastAsia="Times New Roman" w:hAnsi="Verdana"/>
                <w:sz w:val="22"/>
                <w:szCs w:val="22"/>
              </w:rPr>
            </w:pPr>
            <w:r>
              <w:rPr>
                <w:rFonts w:ascii="Verdana" w:eastAsia="Times New Roman" w:hAnsi="Verdana"/>
                <w:sz w:val="22"/>
                <w:szCs w:val="22"/>
              </w:rPr>
              <w:t>5.439246</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CF4EDFA" w14:textId="7786E6DE" w:rsidR="00926334" w:rsidRDefault="00926334" w:rsidP="00F07129">
            <w:pPr>
              <w:spacing w:before="75" w:after="150"/>
              <w:ind w:left="195"/>
              <w:jc w:val="center"/>
              <w:rPr>
                <w:rFonts w:ascii="Verdana" w:eastAsia="Times New Roman" w:hAnsi="Verdana"/>
                <w:sz w:val="22"/>
                <w:szCs w:val="22"/>
              </w:rPr>
            </w:pPr>
            <w:r>
              <w:rPr>
                <w:rFonts w:ascii="Verdana" w:eastAsia="Times New Roman" w:hAnsi="Verdana"/>
                <w:sz w:val="22"/>
                <w:szCs w:val="22"/>
              </w:rPr>
              <w:t>0.000000</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B5A5C8B" w14:textId="14B11AF6" w:rsidR="00926334" w:rsidRDefault="00926334" w:rsidP="00F07129">
            <w:pPr>
              <w:spacing w:before="75" w:after="150"/>
              <w:ind w:left="195"/>
              <w:jc w:val="center"/>
              <w:rPr>
                <w:rFonts w:ascii="Verdana" w:eastAsia="Times New Roman" w:hAnsi="Verdana"/>
                <w:sz w:val="22"/>
                <w:szCs w:val="22"/>
              </w:rPr>
            </w:pPr>
            <w:r>
              <w:rPr>
                <w:rFonts w:ascii="Verdana" w:eastAsia="Times New Roman" w:hAnsi="Verdana"/>
                <w:sz w:val="22"/>
                <w:szCs w:val="22"/>
              </w:rPr>
              <w:t>5.439246</w:t>
            </w:r>
          </w:p>
        </w:tc>
        <w:tc>
          <w:tcPr>
            <w:tcW w:w="0" w:type="auto"/>
            <w:tcBorders>
              <w:top w:val="single" w:sz="6" w:space="0" w:color="666666"/>
              <w:left w:val="single" w:sz="6" w:space="0" w:color="666666"/>
              <w:bottom w:val="single" w:sz="6" w:space="0" w:color="666666"/>
              <w:right w:val="single" w:sz="6" w:space="0" w:color="666666"/>
            </w:tcBorders>
            <w:shd w:val="thinDiagCross" w:color="auto" w:fill="auto"/>
            <w:vAlign w:val="center"/>
            <w:hideMark/>
          </w:tcPr>
          <w:p w14:paraId="549D40B3" w14:textId="77777777" w:rsidR="00926334" w:rsidRDefault="00926334" w:rsidP="00F07129">
            <w:pPr>
              <w:spacing w:before="75" w:after="150"/>
              <w:ind w:left="195"/>
              <w:jc w:val="center"/>
              <w:rPr>
                <w:rFonts w:ascii="Verdana" w:eastAsia="Times New Roman" w:hAnsi="Verdana"/>
                <w:sz w:val="22"/>
                <w:szCs w:val="22"/>
              </w:rPr>
            </w:pPr>
          </w:p>
        </w:tc>
      </w:tr>
    </w:tbl>
    <w:p w14:paraId="22A0604A" w14:textId="77777777" w:rsidR="00926334" w:rsidRDefault="00926334">
      <w:pPr>
        <w:shd w:val="clear" w:color="auto" w:fill="7C173A"/>
        <w:divId w:val="1649674825"/>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7D9AC0FC" w14:textId="77777777" w:rsidR="00926334" w:rsidRDefault="00926334">
      <w:pPr>
        <w:shd w:val="clear" w:color="auto" w:fill="7C173A"/>
        <w:divId w:val="396514715"/>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39"/>
        <w:gridCol w:w="1584"/>
        <w:gridCol w:w="1792"/>
        <w:gridCol w:w="1443"/>
        <w:gridCol w:w="1651"/>
      </w:tblGrid>
      <w:tr w:rsidR="00AC5688" w14:paraId="1E9F19E1" w14:textId="77777777" w:rsidTr="00F07129">
        <w:trPr>
          <w:divId w:val="235089937"/>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4EA760A"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Class/Type of shares ISIN </w:t>
            </w:r>
            <w:proofErr w:type="gramStart"/>
            <w:r>
              <w:rPr>
                <w:rFonts w:ascii="Verdana" w:eastAsia="Times New Roman" w:hAnsi="Verdana"/>
                <w:b/>
                <w:bCs/>
                <w:sz w:val="15"/>
                <w:szCs w:val="15"/>
              </w:rPr>
              <w:t>code(</w:t>
            </w:r>
            <w:proofErr w:type="gramEnd"/>
            <w:r>
              <w:rPr>
                <w:rFonts w:ascii="Verdana" w:eastAsia="Times New Roman" w:hAnsi="Verdana"/>
                <w:b/>
                <w:bCs/>
                <w:sz w:val="15"/>
                <w:szCs w:val="15"/>
              </w:rPr>
              <w:t xml:space="preserv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1BF2617"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D250CA2"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162793E"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9D229EC"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AC5688" w14:paraId="1E083D0B" w14:textId="77777777" w:rsidTr="00F07129">
        <w:trPr>
          <w:divId w:val="235089937"/>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58B089BB" w14:textId="6400948D" w:rsidR="00926334" w:rsidRDefault="00926334" w:rsidP="00C3202E">
            <w:pPr>
              <w:spacing w:before="75" w:after="150"/>
              <w:ind w:left="45"/>
              <w:jc w:val="center"/>
              <w:rPr>
                <w:rFonts w:ascii="Verdana" w:eastAsia="Times New Roman" w:hAnsi="Verdana"/>
                <w:sz w:val="20"/>
                <w:szCs w:val="20"/>
              </w:rPr>
            </w:pPr>
            <w:r>
              <w:rPr>
                <w:rFonts w:ascii="Verdana" w:eastAsia="Times New Roman" w:hAnsi="Verdana"/>
                <w:sz w:val="20"/>
                <w:szCs w:val="20"/>
              </w:rPr>
              <w:t>GB0007370074</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7A09F3B" w14:textId="77777777" w:rsidR="00926334" w:rsidRDefault="00926334" w:rsidP="00C3202E">
            <w:pPr>
              <w:spacing w:before="75" w:after="150"/>
              <w:ind w:left="45"/>
              <w:jc w:val="center"/>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8095B2C" w14:textId="00DF976B" w:rsidR="00926334" w:rsidRDefault="00F07129" w:rsidP="00926334">
            <w:pPr>
              <w:spacing w:before="75" w:after="150"/>
              <w:ind w:left="195"/>
              <w:jc w:val="center"/>
              <w:rPr>
                <w:rFonts w:ascii="Verdana" w:eastAsia="Times New Roman" w:hAnsi="Verdana"/>
                <w:sz w:val="22"/>
                <w:szCs w:val="22"/>
              </w:rPr>
            </w:pPr>
            <w:r w:rsidRPr="00F07129">
              <w:rPr>
                <w:rFonts w:ascii="Verdana" w:eastAsia="Times New Roman" w:hAnsi="Verdana"/>
                <w:sz w:val="22"/>
                <w:szCs w:val="22"/>
              </w:rPr>
              <w:t>Below 5%</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FB7E6D" w14:textId="77777777" w:rsidR="00926334" w:rsidRDefault="00926334" w:rsidP="00926334">
            <w:pPr>
              <w:spacing w:before="75" w:after="150"/>
              <w:ind w:left="195"/>
              <w:jc w:val="center"/>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02DF477" w14:textId="049DF728" w:rsidR="00926334" w:rsidRDefault="00C3202E" w:rsidP="00926334">
            <w:pPr>
              <w:spacing w:before="75" w:after="150"/>
              <w:ind w:left="195"/>
              <w:jc w:val="center"/>
              <w:rPr>
                <w:rFonts w:ascii="Verdana" w:eastAsia="Times New Roman" w:hAnsi="Verdana"/>
                <w:sz w:val="22"/>
                <w:szCs w:val="22"/>
              </w:rPr>
            </w:pPr>
            <w:r w:rsidRPr="00C3202E">
              <w:rPr>
                <w:rFonts w:ascii="Verdana" w:eastAsia="Times New Roman" w:hAnsi="Verdana"/>
                <w:sz w:val="22"/>
                <w:szCs w:val="22"/>
              </w:rPr>
              <w:t>Below 5%</w:t>
            </w:r>
          </w:p>
        </w:tc>
      </w:tr>
      <w:tr w:rsidR="00AC5688" w14:paraId="7D1507E8" w14:textId="77777777" w:rsidTr="00F07129">
        <w:trPr>
          <w:divId w:val="235089937"/>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3D1A913C" w14:textId="77777777" w:rsidR="00926334" w:rsidRDefault="00926334">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F427427" w14:textId="312286E8" w:rsidR="00926334" w:rsidRDefault="00F07129" w:rsidP="00926334">
            <w:pPr>
              <w:spacing w:before="75" w:after="150"/>
              <w:ind w:left="195"/>
              <w:jc w:val="center"/>
              <w:rPr>
                <w:rFonts w:ascii="Verdana" w:eastAsia="Times New Roman" w:hAnsi="Verdana"/>
                <w:sz w:val="22"/>
                <w:szCs w:val="22"/>
              </w:rPr>
            </w:pPr>
            <w:r w:rsidRPr="00F07129">
              <w:rPr>
                <w:rFonts w:ascii="Verdana" w:eastAsia="Times New Roman" w:hAnsi="Verdana"/>
                <w:sz w:val="22"/>
                <w:szCs w:val="22"/>
              </w:rPr>
              <w:t>Below 5%</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36ECF56" w14:textId="5BBE893F" w:rsidR="00926334" w:rsidRDefault="00C3202E" w:rsidP="00926334">
            <w:pPr>
              <w:spacing w:before="75" w:after="150"/>
              <w:ind w:left="195"/>
              <w:jc w:val="center"/>
              <w:rPr>
                <w:rFonts w:ascii="Verdana" w:eastAsia="Times New Roman" w:hAnsi="Verdana"/>
                <w:sz w:val="22"/>
                <w:szCs w:val="22"/>
              </w:rPr>
            </w:pPr>
            <w:r w:rsidRPr="00C3202E">
              <w:rPr>
                <w:rFonts w:ascii="Verdana" w:eastAsia="Times New Roman" w:hAnsi="Verdana"/>
                <w:sz w:val="22"/>
                <w:szCs w:val="22"/>
              </w:rPr>
              <w:t>Below 5%</w:t>
            </w:r>
          </w:p>
        </w:tc>
      </w:tr>
    </w:tbl>
    <w:p w14:paraId="2ADD3E40" w14:textId="77777777" w:rsidR="00926334" w:rsidRDefault="00926334">
      <w:pPr>
        <w:shd w:val="clear" w:color="auto" w:fill="7C173A"/>
        <w:divId w:val="548802175"/>
        <w:rPr>
          <w:rFonts w:ascii="Verdana" w:eastAsia="Times New Roman" w:hAnsi="Verdana"/>
          <w:b/>
          <w:bCs/>
          <w:sz w:val="22"/>
          <w:szCs w:val="22"/>
        </w:rPr>
      </w:pPr>
      <w:r>
        <w:rPr>
          <w:rFonts w:ascii="Verdana" w:eastAsia="Times New Roman" w:hAnsi="Verdana"/>
          <w:b/>
          <w:bCs/>
          <w:sz w:val="22"/>
          <w:szCs w:val="22"/>
        </w:rPr>
        <w:t>8B1. Financial Instruments according to (DTR5.3.1</w:t>
      </w:r>
      <w:proofErr w:type="gramStart"/>
      <w:r>
        <w:rPr>
          <w:rFonts w:ascii="Verdana" w:eastAsia="Times New Roman" w:hAnsi="Verdana"/>
          <w:b/>
          <w:bCs/>
          <w:sz w:val="22"/>
          <w:szCs w:val="22"/>
        </w:rPr>
        <w:t>R.(</w:t>
      </w:r>
      <w:proofErr w:type="gramEnd"/>
      <w:r>
        <w:rPr>
          <w:rFonts w:ascii="Verdana" w:eastAsia="Times New Roman" w:hAnsi="Verdana"/>
          <w:b/>
          <w:bCs/>
          <w:sz w:val="22"/>
          <w:szCs w:val="22"/>
        </w:rPr>
        <w:t xml:space="preserve">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AC5688" w14:paraId="7B322ABC" w14:textId="77777777">
        <w:trPr>
          <w:divId w:val="1523938703"/>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4A9F78B"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78A3E41"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D830446"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647E845"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FA655B1"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AC5688" w14:paraId="55C10DF2" w14:textId="77777777">
        <w:trPr>
          <w:divId w:val="1523938703"/>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E9E5A6B" w14:textId="77777777" w:rsidR="00926334" w:rsidRDefault="0092633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FF98E8"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799D48D"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37BD7A7"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10CDE83" w14:textId="77777777" w:rsidR="00926334" w:rsidRDefault="00926334">
            <w:pPr>
              <w:spacing w:before="75" w:after="150"/>
              <w:ind w:left="195"/>
              <w:rPr>
                <w:rFonts w:eastAsia="Times New Roman"/>
                <w:sz w:val="20"/>
                <w:szCs w:val="20"/>
              </w:rPr>
            </w:pPr>
          </w:p>
        </w:tc>
      </w:tr>
      <w:tr w:rsidR="00AC5688" w14:paraId="349CBC2B" w14:textId="77777777">
        <w:trPr>
          <w:divId w:val="1523938703"/>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6A40EC41" w14:textId="77777777" w:rsidR="00926334" w:rsidRDefault="00926334">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7B476AB" w14:textId="77777777" w:rsidR="00926334" w:rsidRDefault="0092633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1395E08" w14:textId="77777777" w:rsidR="00926334" w:rsidRDefault="00926334">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0D91F90" w14:textId="77777777" w:rsidR="00926334" w:rsidRDefault="00926334">
            <w:pPr>
              <w:spacing w:before="75" w:after="150"/>
              <w:ind w:left="195"/>
              <w:rPr>
                <w:rFonts w:eastAsia="Times New Roman"/>
                <w:sz w:val="20"/>
                <w:szCs w:val="20"/>
              </w:rPr>
            </w:pPr>
          </w:p>
        </w:tc>
      </w:tr>
    </w:tbl>
    <w:p w14:paraId="7BEB83D3" w14:textId="77777777" w:rsidR="00926334" w:rsidRDefault="00926334">
      <w:pPr>
        <w:shd w:val="clear" w:color="auto" w:fill="7C173A"/>
        <w:divId w:val="579681762"/>
        <w:rPr>
          <w:rFonts w:ascii="Verdana" w:eastAsia="Times New Roman" w:hAnsi="Verdana"/>
          <w:b/>
          <w:bCs/>
          <w:sz w:val="22"/>
          <w:szCs w:val="22"/>
        </w:rPr>
      </w:pPr>
      <w:r>
        <w:rPr>
          <w:rFonts w:ascii="Verdana" w:eastAsia="Times New Roman" w:hAnsi="Verdana"/>
          <w:b/>
          <w:bCs/>
          <w:sz w:val="22"/>
          <w:szCs w:val="22"/>
        </w:rPr>
        <w:t>8B2. Financial Instruments with similar economic effect according to (DTR5.3.1</w:t>
      </w:r>
      <w:proofErr w:type="gramStart"/>
      <w:r>
        <w:rPr>
          <w:rFonts w:ascii="Verdana" w:eastAsia="Times New Roman" w:hAnsi="Verdana"/>
          <w:b/>
          <w:bCs/>
          <w:sz w:val="22"/>
          <w:szCs w:val="22"/>
        </w:rPr>
        <w:t>R.(</w:t>
      </w:r>
      <w:proofErr w:type="gramEnd"/>
      <w:r>
        <w:rPr>
          <w:rFonts w:ascii="Verdana" w:eastAsia="Times New Roman" w:hAnsi="Verdana"/>
          <w:b/>
          <w:bCs/>
          <w:sz w:val="22"/>
          <w:szCs w:val="22"/>
        </w:rPr>
        <w:t xml:space="preserve">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AC5688" w14:paraId="06F60A3C" w14:textId="77777777">
        <w:trPr>
          <w:divId w:val="1242061186"/>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52D3D6D"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39A372C"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E434BC8"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6BF055C"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93D5BC2"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1F60A4C"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AC5688" w14:paraId="52B3122F" w14:textId="77777777">
        <w:trPr>
          <w:divId w:val="1242061186"/>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27F366C1" w14:textId="77777777" w:rsidR="00926334" w:rsidRDefault="0092633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FB9D47A"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7192868"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B3000AF"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B9730C8"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237688E" w14:textId="77777777" w:rsidR="00926334" w:rsidRDefault="00926334">
            <w:pPr>
              <w:spacing w:before="75" w:after="150"/>
              <w:ind w:left="195"/>
              <w:rPr>
                <w:rFonts w:eastAsia="Times New Roman"/>
                <w:sz w:val="20"/>
                <w:szCs w:val="20"/>
              </w:rPr>
            </w:pPr>
          </w:p>
        </w:tc>
      </w:tr>
      <w:tr w:rsidR="00AC5688" w14:paraId="0571FF43" w14:textId="77777777">
        <w:trPr>
          <w:divId w:val="124206118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3ACD85FE" w14:textId="77777777" w:rsidR="00926334" w:rsidRDefault="00926334">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799A30D8" w14:textId="77777777" w:rsidR="00926334" w:rsidRDefault="0092633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B50CAED"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585B4B2" w14:textId="77777777" w:rsidR="00926334" w:rsidRDefault="00926334">
            <w:pPr>
              <w:spacing w:before="75" w:after="150"/>
              <w:ind w:left="195"/>
              <w:rPr>
                <w:rFonts w:eastAsia="Times New Roman"/>
                <w:sz w:val="20"/>
                <w:szCs w:val="20"/>
              </w:rPr>
            </w:pPr>
          </w:p>
        </w:tc>
      </w:tr>
    </w:tbl>
    <w:p w14:paraId="015A64B7" w14:textId="77777777" w:rsidR="00926334" w:rsidRDefault="00926334">
      <w:pPr>
        <w:shd w:val="clear" w:color="auto" w:fill="7C173A"/>
        <w:divId w:val="1651442052"/>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03D67CE0" w14:textId="77777777" w:rsidR="00926334" w:rsidRDefault="00926334">
      <w:pPr>
        <w:divId w:val="749038516"/>
        <w:rPr>
          <w:rFonts w:ascii="Verdana" w:eastAsia="Times New Roman" w:hAnsi="Verdana"/>
          <w:sz w:val="22"/>
          <w:szCs w:val="22"/>
        </w:rPr>
      </w:pPr>
      <w:r>
        <w:rPr>
          <w:rFonts w:ascii="Verdana" w:eastAsia="Times New Roman" w:hAnsi="Verdana"/>
          <w:sz w:val="22"/>
          <w:szCs w:val="22"/>
        </w:rPr>
        <w:t xml:space="preserve">2. Full chain of controlled undertakings through which the voting rights and/or the financial instruments are effectively held starting with the ultimate controlling natural person or legal entities (please add additional rows as necessary)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954"/>
        <w:gridCol w:w="1375"/>
        <w:gridCol w:w="1830"/>
        <w:gridCol w:w="1328"/>
      </w:tblGrid>
      <w:tr w:rsidR="00AC5688" w14:paraId="4CF8AC4B"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6816049"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C57BDB9"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D163DB3" w14:textId="77777777" w:rsidR="00926334" w:rsidRDefault="00926334">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w:t>
            </w:r>
            <w:r>
              <w:rPr>
                <w:rFonts w:ascii="Verdana" w:eastAsia="Times New Roman" w:hAnsi="Verdana"/>
                <w:b/>
                <w:bCs/>
                <w:sz w:val="15"/>
                <w:szCs w:val="15"/>
              </w:rPr>
              <w:lastRenderedPageBreak/>
              <w:t xml:space="preserve">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949A730" w14:textId="77777777" w:rsidR="00926334" w:rsidRDefault="00926334">
            <w:pPr>
              <w:rPr>
                <w:rFonts w:ascii="Verdana" w:eastAsia="Times New Roman" w:hAnsi="Verdana"/>
                <w:b/>
                <w:bCs/>
                <w:sz w:val="15"/>
                <w:szCs w:val="15"/>
              </w:rPr>
            </w:pPr>
            <w:r>
              <w:rPr>
                <w:rFonts w:ascii="Verdana" w:eastAsia="Times New Roman" w:hAnsi="Verdana"/>
                <w:b/>
                <w:bCs/>
                <w:sz w:val="15"/>
                <w:szCs w:val="15"/>
              </w:rPr>
              <w:lastRenderedPageBreak/>
              <w:t xml:space="preserve">% of voting rights through financial instruments if it equals or is higher </w:t>
            </w:r>
            <w:r>
              <w:rPr>
                <w:rFonts w:ascii="Verdana" w:eastAsia="Times New Roman" w:hAnsi="Verdana"/>
                <w:b/>
                <w:bCs/>
                <w:sz w:val="15"/>
                <w:szCs w:val="15"/>
              </w:rPr>
              <w:lastRenderedPageBreak/>
              <w:t xml:space="preserve">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99FA7E5" w14:textId="77777777" w:rsidR="00926334" w:rsidRDefault="00926334">
            <w:pPr>
              <w:rPr>
                <w:rFonts w:ascii="Verdana" w:eastAsia="Times New Roman" w:hAnsi="Verdana"/>
                <w:b/>
                <w:bCs/>
                <w:sz w:val="15"/>
                <w:szCs w:val="15"/>
              </w:rPr>
            </w:pPr>
            <w:r>
              <w:rPr>
                <w:rFonts w:ascii="Verdana" w:eastAsia="Times New Roman" w:hAnsi="Verdana"/>
                <w:b/>
                <w:bCs/>
                <w:sz w:val="15"/>
                <w:szCs w:val="15"/>
              </w:rPr>
              <w:lastRenderedPageBreak/>
              <w:t xml:space="preserve">Total of both if it equals or is higher than </w:t>
            </w:r>
            <w:r>
              <w:rPr>
                <w:rFonts w:ascii="Verdana" w:eastAsia="Times New Roman" w:hAnsi="Verdana"/>
                <w:b/>
                <w:bCs/>
                <w:sz w:val="15"/>
                <w:szCs w:val="15"/>
              </w:rPr>
              <w:lastRenderedPageBreak/>
              <w:t xml:space="preserve">the notifiable threshold </w:t>
            </w:r>
          </w:p>
        </w:tc>
      </w:tr>
      <w:tr w:rsidR="00AC5688" w14:paraId="240858FF"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AF6AA9C"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abrdn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3FC1C0E" w14:textId="77777777" w:rsidR="00926334" w:rsidRDefault="009263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CD28D0"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EA3AAB3"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7D86786" w14:textId="77777777" w:rsidR="00926334" w:rsidRDefault="00926334">
            <w:pPr>
              <w:spacing w:before="75" w:after="150"/>
              <w:ind w:left="195"/>
              <w:rPr>
                <w:rFonts w:eastAsia="Times New Roman"/>
                <w:sz w:val="20"/>
                <w:szCs w:val="20"/>
              </w:rPr>
            </w:pPr>
          </w:p>
        </w:tc>
      </w:tr>
      <w:tr w:rsidR="00AC5688" w14:paraId="2085F54D"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6F4AF5E4"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9C82211"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Investments (Holdings)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CFB1ED" w14:textId="77777777" w:rsidR="00926334" w:rsidRDefault="009263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3E9C371"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FB80B8" w14:textId="77777777" w:rsidR="00926334" w:rsidRDefault="00926334">
            <w:pPr>
              <w:spacing w:before="75" w:after="150"/>
              <w:ind w:left="195"/>
              <w:rPr>
                <w:rFonts w:eastAsia="Times New Roman"/>
                <w:sz w:val="20"/>
                <w:szCs w:val="20"/>
              </w:rPr>
            </w:pPr>
          </w:p>
        </w:tc>
      </w:tr>
      <w:tr w:rsidR="00AC5688" w14:paraId="5E72A719"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E20585F" w14:textId="37A40E87" w:rsidR="00926334" w:rsidRDefault="00926334" w:rsidP="00C3202E">
            <w:pPr>
              <w:spacing w:before="75" w:after="150"/>
              <w:ind w:left="195"/>
              <w:rPr>
                <w:rFonts w:ascii="Verdana" w:eastAsia="Times New Roman" w:hAnsi="Verdana"/>
                <w:sz w:val="22"/>
                <w:szCs w:val="22"/>
              </w:rPr>
            </w:pPr>
            <w:r>
              <w:rPr>
                <w:rFonts w:ascii="Verdana" w:eastAsia="Times New Roman" w:hAnsi="Verdana"/>
                <w:sz w:val="22"/>
                <w:szCs w:val="22"/>
              </w:rPr>
              <w:t>abrdn plc</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9EB26B4" w14:textId="2BCE2650" w:rsidR="00926334" w:rsidRDefault="00926334" w:rsidP="00C3202E">
            <w:pPr>
              <w:spacing w:before="75" w:after="150"/>
              <w:ind w:left="195"/>
              <w:rPr>
                <w:rFonts w:ascii="Verdana" w:eastAsia="Times New Roman" w:hAnsi="Verdana"/>
                <w:sz w:val="22"/>
                <w:szCs w:val="22"/>
              </w:rPr>
            </w:pPr>
            <w:r>
              <w:rPr>
                <w:rFonts w:ascii="Verdana" w:eastAsia="Times New Roman" w:hAnsi="Verdana"/>
                <w:sz w:val="22"/>
                <w:szCs w:val="22"/>
              </w:rPr>
              <w:t>abrdn Investment Management Limited</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D389A56" w14:textId="149E49A7" w:rsidR="00926334" w:rsidRDefault="00926334"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85B200" w14:textId="2D739984" w:rsidR="00926334" w:rsidRDefault="00926334"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0AA542" w14:textId="46D529D4" w:rsidR="00926334" w:rsidRDefault="00926334" w:rsidP="00C3202E">
            <w:pPr>
              <w:spacing w:before="75" w:after="150"/>
              <w:ind w:left="195"/>
              <w:rPr>
                <w:rFonts w:ascii="Verdana" w:eastAsia="Times New Roman" w:hAnsi="Verdana"/>
                <w:sz w:val="22"/>
                <w:szCs w:val="22"/>
              </w:rPr>
            </w:pPr>
          </w:p>
        </w:tc>
      </w:tr>
      <w:tr w:rsidR="00F07129" w14:paraId="755AEBCD"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tcPr>
          <w:p w14:paraId="619B7759" w14:textId="77777777" w:rsidR="00F07129" w:rsidRDefault="00F07129"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tcPr>
          <w:p w14:paraId="243E755D" w14:textId="77777777" w:rsidR="00F07129" w:rsidRDefault="00F07129"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tcPr>
          <w:p w14:paraId="0B293712" w14:textId="77777777" w:rsidR="00F07129" w:rsidRDefault="00F07129"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tcPr>
          <w:p w14:paraId="47326F8D" w14:textId="77777777" w:rsidR="00F07129" w:rsidRDefault="00F07129" w:rsidP="00C3202E">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tcPr>
          <w:p w14:paraId="74EE4F08" w14:textId="77777777" w:rsidR="00F07129" w:rsidRDefault="00F07129" w:rsidP="00C3202E">
            <w:pPr>
              <w:spacing w:before="75" w:after="150"/>
              <w:ind w:left="195"/>
              <w:rPr>
                <w:rFonts w:ascii="Verdana" w:eastAsia="Times New Roman" w:hAnsi="Verdana"/>
                <w:sz w:val="22"/>
                <w:szCs w:val="22"/>
              </w:rPr>
            </w:pPr>
          </w:p>
        </w:tc>
      </w:tr>
      <w:tr w:rsidR="00AC5688" w14:paraId="72E43B26"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6F8146EA"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D8A813C" w14:textId="77777777" w:rsidR="00926334" w:rsidRDefault="009263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8CA8F2"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3A3711"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45F30EA" w14:textId="77777777" w:rsidR="00926334" w:rsidRDefault="00926334">
            <w:pPr>
              <w:spacing w:before="75" w:after="150"/>
              <w:ind w:left="195"/>
              <w:rPr>
                <w:rFonts w:eastAsia="Times New Roman"/>
                <w:sz w:val="20"/>
                <w:szCs w:val="20"/>
              </w:rPr>
            </w:pPr>
          </w:p>
        </w:tc>
      </w:tr>
      <w:tr w:rsidR="00AC5688" w14:paraId="10916141"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38BE1F36"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0C01E93"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Holdings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561E3F1" w14:textId="77777777" w:rsidR="00926334" w:rsidRDefault="009263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77255D0"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852EE6C" w14:textId="77777777" w:rsidR="00926334" w:rsidRDefault="00926334">
            <w:pPr>
              <w:spacing w:before="75" w:after="150"/>
              <w:ind w:left="195"/>
              <w:rPr>
                <w:rFonts w:eastAsia="Times New Roman"/>
                <w:sz w:val="20"/>
                <w:szCs w:val="20"/>
              </w:rPr>
            </w:pPr>
          </w:p>
        </w:tc>
      </w:tr>
      <w:tr w:rsidR="00AC5688" w14:paraId="2C70F769" w14:textId="77777777">
        <w:trPr>
          <w:divId w:val="16974655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344CC10C"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plc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F96B94E" w14:textId="77777777" w:rsidR="00926334" w:rsidRDefault="00926334">
            <w:pPr>
              <w:spacing w:before="75" w:after="150"/>
              <w:ind w:left="195"/>
              <w:rPr>
                <w:rFonts w:ascii="Verdana" w:eastAsia="Times New Roman" w:hAnsi="Verdana"/>
                <w:sz w:val="22"/>
                <w:szCs w:val="22"/>
              </w:rPr>
            </w:pPr>
            <w:r>
              <w:rPr>
                <w:rFonts w:ascii="Verdana" w:eastAsia="Times New Roman" w:hAnsi="Verdana"/>
                <w:sz w:val="22"/>
                <w:szCs w:val="22"/>
              </w:rPr>
              <w:t xml:space="preserve">abrdn Investments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44FDE45" w14:textId="77777777" w:rsidR="00926334" w:rsidRDefault="009263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70EDD80" w14:textId="77777777" w:rsidR="00926334" w:rsidRDefault="009263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0544893" w14:textId="77777777" w:rsidR="00926334" w:rsidRDefault="00926334">
            <w:pPr>
              <w:spacing w:before="75" w:after="150"/>
              <w:ind w:left="195"/>
              <w:rPr>
                <w:rFonts w:eastAsia="Times New Roman"/>
                <w:sz w:val="20"/>
                <w:szCs w:val="20"/>
              </w:rPr>
            </w:pPr>
          </w:p>
        </w:tc>
      </w:tr>
    </w:tbl>
    <w:p w14:paraId="04D03FFB" w14:textId="77777777" w:rsidR="00926334" w:rsidRDefault="00926334">
      <w:pPr>
        <w:shd w:val="clear" w:color="auto" w:fill="7C173A"/>
        <w:divId w:val="393162364"/>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44332293" w14:textId="77777777" w:rsidR="00926334" w:rsidRDefault="00926334">
      <w:pPr>
        <w:divId w:val="1662852837"/>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78C2498D" w14:textId="77777777" w:rsidR="00926334" w:rsidRDefault="00926334">
      <w:pPr>
        <w:divId w:val="926034025"/>
        <w:rPr>
          <w:rFonts w:ascii="Verdana" w:eastAsia="Times New Roman" w:hAnsi="Verdana"/>
          <w:sz w:val="22"/>
          <w:szCs w:val="22"/>
        </w:rPr>
      </w:pPr>
    </w:p>
    <w:p w14:paraId="508C927E" w14:textId="77777777" w:rsidR="00926334" w:rsidRDefault="00926334">
      <w:pPr>
        <w:divId w:val="1353070176"/>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3BDCD7BF" w14:textId="77777777" w:rsidR="00926334" w:rsidRDefault="00926334">
      <w:pPr>
        <w:divId w:val="570775909"/>
        <w:rPr>
          <w:rFonts w:ascii="Verdana" w:eastAsia="Times New Roman" w:hAnsi="Verdana"/>
          <w:sz w:val="22"/>
          <w:szCs w:val="22"/>
        </w:rPr>
      </w:pPr>
    </w:p>
    <w:p w14:paraId="224D8A6A" w14:textId="77777777" w:rsidR="00926334" w:rsidRDefault="00926334">
      <w:pPr>
        <w:divId w:val="341320328"/>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13C3B7B0" w14:textId="77777777" w:rsidR="00926334" w:rsidRDefault="00926334">
      <w:pPr>
        <w:divId w:val="1097823664"/>
        <w:rPr>
          <w:rFonts w:ascii="Verdana" w:eastAsia="Times New Roman" w:hAnsi="Verdana"/>
          <w:sz w:val="22"/>
          <w:szCs w:val="22"/>
        </w:rPr>
      </w:pPr>
    </w:p>
    <w:p w14:paraId="566A90BC" w14:textId="77777777" w:rsidR="00926334" w:rsidRDefault="00926334">
      <w:pPr>
        <w:shd w:val="clear" w:color="auto" w:fill="7C173A"/>
        <w:divId w:val="543366007"/>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513F662B" w14:textId="27B5AF77" w:rsidR="00926334" w:rsidRDefault="00926334">
      <w:pPr>
        <w:divId w:val="971011900"/>
        <w:rPr>
          <w:rFonts w:ascii="Verdana" w:eastAsia="Times New Roman" w:hAnsi="Verdana"/>
          <w:sz w:val="22"/>
          <w:szCs w:val="22"/>
        </w:rPr>
      </w:pPr>
      <w:r>
        <w:rPr>
          <w:rFonts w:ascii="Verdana" w:eastAsia="Times New Roman" w:hAnsi="Verdana"/>
          <w:sz w:val="22"/>
          <w:szCs w:val="22"/>
        </w:rPr>
        <w:t>In reference to Section 9,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r>
        <w:rPr>
          <w:rFonts w:ascii="Verdana" w:eastAsia="Times New Roman" w:hAnsi="Verdana"/>
          <w:sz w:val="22"/>
          <w:szCs w:val="22"/>
        </w:rPr>
        <w:br/>
      </w:r>
      <w:r>
        <w:rPr>
          <w:rFonts w:ascii="Verdana" w:eastAsia="Times New Roman" w:hAnsi="Verdana"/>
          <w:sz w:val="22"/>
          <w:szCs w:val="22"/>
        </w:rPr>
        <w:br/>
        <w:t xml:space="preserve">This disclosure </w:t>
      </w:r>
      <w:r w:rsidR="00D92F05">
        <w:rPr>
          <w:rFonts w:ascii="Verdana" w:eastAsia="Times New Roman" w:hAnsi="Verdana"/>
          <w:sz w:val="22"/>
          <w:szCs w:val="22"/>
        </w:rPr>
        <w:t xml:space="preserve">also </w:t>
      </w:r>
      <w:r>
        <w:rPr>
          <w:rFonts w:ascii="Verdana" w:eastAsia="Times New Roman" w:hAnsi="Verdana"/>
          <w:sz w:val="22"/>
          <w:szCs w:val="22"/>
        </w:rPr>
        <w:t>reflect</w:t>
      </w:r>
      <w:r w:rsidR="00D92F05">
        <w:rPr>
          <w:rFonts w:ascii="Verdana" w:eastAsia="Times New Roman" w:hAnsi="Verdana"/>
          <w:sz w:val="22"/>
          <w:szCs w:val="22"/>
        </w:rPr>
        <w:t>s</w:t>
      </w:r>
      <w:r>
        <w:rPr>
          <w:rFonts w:ascii="Verdana" w:eastAsia="Times New Roman" w:hAnsi="Verdana"/>
          <w:sz w:val="22"/>
          <w:szCs w:val="22"/>
        </w:rPr>
        <w:t xml:space="preserve"> the fact that the voting rights effectively held indirectly by the underlying intermediate holding company abrdn Investments Holdings Limited (“</w:t>
      </w:r>
      <w:proofErr w:type="spellStart"/>
      <w:r>
        <w:rPr>
          <w:rFonts w:ascii="Verdana" w:eastAsia="Times New Roman" w:hAnsi="Verdana"/>
          <w:sz w:val="22"/>
          <w:szCs w:val="22"/>
        </w:rPr>
        <w:t>aI</w:t>
      </w:r>
      <w:proofErr w:type="spellEnd"/>
      <w:r>
        <w:rPr>
          <w:rFonts w:ascii="Verdana" w:eastAsia="Times New Roman" w:hAnsi="Verdana"/>
          <w:sz w:val="22"/>
          <w:szCs w:val="22"/>
        </w:rPr>
        <w:t>(H)L”) and held by the underlying investment management entity abrdn Investment Management Limited (“</w:t>
      </w:r>
      <w:proofErr w:type="spellStart"/>
      <w:r>
        <w:rPr>
          <w:rFonts w:ascii="Verdana" w:eastAsia="Times New Roman" w:hAnsi="Verdana"/>
          <w:sz w:val="22"/>
          <w:szCs w:val="22"/>
        </w:rPr>
        <w:t>aIML</w:t>
      </w:r>
      <w:proofErr w:type="spellEnd"/>
      <w:r>
        <w:rPr>
          <w:rFonts w:ascii="Verdana" w:eastAsia="Times New Roman" w:hAnsi="Verdana"/>
          <w:sz w:val="22"/>
          <w:szCs w:val="22"/>
        </w:rPr>
        <w:t xml:space="preserve">”) decreased below the 5% notifiable threshold due to trading on 30 January 2025. Prior to this crossing, </w:t>
      </w:r>
      <w:proofErr w:type="spellStart"/>
      <w:r>
        <w:rPr>
          <w:rFonts w:ascii="Verdana" w:eastAsia="Times New Roman" w:hAnsi="Verdana"/>
          <w:sz w:val="22"/>
          <w:szCs w:val="22"/>
        </w:rPr>
        <w:t>aI</w:t>
      </w:r>
      <w:proofErr w:type="spellEnd"/>
      <w:r>
        <w:rPr>
          <w:rFonts w:ascii="Verdana" w:eastAsia="Times New Roman" w:hAnsi="Verdana"/>
          <w:sz w:val="22"/>
          <w:szCs w:val="22"/>
        </w:rPr>
        <w:t xml:space="preserve">(H)L effectively held and </w:t>
      </w:r>
      <w:proofErr w:type="spellStart"/>
      <w:r>
        <w:rPr>
          <w:rFonts w:ascii="Verdana" w:eastAsia="Times New Roman" w:hAnsi="Verdana"/>
          <w:sz w:val="22"/>
          <w:szCs w:val="22"/>
        </w:rPr>
        <w:t>aIML</w:t>
      </w:r>
      <w:proofErr w:type="spellEnd"/>
      <w:r>
        <w:rPr>
          <w:rFonts w:ascii="Verdana" w:eastAsia="Times New Roman" w:hAnsi="Verdana"/>
          <w:sz w:val="22"/>
          <w:szCs w:val="22"/>
        </w:rPr>
        <w:t xml:space="preserve"> held 5.375121% of the delegated voting rights.</w:t>
      </w:r>
    </w:p>
    <w:p w14:paraId="083F72B7" w14:textId="77777777" w:rsidR="00926334" w:rsidRDefault="00926334">
      <w:pPr>
        <w:shd w:val="clear" w:color="auto" w:fill="7C173A"/>
        <w:divId w:val="1911308389"/>
        <w:rPr>
          <w:rFonts w:ascii="Verdana" w:eastAsia="Times New Roman" w:hAnsi="Verdana"/>
          <w:b/>
          <w:bCs/>
          <w:sz w:val="22"/>
          <w:szCs w:val="22"/>
        </w:rPr>
      </w:pPr>
      <w:r>
        <w:rPr>
          <w:rFonts w:ascii="Verdana" w:eastAsia="Times New Roman" w:hAnsi="Verdana"/>
          <w:b/>
          <w:bCs/>
          <w:sz w:val="22"/>
          <w:szCs w:val="22"/>
        </w:rPr>
        <w:t xml:space="preserve">12. Date of Completion </w:t>
      </w:r>
    </w:p>
    <w:p w14:paraId="052089F6" w14:textId="252AE251" w:rsidR="00926334" w:rsidRDefault="00926334">
      <w:pPr>
        <w:divId w:val="1893077239"/>
        <w:rPr>
          <w:rFonts w:ascii="Verdana" w:eastAsia="Times New Roman" w:hAnsi="Verdana"/>
          <w:sz w:val="22"/>
          <w:szCs w:val="22"/>
        </w:rPr>
      </w:pPr>
      <w:r>
        <w:rPr>
          <w:rFonts w:ascii="Verdana" w:eastAsia="Times New Roman" w:hAnsi="Verdana"/>
          <w:sz w:val="22"/>
          <w:szCs w:val="22"/>
        </w:rPr>
        <w:lastRenderedPageBreak/>
        <w:t>31</w:t>
      </w:r>
      <w:r w:rsidRPr="00926334">
        <w:rPr>
          <w:rFonts w:ascii="Verdana" w:eastAsia="Times New Roman" w:hAnsi="Verdana"/>
          <w:sz w:val="22"/>
          <w:szCs w:val="22"/>
        </w:rPr>
        <w:t>-</w:t>
      </w:r>
      <w:r>
        <w:rPr>
          <w:rFonts w:ascii="Verdana" w:eastAsia="Times New Roman" w:hAnsi="Verdana"/>
          <w:sz w:val="22"/>
          <w:szCs w:val="22"/>
        </w:rPr>
        <w:t>Jan</w:t>
      </w:r>
      <w:r w:rsidRPr="00926334">
        <w:rPr>
          <w:rFonts w:ascii="Verdana" w:eastAsia="Times New Roman" w:hAnsi="Verdana"/>
          <w:sz w:val="22"/>
          <w:szCs w:val="22"/>
        </w:rPr>
        <w:t>-202</w:t>
      </w:r>
      <w:r>
        <w:rPr>
          <w:rFonts w:ascii="Verdana" w:eastAsia="Times New Roman" w:hAnsi="Verdana"/>
          <w:sz w:val="22"/>
          <w:szCs w:val="22"/>
        </w:rPr>
        <w:t>5</w:t>
      </w:r>
    </w:p>
    <w:p w14:paraId="4C594DAD" w14:textId="77777777" w:rsidR="00926334" w:rsidRDefault="00926334">
      <w:pPr>
        <w:shd w:val="clear" w:color="auto" w:fill="7C173A"/>
        <w:divId w:val="1507285383"/>
        <w:rPr>
          <w:rFonts w:ascii="Verdana" w:eastAsia="Times New Roman" w:hAnsi="Verdana"/>
          <w:b/>
          <w:bCs/>
          <w:sz w:val="22"/>
          <w:szCs w:val="22"/>
        </w:rPr>
      </w:pPr>
      <w:r>
        <w:rPr>
          <w:rFonts w:ascii="Verdana" w:eastAsia="Times New Roman" w:hAnsi="Verdana"/>
          <w:b/>
          <w:bCs/>
          <w:sz w:val="22"/>
          <w:szCs w:val="22"/>
        </w:rPr>
        <w:t xml:space="preserve">13. Place Of Completion </w:t>
      </w:r>
    </w:p>
    <w:p w14:paraId="1905BF3D" w14:textId="77777777" w:rsidR="00926334" w:rsidRDefault="00926334">
      <w:pPr>
        <w:divId w:val="1014184430"/>
        <w:rPr>
          <w:rFonts w:ascii="Verdana" w:eastAsia="Times New Roman" w:hAnsi="Verdana"/>
          <w:sz w:val="22"/>
          <w:szCs w:val="22"/>
        </w:rPr>
      </w:pPr>
      <w:r>
        <w:rPr>
          <w:rFonts w:ascii="Verdana" w:eastAsia="Times New Roman" w:hAnsi="Verdana"/>
          <w:sz w:val="22"/>
          <w:szCs w:val="22"/>
        </w:rPr>
        <w:t xml:space="preserve">Edinburgh, United Kingdom </w:t>
      </w:r>
    </w:p>
    <w:sectPr w:rsidR="00926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AF"/>
    <w:rsid w:val="00212E1B"/>
    <w:rsid w:val="005747F0"/>
    <w:rsid w:val="009044F3"/>
    <w:rsid w:val="00926334"/>
    <w:rsid w:val="00AC5688"/>
    <w:rsid w:val="00C3202E"/>
    <w:rsid w:val="00D92F05"/>
    <w:rsid w:val="00F04FAF"/>
    <w:rsid w:val="00F0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0912D"/>
  <w15:chartTrackingRefBased/>
  <w15:docId w15:val="{8FD9D0AD-AF76-4DA2-B328-AC424E5A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269781">
      <w:bodyDiv w:val="1"/>
      <w:marLeft w:val="450"/>
      <w:marRight w:val="450"/>
      <w:marTop w:val="0"/>
      <w:marBottom w:val="0"/>
      <w:divBdr>
        <w:top w:val="none" w:sz="0" w:space="0" w:color="auto"/>
        <w:left w:val="none" w:sz="0" w:space="0" w:color="auto"/>
        <w:bottom w:val="none" w:sz="0" w:space="0" w:color="auto"/>
        <w:right w:val="none" w:sz="0" w:space="0" w:color="auto"/>
      </w:divBdr>
      <w:divsChild>
        <w:div w:id="867596983">
          <w:marLeft w:val="0"/>
          <w:marRight w:val="0"/>
          <w:marTop w:val="150"/>
          <w:marBottom w:val="150"/>
          <w:divBdr>
            <w:top w:val="none" w:sz="0" w:space="0" w:color="auto"/>
            <w:left w:val="none" w:sz="0" w:space="0" w:color="auto"/>
            <w:bottom w:val="none" w:sz="0" w:space="0" w:color="auto"/>
            <w:right w:val="none" w:sz="0" w:space="0" w:color="auto"/>
          </w:divBdr>
        </w:div>
        <w:div w:id="757678553">
          <w:marLeft w:val="0"/>
          <w:marRight w:val="0"/>
          <w:marTop w:val="0"/>
          <w:marBottom w:val="0"/>
          <w:divBdr>
            <w:top w:val="none" w:sz="0" w:space="0" w:color="auto"/>
            <w:left w:val="none" w:sz="0" w:space="0" w:color="auto"/>
            <w:bottom w:val="none" w:sz="0" w:space="0" w:color="auto"/>
            <w:right w:val="none" w:sz="0" w:space="0" w:color="auto"/>
          </w:divBdr>
          <w:divsChild>
            <w:div w:id="1945721274">
              <w:marLeft w:val="150"/>
              <w:marRight w:val="0"/>
              <w:marTop w:val="0"/>
              <w:marBottom w:val="0"/>
              <w:divBdr>
                <w:top w:val="none" w:sz="0" w:space="0" w:color="auto"/>
                <w:left w:val="none" w:sz="0" w:space="0" w:color="auto"/>
                <w:bottom w:val="none" w:sz="0" w:space="0" w:color="auto"/>
                <w:right w:val="none" w:sz="0" w:space="0" w:color="auto"/>
              </w:divBdr>
            </w:div>
            <w:div w:id="1552230104">
              <w:marLeft w:val="195"/>
              <w:marRight w:val="0"/>
              <w:marTop w:val="75"/>
              <w:marBottom w:val="150"/>
              <w:divBdr>
                <w:top w:val="single" w:sz="6" w:space="0" w:color="666666"/>
                <w:left w:val="single" w:sz="6" w:space="0" w:color="666666"/>
                <w:bottom w:val="single" w:sz="6" w:space="0" w:color="666666"/>
                <w:right w:val="single" w:sz="6" w:space="0" w:color="666666"/>
              </w:divBdr>
            </w:div>
            <w:div w:id="1135753649">
              <w:marLeft w:val="150"/>
              <w:marRight w:val="0"/>
              <w:marTop w:val="0"/>
              <w:marBottom w:val="0"/>
              <w:divBdr>
                <w:top w:val="none" w:sz="0" w:space="0" w:color="auto"/>
                <w:left w:val="none" w:sz="0" w:space="0" w:color="auto"/>
                <w:bottom w:val="none" w:sz="0" w:space="0" w:color="auto"/>
                <w:right w:val="none" w:sz="0" w:space="0" w:color="auto"/>
              </w:divBdr>
            </w:div>
            <w:div w:id="1222591967">
              <w:marLeft w:val="195"/>
              <w:marRight w:val="0"/>
              <w:marTop w:val="75"/>
              <w:marBottom w:val="150"/>
              <w:divBdr>
                <w:top w:val="single" w:sz="6" w:space="0" w:color="666666"/>
                <w:left w:val="single" w:sz="6" w:space="0" w:color="666666"/>
                <w:bottom w:val="single" w:sz="6" w:space="0" w:color="666666"/>
                <w:right w:val="single" w:sz="6" w:space="0" w:color="666666"/>
              </w:divBdr>
            </w:div>
            <w:div w:id="516584554">
              <w:marLeft w:val="150"/>
              <w:marRight w:val="0"/>
              <w:marTop w:val="0"/>
              <w:marBottom w:val="0"/>
              <w:divBdr>
                <w:top w:val="none" w:sz="0" w:space="0" w:color="auto"/>
                <w:left w:val="none" w:sz="0" w:space="0" w:color="auto"/>
                <w:bottom w:val="none" w:sz="0" w:space="0" w:color="auto"/>
                <w:right w:val="none" w:sz="0" w:space="0" w:color="auto"/>
              </w:divBdr>
            </w:div>
            <w:div w:id="90113503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090076649">
          <w:marLeft w:val="0"/>
          <w:marRight w:val="0"/>
          <w:marTop w:val="150"/>
          <w:marBottom w:val="150"/>
          <w:divBdr>
            <w:top w:val="none" w:sz="0" w:space="0" w:color="auto"/>
            <w:left w:val="none" w:sz="0" w:space="0" w:color="auto"/>
            <w:bottom w:val="none" w:sz="0" w:space="0" w:color="auto"/>
            <w:right w:val="none" w:sz="0" w:space="0" w:color="auto"/>
          </w:divBdr>
        </w:div>
        <w:div w:id="785808831">
          <w:marLeft w:val="0"/>
          <w:marRight w:val="0"/>
          <w:marTop w:val="0"/>
          <w:marBottom w:val="0"/>
          <w:divBdr>
            <w:top w:val="none" w:sz="0" w:space="0" w:color="auto"/>
            <w:left w:val="none" w:sz="0" w:space="0" w:color="auto"/>
            <w:bottom w:val="none" w:sz="0" w:space="0" w:color="auto"/>
            <w:right w:val="none" w:sz="0" w:space="0" w:color="auto"/>
          </w:divBdr>
          <w:divsChild>
            <w:div w:id="188698437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790251290">
          <w:marLeft w:val="0"/>
          <w:marRight w:val="0"/>
          <w:marTop w:val="150"/>
          <w:marBottom w:val="150"/>
          <w:divBdr>
            <w:top w:val="none" w:sz="0" w:space="0" w:color="auto"/>
            <w:left w:val="none" w:sz="0" w:space="0" w:color="auto"/>
            <w:bottom w:val="none" w:sz="0" w:space="0" w:color="auto"/>
            <w:right w:val="none" w:sz="0" w:space="0" w:color="auto"/>
          </w:divBdr>
        </w:div>
        <w:div w:id="1883980186">
          <w:marLeft w:val="0"/>
          <w:marRight w:val="0"/>
          <w:marTop w:val="0"/>
          <w:marBottom w:val="0"/>
          <w:divBdr>
            <w:top w:val="none" w:sz="0" w:space="0" w:color="auto"/>
            <w:left w:val="none" w:sz="0" w:space="0" w:color="auto"/>
            <w:bottom w:val="none" w:sz="0" w:space="0" w:color="auto"/>
            <w:right w:val="none" w:sz="0" w:space="0" w:color="auto"/>
          </w:divBdr>
          <w:divsChild>
            <w:div w:id="1407728259">
              <w:marLeft w:val="150"/>
              <w:marRight w:val="0"/>
              <w:marTop w:val="0"/>
              <w:marBottom w:val="0"/>
              <w:divBdr>
                <w:top w:val="none" w:sz="0" w:space="0" w:color="auto"/>
                <w:left w:val="none" w:sz="0" w:space="0" w:color="auto"/>
                <w:bottom w:val="none" w:sz="0" w:space="0" w:color="auto"/>
                <w:right w:val="none" w:sz="0" w:space="0" w:color="auto"/>
              </w:divBdr>
            </w:div>
            <w:div w:id="1365902134">
              <w:marLeft w:val="195"/>
              <w:marRight w:val="0"/>
              <w:marTop w:val="75"/>
              <w:marBottom w:val="150"/>
              <w:divBdr>
                <w:top w:val="single" w:sz="6" w:space="0" w:color="666666"/>
                <w:left w:val="single" w:sz="6" w:space="0" w:color="666666"/>
                <w:bottom w:val="single" w:sz="6" w:space="0" w:color="666666"/>
                <w:right w:val="single" w:sz="6" w:space="0" w:color="666666"/>
              </w:divBdr>
            </w:div>
            <w:div w:id="1024867588">
              <w:marLeft w:val="150"/>
              <w:marRight w:val="0"/>
              <w:marTop w:val="0"/>
              <w:marBottom w:val="0"/>
              <w:divBdr>
                <w:top w:val="none" w:sz="0" w:space="0" w:color="auto"/>
                <w:left w:val="none" w:sz="0" w:space="0" w:color="auto"/>
                <w:bottom w:val="none" w:sz="0" w:space="0" w:color="auto"/>
                <w:right w:val="none" w:sz="0" w:space="0" w:color="auto"/>
              </w:divBdr>
            </w:div>
            <w:div w:id="1823154883">
              <w:marLeft w:val="195"/>
              <w:marRight w:val="0"/>
              <w:marTop w:val="75"/>
              <w:marBottom w:val="150"/>
              <w:divBdr>
                <w:top w:val="single" w:sz="6" w:space="0" w:color="666666"/>
                <w:left w:val="single" w:sz="6" w:space="0" w:color="666666"/>
                <w:bottom w:val="single" w:sz="6" w:space="0" w:color="666666"/>
                <w:right w:val="single" w:sz="6" w:space="0" w:color="666666"/>
              </w:divBdr>
            </w:div>
            <w:div w:id="826475475">
              <w:marLeft w:val="150"/>
              <w:marRight w:val="0"/>
              <w:marTop w:val="0"/>
              <w:marBottom w:val="0"/>
              <w:divBdr>
                <w:top w:val="none" w:sz="0" w:space="0" w:color="auto"/>
                <w:left w:val="none" w:sz="0" w:space="0" w:color="auto"/>
                <w:bottom w:val="none" w:sz="0" w:space="0" w:color="auto"/>
                <w:right w:val="none" w:sz="0" w:space="0" w:color="auto"/>
              </w:divBdr>
            </w:div>
            <w:div w:id="122174688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521818574">
          <w:marLeft w:val="0"/>
          <w:marRight w:val="0"/>
          <w:marTop w:val="150"/>
          <w:marBottom w:val="150"/>
          <w:divBdr>
            <w:top w:val="none" w:sz="0" w:space="0" w:color="auto"/>
            <w:left w:val="none" w:sz="0" w:space="0" w:color="auto"/>
            <w:bottom w:val="none" w:sz="0" w:space="0" w:color="auto"/>
            <w:right w:val="none" w:sz="0" w:space="0" w:color="auto"/>
          </w:divBdr>
        </w:div>
        <w:div w:id="1887372516">
          <w:marLeft w:val="0"/>
          <w:marRight w:val="0"/>
          <w:marTop w:val="0"/>
          <w:marBottom w:val="0"/>
          <w:divBdr>
            <w:top w:val="none" w:sz="0" w:space="0" w:color="auto"/>
            <w:left w:val="none" w:sz="0" w:space="0" w:color="auto"/>
            <w:bottom w:val="none" w:sz="0" w:space="0" w:color="auto"/>
            <w:right w:val="none" w:sz="0" w:space="0" w:color="auto"/>
          </w:divBdr>
          <w:divsChild>
            <w:div w:id="1744981954">
              <w:marLeft w:val="150"/>
              <w:marRight w:val="0"/>
              <w:marTop w:val="0"/>
              <w:marBottom w:val="0"/>
              <w:divBdr>
                <w:top w:val="none" w:sz="0" w:space="0" w:color="auto"/>
                <w:left w:val="none" w:sz="0" w:space="0" w:color="auto"/>
                <w:bottom w:val="none" w:sz="0" w:space="0" w:color="auto"/>
                <w:right w:val="none" w:sz="0" w:space="0" w:color="auto"/>
              </w:divBdr>
              <w:divsChild>
                <w:div w:id="1158419611">
                  <w:marLeft w:val="30"/>
                  <w:marRight w:val="0"/>
                  <w:marTop w:val="0"/>
                  <w:marBottom w:val="0"/>
                  <w:divBdr>
                    <w:top w:val="none" w:sz="0" w:space="0" w:color="auto"/>
                    <w:left w:val="none" w:sz="0" w:space="0" w:color="auto"/>
                    <w:bottom w:val="none" w:sz="0" w:space="0" w:color="auto"/>
                    <w:right w:val="none" w:sz="0" w:space="0" w:color="auto"/>
                  </w:divBdr>
                </w:div>
                <w:div w:id="2088767766">
                  <w:marLeft w:val="30"/>
                  <w:marRight w:val="0"/>
                  <w:marTop w:val="75"/>
                  <w:marBottom w:val="150"/>
                  <w:divBdr>
                    <w:top w:val="single" w:sz="6" w:space="0" w:color="666666"/>
                    <w:left w:val="single" w:sz="6" w:space="0" w:color="666666"/>
                    <w:bottom w:val="single" w:sz="6" w:space="0" w:color="666666"/>
                    <w:right w:val="single" w:sz="6" w:space="0" w:color="666666"/>
                  </w:divBdr>
                </w:div>
                <w:div w:id="71002267">
                  <w:marLeft w:val="30"/>
                  <w:marRight w:val="0"/>
                  <w:marTop w:val="0"/>
                  <w:marBottom w:val="0"/>
                  <w:divBdr>
                    <w:top w:val="none" w:sz="0" w:space="0" w:color="auto"/>
                    <w:left w:val="none" w:sz="0" w:space="0" w:color="auto"/>
                    <w:bottom w:val="none" w:sz="0" w:space="0" w:color="auto"/>
                    <w:right w:val="none" w:sz="0" w:space="0" w:color="auto"/>
                  </w:divBdr>
                </w:div>
                <w:div w:id="393744346">
                  <w:marLeft w:val="30"/>
                  <w:marRight w:val="0"/>
                  <w:marTop w:val="75"/>
                  <w:marBottom w:val="150"/>
                  <w:divBdr>
                    <w:top w:val="single" w:sz="6" w:space="0" w:color="666666"/>
                    <w:left w:val="single" w:sz="6" w:space="0" w:color="666666"/>
                    <w:bottom w:val="single" w:sz="6" w:space="0" w:color="666666"/>
                    <w:right w:val="single" w:sz="6" w:space="0" w:color="666666"/>
                  </w:divBdr>
                </w:div>
                <w:div w:id="513033350">
                  <w:marLeft w:val="30"/>
                  <w:marRight w:val="0"/>
                  <w:marTop w:val="0"/>
                  <w:marBottom w:val="0"/>
                  <w:divBdr>
                    <w:top w:val="none" w:sz="0" w:space="0" w:color="auto"/>
                    <w:left w:val="none" w:sz="0" w:space="0" w:color="auto"/>
                    <w:bottom w:val="none" w:sz="0" w:space="0" w:color="auto"/>
                    <w:right w:val="none" w:sz="0" w:space="0" w:color="auto"/>
                  </w:divBdr>
                </w:div>
                <w:div w:id="1677221263">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815151360">
          <w:marLeft w:val="0"/>
          <w:marRight w:val="0"/>
          <w:marTop w:val="150"/>
          <w:marBottom w:val="150"/>
          <w:divBdr>
            <w:top w:val="none" w:sz="0" w:space="0" w:color="auto"/>
            <w:left w:val="none" w:sz="0" w:space="0" w:color="auto"/>
            <w:bottom w:val="none" w:sz="0" w:space="0" w:color="auto"/>
            <w:right w:val="none" w:sz="0" w:space="0" w:color="auto"/>
          </w:divBdr>
        </w:div>
        <w:div w:id="1626540400">
          <w:marLeft w:val="195"/>
          <w:marRight w:val="0"/>
          <w:marTop w:val="75"/>
          <w:marBottom w:val="150"/>
          <w:divBdr>
            <w:top w:val="single" w:sz="6" w:space="0" w:color="666666"/>
            <w:left w:val="single" w:sz="6" w:space="0" w:color="666666"/>
            <w:bottom w:val="single" w:sz="6" w:space="0" w:color="666666"/>
            <w:right w:val="single" w:sz="6" w:space="0" w:color="666666"/>
          </w:divBdr>
        </w:div>
        <w:div w:id="93092084">
          <w:marLeft w:val="0"/>
          <w:marRight w:val="0"/>
          <w:marTop w:val="150"/>
          <w:marBottom w:val="150"/>
          <w:divBdr>
            <w:top w:val="none" w:sz="0" w:space="0" w:color="auto"/>
            <w:left w:val="none" w:sz="0" w:space="0" w:color="auto"/>
            <w:bottom w:val="none" w:sz="0" w:space="0" w:color="auto"/>
            <w:right w:val="none" w:sz="0" w:space="0" w:color="auto"/>
          </w:divBdr>
        </w:div>
        <w:div w:id="1645887680">
          <w:marLeft w:val="195"/>
          <w:marRight w:val="0"/>
          <w:marTop w:val="75"/>
          <w:marBottom w:val="150"/>
          <w:divBdr>
            <w:top w:val="single" w:sz="6" w:space="0" w:color="666666"/>
            <w:left w:val="single" w:sz="6" w:space="0" w:color="666666"/>
            <w:bottom w:val="single" w:sz="6" w:space="0" w:color="666666"/>
            <w:right w:val="single" w:sz="6" w:space="0" w:color="666666"/>
          </w:divBdr>
        </w:div>
        <w:div w:id="723068983">
          <w:marLeft w:val="0"/>
          <w:marRight w:val="0"/>
          <w:marTop w:val="150"/>
          <w:marBottom w:val="150"/>
          <w:divBdr>
            <w:top w:val="none" w:sz="0" w:space="0" w:color="auto"/>
            <w:left w:val="none" w:sz="0" w:space="0" w:color="auto"/>
            <w:bottom w:val="none" w:sz="0" w:space="0" w:color="auto"/>
            <w:right w:val="none" w:sz="0" w:space="0" w:color="auto"/>
          </w:divBdr>
        </w:div>
        <w:div w:id="1649674825">
          <w:marLeft w:val="0"/>
          <w:marRight w:val="0"/>
          <w:marTop w:val="150"/>
          <w:marBottom w:val="150"/>
          <w:divBdr>
            <w:top w:val="none" w:sz="0" w:space="0" w:color="auto"/>
            <w:left w:val="none" w:sz="0" w:space="0" w:color="auto"/>
            <w:bottom w:val="none" w:sz="0" w:space="0" w:color="auto"/>
            <w:right w:val="none" w:sz="0" w:space="0" w:color="auto"/>
          </w:divBdr>
        </w:div>
        <w:div w:id="396514715">
          <w:marLeft w:val="0"/>
          <w:marRight w:val="0"/>
          <w:marTop w:val="150"/>
          <w:marBottom w:val="150"/>
          <w:divBdr>
            <w:top w:val="none" w:sz="0" w:space="0" w:color="auto"/>
            <w:left w:val="none" w:sz="0" w:space="0" w:color="auto"/>
            <w:bottom w:val="none" w:sz="0" w:space="0" w:color="auto"/>
            <w:right w:val="none" w:sz="0" w:space="0" w:color="auto"/>
          </w:divBdr>
        </w:div>
        <w:div w:id="235089937">
          <w:marLeft w:val="0"/>
          <w:marRight w:val="0"/>
          <w:marTop w:val="0"/>
          <w:marBottom w:val="0"/>
          <w:divBdr>
            <w:top w:val="none" w:sz="0" w:space="0" w:color="auto"/>
            <w:left w:val="none" w:sz="0" w:space="0" w:color="auto"/>
            <w:bottom w:val="none" w:sz="0" w:space="0" w:color="auto"/>
            <w:right w:val="none" w:sz="0" w:space="0" w:color="auto"/>
          </w:divBdr>
        </w:div>
        <w:div w:id="548802175">
          <w:marLeft w:val="0"/>
          <w:marRight w:val="0"/>
          <w:marTop w:val="150"/>
          <w:marBottom w:val="150"/>
          <w:divBdr>
            <w:top w:val="none" w:sz="0" w:space="0" w:color="auto"/>
            <w:left w:val="none" w:sz="0" w:space="0" w:color="auto"/>
            <w:bottom w:val="none" w:sz="0" w:space="0" w:color="auto"/>
            <w:right w:val="none" w:sz="0" w:space="0" w:color="auto"/>
          </w:divBdr>
        </w:div>
        <w:div w:id="1523938703">
          <w:marLeft w:val="0"/>
          <w:marRight w:val="0"/>
          <w:marTop w:val="0"/>
          <w:marBottom w:val="0"/>
          <w:divBdr>
            <w:top w:val="none" w:sz="0" w:space="0" w:color="auto"/>
            <w:left w:val="none" w:sz="0" w:space="0" w:color="auto"/>
            <w:bottom w:val="none" w:sz="0" w:space="0" w:color="auto"/>
            <w:right w:val="none" w:sz="0" w:space="0" w:color="auto"/>
          </w:divBdr>
        </w:div>
        <w:div w:id="579681762">
          <w:marLeft w:val="0"/>
          <w:marRight w:val="0"/>
          <w:marTop w:val="150"/>
          <w:marBottom w:val="150"/>
          <w:divBdr>
            <w:top w:val="none" w:sz="0" w:space="0" w:color="auto"/>
            <w:left w:val="none" w:sz="0" w:space="0" w:color="auto"/>
            <w:bottom w:val="none" w:sz="0" w:space="0" w:color="auto"/>
            <w:right w:val="none" w:sz="0" w:space="0" w:color="auto"/>
          </w:divBdr>
        </w:div>
        <w:div w:id="1242061186">
          <w:marLeft w:val="0"/>
          <w:marRight w:val="0"/>
          <w:marTop w:val="0"/>
          <w:marBottom w:val="0"/>
          <w:divBdr>
            <w:top w:val="none" w:sz="0" w:space="0" w:color="auto"/>
            <w:left w:val="none" w:sz="0" w:space="0" w:color="auto"/>
            <w:bottom w:val="none" w:sz="0" w:space="0" w:color="auto"/>
            <w:right w:val="none" w:sz="0" w:space="0" w:color="auto"/>
          </w:divBdr>
        </w:div>
        <w:div w:id="1651442052">
          <w:marLeft w:val="0"/>
          <w:marRight w:val="0"/>
          <w:marTop w:val="150"/>
          <w:marBottom w:val="150"/>
          <w:divBdr>
            <w:top w:val="none" w:sz="0" w:space="0" w:color="auto"/>
            <w:left w:val="none" w:sz="0" w:space="0" w:color="auto"/>
            <w:bottom w:val="none" w:sz="0" w:space="0" w:color="auto"/>
            <w:right w:val="none" w:sz="0" w:space="0" w:color="auto"/>
          </w:divBdr>
        </w:div>
        <w:div w:id="749038516">
          <w:marLeft w:val="30"/>
          <w:marRight w:val="0"/>
          <w:marTop w:val="75"/>
          <w:marBottom w:val="150"/>
          <w:divBdr>
            <w:top w:val="single" w:sz="6" w:space="0" w:color="666666"/>
            <w:left w:val="single" w:sz="6" w:space="0" w:color="666666"/>
            <w:bottom w:val="single" w:sz="6" w:space="0" w:color="666666"/>
            <w:right w:val="single" w:sz="6" w:space="0" w:color="666666"/>
          </w:divBdr>
        </w:div>
        <w:div w:id="1697465536">
          <w:marLeft w:val="0"/>
          <w:marRight w:val="0"/>
          <w:marTop w:val="0"/>
          <w:marBottom w:val="0"/>
          <w:divBdr>
            <w:top w:val="none" w:sz="0" w:space="0" w:color="auto"/>
            <w:left w:val="none" w:sz="0" w:space="0" w:color="auto"/>
            <w:bottom w:val="none" w:sz="0" w:space="0" w:color="auto"/>
            <w:right w:val="none" w:sz="0" w:space="0" w:color="auto"/>
          </w:divBdr>
        </w:div>
        <w:div w:id="393162364">
          <w:marLeft w:val="0"/>
          <w:marRight w:val="0"/>
          <w:marTop w:val="150"/>
          <w:marBottom w:val="150"/>
          <w:divBdr>
            <w:top w:val="none" w:sz="0" w:space="0" w:color="auto"/>
            <w:left w:val="none" w:sz="0" w:space="0" w:color="auto"/>
            <w:bottom w:val="none" w:sz="0" w:space="0" w:color="auto"/>
            <w:right w:val="none" w:sz="0" w:space="0" w:color="auto"/>
          </w:divBdr>
        </w:div>
        <w:div w:id="457719693">
          <w:marLeft w:val="0"/>
          <w:marRight w:val="0"/>
          <w:marTop w:val="0"/>
          <w:marBottom w:val="0"/>
          <w:divBdr>
            <w:top w:val="none" w:sz="0" w:space="0" w:color="auto"/>
            <w:left w:val="none" w:sz="0" w:space="0" w:color="auto"/>
            <w:bottom w:val="none" w:sz="0" w:space="0" w:color="auto"/>
            <w:right w:val="none" w:sz="0" w:space="0" w:color="auto"/>
          </w:divBdr>
          <w:divsChild>
            <w:div w:id="1662852837">
              <w:marLeft w:val="150"/>
              <w:marRight w:val="0"/>
              <w:marTop w:val="0"/>
              <w:marBottom w:val="0"/>
              <w:divBdr>
                <w:top w:val="none" w:sz="0" w:space="0" w:color="auto"/>
                <w:left w:val="none" w:sz="0" w:space="0" w:color="auto"/>
                <w:bottom w:val="none" w:sz="0" w:space="0" w:color="auto"/>
                <w:right w:val="none" w:sz="0" w:space="0" w:color="auto"/>
              </w:divBdr>
            </w:div>
            <w:div w:id="926034025">
              <w:marLeft w:val="195"/>
              <w:marRight w:val="0"/>
              <w:marTop w:val="75"/>
              <w:marBottom w:val="150"/>
              <w:divBdr>
                <w:top w:val="single" w:sz="6" w:space="0" w:color="666666"/>
                <w:left w:val="single" w:sz="6" w:space="0" w:color="666666"/>
                <w:bottom w:val="single" w:sz="6" w:space="0" w:color="666666"/>
                <w:right w:val="single" w:sz="6" w:space="0" w:color="666666"/>
              </w:divBdr>
            </w:div>
            <w:div w:id="1353070176">
              <w:marLeft w:val="150"/>
              <w:marRight w:val="0"/>
              <w:marTop w:val="0"/>
              <w:marBottom w:val="0"/>
              <w:divBdr>
                <w:top w:val="none" w:sz="0" w:space="0" w:color="auto"/>
                <w:left w:val="none" w:sz="0" w:space="0" w:color="auto"/>
                <w:bottom w:val="none" w:sz="0" w:space="0" w:color="auto"/>
                <w:right w:val="none" w:sz="0" w:space="0" w:color="auto"/>
              </w:divBdr>
            </w:div>
            <w:div w:id="570775909">
              <w:marLeft w:val="195"/>
              <w:marRight w:val="0"/>
              <w:marTop w:val="75"/>
              <w:marBottom w:val="150"/>
              <w:divBdr>
                <w:top w:val="single" w:sz="6" w:space="0" w:color="666666"/>
                <w:left w:val="single" w:sz="6" w:space="0" w:color="666666"/>
                <w:bottom w:val="single" w:sz="6" w:space="0" w:color="666666"/>
                <w:right w:val="single" w:sz="6" w:space="0" w:color="666666"/>
              </w:divBdr>
            </w:div>
            <w:div w:id="341320328">
              <w:marLeft w:val="150"/>
              <w:marRight w:val="0"/>
              <w:marTop w:val="0"/>
              <w:marBottom w:val="0"/>
              <w:divBdr>
                <w:top w:val="none" w:sz="0" w:space="0" w:color="auto"/>
                <w:left w:val="none" w:sz="0" w:space="0" w:color="auto"/>
                <w:bottom w:val="none" w:sz="0" w:space="0" w:color="auto"/>
                <w:right w:val="none" w:sz="0" w:space="0" w:color="auto"/>
              </w:divBdr>
            </w:div>
            <w:div w:id="109782366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543366007">
          <w:marLeft w:val="0"/>
          <w:marRight w:val="0"/>
          <w:marTop w:val="150"/>
          <w:marBottom w:val="150"/>
          <w:divBdr>
            <w:top w:val="none" w:sz="0" w:space="0" w:color="auto"/>
            <w:left w:val="none" w:sz="0" w:space="0" w:color="auto"/>
            <w:bottom w:val="none" w:sz="0" w:space="0" w:color="auto"/>
            <w:right w:val="none" w:sz="0" w:space="0" w:color="auto"/>
          </w:divBdr>
        </w:div>
        <w:div w:id="971011900">
          <w:marLeft w:val="195"/>
          <w:marRight w:val="0"/>
          <w:marTop w:val="75"/>
          <w:marBottom w:val="150"/>
          <w:divBdr>
            <w:top w:val="single" w:sz="6" w:space="0" w:color="666666"/>
            <w:left w:val="single" w:sz="6" w:space="0" w:color="666666"/>
            <w:bottom w:val="single" w:sz="6" w:space="0" w:color="666666"/>
            <w:right w:val="single" w:sz="6" w:space="0" w:color="666666"/>
          </w:divBdr>
        </w:div>
        <w:div w:id="1911308389">
          <w:marLeft w:val="0"/>
          <w:marRight w:val="0"/>
          <w:marTop w:val="150"/>
          <w:marBottom w:val="150"/>
          <w:divBdr>
            <w:top w:val="none" w:sz="0" w:space="0" w:color="auto"/>
            <w:left w:val="none" w:sz="0" w:space="0" w:color="auto"/>
            <w:bottom w:val="none" w:sz="0" w:space="0" w:color="auto"/>
            <w:right w:val="none" w:sz="0" w:space="0" w:color="auto"/>
          </w:divBdr>
        </w:div>
        <w:div w:id="1893077239">
          <w:marLeft w:val="195"/>
          <w:marRight w:val="0"/>
          <w:marTop w:val="75"/>
          <w:marBottom w:val="150"/>
          <w:divBdr>
            <w:top w:val="single" w:sz="6" w:space="0" w:color="666666"/>
            <w:left w:val="single" w:sz="6" w:space="0" w:color="666666"/>
            <w:bottom w:val="single" w:sz="6" w:space="0" w:color="666666"/>
            <w:right w:val="single" w:sz="6" w:space="0" w:color="666666"/>
          </w:divBdr>
        </w:div>
        <w:div w:id="1507285383">
          <w:marLeft w:val="0"/>
          <w:marRight w:val="0"/>
          <w:marTop w:val="150"/>
          <w:marBottom w:val="150"/>
          <w:divBdr>
            <w:top w:val="none" w:sz="0" w:space="0" w:color="auto"/>
            <w:left w:val="none" w:sz="0" w:space="0" w:color="auto"/>
            <w:bottom w:val="none" w:sz="0" w:space="0" w:color="auto"/>
            <w:right w:val="none" w:sz="0" w:space="0" w:color="auto"/>
          </w:divBdr>
        </w:div>
        <w:div w:id="101418443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B7BA-D961-4A5E-82FD-C2BBE5A1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619</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Osei</dc:creator>
  <cp:keywords/>
  <dc:description/>
  <cp:lastModifiedBy>Chris Cole</cp:lastModifiedBy>
  <cp:revision>5</cp:revision>
  <dcterms:created xsi:type="dcterms:W3CDTF">2025-01-31T12:25:00Z</dcterms:created>
  <dcterms:modified xsi:type="dcterms:W3CDTF">2025-01-31T15:23:00Z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2025-01-31T12:25:28Z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e2049d76-69bb-4e79-b127-3f779480a1a7</vt:lpwstr>
  </property>
  <property fmtid="{D5CDD505-2E9C-101B-9397-08002B2CF9AE}" pid="8" name="MSIP_Label_daedb74c-5c9d-4922-8c2a-58c941882563_ContentBits">
    <vt:lpwstr>0</vt:lpwstr>
  </property>
</Properties>
</file>