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E502" w14:textId="77777777" w:rsidR="006128A0" w:rsidRPr="007559B0" w:rsidRDefault="006128A0">
      <w:pPr>
        <w:pStyle w:val="Heading1"/>
        <w:tabs>
          <w:tab w:val="left" w:pos="7655"/>
        </w:tabs>
        <w:jc w:val="center"/>
        <w:rPr>
          <w:sz w:val="19"/>
          <w:szCs w:val="19"/>
          <w:lang w:val="en-GB"/>
        </w:rPr>
      </w:pPr>
      <w:r w:rsidRPr="007559B0">
        <w:rPr>
          <w:sz w:val="19"/>
          <w:szCs w:val="19"/>
          <w:lang w:val="en-GB"/>
        </w:rPr>
        <w:t>Croda International Plc - Annual General Meeting</w:t>
      </w:r>
    </w:p>
    <w:p w14:paraId="55C64A14" w14:textId="77777777" w:rsidR="006128A0" w:rsidRPr="007559B0" w:rsidRDefault="006128A0">
      <w:pPr>
        <w:autoSpaceDE w:val="0"/>
        <w:autoSpaceDN w:val="0"/>
        <w:adjustRightInd w:val="0"/>
        <w:rPr>
          <w:b/>
          <w:color w:val="000000"/>
          <w:sz w:val="19"/>
          <w:szCs w:val="19"/>
        </w:rPr>
      </w:pPr>
    </w:p>
    <w:p w14:paraId="3314BEA1" w14:textId="3E1BDE5B" w:rsidR="00092035" w:rsidRPr="007559B0" w:rsidRDefault="00092035" w:rsidP="00092035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  <w:r w:rsidRPr="007559B0">
        <w:rPr>
          <w:color w:val="000000"/>
          <w:sz w:val="19"/>
          <w:szCs w:val="19"/>
        </w:rPr>
        <w:t>The ninety-</w:t>
      </w:r>
      <w:r w:rsidR="001F711E">
        <w:rPr>
          <w:color w:val="000000"/>
          <w:sz w:val="19"/>
          <w:szCs w:val="19"/>
        </w:rPr>
        <w:t>s</w:t>
      </w:r>
      <w:r w:rsidR="008B3293">
        <w:rPr>
          <w:color w:val="000000"/>
          <w:sz w:val="19"/>
          <w:szCs w:val="19"/>
        </w:rPr>
        <w:t>event</w:t>
      </w:r>
      <w:r w:rsidR="001F711E">
        <w:rPr>
          <w:color w:val="000000"/>
          <w:sz w:val="19"/>
          <w:szCs w:val="19"/>
        </w:rPr>
        <w:t>h</w:t>
      </w:r>
      <w:r w:rsidRPr="007559B0">
        <w:rPr>
          <w:color w:val="000000"/>
          <w:sz w:val="19"/>
          <w:szCs w:val="19"/>
        </w:rPr>
        <w:t xml:space="preserve"> Annual General Meeting of Croda International Plc (the "Company") was held at</w:t>
      </w:r>
      <w:r w:rsidR="00B7491A">
        <w:rPr>
          <w:color w:val="000000"/>
          <w:sz w:val="19"/>
          <w:szCs w:val="19"/>
        </w:rPr>
        <w:t xml:space="preserve"> </w:t>
      </w:r>
      <w:r w:rsidR="008B3293">
        <w:rPr>
          <w:color w:val="000000"/>
          <w:sz w:val="19"/>
          <w:szCs w:val="19"/>
        </w:rPr>
        <w:t xml:space="preserve">the Pavilions of Harrogate, </w:t>
      </w:r>
      <w:r w:rsidR="008B3293" w:rsidRPr="007559B0">
        <w:rPr>
          <w:color w:val="000000"/>
          <w:sz w:val="19"/>
          <w:szCs w:val="19"/>
        </w:rPr>
        <w:t>Great Yorkshire Showground, North Yorkshire</w:t>
      </w:r>
      <w:r w:rsidR="008B3293">
        <w:rPr>
          <w:color w:val="000000"/>
          <w:sz w:val="19"/>
          <w:szCs w:val="19"/>
        </w:rPr>
        <w:t>,</w:t>
      </w:r>
      <w:r w:rsidR="008B3293" w:rsidRPr="007559B0">
        <w:rPr>
          <w:color w:val="000000"/>
          <w:sz w:val="19"/>
          <w:szCs w:val="19"/>
        </w:rPr>
        <w:t xml:space="preserve"> HG2 8QZ </w:t>
      </w:r>
      <w:r w:rsidRPr="007559B0">
        <w:rPr>
          <w:color w:val="000000"/>
          <w:sz w:val="19"/>
          <w:szCs w:val="19"/>
        </w:rPr>
        <w:t xml:space="preserve">on </w:t>
      </w:r>
      <w:r w:rsidR="001F711E">
        <w:rPr>
          <w:color w:val="000000"/>
          <w:sz w:val="19"/>
          <w:szCs w:val="19"/>
        </w:rPr>
        <w:t>Friday 2</w:t>
      </w:r>
      <w:r w:rsidR="008B3293">
        <w:rPr>
          <w:color w:val="000000"/>
          <w:sz w:val="19"/>
          <w:szCs w:val="19"/>
        </w:rPr>
        <w:t>0</w:t>
      </w:r>
      <w:r w:rsidR="001F711E">
        <w:rPr>
          <w:color w:val="000000"/>
          <w:sz w:val="19"/>
          <w:szCs w:val="19"/>
        </w:rPr>
        <w:t xml:space="preserve"> May 202</w:t>
      </w:r>
      <w:r w:rsidR="008B3293">
        <w:rPr>
          <w:color w:val="000000"/>
          <w:sz w:val="19"/>
          <w:szCs w:val="19"/>
        </w:rPr>
        <w:t>2</w:t>
      </w:r>
      <w:r w:rsidRPr="007559B0">
        <w:rPr>
          <w:color w:val="000000"/>
          <w:sz w:val="19"/>
          <w:szCs w:val="19"/>
        </w:rPr>
        <w:t>.</w:t>
      </w:r>
    </w:p>
    <w:p w14:paraId="3DE1E667" w14:textId="77777777" w:rsidR="00092035" w:rsidRPr="007559B0" w:rsidRDefault="00092035" w:rsidP="00092035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</w:p>
    <w:p w14:paraId="413DC74E" w14:textId="77777777" w:rsidR="00741107" w:rsidRDefault="00F67B6E" w:rsidP="00741107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  <w:r w:rsidRPr="007559B0">
        <w:rPr>
          <w:color w:val="000000"/>
          <w:sz w:val="19"/>
          <w:szCs w:val="19"/>
        </w:rPr>
        <w:t xml:space="preserve">All </w:t>
      </w:r>
      <w:r w:rsidR="00402283" w:rsidRPr="007559B0">
        <w:rPr>
          <w:color w:val="000000"/>
          <w:sz w:val="19"/>
          <w:szCs w:val="19"/>
        </w:rPr>
        <w:t xml:space="preserve">of </w:t>
      </w:r>
      <w:r w:rsidRPr="007559B0">
        <w:rPr>
          <w:color w:val="000000"/>
          <w:sz w:val="19"/>
          <w:szCs w:val="19"/>
        </w:rPr>
        <w:t xml:space="preserve">the resolutions were voted upon by poll and were passed by shareholders.  </w:t>
      </w:r>
      <w:r w:rsidR="006128A0" w:rsidRPr="007559B0">
        <w:rPr>
          <w:color w:val="000000"/>
          <w:sz w:val="19"/>
          <w:szCs w:val="19"/>
        </w:rPr>
        <w:t>The total number of ordinary shares in issue</w:t>
      </w:r>
      <w:r w:rsidR="006128A0" w:rsidRPr="00B7491A">
        <w:rPr>
          <w:color w:val="000000"/>
          <w:sz w:val="19"/>
          <w:szCs w:val="19"/>
        </w:rPr>
        <w:t xml:space="preserve">:  </w:t>
      </w:r>
      <w:r w:rsidR="001F711E">
        <w:rPr>
          <w:rFonts w:cs="Arial"/>
          <w:sz w:val="19"/>
          <w:szCs w:val="19"/>
        </w:rPr>
        <w:t>139,518,681</w:t>
      </w:r>
      <w:r w:rsidR="00B7491A" w:rsidRPr="00B7491A">
        <w:rPr>
          <w:rFonts w:ascii="Open Sans" w:hAnsi="Open Sans" w:cs="Arial"/>
          <w:szCs w:val="21"/>
        </w:rPr>
        <w:t xml:space="preserve"> </w:t>
      </w:r>
      <w:r w:rsidR="006128A0" w:rsidRPr="007559B0">
        <w:rPr>
          <w:color w:val="000000"/>
          <w:sz w:val="19"/>
          <w:szCs w:val="19"/>
        </w:rPr>
        <w:t>(excluding shares held in treasury</w:t>
      </w:r>
      <w:r w:rsidR="006128A0" w:rsidRPr="00741107">
        <w:rPr>
          <w:color w:val="000000"/>
          <w:sz w:val="19"/>
          <w:szCs w:val="19"/>
        </w:rPr>
        <w:t xml:space="preserve">).  </w:t>
      </w:r>
    </w:p>
    <w:p w14:paraId="672DA246" w14:textId="77777777" w:rsidR="00741107" w:rsidRDefault="00741107" w:rsidP="00741107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</w:p>
    <w:p w14:paraId="5BF07715" w14:textId="77777777" w:rsidR="006128A0" w:rsidRPr="007559B0" w:rsidRDefault="00F67B6E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  <w:r w:rsidRPr="007559B0">
        <w:rPr>
          <w:color w:val="000000"/>
          <w:sz w:val="19"/>
          <w:szCs w:val="19"/>
        </w:rPr>
        <w:t>The results of the poll for each resolution are as follows:</w:t>
      </w:r>
      <w:r w:rsidR="006128A0" w:rsidRPr="007559B0">
        <w:rPr>
          <w:color w:val="000000"/>
          <w:sz w:val="19"/>
          <w:szCs w:val="19"/>
        </w:rPr>
        <w:t xml:space="preserve">  </w:t>
      </w:r>
    </w:p>
    <w:p w14:paraId="3315499B" w14:textId="77777777" w:rsidR="00F67B6E" w:rsidRPr="007559B0" w:rsidRDefault="00F67B6E">
      <w:pPr>
        <w:autoSpaceDE w:val="0"/>
        <w:autoSpaceDN w:val="0"/>
        <w:adjustRightInd w:val="0"/>
        <w:ind w:right="-285"/>
        <w:rPr>
          <w:color w:val="000000"/>
          <w:sz w:val="19"/>
          <w:szCs w:val="19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17"/>
        <w:gridCol w:w="1020"/>
        <w:gridCol w:w="1390"/>
        <w:gridCol w:w="992"/>
        <w:gridCol w:w="1276"/>
      </w:tblGrid>
      <w:tr w:rsidR="00547B7A" w:rsidRPr="007559B0" w14:paraId="15340134" w14:textId="77777777" w:rsidTr="00547B7A">
        <w:tc>
          <w:tcPr>
            <w:tcW w:w="4395" w:type="dxa"/>
            <w:vMerge w:val="restart"/>
          </w:tcPr>
          <w:p w14:paraId="52B58524" w14:textId="77777777" w:rsidR="00547B7A" w:rsidRPr="007559B0" w:rsidRDefault="00547B7A" w:rsidP="00DB7EB2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Resolution</w:t>
            </w:r>
          </w:p>
        </w:tc>
        <w:tc>
          <w:tcPr>
            <w:tcW w:w="2437" w:type="dxa"/>
            <w:gridSpan w:val="2"/>
            <w:vAlign w:val="bottom"/>
          </w:tcPr>
          <w:p w14:paraId="18C19B02" w14:textId="77777777" w:rsidR="00547B7A" w:rsidRPr="007559B0" w:rsidRDefault="00547B7A" w:rsidP="00547B7A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Votes For</w:t>
            </w:r>
          </w:p>
        </w:tc>
        <w:tc>
          <w:tcPr>
            <w:tcW w:w="2382" w:type="dxa"/>
            <w:gridSpan w:val="2"/>
            <w:vAlign w:val="bottom"/>
          </w:tcPr>
          <w:p w14:paraId="566468E7" w14:textId="77777777" w:rsidR="00547B7A" w:rsidRPr="007559B0" w:rsidRDefault="00547B7A" w:rsidP="00547B7A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Against</w:t>
            </w:r>
          </w:p>
        </w:tc>
        <w:tc>
          <w:tcPr>
            <w:tcW w:w="1276" w:type="dxa"/>
          </w:tcPr>
          <w:p w14:paraId="65194334" w14:textId="77777777" w:rsidR="00547B7A" w:rsidRPr="007559B0" w:rsidRDefault="00547B7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Withheld</w:t>
            </w:r>
          </w:p>
        </w:tc>
      </w:tr>
      <w:tr w:rsidR="00547B7A" w:rsidRPr="007559B0" w14:paraId="3BA26446" w14:textId="77777777" w:rsidTr="00547B7A">
        <w:tc>
          <w:tcPr>
            <w:tcW w:w="4395" w:type="dxa"/>
            <w:vMerge/>
          </w:tcPr>
          <w:p w14:paraId="071EDD2B" w14:textId="77777777" w:rsidR="00547B7A" w:rsidRPr="007559B0" w:rsidRDefault="00547B7A" w:rsidP="00DB7EB2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Align w:val="bottom"/>
          </w:tcPr>
          <w:p w14:paraId="461773B7" w14:textId="77777777" w:rsidR="00547B7A" w:rsidRPr="007559B0" w:rsidRDefault="00547B7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rFonts w:cs="Arial"/>
                <w:color w:val="000000"/>
                <w:sz w:val="19"/>
                <w:szCs w:val="19"/>
              </w:rPr>
              <w:t>No of shares</w:t>
            </w:r>
          </w:p>
        </w:tc>
        <w:tc>
          <w:tcPr>
            <w:tcW w:w="1020" w:type="dxa"/>
            <w:vAlign w:val="bottom"/>
          </w:tcPr>
          <w:p w14:paraId="0CBF1D0F" w14:textId="77777777" w:rsidR="00547B7A" w:rsidRPr="007559B0" w:rsidRDefault="00547B7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rFonts w:cs="Arial"/>
                <w:color w:val="000000"/>
                <w:sz w:val="19"/>
                <w:szCs w:val="19"/>
              </w:rPr>
              <w:t>% of shares voted</w:t>
            </w:r>
          </w:p>
        </w:tc>
        <w:tc>
          <w:tcPr>
            <w:tcW w:w="1390" w:type="dxa"/>
            <w:vAlign w:val="bottom"/>
          </w:tcPr>
          <w:p w14:paraId="1ACA794E" w14:textId="77777777" w:rsidR="00547B7A" w:rsidRPr="007559B0" w:rsidRDefault="00547B7A" w:rsidP="00051F49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rFonts w:cs="Arial"/>
                <w:color w:val="000000"/>
                <w:sz w:val="19"/>
                <w:szCs w:val="19"/>
              </w:rPr>
              <w:t>No of shares</w:t>
            </w:r>
          </w:p>
        </w:tc>
        <w:tc>
          <w:tcPr>
            <w:tcW w:w="992" w:type="dxa"/>
            <w:vAlign w:val="bottom"/>
          </w:tcPr>
          <w:p w14:paraId="649C694B" w14:textId="77777777" w:rsidR="00547B7A" w:rsidRPr="007559B0" w:rsidRDefault="00547B7A" w:rsidP="00051F49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 w:rsidRPr="007559B0">
              <w:rPr>
                <w:rFonts w:cs="Arial"/>
                <w:color w:val="000000"/>
                <w:sz w:val="19"/>
                <w:szCs w:val="19"/>
              </w:rPr>
              <w:t>% of shares voted</w:t>
            </w:r>
          </w:p>
        </w:tc>
        <w:tc>
          <w:tcPr>
            <w:tcW w:w="1276" w:type="dxa"/>
          </w:tcPr>
          <w:p w14:paraId="5F8058C8" w14:textId="77777777" w:rsidR="00547B7A" w:rsidRPr="007559B0" w:rsidRDefault="00547B7A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</w:p>
          <w:p w14:paraId="59DAD822" w14:textId="77777777" w:rsidR="00547B7A" w:rsidRPr="007559B0" w:rsidRDefault="00547B7A">
            <w:pPr>
              <w:jc w:val="right"/>
              <w:rPr>
                <w:rFonts w:cs="Arial"/>
                <w:sz w:val="19"/>
                <w:szCs w:val="19"/>
              </w:rPr>
            </w:pPr>
            <w:r w:rsidRPr="007559B0">
              <w:rPr>
                <w:rFonts w:cs="Arial"/>
                <w:color w:val="000000"/>
                <w:sz w:val="19"/>
                <w:szCs w:val="19"/>
              </w:rPr>
              <w:t>No of shares</w:t>
            </w:r>
          </w:p>
        </w:tc>
      </w:tr>
      <w:tr w:rsidR="00043BF9" w:rsidRPr="007559B0" w14:paraId="24B1A581" w14:textId="77777777" w:rsidTr="00E45B86">
        <w:tc>
          <w:tcPr>
            <w:tcW w:w="4395" w:type="dxa"/>
          </w:tcPr>
          <w:p w14:paraId="5FED95B0" w14:textId="2093CE74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1.</w:t>
            </w:r>
            <w:r w:rsidRPr="007559B0">
              <w:rPr>
                <w:color w:val="000000"/>
                <w:sz w:val="19"/>
                <w:szCs w:val="19"/>
              </w:rPr>
              <w:tab/>
            </w:r>
            <w:r w:rsidRPr="008B3293">
              <w:rPr>
                <w:rFonts w:cs="Arial"/>
                <w:sz w:val="20"/>
                <w:lang w:eastAsia="en-GB"/>
              </w:rPr>
              <w:t>To receive financial statements and the reports of the directors and auditors for the year ended 31 December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6CFC" w14:textId="2F31FDAD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108,044,898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D68A" w14:textId="2E8AC4A8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418E" w14:textId="1EBD760A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431,304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9AC3" w14:textId="09C83BBA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EAD4" w14:textId="0F518269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67,885</w:t>
            </w:r>
          </w:p>
        </w:tc>
      </w:tr>
      <w:tr w:rsidR="00043BF9" w:rsidRPr="007559B0" w14:paraId="2B0714F6" w14:textId="77777777" w:rsidTr="00E45B86">
        <w:tc>
          <w:tcPr>
            <w:tcW w:w="4395" w:type="dxa"/>
          </w:tcPr>
          <w:p w14:paraId="3C68ADE6" w14:textId="1BE1C9BB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</w:r>
            <w:r w:rsidRPr="008B3293">
              <w:rPr>
                <w:rFonts w:cs="Arial"/>
                <w:sz w:val="20"/>
                <w:lang w:eastAsia="en-GB"/>
              </w:rPr>
              <w:t>To approve the Directors' Remuneration Report  (other than the part containing the Directors' Remuneration Policy) for the year ended 31 December 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2454" w14:textId="16761745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102,924,327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60D7" w14:textId="56814722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94.95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E607" w14:textId="30747055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5,476,013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9726" w14:textId="61A809FD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6956" w14:textId="5DD49CEE" w:rsidR="00043BF9" w:rsidRPr="00741107" w:rsidRDefault="00043BF9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144,054</w:t>
            </w:r>
          </w:p>
        </w:tc>
      </w:tr>
      <w:tr w:rsidR="00043BF9" w:rsidRPr="007559B0" w14:paraId="75825B39" w14:textId="77777777" w:rsidTr="00E45B86">
        <w:tc>
          <w:tcPr>
            <w:tcW w:w="4395" w:type="dxa"/>
            <w:vAlign w:val="center"/>
          </w:tcPr>
          <w:p w14:paraId="49BBD9A3" w14:textId="11ECA99A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</w:r>
            <w:r w:rsidRPr="007559B0">
              <w:rPr>
                <w:color w:val="000000"/>
                <w:sz w:val="19"/>
                <w:szCs w:val="19"/>
              </w:rPr>
              <w:t xml:space="preserve">To declare a final dividend of </w:t>
            </w:r>
            <w:r>
              <w:rPr>
                <w:color w:val="000000"/>
                <w:sz w:val="19"/>
                <w:szCs w:val="19"/>
              </w:rPr>
              <w:t>56.5</w:t>
            </w:r>
            <w:r w:rsidRPr="007559B0">
              <w:rPr>
                <w:color w:val="000000"/>
                <w:sz w:val="19"/>
                <w:szCs w:val="19"/>
              </w:rPr>
              <w:t xml:space="preserve"> pence per ordinary share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2BDD" w14:textId="2D142DE6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108,381,853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9B77" w14:textId="3892B4A6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30CB" w14:textId="79376CEA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136,563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D2A8" w14:textId="06940A54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5AFD" w14:textId="6B318355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25,978</w:t>
            </w:r>
          </w:p>
        </w:tc>
      </w:tr>
      <w:tr w:rsidR="00043BF9" w:rsidRPr="007559B0" w14:paraId="144CF761" w14:textId="77777777" w:rsidTr="00E45B86">
        <w:tc>
          <w:tcPr>
            <w:tcW w:w="4395" w:type="dxa"/>
            <w:vAlign w:val="center"/>
          </w:tcPr>
          <w:p w14:paraId="24F28635" w14:textId="22E12026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R Cirillo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5355" w14:textId="7B5D0263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106,616,546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A093" w14:textId="6F292137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DFD2" w14:textId="0224ED2A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1,899,216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72E0" w14:textId="785CDCB4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D152" w14:textId="61115ABB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28,632</w:t>
            </w:r>
          </w:p>
        </w:tc>
      </w:tr>
      <w:tr w:rsidR="00043BF9" w:rsidRPr="007559B0" w14:paraId="16447667" w14:textId="77777777" w:rsidTr="00E45B86">
        <w:tc>
          <w:tcPr>
            <w:tcW w:w="4395" w:type="dxa"/>
            <w:vAlign w:val="center"/>
          </w:tcPr>
          <w:p w14:paraId="67BB0DBE" w14:textId="2303EE62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5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 xml:space="preserve">To </w:t>
            </w:r>
            <w:r>
              <w:rPr>
                <w:rFonts w:cs="Arial"/>
                <w:sz w:val="19"/>
                <w:szCs w:val="19"/>
              </w:rPr>
              <w:t>re-</w:t>
            </w:r>
            <w:r w:rsidRPr="007559B0">
              <w:rPr>
                <w:rFonts w:cs="Arial"/>
                <w:sz w:val="19"/>
                <w:szCs w:val="19"/>
              </w:rPr>
              <w:t>elect J P C Ferguson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1322" w14:textId="57A457AA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106,900,365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C269" w14:textId="17EC1DD0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98.51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25C9" w14:textId="15B380C4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1,615,540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8296" w14:textId="1D8BDB55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83FE" w14:textId="76904130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28,489</w:t>
            </w:r>
          </w:p>
        </w:tc>
      </w:tr>
      <w:tr w:rsidR="00043BF9" w:rsidRPr="007559B0" w14:paraId="17251FEF" w14:textId="77777777" w:rsidTr="00E45B86">
        <w:tc>
          <w:tcPr>
            <w:tcW w:w="4395" w:type="dxa"/>
            <w:vAlign w:val="center"/>
          </w:tcPr>
          <w:p w14:paraId="5B7EF9B3" w14:textId="7D18D392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6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S E Foots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2F48" w14:textId="62DF7044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108,462,212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9C2C" w14:textId="58407E84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149C" w14:textId="07C4AABD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53,259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693A" w14:textId="1969FBC3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DDFD" w14:textId="25C2F944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28,923</w:t>
            </w:r>
          </w:p>
        </w:tc>
      </w:tr>
      <w:tr w:rsidR="00043BF9" w:rsidRPr="007559B0" w14:paraId="59AB25A0" w14:textId="77777777" w:rsidTr="00E45B86">
        <w:tc>
          <w:tcPr>
            <w:tcW w:w="4395" w:type="dxa"/>
            <w:vAlign w:val="center"/>
          </w:tcPr>
          <w:p w14:paraId="0646D265" w14:textId="1BE595DC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7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A M Frew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1381" w14:textId="41FB7FF1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106,990,976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1925" w14:textId="3D427282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98.59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A61E" w14:textId="2D8BD43A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1,525,102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822C" w14:textId="11EC1DF1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B172" w14:textId="3B8EDA40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28,316</w:t>
            </w:r>
          </w:p>
        </w:tc>
      </w:tr>
      <w:tr w:rsidR="00043BF9" w:rsidRPr="007559B0" w14:paraId="09962EF7" w14:textId="77777777" w:rsidTr="00E45B86">
        <w:tc>
          <w:tcPr>
            <w:tcW w:w="4395" w:type="dxa"/>
            <w:vAlign w:val="center"/>
          </w:tcPr>
          <w:p w14:paraId="15CF4258" w14:textId="57D32320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8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H L Ganczakowski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EDEE" w14:textId="56B82269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106,802,851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93A3" w14:textId="392FB5ED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98.48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9554" w14:textId="68A17632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1,643,577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8B70" w14:textId="2A455F93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0BF2" w14:textId="176BAD31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97,966</w:t>
            </w:r>
          </w:p>
        </w:tc>
      </w:tr>
      <w:tr w:rsidR="00043BF9" w:rsidRPr="007559B0" w14:paraId="67FEA5EE" w14:textId="77777777" w:rsidTr="00E45B86">
        <w:tc>
          <w:tcPr>
            <w:tcW w:w="4395" w:type="dxa"/>
            <w:vAlign w:val="center"/>
          </w:tcPr>
          <w:p w14:paraId="1FDB067D" w14:textId="4824C105" w:rsidR="00043BF9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9.</w:t>
            </w:r>
            <w:r>
              <w:rPr>
                <w:rFonts w:cs="Arial"/>
                <w:sz w:val="19"/>
                <w:szCs w:val="19"/>
              </w:rPr>
              <w:tab/>
              <w:t>To elect J Kim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BF81" w14:textId="6851670B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108,004,945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8663" w14:textId="7663109F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6B98" w14:textId="60AA5275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511,133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61B6" w14:textId="427046A5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657F" w14:textId="0822D823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28,316</w:t>
            </w:r>
          </w:p>
        </w:tc>
      </w:tr>
      <w:tr w:rsidR="00043BF9" w:rsidRPr="007559B0" w14:paraId="75AABCDC" w14:textId="77777777" w:rsidTr="00E45B86">
        <w:tc>
          <w:tcPr>
            <w:tcW w:w="4395" w:type="dxa"/>
            <w:vAlign w:val="center"/>
          </w:tcPr>
          <w:p w14:paraId="61946A82" w14:textId="644A2D57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10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K Layden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E096" w14:textId="26575380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103,506,492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886D" w14:textId="5181A78F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95.40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7E56" w14:textId="69CDAB73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4,985,272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80AF" w14:textId="68530347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4.60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C9271" w14:textId="3319F084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52,630</w:t>
            </w:r>
          </w:p>
        </w:tc>
      </w:tr>
      <w:tr w:rsidR="00043BF9" w:rsidRPr="007559B0" w14:paraId="00A59EDE" w14:textId="77777777" w:rsidTr="00E45B86">
        <w:tc>
          <w:tcPr>
            <w:tcW w:w="4395" w:type="dxa"/>
            <w:vAlign w:val="center"/>
          </w:tcPr>
          <w:p w14:paraId="321C2C86" w14:textId="60518BB6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 w:rsidRPr="007559B0">
              <w:rPr>
                <w:rFonts w:cs="Arial"/>
                <w:sz w:val="19"/>
                <w:szCs w:val="19"/>
              </w:rPr>
              <w:t>1</w:t>
            </w:r>
            <w:r>
              <w:rPr>
                <w:rFonts w:cs="Arial"/>
                <w:sz w:val="19"/>
                <w:szCs w:val="19"/>
              </w:rPr>
              <w:t>1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  <w:t>To re-elect J K Maiden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DA08" w14:textId="3703D455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108,403,111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5E70" w14:textId="76060644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E080" w14:textId="618EDFD1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112,967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8B54" w14:textId="53B1A4BE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0708" w14:textId="3CED938D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28,316</w:t>
            </w:r>
          </w:p>
        </w:tc>
      </w:tr>
      <w:tr w:rsidR="00043BF9" w:rsidRPr="007559B0" w14:paraId="2B7DE656" w14:textId="77777777" w:rsidTr="00E45B86">
        <w:tc>
          <w:tcPr>
            <w:tcW w:w="4395" w:type="dxa"/>
            <w:vAlign w:val="center"/>
          </w:tcPr>
          <w:p w14:paraId="507C2298" w14:textId="5F088ED3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12.</w:t>
            </w:r>
            <w:r>
              <w:rPr>
                <w:rFonts w:cs="Arial"/>
                <w:sz w:val="19"/>
                <w:szCs w:val="19"/>
              </w:rPr>
              <w:tab/>
              <w:t>To elect N Ouzren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0F70" w14:textId="2B485688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108,419,895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1CF1" w14:textId="602B5F6E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40EA" w14:textId="2AFBBB17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95,385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1220" w14:textId="6109E0B7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032F" w14:textId="18111AAC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29,114</w:t>
            </w:r>
          </w:p>
        </w:tc>
      </w:tr>
      <w:tr w:rsidR="00043BF9" w:rsidRPr="007559B0" w14:paraId="4101E58F" w14:textId="77777777" w:rsidTr="00E45B86">
        <w:tc>
          <w:tcPr>
            <w:tcW w:w="4395" w:type="dxa"/>
            <w:vAlign w:val="center"/>
          </w:tcPr>
          <w:p w14:paraId="6CCC5FC5" w14:textId="7628D7FC" w:rsidR="00043BF9" w:rsidRPr="007559B0" w:rsidRDefault="00043BF9" w:rsidP="00043BF9">
            <w:pPr>
              <w:ind w:left="435" w:hangingChars="229" w:hanging="435"/>
              <w:rPr>
                <w:rFonts w:cs="Arial"/>
                <w:sz w:val="19"/>
                <w:szCs w:val="19"/>
              </w:rPr>
            </w:pPr>
            <w:r w:rsidRPr="007559B0">
              <w:rPr>
                <w:rFonts w:cs="Arial"/>
                <w:sz w:val="19"/>
                <w:szCs w:val="19"/>
              </w:rPr>
              <w:t>1</w:t>
            </w:r>
            <w:r>
              <w:rPr>
                <w:rFonts w:cs="Arial"/>
                <w:sz w:val="19"/>
                <w:szCs w:val="19"/>
              </w:rPr>
              <w:t>3</w:t>
            </w:r>
            <w:r w:rsidRPr="007559B0">
              <w:rPr>
                <w:rFonts w:cs="Arial"/>
                <w:sz w:val="19"/>
                <w:szCs w:val="19"/>
              </w:rPr>
              <w:t>.</w:t>
            </w:r>
            <w:r w:rsidRPr="007559B0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To re-elect J Ramsay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0073" w14:textId="3A8945EA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102,859,375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3921" w14:textId="7AF8DB32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94.79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A2D7" w14:textId="6D8A5B94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5,654,551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1C0C" w14:textId="52FEC890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5.21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E1A2" w14:textId="1D00C084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30,468</w:t>
            </w:r>
          </w:p>
        </w:tc>
      </w:tr>
      <w:tr w:rsidR="00043BF9" w:rsidRPr="007559B0" w14:paraId="245141C4" w14:textId="77777777" w:rsidTr="00E45B86">
        <w:tc>
          <w:tcPr>
            <w:tcW w:w="4395" w:type="dxa"/>
          </w:tcPr>
          <w:p w14:paraId="00D07366" w14:textId="58643F6F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4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 xml:space="preserve">To 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>re-appoint KPMG LLP as auditors of the Company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B85D" w14:textId="1C12C8B0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108,104,701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BD59" w14:textId="37FDFE02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E469" w14:textId="035CF1B9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408,836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6B55" w14:textId="13610E5D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77E5" w14:textId="0AAED515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31,066</w:t>
            </w:r>
          </w:p>
        </w:tc>
      </w:tr>
      <w:tr w:rsidR="00043BF9" w:rsidRPr="007559B0" w14:paraId="55771547" w14:textId="77777777" w:rsidTr="00E45B86">
        <w:tc>
          <w:tcPr>
            <w:tcW w:w="4395" w:type="dxa"/>
          </w:tcPr>
          <w:p w14:paraId="5C54D12C" w14:textId="2A3A705D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  <w:lang w:val="en-US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5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To a</w:t>
            </w:r>
            <w:r w:rsidRPr="007559B0">
              <w:rPr>
                <w:rFonts w:cs="Arial"/>
                <w:color w:val="000000"/>
                <w:sz w:val="19"/>
                <w:szCs w:val="19"/>
              </w:rPr>
              <w:t xml:space="preserve">uthorise the Audit Committee to 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>determine the auditors' remuneration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5E13" w14:textId="4C0D26D8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108,510,739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D79E" w14:textId="26065B7C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A4A4" w14:textId="2E07ABA5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7,031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CBB2" w14:textId="0D70B54B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3446" w14:textId="6912444A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26,833</w:t>
            </w:r>
          </w:p>
        </w:tc>
      </w:tr>
      <w:tr w:rsidR="00043BF9" w:rsidRPr="007559B0" w14:paraId="2F76DD34" w14:textId="77777777" w:rsidTr="00E45B86">
        <w:tc>
          <w:tcPr>
            <w:tcW w:w="4395" w:type="dxa"/>
            <w:tcBorders>
              <w:bottom w:val="single" w:sz="4" w:space="0" w:color="auto"/>
            </w:tcBorders>
          </w:tcPr>
          <w:p w14:paraId="5478394E" w14:textId="1F680765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6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Political donations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507C" w14:textId="43DA80D7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103,865,792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7525" w14:textId="5CF065D5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95.70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ECF3" w14:textId="73453BE9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4,667,346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FE51" w14:textId="37E7B7DE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53AC" w14:textId="35BDC18E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11,465</w:t>
            </w:r>
          </w:p>
        </w:tc>
      </w:tr>
      <w:tr w:rsidR="00043BF9" w:rsidRPr="007559B0" w14:paraId="7F333920" w14:textId="77777777" w:rsidTr="00E45B86">
        <w:tc>
          <w:tcPr>
            <w:tcW w:w="4395" w:type="dxa"/>
            <w:shd w:val="clear" w:color="auto" w:fill="auto"/>
          </w:tcPr>
          <w:p w14:paraId="7E10E70F" w14:textId="4810FAA9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7.</w:t>
            </w:r>
            <w:r w:rsidRPr="007559B0">
              <w:rPr>
                <w:color w:val="000000"/>
                <w:sz w:val="19"/>
                <w:szCs w:val="19"/>
              </w:rPr>
              <w:tab/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>To authorise the directors to allot relevant securities up to two thirds of its issued share capital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1C1D" w14:textId="0FCBF303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99,229,899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7380" w14:textId="0D7F88A7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91.44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F614" w14:textId="5AB356BC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9,292,944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2B6B" w14:textId="4F858D46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8.56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6CA7" w14:textId="79EDECE0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21,551</w:t>
            </w:r>
          </w:p>
        </w:tc>
      </w:tr>
      <w:tr w:rsidR="00043BF9" w:rsidRPr="007559B0" w14:paraId="29F561F0" w14:textId="77777777" w:rsidTr="00E45B86">
        <w:tc>
          <w:tcPr>
            <w:tcW w:w="4395" w:type="dxa"/>
          </w:tcPr>
          <w:p w14:paraId="6B23877E" w14:textId="44FBC451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8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To a</w:t>
            </w:r>
            <w:r w:rsidRPr="007559B0">
              <w:rPr>
                <w:rFonts w:cs="Arial"/>
                <w:color w:val="000000"/>
                <w:sz w:val="19"/>
                <w:szCs w:val="19"/>
              </w:rPr>
              <w:t>uthorise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 xml:space="preserve"> the directors to allot equity securities without pre-emptive rights up to an aggregate nominal amount of £</w:t>
            </w:r>
            <w:r>
              <w:rPr>
                <w:rFonts w:cs="Arial"/>
                <w:color w:val="000000"/>
                <w:sz w:val="19"/>
                <w:szCs w:val="19"/>
                <w:lang w:val="en-US"/>
              </w:rPr>
              <w:t>740,130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EB2D" w14:textId="3999D089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106,863,088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07AC" w14:textId="70AA3433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98.76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21A8" w14:textId="13CECBE2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1,344,881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1183" w14:textId="51899729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7C39" w14:textId="3B10A0C3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336,425</w:t>
            </w:r>
          </w:p>
        </w:tc>
      </w:tr>
      <w:tr w:rsidR="00043BF9" w:rsidRPr="007559B0" w14:paraId="1605C9A9" w14:textId="77777777" w:rsidTr="00E45B86">
        <w:tc>
          <w:tcPr>
            <w:tcW w:w="4395" w:type="dxa"/>
          </w:tcPr>
          <w:p w14:paraId="45BB0CC1" w14:textId="658AFA1B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 w:rsidRPr="007559B0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9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To a</w:t>
            </w:r>
            <w:r w:rsidRPr="007559B0">
              <w:rPr>
                <w:rFonts w:cs="Arial"/>
                <w:color w:val="000000"/>
                <w:sz w:val="19"/>
                <w:szCs w:val="19"/>
              </w:rPr>
              <w:t>uthorise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 xml:space="preserve"> the directors to allot equity securities without pre-emptive rights up to an additional aggregate nominal amount of £</w:t>
            </w:r>
            <w:r>
              <w:rPr>
                <w:rFonts w:cs="Arial"/>
                <w:color w:val="000000"/>
                <w:sz w:val="19"/>
                <w:szCs w:val="19"/>
                <w:lang w:val="en-US"/>
              </w:rPr>
              <w:t>740,130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166A" w14:textId="59182137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105,878,933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B33A" w14:textId="4CA177F2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97.93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A64B" w14:textId="5E10B92D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2,234,258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4637" w14:textId="2678ECD8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2.07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83F2" w14:textId="7C5513CD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431,203</w:t>
            </w:r>
          </w:p>
        </w:tc>
      </w:tr>
      <w:tr w:rsidR="00043BF9" w:rsidRPr="007559B0" w14:paraId="02C505CA" w14:textId="77777777" w:rsidTr="00E45B86">
        <w:tc>
          <w:tcPr>
            <w:tcW w:w="4395" w:type="dxa"/>
          </w:tcPr>
          <w:p w14:paraId="77161DB3" w14:textId="70546548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To a</w:t>
            </w:r>
            <w:r w:rsidRPr="007559B0">
              <w:rPr>
                <w:rFonts w:cs="Arial"/>
                <w:color w:val="000000"/>
                <w:sz w:val="19"/>
                <w:szCs w:val="19"/>
              </w:rPr>
              <w:t>uthorise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 xml:space="preserve"> market purchase of own shares up to a maximum of 1</w:t>
            </w:r>
            <w:r>
              <w:rPr>
                <w:rFonts w:cs="Arial"/>
                <w:color w:val="000000"/>
                <w:sz w:val="19"/>
                <w:szCs w:val="19"/>
                <w:lang w:val="en-US"/>
              </w:rPr>
              <w:t>3,951,868</w:t>
            </w:r>
            <w:r w:rsidRPr="007559B0">
              <w:rPr>
                <w:rFonts w:cs="Arial"/>
                <w:color w:val="000000"/>
                <w:sz w:val="19"/>
                <w:szCs w:val="19"/>
                <w:lang w:val="en-US"/>
              </w:rPr>
              <w:t xml:space="preserve"> ordinary shares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5CE8" w14:textId="59A17AA2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108,066,536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F3F1" w14:textId="69835CA6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99.59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3F37" w14:textId="18DAE3C2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447,052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F294" w14:textId="0822D1FF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0.41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EA30" w14:textId="0E40BA4D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31,015</w:t>
            </w:r>
          </w:p>
        </w:tc>
      </w:tr>
      <w:tr w:rsidR="00043BF9" w:rsidRPr="007559B0" w14:paraId="0675E735" w14:textId="77777777" w:rsidTr="00E45B86">
        <w:tc>
          <w:tcPr>
            <w:tcW w:w="4395" w:type="dxa"/>
          </w:tcPr>
          <w:p w14:paraId="5B7BBB65" w14:textId="50132F56" w:rsidR="00043BF9" w:rsidRPr="007559B0" w:rsidRDefault="00043BF9" w:rsidP="00043BF9">
            <w:pPr>
              <w:autoSpaceDE w:val="0"/>
              <w:autoSpaceDN w:val="0"/>
              <w:adjustRightInd w:val="0"/>
              <w:ind w:left="435" w:hangingChars="229" w:hanging="43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</w:t>
            </w:r>
            <w:r w:rsidRPr="007559B0">
              <w:rPr>
                <w:color w:val="000000"/>
                <w:sz w:val="19"/>
                <w:szCs w:val="19"/>
              </w:rPr>
              <w:t>.</w:t>
            </w:r>
            <w:r w:rsidRPr="007559B0">
              <w:rPr>
                <w:color w:val="000000"/>
                <w:sz w:val="19"/>
                <w:szCs w:val="19"/>
              </w:rPr>
              <w:tab/>
              <w:t>That a general meeting (other than an annual general meeting) may be called on not less than 14 clear days' notice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078F" w14:textId="11EE7638" w:rsidR="00043BF9" w:rsidRPr="00741107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98,385,275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B8B6" w14:textId="6F862F0F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91.24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0E10" w14:textId="3DD3FB18" w:rsidR="00043BF9" w:rsidRPr="00741107" w:rsidRDefault="00C80BFA" w:rsidP="00C80BFA">
            <w:pPr>
              <w:tabs>
                <w:tab w:val="right" w:pos="1029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9,443,346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3D87" w14:textId="3ADEC79A" w:rsidR="00043BF9" w:rsidRPr="00A20206" w:rsidRDefault="00043BF9" w:rsidP="00043BF9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>8.76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22FB" w14:textId="213BA482" w:rsidR="00043BF9" w:rsidRPr="00741107" w:rsidRDefault="00C80BFA" w:rsidP="00C80BFA">
            <w:pPr>
              <w:tabs>
                <w:tab w:val="right" w:pos="764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</w:rPr>
              <w:tab/>
            </w:r>
            <w:r w:rsidR="00043BF9">
              <w:rPr>
                <w:rFonts w:cs="Arial"/>
              </w:rPr>
              <w:t>715,982</w:t>
            </w:r>
          </w:p>
        </w:tc>
      </w:tr>
    </w:tbl>
    <w:p w14:paraId="772576B9" w14:textId="73489A67" w:rsidR="008B3293" w:rsidRDefault="008B3293">
      <w:pPr>
        <w:rPr>
          <w:sz w:val="19"/>
          <w:szCs w:val="19"/>
        </w:rPr>
      </w:pPr>
    </w:p>
    <w:p w14:paraId="76A30A85" w14:textId="77777777" w:rsidR="008B3293" w:rsidRPr="007559B0" w:rsidRDefault="008B3293">
      <w:pPr>
        <w:rPr>
          <w:sz w:val="19"/>
          <w:szCs w:val="19"/>
        </w:rPr>
      </w:pPr>
    </w:p>
    <w:p w14:paraId="768B8838" w14:textId="7941D91F" w:rsidR="009F605B" w:rsidRPr="007559B0" w:rsidRDefault="006128A0" w:rsidP="009F605B">
      <w:pPr>
        <w:pStyle w:val="BodyText2"/>
        <w:rPr>
          <w:sz w:val="19"/>
          <w:szCs w:val="19"/>
          <w:lang w:val="en-GB"/>
        </w:rPr>
      </w:pPr>
      <w:r w:rsidRPr="007559B0">
        <w:rPr>
          <w:sz w:val="19"/>
          <w:szCs w:val="19"/>
        </w:rPr>
        <w:t xml:space="preserve">Resolutions 1 to </w:t>
      </w:r>
      <w:r w:rsidR="00EF12B7" w:rsidRPr="007559B0">
        <w:rPr>
          <w:sz w:val="19"/>
          <w:szCs w:val="19"/>
        </w:rPr>
        <w:t>1</w:t>
      </w:r>
      <w:r w:rsidR="00DD2427">
        <w:rPr>
          <w:sz w:val="19"/>
          <w:szCs w:val="19"/>
          <w:lang w:val="en-GB"/>
        </w:rPr>
        <w:t>6</w:t>
      </w:r>
      <w:r w:rsidRPr="007559B0">
        <w:rPr>
          <w:sz w:val="19"/>
          <w:szCs w:val="19"/>
        </w:rPr>
        <w:t xml:space="preserve"> (inclusive) were passed as ordina</w:t>
      </w:r>
      <w:r w:rsidR="00743195" w:rsidRPr="007559B0">
        <w:rPr>
          <w:sz w:val="19"/>
          <w:szCs w:val="19"/>
        </w:rPr>
        <w:t>ry resolutions and resolutions 1</w:t>
      </w:r>
      <w:r w:rsidR="00DD2427">
        <w:rPr>
          <w:sz w:val="19"/>
          <w:szCs w:val="19"/>
          <w:lang w:val="en-GB"/>
        </w:rPr>
        <w:t>7</w:t>
      </w:r>
      <w:r w:rsidR="00EF12B7" w:rsidRPr="007559B0">
        <w:rPr>
          <w:sz w:val="19"/>
          <w:szCs w:val="19"/>
        </w:rPr>
        <w:t xml:space="preserve"> </w:t>
      </w:r>
      <w:r w:rsidRPr="007559B0">
        <w:rPr>
          <w:sz w:val="19"/>
          <w:szCs w:val="19"/>
        </w:rPr>
        <w:t xml:space="preserve">to </w:t>
      </w:r>
      <w:r w:rsidR="006A0067" w:rsidRPr="007559B0">
        <w:rPr>
          <w:sz w:val="19"/>
          <w:szCs w:val="19"/>
          <w:lang w:val="en-GB"/>
        </w:rPr>
        <w:t>2</w:t>
      </w:r>
      <w:r w:rsidR="00DD2427">
        <w:rPr>
          <w:sz w:val="19"/>
          <w:szCs w:val="19"/>
          <w:lang w:val="en-GB"/>
        </w:rPr>
        <w:t>1</w:t>
      </w:r>
      <w:r w:rsidR="006A0067" w:rsidRPr="007559B0">
        <w:rPr>
          <w:sz w:val="19"/>
          <w:szCs w:val="19"/>
        </w:rPr>
        <w:t xml:space="preserve"> </w:t>
      </w:r>
      <w:r w:rsidRPr="007559B0">
        <w:rPr>
          <w:sz w:val="19"/>
          <w:szCs w:val="19"/>
        </w:rPr>
        <w:t xml:space="preserve">(inclusive) were passed as special resolutions.  The full text of the resolutions is set out in the Notice of Annual General Meeting, a copy of which is on the Company's website (investor centre) and has also been made available for inspection </w:t>
      </w:r>
      <w:r w:rsidR="009F605B" w:rsidRPr="007559B0">
        <w:rPr>
          <w:sz w:val="19"/>
          <w:szCs w:val="19"/>
        </w:rPr>
        <w:t xml:space="preserve">through </w:t>
      </w:r>
      <w:r w:rsidR="009F605B" w:rsidRPr="007559B0">
        <w:rPr>
          <w:rFonts w:cs="Arial"/>
          <w:sz w:val="19"/>
          <w:szCs w:val="19"/>
          <w:lang w:val="en"/>
        </w:rPr>
        <w:t xml:space="preserve">the National Storage Mechanism which can be found at </w:t>
      </w:r>
      <w:hyperlink r:id="rId11" w:anchor="/nsm/nationalstoragemechanism" w:history="1">
        <w:r w:rsidR="005827F3" w:rsidRPr="00230812">
          <w:rPr>
            <w:rStyle w:val="Hyperlink"/>
            <w:sz w:val="19"/>
            <w:szCs w:val="19"/>
          </w:rPr>
          <w:t>https://data.fca.org.uk/#/nsm/nationalstoragemechanism</w:t>
        </w:r>
      </w:hyperlink>
      <w:r w:rsidR="009F605B" w:rsidRPr="007559B0">
        <w:rPr>
          <w:sz w:val="19"/>
          <w:szCs w:val="19"/>
        </w:rPr>
        <w:t>.</w:t>
      </w:r>
    </w:p>
    <w:p w14:paraId="5E79DD71" w14:textId="77777777" w:rsidR="006A0067" w:rsidRPr="007559B0" w:rsidRDefault="006A0067" w:rsidP="006A0067">
      <w:pPr>
        <w:pStyle w:val="BodyText2"/>
        <w:rPr>
          <w:sz w:val="19"/>
          <w:szCs w:val="19"/>
          <w:lang w:val="en-GB"/>
        </w:rPr>
      </w:pPr>
    </w:p>
    <w:p w14:paraId="13DB050A" w14:textId="08549F9D" w:rsidR="002C7FB5" w:rsidRDefault="002C7FB5" w:rsidP="005D5D64">
      <w:pPr>
        <w:pStyle w:val="j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14:paraId="317BFFFC" w14:textId="77777777" w:rsidR="00C80BFA" w:rsidRPr="007559B0" w:rsidRDefault="00C80BFA" w:rsidP="005D5D64">
      <w:pPr>
        <w:pStyle w:val="j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14:paraId="68D269CF" w14:textId="77777777" w:rsidR="006128A0" w:rsidRPr="007559B0" w:rsidRDefault="009F605B">
      <w:pPr>
        <w:autoSpaceDE w:val="0"/>
        <w:autoSpaceDN w:val="0"/>
        <w:adjustRightInd w:val="0"/>
        <w:ind w:left="426" w:right="-285" w:hanging="426"/>
        <w:rPr>
          <w:sz w:val="19"/>
          <w:szCs w:val="19"/>
        </w:rPr>
      </w:pPr>
      <w:r w:rsidRPr="007559B0">
        <w:rPr>
          <w:sz w:val="19"/>
          <w:szCs w:val="19"/>
        </w:rPr>
        <w:t>Tom Brophy</w:t>
      </w:r>
    </w:p>
    <w:p w14:paraId="6B322082" w14:textId="2917759F" w:rsidR="006128A0" w:rsidRPr="007559B0" w:rsidRDefault="009F605B">
      <w:pPr>
        <w:autoSpaceDE w:val="0"/>
        <w:autoSpaceDN w:val="0"/>
        <w:adjustRightInd w:val="0"/>
        <w:ind w:left="426" w:right="-285" w:hanging="426"/>
        <w:rPr>
          <w:sz w:val="19"/>
          <w:szCs w:val="19"/>
        </w:rPr>
      </w:pPr>
      <w:r w:rsidRPr="007559B0">
        <w:rPr>
          <w:sz w:val="19"/>
          <w:szCs w:val="19"/>
        </w:rPr>
        <w:t>Group General Counsel</w:t>
      </w:r>
      <w:r w:rsidR="001F711E">
        <w:rPr>
          <w:sz w:val="19"/>
          <w:szCs w:val="19"/>
        </w:rPr>
        <w:t xml:space="preserve"> and</w:t>
      </w:r>
      <w:r w:rsidRPr="007559B0">
        <w:rPr>
          <w:sz w:val="19"/>
          <w:szCs w:val="19"/>
        </w:rPr>
        <w:t xml:space="preserve"> </w:t>
      </w:r>
      <w:r w:rsidR="006128A0" w:rsidRPr="007559B0">
        <w:rPr>
          <w:sz w:val="19"/>
          <w:szCs w:val="19"/>
        </w:rPr>
        <w:t>Company Secretary</w:t>
      </w:r>
      <w:r w:rsidR="005827F3">
        <w:rPr>
          <w:sz w:val="19"/>
          <w:szCs w:val="19"/>
        </w:rPr>
        <w:t xml:space="preserve"> </w:t>
      </w:r>
    </w:p>
    <w:p w14:paraId="1565B980" w14:textId="77777777" w:rsidR="00741107" w:rsidRDefault="00741107" w:rsidP="005827F3">
      <w:pPr>
        <w:autoSpaceDE w:val="0"/>
        <w:autoSpaceDN w:val="0"/>
        <w:adjustRightInd w:val="0"/>
        <w:ind w:left="426" w:right="-285" w:hanging="426"/>
        <w:rPr>
          <w:sz w:val="19"/>
          <w:szCs w:val="19"/>
        </w:rPr>
      </w:pPr>
    </w:p>
    <w:p w14:paraId="74A22C6A" w14:textId="7C173153" w:rsidR="008A139D" w:rsidRPr="008A139D" w:rsidRDefault="002C7FB5" w:rsidP="005827F3">
      <w:pPr>
        <w:autoSpaceDE w:val="0"/>
        <w:autoSpaceDN w:val="0"/>
        <w:adjustRightInd w:val="0"/>
        <w:ind w:left="426" w:right="-285" w:hanging="426"/>
        <w:rPr>
          <w:sz w:val="19"/>
          <w:szCs w:val="19"/>
        </w:rPr>
      </w:pPr>
      <w:r w:rsidRPr="007559B0">
        <w:rPr>
          <w:sz w:val="19"/>
          <w:szCs w:val="19"/>
        </w:rPr>
        <w:t>2</w:t>
      </w:r>
      <w:r w:rsidR="008B3293">
        <w:rPr>
          <w:sz w:val="19"/>
          <w:szCs w:val="19"/>
        </w:rPr>
        <w:t xml:space="preserve">3 </w:t>
      </w:r>
      <w:r w:rsidR="001F711E">
        <w:rPr>
          <w:sz w:val="19"/>
          <w:szCs w:val="19"/>
        </w:rPr>
        <w:t>May 202</w:t>
      </w:r>
      <w:r w:rsidR="008B3293">
        <w:rPr>
          <w:sz w:val="19"/>
          <w:szCs w:val="19"/>
        </w:rPr>
        <w:t>2</w:t>
      </w:r>
    </w:p>
    <w:sectPr w:rsidR="008A139D" w:rsidRPr="008A139D" w:rsidSect="007C285F">
      <w:footerReference w:type="default" r:id="rId12"/>
      <w:footerReference w:type="first" r:id="rId13"/>
      <w:pgSz w:w="11906" w:h="16838"/>
      <w:pgMar w:top="567" w:right="70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BCA4" w14:textId="77777777" w:rsidR="00E80736" w:rsidRDefault="00E80736">
      <w:r>
        <w:separator/>
      </w:r>
    </w:p>
  </w:endnote>
  <w:endnote w:type="continuationSeparator" w:id="0">
    <w:p w14:paraId="51FAF9D1" w14:textId="77777777" w:rsidR="00E80736" w:rsidRDefault="00E8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55 Roman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F9A2" w14:textId="77777777" w:rsidR="00B52114" w:rsidRDefault="00B52114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A9B6" w14:textId="6A2418DD" w:rsidR="00B52114" w:rsidRDefault="00B47267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A500BE" wp14:editId="067C5060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A5CD3" w14:textId="44664700" w:rsidR="00B52114" w:rsidRDefault="00B52114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C80BFA">
                            <w:t>LON52640336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C80BFA">
                            <w:instrText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C80BFA"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separate"/>
                          </w:r>
                          <w:r w:rsidR="00C80BFA">
                            <w:rPr>
                              <w:noProof/>
                            </w:rPr>
                            <w:t>/1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C80BFA">
                            <w:instrText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C80BFA">
                            <w:instrText>137349-0002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separate"/>
                          </w:r>
                          <w:r w:rsidR="00C80BFA">
                            <w:rPr>
                              <w:noProof/>
                            </w:rPr>
                            <w:t>137349-0002</w:t>
                          </w:r>
                          <w:r>
                            <w:fldChar w:fldCharType="end"/>
                          </w:r>
                        </w:p>
                        <w:p w14:paraId="556808C1" w14:textId="77777777" w:rsidR="00B52114" w:rsidRDefault="00B5211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500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9.95pt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731A5CD3" w14:textId="44664700" w:rsidR="00B52114" w:rsidRDefault="00B52114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C80BFA">
                      <w:t>LON52640336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 w:rsidR="00C80BFA">
                      <w:instrText>true</w:instrText>
                    </w:r>
                    <w:r>
                      <w:fldChar w:fldCharType="end"/>
                    </w:r>
                    <w:r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C80BFA">
                      <w:instrText>1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separate"/>
                    </w:r>
                    <w:r w:rsidR="00C80BFA">
                      <w:rPr>
                        <w:noProof/>
                      </w:rPr>
                      <w:t>/1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C80BFA">
                      <w:instrText>true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 w:rsidR="00C80BFA">
                      <w:instrText>137349-0002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separate"/>
                    </w:r>
                    <w:r w:rsidR="00C80BFA">
                      <w:rPr>
                        <w:noProof/>
                      </w:rPr>
                      <w:t>137349-0002</w:t>
                    </w:r>
                    <w:r>
                      <w:fldChar w:fldCharType="end"/>
                    </w:r>
                  </w:p>
                  <w:p w14:paraId="556808C1" w14:textId="77777777" w:rsidR="00B52114" w:rsidRDefault="00B5211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159B" w14:textId="77777777" w:rsidR="00E80736" w:rsidRDefault="00E80736">
      <w:r>
        <w:separator/>
      </w:r>
    </w:p>
  </w:footnote>
  <w:footnote w:type="continuationSeparator" w:id="0">
    <w:p w14:paraId="0E33BFD3" w14:textId="77777777" w:rsidR="00E80736" w:rsidRDefault="00E80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10LastTrailerInserted" w:val="^`~#mp!@⌕)$#C┘┧8=;|ŖmP⌒ÆC⌔‪Â©pÐ_fÔýƘ_T⌒„ñ!ŦÿÄE⌐f⌓z}©ƂÎ@¹üËH⌚­‿(2û“$„⌚9⌐⌇⌛ÀötKÆ‶HÒLℨ⌑JËƖƀŧZÿF©±⌟ûç⌟a»⌖°Y⌠8⌍¥x:êuËY⌇è-ãD,‣¸hR⌛pØCP«Ñú]WQj=èú‣¹˟ØòOxíÃß.9å°⌔2ø«Â5mn;®~ú⌊⌉Z@Cm;;RRS011"/>
    <w:docVar w:name="zzmp10LastTrailerInserted_2832" w:val="^`~#mp!@⌕)$#C┘┧8=;|ŖmP⌒ÆC⌔‪Â©pÐ_fÔýƘ_T⌒„ñ!ŦÿÄE⌐f⌓z}©ƂÎ@¹üËH⌚­‿(2û“$„⌚9⌐⌇⌛ÀötKÆ‶HÒLℨ⌑JËƖƀŧZÿF©±⌟ûç⌟a»⌖°Y⌠8⌍¥x:êuËY⌇è-ãD,‣¸hR⌛pØCP«Ñú]WQj=èú‣¹˟ØòOxíÃß.9å°⌔2ø«Â5mn;®~ú⌊⌉Z@Cm;;RRS011"/>
    <w:docVar w:name="zzmp10mSEGsValidated" w:val="1"/>
    <w:docVar w:name="zzmpLegacyTrailerRemoved" w:val="True"/>
  </w:docVars>
  <w:rsids>
    <w:rsidRoot w:val="00660A8C"/>
    <w:rsid w:val="00024F3B"/>
    <w:rsid w:val="0002670D"/>
    <w:rsid w:val="00035EBE"/>
    <w:rsid w:val="000403EC"/>
    <w:rsid w:val="00043545"/>
    <w:rsid w:val="00043BF9"/>
    <w:rsid w:val="00051F49"/>
    <w:rsid w:val="0006551B"/>
    <w:rsid w:val="00080754"/>
    <w:rsid w:val="00092035"/>
    <w:rsid w:val="000B0414"/>
    <w:rsid w:val="000E75D7"/>
    <w:rsid w:val="00166FAF"/>
    <w:rsid w:val="001A3215"/>
    <w:rsid w:val="001A7929"/>
    <w:rsid w:val="001B7FF2"/>
    <w:rsid w:val="001F53DD"/>
    <w:rsid w:val="001F711E"/>
    <w:rsid w:val="002254F8"/>
    <w:rsid w:val="002660FC"/>
    <w:rsid w:val="0027121C"/>
    <w:rsid w:val="002C6056"/>
    <w:rsid w:val="002C7FB5"/>
    <w:rsid w:val="002F0D5C"/>
    <w:rsid w:val="002F20DA"/>
    <w:rsid w:val="0030574A"/>
    <w:rsid w:val="003211DC"/>
    <w:rsid w:val="003643A6"/>
    <w:rsid w:val="003A5D9E"/>
    <w:rsid w:val="003C6E52"/>
    <w:rsid w:val="003D4404"/>
    <w:rsid w:val="003E7D59"/>
    <w:rsid w:val="00402283"/>
    <w:rsid w:val="00423BD7"/>
    <w:rsid w:val="004B1F31"/>
    <w:rsid w:val="004D79B2"/>
    <w:rsid w:val="004E32AB"/>
    <w:rsid w:val="004F3994"/>
    <w:rsid w:val="005062C1"/>
    <w:rsid w:val="00547B7A"/>
    <w:rsid w:val="00571B3A"/>
    <w:rsid w:val="005827F3"/>
    <w:rsid w:val="005A3CD1"/>
    <w:rsid w:val="005D5D64"/>
    <w:rsid w:val="006019BF"/>
    <w:rsid w:val="006031AB"/>
    <w:rsid w:val="00603F06"/>
    <w:rsid w:val="006128A0"/>
    <w:rsid w:val="00647703"/>
    <w:rsid w:val="00650EE1"/>
    <w:rsid w:val="00660A8C"/>
    <w:rsid w:val="006747D7"/>
    <w:rsid w:val="00682CFF"/>
    <w:rsid w:val="0069085B"/>
    <w:rsid w:val="006A0067"/>
    <w:rsid w:val="006A19EE"/>
    <w:rsid w:val="006A52CB"/>
    <w:rsid w:val="006C2507"/>
    <w:rsid w:val="006C4976"/>
    <w:rsid w:val="006E77E2"/>
    <w:rsid w:val="007279EC"/>
    <w:rsid w:val="00741107"/>
    <w:rsid w:val="00743195"/>
    <w:rsid w:val="007477B8"/>
    <w:rsid w:val="007559B0"/>
    <w:rsid w:val="007608E3"/>
    <w:rsid w:val="00770972"/>
    <w:rsid w:val="00784C3A"/>
    <w:rsid w:val="007C285F"/>
    <w:rsid w:val="007E500F"/>
    <w:rsid w:val="008319CF"/>
    <w:rsid w:val="00831EC9"/>
    <w:rsid w:val="00854424"/>
    <w:rsid w:val="00875994"/>
    <w:rsid w:val="00882FAA"/>
    <w:rsid w:val="00883AD3"/>
    <w:rsid w:val="008A139D"/>
    <w:rsid w:val="008B3293"/>
    <w:rsid w:val="008B7205"/>
    <w:rsid w:val="008C1755"/>
    <w:rsid w:val="008D5151"/>
    <w:rsid w:val="008D68B4"/>
    <w:rsid w:val="009456B9"/>
    <w:rsid w:val="009C3612"/>
    <w:rsid w:val="009E228D"/>
    <w:rsid w:val="009F605B"/>
    <w:rsid w:val="009F774E"/>
    <w:rsid w:val="00A162B0"/>
    <w:rsid w:val="00A20206"/>
    <w:rsid w:val="00A40D84"/>
    <w:rsid w:val="00A528F8"/>
    <w:rsid w:val="00A907DD"/>
    <w:rsid w:val="00AF67A6"/>
    <w:rsid w:val="00B47267"/>
    <w:rsid w:val="00B52114"/>
    <w:rsid w:val="00B57CE7"/>
    <w:rsid w:val="00B7491A"/>
    <w:rsid w:val="00B80D63"/>
    <w:rsid w:val="00BA4463"/>
    <w:rsid w:val="00BC4123"/>
    <w:rsid w:val="00C46B8E"/>
    <w:rsid w:val="00C50A8C"/>
    <w:rsid w:val="00C50FAA"/>
    <w:rsid w:val="00C5251F"/>
    <w:rsid w:val="00C80BFA"/>
    <w:rsid w:val="00CF5C5B"/>
    <w:rsid w:val="00D54E26"/>
    <w:rsid w:val="00D6637E"/>
    <w:rsid w:val="00DB7EB2"/>
    <w:rsid w:val="00DC7B6A"/>
    <w:rsid w:val="00DD2427"/>
    <w:rsid w:val="00DF6590"/>
    <w:rsid w:val="00E37F09"/>
    <w:rsid w:val="00E704CF"/>
    <w:rsid w:val="00E80736"/>
    <w:rsid w:val="00EA4959"/>
    <w:rsid w:val="00EB58C8"/>
    <w:rsid w:val="00ED2816"/>
    <w:rsid w:val="00EE44C8"/>
    <w:rsid w:val="00EF12B7"/>
    <w:rsid w:val="00F04755"/>
    <w:rsid w:val="00F118BE"/>
    <w:rsid w:val="00F14892"/>
    <w:rsid w:val="00F21264"/>
    <w:rsid w:val="00F67B6E"/>
    <w:rsid w:val="00F82340"/>
    <w:rsid w:val="00F862A8"/>
    <w:rsid w:val="00F91D0E"/>
    <w:rsid w:val="00FA29CD"/>
    <w:rsid w:val="00FC0894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380A5C"/>
  <w15:docId w15:val="{2A7304CD-8219-4969-93DB-D9BCF23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hAnsi="Arial"/>
      <w:sz w:val="21"/>
      <w:lang w:eastAsia="en-US"/>
    </w:rPr>
  </w:style>
  <w:style w:type="paragraph" w:styleId="Heading1">
    <w:name w:val="heading 1"/>
    <w:basedOn w:val="Normal"/>
    <w:next w:val="Normal"/>
    <w:pPr>
      <w:keepNext/>
      <w:autoSpaceDE w:val="0"/>
      <w:autoSpaceDN w:val="0"/>
      <w:adjustRightInd w:val="0"/>
      <w:outlineLvl w:val="0"/>
    </w:pPr>
    <w:rPr>
      <w:rFonts w:cs="Arial"/>
      <w:b/>
      <w:bCs/>
      <w:color w:val="000000"/>
      <w:sz w:val="20"/>
      <w:szCs w:val="21"/>
      <w:lang w:val="en-US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pPr>
      <w:keepNext/>
      <w:spacing w:line="240" w:lineRule="exact"/>
      <w:ind w:left="-108"/>
      <w:outlineLvl w:val="2"/>
    </w:pPr>
    <w:rPr>
      <w:rFonts w:ascii="GillSans" w:hAnsi="GillSans"/>
      <w:b/>
      <w:bCs/>
      <w:sz w:val="17"/>
    </w:rPr>
  </w:style>
  <w:style w:type="paragraph" w:styleId="Heading4">
    <w:name w:val="heading 4"/>
    <w:basedOn w:val="Normal"/>
    <w:next w:val="Normal"/>
    <w:link w:val="Heading4Char"/>
    <w:semiHidden/>
    <w:unhideWhenUsed/>
    <w:rsid w:val="00A528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A528F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A528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A528F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rsid w:val="00A528F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rsid w:val="00A528F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426" w:hanging="426"/>
    </w:pPr>
    <w:rPr>
      <w:rFonts w:cs="Arial"/>
      <w:color w:val="000000"/>
      <w:sz w:val="18"/>
      <w:szCs w:val="18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426"/>
    </w:pPr>
    <w:rPr>
      <w:rFonts w:cs="Arial"/>
      <w:color w:val="000000"/>
      <w:szCs w:val="21"/>
      <w:lang w:val="en-US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426" w:hanging="426"/>
    </w:pPr>
    <w:rPr>
      <w:rFonts w:cs="Arial"/>
      <w:color w:val="000000"/>
      <w:sz w:val="16"/>
      <w:szCs w:val="18"/>
    </w:rPr>
  </w:style>
  <w:style w:type="paragraph" w:styleId="BodyText">
    <w:name w:val="Body Text"/>
    <w:basedOn w:val="Normal"/>
    <w:pPr>
      <w:tabs>
        <w:tab w:val="left" w:pos="426"/>
        <w:tab w:val="left" w:pos="851"/>
      </w:tabs>
      <w:autoSpaceDE w:val="0"/>
      <w:autoSpaceDN w:val="0"/>
      <w:adjustRightInd w:val="0"/>
    </w:pPr>
    <w:rPr>
      <w:color w:val="000000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autoSpaceDE w:val="0"/>
      <w:autoSpaceDN w:val="0"/>
      <w:adjustRightInd w:val="0"/>
      <w:ind w:right="-285"/>
    </w:pPr>
    <w:rPr>
      <w:lang w:val="x-none"/>
    </w:rPr>
  </w:style>
  <w:style w:type="character" w:customStyle="1" w:styleId="BodyText2Char">
    <w:name w:val="Body Text 2 Char"/>
    <w:link w:val="BodyText2"/>
    <w:rsid w:val="009F605B"/>
    <w:rPr>
      <w:rFonts w:ascii="Arial" w:hAnsi="Arial"/>
      <w:sz w:val="21"/>
      <w:lang w:eastAsia="en-US"/>
    </w:rPr>
  </w:style>
  <w:style w:type="character" w:styleId="Hyperlink">
    <w:name w:val="Hyperlink"/>
    <w:rsid w:val="009F605B"/>
    <w:rPr>
      <w:color w:val="0000FF"/>
      <w:u w:val="single"/>
    </w:rPr>
  </w:style>
  <w:style w:type="paragraph" w:customStyle="1" w:styleId="j">
    <w:name w:val="j"/>
    <w:basedOn w:val="Normal"/>
    <w:rsid w:val="006C25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by">
    <w:name w:val="by"/>
    <w:basedOn w:val="Normal"/>
    <w:rsid w:val="006C25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A1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ericStylesBodytext8pt">
    <w:name w:val="Generic Styles Bodytext 8pt"/>
    <w:basedOn w:val="Normal"/>
    <w:rsid w:val="002C7FB5"/>
    <w:pPr>
      <w:spacing w:after="100" w:line="259" w:lineRule="auto"/>
    </w:pPr>
    <w:rPr>
      <w:rFonts w:ascii="Helvetica Neue LT Std 55 Roman" w:hAnsi="Helvetica Neue LT Std 55 Roman"/>
      <w:sz w:val="16"/>
      <w:szCs w:val="22"/>
      <w:lang w:eastAsia="en-GB"/>
    </w:rPr>
  </w:style>
  <w:style w:type="paragraph" w:styleId="FootnoteText">
    <w:name w:val="footnote text"/>
    <w:basedOn w:val="Normal"/>
    <w:link w:val="FootnoteTextChar"/>
    <w:rsid w:val="006A0067"/>
    <w:rPr>
      <w:sz w:val="20"/>
    </w:rPr>
  </w:style>
  <w:style w:type="character" w:customStyle="1" w:styleId="FootnoteTextChar">
    <w:name w:val="Footnote Text Char"/>
    <w:link w:val="FootnoteText"/>
    <w:rsid w:val="006A0067"/>
    <w:rPr>
      <w:rFonts w:ascii="Arial" w:hAnsi="Arial"/>
      <w:lang w:eastAsia="en-US"/>
    </w:rPr>
  </w:style>
  <w:style w:type="character" w:styleId="FootnoteReference">
    <w:name w:val="footnote reference"/>
    <w:rsid w:val="006A0067"/>
    <w:rPr>
      <w:vertAlign w:val="superscript"/>
    </w:rPr>
  </w:style>
  <w:style w:type="character" w:customStyle="1" w:styleId="FooterChar">
    <w:name w:val="Footer Char"/>
    <w:link w:val="Footer"/>
    <w:rsid w:val="00B52114"/>
    <w:rPr>
      <w:rFonts w:ascii="Arial" w:hAnsi="Arial"/>
      <w:sz w:val="21"/>
      <w:lang w:eastAsia="en-US"/>
    </w:rPr>
  </w:style>
  <w:style w:type="paragraph" w:customStyle="1" w:styleId="MacPacTrailer">
    <w:name w:val="MacPac Trailer"/>
    <w:rsid w:val="00B52114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styleId="BookTitle">
    <w:name w:val="Book Title"/>
    <w:uiPriority w:val="33"/>
    <w:rsid w:val="00A528F8"/>
    <w:rPr>
      <w:b/>
      <w:bCs/>
      <w:smallCaps/>
      <w:spacing w:val="5"/>
    </w:rPr>
  </w:style>
  <w:style w:type="character" w:styleId="Emphasis">
    <w:name w:val="Emphasis"/>
    <w:qFormat/>
    <w:rsid w:val="00A528F8"/>
    <w:rPr>
      <w:i/>
      <w:iCs/>
    </w:rPr>
  </w:style>
  <w:style w:type="character" w:customStyle="1" w:styleId="Heading4Char">
    <w:name w:val="Heading 4 Char"/>
    <w:link w:val="Heading4"/>
    <w:semiHidden/>
    <w:rsid w:val="00A528F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A528F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52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528F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528F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A528F8"/>
    <w:rPr>
      <w:rFonts w:ascii="Cambria" w:eastAsia="Times New Roman" w:hAnsi="Cambria" w:cs="Times New Roman"/>
      <w:sz w:val="22"/>
      <w:szCs w:val="22"/>
      <w:lang w:eastAsia="en-US"/>
    </w:rPr>
  </w:style>
  <w:style w:type="character" w:styleId="IntenseEmphasis">
    <w:name w:val="Intense Emphasis"/>
    <w:uiPriority w:val="21"/>
    <w:rsid w:val="00A528F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A528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528F8"/>
    <w:rPr>
      <w:rFonts w:ascii="Arial" w:hAnsi="Arial"/>
      <w:b/>
      <w:bCs/>
      <w:i/>
      <w:iCs/>
      <w:color w:val="4F81BD"/>
      <w:sz w:val="21"/>
      <w:lang w:eastAsia="en-US"/>
    </w:rPr>
  </w:style>
  <w:style w:type="character" w:styleId="IntenseReference">
    <w:name w:val="Intense Reference"/>
    <w:uiPriority w:val="32"/>
    <w:rsid w:val="00A528F8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rsid w:val="00A528F8"/>
    <w:pPr>
      <w:ind w:left="720"/>
    </w:pPr>
  </w:style>
  <w:style w:type="paragraph" w:styleId="NoSpacing">
    <w:name w:val="No Spacing"/>
    <w:uiPriority w:val="1"/>
    <w:rsid w:val="00A528F8"/>
    <w:rPr>
      <w:rFonts w:ascii="Arial" w:hAnsi="Arial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A528F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28F8"/>
    <w:rPr>
      <w:rFonts w:ascii="Arial" w:hAnsi="Arial"/>
      <w:i/>
      <w:iCs/>
      <w:color w:val="000000"/>
      <w:sz w:val="21"/>
      <w:lang w:eastAsia="en-US"/>
    </w:rPr>
  </w:style>
  <w:style w:type="character" w:styleId="Strong">
    <w:name w:val="Strong"/>
    <w:rsid w:val="00A528F8"/>
    <w:rPr>
      <w:b/>
      <w:bCs/>
    </w:rPr>
  </w:style>
  <w:style w:type="paragraph" w:styleId="Subtitle">
    <w:name w:val="Subtitle"/>
    <w:basedOn w:val="Normal"/>
    <w:next w:val="Normal"/>
    <w:link w:val="SubtitleChar"/>
    <w:rsid w:val="00A528F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528F8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rsid w:val="00A528F8"/>
    <w:rPr>
      <w:i/>
      <w:iCs/>
      <w:color w:val="808080"/>
    </w:rPr>
  </w:style>
  <w:style w:type="character" w:styleId="SubtleReference">
    <w:name w:val="Subtle Reference"/>
    <w:uiPriority w:val="31"/>
    <w:rsid w:val="00A528F8"/>
    <w:rPr>
      <w:smallCaps/>
      <w:color w:val="C0504D"/>
      <w:u w:val="single"/>
    </w:rPr>
  </w:style>
  <w:style w:type="paragraph" w:styleId="Title">
    <w:name w:val="Title"/>
    <w:basedOn w:val="Normal"/>
    <w:next w:val="Normal"/>
    <w:link w:val="TitleChar"/>
    <w:rsid w:val="00A528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528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rsid w:val="00A528F8"/>
    <w:pPr>
      <w:autoSpaceDE/>
      <w:autoSpaceDN/>
      <w:adjustRightInd/>
      <w:spacing w:before="240" w:after="60"/>
      <w:outlineLvl w:val="9"/>
    </w:pPr>
    <w:rPr>
      <w:rFonts w:ascii="Cambria" w:hAnsi="Cambria" w:cs="Times New Roman"/>
      <w:color w:val="auto"/>
      <w:kern w:val="32"/>
      <w:sz w:val="32"/>
      <w:szCs w:val="32"/>
      <w:lang w:val="en-GB"/>
    </w:rPr>
  </w:style>
  <w:style w:type="character" w:styleId="CommentReference">
    <w:name w:val="annotation reference"/>
    <w:rsid w:val="00EE4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44C8"/>
    <w:rPr>
      <w:sz w:val="20"/>
    </w:rPr>
  </w:style>
  <w:style w:type="character" w:customStyle="1" w:styleId="CommentTextChar">
    <w:name w:val="Comment Text Char"/>
    <w:link w:val="CommentText"/>
    <w:rsid w:val="00EE44C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44C8"/>
    <w:rPr>
      <w:b/>
      <w:bCs/>
    </w:rPr>
  </w:style>
  <w:style w:type="character" w:customStyle="1" w:styleId="CommentSubjectChar">
    <w:name w:val="Comment Subject Char"/>
    <w:link w:val="CommentSubject"/>
    <w:rsid w:val="00EE44C8"/>
    <w:rPr>
      <w:rFonts w:ascii="Arial" w:hAnsi="Arial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7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827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5249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850C877DF2944826967D02026C307" ma:contentTypeVersion="13" ma:contentTypeDescription="Create a new document." ma:contentTypeScope="" ma:versionID="a204beb66b2040563ff92a7483bb2a3c">
  <xsd:schema xmlns:xsd="http://www.w3.org/2001/XMLSchema" xmlns:xs="http://www.w3.org/2001/XMLSchema" xmlns:p="http://schemas.microsoft.com/office/2006/metadata/properties" xmlns:ns3="8881f34d-9ab0-4c00-a773-094f4fa0d78e" xmlns:ns4="0584a442-3a58-41d3-9c5a-dfa6dcdb2a72" targetNamespace="http://schemas.microsoft.com/office/2006/metadata/properties" ma:root="true" ma:fieldsID="b6ea2280a4a963bb52a18bb4b1ad7f9b" ns3:_="" ns4:_="">
    <xsd:import namespace="8881f34d-9ab0-4c00-a773-094f4fa0d78e"/>
    <xsd:import namespace="0584a442-3a58-41d3-9c5a-dfa6dcdb2a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f34d-9ab0-4c00-a773-094f4fa0d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4a442-3a58-41d3-9c5a-dfa6dcdb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53391-29D1-4250-A8BF-A72569F88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1f34d-9ab0-4c00-a773-094f4fa0d78e"/>
    <ds:schemaRef ds:uri="0584a442-3a58-41d3-9c5a-dfa6dcdb2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94D03-8CE9-4A06-93B5-11F52DD1F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F2200-99EF-46B6-B406-B906F1A3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E7FE2-4967-4D46-9219-CA0F35FD40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283FA3-51BD-4344-A6AC-27949601A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 of AGM 2016 announcement to RNS</vt:lpstr>
    </vt:vector>
  </TitlesOfParts>
  <Company>Croda</Company>
  <LinksUpToDate>false</LinksUpToDate>
  <CharactersWithSpaces>3564</CharactersWithSpaces>
  <SharedDoc>false</SharedDoc>
  <HLinks>
    <vt:vector size="6" baseType="variant"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of AGM 2016 announcement to RNS</dc:title>
  <dc:creator>Hill, Debbie</dc:creator>
  <cp:lastModifiedBy>Hill, Debbie</cp:lastModifiedBy>
  <cp:revision>3</cp:revision>
  <cp:lastPrinted>2022-05-23T13:20:00Z</cp:lastPrinted>
  <dcterms:created xsi:type="dcterms:W3CDTF">2022-05-23T13:18:00Z</dcterms:created>
  <dcterms:modified xsi:type="dcterms:W3CDTF">2022-05-23T13:21:00Z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Client">
    <vt:lpwstr> </vt:lpwstr>
  </property>
  <property fmtid="{D5CDD505-2E9C-101B-9397-08002B2CF9AE}" pid="3" name="udp_Matter">
    <vt:lpwstr> </vt:lpwstr>
  </property>
  <property fmtid="{D5CDD505-2E9C-101B-9397-08002B2CF9AE}" pid="4" name="udp_CMNumber">
    <vt:lpwstr>000000/00000</vt:lpwstr>
  </property>
  <property fmtid="{D5CDD505-2E9C-101B-9397-08002B2CF9AE}" pid="5" name="udp_DocID">
    <vt:lpwstr>CE050610085</vt:lpwstr>
  </property>
  <property fmtid="{D5CDD505-2E9C-101B-9397-08002B2CF9AE}" pid="6" name="udp_Author">
    <vt:lpwstr>VJZB</vt:lpwstr>
  </property>
  <property fmtid="{D5CDD505-2E9C-101B-9397-08002B2CF9AE}" pid="7" name="ContentTypeId">
    <vt:lpwstr>0x010100409850C877DF2944826967D02026C307</vt:lpwstr>
  </property>
  <property fmtid="{D5CDD505-2E9C-101B-9397-08002B2CF9AE}" pid="8" name="docId">
    <vt:lpwstr>LON52640336</vt:lpwstr>
  </property>
  <property fmtid="{D5CDD505-2E9C-101B-9397-08002B2CF9AE}" pid="9" name="docVersion">
    <vt:lpwstr>1</vt:lpwstr>
  </property>
  <property fmtid="{D5CDD505-2E9C-101B-9397-08002B2CF9AE}" pid="10" name="docCliMat">
    <vt:lpwstr>137349-0002</vt:lpwstr>
  </property>
  <property fmtid="{D5CDD505-2E9C-101B-9397-08002B2CF9AE}" pid="11" name="docIncludeVersion">
    <vt:lpwstr>true</vt:lpwstr>
  </property>
  <property fmtid="{D5CDD505-2E9C-101B-9397-08002B2CF9AE}" pid="12" name="docIncludeCliMat">
    <vt:lpwstr>true</vt:lpwstr>
  </property>
  <property fmtid="{D5CDD505-2E9C-101B-9397-08002B2CF9AE}" pid="13" name="QickStylesAdded">
    <vt:lpwstr>TRUE</vt:lpwstr>
  </property>
</Properties>
</file>