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CBCD4" w14:textId="5DDF0726" w:rsidR="00A20973" w:rsidRPr="00C3512D" w:rsidRDefault="009F7F58" w:rsidP="00A20973">
      <w:pPr>
        <w:pStyle w:val="Header"/>
        <w:jc w:val="both"/>
        <w:rPr>
          <w:rFonts w:ascii="Tahoma" w:hAnsi="Tahoma" w:cs="Tahoma"/>
          <w:b/>
          <w:sz w:val="20"/>
          <w:szCs w:val="20"/>
        </w:rPr>
      </w:pPr>
      <w:r>
        <w:rPr>
          <w:rFonts w:ascii="Tahoma" w:hAnsi="Tahoma" w:cs="Tahoma"/>
          <w:sz w:val="20"/>
          <w:szCs w:val="20"/>
        </w:rPr>
        <w:t xml:space="preserve">No: </w:t>
      </w:r>
      <w:r w:rsidR="004664C9">
        <w:rPr>
          <w:rFonts w:ascii="Tahoma" w:hAnsi="Tahoma" w:cs="Tahoma"/>
          <w:sz w:val="20"/>
          <w:szCs w:val="20"/>
        </w:rPr>
        <w:t>00</w:t>
      </w:r>
      <w:r>
        <w:rPr>
          <w:rFonts w:ascii="Tahoma" w:hAnsi="Tahoma" w:cs="Tahoma"/>
          <w:sz w:val="20"/>
          <w:szCs w:val="20"/>
        </w:rPr>
        <w:t>736898</w:t>
      </w:r>
      <w:r w:rsidR="00A20973" w:rsidRPr="00C3512D">
        <w:rPr>
          <w:rFonts w:ascii="Tahoma" w:hAnsi="Tahoma" w:cs="Tahoma"/>
          <w:sz w:val="20"/>
          <w:szCs w:val="20"/>
        </w:rPr>
        <w:tab/>
      </w:r>
    </w:p>
    <w:p w14:paraId="2B14DC9F" w14:textId="77777777" w:rsidR="00A20973" w:rsidRPr="00C3512D" w:rsidRDefault="00CD33ED" w:rsidP="00A20973">
      <w:pPr>
        <w:pStyle w:val="Header"/>
        <w:jc w:val="center"/>
        <w:rPr>
          <w:rFonts w:ascii="Tahoma" w:hAnsi="Tahoma" w:cs="Tahoma"/>
          <w:b/>
          <w:sz w:val="20"/>
          <w:szCs w:val="20"/>
        </w:rPr>
      </w:pPr>
      <w:r w:rsidRPr="00C3512D">
        <w:rPr>
          <w:rFonts w:ascii="Tahoma" w:hAnsi="Tahoma" w:cs="Tahoma"/>
          <w:b/>
          <w:sz w:val="20"/>
          <w:szCs w:val="20"/>
        </w:rPr>
        <w:t>THE COMPANIES ACT</w:t>
      </w:r>
      <w:r w:rsidR="009F7F58">
        <w:rPr>
          <w:rFonts w:ascii="Tahoma" w:hAnsi="Tahoma" w:cs="Tahoma"/>
          <w:b/>
          <w:sz w:val="20"/>
          <w:szCs w:val="20"/>
        </w:rPr>
        <w:t xml:space="preserve"> </w:t>
      </w:r>
      <w:r w:rsidR="00B03781" w:rsidRPr="00C3512D">
        <w:rPr>
          <w:rFonts w:ascii="Tahoma" w:hAnsi="Tahoma" w:cs="Tahoma"/>
          <w:b/>
          <w:sz w:val="20"/>
          <w:szCs w:val="20"/>
        </w:rPr>
        <w:t>2006</w:t>
      </w:r>
      <w:r w:rsidR="009F7F58">
        <w:rPr>
          <w:rFonts w:ascii="Tahoma" w:hAnsi="Tahoma" w:cs="Tahoma"/>
          <w:b/>
          <w:sz w:val="20"/>
          <w:szCs w:val="20"/>
        </w:rPr>
        <w:t xml:space="preserve"> (as amended)</w:t>
      </w:r>
    </w:p>
    <w:p w14:paraId="5A607DCD" w14:textId="77777777" w:rsidR="00A20973" w:rsidRPr="00C3512D" w:rsidRDefault="00A20973" w:rsidP="00A20973">
      <w:pPr>
        <w:pStyle w:val="Header"/>
        <w:jc w:val="center"/>
        <w:rPr>
          <w:rFonts w:ascii="Tahoma" w:hAnsi="Tahoma" w:cs="Tahoma"/>
          <w:b/>
          <w:sz w:val="20"/>
          <w:szCs w:val="20"/>
        </w:rPr>
      </w:pPr>
    </w:p>
    <w:p w14:paraId="42C70A99" w14:textId="77777777" w:rsidR="00A20973" w:rsidRPr="00C3512D" w:rsidRDefault="00A20973" w:rsidP="00A20973">
      <w:pPr>
        <w:pStyle w:val="Header"/>
        <w:jc w:val="center"/>
        <w:rPr>
          <w:rFonts w:ascii="Tahoma" w:hAnsi="Tahoma" w:cs="Tahoma"/>
          <w:b/>
          <w:sz w:val="20"/>
          <w:szCs w:val="20"/>
        </w:rPr>
      </w:pPr>
      <w:r w:rsidRPr="00C3512D">
        <w:rPr>
          <w:rFonts w:ascii="Tahoma" w:hAnsi="Tahoma" w:cs="Tahoma"/>
          <w:b/>
          <w:sz w:val="20"/>
          <w:szCs w:val="20"/>
        </w:rPr>
        <w:t>PUBLIC COMPANY LIMITED BY SHARES</w:t>
      </w:r>
    </w:p>
    <w:p w14:paraId="68EE635A" w14:textId="77777777" w:rsidR="00A20973" w:rsidRPr="00C3512D" w:rsidRDefault="00A20973" w:rsidP="00A20973">
      <w:pPr>
        <w:pStyle w:val="Header"/>
        <w:jc w:val="center"/>
        <w:rPr>
          <w:rFonts w:ascii="Tahoma" w:hAnsi="Tahoma" w:cs="Tahoma"/>
          <w:b/>
          <w:sz w:val="20"/>
          <w:szCs w:val="20"/>
        </w:rPr>
      </w:pPr>
    </w:p>
    <w:p w14:paraId="1C665062" w14:textId="77777777" w:rsidR="00A20973" w:rsidRPr="00C3512D" w:rsidRDefault="00A20973" w:rsidP="00A20973">
      <w:pPr>
        <w:pStyle w:val="Header"/>
        <w:jc w:val="center"/>
        <w:rPr>
          <w:rFonts w:ascii="Tahoma" w:hAnsi="Tahoma" w:cs="Tahoma"/>
          <w:b/>
          <w:sz w:val="20"/>
          <w:szCs w:val="20"/>
        </w:rPr>
      </w:pPr>
    </w:p>
    <w:p w14:paraId="1C268D88" w14:textId="77777777" w:rsidR="00A20973" w:rsidRPr="00C3512D" w:rsidRDefault="0043731E" w:rsidP="00A20973">
      <w:pPr>
        <w:pStyle w:val="Header"/>
        <w:jc w:val="center"/>
        <w:rPr>
          <w:rFonts w:ascii="Tahoma" w:hAnsi="Tahoma" w:cs="Tahoma"/>
          <w:b/>
          <w:sz w:val="20"/>
          <w:szCs w:val="20"/>
        </w:rPr>
      </w:pPr>
      <w:r w:rsidRPr="00C3512D">
        <w:rPr>
          <w:rFonts w:ascii="Tahoma" w:hAnsi="Tahoma" w:cs="Tahoma"/>
          <w:b/>
          <w:sz w:val="20"/>
          <w:szCs w:val="20"/>
        </w:rPr>
        <w:t>Resolution</w:t>
      </w:r>
      <w:r w:rsidR="00F46D37">
        <w:rPr>
          <w:rFonts w:ascii="Tahoma" w:hAnsi="Tahoma" w:cs="Tahoma"/>
          <w:b/>
          <w:sz w:val="20"/>
          <w:szCs w:val="20"/>
        </w:rPr>
        <w:t>s</w:t>
      </w:r>
    </w:p>
    <w:p w14:paraId="0E104A4A" w14:textId="77777777" w:rsidR="00A20973" w:rsidRPr="00C3512D" w:rsidRDefault="00A20973" w:rsidP="00A20973">
      <w:pPr>
        <w:pStyle w:val="Header"/>
        <w:jc w:val="center"/>
        <w:rPr>
          <w:rFonts w:ascii="Tahoma" w:hAnsi="Tahoma" w:cs="Tahoma"/>
          <w:b/>
          <w:sz w:val="20"/>
          <w:szCs w:val="20"/>
        </w:rPr>
      </w:pPr>
    </w:p>
    <w:p w14:paraId="21FEAEFC" w14:textId="77777777" w:rsidR="00A20973" w:rsidRPr="00C3512D" w:rsidRDefault="002A51D3" w:rsidP="00A20973">
      <w:pPr>
        <w:pStyle w:val="Header"/>
        <w:jc w:val="center"/>
        <w:rPr>
          <w:rFonts w:ascii="Tahoma" w:hAnsi="Tahoma" w:cs="Tahoma"/>
          <w:b/>
          <w:sz w:val="20"/>
          <w:szCs w:val="20"/>
        </w:rPr>
      </w:pPr>
      <w:r>
        <w:rPr>
          <w:rFonts w:ascii="Tahoma" w:hAnsi="Tahoma" w:cs="Tahoma"/>
          <w:b/>
          <w:sz w:val="20"/>
          <w:szCs w:val="20"/>
        </w:rPr>
        <w:t>of</w:t>
      </w:r>
    </w:p>
    <w:p w14:paraId="428BB291" w14:textId="77777777" w:rsidR="00A20973" w:rsidRPr="00C3512D" w:rsidRDefault="00A20973" w:rsidP="00A20973">
      <w:pPr>
        <w:pStyle w:val="Header"/>
        <w:jc w:val="center"/>
        <w:rPr>
          <w:rFonts w:ascii="Tahoma" w:hAnsi="Tahoma" w:cs="Tahoma"/>
          <w:b/>
          <w:sz w:val="20"/>
          <w:szCs w:val="20"/>
        </w:rPr>
      </w:pPr>
    </w:p>
    <w:p w14:paraId="044E4749" w14:textId="77777777" w:rsidR="00A20973" w:rsidRPr="00C3512D" w:rsidRDefault="009F7F58" w:rsidP="00A20973">
      <w:pPr>
        <w:pStyle w:val="Title"/>
        <w:rPr>
          <w:rFonts w:ascii="Tahoma" w:hAnsi="Tahoma" w:cs="Tahoma"/>
          <w:sz w:val="20"/>
          <w:szCs w:val="20"/>
        </w:rPr>
      </w:pPr>
      <w:r>
        <w:rPr>
          <w:rFonts w:ascii="Tahoma" w:hAnsi="Tahoma" w:cs="Tahoma"/>
          <w:sz w:val="20"/>
          <w:szCs w:val="20"/>
        </w:rPr>
        <w:t>RIGHTS AND ISSUES</w:t>
      </w:r>
      <w:r w:rsidR="00A20973" w:rsidRPr="00C3512D">
        <w:rPr>
          <w:rFonts w:ascii="Tahoma" w:hAnsi="Tahoma" w:cs="Tahoma"/>
          <w:sz w:val="20"/>
          <w:szCs w:val="20"/>
        </w:rPr>
        <w:t xml:space="preserve"> INVESTMENT TRUST PLC</w:t>
      </w:r>
    </w:p>
    <w:p w14:paraId="4A11707E" w14:textId="77777777" w:rsidR="00A20973" w:rsidRPr="00C3512D" w:rsidRDefault="00B93A8E" w:rsidP="00A20973">
      <w:pPr>
        <w:widowControl w:val="0"/>
        <w:tabs>
          <w:tab w:val="left" w:pos="720"/>
        </w:tabs>
        <w:autoSpaceDE w:val="0"/>
        <w:autoSpaceDN w:val="0"/>
        <w:adjustRightInd w:val="0"/>
        <w:jc w:val="center"/>
        <w:rPr>
          <w:rFonts w:ascii="Tahoma" w:hAnsi="Tahoma" w:cs="Tahoma"/>
          <w:b/>
          <w:sz w:val="20"/>
          <w:szCs w:val="20"/>
        </w:rPr>
      </w:pPr>
      <w:r w:rsidRPr="00C3512D">
        <w:rPr>
          <w:rFonts w:ascii="Tahoma" w:hAnsi="Tahoma" w:cs="Tahoma"/>
          <w:b/>
          <w:sz w:val="20"/>
          <w:szCs w:val="20"/>
        </w:rPr>
        <w:t>(THE "COMPANY"</w:t>
      </w:r>
      <w:r w:rsidR="00A20973" w:rsidRPr="00C3512D">
        <w:rPr>
          <w:rFonts w:ascii="Tahoma" w:hAnsi="Tahoma" w:cs="Tahoma"/>
          <w:b/>
          <w:sz w:val="20"/>
          <w:szCs w:val="20"/>
        </w:rPr>
        <w:t>)</w:t>
      </w:r>
    </w:p>
    <w:p w14:paraId="1A157BBA" w14:textId="77777777" w:rsidR="00A20973" w:rsidRDefault="00A20973" w:rsidP="00A20973">
      <w:pPr>
        <w:pStyle w:val="Header"/>
        <w:jc w:val="center"/>
        <w:rPr>
          <w:rFonts w:ascii="Tahoma" w:hAnsi="Tahoma" w:cs="Tahoma"/>
          <w:b/>
          <w:sz w:val="20"/>
          <w:szCs w:val="20"/>
        </w:rPr>
      </w:pPr>
    </w:p>
    <w:p w14:paraId="45383BE7" w14:textId="4879999A" w:rsidR="00394B55" w:rsidRPr="004664C9" w:rsidRDefault="00394B55" w:rsidP="00A20973">
      <w:pPr>
        <w:pStyle w:val="Header"/>
        <w:jc w:val="center"/>
        <w:rPr>
          <w:rFonts w:ascii="Tahoma" w:hAnsi="Tahoma" w:cs="Tahoma"/>
          <w:b/>
          <w:sz w:val="20"/>
          <w:szCs w:val="20"/>
        </w:rPr>
      </w:pPr>
      <w:r w:rsidRPr="004664C9">
        <w:rPr>
          <w:rFonts w:ascii="Tahoma" w:hAnsi="Tahoma" w:cs="Tahoma"/>
          <w:b/>
          <w:sz w:val="20"/>
          <w:szCs w:val="20"/>
        </w:rPr>
        <w:t xml:space="preserve">Passed on </w:t>
      </w:r>
      <w:r w:rsidR="00E2697A" w:rsidRPr="004664C9">
        <w:rPr>
          <w:rFonts w:ascii="Tahoma" w:hAnsi="Tahoma" w:cs="Tahoma"/>
          <w:b/>
          <w:sz w:val="20"/>
          <w:szCs w:val="20"/>
        </w:rPr>
        <w:t>2</w:t>
      </w:r>
      <w:r w:rsidR="00C3251E">
        <w:rPr>
          <w:rFonts w:ascii="Tahoma" w:hAnsi="Tahoma" w:cs="Tahoma"/>
          <w:b/>
          <w:sz w:val="20"/>
          <w:szCs w:val="20"/>
        </w:rPr>
        <w:t>6</w:t>
      </w:r>
      <w:r w:rsidR="00E2697A" w:rsidRPr="004664C9">
        <w:rPr>
          <w:rFonts w:ascii="Tahoma" w:hAnsi="Tahoma" w:cs="Tahoma"/>
          <w:b/>
          <w:sz w:val="20"/>
          <w:szCs w:val="20"/>
        </w:rPr>
        <w:t xml:space="preserve"> March 202</w:t>
      </w:r>
      <w:r w:rsidR="00C3251E">
        <w:rPr>
          <w:rFonts w:ascii="Tahoma" w:hAnsi="Tahoma" w:cs="Tahoma"/>
          <w:b/>
          <w:sz w:val="20"/>
          <w:szCs w:val="20"/>
        </w:rPr>
        <w:t>6</w:t>
      </w:r>
    </w:p>
    <w:p w14:paraId="195EE2A3" w14:textId="77777777" w:rsidR="009C3A57" w:rsidRPr="004664C9" w:rsidRDefault="009C3A57" w:rsidP="009C3A57">
      <w:pPr>
        <w:widowControl w:val="0"/>
        <w:tabs>
          <w:tab w:val="left" w:pos="720"/>
        </w:tabs>
        <w:autoSpaceDE w:val="0"/>
        <w:autoSpaceDN w:val="0"/>
        <w:adjustRightInd w:val="0"/>
        <w:rPr>
          <w:rFonts w:ascii="Tahoma" w:hAnsi="Tahoma" w:cs="Tahoma"/>
          <w:sz w:val="20"/>
          <w:szCs w:val="20"/>
        </w:rPr>
      </w:pPr>
    </w:p>
    <w:p w14:paraId="68295942" w14:textId="77777777" w:rsidR="00511250" w:rsidRPr="004664C9" w:rsidRDefault="00511250" w:rsidP="00511250">
      <w:pPr>
        <w:widowControl w:val="0"/>
        <w:tabs>
          <w:tab w:val="left" w:pos="720"/>
        </w:tabs>
        <w:autoSpaceDE w:val="0"/>
        <w:autoSpaceDN w:val="0"/>
        <w:adjustRightInd w:val="0"/>
        <w:rPr>
          <w:rFonts w:ascii="Tahoma" w:hAnsi="Tahoma" w:cs="Tahoma"/>
          <w:sz w:val="20"/>
          <w:szCs w:val="20"/>
        </w:rPr>
      </w:pPr>
    </w:p>
    <w:p w14:paraId="15523536" w14:textId="73459FDE" w:rsidR="00CD33ED" w:rsidRPr="004664C9" w:rsidRDefault="00511250" w:rsidP="00B03781">
      <w:pPr>
        <w:widowControl w:val="0"/>
        <w:tabs>
          <w:tab w:val="left" w:pos="720"/>
        </w:tabs>
        <w:autoSpaceDE w:val="0"/>
        <w:autoSpaceDN w:val="0"/>
        <w:adjustRightInd w:val="0"/>
        <w:jc w:val="both"/>
        <w:rPr>
          <w:rFonts w:ascii="Tahoma" w:hAnsi="Tahoma" w:cs="Tahoma"/>
          <w:sz w:val="20"/>
          <w:szCs w:val="20"/>
        </w:rPr>
      </w:pPr>
      <w:r w:rsidRPr="004664C9">
        <w:rPr>
          <w:rFonts w:ascii="Tahoma" w:hAnsi="Tahoma" w:cs="Tahoma"/>
          <w:sz w:val="20"/>
          <w:szCs w:val="20"/>
        </w:rPr>
        <w:t xml:space="preserve">At the </w:t>
      </w:r>
      <w:r w:rsidR="00AE5F3E">
        <w:rPr>
          <w:rFonts w:ascii="Tahoma" w:hAnsi="Tahoma" w:cs="Tahoma"/>
          <w:sz w:val="20"/>
          <w:szCs w:val="20"/>
        </w:rPr>
        <w:t>Annual General Meeting</w:t>
      </w:r>
      <w:r w:rsidRPr="004664C9">
        <w:rPr>
          <w:rFonts w:ascii="Tahoma" w:hAnsi="Tahoma" w:cs="Tahoma"/>
          <w:sz w:val="20"/>
          <w:szCs w:val="20"/>
        </w:rPr>
        <w:t xml:space="preserve"> of the Company duly convened and held</w:t>
      </w:r>
      <w:r w:rsidR="00F46D37" w:rsidRPr="004664C9">
        <w:rPr>
          <w:rFonts w:ascii="Tahoma" w:hAnsi="Tahoma" w:cs="Tahoma"/>
          <w:sz w:val="20"/>
          <w:szCs w:val="20"/>
        </w:rPr>
        <w:t>,</w:t>
      </w:r>
      <w:r w:rsidRPr="004664C9">
        <w:rPr>
          <w:rFonts w:ascii="Tahoma" w:hAnsi="Tahoma" w:cs="Tahoma"/>
          <w:sz w:val="20"/>
          <w:szCs w:val="20"/>
        </w:rPr>
        <w:t xml:space="preserve"> </w:t>
      </w:r>
      <w:r w:rsidR="00BA794A" w:rsidRPr="004664C9">
        <w:rPr>
          <w:rFonts w:ascii="Tahoma" w:hAnsi="Tahoma" w:cs="Tahoma"/>
          <w:sz w:val="20"/>
          <w:szCs w:val="20"/>
        </w:rPr>
        <w:t xml:space="preserve">all </w:t>
      </w:r>
      <w:r w:rsidR="004D48A4" w:rsidRPr="004664C9">
        <w:rPr>
          <w:rFonts w:ascii="Tahoma" w:hAnsi="Tahoma" w:cs="Tahoma"/>
          <w:sz w:val="20"/>
          <w:szCs w:val="20"/>
        </w:rPr>
        <w:t xml:space="preserve">of </w:t>
      </w:r>
      <w:r w:rsidR="00BA794A" w:rsidRPr="004664C9">
        <w:rPr>
          <w:rFonts w:ascii="Tahoma" w:hAnsi="Tahoma" w:cs="Tahoma"/>
          <w:sz w:val="20"/>
          <w:szCs w:val="20"/>
        </w:rPr>
        <w:t xml:space="preserve">the resolutions were passed on a </w:t>
      </w:r>
      <w:r w:rsidR="000D293A" w:rsidRPr="004664C9">
        <w:rPr>
          <w:rFonts w:ascii="Tahoma" w:hAnsi="Tahoma" w:cs="Tahoma"/>
          <w:sz w:val="20"/>
          <w:szCs w:val="20"/>
        </w:rPr>
        <w:t>show of hands</w:t>
      </w:r>
      <w:r w:rsidR="00BA794A" w:rsidRPr="004664C9">
        <w:rPr>
          <w:rFonts w:ascii="Tahoma" w:hAnsi="Tahoma" w:cs="Tahoma"/>
          <w:sz w:val="20"/>
          <w:szCs w:val="20"/>
        </w:rPr>
        <w:t xml:space="preserve"> and </w:t>
      </w:r>
      <w:r w:rsidR="00E73914" w:rsidRPr="004664C9">
        <w:rPr>
          <w:rFonts w:ascii="Tahoma" w:hAnsi="Tahoma" w:cs="Tahoma"/>
          <w:sz w:val="20"/>
          <w:szCs w:val="20"/>
        </w:rPr>
        <w:t xml:space="preserve">the </w:t>
      </w:r>
      <w:r w:rsidR="002A51D3" w:rsidRPr="004664C9">
        <w:rPr>
          <w:rFonts w:ascii="Tahoma" w:hAnsi="Tahoma" w:cs="Tahoma"/>
          <w:sz w:val="20"/>
          <w:szCs w:val="20"/>
        </w:rPr>
        <w:t>following R</w:t>
      </w:r>
      <w:r w:rsidR="00E73914" w:rsidRPr="004664C9">
        <w:rPr>
          <w:rFonts w:ascii="Tahoma" w:hAnsi="Tahoma" w:cs="Tahoma"/>
          <w:sz w:val="20"/>
          <w:szCs w:val="20"/>
        </w:rPr>
        <w:t>esolution</w:t>
      </w:r>
      <w:r w:rsidR="003127B7" w:rsidRPr="004664C9">
        <w:rPr>
          <w:rFonts w:ascii="Tahoma" w:hAnsi="Tahoma" w:cs="Tahoma"/>
          <w:sz w:val="20"/>
          <w:szCs w:val="20"/>
        </w:rPr>
        <w:t xml:space="preserve"> </w:t>
      </w:r>
      <w:r w:rsidR="00A0309F" w:rsidRPr="004664C9">
        <w:rPr>
          <w:rFonts w:ascii="Tahoma" w:hAnsi="Tahoma" w:cs="Tahoma"/>
          <w:sz w:val="20"/>
          <w:szCs w:val="20"/>
        </w:rPr>
        <w:t>was</w:t>
      </w:r>
      <w:r w:rsidR="009F7F58" w:rsidRPr="004664C9">
        <w:rPr>
          <w:rFonts w:ascii="Tahoma" w:hAnsi="Tahoma" w:cs="Tahoma"/>
          <w:sz w:val="20"/>
          <w:szCs w:val="20"/>
        </w:rPr>
        <w:t xml:space="preserve"> passed as </w:t>
      </w:r>
      <w:r w:rsidR="00320427" w:rsidRPr="004664C9">
        <w:rPr>
          <w:rFonts w:ascii="Tahoma" w:hAnsi="Tahoma" w:cs="Tahoma"/>
          <w:sz w:val="20"/>
          <w:szCs w:val="20"/>
        </w:rPr>
        <w:t>a Special Resolution</w:t>
      </w:r>
      <w:r w:rsidR="002A51D3" w:rsidRPr="004664C9">
        <w:rPr>
          <w:rFonts w:ascii="Tahoma" w:hAnsi="Tahoma" w:cs="Tahoma"/>
          <w:sz w:val="20"/>
          <w:szCs w:val="20"/>
        </w:rPr>
        <w:t>:</w:t>
      </w:r>
    </w:p>
    <w:p w14:paraId="11980FE4" w14:textId="352A5B54" w:rsidR="00A0309F" w:rsidRPr="004664C9" w:rsidRDefault="00A0309F" w:rsidP="00A0309F">
      <w:pPr>
        <w:autoSpaceDE w:val="0"/>
        <w:autoSpaceDN w:val="0"/>
        <w:adjustRightInd w:val="0"/>
        <w:rPr>
          <w:rFonts w:ascii="Tahoma" w:hAnsi="Tahoma" w:cs="Tahoma"/>
          <w:color w:val="000000"/>
          <w:sz w:val="20"/>
          <w:szCs w:val="20"/>
          <w:lang w:eastAsia="en-GB"/>
        </w:rPr>
      </w:pPr>
    </w:p>
    <w:p w14:paraId="5E5EDB95" w14:textId="77777777" w:rsidR="00AE5F3E" w:rsidRPr="007A31AD" w:rsidRDefault="00AE5F3E" w:rsidP="00AE5F3E">
      <w:pPr>
        <w:autoSpaceDE w:val="0"/>
        <w:autoSpaceDN w:val="0"/>
        <w:adjustRightInd w:val="0"/>
        <w:rPr>
          <w:rFonts w:ascii="Tahoma" w:hAnsi="Tahoma" w:cs="Tahoma"/>
          <w:color w:val="000000"/>
          <w:sz w:val="20"/>
          <w:szCs w:val="20"/>
          <w:lang w:eastAsia="en-GB"/>
        </w:rPr>
      </w:pPr>
    </w:p>
    <w:p w14:paraId="781AB971" w14:textId="77777777" w:rsidR="00AE5F3E" w:rsidRPr="004664C9" w:rsidRDefault="00AE5F3E" w:rsidP="00AE5F3E">
      <w:pPr>
        <w:autoSpaceDE w:val="0"/>
        <w:autoSpaceDN w:val="0"/>
        <w:adjustRightInd w:val="0"/>
        <w:ind w:left="720" w:hanging="720"/>
        <w:jc w:val="both"/>
        <w:rPr>
          <w:rFonts w:ascii="Tahoma" w:hAnsi="Tahoma" w:cs="Tahoma"/>
          <w:sz w:val="20"/>
          <w:szCs w:val="20"/>
          <w:lang w:eastAsia="en-GB"/>
        </w:rPr>
      </w:pPr>
      <w:r w:rsidRPr="004664C9">
        <w:rPr>
          <w:rFonts w:ascii="Tahoma" w:hAnsi="Tahoma" w:cs="Tahoma"/>
          <w:sz w:val="20"/>
          <w:szCs w:val="20"/>
          <w:lang w:eastAsia="en-GB"/>
        </w:rPr>
        <w:t>1</w:t>
      </w:r>
      <w:r>
        <w:rPr>
          <w:rFonts w:ascii="Tahoma" w:hAnsi="Tahoma" w:cs="Tahoma"/>
          <w:sz w:val="20"/>
          <w:szCs w:val="20"/>
          <w:lang w:eastAsia="en-GB"/>
        </w:rPr>
        <w:t>0</w:t>
      </w:r>
      <w:r w:rsidRPr="004664C9">
        <w:rPr>
          <w:rFonts w:ascii="Tahoma" w:hAnsi="Tahoma" w:cs="Tahoma"/>
          <w:sz w:val="20"/>
          <w:szCs w:val="20"/>
          <w:lang w:eastAsia="en-GB"/>
        </w:rPr>
        <w:t>.</w:t>
      </w:r>
      <w:r w:rsidRPr="004664C9">
        <w:rPr>
          <w:rFonts w:ascii="Tahoma" w:hAnsi="Tahoma" w:cs="Tahoma"/>
          <w:sz w:val="20"/>
          <w:szCs w:val="20"/>
          <w:lang w:eastAsia="en-GB"/>
        </w:rPr>
        <w:tab/>
        <w:t xml:space="preserve">THAT the Company be and is hereby generally and unconditionally authorised in accordance with section 701 of the Companies Act 2006 to make market purchases (within the meaning of section 693 of the Companies Act 2006) of </w:t>
      </w:r>
      <w:r>
        <w:rPr>
          <w:rFonts w:ascii="Tahoma" w:hAnsi="Tahoma" w:cs="Tahoma"/>
          <w:sz w:val="20"/>
          <w:szCs w:val="20"/>
          <w:lang w:eastAsia="en-GB"/>
        </w:rPr>
        <w:t>Ordinary</w:t>
      </w:r>
      <w:r w:rsidRPr="004664C9">
        <w:rPr>
          <w:rFonts w:ascii="Tahoma" w:hAnsi="Tahoma" w:cs="Tahoma"/>
          <w:sz w:val="20"/>
          <w:szCs w:val="20"/>
          <w:lang w:eastAsia="en-GB"/>
        </w:rPr>
        <w:t xml:space="preserve"> shares, provided that:</w:t>
      </w:r>
    </w:p>
    <w:p w14:paraId="34492DD8" w14:textId="77777777" w:rsidR="00AE5F3E" w:rsidRPr="004664C9" w:rsidRDefault="00AE5F3E" w:rsidP="00AE5F3E">
      <w:pPr>
        <w:autoSpaceDE w:val="0"/>
        <w:autoSpaceDN w:val="0"/>
        <w:adjustRightInd w:val="0"/>
        <w:ind w:left="720" w:hanging="720"/>
        <w:rPr>
          <w:rFonts w:ascii="Tahoma" w:hAnsi="Tahoma" w:cs="Tahoma"/>
          <w:sz w:val="20"/>
          <w:szCs w:val="20"/>
          <w:lang w:eastAsia="en-GB"/>
        </w:rPr>
      </w:pPr>
    </w:p>
    <w:p w14:paraId="767092CE" w14:textId="1C8ECD0B" w:rsidR="00AE5F3E" w:rsidRPr="004664C9" w:rsidRDefault="00AE5F3E" w:rsidP="00AE5F3E">
      <w:pPr>
        <w:autoSpaceDE w:val="0"/>
        <w:autoSpaceDN w:val="0"/>
        <w:adjustRightInd w:val="0"/>
        <w:ind w:left="720" w:hanging="720"/>
        <w:jc w:val="both"/>
        <w:rPr>
          <w:rFonts w:ascii="Tahoma" w:hAnsi="Tahoma" w:cs="Tahoma"/>
          <w:sz w:val="20"/>
          <w:szCs w:val="20"/>
          <w:lang w:eastAsia="en-GB"/>
        </w:rPr>
      </w:pPr>
      <w:r w:rsidRPr="004664C9">
        <w:rPr>
          <w:rFonts w:ascii="Tahoma" w:hAnsi="Tahoma" w:cs="Tahoma"/>
          <w:sz w:val="20"/>
          <w:szCs w:val="20"/>
          <w:lang w:eastAsia="en-GB"/>
        </w:rPr>
        <w:t>1</w:t>
      </w:r>
      <w:r>
        <w:rPr>
          <w:rFonts w:ascii="Tahoma" w:hAnsi="Tahoma" w:cs="Tahoma"/>
          <w:sz w:val="20"/>
          <w:szCs w:val="20"/>
          <w:lang w:eastAsia="en-GB"/>
        </w:rPr>
        <w:t>0</w:t>
      </w:r>
      <w:r w:rsidRPr="004664C9">
        <w:rPr>
          <w:rFonts w:ascii="Tahoma" w:hAnsi="Tahoma" w:cs="Tahoma"/>
          <w:sz w:val="20"/>
          <w:szCs w:val="20"/>
          <w:lang w:eastAsia="en-GB"/>
        </w:rPr>
        <w:t>.1</w:t>
      </w:r>
      <w:r w:rsidRPr="004664C9">
        <w:rPr>
          <w:rFonts w:ascii="Tahoma" w:hAnsi="Tahoma" w:cs="Tahoma"/>
          <w:sz w:val="20"/>
          <w:szCs w:val="20"/>
          <w:lang w:eastAsia="en-GB"/>
        </w:rPr>
        <w:tab/>
        <w:t xml:space="preserve">the maximum aggregate number of </w:t>
      </w:r>
      <w:r>
        <w:rPr>
          <w:rFonts w:ascii="Tahoma" w:hAnsi="Tahoma" w:cs="Tahoma"/>
          <w:sz w:val="20"/>
          <w:szCs w:val="20"/>
          <w:lang w:eastAsia="en-GB"/>
        </w:rPr>
        <w:t>O</w:t>
      </w:r>
      <w:r w:rsidRPr="004664C9">
        <w:rPr>
          <w:rFonts w:ascii="Tahoma" w:hAnsi="Tahoma" w:cs="Tahoma"/>
          <w:sz w:val="20"/>
          <w:szCs w:val="20"/>
          <w:lang w:eastAsia="en-GB"/>
        </w:rPr>
        <w:t xml:space="preserve">rdinary shares hereby authorised to be purchased shall be </w:t>
      </w:r>
      <w:r w:rsidR="00C3251E">
        <w:rPr>
          <w:rFonts w:ascii="Tahoma" w:hAnsi="Tahoma" w:cs="Tahoma"/>
          <w:sz w:val="20"/>
          <w:szCs w:val="20"/>
          <w:lang w:eastAsia="en-GB"/>
        </w:rPr>
        <w:t>716,600</w:t>
      </w:r>
      <w:r w:rsidRPr="004664C9">
        <w:rPr>
          <w:rFonts w:ascii="Tahoma" w:hAnsi="Tahoma" w:cs="Tahoma"/>
          <w:sz w:val="20"/>
          <w:szCs w:val="20"/>
          <w:lang w:eastAsia="en-GB"/>
        </w:rPr>
        <w:t xml:space="preserve"> (representing approximately 14.99% of the </w:t>
      </w:r>
      <w:r>
        <w:rPr>
          <w:rFonts w:ascii="Tahoma" w:hAnsi="Tahoma" w:cs="Tahoma"/>
          <w:sz w:val="20"/>
          <w:szCs w:val="20"/>
          <w:lang w:eastAsia="en-GB"/>
        </w:rPr>
        <w:t>Ordinary</w:t>
      </w:r>
      <w:r w:rsidRPr="004664C9">
        <w:rPr>
          <w:rFonts w:ascii="Tahoma" w:hAnsi="Tahoma" w:cs="Tahoma"/>
          <w:sz w:val="20"/>
          <w:szCs w:val="20"/>
          <w:lang w:eastAsia="en-GB"/>
        </w:rPr>
        <w:t xml:space="preserve"> shares in issue on 1</w:t>
      </w:r>
      <w:r w:rsidR="00C3251E">
        <w:rPr>
          <w:rFonts w:ascii="Tahoma" w:hAnsi="Tahoma" w:cs="Tahoma"/>
          <w:sz w:val="20"/>
          <w:szCs w:val="20"/>
          <w:lang w:eastAsia="en-GB"/>
        </w:rPr>
        <w:t>7</w:t>
      </w:r>
      <w:r w:rsidRPr="004664C9">
        <w:rPr>
          <w:rFonts w:ascii="Tahoma" w:hAnsi="Tahoma" w:cs="Tahoma"/>
          <w:sz w:val="20"/>
          <w:szCs w:val="20"/>
          <w:lang w:eastAsia="en-GB"/>
        </w:rPr>
        <w:t>th February 202</w:t>
      </w:r>
      <w:r w:rsidR="00C3251E">
        <w:rPr>
          <w:rFonts w:ascii="Tahoma" w:hAnsi="Tahoma" w:cs="Tahoma"/>
          <w:sz w:val="20"/>
          <w:szCs w:val="20"/>
          <w:lang w:eastAsia="en-GB"/>
        </w:rPr>
        <w:t>6</w:t>
      </w:r>
      <w:r w:rsidRPr="004664C9">
        <w:rPr>
          <w:rFonts w:ascii="Tahoma" w:hAnsi="Tahoma" w:cs="Tahoma"/>
          <w:sz w:val="20"/>
          <w:szCs w:val="20"/>
          <w:lang w:eastAsia="en-GB"/>
        </w:rPr>
        <w:t>);</w:t>
      </w:r>
    </w:p>
    <w:p w14:paraId="57BCD2C9" w14:textId="77777777" w:rsidR="00AE5F3E" w:rsidRPr="004664C9" w:rsidRDefault="00AE5F3E" w:rsidP="00AE5F3E">
      <w:pPr>
        <w:autoSpaceDE w:val="0"/>
        <w:autoSpaceDN w:val="0"/>
        <w:adjustRightInd w:val="0"/>
        <w:rPr>
          <w:rFonts w:ascii="Tahoma" w:hAnsi="Tahoma" w:cs="Tahoma"/>
          <w:sz w:val="20"/>
          <w:szCs w:val="20"/>
          <w:lang w:eastAsia="en-GB"/>
        </w:rPr>
      </w:pPr>
    </w:p>
    <w:p w14:paraId="01EF3CDE" w14:textId="77777777" w:rsidR="00AE5F3E" w:rsidRPr="004664C9" w:rsidRDefault="00AE5F3E" w:rsidP="00AE5F3E">
      <w:pPr>
        <w:autoSpaceDE w:val="0"/>
        <w:autoSpaceDN w:val="0"/>
        <w:adjustRightInd w:val="0"/>
        <w:ind w:left="720" w:hanging="720"/>
        <w:jc w:val="both"/>
        <w:rPr>
          <w:rFonts w:ascii="Tahoma" w:hAnsi="Tahoma" w:cs="Tahoma"/>
          <w:sz w:val="20"/>
          <w:szCs w:val="20"/>
          <w:lang w:eastAsia="en-GB"/>
        </w:rPr>
      </w:pPr>
      <w:r w:rsidRPr="004664C9">
        <w:rPr>
          <w:rFonts w:ascii="Tahoma" w:hAnsi="Tahoma" w:cs="Tahoma"/>
          <w:sz w:val="20"/>
          <w:szCs w:val="20"/>
          <w:lang w:eastAsia="en-GB"/>
        </w:rPr>
        <w:t>1</w:t>
      </w:r>
      <w:r>
        <w:rPr>
          <w:rFonts w:ascii="Tahoma" w:hAnsi="Tahoma" w:cs="Tahoma"/>
          <w:sz w:val="20"/>
          <w:szCs w:val="20"/>
          <w:lang w:eastAsia="en-GB"/>
        </w:rPr>
        <w:t>0</w:t>
      </w:r>
      <w:r w:rsidRPr="004664C9">
        <w:rPr>
          <w:rFonts w:ascii="Tahoma" w:hAnsi="Tahoma" w:cs="Tahoma"/>
          <w:sz w:val="20"/>
          <w:szCs w:val="20"/>
          <w:lang w:eastAsia="en-GB"/>
        </w:rPr>
        <w:t>.2</w:t>
      </w:r>
      <w:r w:rsidRPr="004664C9">
        <w:rPr>
          <w:rFonts w:ascii="Tahoma" w:hAnsi="Tahoma" w:cs="Tahoma"/>
          <w:sz w:val="20"/>
          <w:szCs w:val="20"/>
          <w:lang w:eastAsia="en-GB"/>
        </w:rPr>
        <w:tab/>
        <w:t xml:space="preserve">the minimum price (exclusive of expenses) which may be paid for an </w:t>
      </w:r>
      <w:r>
        <w:rPr>
          <w:rFonts w:ascii="Tahoma" w:hAnsi="Tahoma" w:cs="Tahoma"/>
          <w:sz w:val="20"/>
          <w:szCs w:val="20"/>
          <w:lang w:eastAsia="en-GB"/>
        </w:rPr>
        <w:t>Ordinary</w:t>
      </w:r>
      <w:r w:rsidRPr="004664C9">
        <w:rPr>
          <w:rFonts w:ascii="Tahoma" w:hAnsi="Tahoma" w:cs="Tahoma"/>
          <w:sz w:val="20"/>
          <w:szCs w:val="20"/>
          <w:lang w:eastAsia="en-GB"/>
        </w:rPr>
        <w:t xml:space="preserve"> share is its nominal value;</w:t>
      </w:r>
    </w:p>
    <w:p w14:paraId="51FECDF0" w14:textId="77777777" w:rsidR="00AE5F3E" w:rsidRPr="004664C9" w:rsidRDefault="00AE5F3E" w:rsidP="00AE5F3E">
      <w:pPr>
        <w:autoSpaceDE w:val="0"/>
        <w:autoSpaceDN w:val="0"/>
        <w:adjustRightInd w:val="0"/>
        <w:rPr>
          <w:rFonts w:ascii="Tahoma" w:hAnsi="Tahoma" w:cs="Tahoma"/>
          <w:sz w:val="20"/>
          <w:szCs w:val="20"/>
          <w:lang w:eastAsia="en-GB"/>
        </w:rPr>
      </w:pPr>
    </w:p>
    <w:p w14:paraId="372F605C" w14:textId="77777777" w:rsidR="00AE5F3E" w:rsidRPr="00082030" w:rsidRDefault="00AE5F3E" w:rsidP="00AE5F3E">
      <w:pPr>
        <w:autoSpaceDE w:val="0"/>
        <w:autoSpaceDN w:val="0"/>
        <w:adjustRightInd w:val="0"/>
        <w:ind w:left="720" w:hanging="720"/>
        <w:jc w:val="both"/>
        <w:rPr>
          <w:rFonts w:ascii="Tahoma" w:hAnsi="Tahoma" w:cs="Tahoma"/>
          <w:sz w:val="20"/>
          <w:szCs w:val="20"/>
          <w:lang w:eastAsia="en-GB"/>
        </w:rPr>
      </w:pPr>
      <w:r w:rsidRPr="004664C9">
        <w:rPr>
          <w:rFonts w:ascii="Tahoma" w:hAnsi="Tahoma" w:cs="Tahoma"/>
          <w:sz w:val="20"/>
          <w:szCs w:val="20"/>
          <w:lang w:eastAsia="en-GB"/>
        </w:rPr>
        <w:t>1</w:t>
      </w:r>
      <w:r>
        <w:rPr>
          <w:rFonts w:ascii="Tahoma" w:hAnsi="Tahoma" w:cs="Tahoma"/>
          <w:sz w:val="20"/>
          <w:szCs w:val="20"/>
          <w:lang w:eastAsia="en-GB"/>
        </w:rPr>
        <w:t>0</w:t>
      </w:r>
      <w:r w:rsidRPr="004664C9">
        <w:rPr>
          <w:rFonts w:ascii="Tahoma" w:hAnsi="Tahoma" w:cs="Tahoma"/>
          <w:sz w:val="20"/>
          <w:szCs w:val="20"/>
          <w:lang w:eastAsia="en-GB"/>
        </w:rPr>
        <w:t>.3</w:t>
      </w:r>
      <w:r w:rsidRPr="004664C9">
        <w:rPr>
          <w:rFonts w:ascii="Tahoma" w:hAnsi="Tahoma" w:cs="Tahoma"/>
          <w:sz w:val="20"/>
          <w:szCs w:val="20"/>
          <w:lang w:eastAsia="en-GB"/>
        </w:rPr>
        <w:tab/>
        <w:t xml:space="preserve">the maximum price (exclusive of expenses) which may be paid for an </w:t>
      </w:r>
      <w:r>
        <w:rPr>
          <w:rFonts w:ascii="Tahoma" w:hAnsi="Tahoma" w:cs="Tahoma"/>
          <w:sz w:val="20"/>
          <w:szCs w:val="20"/>
          <w:lang w:eastAsia="en-GB"/>
        </w:rPr>
        <w:t>Ordinary</w:t>
      </w:r>
      <w:r w:rsidRPr="004664C9">
        <w:rPr>
          <w:rFonts w:ascii="Tahoma" w:hAnsi="Tahoma" w:cs="Tahoma"/>
          <w:sz w:val="20"/>
          <w:szCs w:val="20"/>
          <w:lang w:eastAsia="en-GB"/>
        </w:rPr>
        <w:t xml:space="preserve"> share is not more than the higher of (i) an amount equal to 105% of the average market value of the </w:t>
      </w:r>
      <w:r>
        <w:rPr>
          <w:rFonts w:ascii="Tahoma" w:hAnsi="Tahoma" w:cs="Tahoma"/>
          <w:sz w:val="20"/>
          <w:szCs w:val="20"/>
          <w:lang w:eastAsia="en-GB"/>
        </w:rPr>
        <w:t>Ordinary</w:t>
      </w:r>
      <w:r w:rsidRPr="004664C9">
        <w:rPr>
          <w:rFonts w:ascii="Tahoma" w:hAnsi="Tahoma" w:cs="Tahoma"/>
          <w:sz w:val="20"/>
          <w:szCs w:val="20"/>
          <w:lang w:eastAsia="en-GB"/>
        </w:rPr>
        <w:t xml:space="preserve"> shares for the five business days immediately preceding the day on which</w:t>
      </w:r>
      <w:r w:rsidRPr="00082030">
        <w:rPr>
          <w:rFonts w:ascii="Tahoma" w:hAnsi="Tahoma" w:cs="Tahoma"/>
          <w:sz w:val="20"/>
          <w:szCs w:val="20"/>
          <w:lang w:eastAsia="en-GB"/>
        </w:rPr>
        <w:t xml:space="preserve"> the </w:t>
      </w:r>
      <w:r>
        <w:rPr>
          <w:rFonts w:ascii="Tahoma" w:hAnsi="Tahoma" w:cs="Tahoma"/>
          <w:sz w:val="20"/>
          <w:szCs w:val="20"/>
          <w:lang w:eastAsia="en-GB"/>
        </w:rPr>
        <w:t>Ordinary</w:t>
      </w:r>
      <w:r w:rsidRPr="00082030">
        <w:rPr>
          <w:rFonts w:ascii="Tahoma" w:hAnsi="Tahoma" w:cs="Tahoma"/>
          <w:sz w:val="20"/>
          <w:szCs w:val="20"/>
          <w:lang w:eastAsia="en-GB"/>
        </w:rPr>
        <w:t xml:space="preserve"> share is purchased; and (ii) the higher of the last independent bid and the highest current independent bid on the London Stock Exchange when the purchase is carried out, or such other amount as may be specified by the FCA from time to time;</w:t>
      </w:r>
    </w:p>
    <w:p w14:paraId="2F9070AE" w14:textId="77777777" w:rsidR="00AE5F3E" w:rsidRPr="00082030" w:rsidRDefault="00AE5F3E" w:rsidP="00AE5F3E">
      <w:pPr>
        <w:autoSpaceDE w:val="0"/>
        <w:autoSpaceDN w:val="0"/>
        <w:adjustRightInd w:val="0"/>
        <w:ind w:left="720" w:hanging="720"/>
        <w:jc w:val="both"/>
        <w:rPr>
          <w:rFonts w:ascii="Tahoma" w:hAnsi="Tahoma" w:cs="Tahoma"/>
          <w:sz w:val="20"/>
          <w:szCs w:val="20"/>
          <w:lang w:eastAsia="en-GB"/>
        </w:rPr>
      </w:pPr>
    </w:p>
    <w:p w14:paraId="533F9315" w14:textId="77777777" w:rsidR="00AE5F3E" w:rsidRPr="00082030" w:rsidRDefault="00AE5F3E" w:rsidP="00AE5F3E">
      <w:pPr>
        <w:autoSpaceDE w:val="0"/>
        <w:autoSpaceDN w:val="0"/>
        <w:adjustRightInd w:val="0"/>
        <w:ind w:left="720" w:hanging="720"/>
        <w:rPr>
          <w:rFonts w:ascii="Tahoma" w:hAnsi="Tahoma" w:cs="Tahoma"/>
          <w:sz w:val="20"/>
          <w:szCs w:val="20"/>
          <w:lang w:eastAsia="en-GB"/>
        </w:rPr>
      </w:pPr>
      <w:r w:rsidRPr="00082030">
        <w:rPr>
          <w:rFonts w:ascii="Tahoma" w:hAnsi="Tahoma" w:cs="Tahoma"/>
          <w:sz w:val="20"/>
          <w:szCs w:val="20"/>
          <w:lang w:eastAsia="en-GB"/>
        </w:rPr>
        <w:t>1</w:t>
      </w:r>
      <w:r>
        <w:rPr>
          <w:rFonts w:ascii="Tahoma" w:hAnsi="Tahoma" w:cs="Tahoma"/>
          <w:sz w:val="20"/>
          <w:szCs w:val="20"/>
          <w:lang w:eastAsia="en-GB"/>
        </w:rPr>
        <w:t>0</w:t>
      </w:r>
      <w:r w:rsidRPr="00082030">
        <w:rPr>
          <w:rFonts w:ascii="Tahoma" w:hAnsi="Tahoma" w:cs="Tahoma"/>
          <w:sz w:val="20"/>
          <w:szCs w:val="20"/>
          <w:lang w:eastAsia="en-GB"/>
        </w:rPr>
        <w:t>.4</w:t>
      </w:r>
      <w:r w:rsidRPr="00082030">
        <w:rPr>
          <w:rFonts w:ascii="Tahoma" w:hAnsi="Tahoma" w:cs="Tahoma"/>
          <w:sz w:val="20"/>
          <w:szCs w:val="20"/>
          <w:lang w:eastAsia="en-GB"/>
        </w:rPr>
        <w:tab/>
        <w:t>the authority hereby conferred will expire at the conclusion of the next Annual General Meeting of the Company unless such authority is renewed prior to such time; and</w:t>
      </w:r>
    </w:p>
    <w:p w14:paraId="48FA7E98" w14:textId="77777777" w:rsidR="00AE5F3E" w:rsidRPr="00082030" w:rsidRDefault="00AE5F3E" w:rsidP="00AE5F3E">
      <w:pPr>
        <w:autoSpaceDE w:val="0"/>
        <w:autoSpaceDN w:val="0"/>
        <w:adjustRightInd w:val="0"/>
        <w:ind w:left="720" w:hanging="720"/>
        <w:rPr>
          <w:rFonts w:ascii="Tahoma" w:hAnsi="Tahoma" w:cs="Tahoma"/>
          <w:sz w:val="20"/>
          <w:szCs w:val="20"/>
          <w:lang w:eastAsia="en-GB"/>
        </w:rPr>
      </w:pPr>
    </w:p>
    <w:p w14:paraId="4CD7719F" w14:textId="77777777" w:rsidR="00AE5F3E" w:rsidRPr="00082030" w:rsidRDefault="00AE5F3E" w:rsidP="00AE5F3E">
      <w:pPr>
        <w:autoSpaceDE w:val="0"/>
        <w:autoSpaceDN w:val="0"/>
        <w:adjustRightInd w:val="0"/>
        <w:ind w:left="720" w:hanging="720"/>
        <w:jc w:val="both"/>
        <w:rPr>
          <w:rFonts w:ascii="Tahoma" w:hAnsi="Tahoma" w:cs="Tahoma"/>
          <w:sz w:val="20"/>
          <w:szCs w:val="20"/>
          <w:lang w:eastAsia="en-GB"/>
        </w:rPr>
      </w:pPr>
      <w:r w:rsidRPr="00082030">
        <w:rPr>
          <w:rFonts w:ascii="Tahoma" w:hAnsi="Tahoma" w:cs="Tahoma"/>
          <w:sz w:val="20"/>
          <w:szCs w:val="20"/>
          <w:lang w:eastAsia="en-GB"/>
        </w:rPr>
        <w:t>1</w:t>
      </w:r>
      <w:r>
        <w:rPr>
          <w:rFonts w:ascii="Tahoma" w:hAnsi="Tahoma" w:cs="Tahoma"/>
          <w:sz w:val="20"/>
          <w:szCs w:val="20"/>
          <w:lang w:eastAsia="en-GB"/>
        </w:rPr>
        <w:t>0</w:t>
      </w:r>
      <w:r w:rsidRPr="00082030">
        <w:rPr>
          <w:rFonts w:ascii="Tahoma" w:hAnsi="Tahoma" w:cs="Tahoma"/>
          <w:sz w:val="20"/>
          <w:szCs w:val="20"/>
          <w:lang w:eastAsia="en-GB"/>
        </w:rPr>
        <w:t>.5</w:t>
      </w:r>
      <w:r w:rsidRPr="00082030">
        <w:rPr>
          <w:rFonts w:ascii="Tahoma" w:hAnsi="Tahoma" w:cs="Tahoma"/>
          <w:sz w:val="20"/>
          <w:szCs w:val="20"/>
          <w:lang w:eastAsia="en-GB"/>
        </w:rPr>
        <w:tab/>
        <w:t xml:space="preserve">the Company may make a contract to purchase </w:t>
      </w:r>
      <w:r>
        <w:rPr>
          <w:rFonts w:ascii="Tahoma" w:hAnsi="Tahoma" w:cs="Tahoma"/>
          <w:sz w:val="20"/>
          <w:szCs w:val="20"/>
          <w:lang w:eastAsia="en-GB"/>
        </w:rPr>
        <w:t>O</w:t>
      </w:r>
      <w:r w:rsidRPr="00082030">
        <w:rPr>
          <w:rFonts w:ascii="Tahoma" w:hAnsi="Tahoma" w:cs="Tahoma"/>
          <w:sz w:val="20"/>
          <w:szCs w:val="20"/>
          <w:lang w:eastAsia="en-GB"/>
        </w:rPr>
        <w:t xml:space="preserve">rdinary shares under the authority hereby conferred prior to the expiry of such authority which will or may be executed wholly or partly after the expiration of such authority and may make a purchase of </w:t>
      </w:r>
      <w:r>
        <w:rPr>
          <w:rFonts w:ascii="Tahoma" w:hAnsi="Tahoma" w:cs="Tahoma"/>
          <w:sz w:val="20"/>
          <w:szCs w:val="20"/>
          <w:lang w:eastAsia="en-GB"/>
        </w:rPr>
        <w:t>Ordinary</w:t>
      </w:r>
      <w:r w:rsidRPr="00082030">
        <w:rPr>
          <w:rFonts w:ascii="Tahoma" w:hAnsi="Tahoma" w:cs="Tahoma"/>
          <w:sz w:val="20"/>
          <w:szCs w:val="20"/>
          <w:lang w:eastAsia="en-GB"/>
        </w:rPr>
        <w:t xml:space="preserve"> shares pursuant to any such contract; provided that all </w:t>
      </w:r>
      <w:r>
        <w:rPr>
          <w:rFonts w:ascii="Tahoma" w:hAnsi="Tahoma" w:cs="Tahoma"/>
          <w:sz w:val="20"/>
          <w:szCs w:val="20"/>
          <w:lang w:eastAsia="en-GB"/>
        </w:rPr>
        <w:t>Ordinary</w:t>
      </w:r>
      <w:r w:rsidRPr="00082030">
        <w:rPr>
          <w:rFonts w:ascii="Tahoma" w:hAnsi="Tahoma" w:cs="Tahoma"/>
          <w:sz w:val="20"/>
          <w:szCs w:val="20"/>
          <w:lang w:eastAsia="en-GB"/>
        </w:rPr>
        <w:t xml:space="preserve"> shares purchased pursuant to this authority shall be cancelled or transferred into treasury immediately upon completion of the purchases.</w:t>
      </w:r>
    </w:p>
    <w:p w14:paraId="15286FE6" w14:textId="77777777" w:rsidR="00A0309F" w:rsidRPr="00082030" w:rsidRDefault="00A0309F" w:rsidP="00A0309F">
      <w:pPr>
        <w:autoSpaceDE w:val="0"/>
        <w:autoSpaceDN w:val="0"/>
        <w:adjustRightInd w:val="0"/>
        <w:ind w:left="720" w:hanging="720"/>
        <w:jc w:val="both"/>
        <w:rPr>
          <w:rFonts w:ascii="Tahoma" w:hAnsi="Tahoma" w:cs="Tahoma"/>
          <w:b/>
          <w:color w:val="221E1F"/>
          <w:sz w:val="20"/>
          <w:szCs w:val="20"/>
        </w:rPr>
      </w:pPr>
    </w:p>
    <w:p w14:paraId="4B5998EE" w14:textId="77777777" w:rsidR="00A0309F" w:rsidRPr="00082030" w:rsidRDefault="00A0309F" w:rsidP="00A0309F">
      <w:pPr>
        <w:autoSpaceDE w:val="0"/>
        <w:autoSpaceDN w:val="0"/>
        <w:adjustRightInd w:val="0"/>
        <w:ind w:left="720" w:hanging="720"/>
        <w:jc w:val="both"/>
        <w:rPr>
          <w:rFonts w:ascii="Tahoma" w:hAnsi="Tahoma" w:cs="Tahoma"/>
          <w:b/>
          <w:color w:val="221E1F"/>
          <w:sz w:val="20"/>
          <w:szCs w:val="20"/>
        </w:rPr>
      </w:pPr>
    </w:p>
    <w:p w14:paraId="572C4DCF" w14:textId="474CBC26" w:rsidR="00FE71E9" w:rsidRPr="00F27579" w:rsidRDefault="00FE71E9" w:rsidP="00A0309F">
      <w:pPr>
        <w:autoSpaceDE w:val="0"/>
        <w:autoSpaceDN w:val="0"/>
        <w:adjustRightInd w:val="0"/>
        <w:ind w:left="720" w:hanging="720"/>
        <w:jc w:val="both"/>
        <w:rPr>
          <w:rFonts w:ascii="Tahoma" w:hAnsi="Tahoma" w:cs="Tahoma"/>
          <w:b/>
          <w:color w:val="221E1F"/>
          <w:sz w:val="20"/>
          <w:szCs w:val="20"/>
        </w:rPr>
      </w:pPr>
    </w:p>
    <w:p w14:paraId="59B1E620" w14:textId="77777777" w:rsidR="00E2697A" w:rsidRPr="00F27579" w:rsidRDefault="00E2697A" w:rsidP="00F46D37">
      <w:pPr>
        <w:pStyle w:val="NormalWeb"/>
        <w:spacing w:before="0" w:beforeAutospacing="0" w:after="0" w:afterAutospacing="0"/>
        <w:rPr>
          <w:rFonts w:ascii="Tahoma" w:hAnsi="Tahoma" w:cs="Tahoma"/>
          <w:b/>
          <w:color w:val="221E1F"/>
          <w:sz w:val="20"/>
          <w:szCs w:val="20"/>
        </w:rPr>
      </w:pPr>
    </w:p>
    <w:p w14:paraId="18D630FE" w14:textId="77777777" w:rsidR="00FE71E9" w:rsidRPr="00F27579" w:rsidRDefault="007D18F8" w:rsidP="00F46D37">
      <w:pPr>
        <w:pStyle w:val="NormalWeb"/>
        <w:spacing w:before="0" w:beforeAutospacing="0" w:after="0" w:afterAutospacing="0"/>
        <w:rPr>
          <w:rFonts w:ascii="Tahoma" w:hAnsi="Tahoma" w:cs="Tahoma"/>
          <w:b/>
          <w:color w:val="221E1F"/>
          <w:sz w:val="20"/>
          <w:szCs w:val="20"/>
        </w:rPr>
      </w:pPr>
      <w:r w:rsidRPr="00F27579">
        <w:rPr>
          <w:rFonts w:ascii="Tahoma" w:hAnsi="Tahoma" w:cs="Tahoma"/>
          <w:b/>
          <w:color w:val="221E1F"/>
          <w:sz w:val="20"/>
          <w:szCs w:val="20"/>
        </w:rPr>
        <w:t>By order of the Board</w:t>
      </w:r>
    </w:p>
    <w:p w14:paraId="6C22522B" w14:textId="3F55F5C8" w:rsidR="00F46D37" w:rsidRPr="00F27579" w:rsidRDefault="00C3251E" w:rsidP="00F46D37">
      <w:pPr>
        <w:pStyle w:val="NormalWeb"/>
        <w:spacing w:before="0" w:beforeAutospacing="0" w:after="0" w:afterAutospacing="0"/>
        <w:rPr>
          <w:rFonts w:ascii="Tahoma" w:hAnsi="Tahoma" w:cs="Tahoma"/>
          <w:b/>
          <w:color w:val="221E1F"/>
          <w:sz w:val="20"/>
          <w:szCs w:val="20"/>
        </w:rPr>
      </w:pPr>
      <w:r>
        <w:rPr>
          <w:rFonts w:ascii="Tahoma" w:hAnsi="Tahoma" w:cs="Tahoma"/>
          <w:b/>
          <w:color w:val="221E1F"/>
          <w:sz w:val="20"/>
          <w:szCs w:val="20"/>
        </w:rPr>
        <w:t xml:space="preserve">Apex Fund </w:t>
      </w:r>
      <w:r w:rsidR="00F46D37" w:rsidRPr="00F27579">
        <w:rPr>
          <w:rFonts w:ascii="Tahoma" w:hAnsi="Tahoma" w:cs="Tahoma"/>
          <w:b/>
          <w:color w:val="221E1F"/>
          <w:sz w:val="20"/>
          <w:szCs w:val="20"/>
        </w:rPr>
        <w:t xml:space="preserve">Administration Services </w:t>
      </w:r>
      <w:r>
        <w:rPr>
          <w:rFonts w:ascii="Tahoma" w:hAnsi="Tahoma" w:cs="Tahoma"/>
          <w:b/>
          <w:color w:val="221E1F"/>
          <w:sz w:val="20"/>
          <w:szCs w:val="20"/>
        </w:rPr>
        <w:t xml:space="preserve">(UK) </w:t>
      </w:r>
      <w:r w:rsidR="00F46D37" w:rsidRPr="00F27579">
        <w:rPr>
          <w:rFonts w:ascii="Tahoma" w:hAnsi="Tahoma" w:cs="Tahoma"/>
          <w:b/>
          <w:color w:val="221E1F"/>
          <w:sz w:val="20"/>
          <w:szCs w:val="20"/>
        </w:rPr>
        <w:t>Limited,</w:t>
      </w:r>
    </w:p>
    <w:p w14:paraId="7BB729EA" w14:textId="77777777" w:rsidR="002A51D3" w:rsidRPr="00F27579" w:rsidRDefault="00F46D37" w:rsidP="00F46D37">
      <w:pPr>
        <w:pStyle w:val="NormalWeb"/>
        <w:spacing w:before="0" w:beforeAutospacing="0" w:after="0" w:afterAutospacing="0"/>
        <w:rPr>
          <w:rFonts w:ascii="Tahoma" w:hAnsi="Tahoma" w:cs="Tahoma"/>
          <w:b/>
          <w:sz w:val="20"/>
          <w:szCs w:val="20"/>
          <w:lang w:val="en-US"/>
        </w:rPr>
      </w:pPr>
      <w:r w:rsidRPr="00F27579">
        <w:rPr>
          <w:rFonts w:ascii="Tahoma" w:hAnsi="Tahoma" w:cs="Tahoma"/>
          <w:b/>
          <w:color w:val="221E1F"/>
          <w:sz w:val="20"/>
          <w:szCs w:val="20"/>
        </w:rPr>
        <w:t>Secretary to Rights and Issues Investment Trust PLC</w:t>
      </w:r>
    </w:p>
    <w:sectPr w:rsidR="002A51D3" w:rsidRPr="00F27579" w:rsidSect="00E73914">
      <w:headerReference w:type="even" r:id="rId7"/>
      <w:headerReference w:type="default" r:id="rId8"/>
      <w:footerReference w:type="even" r:id="rId9"/>
      <w:footerReference w:type="default" r:id="rId10"/>
      <w:headerReference w:type="first" r:id="rId11"/>
      <w:footerReference w:type="first" r:id="rId12"/>
      <w:pgSz w:w="11907" w:h="16840" w:code="9"/>
      <w:pgMar w:top="851" w:right="851" w:bottom="680" w:left="1418" w:header="720" w:footer="907" w:gutter="0"/>
      <w:paperSrc w:first="15" w:other="15"/>
      <w:cols w:space="708"/>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8C760" w14:textId="77777777" w:rsidR="00CA70D9" w:rsidRDefault="00CA70D9" w:rsidP="009A37C1">
      <w:r>
        <w:separator/>
      </w:r>
    </w:p>
  </w:endnote>
  <w:endnote w:type="continuationSeparator" w:id="0">
    <w:p w14:paraId="0E33E7BC" w14:textId="77777777" w:rsidR="00CA70D9" w:rsidRDefault="00CA70D9" w:rsidP="009A3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pperplate T">
    <w:altName w:val="Copperplate 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8EFBA" w14:textId="77777777" w:rsidR="009A37C1" w:rsidRDefault="009A37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2A70B" w14:textId="77777777" w:rsidR="009A37C1" w:rsidRDefault="009A37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EFDCC" w14:textId="77777777" w:rsidR="009A37C1" w:rsidRDefault="009A3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A2A42" w14:textId="77777777" w:rsidR="00CA70D9" w:rsidRDefault="00CA70D9" w:rsidP="009A37C1">
      <w:r>
        <w:separator/>
      </w:r>
    </w:p>
  </w:footnote>
  <w:footnote w:type="continuationSeparator" w:id="0">
    <w:p w14:paraId="0D7B612C" w14:textId="77777777" w:rsidR="00CA70D9" w:rsidRDefault="00CA70D9" w:rsidP="009A3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E59D2" w14:textId="77777777" w:rsidR="009A37C1" w:rsidRDefault="009A37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2FDAA" w14:textId="77777777" w:rsidR="009A37C1" w:rsidRDefault="009A37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DFF23" w14:textId="77777777" w:rsidR="009A37C1" w:rsidRDefault="009A37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2AD3C38"/>
    <w:multiLevelType w:val="hybridMultilevel"/>
    <w:tmpl w:val="71B833C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9657A2"/>
    <w:multiLevelType w:val="singleLevel"/>
    <w:tmpl w:val="D820E576"/>
    <w:lvl w:ilvl="0">
      <w:start w:val="10"/>
      <w:numFmt w:val="decimal"/>
      <w:lvlText w:val="%1."/>
      <w:lvlJc w:val="left"/>
      <w:pPr>
        <w:tabs>
          <w:tab w:val="num" w:pos="432"/>
        </w:tabs>
        <w:ind w:left="432" w:hanging="288"/>
      </w:pPr>
      <w:rPr>
        <w:rFonts w:ascii="Tahoma" w:hAnsi="Tahoma" w:cs="Tahoma" w:hint="default"/>
        <w:snapToGrid/>
        <w:sz w:val="18"/>
        <w:szCs w:val="18"/>
      </w:rPr>
    </w:lvl>
  </w:abstractNum>
  <w:abstractNum w:abstractNumId="2" w15:restartNumberingAfterBreak="0">
    <w:nsid w:val="2D0ED4D6"/>
    <w:multiLevelType w:val="hybridMultilevel"/>
    <w:tmpl w:val="61A05BD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1E43251"/>
    <w:multiLevelType w:val="hybridMultilevel"/>
    <w:tmpl w:val="96B0543E"/>
    <w:lvl w:ilvl="0" w:tplc="A3322638">
      <w:start w:val="3"/>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46F2B01"/>
    <w:multiLevelType w:val="hybridMultilevel"/>
    <w:tmpl w:val="B194F26A"/>
    <w:lvl w:ilvl="0" w:tplc="8ED64F96">
      <w:start w:val="7"/>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1656762"/>
    <w:multiLevelType w:val="hybridMultilevel"/>
    <w:tmpl w:val="4542812A"/>
    <w:lvl w:ilvl="0" w:tplc="CEBCACDA">
      <w:start w:val="1"/>
      <w:numFmt w:val="lowerLetter"/>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67307F8"/>
    <w:multiLevelType w:val="multilevel"/>
    <w:tmpl w:val="F00244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856504961">
    <w:abstractNumId w:val="2"/>
  </w:num>
  <w:num w:numId="2" w16cid:durableId="149562932">
    <w:abstractNumId w:val="0"/>
  </w:num>
  <w:num w:numId="3" w16cid:durableId="41948059">
    <w:abstractNumId w:val="3"/>
  </w:num>
  <w:num w:numId="4" w16cid:durableId="41566145">
    <w:abstractNumId w:val="4"/>
  </w:num>
  <w:num w:numId="5" w16cid:durableId="2096240736">
    <w:abstractNumId w:val="5"/>
  </w:num>
  <w:num w:numId="6" w16cid:durableId="1945533700">
    <w:abstractNumId w:val="6"/>
  </w:num>
  <w:num w:numId="7" w16cid:durableId="918439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DEF"/>
    <w:rsid w:val="00013CA7"/>
    <w:rsid w:val="000242B8"/>
    <w:rsid w:val="000265B8"/>
    <w:rsid w:val="00030A50"/>
    <w:rsid w:val="00046B13"/>
    <w:rsid w:val="00050B63"/>
    <w:rsid w:val="00073AEA"/>
    <w:rsid w:val="000742B2"/>
    <w:rsid w:val="00080C12"/>
    <w:rsid w:val="000B2FA0"/>
    <w:rsid w:val="000C429D"/>
    <w:rsid w:val="000D1A53"/>
    <w:rsid w:val="000D293A"/>
    <w:rsid w:val="000D2B21"/>
    <w:rsid w:val="000D40F2"/>
    <w:rsid w:val="000F2F66"/>
    <w:rsid w:val="001034D0"/>
    <w:rsid w:val="00104287"/>
    <w:rsid w:val="00104814"/>
    <w:rsid w:val="001065BB"/>
    <w:rsid w:val="001079BF"/>
    <w:rsid w:val="00120AA1"/>
    <w:rsid w:val="0014206D"/>
    <w:rsid w:val="00152D0A"/>
    <w:rsid w:val="00167B38"/>
    <w:rsid w:val="001C2843"/>
    <w:rsid w:val="001F3E3C"/>
    <w:rsid w:val="00206C4C"/>
    <w:rsid w:val="00216894"/>
    <w:rsid w:val="0023113B"/>
    <w:rsid w:val="00234E67"/>
    <w:rsid w:val="00237370"/>
    <w:rsid w:val="00240063"/>
    <w:rsid w:val="00244BC5"/>
    <w:rsid w:val="00245A95"/>
    <w:rsid w:val="00276F23"/>
    <w:rsid w:val="002803DD"/>
    <w:rsid w:val="002A3C92"/>
    <w:rsid w:val="002A51D3"/>
    <w:rsid w:val="002B03A6"/>
    <w:rsid w:val="002C03E9"/>
    <w:rsid w:val="002F45AA"/>
    <w:rsid w:val="002F53F1"/>
    <w:rsid w:val="003127B7"/>
    <w:rsid w:val="00320427"/>
    <w:rsid w:val="00332B1F"/>
    <w:rsid w:val="00347FB5"/>
    <w:rsid w:val="003534C7"/>
    <w:rsid w:val="003641BE"/>
    <w:rsid w:val="003701FA"/>
    <w:rsid w:val="00385A77"/>
    <w:rsid w:val="00394B55"/>
    <w:rsid w:val="003C07D6"/>
    <w:rsid w:val="003E0B0F"/>
    <w:rsid w:val="00403A05"/>
    <w:rsid w:val="00407550"/>
    <w:rsid w:val="00412234"/>
    <w:rsid w:val="0043731E"/>
    <w:rsid w:val="0044089B"/>
    <w:rsid w:val="00452D3F"/>
    <w:rsid w:val="004664C9"/>
    <w:rsid w:val="004810F0"/>
    <w:rsid w:val="00495CC2"/>
    <w:rsid w:val="0049697B"/>
    <w:rsid w:val="004B0340"/>
    <w:rsid w:val="004D48A4"/>
    <w:rsid w:val="00507C58"/>
    <w:rsid w:val="00511250"/>
    <w:rsid w:val="00537FA7"/>
    <w:rsid w:val="00571917"/>
    <w:rsid w:val="00582D04"/>
    <w:rsid w:val="00587EB0"/>
    <w:rsid w:val="005922C6"/>
    <w:rsid w:val="00597A6A"/>
    <w:rsid w:val="005C23E7"/>
    <w:rsid w:val="005D1824"/>
    <w:rsid w:val="005F4E66"/>
    <w:rsid w:val="005F4FDA"/>
    <w:rsid w:val="00600BBB"/>
    <w:rsid w:val="00603808"/>
    <w:rsid w:val="00604BD7"/>
    <w:rsid w:val="006136E7"/>
    <w:rsid w:val="00630AC1"/>
    <w:rsid w:val="00670BE3"/>
    <w:rsid w:val="006732E3"/>
    <w:rsid w:val="00674005"/>
    <w:rsid w:val="006946E6"/>
    <w:rsid w:val="006A15FA"/>
    <w:rsid w:val="006B4575"/>
    <w:rsid w:val="006E5AE8"/>
    <w:rsid w:val="006F6C1E"/>
    <w:rsid w:val="00730213"/>
    <w:rsid w:val="007322AD"/>
    <w:rsid w:val="00756940"/>
    <w:rsid w:val="00772E7A"/>
    <w:rsid w:val="00782C5E"/>
    <w:rsid w:val="007B2F08"/>
    <w:rsid w:val="007C26D5"/>
    <w:rsid w:val="007C4688"/>
    <w:rsid w:val="007D18F8"/>
    <w:rsid w:val="007F4E11"/>
    <w:rsid w:val="00803D4A"/>
    <w:rsid w:val="008079FE"/>
    <w:rsid w:val="00815D9A"/>
    <w:rsid w:val="008758C2"/>
    <w:rsid w:val="008902A8"/>
    <w:rsid w:val="0089320A"/>
    <w:rsid w:val="008A158D"/>
    <w:rsid w:val="008A4DEF"/>
    <w:rsid w:val="008B17B2"/>
    <w:rsid w:val="008B33F4"/>
    <w:rsid w:val="008D090F"/>
    <w:rsid w:val="00930BD7"/>
    <w:rsid w:val="00955750"/>
    <w:rsid w:val="00964A9D"/>
    <w:rsid w:val="009733FE"/>
    <w:rsid w:val="00986354"/>
    <w:rsid w:val="00995ED5"/>
    <w:rsid w:val="009974E9"/>
    <w:rsid w:val="009A37C1"/>
    <w:rsid w:val="009C3A57"/>
    <w:rsid w:val="009D551F"/>
    <w:rsid w:val="009E74F1"/>
    <w:rsid w:val="009F4DB5"/>
    <w:rsid w:val="009F53F8"/>
    <w:rsid w:val="009F7F58"/>
    <w:rsid w:val="00A0309F"/>
    <w:rsid w:val="00A20973"/>
    <w:rsid w:val="00A33B74"/>
    <w:rsid w:val="00A53D17"/>
    <w:rsid w:val="00A97351"/>
    <w:rsid w:val="00AB458A"/>
    <w:rsid w:val="00AC7907"/>
    <w:rsid w:val="00AE2059"/>
    <w:rsid w:val="00AE4142"/>
    <w:rsid w:val="00AE53FD"/>
    <w:rsid w:val="00AE5F3E"/>
    <w:rsid w:val="00B0281A"/>
    <w:rsid w:val="00B03781"/>
    <w:rsid w:val="00B0596F"/>
    <w:rsid w:val="00B104E0"/>
    <w:rsid w:val="00B24313"/>
    <w:rsid w:val="00B2490A"/>
    <w:rsid w:val="00B30AA2"/>
    <w:rsid w:val="00B321D7"/>
    <w:rsid w:val="00B6191B"/>
    <w:rsid w:val="00B61CAC"/>
    <w:rsid w:val="00B82BE1"/>
    <w:rsid w:val="00B8412F"/>
    <w:rsid w:val="00B93A8E"/>
    <w:rsid w:val="00BA0070"/>
    <w:rsid w:val="00BA4A98"/>
    <w:rsid w:val="00BA794A"/>
    <w:rsid w:val="00BB1320"/>
    <w:rsid w:val="00BB1B1A"/>
    <w:rsid w:val="00BC0513"/>
    <w:rsid w:val="00BD3FF5"/>
    <w:rsid w:val="00BF7DBC"/>
    <w:rsid w:val="00C079A9"/>
    <w:rsid w:val="00C13149"/>
    <w:rsid w:val="00C3251E"/>
    <w:rsid w:val="00C3512D"/>
    <w:rsid w:val="00C54007"/>
    <w:rsid w:val="00C717C4"/>
    <w:rsid w:val="00CA1945"/>
    <w:rsid w:val="00CA70D9"/>
    <w:rsid w:val="00CD24AD"/>
    <w:rsid w:val="00CD33ED"/>
    <w:rsid w:val="00CE72CE"/>
    <w:rsid w:val="00D26A15"/>
    <w:rsid w:val="00D27911"/>
    <w:rsid w:val="00D92521"/>
    <w:rsid w:val="00D93832"/>
    <w:rsid w:val="00D93B3F"/>
    <w:rsid w:val="00DA17D2"/>
    <w:rsid w:val="00DA22BC"/>
    <w:rsid w:val="00DA5B15"/>
    <w:rsid w:val="00DB1072"/>
    <w:rsid w:val="00DD11B6"/>
    <w:rsid w:val="00DF131A"/>
    <w:rsid w:val="00DF5821"/>
    <w:rsid w:val="00E15A96"/>
    <w:rsid w:val="00E2697A"/>
    <w:rsid w:val="00E47372"/>
    <w:rsid w:val="00E63C86"/>
    <w:rsid w:val="00E73914"/>
    <w:rsid w:val="00E826F2"/>
    <w:rsid w:val="00E90C4E"/>
    <w:rsid w:val="00EB3C6E"/>
    <w:rsid w:val="00EC13ED"/>
    <w:rsid w:val="00EC159A"/>
    <w:rsid w:val="00F072B0"/>
    <w:rsid w:val="00F1076E"/>
    <w:rsid w:val="00F1590A"/>
    <w:rsid w:val="00F2072D"/>
    <w:rsid w:val="00F25A28"/>
    <w:rsid w:val="00F27579"/>
    <w:rsid w:val="00F31950"/>
    <w:rsid w:val="00F3619D"/>
    <w:rsid w:val="00F36B1C"/>
    <w:rsid w:val="00F46D37"/>
    <w:rsid w:val="00F748AA"/>
    <w:rsid w:val="00F74C2E"/>
    <w:rsid w:val="00F94177"/>
    <w:rsid w:val="00FD3DDD"/>
    <w:rsid w:val="00FE71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06AC33"/>
  <w15:docId w15:val="{AB2CDDB8-3779-4D39-927F-A3A03E4B4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3A5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4DEF"/>
    <w:pPr>
      <w:widowControl w:val="0"/>
      <w:autoSpaceDE w:val="0"/>
      <w:autoSpaceDN w:val="0"/>
      <w:adjustRightInd w:val="0"/>
    </w:pPr>
    <w:rPr>
      <w:rFonts w:ascii="Copperplate T" w:hAnsi="Copperplate T" w:cs="Copperplate T"/>
      <w:color w:val="000000"/>
      <w:sz w:val="24"/>
      <w:szCs w:val="24"/>
    </w:rPr>
  </w:style>
  <w:style w:type="paragraph" w:customStyle="1" w:styleId="CM18">
    <w:name w:val="CM18"/>
    <w:basedOn w:val="Default"/>
    <w:next w:val="Default"/>
    <w:rsid w:val="008A4DEF"/>
    <w:pPr>
      <w:spacing w:after="705"/>
    </w:pPr>
    <w:rPr>
      <w:rFonts w:cs="Times New Roman"/>
      <w:color w:val="auto"/>
    </w:rPr>
  </w:style>
  <w:style w:type="paragraph" w:customStyle="1" w:styleId="CM25">
    <w:name w:val="CM25"/>
    <w:basedOn w:val="Default"/>
    <w:next w:val="Default"/>
    <w:rsid w:val="008A4DEF"/>
    <w:pPr>
      <w:spacing w:after="113"/>
    </w:pPr>
    <w:rPr>
      <w:rFonts w:cs="Times New Roman"/>
      <w:color w:val="auto"/>
    </w:rPr>
  </w:style>
  <w:style w:type="paragraph" w:customStyle="1" w:styleId="CM9">
    <w:name w:val="CM9"/>
    <w:basedOn w:val="Default"/>
    <w:next w:val="Default"/>
    <w:rsid w:val="008A4DEF"/>
    <w:rPr>
      <w:rFonts w:cs="Times New Roman"/>
      <w:color w:val="auto"/>
    </w:rPr>
  </w:style>
  <w:style w:type="paragraph" w:customStyle="1" w:styleId="CM30">
    <w:name w:val="CM30"/>
    <w:basedOn w:val="Default"/>
    <w:next w:val="Default"/>
    <w:rsid w:val="008A4DEF"/>
    <w:pPr>
      <w:spacing w:after="398"/>
    </w:pPr>
    <w:rPr>
      <w:rFonts w:cs="Times New Roman"/>
      <w:color w:val="auto"/>
    </w:rPr>
  </w:style>
  <w:style w:type="paragraph" w:styleId="Title">
    <w:name w:val="Title"/>
    <w:basedOn w:val="Normal"/>
    <w:link w:val="TitleChar"/>
    <w:qFormat/>
    <w:rsid w:val="009C3A57"/>
    <w:pPr>
      <w:widowControl w:val="0"/>
      <w:tabs>
        <w:tab w:val="left" w:pos="720"/>
      </w:tabs>
      <w:autoSpaceDE w:val="0"/>
      <w:autoSpaceDN w:val="0"/>
      <w:adjustRightInd w:val="0"/>
      <w:jc w:val="center"/>
    </w:pPr>
    <w:rPr>
      <w:b/>
    </w:rPr>
  </w:style>
  <w:style w:type="paragraph" w:styleId="Header">
    <w:name w:val="header"/>
    <w:basedOn w:val="Normal"/>
    <w:rsid w:val="00A20973"/>
    <w:pPr>
      <w:tabs>
        <w:tab w:val="center" w:pos="4320"/>
        <w:tab w:val="right" w:pos="8640"/>
      </w:tabs>
    </w:pPr>
    <w:rPr>
      <w:sz w:val="28"/>
      <w:lang w:val="en-US"/>
    </w:rPr>
  </w:style>
  <w:style w:type="character" w:customStyle="1" w:styleId="TitleChar">
    <w:name w:val="Title Char"/>
    <w:link w:val="Title"/>
    <w:rsid w:val="00412234"/>
    <w:rPr>
      <w:b/>
      <w:sz w:val="24"/>
      <w:szCs w:val="24"/>
      <w:lang w:eastAsia="en-US"/>
    </w:rPr>
  </w:style>
  <w:style w:type="paragraph" w:styleId="Footer">
    <w:name w:val="footer"/>
    <w:basedOn w:val="Normal"/>
    <w:link w:val="FooterChar"/>
    <w:rsid w:val="009A37C1"/>
    <w:pPr>
      <w:tabs>
        <w:tab w:val="center" w:pos="4513"/>
        <w:tab w:val="right" w:pos="9026"/>
      </w:tabs>
    </w:pPr>
  </w:style>
  <w:style w:type="character" w:customStyle="1" w:styleId="FooterChar">
    <w:name w:val="Footer Char"/>
    <w:basedOn w:val="DefaultParagraphFont"/>
    <w:link w:val="Footer"/>
    <w:rsid w:val="009A37C1"/>
    <w:rPr>
      <w:sz w:val="24"/>
      <w:szCs w:val="24"/>
      <w:lang w:eastAsia="en-US"/>
    </w:rPr>
  </w:style>
  <w:style w:type="paragraph" w:customStyle="1" w:styleId="B1">
    <w:name w:val="B1"/>
    <w:basedOn w:val="Normal"/>
    <w:qFormat/>
    <w:rsid w:val="00F25A28"/>
    <w:pPr>
      <w:spacing w:after="200" w:line="264" w:lineRule="auto"/>
      <w:ind w:left="595"/>
    </w:pPr>
    <w:rPr>
      <w:rFonts w:ascii="Arial" w:hAnsi="Arial" w:cs="Arial"/>
      <w:sz w:val="21"/>
      <w:lang w:eastAsia="en-GB"/>
    </w:rPr>
  </w:style>
  <w:style w:type="paragraph" w:styleId="NormalWeb">
    <w:name w:val="Normal (Web)"/>
    <w:basedOn w:val="Normal"/>
    <w:uiPriority w:val="99"/>
    <w:unhideWhenUsed/>
    <w:rsid w:val="00511250"/>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862409">
      <w:bodyDiv w:val="1"/>
      <w:marLeft w:val="0"/>
      <w:marRight w:val="0"/>
      <w:marTop w:val="0"/>
      <w:marBottom w:val="0"/>
      <w:divBdr>
        <w:top w:val="none" w:sz="0" w:space="0" w:color="auto"/>
        <w:left w:val="none" w:sz="0" w:space="0" w:color="auto"/>
        <w:bottom w:val="none" w:sz="0" w:space="0" w:color="auto"/>
        <w:right w:val="none" w:sz="0" w:space="0" w:color="auto"/>
      </w:divBdr>
    </w:div>
    <w:div w:id="213617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Special business</vt:lpstr>
    </vt:vector>
  </TitlesOfParts>
  <Company>Phoenix Administration Services Ltd</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business</dc:title>
  <dc:creator>Ann Patricia Ely</dc:creator>
  <cp:lastModifiedBy>Nicola Board</cp:lastModifiedBy>
  <cp:revision>6</cp:revision>
  <cp:lastPrinted>2017-03-29T15:23:00Z</cp:lastPrinted>
  <dcterms:created xsi:type="dcterms:W3CDTF">2023-03-06T15:15:00Z</dcterms:created>
  <dcterms:modified xsi:type="dcterms:W3CDTF">2026-03-25T14:38:00Z</dcterms:modified>
</cp:coreProperties>
</file>