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E7" w:rsidRDefault="00C449EB" w:rsidP="00AF03E7">
      <w:pPr>
        <w:jc w:val="center"/>
        <w:rPr>
          <w:rFonts w:ascii="Arial" w:hAnsi="Arial" w:cs="Arial"/>
          <w:color w:val="FF0000"/>
          <w:sz w:val="48"/>
          <w:szCs w:val="48"/>
        </w:rPr>
      </w:pPr>
      <w:r>
        <w:rPr>
          <w:noProof/>
          <w:lang w:val="nl-NL" w:eastAsia="nl-NL"/>
        </w:rPr>
        <w:drawing>
          <wp:anchor distT="0" distB="0" distL="114300" distR="114300" simplePos="0" relativeHeight="251657728" behindDoc="0" locked="0" layoutInCell="1" allowOverlap="1">
            <wp:simplePos x="0" y="0"/>
            <wp:positionH relativeFrom="column">
              <wp:posOffset>-31750</wp:posOffset>
            </wp:positionH>
            <wp:positionV relativeFrom="paragraph">
              <wp:posOffset>9525</wp:posOffset>
            </wp:positionV>
            <wp:extent cx="1647825" cy="762000"/>
            <wp:effectExtent l="19050" t="0" r="9525" b="0"/>
            <wp:wrapNone/>
            <wp:docPr id="2" name="Picture 2" descr="The Royal Bank of Scotland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oyal Bank of Scotland Group Logo"/>
                    <pic:cNvPicPr>
                      <a:picLocks noChangeAspect="1" noChangeArrowheads="1"/>
                    </pic:cNvPicPr>
                  </pic:nvPicPr>
                  <pic:blipFill>
                    <a:blip r:embed="rId7" r:link="rId8" cstate="print"/>
                    <a:srcRect/>
                    <a:stretch>
                      <a:fillRect/>
                    </a:stretch>
                  </pic:blipFill>
                  <pic:spPr bwMode="auto">
                    <a:xfrm>
                      <a:off x="0" y="0"/>
                      <a:ext cx="1647825" cy="762000"/>
                    </a:xfrm>
                    <a:prstGeom prst="rect">
                      <a:avLst/>
                    </a:prstGeom>
                    <a:noFill/>
                    <a:ln w="9525">
                      <a:noFill/>
                      <a:miter lim="800000"/>
                      <a:headEnd/>
                      <a:tailEnd/>
                    </a:ln>
                  </pic:spPr>
                </pic:pic>
              </a:graphicData>
            </a:graphic>
          </wp:anchor>
        </w:drawing>
      </w:r>
    </w:p>
    <w:p w:rsidR="00897DAE" w:rsidRPr="00771596" w:rsidRDefault="00897DAE" w:rsidP="00897DAE">
      <w:pPr>
        <w:jc w:val="both"/>
        <w:rPr>
          <w:rFonts w:ascii="Arial" w:hAnsi="Arial" w:cs="Arial"/>
        </w:rPr>
      </w:pPr>
    </w:p>
    <w:p w:rsidR="00B32552" w:rsidRDefault="00B32552" w:rsidP="008D19FA">
      <w:pPr>
        <w:pStyle w:val="Body"/>
        <w:ind w:left="0"/>
      </w:pPr>
    </w:p>
    <w:p w:rsidR="008D19FA" w:rsidRPr="008367A8" w:rsidRDefault="008D19FA" w:rsidP="008D19FA">
      <w:pPr>
        <w:pStyle w:val="Body"/>
        <w:ind w:left="0"/>
        <w:rPr>
          <w:b/>
          <w:i/>
        </w:rPr>
      </w:pPr>
      <w:r>
        <w:t xml:space="preserve">NOT FOR RELEASE, PUBLICATION OR DISTRIBUTION, DIRECTLY OR INDIRECTLY, IN </w:t>
      </w:r>
      <w:r w:rsidR="00CB63E9">
        <w:t>OR INTO THE REPUBLIC OF ITALY,</w:t>
      </w:r>
      <w:r>
        <w:t xml:space="preserve"> JAPAN</w:t>
      </w:r>
      <w:r w:rsidR="00CB63E9">
        <w:t xml:space="preserve"> OR AUSTRALIA</w:t>
      </w:r>
    </w:p>
    <w:p w:rsidR="008D19FA" w:rsidRDefault="008D19FA" w:rsidP="008D19FA">
      <w:pPr>
        <w:pStyle w:val="Header"/>
      </w:pPr>
      <w:r>
        <w:t xml:space="preserve">THIS ANNOUNCEMENT DOES NOT CONSTITUTE OR FORM A PART OF ANY OFFER TO SELL OR SOLICITATION OF AN OFFER TO PURCHASE OR SUBSCRIBE FOR ANY </w:t>
      </w:r>
      <w:r w:rsidRPr="00324D10">
        <w:t>SECURITIES</w:t>
      </w:r>
      <w:r>
        <w:t xml:space="preserve"> MENTIONED HEREIN </w:t>
      </w:r>
      <w:r w:rsidRPr="00F20213">
        <w:t>IN ANY JURISDICTION, INCLUDING (WITHOUT LIMITATION) THE UNITED STATES</w:t>
      </w:r>
      <w:r>
        <w:t>.</w:t>
      </w:r>
      <w:r w:rsidR="00141C1C">
        <w:t xml:space="preserve">  </w:t>
      </w:r>
    </w:p>
    <w:p w:rsidR="008D19FA" w:rsidRDefault="008D19FA" w:rsidP="001E7016">
      <w:pPr>
        <w:jc w:val="both"/>
        <w:rPr>
          <w:rFonts w:ascii="Arial" w:hAnsi="Arial" w:cs="Arial"/>
          <w:b/>
          <w:color w:val="000080"/>
        </w:rPr>
      </w:pPr>
    </w:p>
    <w:p w:rsidR="008D19FA" w:rsidRDefault="008D19FA" w:rsidP="001E7016">
      <w:pPr>
        <w:jc w:val="both"/>
        <w:rPr>
          <w:rFonts w:ascii="Arial" w:hAnsi="Arial" w:cs="Arial"/>
          <w:b/>
          <w:color w:val="000080"/>
        </w:rPr>
      </w:pPr>
    </w:p>
    <w:p w:rsidR="001E7016" w:rsidRPr="00771596" w:rsidRDefault="001E7016" w:rsidP="001E7016">
      <w:pPr>
        <w:jc w:val="both"/>
        <w:rPr>
          <w:rFonts w:ascii="Arial" w:hAnsi="Arial" w:cs="Arial"/>
          <w:b/>
          <w:color w:val="000080"/>
        </w:rPr>
      </w:pPr>
      <w:r w:rsidRPr="00771596">
        <w:rPr>
          <w:rFonts w:ascii="Arial" w:hAnsi="Arial" w:cs="Arial"/>
          <w:b/>
          <w:color w:val="000080"/>
        </w:rPr>
        <w:t xml:space="preserve">The Royal Bank of Scotland Group </w:t>
      </w:r>
      <w:r w:rsidR="000461B7">
        <w:rPr>
          <w:rFonts w:ascii="Arial" w:hAnsi="Arial" w:cs="Arial"/>
          <w:b/>
          <w:color w:val="000080"/>
        </w:rPr>
        <w:t>plc</w:t>
      </w:r>
      <w:r w:rsidR="000461B7" w:rsidRPr="00771596">
        <w:rPr>
          <w:rFonts w:ascii="Arial" w:hAnsi="Arial" w:cs="Arial"/>
          <w:b/>
          <w:color w:val="000080"/>
        </w:rPr>
        <w:t xml:space="preserve"> </w:t>
      </w:r>
      <w:r w:rsidRPr="00771596">
        <w:rPr>
          <w:rFonts w:ascii="Arial" w:hAnsi="Arial" w:cs="Arial"/>
          <w:b/>
          <w:color w:val="000080"/>
        </w:rPr>
        <w:t>(“RBSG”) –</w:t>
      </w:r>
      <w:r w:rsidR="00F06DBA">
        <w:rPr>
          <w:rFonts w:ascii="Arial" w:hAnsi="Arial" w:cs="Arial"/>
          <w:b/>
          <w:color w:val="000080"/>
        </w:rPr>
        <w:t xml:space="preserve"> </w:t>
      </w:r>
      <w:r>
        <w:rPr>
          <w:rFonts w:ascii="Arial" w:hAnsi="Arial" w:cs="Arial"/>
          <w:b/>
          <w:color w:val="000080"/>
        </w:rPr>
        <w:t>Convertible Preference Share</w:t>
      </w:r>
      <w:r w:rsidR="00031507">
        <w:rPr>
          <w:rFonts w:ascii="Arial" w:hAnsi="Arial" w:cs="Arial"/>
          <w:b/>
          <w:color w:val="000080"/>
        </w:rPr>
        <w:t xml:space="preserve">, </w:t>
      </w:r>
      <w:r>
        <w:rPr>
          <w:rFonts w:ascii="Arial" w:hAnsi="Arial" w:cs="Arial"/>
          <w:b/>
          <w:color w:val="000080"/>
        </w:rPr>
        <w:t xml:space="preserve">Employee </w:t>
      </w:r>
      <w:r w:rsidR="009E417B">
        <w:rPr>
          <w:rFonts w:ascii="Arial" w:hAnsi="Arial" w:cs="Arial"/>
          <w:b/>
          <w:color w:val="000080"/>
        </w:rPr>
        <w:t>Deferral Plan</w:t>
      </w:r>
      <w:r w:rsidR="00031507">
        <w:rPr>
          <w:rFonts w:ascii="Arial" w:hAnsi="Arial" w:cs="Arial"/>
          <w:b/>
          <w:color w:val="000080"/>
        </w:rPr>
        <w:t xml:space="preserve"> </w:t>
      </w:r>
      <w:r w:rsidR="00F06DBA">
        <w:rPr>
          <w:rFonts w:ascii="Arial" w:hAnsi="Arial" w:cs="Arial"/>
          <w:b/>
          <w:color w:val="000080"/>
        </w:rPr>
        <w:t xml:space="preserve">and </w:t>
      </w:r>
      <w:r w:rsidR="00031507">
        <w:rPr>
          <w:rFonts w:ascii="Arial" w:hAnsi="Arial" w:cs="Arial"/>
          <w:b/>
          <w:color w:val="000080"/>
        </w:rPr>
        <w:t>Liability Management</w:t>
      </w:r>
    </w:p>
    <w:p w:rsidR="001E7016" w:rsidRPr="00771596" w:rsidRDefault="001E7016" w:rsidP="001E7016">
      <w:pPr>
        <w:jc w:val="both"/>
        <w:rPr>
          <w:rFonts w:ascii="Arial" w:hAnsi="Arial" w:cs="Arial"/>
        </w:rPr>
      </w:pPr>
    </w:p>
    <w:p w:rsidR="001E7016" w:rsidRPr="00771596" w:rsidRDefault="004F79E0" w:rsidP="001E7016">
      <w:pPr>
        <w:jc w:val="both"/>
        <w:rPr>
          <w:rFonts w:ascii="Arial" w:hAnsi="Arial" w:cs="Arial"/>
        </w:rPr>
      </w:pPr>
      <w:r>
        <w:rPr>
          <w:rFonts w:ascii="Arial" w:hAnsi="Arial" w:cs="Arial"/>
        </w:rPr>
        <w:t xml:space="preserve">Released </w:t>
      </w:r>
      <w:r w:rsidR="001E7016">
        <w:rPr>
          <w:rFonts w:ascii="Arial" w:hAnsi="Arial" w:cs="Arial"/>
        </w:rPr>
        <w:t>25</w:t>
      </w:r>
      <w:r>
        <w:rPr>
          <w:rFonts w:ascii="Arial" w:hAnsi="Arial" w:cs="Arial"/>
        </w:rPr>
        <w:t>-Mar</w:t>
      </w:r>
      <w:r w:rsidR="001E7016" w:rsidRPr="00771596">
        <w:rPr>
          <w:rFonts w:ascii="Arial" w:hAnsi="Arial" w:cs="Arial"/>
        </w:rPr>
        <w:t xml:space="preserve">-2010 </w:t>
      </w:r>
    </w:p>
    <w:p w:rsidR="001E7016" w:rsidRDefault="001E7016" w:rsidP="001E7016">
      <w:pPr>
        <w:jc w:val="both"/>
        <w:rPr>
          <w:rFonts w:ascii="Arial" w:hAnsi="Arial" w:cs="Arial"/>
        </w:rPr>
      </w:pPr>
    </w:p>
    <w:p w:rsidR="001E7016" w:rsidRPr="00EC49A3" w:rsidRDefault="001E7016" w:rsidP="001E7016">
      <w:pPr>
        <w:jc w:val="both"/>
        <w:rPr>
          <w:rFonts w:ascii="Arial" w:hAnsi="Arial"/>
          <w:b/>
        </w:rPr>
      </w:pPr>
      <w:r w:rsidRPr="00DC0860">
        <w:rPr>
          <w:rFonts w:ascii="Arial" w:hAnsi="Arial"/>
          <w:b/>
        </w:rPr>
        <w:t xml:space="preserve">Today RBSG is announcing the results of the </w:t>
      </w:r>
      <w:r w:rsidR="00031507">
        <w:rPr>
          <w:rFonts w:ascii="Arial" w:hAnsi="Arial" w:cs="Arial"/>
          <w:b/>
          <w:bCs/>
        </w:rPr>
        <w:t>c</w:t>
      </w:r>
      <w:r w:rsidRPr="00FB76CB">
        <w:rPr>
          <w:rFonts w:ascii="Arial" w:hAnsi="Arial" w:cs="Arial"/>
          <w:b/>
          <w:bCs/>
        </w:rPr>
        <w:t xml:space="preserve">onversion </w:t>
      </w:r>
      <w:r w:rsidR="00031507">
        <w:rPr>
          <w:rFonts w:ascii="Arial" w:hAnsi="Arial" w:cs="Arial"/>
          <w:b/>
          <w:bCs/>
        </w:rPr>
        <w:t xml:space="preserve">process </w:t>
      </w:r>
      <w:r w:rsidR="004F79E0">
        <w:rPr>
          <w:rFonts w:ascii="Arial" w:hAnsi="Arial" w:cs="Arial"/>
          <w:b/>
          <w:bCs/>
        </w:rPr>
        <w:t>of</w:t>
      </w:r>
      <w:r w:rsidRPr="00FB76CB">
        <w:rPr>
          <w:rFonts w:ascii="Arial" w:hAnsi="Arial" w:cs="Arial"/>
          <w:b/>
          <w:bCs/>
        </w:rPr>
        <w:t xml:space="preserve"> </w:t>
      </w:r>
      <w:r w:rsidR="004F79E0">
        <w:rPr>
          <w:rFonts w:ascii="Arial" w:hAnsi="Arial" w:cs="Arial"/>
          <w:b/>
          <w:bCs/>
        </w:rPr>
        <w:t xml:space="preserve">the </w:t>
      </w:r>
      <w:r w:rsidR="004F79E0" w:rsidRPr="004F79E0">
        <w:rPr>
          <w:rFonts w:ascii="Arial" w:hAnsi="Arial" w:cs="Arial"/>
          <w:b/>
          <w:bCs/>
        </w:rPr>
        <w:t>US</w:t>
      </w:r>
      <w:r w:rsidR="00031507">
        <w:rPr>
          <w:rFonts w:ascii="Arial" w:hAnsi="Arial" w:cs="Arial"/>
          <w:b/>
          <w:bCs/>
        </w:rPr>
        <w:t xml:space="preserve"> </w:t>
      </w:r>
      <w:r w:rsidR="004F79E0" w:rsidRPr="004F79E0">
        <w:rPr>
          <w:rFonts w:ascii="Arial" w:hAnsi="Arial" w:cs="Arial"/>
          <w:b/>
          <w:bCs/>
        </w:rPr>
        <w:t>D</w:t>
      </w:r>
      <w:r w:rsidR="00031507">
        <w:rPr>
          <w:rFonts w:ascii="Arial" w:hAnsi="Arial" w:cs="Arial"/>
          <w:b/>
          <w:bCs/>
        </w:rPr>
        <w:t xml:space="preserve">ollar </w:t>
      </w:r>
      <w:r w:rsidR="004F79E0" w:rsidRPr="004F79E0">
        <w:rPr>
          <w:rFonts w:ascii="Arial" w:hAnsi="Arial" w:cs="Arial"/>
          <w:b/>
          <w:bCs/>
        </w:rPr>
        <w:t>1 billion 9.11</w:t>
      </w:r>
      <w:r w:rsidR="004F79E0">
        <w:rPr>
          <w:rFonts w:ascii="Arial" w:hAnsi="Arial" w:cs="Arial"/>
          <w:b/>
          <w:bCs/>
        </w:rPr>
        <w:t>8</w:t>
      </w:r>
      <w:r w:rsidR="00F06DBA">
        <w:rPr>
          <w:rFonts w:ascii="Arial" w:hAnsi="Arial" w:cs="Arial"/>
          <w:b/>
          <w:bCs/>
        </w:rPr>
        <w:t>%</w:t>
      </w:r>
      <w:r w:rsidR="004F79E0">
        <w:rPr>
          <w:rFonts w:ascii="Arial" w:hAnsi="Arial" w:cs="Arial"/>
          <w:b/>
          <w:bCs/>
        </w:rPr>
        <w:t xml:space="preserve"> </w:t>
      </w:r>
      <w:r w:rsidR="004F79E0" w:rsidRPr="004F79E0">
        <w:rPr>
          <w:rFonts w:ascii="Arial" w:hAnsi="Arial" w:cs="Arial"/>
          <w:b/>
          <w:bCs/>
        </w:rPr>
        <w:t>Preference Shares Series 1</w:t>
      </w:r>
      <w:r w:rsidR="004F79E0">
        <w:rPr>
          <w:rFonts w:ascii="Arial" w:hAnsi="Arial" w:cs="Arial"/>
          <w:b/>
          <w:bCs/>
        </w:rPr>
        <w:t xml:space="preserve">, </w:t>
      </w:r>
      <w:r w:rsidR="00031507">
        <w:rPr>
          <w:rFonts w:ascii="Arial" w:hAnsi="Arial" w:cs="Arial"/>
          <w:b/>
          <w:bCs/>
        </w:rPr>
        <w:t xml:space="preserve">the funding plan for its </w:t>
      </w:r>
      <w:r w:rsidR="009E417B">
        <w:rPr>
          <w:rFonts w:ascii="Arial" w:hAnsi="Arial" w:cs="Arial"/>
          <w:b/>
          <w:bCs/>
        </w:rPr>
        <w:t>2009 D</w:t>
      </w:r>
      <w:r w:rsidR="00031507">
        <w:rPr>
          <w:rFonts w:ascii="Arial" w:hAnsi="Arial" w:cs="Arial"/>
          <w:b/>
          <w:bCs/>
        </w:rPr>
        <w:t>eferr</w:t>
      </w:r>
      <w:r w:rsidR="009E417B">
        <w:rPr>
          <w:rFonts w:ascii="Arial" w:hAnsi="Arial" w:cs="Arial"/>
          <w:b/>
          <w:bCs/>
        </w:rPr>
        <w:t>al</w:t>
      </w:r>
      <w:r w:rsidR="00031507">
        <w:rPr>
          <w:rFonts w:ascii="Arial" w:hAnsi="Arial" w:cs="Arial"/>
          <w:b/>
          <w:bCs/>
        </w:rPr>
        <w:t xml:space="preserve"> </w:t>
      </w:r>
      <w:r w:rsidR="009E417B">
        <w:rPr>
          <w:rFonts w:ascii="Arial" w:hAnsi="Arial" w:cs="Arial"/>
          <w:b/>
          <w:bCs/>
        </w:rPr>
        <w:t>Plan</w:t>
      </w:r>
      <w:r w:rsidR="004F79E0">
        <w:rPr>
          <w:rFonts w:ascii="Arial" w:hAnsi="Arial"/>
          <w:b/>
        </w:rPr>
        <w:t>, and its plans for Liability Management</w:t>
      </w:r>
      <w:r w:rsidRPr="00DC0860">
        <w:rPr>
          <w:rFonts w:ascii="Arial" w:hAnsi="Arial"/>
          <w:b/>
        </w:rPr>
        <w:t xml:space="preserve">. The net impact of these actions is expected to be </w:t>
      </w:r>
      <w:r w:rsidR="004F79E0">
        <w:rPr>
          <w:rFonts w:ascii="Arial" w:hAnsi="Arial"/>
          <w:b/>
        </w:rPr>
        <w:t xml:space="preserve">accretive to </w:t>
      </w:r>
      <w:r w:rsidRPr="00DC0860">
        <w:rPr>
          <w:rFonts w:ascii="Arial" w:hAnsi="Arial"/>
          <w:b/>
        </w:rPr>
        <w:t>EPS, Core Tier 1 capital and TNAV per share</w:t>
      </w:r>
      <w:r w:rsidR="004F79E0">
        <w:rPr>
          <w:rFonts w:ascii="Arial" w:hAnsi="Arial"/>
          <w:b/>
        </w:rPr>
        <w:t xml:space="preserve"> for the Group</w:t>
      </w:r>
      <w:r w:rsidRPr="00DC0860">
        <w:rPr>
          <w:rFonts w:ascii="Arial" w:hAnsi="Arial"/>
          <w:b/>
        </w:rPr>
        <w:t xml:space="preserve">. </w:t>
      </w:r>
      <w:r>
        <w:rPr>
          <w:rFonts w:ascii="Arial" w:hAnsi="Arial"/>
          <w:b/>
        </w:rPr>
        <w:t>T</w:t>
      </w:r>
      <w:r w:rsidRPr="00EC49A3">
        <w:rPr>
          <w:rFonts w:ascii="Arial" w:hAnsi="Arial"/>
          <w:b/>
        </w:rPr>
        <w:t xml:space="preserve">hese actions continue to demonstrate RBSG’s commitment to further strengthening and improving its </w:t>
      </w:r>
      <w:r>
        <w:rPr>
          <w:rFonts w:ascii="Arial" w:hAnsi="Arial"/>
          <w:b/>
        </w:rPr>
        <w:t>capital base as an important element in its recovery plan.</w:t>
      </w:r>
    </w:p>
    <w:p w:rsidR="00493D59" w:rsidRDefault="00493D59" w:rsidP="00211075">
      <w:pPr>
        <w:rPr>
          <w:rFonts w:ascii="Arial" w:hAnsi="Arial"/>
        </w:rPr>
      </w:pPr>
    </w:p>
    <w:p w:rsidR="001E7016" w:rsidRDefault="00031507" w:rsidP="00211075">
      <w:pPr>
        <w:rPr>
          <w:rFonts w:ascii="Arial" w:hAnsi="Arial"/>
        </w:rPr>
      </w:pPr>
      <w:r>
        <w:rPr>
          <w:rFonts w:ascii="Arial" w:hAnsi="Arial"/>
        </w:rPr>
        <w:t>T</w:t>
      </w:r>
      <w:r w:rsidR="001E7016">
        <w:rPr>
          <w:rFonts w:ascii="Arial" w:hAnsi="Arial"/>
        </w:rPr>
        <w:t>hese actions announced today by RBS</w:t>
      </w:r>
      <w:r w:rsidR="00F06DBA">
        <w:rPr>
          <w:rFonts w:ascii="Arial" w:hAnsi="Arial"/>
        </w:rPr>
        <w:t>G</w:t>
      </w:r>
      <w:r w:rsidR="001E7016">
        <w:rPr>
          <w:rFonts w:ascii="Arial" w:hAnsi="Arial"/>
        </w:rPr>
        <w:t xml:space="preserve"> are expected to:</w:t>
      </w:r>
    </w:p>
    <w:p w:rsidR="001E7016" w:rsidRDefault="001E7016" w:rsidP="00211075">
      <w:pPr>
        <w:rPr>
          <w:rFonts w:ascii="Arial" w:hAnsi="Arial"/>
        </w:rPr>
      </w:pPr>
    </w:p>
    <w:p w:rsidR="00E57A78" w:rsidRDefault="004F79E0" w:rsidP="004F79E0">
      <w:pPr>
        <w:numPr>
          <w:ilvl w:val="0"/>
          <w:numId w:val="9"/>
        </w:numPr>
        <w:tabs>
          <w:tab w:val="clear" w:pos="720"/>
          <w:tab w:val="num" w:pos="360"/>
        </w:tabs>
        <w:ind w:left="360"/>
        <w:rPr>
          <w:rFonts w:ascii="Arial" w:hAnsi="Arial"/>
        </w:rPr>
      </w:pPr>
      <w:r>
        <w:rPr>
          <w:rFonts w:ascii="Arial" w:hAnsi="Arial"/>
        </w:rPr>
        <w:t>S</w:t>
      </w:r>
      <w:r w:rsidRPr="004F79E0">
        <w:rPr>
          <w:rFonts w:ascii="Arial" w:hAnsi="Arial"/>
        </w:rPr>
        <w:t>trengthen RBSG’s Core Tier 1 ratio</w:t>
      </w:r>
      <w:r w:rsidR="00E57A78">
        <w:rPr>
          <w:rFonts w:ascii="Arial" w:hAnsi="Arial"/>
        </w:rPr>
        <w:t xml:space="preserve"> by </w:t>
      </w:r>
      <w:r w:rsidR="00031507">
        <w:rPr>
          <w:rFonts w:ascii="Arial" w:hAnsi="Arial"/>
        </w:rPr>
        <w:t xml:space="preserve">approximately </w:t>
      </w:r>
      <w:r w:rsidR="00E57A78">
        <w:rPr>
          <w:rFonts w:ascii="Arial" w:hAnsi="Arial"/>
        </w:rPr>
        <w:t>0.</w:t>
      </w:r>
      <w:r w:rsidR="00F852DB">
        <w:rPr>
          <w:rFonts w:ascii="Arial" w:hAnsi="Arial"/>
        </w:rPr>
        <w:t>35</w:t>
      </w:r>
      <w:r w:rsidR="00E57A78">
        <w:rPr>
          <w:rFonts w:ascii="Arial" w:hAnsi="Arial"/>
        </w:rPr>
        <w:t>%</w:t>
      </w:r>
      <w:r w:rsidR="00F5295F">
        <w:rPr>
          <w:rFonts w:ascii="Arial" w:hAnsi="Arial"/>
        </w:rPr>
        <w:t xml:space="preserve"> and enhance the quality of its capital structure;</w:t>
      </w:r>
    </w:p>
    <w:p w:rsidR="00F16338" w:rsidRDefault="00F16338" w:rsidP="00F16338">
      <w:pPr>
        <w:numPr>
          <w:ilvl w:val="0"/>
          <w:numId w:val="9"/>
        </w:numPr>
        <w:tabs>
          <w:tab w:val="clear" w:pos="720"/>
          <w:tab w:val="num" w:pos="360"/>
        </w:tabs>
        <w:ind w:left="360"/>
        <w:rPr>
          <w:rFonts w:ascii="Arial" w:hAnsi="Arial"/>
        </w:rPr>
      </w:pPr>
      <w:r>
        <w:rPr>
          <w:rFonts w:ascii="Arial" w:hAnsi="Arial"/>
        </w:rPr>
        <w:t>Generate an after-tax gain of</w:t>
      </w:r>
      <w:r w:rsidR="007C000B">
        <w:rPr>
          <w:rFonts w:ascii="Arial" w:hAnsi="Arial"/>
        </w:rPr>
        <w:t xml:space="preserve"> approximately £1.25bn</w:t>
      </w:r>
      <w:r w:rsidR="00B565C6">
        <w:rPr>
          <w:rFonts w:ascii="Arial" w:hAnsi="Arial"/>
        </w:rPr>
        <w:t>;</w:t>
      </w:r>
    </w:p>
    <w:p w:rsidR="00F5295F" w:rsidRDefault="00F5295F" w:rsidP="004F79E0">
      <w:pPr>
        <w:numPr>
          <w:ilvl w:val="0"/>
          <w:numId w:val="9"/>
        </w:numPr>
        <w:tabs>
          <w:tab w:val="clear" w:pos="720"/>
          <w:tab w:val="num" w:pos="360"/>
        </w:tabs>
        <w:ind w:left="360"/>
        <w:rPr>
          <w:rFonts w:ascii="Arial" w:hAnsi="Arial"/>
        </w:rPr>
      </w:pPr>
      <w:r>
        <w:rPr>
          <w:rFonts w:ascii="Arial" w:hAnsi="Arial"/>
        </w:rPr>
        <w:t xml:space="preserve">Improve </w:t>
      </w:r>
      <w:r w:rsidR="00334AF2">
        <w:rPr>
          <w:rFonts w:ascii="Arial" w:hAnsi="Arial"/>
        </w:rPr>
        <w:t xml:space="preserve">2013 </w:t>
      </w:r>
      <w:r>
        <w:rPr>
          <w:rFonts w:ascii="Arial" w:hAnsi="Arial"/>
        </w:rPr>
        <w:t>TNAV</w:t>
      </w:r>
      <w:r w:rsidR="00740348">
        <w:rPr>
          <w:rFonts w:ascii="Arial" w:hAnsi="Arial"/>
        </w:rPr>
        <w:t xml:space="preserve"> </w:t>
      </w:r>
      <w:r w:rsidR="00740348" w:rsidRPr="00740348">
        <w:rPr>
          <w:rFonts w:ascii="Arial (W1)" w:hAnsi="Arial (W1)"/>
          <w:sz w:val="16"/>
          <w:szCs w:val="16"/>
          <w:vertAlign w:val="superscript"/>
        </w:rPr>
        <w:t>(1)</w:t>
      </w:r>
      <w:r>
        <w:rPr>
          <w:rFonts w:ascii="Arial" w:hAnsi="Arial"/>
        </w:rPr>
        <w:t xml:space="preserve">/Share by </w:t>
      </w:r>
      <w:r w:rsidR="00CB63E9">
        <w:rPr>
          <w:rFonts w:ascii="Arial" w:hAnsi="Arial"/>
        </w:rPr>
        <w:t xml:space="preserve">approximately </w:t>
      </w:r>
      <w:r>
        <w:rPr>
          <w:rFonts w:ascii="Arial" w:hAnsi="Arial"/>
        </w:rPr>
        <w:t>2.</w:t>
      </w:r>
      <w:r w:rsidR="00E9302D">
        <w:rPr>
          <w:rFonts w:ascii="Arial" w:hAnsi="Arial"/>
        </w:rPr>
        <w:t>2</w:t>
      </w:r>
      <w:r>
        <w:rPr>
          <w:rFonts w:ascii="Arial" w:hAnsi="Arial"/>
        </w:rPr>
        <w:t xml:space="preserve">% and EPS by </w:t>
      </w:r>
      <w:r w:rsidR="00CB63E9">
        <w:rPr>
          <w:rFonts w:ascii="Arial" w:hAnsi="Arial"/>
        </w:rPr>
        <w:t xml:space="preserve">approximately </w:t>
      </w:r>
      <w:r>
        <w:rPr>
          <w:rFonts w:ascii="Arial" w:hAnsi="Arial"/>
        </w:rPr>
        <w:t>1.</w:t>
      </w:r>
      <w:r w:rsidR="00E9302D">
        <w:rPr>
          <w:rFonts w:ascii="Arial" w:hAnsi="Arial"/>
        </w:rPr>
        <w:t>2</w:t>
      </w:r>
      <w:r>
        <w:rPr>
          <w:rFonts w:ascii="Arial" w:hAnsi="Arial"/>
        </w:rPr>
        <w:t>%</w:t>
      </w:r>
      <w:r w:rsidR="00B565C6">
        <w:rPr>
          <w:rFonts w:ascii="Arial" w:hAnsi="Arial"/>
        </w:rPr>
        <w:t xml:space="preserve"> </w:t>
      </w:r>
      <w:r w:rsidR="00F06DBA">
        <w:rPr>
          <w:rFonts w:ascii="Arial" w:hAnsi="Arial"/>
        </w:rPr>
        <w:t xml:space="preserve">by </w:t>
      </w:r>
      <w:r w:rsidR="00556B31">
        <w:rPr>
          <w:rFonts w:ascii="Arial" w:hAnsi="Arial"/>
        </w:rPr>
        <w:t xml:space="preserve">offsetting </w:t>
      </w:r>
      <w:r w:rsidR="00F06DBA">
        <w:rPr>
          <w:rFonts w:ascii="Arial" w:hAnsi="Arial"/>
        </w:rPr>
        <w:t xml:space="preserve">the impact of </w:t>
      </w:r>
      <w:r w:rsidR="00556B31">
        <w:rPr>
          <w:rFonts w:ascii="Arial" w:hAnsi="Arial"/>
        </w:rPr>
        <w:t xml:space="preserve">share issuance associated with Preference Share conversion and </w:t>
      </w:r>
      <w:r w:rsidR="009E417B">
        <w:rPr>
          <w:rFonts w:ascii="Arial" w:hAnsi="Arial"/>
        </w:rPr>
        <w:t xml:space="preserve">Deferral Plan </w:t>
      </w:r>
      <w:r w:rsidR="00556B31">
        <w:rPr>
          <w:rFonts w:ascii="Arial" w:hAnsi="Arial"/>
        </w:rPr>
        <w:t>share issuance</w:t>
      </w:r>
      <w:r w:rsidR="00740348">
        <w:rPr>
          <w:rFonts w:ascii="Arial" w:hAnsi="Arial"/>
        </w:rPr>
        <w:t xml:space="preserve"> </w:t>
      </w:r>
      <w:r w:rsidR="00740348" w:rsidRPr="00740348">
        <w:rPr>
          <w:rFonts w:ascii="Arial (W1)" w:hAnsi="Arial (W1)"/>
          <w:vertAlign w:val="superscript"/>
        </w:rPr>
        <w:t>(2)</w:t>
      </w:r>
      <w:r>
        <w:rPr>
          <w:rFonts w:ascii="Arial" w:hAnsi="Arial"/>
        </w:rPr>
        <w:t>;</w:t>
      </w:r>
      <w:r w:rsidR="008D19FA">
        <w:rPr>
          <w:rFonts w:ascii="Arial" w:hAnsi="Arial"/>
        </w:rPr>
        <w:t xml:space="preserve"> and</w:t>
      </w:r>
    </w:p>
    <w:p w:rsidR="001E7016" w:rsidRDefault="004F79E0" w:rsidP="00903347">
      <w:pPr>
        <w:numPr>
          <w:ilvl w:val="0"/>
          <w:numId w:val="8"/>
        </w:numPr>
        <w:tabs>
          <w:tab w:val="clear" w:pos="720"/>
          <w:tab w:val="num" w:pos="360"/>
        </w:tabs>
        <w:ind w:left="360"/>
        <w:rPr>
          <w:rFonts w:ascii="Arial" w:hAnsi="Arial"/>
        </w:rPr>
      </w:pPr>
      <w:r w:rsidRPr="004F79E0">
        <w:rPr>
          <w:rFonts w:ascii="Arial" w:hAnsi="Arial"/>
        </w:rPr>
        <w:t xml:space="preserve">Reduce the cost of funding </w:t>
      </w:r>
      <w:r w:rsidR="00F5295F">
        <w:rPr>
          <w:rFonts w:ascii="Arial" w:hAnsi="Arial"/>
        </w:rPr>
        <w:t xml:space="preserve">for </w:t>
      </w:r>
      <w:r w:rsidRPr="004F79E0">
        <w:rPr>
          <w:rFonts w:ascii="Arial" w:hAnsi="Arial"/>
        </w:rPr>
        <w:t>RBSG</w:t>
      </w:r>
      <w:r w:rsidR="00556B31">
        <w:rPr>
          <w:rFonts w:ascii="Arial" w:hAnsi="Arial"/>
        </w:rPr>
        <w:t xml:space="preserve"> by replacing </w:t>
      </w:r>
      <w:r w:rsidR="007C000B">
        <w:rPr>
          <w:rFonts w:ascii="Arial" w:hAnsi="Arial"/>
        </w:rPr>
        <w:t>approximately £6.2bn</w:t>
      </w:r>
      <w:r w:rsidR="00B565C6">
        <w:rPr>
          <w:rFonts w:ascii="Arial" w:hAnsi="Arial"/>
        </w:rPr>
        <w:t xml:space="preserve"> </w:t>
      </w:r>
      <w:r w:rsidR="007C000B">
        <w:rPr>
          <w:rFonts w:ascii="Arial" w:hAnsi="Arial"/>
        </w:rPr>
        <w:t xml:space="preserve">in </w:t>
      </w:r>
      <w:r w:rsidR="00556B31">
        <w:rPr>
          <w:rFonts w:ascii="Arial" w:hAnsi="Arial"/>
        </w:rPr>
        <w:t>more expensive</w:t>
      </w:r>
      <w:r w:rsidR="007C000B">
        <w:rPr>
          <w:rFonts w:ascii="Arial" w:hAnsi="Arial"/>
        </w:rPr>
        <w:t xml:space="preserve"> Tier 1 and Tier 2 securities</w:t>
      </w:r>
      <w:r w:rsidR="00556B31">
        <w:rPr>
          <w:rFonts w:ascii="Arial" w:hAnsi="Arial"/>
        </w:rPr>
        <w:t xml:space="preserve"> with new senior debt</w:t>
      </w:r>
      <w:r w:rsidR="008D19FA">
        <w:rPr>
          <w:rFonts w:ascii="Arial" w:hAnsi="Arial"/>
        </w:rPr>
        <w:t>.</w:t>
      </w:r>
    </w:p>
    <w:p w:rsidR="004F79E0" w:rsidRPr="004F79E0" w:rsidRDefault="004F79E0" w:rsidP="004F79E0">
      <w:pPr>
        <w:ind w:left="360"/>
        <w:rPr>
          <w:rFonts w:ascii="Arial" w:hAnsi="Arial"/>
        </w:rPr>
      </w:pPr>
    </w:p>
    <w:p w:rsidR="001E7016" w:rsidRPr="00500282" w:rsidRDefault="00500282" w:rsidP="00500282">
      <w:pPr>
        <w:rPr>
          <w:rFonts w:ascii="Arial" w:hAnsi="Arial"/>
        </w:rPr>
      </w:pPr>
      <w:r w:rsidRPr="00500282">
        <w:rPr>
          <w:rFonts w:ascii="Arial" w:hAnsi="Arial"/>
        </w:rPr>
        <w:t xml:space="preserve">RBS Group Finance Director Bruce Van Saun commented, “After careful review we have developed a comprehensive approach to our near-term capital planning which </w:t>
      </w:r>
      <w:r w:rsidR="00CF101F">
        <w:rPr>
          <w:rFonts w:ascii="Arial" w:hAnsi="Arial"/>
        </w:rPr>
        <w:t xml:space="preserve">seeks to </w:t>
      </w:r>
      <w:r w:rsidRPr="00500282">
        <w:rPr>
          <w:rFonts w:ascii="Arial" w:hAnsi="Arial"/>
        </w:rPr>
        <w:t xml:space="preserve">add to our Core Tier 1 capital and book value per share while also being accretive to earnings. While our Tier 1 ratio </w:t>
      </w:r>
      <w:r w:rsidR="00CB63E9">
        <w:rPr>
          <w:rFonts w:ascii="Arial" w:hAnsi="Arial"/>
        </w:rPr>
        <w:t>is expected to</w:t>
      </w:r>
      <w:r w:rsidR="001A0C09">
        <w:rPr>
          <w:rFonts w:ascii="Arial" w:hAnsi="Arial"/>
        </w:rPr>
        <w:t xml:space="preserve"> </w:t>
      </w:r>
      <w:r w:rsidRPr="00500282">
        <w:rPr>
          <w:rFonts w:ascii="Arial" w:hAnsi="Arial"/>
        </w:rPr>
        <w:t xml:space="preserve">decline modestly, </w:t>
      </w:r>
      <w:r w:rsidR="00CF101F">
        <w:rPr>
          <w:rFonts w:ascii="Arial" w:hAnsi="Arial"/>
        </w:rPr>
        <w:t xml:space="preserve">we expect </w:t>
      </w:r>
      <w:r w:rsidRPr="00500282">
        <w:rPr>
          <w:rFonts w:ascii="Arial" w:hAnsi="Arial"/>
        </w:rPr>
        <w:t xml:space="preserve">our Tier 1 </w:t>
      </w:r>
      <w:r w:rsidR="00CF101F">
        <w:rPr>
          <w:rFonts w:ascii="Arial" w:hAnsi="Arial"/>
        </w:rPr>
        <w:t xml:space="preserve">capital </w:t>
      </w:r>
      <w:r w:rsidR="008E0566">
        <w:rPr>
          <w:rFonts w:ascii="Arial" w:hAnsi="Arial"/>
        </w:rPr>
        <w:t xml:space="preserve">ratio </w:t>
      </w:r>
      <w:r w:rsidR="00CF101F">
        <w:rPr>
          <w:rFonts w:ascii="Arial" w:hAnsi="Arial"/>
        </w:rPr>
        <w:t xml:space="preserve">to </w:t>
      </w:r>
      <w:r w:rsidRPr="00500282">
        <w:rPr>
          <w:rFonts w:ascii="Arial" w:hAnsi="Arial"/>
        </w:rPr>
        <w:t xml:space="preserve">be </w:t>
      </w:r>
      <w:r w:rsidR="00BA0574">
        <w:rPr>
          <w:rFonts w:ascii="Arial" w:hAnsi="Arial"/>
        </w:rPr>
        <w:t>in line</w:t>
      </w:r>
      <w:r w:rsidRPr="00500282">
        <w:rPr>
          <w:rFonts w:ascii="Arial" w:hAnsi="Arial"/>
        </w:rPr>
        <w:t xml:space="preserve"> with our peer group following the transaction. We have decided not to include a contingent capital instrument (“CCN”) in our liability management initiative since we saw limited benefits from doing so at this time. As the market and regulatory framework around CCN’s continues to develop, and should the need to issue CCN’s arise in the future, we maintain significant amounts of Tier 1 and Tier 2 securities which could be part of future initiatives.</w:t>
      </w:r>
      <w:r>
        <w:rPr>
          <w:rFonts w:ascii="Arial" w:hAnsi="Arial"/>
        </w:rPr>
        <w:t xml:space="preserve"> </w:t>
      </w:r>
      <w:r w:rsidRPr="00500282">
        <w:rPr>
          <w:rFonts w:ascii="Arial" w:hAnsi="Arial"/>
        </w:rPr>
        <w:t>The transactions announced today represent another positive step forward as we rebuild the RBS franchise.”</w:t>
      </w:r>
    </w:p>
    <w:p w:rsidR="001E7016" w:rsidRDefault="001E7016" w:rsidP="00211075">
      <w:pPr>
        <w:rPr>
          <w:rFonts w:ascii="Arial" w:hAnsi="Arial"/>
        </w:rPr>
      </w:pPr>
    </w:p>
    <w:p w:rsidR="00740348" w:rsidRPr="00740348" w:rsidRDefault="00740348" w:rsidP="00740348">
      <w:pPr>
        <w:pStyle w:val="FootnoteText"/>
        <w:rPr>
          <w:sz w:val="16"/>
          <w:szCs w:val="16"/>
        </w:rPr>
      </w:pPr>
      <w:r>
        <w:rPr>
          <w:sz w:val="16"/>
          <w:szCs w:val="16"/>
        </w:rPr>
        <w:t xml:space="preserve">(1) </w:t>
      </w:r>
      <w:r w:rsidRPr="00740348">
        <w:rPr>
          <w:sz w:val="16"/>
          <w:szCs w:val="16"/>
        </w:rPr>
        <w:t>TNAV is defined as Tangible Net Asset Value.</w:t>
      </w:r>
    </w:p>
    <w:p w:rsidR="00740348" w:rsidRPr="00740348" w:rsidRDefault="00740348" w:rsidP="00740348">
      <w:pPr>
        <w:rPr>
          <w:rFonts w:ascii="Arial" w:hAnsi="Arial"/>
          <w:sz w:val="16"/>
          <w:szCs w:val="16"/>
        </w:rPr>
      </w:pPr>
      <w:r>
        <w:rPr>
          <w:sz w:val="16"/>
          <w:szCs w:val="16"/>
        </w:rPr>
        <w:t xml:space="preserve">(2) </w:t>
      </w:r>
      <w:r w:rsidRPr="00740348">
        <w:rPr>
          <w:sz w:val="16"/>
          <w:szCs w:val="16"/>
        </w:rPr>
        <w:t>EPS and TNAV/Share accretion expectations are based on consensus estimates for 2013.</w:t>
      </w:r>
    </w:p>
    <w:p w:rsidR="001E7016" w:rsidRDefault="001E7016" w:rsidP="00211075">
      <w:pPr>
        <w:rPr>
          <w:rFonts w:ascii="Arial" w:hAnsi="Arial"/>
        </w:rPr>
      </w:pPr>
    </w:p>
    <w:p w:rsidR="00500282" w:rsidRPr="00DC0860" w:rsidRDefault="00500282" w:rsidP="00500282">
      <w:pPr>
        <w:jc w:val="both"/>
        <w:rPr>
          <w:rFonts w:ascii="Arial" w:hAnsi="Arial" w:cs="Arial"/>
          <w:b/>
          <w:bCs/>
          <w:u w:val="single"/>
        </w:rPr>
      </w:pPr>
      <w:r>
        <w:rPr>
          <w:rFonts w:ascii="Arial" w:hAnsi="Arial"/>
          <w:b/>
        </w:rPr>
        <w:t>1</w:t>
      </w:r>
      <w:r w:rsidR="00211075" w:rsidRPr="00211075">
        <w:rPr>
          <w:rFonts w:ascii="Arial" w:hAnsi="Arial"/>
          <w:b/>
        </w:rPr>
        <w:t xml:space="preserve">) </w:t>
      </w:r>
      <w:r w:rsidRPr="00DC0860">
        <w:rPr>
          <w:rFonts w:ascii="Arial" w:hAnsi="Arial" w:cs="Arial"/>
          <w:b/>
          <w:bCs/>
          <w:u w:val="single"/>
        </w:rPr>
        <w:t xml:space="preserve">Results of the Conversion Process for </w:t>
      </w:r>
      <w:r w:rsidR="00B565C6">
        <w:rPr>
          <w:rFonts w:ascii="Arial" w:hAnsi="Arial" w:cs="Arial"/>
          <w:b/>
          <w:bCs/>
          <w:u w:val="single"/>
        </w:rPr>
        <w:t xml:space="preserve">the </w:t>
      </w:r>
      <w:r w:rsidR="00CF101F">
        <w:rPr>
          <w:rFonts w:ascii="Arial" w:hAnsi="Arial" w:cs="Arial"/>
          <w:b/>
          <w:bCs/>
          <w:u w:val="single"/>
        </w:rPr>
        <w:t xml:space="preserve">9.118% </w:t>
      </w:r>
      <w:r w:rsidRPr="00DC0860">
        <w:rPr>
          <w:rFonts w:ascii="Arial" w:hAnsi="Arial" w:cs="Arial"/>
          <w:b/>
          <w:bCs/>
          <w:u w:val="single"/>
        </w:rPr>
        <w:t>Dollar Preference Shares, Series 1</w:t>
      </w:r>
    </w:p>
    <w:p w:rsidR="00500282" w:rsidRPr="00771596" w:rsidRDefault="00500282" w:rsidP="00500282">
      <w:pPr>
        <w:jc w:val="both"/>
        <w:rPr>
          <w:rFonts w:ascii="Arial" w:hAnsi="Arial" w:cs="Arial"/>
        </w:rPr>
      </w:pPr>
    </w:p>
    <w:p w:rsidR="00500282" w:rsidRPr="00771596" w:rsidRDefault="00500282" w:rsidP="00500282">
      <w:pPr>
        <w:jc w:val="both"/>
        <w:rPr>
          <w:rFonts w:ascii="Arial" w:hAnsi="Arial" w:cs="Arial"/>
        </w:rPr>
      </w:pPr>
      <w:r w:rsidRPr="00771596">
        <w:rPr>
          <w:rFonts w:ascii="Arial" w:hAnsi="Arial" w:cs="Arial"/>
        </w:rPr>
        <w:t xml:space="preserve">RBSG </w:t>
      </w:r>
      <w:r>
        <w:rPr>
          <w:rFonts w:ascii="Arial" w:hAnsi="Arial" w:cs="Arial"/>
        </w:rPr>
        <w:t xml:space="preserve">today </w:t>
      </w:r>
      <w:r w:rsidRPr="00771596">
        <w:rPr>
          <w:rFonts w:ascii="Arial" w:hAnsi="Arial" w:cs="Arial"/>
        </w:rPr>
        <w:t xml:space="preserve">announces the results of the </w:t>
      </w:r>
      <w:r>
        <w:rPr>
          <w:rFonts w:ascii="Arial" w:hAnsi="Arial" w:cs="Arial"/>
        </w:rPr>
        <w:t>c</w:t>
      </w:r>
      <w:r w:rsidRPr="00771596">
        <w:rPr>
          <w:rFonts w:ascii="Arial" w:hAnsi="Arial" w:cs="Arial"/>
        </w:rPr>
        <w:t xml:space="preserve">onversion </w:t>
      </w:r>
      <w:r>
        <w:rPr>
          <w:rFonts w:ascii="Arial" w:hAnsi="Arial" w:cs="Arial"/>
        </w:rPr>
        <w:t>p</w:t>
      </w:r>
      <w:r w:rsidRPr="00771596">
        <w:rPr>
          <w:rFonts w:ascii="Arial" w:hAnsi="Arial" w:cs="Arial"/>
        </w:rPr>
        <w:t xml:space="preserve">rocess for the </w:t>
      </w:r>
      <w:r>
        <w:rPr>
          <w:rFonts w:ascii="Arial" w:hAnsi="Arial" w:cs="Arial"/>
        </w:rPr>
        <w:t>USD$1 billion</w:t>
      </w:r>
      <w:r w:rsidRPr="00771596">
        <w:rPr>
          <w:rFonts w:ascii="Arial" w:hAnsi="Arial" w:cs="Arial"/>
        </w:rPr>
        <w:t xml:space="preserve"> </w:t>
      </w:r>
      <w:r>
        <w:rPr>
          <w:rFonts w:ascii="Arial" w:hAnsi="Arial" w:cs="Arial"/>
        </w:rPr>
        <w:t xml:space="preserve">9.118 per cent. </w:t>
      </w:r>
      <w:r w:rsidRPr="00771596">
        <w:rPr>
          <w:rFonts w:ascii="Arial" w:hAnsi="Arial" w:cs="Arial"/>
        </w:rPr>
        <w:t>Non-Cumulative Dollar Preference Shares, Series 1</w:t>
      </w:r>
      <w:r w:rsidRPr="00211075">
        <w:rPr>
          <w:rFonts w:ascii="Arial" w:hAnsi="Arial"/>
        </w:rPr>
        <w:t xml:space="preserve"> </w:t>
      </w:r>
      <w:r>
        <w:rPr>
          <w:rFonts w:ascii="Arial" w:hAnsi="Arial"/>
        </w:rPr>
        <w:t>(ISIN: US780097AE13)</w:t>
      </w:r>
      <w:r w:rsidRPr="00771596">
        <w:rPr>
          <w:rFonts w:ascii="Arial" w:hAnsi="Arial" w:cs="Arial"/>
        </w:rPr>
        <w:t xml:space="preserve"> (the “Preference Shares”).  </w:t>
      </w:r>
    </w:p>
    <w:p w:rsidR="00500282" w:rsidRPr="00771596" w:rsidRDefault="00500282" w:rsidP="00500282">
      <w:pPr>
        <w:jc w:val="both"/>
        <w:rPr>
          <w:rFonts w:ascii="Arial" w:hAnsi="Arial" w:cs="Arial"/>
        </w:rPr>
      </w:pPr>
    </w:p>
    <w:p w:rsidR="00500282" w:rsidRPr="00771596" w:rsidRDefault="00500282" w:rsidP="00500282">
      <w:pPr>
        <w:jc w:val="both"/>
        <w:rPr>
          <w:rFonts w:ascii="Arial" w:hAnsi="Arial" w:cs="Arial"/>
        </w:rPr>
      </w:pPr>
      <w:r w:rsidRPr="00771596">
        <w:rPr>
          <w:rFonts w:ascii="Arial" w:hAnsi="Arial" w:cs="Arial"/>
        </w:rPr>
        <w:t>RBSG ha</w:t>
      </w:r>
      <w:r>
        <w:rPr>
          <w:rFonts w:ascii="Arial" w:hAnsi="Arial" w:cs="Arial"/>
        </w:rPr>
        <w:t>s</w:t>
      </w:r>
      <w:r w:rsidRPr="00771596">
        <w:rPr>
          <w:rFonts w:ascii="Arial" w:hAnsi="Arial" w:cs="Arial"/>
        </w:rPr>
        <w:t xml:space="preserve"> received fully completed and signed </w:t>
      </w:r>
      <w:r>
        <w:rPr>
          <w:rFonts w:ascii="Arial" w:hAnsi="Arial" w:cs="Arial"/>
        </w:rPr>
        <w:t>c</w:t>
      </w:r>
      <w:r w:rsidRPr="00771596">
        <w:rPr>
          <w:rFonts w:ascii="Arial" w:hAnsi="Arial" w:cs="Arial"/>
        </w:rPr>
        <w:t xml:space="preserve">onversion </w:t>
      </w:r>
      <w:r>
        <w:rPr>
          <w:rFonts w:ascii="Arial" w:hAnsi="Arial" w:cs="Arial"/>
        </w:rPr>
        <w:t>n</w:t>
      </w:r>
      <w:r w:rsidRPr="00771596">
        <w:rPr>
          <w:rFonts w:ascii="Arial" w:hAnsi="Arial" w:cs="Arial"/>
        </w:rPr>
        <w:t xml:space="preserve">otices from </w:t>
      </w:r>
      <w:r>
        <w:rPr>
          <w:rFonts w:ascii="Arial" w:hAnsi="Arial" w:cs="Arial"/>
        </w:rPr>
        <w:t>h</w:t>
      </w:r>
      <w:r w:rsidRPr="00771596">
        <w:rPr>
          <w:rFonts w:ascii="Arial" w:hAnsi="Arial" w:cs="Arial"/>
        </w:rPr>
        <w:t>olders</w:t>
      </w:r>
      <w:r>
        <w:rPr>
          <w:rFonts w:ascii="Arial" w:hAnsi="Arial" w:cs="Arial"/>
        </w:rPr>
        <w:t xml:space="preserve"> (the “Converting Holders”) </w:t>
      </w:r>
      <w:r w:rsidRPr="00771596">
        <w:rPr>
          <w:rFonts w:ascii="Arial" w:hAnsi="Arial" w:cs="Arial"/>
        </w:rPr>
        <w:t xml:space="preserve">representing </w:t>
      </w:r>
      <w:r>
        <w:rPr>
          <w:rFonts w:ascii="Arial" w:hAnsi="Arial" w:cs="Arial"/>
        </w:rPr>
        <w:t xml:space="preserve">approximately </w:t>
      </w:r>
      <w:r w:rsidRPr="00771596">
        <w:rPr>
          <w:rFonts w:ascii="Arial" w:hAnsi="Arial" w:cs="Arial"/>
        </w:rPr>
        <w:t>US$</w:t>
      </w:r>
      <w:r>
        <w:rPr>
          <w:rFonts w:ascii="Arial" w:hAnsi="Arial" w:cs="Arial"/>
        </w:rPr>
        <w:t>935</w:t>
      </w:r>
      <w:r w:rsidRPr="00771596">
        <w:rPr>
          <w:rFonts w:ascii="Arial" w:hAnsi="Arial" w:cs="Arial"/>
        </w:rPr>
        <w:t xml:space="preserve"> million (</w:t>
      </w:r>
      <w:r>
        <w:rPr>
          <w:rFonts w:ascii="Arial" w:hAnsi="Arial" w:cs="Arial"/>
        </w:rPr>
        <w:t>93.5</w:t>
      </w:r>
      <w:r w:rsidRPr="00771596">
        <w:rPr>
          <w:rFonts w:ascii="Arial" w:hAnsi="Arial" w:cs="Arial"/>
        </w:rPr>
        <w:t xml:space="preserve"> per cent. of the outstanding issued amount) of the Preference Shares. </w:t>
      </w:r>
      <w:r w:rsidR="00287E25" w:rsidRPr="00BE0D1B">
        <w:rPr>
          <w:rFonts w:ascii="Arial" w:hAnsi="Arial" w:cs="Arial"/>
        </w:rPr>
        <w:t xml:space="preserve">As a result, </w:t>
      </w:r>
      <w:r w:rsidR="00287E25" w:rsidRPr="00BE0D1B">
        <w:rPr>
          <w:rStyle w:val="Strong"/>
          <w:rFonts w:ascii="Arial" w:hAnsi="Arial" w:cs="Arial"/>
          <w:b w:val="0"/>
        </w:rPr>
        <w:t>935,228 Preference Shares will be redeemed</w:t>
      </w:r>
      <w:r w:rsidR="00CB63E9">
        <w:rPr>
          <w:rStyle w:val="Strong"/>
          <w:rFonts w:ascii="Arial" w:hAnsi="Arial" w:cs="Arial"/>
          <w:b w:val="0"/>
        </w:rPr>
        <w:t xml:space="preserve"> in exchange for new Ordinary Shares</w:t>
      </w:r>
      <w:r w:rsidR="00287E25">
        <w:rPr>
          <w:rStyle w:val="Strong"/>
          <w:rFonts w:ascii="Arial" w:hAnsi="Arial" w:cs="Arial"/>
          <w:b w:val="0"/>
        </w:rPr>
        <w:t>.</w:t>
      </w:r>
    </w:p>
    <w:p w:rsidR="00500282" w:rsidRPr="00771596" w:rsidRDefault="00500282" w:rsidP="00500282">
      <w:pPr>
        <w:jc w:val="both"/>
        <w:rPr>
          <w:rFonts w:ascii="Arial" w:hAnsi="Arial" w:cs="Arial"/>
        </w:rPr>
      </w:pPr>
    </w:p>
    <w:p w:rsidR="00500282" w:rsidRDefault="00500282" w:rsidP="00500282">
      <w:pPr>
        <w:jc w:val="both"/>
        <w:rPr>
          <w:rFonts w:ascii="Arial" w:hAnsi="Arial"/>
        </w:rPr>
      </w:pPr>
      <w:r>
        <w:rPr>
          <w:rFonts w:ascii="Arial" w:hAnsi="Arial" w:cs="Arial"/>
        </w:rPr>
        <w:t>Converting Holders of the Preference Shares had the option to give RBSG the right to arrange for the sale of their Ordinary Shares on their behalf</w:t>
      </w:r>
      <w:r w:rsidR="00CF101F">
        <w:rPr>
          <w:rFonts w:ascii="Arial" w:hAnsi="Arial" w:cs="Arial"/>
        </w:rPr>
        <w:t xml:space="preserve"> at a price of US$1,000 </w:t>
      </w:r>
      <w:r w:rsidR="00B14564">
        <w:rPr>
          <w:rFonts w:ascii="Arial" w:hAnsi="Arial" w:cs="Arial"/>
        </w:rPr>
        <w:t>for the O</w:t>
      </w:r>
      <w:r w:rsidR="00CF101F">
        <w:rPr>
          <w:rFonts w:ascii="Arial" w:hAnsi="Arial" w:cs="Arial"/>
        </w:rPr>
        <w:t>rdinary Shares arising from the conversion of a US$1,000 Preference Share</w:t>
      </w:r>
      <w:r w:rsidR="00240C42">
        <w:rPr>
          <w:rFonts w:ascii="Arial" w:hAnsi="Arial" w:cs="Arial"/>
        </w:rPr>
        <w:t>, receiving cash proceeds instead.</w:t>
      </w:r>
      <w:r>
        <w:rPr>
          <w:rFonts w:ascii="Arial" w:hAnsi="Arial" w:cs="Arial"/>
        </w:rPr>
        <w:t xml:space="preserve"> </w:t>
      </w:r>
      <w:r w:rsidRPr="00771596">
        <w:rPr>
          <w:rFonts w:ascii="Arial" w:hAnsi="Arial" w:cs="Arial"/>
        </w:rPr>
        <w:t xml:space="preserve"> </w:t>
      </w:r>
      <w:r w:rsidRPr="00FF1ED9">
        <w:rPr>
          <w:rFonts w:ascii="Arial" w:hAnsi="Arial"/>
        </w:rPr>
        <w:t>RBS</w:t>
      </w:r>
      <w:r>
        <w:rPr>
          <w:rFonts w:ascii="Arial" w:hAnsi="Arial"/>
        </w:rPr>
        <w:t>G</w:t>
      </w:r>
      <w:r w:rsidRPr="00FF1ED9">
        <w:rPr>
          <w:rFonts w:ascii="Arial" w:hAnsi="Arial"/>
        </w:rPr>
        <w:t xml:space="preserve"> intends to </w:t>
      </w:r>
      <w:r>
        <w:rPr>
          <w:rFonts w:ascii="Arial" w:hAnsi="Arial"/>
        </w:rPr>
        <w:t>exercise its right to arrange for the</w:t>
      </w:r>
      <w:r w:rsidRPr="00FF1ED9">
        <w:rPr>
          <w:rFonts w:ascii="Arial" w:hAnsi="Arial"/>
        </w:rPr>
        <w:t xml:space="preserve"> sale of </w:t>
      </w:r>
      <w:r w:rsidR="00DC1B74">
        <w:rPr>
          <w:rFonts w:ascii="Arial" w:hAnsi="Arial"/>
        </w:rPr>
        <w:t xml:space="preserve">approximately </w:t>
      </w:r>
      <w:r w:rsidRPr="00FF1ED9">
        <w:rPr>
          <w:rFonts w:ascii="Arial" w:hAnsi="Arial"/>
        </w:rPr>
        <w:t>US$5</w:t>
      </w:r>
      <w:r>
        <w:rPr>
          <w:rFonts w:ascii="Arial" w:hAnsi="Arial"/>
        </w:rPr>
        <w:t>48</w:t>
      </w:r>
      <w:r w:rsidRPr="00FF1ED9">
        <w:rPr>
          <w:rFonts w:ascii="Arial" w:hAnsi="Arial"/>
        </w:rPr>
        <w:t xml:space="preserve"> million of Ordinary Shares </w:t>
      </w:r>
      <w:r w:rsidR="00240C42">
        <w:rPr>
          <w:rFonts w:ascii="Arial" w:hAnsi="Arial"/>
        </w:rPr>
        <w:t xml:space="preserve">covered by this election </w:t>
      </w:r>
      <w:r w:rsidRPr="00FF1ED9">
        <w:rPr>
          <w:rFonts w:ascii="Arial" w:hAnsi="Arial"/>
        </w:rPr>
        <w:t>to an RBS</w:t>
      </w:r>
      <w:r>
        <w:rPr>
          <w:rFonts w:ascii="Arial" w:hAnsi="Arial"/>
        </w:rPr>
        <w:t>G</w:t>
      </w:r>
      <w:r w:rsidRPr="00FF1ED9">
        <w:rPr>
          <w:rFonts w:ascii="Arial" w:hAnsi="Arial"/>
        </w:rPr>
        <w:t xml:space="preserve"> employee trust for the purpose of hedging obligations for deferred compensation.</w:t>
      </w:r>
      <w:r>
        <w:rPr>
          <w:rFonts w:ascii="Arial" w:hAnsi="Arial"/>
        </w:rPr>
        <w:t xml:space="preserve"> </w:t>
      </w:r>
    </w:p>
    <w:p w:rsidR="00500282" w:rsidRDefault="00500282" w:rsidP="00500282">
      <w:pPr>
        <w:jc w:val="both"/>
        <w:rPr>
          <w:rFonts w:ascii="Arial" w:hAnsi="Arial" w:cs="Arial"/>
        </w:rPr>
      </w:pPr>
    </w:p>
    <w:p w:rsidR="00500282" w:rsidRPr="00771596" w:rsidRDefault="00DC1B74" w:rsidP="00500282">
      <w:pPr>
        <w:jc w:val="both"/>
        <w:rPr>
          <w:rFonts w:ascii="Arial" w:hAnsi="Arial" w:cs="Arial"/>
        </w:rPr>
      </w:pPr>
      <w:r>
        <w:rPr>
          <w:rFonts w:ascii="Arial" w:hAnsi="Arial" w:cs="Arial"/>
        </w:rPr>
        <w:t xml:space="preserve">Approximately </w:t>
      </w:r>
      <w:r w:rsidR="00500282" w:rsidRPr="00771596">
        <w:rPr>
          <w:rFonts w:ascii="Arial" w:hAnsi="Arial" w:cs="Arial"/>
        </w:rPr>
        <w:t>US$</w:t>
      </w:r>
      <w:r w:rsidR="00500282">
        <w:rPr>
          <w:rFonts w:ascii="Arial" w:hAnsi="Arial" w:cs="Arial"/>
        </w:rPr>
        <w:t>387</w:t>
      </w:r>
      <w:r w:rsidR="00500282" w:rsidRPr="00771596">
        <w:rPr>
          <w:rFonts w:ascii="Arial" w:hAnsi="Arial" w:cs="Arial"/>
        </w:rPr>
        <w:t xml:space="preserve"> million </w:t>
      </w:r>
      <w:r w:rsidR="00FD4DF6">
        <w:rPr>
          <w:rFonts w:ascii="Arial" w:hAnsi="Arial" w:cs="Arial"/>
        </w:rPr>
        <w:t>of preference shares (c. £25</w:t>
      </w:r>
      <w:r>
        <w:rPr>
          <w:rFonts w:ascii="Arial" w:hAnsi="Arial" w:cs="Arial"/>
        </w:rPr>
        <w:t>7</w:t>
      </w:r>
      <w:r w:rsidR="00FD4DF6">
        <w:rPr>
          <w:rFonts w:ascii="Arial" w:hAnsi="Arial" w:cs="Arial"/>
        </w:rPr>
        <w:t>m, c. 6</w:t>
      </w:r>
      <w:r>
        <w:rPr>
          <w:rFonts w:ascii="Arial" w:hAnsi="Arial" w:cs="Arial"/>
        </w:rPr>
        <w:t>6</w:t>
      </w:r>
      <w:r w:rsidR="003859CD">
        <w:rPr>
          <w:rFonts w:ascii="Arial" w:hAnsi="Arial" w:cs="Arial"/>
        </w:rPr>
        <w:t>3</w:t>
      </w:r>
      <w:r w:rsidR="00FD4DF6">
        <w:rPr>
          <w:rFonts w:ascii="Arial" w:hAnsi="Arial" w:cs="Arial"/>
        </w:rPr>
        <w:t xml:space="preserve">m shares) </w:t>
      </w:r>
      <w:r w:rsidR="0099772D">
        <w:rPr>
          <w:rFonts w:ascii="Arial" w:hAnsi="Arial" w:cs="Arial"/>
        </w:rPr>
        <w:t>belong to</w:t>
      </w:r>
      <w:r w:rsidR="008E0566">
        <w:rPr>
          <w:rFonts w:ascii="Arial" w:hAnsi="Arial" w:cs="Arial"/>
        </w:rPr>
        <w:t xml:space="preserve"> Converting Holders</w:t>
      </w:r>
      <w:r w:rsidR="0099772D">
        <w:rPr>
          <w:rFonts w:ascii="Arial" w:hAnsi="Arial" w:cs="Arial"/>
        </w:rPr>
        <w:t xml:space="preserve"> who </w:t>
      </w:r>
      <w:r w:rsidR="00500282" w:rsidRPr="00771596">
        <w:rPr>
          <w:rFonts w:ascii="Arial" w:hAnsi="Arial" w:cs="Arial"/>
        </w:rPr>
        <w:t>did not elect this option and th</w:t>
      </w:r>
      <w:r w:rsidR="0099772D">
        <w:rPr>
          <w:rFonts w:ascii="Arial" w:hAnsi="Arial" w:cs="Arial"/>
        </w:rPr>
        <w:t>erefo</w:t>
      </w:r>
      <w:r w:rsidR="004359BF">
        <w:rPr>
          <w:rFonts w:ascii="Arial" w:hAnsi="Arial" w:cs="Arial"/>
        </w:rPr>
        <w:t xml:space="preserve">re </w:t>
      </w:r>
      <w:r w:rsidR="00FD4DF6" w:rsidRPr="00771596">
        <w:rPr>
          <w:rFonts w:ascii="Arial" w:hAnsi="Arial" w:cs="Arial"/>
        </w:rPr>
        <w:t xml:space="preserve">will </w:t>
      </w:r>
      <w:r w:rsidR="004359BF">
        <w:rPr>
          <w:rFonts w:ascii="Arial" w:hAnsi="Arial" w:cs="Arial"/>
        </w:rPr>
        <w:t xml:space="preserve">receive Ordinary Shares. </w:t>
      </w:r>
    </w:p>
    <w:p w:rsidR="00500282" w:rsidRPr="00771596" w:rsidRDefault="00500282" w:rsidP="00500282">
      <w:pPr>
        <w:jc w:val="both"/>
        <w:rPr>
          <w:rFonts w:ascii="Arial" w:hAnsi="Arial" w:cs="Arial"/>
        </w:rPr>
      </w:pPr>
    </w:p>
    <w:p w:rsidR="00500282" w:rsidRPr="00771596" w:rsidRDefault="00500282" w:rsidP="00500282">
      <w:pPr>
        <w:jc w:val="both"/>
        <w:rPr>
          <w:rFonts w:ascii="Arial" w:hAnsi="Arial" w:cs="Arial"/>
        </w:rPr>
      </w:pPr>
      <w:r w:rsidRPr="00771596">
        <w:rPr>
          <w:rFonts w:ascii="Arial" w:hAnsi="Arial" w:cs="Arial"/>
        </w:rPr>
        <w:lastRenderedPageBreak/>
        <w:t xml:space="preserve">All payments and </w:t>
      </w:r>
      <w:r>
        <w:rPr>
          <w:rFonts w:ascii="Arial" w:hAnsi="Arial" w:cs="Arial"/>
        </w:rPr>
        <w:t xml:space="preserve">the </w:t>
      </w:r>
      <w:r w:rsidRPr="00771596">
        <w:rPr>
          <w:rFonts w:ascii="Arial" w:hAnsi="Arial" w:cs="Arial"/>
        </w:rPr>
        <w:t>delivery of Ordinary shares will occur on 31 March 2010</w:t>
      </w:r>
      <w:r w:rsidR="00287E25">
        <w:rPr>
          <w:rFonts w:ascii="Arial" w:hAnsi="Arial" w:cs="Arial"/>
        </w:rPr>
        <w:t xml:space="preserve">. </w:t>
      </w:r>
      <w:r w:rsidR="00B14564">
        <w:rPr>
          <w:rFonts w:ascii="Arial" w:hAnsi="Arial" w:cs="Arial"/>
        </w:rPr>
        <w:t xml:space="preserve">Each US$1,000 Preference Share converted will entitle the Converting Holder to </w:t>
      </w:r>
      <w:r w:rsidR="00DC1B74">
        <w:rPr>
          <w:rFonts w:ascii="Arial" w:hAnsi="Arial" w:cs="Arial"/>
        </w:rPr>
        <w:t>approximately 1,713</w:t>
      </w:r>
      <w:r w:rsidR="00B14564">
        <w:rPr>
          <w:rFonts w:ascii="Arial" w:hAnsi="Arial" w:cs="Arial"/>
        </w:rPr>
        <w:t xml:space="preserve"> Ordinary Shares</w:t>
      </w:r>
      <w:r w:rsidR="00287E25">
        <w:rPr>
          <w:rFonts w:ascii="Arial" w:hAnsi="Arial" w:cs="Arial"/>
        </w:rPr>
        <w:t xml:space="preserve"> and a total of </w:t>
      </w:r>
      <w:r w:rsidR="00DC1B74">
        <w:rPr>
          <w:rFonts w:ascii="Arial" w:hAnsi="Arial" w:cs="Arial"/>
        </w:rPr>
        <w:t>1,602,058,522</w:t>
      </w:r>
      <w:r w:rsidR="00287E25">
        <w:rPr>
          <w:rFonts w:ascii="Arial" w:hAnsi="Arial" w:cs="Arial"/>
        </w:rPr>
        <w:t xml:space="preserve"> Ordinary Shares will be issued as a result of the conversions.</w:t>
      </w:r>
    </w:p>
    <w:p w:rsidR="00500282" w:rsidRPr="00771596" w:rsidRDefault="00500282" w:rsidP="00500282">
      <w:pPr>
        <w:jc w:val="both"/>
        <w:rPr>
          <w:rFonts w:ascii="Arial" w:hAnsi="Arial" w:cs="Arial"/>
        </w:rPr>
      </w:pPr>
    </w:p>
    <w:p w:rsidR="00500282" w:rsidRDefault="00500282" w:rsidP="00500282">
      <w:pPr>
        <w:jc w:val="both"/>
        <w:rPr>
          <w:rFonts w:ascii="Arial" w:hAnsi="Arial" w:cs="Arial"/>
        </w:rPr>
      </w:pPr>
      <w:r>
        <w:rPr>
          <w:rFonts w:ascii="Arial" w:hAnsi="Arial" w:cs="Arial"/>
        </w:rPr>
        <w:t xml:space="preserve">The Ordinary Shares issued as part of the </w:t>
      </w:r>
      <w:r w:rsidR="00CF101F">
        <w:rPr>
          <w:rFonts w:ascii="Arial" w:hAnsi="Arial" w:cs="Arial"/>
        </w:rPr>
        <w:t>c</w:t>
      </w:r>
      <w:r>
        <w:rPr>
          <w:rFonts w:ascii="Arial" w:hAnsi="Arial" w:cs="Arial"/>
        </w:rPr>
        <w:t xml:space="preserve">onversion </w:t>
      </w:r>
      <w:r w:rsidR="00CF101F">
        <w:rPr>
          <w:rFonts w:ascii="Arial" w:hAnsi="Arial" w:cs="Arial"/>
        </w:rPr>
        <w:t>p</w:t>
      </w:r>
      <w:r>
        <w:rPr>
          <w:rFonts w:ascii="Arial" w:hAnsi="Arial" w:cs="Arial"/>
        </w:rPr>
        <w:t xml:space="preserve">rocess will </w:t>
      </w:r>
      <w:r w:rsidR="00287E25">
        <w:rPr>
          <w:rFonts w:ascii="Arial" w:hAnsi="Arial" w:cs="Arial"/>
        </w:rPr>
        <w:t>be</w:t>
      </w:r>
      <w:r>
        <w:rPr>
          <w:rFonts w:ascii="Arial" w:hAnsi="Arial" w:cs="Arial"/>
        </w:rPr>
        <w:t xml:space="preserve"> fully-paid up and </w:t>
      </w:r>
      <w:r w:rsidR="00287E25">
        <w:rPr>
          <w:rFonts w:ascii="Arial" w:hAnsi="Arial" w:cs="Arial"/>
        </w:rPr>
        <w:t xml:space="preserve">rank </w:t>
      </w:r>
      <w:r>
        <w:rPr>
          <w:rFonts w:ascii="Arial" w:hAnsi="Arial" w:cs="Arial"/>
        </w:rPr>
        <w:t xml:space="preserve">pari passu with the other Ordinary Shares. </w:t>
      </w:r>
    </w:p>
    <w:p w:rsidR="00500282" w:rsidRDefault="00500282" w:rsidP="00500282">
      <w:pPr>
        <w:jc w:val="both"/>
        <w:rPr>
          <w:rFonts w:ascii="Arial" w:hAnsi="Arial" w:cs="Arial"/>
        </w:rPr>
      </w:pPr>
    </w:p>
    <w:p w:rsidR="00500282" w:rsidRPr="00771596" w:rsidRDefault="00500282" w:rsidP="00500282">
      <w:pPr>
        <w:jc w:val="both"/>
        <w:rPr>
          <w:rFonts w:ascii="Arial" w:hAnsi="Arial" w:cs="Arial"/>
        </w:rPr>
      </w:pPr>
      <w:r>
        <w:rPr>
          <w:rFonts w:ascii="Arial" w:hAnsi="Arial" w:cs="Arial"/>
        </w:rPr>
        <w:t xml:space="preserve">The remaining </w:t>
      </w:r>
      <w:r w:rsidR="00DC1B74">
        <w:rPr>
          <w:rFonts w:ascii="Arial" w:hAnsi="Arial" w:cs="Arial"/>
        </w:rPr>
        <w:t xml:space="preserve">c. </w:t>
      </w:r>
      <w:r>
        <w:rPr>
          <w:rFonts w:ascii="Arial" w:hAnsi="Arial" w:cs="Arial"/>
        </w:rPr>
        <w:t xml:space="preserve">US$65 million of Preference Shares will continue to be freely tradable and will </w:t>
      </w:r>
      <w:r w:rsidR="00CF101F">
        <w:rPr>
          <w:rFonts w:ascii="Arial" w:hAnsi="Arial" w:cs="Arial"/>
        </w:rPr>
        <w:t xml:space="preserve">remain outstanding on </w:t>
      </w:r>
      <w:r>
        <w:rPr>
          <w:rFonts w:ascii="Arial" w:hAnsi="Arial" w:cs="Arial"/>
        </w:rPr>
        <w:t xml:space="preserve">the terms and conditions set out in </w:t>
      </w:r>
      <w:r w:rsidR="00AA25A9">
        <w:rPr>
          <w:rFonts w:ascii="Arial" w:hAnsi="Arial" w:cs="Arial"/>
        </w:rPr>
        <w:t>RBSG’s Articles of Association</w:t>
      </w:r>
      <w:r w:rsidR="00CF101F">
        <w:rPr>
          <w:rFonts w:ascii="Arial" w:hAnsi="Arial" w:cs="Arial"/>
        </w:rPr>
        <w:t xml:space="preserve"> and the relevant Board Resolution</w:t>
      </w:r>
      <w:r w:rsidR="00AA25A9">
        <w:rPr>
          <w:rFonts w:ascii="Arial" w:hAnsi="Arial" w:cs="Arial"/>
        </w:rPr>
        <w:t>.</w:t>
      </w:r>
    </w:p>
    <w:p w:rsidR="00500282" w:rsidRDefault="00500282" w:rsidP="00FF1ED9">
      <w:pPr>
        <w:rPr>
          <w:rFonts w:ascii="Arial" w:hAnsi="Arial"/>
        </w:rPr>
      </w:pPr>
    </w:p>
    <w:p w:rsidR="00287E25" w:rsidRPr="00BE0D1B" w:rsidRDefault="00287E25" w:rsidP="00287E25">
      <w:pPr>
        <w:jc w:val="both"/>
        <w:rPr>
          <w:rFonts w:ascii="Arial" w:hAnsi="Arial" w:cs="Arial"/>
        </w:rPr>
      </w:pPr>
      <w:r w:rsidRPr="00BE0D1B">
        <w:rPr>
          <w:rFonts w:ascii="Arial" w:hAnsi="Arial" w:cs="Arial"/>
        </w:rPr>
        <w:t>Application</w:t>
      </w:r>
      <w:r w:rsidR="00A65EE7">
        <w:rPr>
          <w:rFonts w:ascii="Arial" w:hAnsi="Arial" w:cs="Arial"/>
        </w:rPr>
        <w:t xml:space="preserve"> </w:t>
      </w:r>
      <w:r w:rsidRPr="00BE0D1B">
        <w:rPr>
          <w:rFonts w:ascii="Arial" w:hAnsi="Arial" w:cs="Arial"/>
        </w:rPr>
        <w:t xml:space="preserve">will be made </w:t>
      </w:r>
      <w:r>
        <w:rPr>
          <w:rFonts w:ascii="Arial" w:hAnsi="Arial" w:cs="Arial"/>
        </w:rPr>
        <w:t>for</w:t>
      </w:r>
      <w:r w:rsidRPr="00BE0D1B">
        <w:rPr>
          <w:rFonts w:ascii="Arial" w:hAnsi="Arial" w:cs="Arial"/>
        </w:rPr>
        <w:t xml:space="preserve"> the</w:t>
      </w:r>
      <w:r>
        <w:rPr>
          <w:rFonts w:ascii="Arial" w:hAnsi="Arial" w:cs="Arial"/>
        </w:rPr>
        <w:t xml:space="preserve"> </w:t>
      </w:r>
      <w:r w:rsidR="0058130A" w:rsidRPr="0058130A">
        <w:rPr>
          <w:rFonts w:ascii="Arial" w:hAnsi="Arial" w:cs="Arial"/>
        </w:rPr>
        <w:t>1,602,058,522</w:t>
      </w:r>
      <w:r w:rsidR="00A65EE7">
        <w:rPr>
          <w:rFonts w:ascii="Arial" w:hAnsi="Arial" w:cs="Arial"/>
        </w:rPr>
        <w:t xml:space="preserve"> </w:t>
      </w:r>
      <w:r>
        <w:rPr>
          <w:rFonts w:ascii="Arial" w:hAnsi="Arial" w:cs="Arial"/>
        </w:rPr>
        <w:t>new Ordinary Shares arising fro</w:t>
      </w:r>
      <w:r w:rsidRPr="00BE0D1B">
        <w:rPr>
          <w:rFonts w:ascii="Arial" w:hAnsi="Arial" w:cs="Arial"/>
        </w:rPr>
        <w:t xml:space="preserve">m the conversion of the Preference Shares </w:t>
      </w:r>
      <w:r>
        <w:rPr>
          <w:rFonts w:ascii="Arial" w:hAnsi="Arial" w:cs="Arial"/>
        </w:rPr>
        <w:t xml:space="preserve">to be </w:t>
      </w:r>
      <w:r w:rsidRPr="00BE0D1B">
        <w:rPr>
          <w:rFonts w:ascii="Arial" w:hAnsi="Arial" w:cs="Arial"/>
        </w:rPr>
        <w:t>admitted to the Official List of the United Kingdom Listing Authority</w:t>
      </w:r>
      <w:r w:rsidR="0058130A">
        <w:rPr>
          <w:rFonts w:ascii="Arial" w:hAnsi="Arial" w:cs="Arial"/>
        </w:rPr>
        <w:t>,</w:t>
      </w:r>
      <w:r w:rsidRPr="00BE0D1B">
        <w:rPr>
          <w:rFonts w:ascii="Arial" w:hAnsi="Arial" w:cs="Arial"/>
        </w:rPr>
        <w:t xml:space="preserve"> </w:t>
      </w:r>
      <w:r>
        <w:rPr>
          <w:rFonts w:ascii="Arial" w:hAnsi="Arial" w:cs="Arial"/>
        </w:rPr>
        <w:t>the London Stock Exchange</w:t>
      </w:r>
      <w:r w:rsidRPr="00BE0D1B">
        <w:rPr>
          <w:rFonts w:ascii="Arial" w:hAnsi="Arial" w:cs="Arial"/>
        </w:rPr>
        <w:t>, the New York Stock Exchange (the “</w:t>
      </w:r>
      <w:r w:rsidRPr="00BE0D1B">
        <w:rPr>
          <w:rFonts w:ascii="Arial" w:hAnsi="Arial" w:cs="Arial"/>
          <w:b/>
        </w:rPr>
        <w:t>NYSE</w:t>
      </w:r>
      <w:r w:rsidRPr="00BE0D1B">
        <w:rPr>
          <w:rFonts w:ascii="Arial" w:hAnsi="Arial" w:cs="Arial"/>
        </w:rPr>
        <w:t xml:space="preserve">”) (American Depositary Shares </w:t>
      </w:r>
      <w:r w:rsidR="00B565C6">
        <w:rPr>
          <w:rFonts w:ascii="Arial" w:hAnsi="Arial" w:cs="Arial"/>
        </w:rPr>
        <w:t xml:space="preserve">(“ADS”) </w:t>
      </w:r>
      <w:r w:rsidRPr="00BE0D1B">
        <w:rPr>
          <w:rFonts w:ascii="Arial" w:hAnsi="Arial" w:cs="Arial"/>
        </w:rPr>
        <w:t xml:space="preserve">will also be listed with the NYSE, in addition to the New Ordinary Shares underlying the ADSs) and Euronext Amsterdam. </w:t>
      </w:r>
    </w:p>
    <w:p w:rsidR="00287E25" w:rsidRDefault="00287E25" w:rsidP="00FF1ED9">
      <w:pPr>
        <w:rPr>
          <w:rFonts w:ascii="Arial" w:hAnsi="Arial"/>
        </w:rPr>
      </w:pPr>
    </w:p>
    <w:p w:rsidR="00500282" w:rsidRDefault="00500282" w:rsidP="00FF1ED9">
      <w:pPr>
        <w:rPr>
          <w:rFonts w:ascii="Arial" w:hAnsi="Arial"/>
        </w:rPr>
      </w:pPr>
    </w:p>
    <w:p w:rsidR="00500282" w:rsidRPr="00211075" w:rsidRDefault="00500282" w:rsidP="00500282">
      <w:pPr>
        <w:rPr>
          <w:rFonts w:ascii="Arial" w:hAnsi="Arial"/>
          <w:b/>
        </w:rPr>
      </w:pPr>
      <w:r>
        <w:rPr>
          <w:rFonts w:ascii="Arial" w:hAnsi="Arial"/>
          <w:b/>
        </w:rPr>
        <w:t>2</w:t>
      </w:r>
      <w:r w:rsidRPr="00211075">
        <w:rPr>
          <w:rFonts w:ascii="Arial" w:hAnsi="Arial"/>
          <w:b/>
        </w:rPr>
        <w:t xml:space="preserve">) </w:t>
      </w:r>
      <w:r w:rsidR="003717F1" w:rsidRPr="003717F1">
        <w:rPr>
          <w:rFonts w:ascii="Arial" w:hAnsi="Arial"/>
          <w:b/>
        </w:rPr>
        <w:t xml:space="preserve">2009 </w:t>
      </w:r>
      <w:r w:rsidR="00FD4DF6">
        <w:rPr>
          <w:rFonts w:ascii="Arial" w:hAnsi="Arial"/>
          <w:b/>
        </w:rPr>
        <w:t>Deferr</w:t>
      </w:r>
      <w:r w:rsidR="00FC3552">
        <w:rPr>
          <w:rFonts w:ascii="Arial" w:hAnsi="Arial"/>
          <w:b/>
        </w:rPr>
        <w:t>al Plan</w:t>
      </w:r>
      <w:r w:rsidR="003717F1" w:rsidRPr="003717F1">
        <w:rPr>
          <w:rFonts w:ascii="Arial" w:hAnsi="Arial"/>
          <w:b/>
        </w:rPr>
        <w:t xml:space="preserve"> </w:t>
      </w:r>
      <w:r w:rsidR="003717F1">
        <w:rPr>
          <w:rFonts w:ascii="Arial" w:hAnsi="Arial"/>
          <w:b/>
        </w:rPr>
        <w:t>Funding</w:t>
      </w:r>
    </w:p>
    <w:p w:rsidR="00500282" w:rsidRPr="00211075" w:rsidRDefault="00500282" w:rsidP="00500282">
      <w:pPr>
        <w:rPr>
          <w:rFonts w:ascii="Arial" w:hAnsi="Arial"/>
        </w:rPr>
      </w:pPr>
    </w:p>
    <w:p w:rsidR="00FC3552" w:rsidRPr="00D800F2" w:rsidRDefault="00FC3552" w:rsidP="00FC3552">
      <w:pPr>
        <w:rPr>
          <w:rFonts w:ascii="Arial" w:hAnsi="Arial"/>
          <w:u w:val="single"/>
        </w:rPr>
      </w:pPr>
      <w:r w:rsidRPr="00211075">
        <w:rPr>
          <w:rFonts w:ascii="Arial" w:hAnsi="Arial"/>
        </w:rPr>
        <w:t xml:space="preserve">As part of </w:t>
      </w:r>
      <w:r>
        <w:rPr>
          <w:rFonts w:ascii="Arial" w:hAnsi="Arial"/>
        </w:rPr>
        <w:t>RBSG’s FY</w:t>
      </w:r>
      <w:r w:rsidRPr="00211075">
        <w:rPr>
          <w:rFonts w:ascii="Arial" w:hAnsi="Arial"/>
        </w:rPr>
        <w:t>2009 performance year deferral plan</w:t>
      </w:r>
      <w:r>
        <w:rPr>
          <w:rFonts w:ascii="Arial" w:hAnsi="Arial"/>
        </w:rPr>
        <w:t xml:space="preserve">, </w:t>
      </w:r>
      <w:r w:rsidRPr="00211075">
        <w:rPr>
          <w:rFonts w:ascii="Arial" w:hAnsi="Arial"/>
        </w:rPr>
        <w:t>eligible RBS</w:t>
      </w:r>
      <w:r>
        <w:rPr>
          <w:rFonts w:ascii="Arial" w:hAnsi="Arial"/>
        </w:rPr>
        <w:t>G</w:t>
      </w:r>
      <w:r w:rsidRPr="00211075">
        <w:rPr>
          <w:rFonts w:ascii="Arial" w:hAnsi="Arial"/>
        </w:rPr>
        <w:t xml:space="preserve"> employees will receive </w:t>
      </w:r>
      <w:r>
        <w:rPr>
          <w:rFonts w:ascii="Arial" w:hAnsi="Arial"/>
        </w:rPr>
        <w:t>RBSG o</w:t>
      </w:r>
      <w:r w:rsidRPr="00211075">
        <w:rPr>
          <w:rFonts w:ascii="Arial" w:hAnsi="Arial"/>
        </w:rPr>
        <w:t xml:space="preserve">rdinary </w:t>
      </w:r>
      <w:r>
        <w:rPr>
          <w:rFonts w:ascii="Arial" w:hAnsi="Arial"/>
        </w:rPr>
        <w:t>s</w:t>
      </w:r>
      <w:r w:rsidRPr="00211075">
        <w:rPr>
          <w:rFonts w:ascii="Arial" w:hAnsi="Arial"/>
        </w:rPr>
        <w:t>hares</w:t>
      </w:r>
      <w:r>
        <w:rPr>
          <w:rFonts w:ascii="Arial" w:hAnsi="Arial"/>
        </w:rPr>
        <w:t xml:space="preserve"> (“Ordinary Shares”)</w:t>
      </w:r>
      <w:r w:rsidRPr="00211075">
        <w:rPr>
          <w:rFonts w:ascii="Arial" w:hAnsi="Arial"/>
        </w:rPr>
        <w:t xml:space="preserve"> for </w:t>
      </w:r>
      <w:r>
        <w:rPr>
          <w:rFonts w:ascii="Arial" w:hAnsi="Arial"/>
        </w:rPr>
        <w:t>part or all</w:t>
      </w:r>
      <w:r w:rsidRPr="00211075">
        <w:rPr>
          <w:rFonts w:ascii="Arial" w:hAnsi="Arial"/>
        </w:rPr>
        <w:t xml:space="preserve"> of their </w:t>
      </w:r>
      <w:r>
        <w:rPr>
          <w:rFonts w:ascii="Arial" w:hAnsi="Arial"/>
        </w:rPr>
        <w:t xml:space="preserve">deferred </w:t>
      </w:r>
      <w:r w:rsidRPr="00211075">
        <w:rPr>
          <w:rFonts w:ascii="Arial" w:hAnsi="Arial"/>
        </w:rPr>
        <w:t>award</w:t>
      </w:r>
      <w:r>
        <w:rPr>
          <w:rFonts w:ascii="Arial" w:hAnsi="Arial"/>
        </w:rPr>
        <w:t>s under the Plan. As currently estimated</w:t>
      </w:r>
      <w:r w:rsidRPr="00FF1ED9">
        <w:rPr>
          <w:rFonts w:ascii="Arial" w:hAnsi="Arial"/>
        </w:rPr>
        <w:t xml:space="preserve"> RBS</w:t>
      </w:r>
      <w:r>
        <w:rPr>
          <w:rFonts w:ascii="Arial" w:hAnsi="Arial"/>
        </w:rPr>
        <w:t>G</w:t>
      </w:r>
      <w:r w:rsidRPr="00FF1ED9">
        <w:rPr>
          <w:rFonts w:ascii="Arial" w:hAnsi="Arial"/>
        </w:rPr>
        <w:t xml:space="preserve"> employees </w:t>
      </w:r>
      <w:r>
        <w:rPr>
          <w:rFonts w:ascii="Arial" w:hAnsi="Arial"/>
        </w:rPr>
        <w:t xml:space="preserve">are expected to </w:t>
      </w:r>
      <w:r w:rsidRPr="00FF1ED9">
        <w:rPr>
          <w:rFonts w:ascii="Arial" w:hAnsi="Arial"/>
        </w:rPr>
        <w:t>receive approximately £950 million of Ordinary Shares</w:t>
      </w:r>
      <w:r>
        <w:rPr>
          <w:rFonts w:ascii="Arial" w:hAnsi="Arial"/>
        </w:rPr>
        <w:t xml:space="preserve"> in this regard on future vesting dates</w:t>
      </w:r>
      <w:r w:rsidRPr="00FF1ED9">
        <w:rPr>
          <w:rFonts w:ascii="Arial" w:hAnsi="Arial"/>
        </w:rPr>
        <w:t xml:space="preserve">, of which £500 million will be satisfied by newly issued shares, </w:t>
      </w:r>
      <w:r>
        <w:rPr>
          <w:rFonts w:ascii="Arial" w:hAnsi="Arial"/>
        </w:rPr>
        <w:t>£36</w:t>
      </w:r>
      <w:r w:rsidR="00DC1B74">
        <w:rPr>
          <w:rFonts w:ascii="Arial" w:hAnsi="Arial"/>
        </w:rPr>
        <w:t>3</w:t>
      </w:r>
      <w:r w:rsidR="00A65EE7">
        <w:rPr>
          <w:rFonts w:ascii="Arial" w:hAnsi="Arial"/>
        </w:rPr>
        <w:t xml:space="preserve"> </w:t>
      </w:r>
      <w:r>
        <w:rPr>
          <w:rFonts w:ascii="Arial" w:hAnsi="Arial"/>
        </w:rPr>
        <w:t>m</w:t>
      </w:r>
      <w:r w:rsidR="00A65EE7">
        <w:rPr>
          <w:rFonts w:ascii="Arial" w:hAnsi="Arial"/>
        </w:rPr>
        <w:t>illion</w:t>
      </w:r>
      <w:r>
        <w:rPr>
          <w:rFonts w:ascii="Arial" w:hAnsi="Arial"/>
        </w:rPr>
        <w:t xml:space="preserve"> of shares will come from the </w:t>
      </w:r>
      <w:r w:rsidR="008E0566">
        <w:rPr>
          <w:rFonts w:ascii="Arial" w:hAnsi="Arial"/>
        </w:rPr>
        <w:t>Converting H</w:t>
      </w:r>
      <w:r>
        <w:rPr>
          <w:rFonts w:ascii="Arial" w:hAnsi="Arial"/>
        </w:rPr>
        <w:t>olders who elected to provide RBSG the option to sell shares on their behalf,</w:t>
      </w:r>
      <w:r w:rsidRPr="00FF1ED9">
        <w:rPr>
          <w:rFonts w:ascii="Arial" w:hAnsi="Arial"/>
        </w:rPr>
        <w:t xml:space="preserve"> </w:t>
      </w:r>
      <w:r>
        <w:rPr>
          <w:rFonts w:ascii="Arial" w:hAnsi="Arial"/>
        </w:rPr>
        <w:t xml:space="preserve">and </w:t>
      </w:r>
      <w:r w:rsidRPr="00FF1ED9">
        <w:rPr>
          <w:rFonts w:ascii="Arial" w:hAnsi="Arial"/>
        </w:rPr>
        <w:t xml:space="preserve">the balance </w:t>
      </w:r>
      <w:r>
        <w:rPr>
          <w:rFonts w:ascii="Arial" w:hAnsi="Arial"/>
        </w:rPr>
        <w:t>of £8</w:t>
      </w:r>
      <w:r w:rsidR="00DC1B74">
        <w:rPr>
          <w:rFonts w:ascii="Arial" w:hAnsi="Arial"/>
        </w:rPr>
        <w:t>7</w:t>
      </w:r>
      <w:r w:rsidR="00B565C6">
        <w:rPr>
          <w:rFonts w:ascii="Arial" w:hAnsi="Arial"/>
        </w:rPr>
        <w:t xml:space="preserve"> </w:t>
      </w:r>
      <w:r>
        <w:rPr>
          <w:rFonts w:ascii="Arial" w:hAnsi="Arial"/>
        </w:rPr>
        <w:t>m</w:t>
      </w:r>
      <w:r w:rsidR="00B565C6">
        <w:rPr>
          <w:rFonts w:ascii="Arial" w:hAnsi="Arial"/>
        </w:rPr>
        <w:t>illion</w:t>
      </w:r>
      <w:r>
        <w:rPr>
          <w:rFonts w:ascii="Arial" w:hAnsi="Arial"/>
        </w:rPr>
        <w:t xml:space="preserve"> will come </w:t>
      </w:r>
      <w:r w:rsidRPr="00FF1ED9">
        <w:rPr>
          <w:rFonts w:ascii="Arial" w:hAnsi="Arial"/>
        </w:rPr>
        <w:t>from open market purchases</w:t>
      </w:r>
      <w:r>
        <w:rPr>
          <w:rFonts w:ascii="Arial" w:hAnsi="Arial"/>
        </w:rPr>
        <w:t xml:space="preserve">. </w:t>
      </w:r>
    </w:p>
    <w:p w:rsidR="00500282" w:rsidRPr="00D800F2" w:rsidRDefault="00AA25A9" w:rsidP="00500282">
      <w:pPr>
        <w:rPr>
          <w:rFonts w:ascii="Arial" w:hAnsi="Arial"/>
          <w:u w:val="single"/>
        </w:rPr>
      </w:pPr>
      <w:r>
        <w:rPr>
          <w:rFonts w:ascii="Arial" w:hAnsi="Arial"/>
        </w:rPr>
        <w:t xml:space="preserve"> </w:t>
      </w:r>
    </w:p>
    <w:p w:rsidR="00FF1ED9" w:rsidRDefault="00FF1ED9" w:rsidP="00211075">
      <w:pPr>
        <w:rPr>
          <w:rFonts w:ascii="Arial" w:hAnsi="Arial"/>
        </w:rPr>
      </w:pPr>
    </w:p>
    <w:p w:rsidR="00211075" w:rsidRDefault="00211075" w:rsidP="00211075">
      <w:pPr>
        <w:rPr>
          <w:rFonts w:ascii="Arial" w:hAnsi="Arial"/>
          <w:b/>
        </w:rPr>
      </w:pPr>
      <w:r w:rsidRPr="00211075">
        <w:rPr>
          <w:rFonts w:ascii="Arial" w:hAnsi="Arial"/>
          <w:b/>
        </w:rPr>
        <w:t xml:space="preserve">3) Liability Management </w:t>
      </w:r>
      <w:r w:rsidR="00D800F2" w:rsidRPr="00211075">
        <w:rPr>
          <w:rFonts w:ascii="Arial" w:hAnsi="Arial"/>
          <w:b/>
        </w:rPr>
        <w:t>I</w:t>
      </w:r>
      <w:r w:rsidR="00D800F2">
        <w:rPr>
          <w:rFonts w:ascii="Arial" w:hAnsi="Arial"/>
          <w:b/>
        </w:rPr>
        <w:t>n</w:t>
      </w:r>
      <w:r w:rsidR="00D800F2" w:rsidRPr="00211075">
        <w:rPr>
          <w:rFonts w:ascii="Arial" w:hAnsi="Arial"/>
          <w:b/>
        </w:rPr>
        <w:t>itiative</w:t>
      </w:r>
    </w:p>
    <w:p w:rsidR="00211075" w:rsidRPr="00211075" w:rsidRDefault="00211075" w:rsidP="00211075">
      <w:pPr>
        <w:rPr>
          <w:rFonts w:ascii="Arial" w:hAnsi="Arial"/>
          <w:b/>
        </w:rPr>
      </w:pPr>
    </w:p>
    <w:p w:rsidR="00211075" w:rsidRPr="00211075" w:rsidRDefault="0007116F" w:rsidP="00211075">
      <w:pPr>
        <w:rPr>
          <w:rFonts w:ascii="Arial" w:hAnsi="Arial"/>
        </w:rPr>
      </w:pPr>
      <w:r w:rsidRPr="0007116F">
        <w:rPr>
          <w:rFonts w:ascii="Arial" w:hAnsi="Arial" w:cs="Arial"/>
        </w:rPr>
        <w:t xml:space="preserve">RBSG, through separate RNS statements, has today announced </w:t>
      </w:r>
      <w:r w:rsidR="00031507">
        <w:rPr>
          <w:rFonts w:ascii="Arial" w:hAnsi="Arial" w:cs="Arial"/>
        </w:rPr>
        <w:t xml:space="preserve">our intention to launch </w:t>
      </w:r>
      <w:r w:rsidRPr="0007116F">
        <w:rPr>
          <w:rFonts w:ascii="Arial" w:hAnsi="Arial" w:cs="Arial"/>
        </w:rPr>
        <w:t xml:space="preserve">a </w:t>
      </w:r>
      <w:r w:rsidR="00141C1C">
        <w:rPr>
          <w:rFonts w:ascii="Arial" w:hAnsi="Arial" w:cs="Arial"/>
        </w:rPr>
        <w:t xml:space="preserve">non-US </w:t>
      </w:r>
      <w:r w:rsidRPr="0007116F">
        <w:rPr>
          <w:rFonts w:ascii="Arial" w:hAnsi="Arial" w:cs="Arial"/>
        </w:rPr>
        <w:t xml:space="preserve">Exchange Offer of existing Upper Tier 2 securities into new senior debt of RBS plc and cash </w:t>
      </w:r>
      <w:r w:rsidR="008D19FA">
        <w:rPr>
          <w:rFonts w:ascii="Arial" w:hAnsi="Arial" w:cs="Arial"/>
        </w:rPr>
        <w:t>t</w:t>
      </w:r>
      <w:r w:rsidR="008D19FA" w:rsidRPr="0007116F">
        <w:rPr>
          <w:rFonts w:ascii="Arial" w:hAnsi="Arial" w:cs="Arial"/>
        </w:rPr>
        <w:t xml:space="preserve">ender </w:t>
      </w:r>
      <w:r w:rsidR="008D19FA">
        <w:rPr>
          <w:rFonts w:ascii="Arial" w:hAnsi="Arial" w:cs="Arial"/>
        </w:rPr>
        <w:t>o</w:t>
      </w:r>
      <w:r w:rsidR="008D19FA" w:rsidRPr="0007116F">
        <w:rPr>
          <w:rFonts w:ascii="Arial" w:hAnsi="Arial" w:cs="Arial"/>
        </w:rPr>
        <w:t>ffer</w:t>
      </w:r>
      <w:r w:rsidR="008D19FA">
        <w:rPr>
          <w:rFonts w:ascii="Arial" w:hAnsi="Arial" w:cs="Arial"/>
        </w:rPr>
        <w:t>s</w:t>
      </w:r>
      <w:r w:rsidR="008D19FA" w:rsidRPr="0007116F">
        <w:rPr>
          <w:rFonts w:ascii="Arial" w:hAnsi="Arial" w:cs="Arial"/>
        </w:rPr>
        <w:t xml:space="preserve"> </w:t>
      </w:r>
      <w:r w:rsidRPr="0007116F">
        <w:rPr>
          <w:rFonts w:ascii="Arial" w:hAnsi="Arial" w:cs="Arial"/>
        </w:rPr>
        <w:t xml:space="preserve">for certain Tier 1 securities.  </w:t>
      </w:r>
      <w:r>
        <w:rPr>
          <w:rFonts w:ascii="Arial" w:hAnsi="Arial" w:cs="Arial"/>
        </w:rPr>
        <w:t xml:space="preserve">The </w:t>
      </w:r>
      <w:r w:rsidR="00CF101F">
        <w:rPr>
          <w:rFonts w:ascii="Arial" w:hAnsi="Arial" w:cs="Arial"/>
        </w:rPr>
        <w:t xml:space="preserve">purpose </w:t>
      </w:r>
      <w:r>
        <w:rPr>
          <w:rFonts w:ascii="Arial" w:hAnsi="Arial" w:cs="Arial"/>
        </w:rPr>
        <w:t xml:space="preserve">of this Liability Management Initiative is to </w:t>
      </w:r>
      <w:r w:rsidR="00211075" w:rsidRPr="00211075">
        <w:rPr>
          <w:rFonts w:ascii="Arial" w:hAnsi="Arial"/>
        </w:rPr>
        <w:t>generat</w:t>
      </w:r>
      <w:r w:rsidR="000B02CE">
        <w:rPr>
          <w:rFonts w:ascii="Arial" w:hAnsi="Arial"/>
        </w:rPr>
        <w:t>e</w:t>
      </w:r>
      <w:r w:rsidR="00211075" w:rsidRPr="00211075">
        <w:rPr>
          <w:rFonts w:ascii="Arial" w:hAnsi="Arial"/>
        </w:rPr>
        <w:t xml:space="preserve"> Core Tier 1 </w:t>
      </w:r>
      <w:r w:rsidR="00FA10BA">
        <w:rPr>
          <w:rFonts w:ascii="Arial" w:hAnsi="Arial"/>
        </w:rPr>
        <w:t>capital</w:t>
      </w:r>
      <w:r w:rsidR="007C000B">
        <w:rPr>
          <w:rFonts w:ascii="Arial" w:hAnsi="Arial"/>
        </w:rPr>
        <w:t xml:space="preserve"> and lower our ongoing financing costs, delivering earnings accretion which more than offsets the dilution resulting from the actions referenced above.</w:t>
      </w:r>
      <w:r w:rsidR="00AA25A9">
        <w:rPr>
          <w:rFonts w:ascii="Arial" w:hAnsi="Arial"/>
        </w:rPr>
        <w:t xml:space="preserve"> </w:t>
      </w:r>
      <w:r w:rsidR="00211075" w:rsidRPr="00211075">
        <w:rPr>
          <w:rFonts w:ascii="Arial" w:hAnsi="Arial"/>
        </w:rPr>
        <w:t xml:space="preserve">The </w:t>
      </w:r>
      <w:r w:rsidR="00141C1C">
        <w:rPr>
          <w:rFonts w:ascii="Arial" w:hAnsi="Arial"/>
        </w:rPr>
        <w:t>Liability Management Initiative</w:t>
      </w:r>
      <w:r w:rsidR="00141C1C" w:rsidRPr="00211075">
        <w:rPr>
          <w:rFonts w:ascii="Arial" w:hAnsi="Arial"/>
        </w:rPr>
        <w:t xml:space="preserve"> </w:t>
      </w:r>
      <w:r w:rsidR="00CF101F">
        <w:rPr>
          <w:rFonts w:ascii="Arial" w:hAnsi="Arial"/>
        </w:rPr>
        <w:t xml:space="preserve">is expected to </w:t>
      </w:r>
      <w:r w:rsidR="00211075" w:rsidRPr="00211075">
        <w:rPr>
          <w:rFonts w:ascii="Arial" w:hAnsi="Arial"/>
        </w:rPr>
        <w:t>consist of two components:</w:t>
      </w:r>
    </w:p>
    <w:p w:rsidR="00211075" w:rsidRPr="00211075" w:rsidRDefault="00211075" w:rsidP="00211075">
      <w:pPr>
        <w:rPr>
          <w:rFonts w:ascii="Arial" w:hAnsi="Arial"/>
        </w:rPr>
      </w:pPr>
    </w:p>
    <w:p w:rsidR="00FB0E56" w:rsidRDefault="008D19FA" w:rsidP="00211075">
      <w:pPr>
        <w:numPr>
          <w:ilvl w:val="0"/>
          <w:numId w:val="3"/>
        </w:numPr>
        <w:rPr>
          <w:rFonts w:ascii="Arial" w:hAnsi="Arial"/>
        </w:rPr>
      </w:pPr>
      <w:r>
        <w:rPr>
          <w:rFonts w:ascii="Arial" w:hAnsi="Arial"/>
        </w:rPr>
        <w:t>Non-US e</w:t>
      </w:r>
      <w:r w:rsidR="00211075" w:rsidRPr="00211075">
        <w:rPr>
          <w:rFonts w:ascii="Arial" w:hAnsi="Arial"/>
        </w:rPr>
        <w:t xml:space="preserve">xchange offer </w:t>
      </w:r>
      <w:r w:rsidR="002314AD">
        <w:rPr>
          <w:rFonts w:ascii="Arial" w:hAnsi="Arial"/>
        </w:rPr>
        <w:t>(the “</w:t>
      </w:r>
      <w:r w:rsidR="002314AD" w:rsidRPr="002314AD">
        <w:rPr>
          <w:rFonts w:ascii="Arial" w:hAnsi="Arial"/>
          <w:b/>
        </w:rPr>
        <w:t>Exchange Offer</w:t>
      </w:r>
      <w:r w:rsidR="002314AD">
        <w:rPr>
          <w:rFonts w:ascii="Arial" w:hAnsi="Arial"/>
        </w:rPr>
        <w:t xml:space="preserve">”) </w:t>
      </w:r>
      <w:r w:rsidR="00211075" w:rsidRPr="00211075">
        <w:rPr>
          <w:rFonts w:ascii="Arial" w:hAnsi="Arial"/>
        </w:rPr>
        <w:t xml:space="preserve">of existing Upper Tier 2 securities into new senior debt </w:t>
      </w:r>
      <w:r w:rsidR="00FB0E56">
        <w:rPr>
          <w:rFonts w:ascii="Arial" w:hAnsi="Arial"/>
        </w:rPr>
        <w:t>in an “any and all” offer</w:t>
      </w:r>
    </w:p>
    <w:p w:rsidR="00211075" w:rsidRPr="00211075" w:rsidRDefault="005B4C05" w:rsidP="00211075">
      <w:pPr>
        <w:numPr>
          <w:ilvl w:val="0"/>
          <w:numId w:val="3"/>
        </w:numPr>
        <w:rPr>
          <w:rFonts w:ascii="Arial" w:hAnsi="Arial"/>
        </w:rPr>
      </w:pPr>
      <w:r>
        <w:rPr>
          <w:rFonts w:ascii="Arial" w:hAnsi="Arial"/>
        </w:rPr>
        <w:t xml:space="preserve">Separate US and </w:t>
      </w:r>
      <w:r w:rsidR="00141C1C">
        <w:rPr>
          <w:rFonts w:ascii="Arial" w:hAnsi="Arial"/>
        </w:rPr>
        <w:t>non</w:t>
      </w:r>
      <w:r>
        <w:rPr>
          <w:rFonts w:ascii="Arial" w:hAnsi="Arial"/>
        </w:rPr>
        <w:t>-US c</w:t>
      </w:r>
      <w:r w:rsidR="00211075" w:rsidRPr="00211075">
        <w:rPr>
          <w:rFonts w:ascii="Arial" w:hAnsi="Arial"/>
        </w:rPr>
        <w:t>ash tender</w:t>
      </w:r>
      <w:r w:rsidR="008D19FA">
        <w:rPr>
          <w:rFonts w:ascii="Arial" w:hAnsi="Arial"/>
        </w:rPr>
        <w:t xml:space="preserve"> offers</w:t>
      </w:r>
      <w:r w:rsidR="00211075" w:rsidRPr="00211075">
        <w:rPr>
          <w:rFonts w:ascii="Arial" w:hAnsi="Arial"/>
        </w:rPr>
        <w:t xml:space="preserve"> </w:t>
      </w:r>
      <w:r w:rsidR="00566F9A">
        <w:rPr>
          <w:rFonts w:ascii="Arial" w:hAnsi="Arial"/>
        </w:rPr>
        <w:t>(the “</w:t>
      </w:r>
      <w:r w:rsidR="00566F9A">
        <w:rPr>
          <w:rFonts w:ascii="Arial" w:hAnsi="Arial"/>
          <w:b/>
        </w:rPr>
        <w:t>Tender Offers</w:t>
      </w:r>
      <w:r w:rsidR="00566F9A" w:rsidRPr="00566F9A">
        <w:rPr>
          <w:rFonts w:ascii="Arial" w:hAnsi="Arial"/>
        </w:rPr>
        <w:t>”)</w:t>
      </w:r>
      <w:r w:rsidR="00566F9A">
        <w:rPr>
          <w:rFonts w:ascii="Arial" w:hAnsi="Arial"/>
          <w:b/>
        </w:rPr>
        <w:t xml:space="preserve"> </w:t>
      </w:r>
      <w:r w:rsidR="00211075" w:rsidRPr="00211075">
        <w:rPr>
          <w:rFonts w:ascii="Arial" w:hAnsi="Arial"/>
        </w:rPr>
        <w:t>for all outstanding Tier 1 securities globally</w:t>
      </w:r>
      <w:r w:rsidR="00FB0E56">
        <w:rPr>
          <w:rFonts w:ascii="Arial" w:hAnsi="Arial"/>
        </w:rPr>
        <w:t>, with</w:t>
      </w:r>
      <w:r w:rsidR="00211075" w:rsidRPr="00211075">
        <w:rPr>
          <w:rFonts w:ascii="Arial" w:hAnsi="Arial"/>
        </w:rPr>
        <w:t xml:space="preserve"> acceptance caps and prioritisation orders applied to both transaction</w:t>
      </w:r>
      <w:r w:rsidR="008D19FA">
        <w:rPr>
          <w:rFonts w:ascii="Arial" w:hAnsi="Arial"/>
        </w:rPr>
        <w:t>s</w:t>
      </w:r>
      <w:r w:rsidR="00211075" w:rsidRPr="00211075">
        <w:rPr>
          <w:rFonts w:ascii="Arial" w:hAnsi="Arial"/>
        </w:rPr>
        <w:t xml:space="preserve">. </w:t>
      </w:r>
    </w:p>
    <w:p w:rsidR="00211075" w:rsidRPr="00211075" w:rsidRDefault="00211075" w:rsidP="00211075">
      <w:pPr>
        <w:rPr>
          <w:rFonts w:ascii="Arial" w:hAnsi="Arial"/>
        </w:rPr>
      </w:pPr>
    </w:p>
    <w:p w:rsidR="00FB0E56" w:rsidRDefault="00211075" w:rsidP="00211075">
      <w:pPr>
        <w:rPr>
          <w:rFonts w:ascii="Arial" w:hAnsi="Arial"/>
        </w:rPr>
      </w:pPr>
      <w:r w:rsidRPr="00211075">
        <w:rPr>
          <w:rFonts w:ascii="Arial" w:hAnsi="Arial"/>
        </w:rPr>
        <w:t xml:space="preserve">The liability management transaction is expected to </w:t>
      </w:r>
      <w:r w:rsidR="00F16338">
        <w:rPr>
          <w:rFonts w:ascii="Arial" w:hAnsi="Arial"/>
        </w:rPr>
        <w:t xml:space="preserve">generate an after-tax gain of </w:t>
      </w:r>
      <w:r w:rsidR="00FA10BA">
        <w:rPr>
          <w:rFonts w:ascii="Arial" w:hAnsi="Arial"/>
        </w:rPr>
        <w:t xml:space="preserve">approximately </w:t>
      </w:r>
      <w:r w:rsidR="00031507">
        <w:rPr>
          <w:rFonts w:ascii="Arial" w:hAnsi="Arial"/>
        </w:rPr>
        <w:t>£1.</w:t>
      </w:r>
      <w:r w:rsidR="007C000B">
        <w:rPr>
          <w:rFonts w:ascii="Arial" w:hAnsi="Arial"/>
        </w:rPr>
        <w:t>25</w:t>
      </w:r>
      <w:r w:rsidR="00FA10BA">
        <w:rPr>
          <w:rFonts w:ascii="Arial" w:hAnsi="Arial"/>
        </w:rPr>
        <w:t>bn</w:t>
      </w:r>
      <w:r w:rsidR="00F16338">
        <w:rPr>
          <w:rFonts w:ascii="Arial" w:hAnsi="Arial"/>
        </w:rPr>
        <w:t xml:space="preserve">, which will increase Core Tier 1 capital by approximately 30bps, </w:t>
      </w:r>
      <w:r w:rsidR="00FA10BA">
        <w:rPr>
          <w:rFonts w:ascii="Arial" w:hAnsi="Arial"/>
        </w:rPr>
        <w:t xml:space="preserve">and </w:t>
      </w:r>
      <w:r w:rsidR="00287E25">
        <w:rPr>
          <w:rFonts w:ascii="Arial" w:hAnsi="Arial"/>
        </w:rPr>
        <w:t xml:space="preserve">is expected to </w:t>
      </w:r>
      <w:r w:rsidR="00FA10BA">
        <w:rPr>
          <w:rFonts w:ascii="Arial" w:hAnsi="Arial"/>
        </w:rPr>
        <w:t xml:space="preserve">increase </w:t>
      </w:r>
      <w:r w:rsidR="00334AF2">
        <w:rPr>
          <w:rFonts w:ascii="Arial" w:hAnsi="Arial"/>
        </w:rPr>
        <w:t xml:space="preserve">2013 </w:t>
      </w:r>
      <w:r w:rsidRPr="00211075">
        <w:rPr>
          <w:rFonts w:ascii="Arial" w:hAnsi="Arial"/>
        </w:rPr>
        <w:t>EPS and TNAV per share</w:t>
      </w:r>
      <w:r w:rsidR="00FB0E56">
        <w:rPr>
          <w:rFonts w:ascii="Arial" w:hAnsi="Arial"/>
        </w:rPr>
        <w:t xml:space="preserve"> </w:t>
      </w:r>
      <w:r w:rsidR="00FA10BA">
        <w:rPr>
          <w:rFonts w:ascii="Arial" w:hAnsi="Arial"/>
        </w:rPr>
        <w:t xml:space="preserve">by approximately 3.9% and 3.0% respectively. The transaction </w:t>
      </w:r>
      <w:r w:rsidR="00566F9A">
        <w:rPr>
          <w:rFonts w:ascii="Arial" w:hAnsi="Arial"/>
        </w:rPr>
        <w:t xml:space="preserve">is not expected to </w:t>
      </w:r>
      <w:r w:rsidR="00FA10BA">
        <w:rPr>
          <w:rFonts w:ascii="Arial" w:hAnsi="Arial"/>
        </w:rPr>
        <w:t xml:space="preserve">result in a reduction in Total Tier 1 capital by more than 0.5%, while </w:t>
      </w:r>
      <w:r w:rsidR="00F44C0A">
        <w:rPr>
          <w:rFonts w:ascii="Arial" w:hAnsi="Arial"/>
        </w:rPr>
        <w:t xml:space="preserve">increasing the quantity of the highest quality </w:t>
      </w:r>
      <w:r w:rsidR="00F16338">
        <w:rPr>
          <w:rFonts w:ascii="Arial" w:hAnsi="Arial"/>
        </w:rPr>
        <w:t>Core Tier</w:t>
      </w:r>
      <w:r w:rsidR="00FD4DF6">
        <w:rPr>
          <w:rFonts w:ascii="Arial" w:hAnsi="Arial"/>
        </w:rPr>
        <w:t xml:space="preserve"> </w:t>
      </w:r>
      <w:r w:rsidR="00F16338">
        <w:rPr>
          <w:rFonts w:ascii="Arial" w:hAnsi="Arial"/>
        </w:rPr>
        <w:t>1 capital, an important consideration under</w:t>
      </w:r>
      <w:r w:rsidR="00F44C0A">
        <w:rPr>
          <w:rFonts w:ascii="Arial" w:hAnsi="Arial"/>
        </w:rPr>
        <w:t xml:space="preserve"> emerging regulation.</w:t>
      </w:r>
      <w:r w:rsidR="00FA10BA">
        <w:rPr>
          <w:rFonts w:ascii="Arial" w:hAnsi="Arial"/>
        </w:rPr>
        <w:t xml:space="preserve"> </w:t>
      </w:r>
    </w:p>
    <w:p w:rsidR="00FB0E56" w:rsidRDefault="00FB0E56" w:rsidP="00211075">
      <w:pPr>
        <w:rPr>
          <w:rFonts w:ascii="Arial" w:hAnsi="Arial"/>
        </w:rPr>
      </w:pPr>
    </w:p>
    <w:p w:rsidR="00211075" w:rsidRPr="00211075" w:rsidRDefault="00FB0E56" w:rsidP="00211075">
      <w:pPr>
        <w:rPr>
          <w:rFonts w:ascii="Arial" w:hAnsi="Arial"/>
        </w:rPr>
      </w:pPr>
      <w:r>
        <w:rPr>
          <w:rFonts w:ascii="Arial" w:hAnsi="Arial"/>
        </w:rPr>
        <w:t xml:space="preserve">The Liability Management Initiative is forecast to exchange </w:t>
      </w:r>
      <w:r w:rsidR="005B4C05">
        <w:rPr>
          <w:rFonts w:ascii="Arial" w:hAnsi="Arial"/>
        </w:rPr>
        <w:t>approximately £2</w:t>
      </w:r>
      <w:r w:rsidR="00031507">
        <w:rPr>
          <w:rFonts w:ascii="Arial" w:hAnsi="Arial"/>
        </w:rPr>
        <w:t>.7</w:t>
      </w:r>
      <w:r w:rsidR="005B4C05">
        <w:rPr>
          <w:rFonts w:ascii="Arial" w:hAnsi="Arial"/>
        </w:rPr>
        <w:t>bn of Upper Tier 2 securities into new senior debt</w:t>
      </w:r>
      <w:r w:rsidR="00F16338">
        <w:rPr>
          <w:rFonts w:ascii="Arial" w:hAnsi="Arial"/>
        </w:rPr>
        <w:t xml:space="preserve"> of approximately £2.1bn, and</w:t>
      </w:r>
      <w:r w:rsidR="005B4C05">
        <w:rPr>
          <w:rFonts w:ascii="Arial" w:hAnsi="Arial"/>
        </w:rPr>
        <w:t xml:space="preserve"> </w:t>
      </w:r>
      <w:r w:rsidR="005372D6">
        <w:rPr>
          <w:rFonts w:ascii="Arial" w:hAnsi="Arial"/>
        </w:rPr>
        <w:t xml:space="preserve">is expected to successfully tender for cash </w:t>
      </w:r>
      <w:r w:rsidR="005B4C05">
        <w:rPr>
          <w:rFonts w:ascii="Arial" w:hAnsi="Arial"/>
        </w:rPr>
        <w:t>approximately £</w:t>
      </w:r>
      <w:r w:rsidR="00031507">
        <w:rPr>
          <w:rFonts w:ascii="Arial" w:hAnsi="Arial"/>
        </w:rPr>
        <w:t>3.4</w:t>
      </w:r>
      <w:r w:rsidR="005B4C05">
        <w:rPr>
          <w:rFonts w:ascii="Arial" w:hAnsi="Arial"/>
        </w:rPr>
        <w:t xml:space="preserve">bn of Tier 1 securities </w:t>
      </w:r>
      <w:r w:rsidR="00FD4DF6">
        <w:rPr>
          <w:rFonts w:ascii="Arial" w:hAnsi="Arial"/>
        </w:rPr>
        <w:t>which will be</w:t>
      </w:r>
      <w:r w:rsidR="005B4C05">
        <w:rPr>
          <w:rFonts w:ascii="Arial" w:hAnsi="Arial"/>
        </w:rPr>
        <w:t xml:space="preserve"> </w:t>
      </w:r>
      <w:r w:rsidRPr="00FB0E56">
        <w:rPr>
          <w:rFonts w:ascii="Arial" w:hAnsi="Arial"/>
        </w:rPr>
        <w:t>funded through new senior debt issuance</w:t>
      </w:r>
      <w:r w:rsidR="005372D6">
        <w:rPr>
          <w:rFonts w:ascii="Arial" w:hAnsi="Arial"/>
        </w:rPr>
        <w:t xml:space="preserve"> of approximately £2.7bn</w:t>
      </w:r>
      <w:r w:rsidR="005B4C05">
        <w:rPr>
          <w:rFonts w:ascii="Arial" w:hAnsi="Arial"/>
        </w:rPr>
        <w:t>.</w:t>
      </w:r>
    </w:p>
    <w:p w:rsidR="00211075" w:rsidRPr="00211075" w:rsidRDefault="00211075" w:rsidP="00211075">
      <w:pPr>
        <w:rPr>
          <w:rFonts w:ascii="Arial" w:hAnsi="Arial"/>
        </w:rPr>
      </w:pPr>
    </w:p>
    <w:p w:rsidR="00E42226" w:rsidRDefault="00E42226" w:rsidP="0007116F">
      <w:pPr>
        <w:jc w:val="both"/>
        <w:rPr>
          <w:rFonts w:ascii="Arial" w:hAnsi="Arial" w:cs="Arial"/>
        </w:rPr>
      </w:pPr>
      <w:r w:rsidRPr="00E42226">
        <w:rPr>
          <w:rFonts w:ascii="Arial" w:hAnsi="Arial" w:cs="Arial"/>
        </w:rPr>
        <w:t>RBS expects to announce the offers in early April and will seek shareholder approvals as required in coordination with the Annual General Meeting called for 28 April 2010</w:t>
      </w:r>
      <w:r w:rsidR="00B565C6">
        <w:rPr>
          <w:rFonts w:ascii="Arial" w:hAnsi="Arial" w:cs="Arial"/>
        </w:rPr>
        <w:t>.</w:t>
      </w:r>
      <w:r w:rsidRPr="00E42226">
        <w:rPr>
          <w:rFonts w:ascii="Arial" w:hAnsi="Arial" w:cs="Arial"/>
        </w:rPr>
        <w:t xml:space="preserve"> </w:t>
      </w:r>
    </w:p>
    <w:p w:rsidR="00E42226" w:rsidRDefault="00E42226" w:rsidP="0007116F">
      <w:pPr>
        <w:jc w:val="both"/>
        <w:rPr>
          <w:rFonts w:ascii="Arial" w:hAnsi="Arial" w:cs="Arial"/>
        </w:rPr>
      </w:pPr>
    </w:p>
    <w:p w:rsidR="001F47B3" w:rsidRDefault="0007116F" w:rsidP="0007116F">
      <w:pPr>
        <w:jc w:val="both"/>
        <w:rPr>
          <w:rFonts w:ascii="Arial" w:hAnsi="Arial" w:cs="Arial"/>
        </w:rPr>
      </w:pPr>
      <w:r w:rsidRPr="0007116F">
        <w:rPr>
          <w:rFonts w:ascii="Arial" w:hAnsi="Arial" w:cs="Arial"/>
        </w:rPr>
        <w:t xml:space="preserve">The securities subject to the Exchange Offer </w:t>
      </w:r>
      <w:r w:rsidR="008D19FA">
        <w:rPr>
          <w:rFonts w:ascii="Arial" w:hAnsi="Arial" w:cs="Arial"/>
        </w:rPr>
        <w:t>are iss</w:t>
      </w:r>
      <w:r w:rsidR="00566F9A">
        <w:rPr>
          <w:rFonts w:ascii="Arial" w:hAnsi="Arial" w:cs="Arial"/>
        </w:rPr>
        <w:t xml:space="preserve">ued by The Royal Bank of Scotland Group plc, The Royal Bank of Scotland </w:t>
      </w:r>
      <w:r w:rsidR="008D19FA">
        <w:rPr>
          <w:rFonts w:ascii="Arial" w:hAnsi="Arial" w:cs="Arial"/>
        </w:rPr>
        <w:t>plc</w:t>
      </w:r>
      <w:r w:rsidR="00566F9A">
        <w:rPr>
          <w:rFonts w:ascii="Arial" w:hAnsi="Arial" w:cs="Arial"/>
        </w:rPr>
        <w:t xml:space="preserve"> and National Westminster Bank </w:t>
      </w:r>
      <w:r w:rsidR="0054497D" w:rsidRPr="0054497D">
        <w:rPr>
          <w:rFonts w:ascii="Arial" w:hAnsi="Arial" w:cs="Arial"/>
        </w:rPr>
        <w:t xml:space="preserve">Public Limited Company </w:t>
      </w:r>
      <w:r w:rsidR="00566F9A">
        <w:rPr>
          <w:rFonts w:ascii="Arial" w:hAnsi="Arial" w:cs="Arial"/>
        </w:rPr>
        <w:t xml:space="preserve"> </w:t>
      </w:r>
      <w:r w:rsidRPr="0007116F">
        <w:rPr>
          <w:rFonts w:ascii="Arial" w:hAnsi="Arial" w:cs="Arial"/>
        </w:rPr>
        <w:t xml:space="preserve">and the </w:t>
      </w:r>
      <w:r w:rsidR="00566F9A">
        <w:rPr>
          <w:rFonts w:ascii="Arial" w:hAnsi="Arial" w:cs="Arial"/>
        </w:rPr>
        <w:t xml:space="preserve">securities subject to the </w:t>
      </w:r>
      <w:r w:rsidRPr="0007116F">
        <w:rPr>
          <w:rFonts w:ascii="Arial" w:hAnsi="Arial" w:cs="Arial"/>
        </w:rPr>
        <w:t>Tender Offer</w:t>
      </w:r>
      <w:r w:rsidR="00AB2E3C">
        <w:rPr>
          <w:rFonts w:ascii="Arial" w:hAnsi="Arial" w:cs="Arial"/>
        </w:rPr>
        <w:t>s</w:t>
      </w:r>
      <w:r w:rsidRPr="0007116F">
        <w:rPr>
          <w:rFonts w:ascii="Arial" w:hAnsi="Arial" w:cs="Arial"/>
        </w:rPr>
        <w:t xml:space="preserve"> are issued by </w:t>
      </w:r>
      <w:r w:rsidR="00566F9A">
        <w:rPr>
          <w:rFonts w:ascii="Arial" w:hAnsi="Arial" w:cs="Arial"/>
        </w:rPr>
        <w:t xml:space="preserve">The Royal Bank of Scotland </w:t>
      </w:r>
      <w:r w:rsidRPr="0007116F">
        <w:rPr>
          <w:rFonts w:ascii="Arial" w:hAnsi="Arial" w:cs="Arial"/>
        </w:rPr>
        <w:t xml:space="preserve">Group plc, National Westminster Bank </w:t>
      </w:r>
      <w:r w:rsidR="0054497D" w:rsidRPr="0054497D">
        <w:rPr>
          <w:rFonts w:ascii="Arial" w:hAnsi="Arial" w:cs="Arial"/>
        </w:rPr>
        <w:t>Public Limited Company</w:t>
      </w:r>
      <w:r w:rsidR="00566F9A">
        <w:rPr>
          <w:rFonts w:ascii="Arial" w:hAnsi="Arial" w:cs="Arial"/>
        </w:rPr>
        <w:t xml:space="preserve">, Argon Capital Public Limited Company </w:t>
      </w:r>
      <w:r w:rsidRPr="0007116F">
        <w:rPr>
          <w:rFonts w:ascii="Arial" w:hAnsi="Arial" w:cs="Arial"/>
        </w:rPr>
        <w:t xml:space="preserve">and </w:t>
      </w:r>
      <w:r w:rsidR="008D19FA">
        <w:rPr>
          <w:rFonts w:ascii="Arial" w:hAnsi="Arial" w:cs="Arial"/>
        </w:rPr>
        <w:t>certain wholly</w:t>
      </w:r>
      <w:r w:rsidRPr="0007116F">
        <w:rPr>
          <w:rFonts w:ascii="Arial" w:hAnsi="Arial" w:cs="Arial"/>
        </w:rPr>
        <w:t>-owned trusts</w:t>
      </w:r>
      <w:r w:rsidR="00FA10BA">
        <w:rPr>
          <w:rFonts w:ascii="Arial" w:hAnsi="Arial" w:cs="Arial"/>
        </w:rPr>
        <w:t xml:space="preserve">.  </w:t>
      </w:r>
      <w:r w:rsidRPr="0007116F">
        <w:rPr>
          <w:rFonts w:ascii="Arial" w:hAnsi="Arial" w:cs="Arial"/>
        </w:rPr>
        <w:t xml:space="preserve">A full list of the </w:t>
      </w:r>
      <w:r w:rsidR="00CB63E9">
        <w:rPr>
          <w:rFonts w:ascii="Arial" w:hAnsi="Arial" w:cs="Arial"/>
        </w:rPr>
        <w:t>s</w:t>
      </w:r>
      <w:r w:rsidRPr="0007116F">
        <w:rPr>
          <w:rFonts w:ascii="Arial" w:hAnsi="Arial" w:cs="Arial"/>
        </w:rPr>
        <w:t xml:space="preserve">ecurities and details of the Exchange </w:t>
      </w:r>
      <w:r w:rsidR="00AB2E3C">
        <w:rPr>
          <w:rFonts w:ascii="Arial" w:hAnsi="Arial" w:cs="Arial"/>
        </w:rPr>
        <w:t>O</w:t>
      </w:r>
      <w:r w:rsidR="008D19FA">
        <w:rPr>
          <w:rFonts w:ascii="Arial" w:hAnsi="Arial" w:cs="Arial"/>
        </w:rPr>
        <w:t xml:space="preserve">ffer </w:t>
      </w:r>
      <w:r w:rsidRPr="0007116F">
        <w:rPr>
          <w:rFonts w:ascii="Arial" w:hAnsi="Arial" w:cs="Arial"/>
        </w:rPr>
        <w:t xml:space="preserve">and </w:t>
      </w:r>
      <w:r w:rsidR="00AB2E3C">
        <w:rPr>
          <w:rFonts w:ascii="Arial" w:hAnsi="Arial" w:cs="Arial"/>
        </w:rPr>
        <w:t>Tender O</w:t>
      </w:r>
      <w:r w:rsidR="008D19FA">
        <w:rPr>
          <w:rFonts w:ascii="Arial" w:hAnsi="Arial" w:cs="Arial"/>
        </w:rPr>
        <w:t xml:space="preserve">ffers </w:t>
      </w:r>
      <w:r w:rsidRPr="0007116F">
        <w:rPr>
          <w:rFonts w:ascii="Arial" w:hAnsi="Arial" w:cs="Arial"/>
        </w:rPr>
        <w:t xml:space="preserve">are </w:t>
      </w:r>
      <w:r w:rsidRPr="00771596">
        <w:rPr>
          <w:rFonts w:ascii="Arial" w:hAnsi="Arial" w:cs="Arial"/>
        </w:rPr>
        <w:t>disclosed in the relevan</w:t>
      </w:r>
      <w:r>
        <w:rPr>
          <w:rFonts w:ascii="Arial" w:hAnsi="Arial" w:cs="Arial"/>
        </w:rPr>
        <w:t>t RNS statement issued by RBSG</w:t>
      </w:r>
      <w:r w:rsidR="008D19FA">
        <w:rPr>
          <w:rFonts w:ascii="Arial" w:hAnsi="Arial" w:cs="Arial"/>
        </w:rPr>
        <w:t xml:space="preserve"> today</w:t>
      </w:r>
      <w:r>
        <w:rPr>
          <w:rFonts w:ascii="Arial" w:hAnsi="Arial" w:cs="Arial"/>
        </w:rPr>
        <w:t>.</w:t>
      </w:r>
    </w:p>
    <w:p w:rsidR="001F47B3" w:rsidRDefault="001F47B3" w:rsidP="0007116F">
      <w:pPr>
        <w:jc w:val="both"/>
        <w:rPr>
          <w:rFonts w:ascii="Arial" w:hAnsi="Arial" w:cs="Arial"/>
        </w:rPr>
      </w:pPr>
    </w:p>
    <w:p w:rsidR="00287E25" w:rsidRPr="00847B97" w:rsidRDefault="00287E25" w:rsidP="00287E25">
      <w:pPr>
        <w:jc w:val="both"/>
        <w:rPr>
          <w:rFonts w:ascii="Arial" w:hAnsi="Arial" w:cs="Arial"/>
        </w:rPr>
      </w:pPr>
      <w:r>
        <w:rPr>
          <w:rFonts w:ascii="Arial" w:hAnsi="Arial" w:cs="Arial"/>
        </w:rPr>
        <w:t>Details of the (i) Exchange Offer will be set out in an exchange offer memorandum (the “</w:t>
      </w:r>
      <w:r>
        <w:rPr>
          <w:rFonts w:ascii="Arial" w:hAnsi="Arial" w:cs="Arial"/>
          <w:b/>
        </w:rPr>
        <w:t>Exchange Offer Memorandum</w:t>
      </w:r>
      <w:r>
        <w:rPr>
          <w:rFonts w:ascii="Arial" w:hAnsi="Arial" w:cs="Arial"/>
        </w:rPr>
        <w:t>”), (ii) US cash tender offers will be set out in an offer to purchase (the “</w:t>
      </w:r>
      <w:r>
        <w:rPr>
          <w:rFonts w:ascii="Arial" w:hAnsi="Arial" w:cs="Arial"/>
          <w:b/>
        </w:rPr>
        <w:t>Offer to Purchase</w:t>
      </w:r>
      <w:r>
        <w:rPr>
          <w:rFonts w:ascii="Arial" w:hAnsi="Arial" w:cs="Arial"/>
        </w:rPr>
        <w:t>”); and (iii) Non-US cash tender offers will be set out in a tender offer memorandum (the “</w:t>
      </w:r>
      <w:r>
        <w:rPr>
          <w:rFonts w:ascii="Arial" w:hAnsi="Arial" w:cs="Arial"/>
          <w:b/>
        </w:rPr>
        <w:t>Tender Offer Memorandum</w:t>
      </w:r>
      <w:r>
        <w:rPr>
          <w:rFonts w:ascii="Arial" w:hAnsi="Arial" w:cs="Arial"/>
        </w:rPr>
        <w:t>”), each to be published in due course. The Exchange Offer Memorandum, the Offer to Purchase and the Tender Offer Memorandum, once published, may be obtained from the registered office of RBSG.</w:t>
      </w:r>
    </w:p>
    <w:p w:rsidR="00EA3973" w:rsidRDefault="00EA3973" w:rsidP="0007116F">
      <w:pPr>
        <w:jc w:val="both"/>
        <w:rPr>
          <w:rFonts w:ascii="Arial" w:hAnsi="Arial" w:cs="Arial"/>
        </w:rPr>
      </w:pPr>
    </w:p>
    <w:p w:rsidR="00EA3973" w:rsidRDefault="00EA3973" w:rsidP="0007116F">
      <w:pPr>
        <w:jc w:val="both"/>
        <w:rPr>
          <w:rFonts w:ascii="Arial" w:hAnsi="Arial" w:cs="Arial"/>
        </w:rPr>
      </w:pPr>
    </w:p>
    <w:p w:rsidR="00FA10BA" w:rsidRDefault="00FA10BA" w:rsidP="0007116F">
      <w:pPr>
        <w:jc w:val="both"/>
        <w:rPr>
          <w:rFonts w:ascii="Arial" w:hAnsi="Arial" w:cs="Arial"/>
        </w:rPr>
      </w:pPr>
      <w:r>
        <w:rPr>
          <w:rFonts w:ascii="Arial" w:hAnsi="Arial" w:cs="Arial"/>
        </w:rPr>
        <w:t>The net impact of the three actions described above is laid out in the table below:</w:t>
      </w:r>
    </w:p>
    <w:p w:rsidR="00F44C0A" w:rsidRPr="00436FF8" w:rsidRDefault="00436FF8" w:rsidP="00F44C0A">
      <w:pPr>
        <w:spacing w:before="120"/>
        <w:jc w:val="center"/>
        <w:rPr>
          <w:rFonts w:ascii="Arial" w:hAnsi="Arial" w:cs="Arial"/>
          <w:b/>
          <w:sz w:val="32"/>
          <w:szCs w:val="32"/>
          <w:vertAlign w:val="superscript"/>
        </w:rPr>
      </w:pPr>
      <w:r>
        <w:rPr>
          <w:rFonts w:ascii="Arial" w:hAnsi="Arial" w:cs="Arial"/>
          <w:b/>
          <w:sz w:val="32"/>
          <w:szCs w:val="32"/>
          <w:vertAlign w:val="superscript"/>
        </w:rPr>
        <w:t xml:space="preserve"> (</w:t>
      </w:r>
      <w:r w:rsidR="00F44C0A" w:rsidRPr="00436FF8">
        <w:rPr>
          <w:rFonts w:ascii="Arial" w:hAnsi="Arial" w:cs="Arial"/>
          <w:b/>
          <w:sz w:val="32"/>
          <w:szCs w:val="32"/>
          <w:vertAlign w:val="superscript"/>
        </w:rPr>
        <w:t xml:space="preserve">All numbers </w:t>
      </w:r>
      <w:r w:rsidR="00E34840">
        <w:rPr>
          <w:rFonts w:ascii="Arial" w:hAnsi="Arial" w:cs="Arial"/>
          <w:b/>
          <w:sz w:val="32"/>
          <w:szCs w:val="32"/>
          <w:vertAlign w:val="superscript"/>
        </w:rPr>
        <w:t xml:space="preserve">are approximate and </w:t>
      </w:r>
      <w:r w:rsidR="00F44C0A" w:rsidRPr="00436FF8">
        <w:rPr>
          <w:rFonts w:ascii="Arial" w:hAnsi="Arial" w:cs="Arial"/>
          <w:b/>
          <w:sz w:val="32"/>
          <w:szCs w:val="32"/>
          <w:vertAlign w:val="superscript"/>
        </w:rPr>
        <w:t>indicative only</w:t>
      </w:r>
      <w:r>
        <w:rPr>
          <w:rFonts w:ascii="Arial" w:hAnsi="Arial" w:cs="Arial"/>
          <w:b/>
          <w:sz w:val="32"/>
          <w:szCs w:val="32"/>
          <w:vertAlign w:val="superscript"/>
        </w:rPr>
        <w:t>)</w:t>
      </w:r>
    </w:p>
    <w:p w:rsidR="00F44C0A" w:rsidRPr="00880287" w:rsidRDefault="00436FF8" w:rsidP="00436FF8">
      <w:pPr>
        <w:spacing w:before="120"/>
        <w:rPr>
          <w:rFonts w:ascii="Arial" w:hAnsi="Arial" w:cs="Arial"/>
          <w:b/>
          <w:sz w:val="32"/>
          <w:szCs w:val="32"/>
          <w:u w:val="single"/>
          <w:vertAlign w:val="superscript"/>
        </w:rPr>
      </w:pPr>
      <w:r>
        <w:rPr>
          <w:rFonts w:ascii="Arial" w:hAnsi="Arial" w:cs="Arial"/>
          <w:b/>
          <w:sz w:val="32"/>
          <w:szCs w:val="32"/>
          <w:u w:val="single"/>
          <w:vertAlign w:val="superscript"/>
        </w:rPr>
        <w:t xml:space="preserve">Estimated </w:t>
      </w:r>
      <w:r w:rsidRPr="00880287">
        <w:rPr>
          <w:rFonts w:ascii="Arial" w:hAnsi="Arial" w:cs="Arial"/>
          <w:b/>
          <w:sz w:val="32"/>
          <w:szCs w:val="32"/>
          <w:u w:val="single"/>
          <w:vertAlign w:val="superscript"/>
        </w:rPr>
        <w:t>Financial Impact of Capital Management Activities</w:t>
      </w:r>
      <w:r>
        <w:rPr>
          <w:rFonts w:ascii="Arial" w:hAnsi="Arial" w:cs="Arial"/>
          <w:b/>
          <w:sz w:val="32"/>
          <w:szCs w:val="32"/>
          <w:u w:val="single"/>
          <w:vertAlign w:val="superscript"/>
        </w:rPr>
        <w:t xml:space="preserve"> </w:t>
      </w:r>
    </w:p>
    <w:tbl>
      <w:tblPr>
        <w:tblStyle w:val="TableGrid"/>
        <w:tblW w:w="10456" w:type="dxa"/>
        <w:tblLook w:val="01E0"/>
      </w:tblPr>
      <w:tblGrid>
        <w:gridCol w:w="2660"/>
        <w:gridCol w:w="1134"/>
        <w:gridCol w:w="1134"/>
        <w:gridCol w:w="1843"/>
        <w:gridCol w:w="1842"/>
        <w:gridCol w:w="1843"/>
      </w:tblGrid>
      <w:tr w:rsidR="005372D6" w:rsidTr="00FD4DF6">
        <w:tc>
          <w:tcPr>
            <w:tcW w:w="2660" w:type="dxa"/>
          </w:tcPr>
          <w:p w:rsidR="005372D6" w:rsidRDefault="005372D6" w:rsidP="000014D4">
            <w:pPr>
              <w:spacing w:before="120"/>
              <w:rPr>
                <w:rFonts w:ascii="Arial" w:hAnsi="Arial" w:cs="Arial"/>
                <w:sz w:val="22"/>
                <w:szCs w:val="22"/>
                <w:vertAlign w:val="superscript"/>
              </w:rPr>
            </w:pPr>
          </w:p>
        </w:tc>
        <w:tc>
          <w:tcPr>
            <w:tcW w:w="1134" w:type="dxa"/>
          </w:tcPr>
          <w:p w:rsidR="005372D6" w:rsidRPr="00880287" w:rsidRDefault="005372D6" w:rsidP="000014D4">
            <w:pPr>
              <w:spacing w:before="120"/>
              <w:rPr>
                <w:rFonts w:ascii="Arial" w:hAnsi="Arial" w:cs="Arial"/>
                <w:b/>
                <w:sz w:val="24"/>
                <w:szCs w:val="24"/>
                <w:vertAlign w:val="superscript"/>
              </w:rPr>
            </w:pPr>
            <w:r w:rsidRPr="00880287">
              <w:rPr>
                <w:rFonts w:ascii="Arial" w:hAnsi="Arial" w:cs="Arial"/>
                <w:b/>
                <w:sz w:val="24"/>
                <w:szCs w:val="24"/>
                <w:vertAlign w:val="superscript"/>
              </w:rPr>
              <w:t>Core Tier 1</w:t>
            </w:r>
          </w:p>
        </w:tc>
        <w:tc>
          <w:tcPr>
            <w:tcW w:w="1134" w:type="dxa"/>
          </w:tcPr>
          <w:p w:rsidR="005372D6" w:rsidRPr="00880287" w:rsidRDefault="005372D6" w:rsidP="000014D4">
            <w:pPr>
              <w:spacing w:before="120"/>
              <w:rPr>
                <w:rFonts w:ascii="Arial" w:hAnsi="Arial" w:cs="Arial"/>
                <w:b/>
                <w:sz w:val="24"/>
                <w:szCs w:val="24"/>
                <w:vertAlign w:val="superscript"/>
              </w:rPr>
            </w:pPr>
            <w:r w:rsidRPr="00880287">
              <w:rPr>
                <w:rFonts w:ascii="Arial" w:hAnsi="Arial" w:cs="Arial"/>
                <w:b/>
                <w:sz w:val="24"/>
                <w:szCs w:val="24"/>
                <w:vertAlign w:val="superscript"/>
              </w:rPr>
              <w:t>EPS (2013)</w:t>
            </w:r>
          </w:p>
        </w:tc>
        <w:tc>
          <w:tcPr>
            <w:tcW w:w="1843" w:type="dxa"/>
          </w:tcPr>
          <w:p w:rsidR="005372D6" w:rsidRPr="00880287" w:rsidRDefault="005372D6" w:rsidP="000014D4">
            <w:pPr>
              <w:spacing w:before="120"/>
              <w:rPr>
                <w:rFonts w:ascii="Arial" w:hAnsi="Arial" w:cs="Arial"/>
                <w:b/>
                <w:sz w:val="24"/>
                <w:szCs w:val="24"/>
                <w:vertAlign w:val="superscript"/>
              </w:rPr>
            </w:pPr>
            <w:r w:rsidRPr="00880287">
              <w:rPr>
                <w:rFonts w:ascii="Arial" w:hAnsi="Arial" w:cs="Arial"/>
                <w:b/>
                <w:sz w:val="24"/>
                <w:szCs w:val="24"/>
                <w:vertAlign w:val="superscript"/>
              </w:rPr>
              <w:t>TNAV  / Share (</w:t>
            </w:r>
            <w:r>
              <w:rPr>
                <w:rFonts w:ascii="Arial" w:hAnsi="Arial" w:cs="Arial"/>
                <w:b/>
                <w:sz w:val="24"/>
                <w:szCs w:val="24"/>
                <w:vertAlign w:val="superscript"/>
              </w:rPr>
              <w:t>2013</w:t>
            </w:r>
            <w:r w:rsidRPr="00880287">
              <w:rPr>
                <w:rFonts w:ascii="Arial" w:hAnsi="Arial" w:cs="Arial"/>
                <w:b/>
                <w:sz w:val="24"/>
                <w:szCs w:val="24"/>
                <w:vertAlign w:val="superscript"/>
              </w:rPr>
              <w:t>)</w:t>
            </w:r>
          </w:p>
        </w:tc>
        <w:tc>
          <w:tcPr>
            <w:tcW w:w="1842" w:type="dxa"/>
          </w:tcPr>
          <w:p w:rsidR="005372D6" w:rsidRPr="00880287" w:rsidRDefault="00DC0A20" w:rsidP="00A90341">
            <w:pPr>
              <w:spacing w:before="120"/>
              <w:rPr>
                <w:rFonts w:ascii="Arial" w:hAnsi="Arial" w:cs="Arial"/>
                <w:b/>
                <w:sz w:val="24"/>
                <w:szCs w:val="24"/>
                <w:vertAlign w:val="superscript"/>
              </w:rPr>
            </w:pPr>
            <w:r w:rsidRPr="00DC0A20">
              <w:rPr>
                <w:rFonts w:ascii="Arial" w:hAnsi="Arial" w:cs="Arial"/>
                <w:b/>
                <w:sz w:val="24"/>
                <w:szCs w:val="24"/>
                <w:vertAlign w:val="superscript"/>
              </w:rPr>
              <w:t xml:space="preserve"># </w:t>
            </w:r>
            <w:r w:rsidR="005372D6" w:rsidRPr="0077458D">
              <w:rPr>
                <w:rFonts w:ascii="Arial" w:hAnsi="Arial" w:cs="Arial"/>
                <w:b/>
                <w:sz w:val="24"/>
                <w:szCs w:val="24"/>
                <w:u w:val="single"/>
                <w:vertAlign w:val="superscript"/>
              </w:rPr>
              <w:t>New</w:t>
            </w:r>
            <w:r w:rsidR="005372D6" w:rsidRPr="00880287">
              <w:rPr>
                <w:rFonts w:ascii="Arial" w:hAnsi="Arial" w:cs="Arial"/>
                <w:b/>
                <w:sz w:val="24"/>
                <w:szCs w:val="24"/>
                <w:vertAlign w:val="superscript"/>
              </w:rPr>
              <w:t xml:space="preserve"> shares issued</w:t>
            </w:r>
            <w:r w:rsidR="00FD4DF6">
              <w:rPr>
                <w:rFonts w:ascii="Arial" w:hAnsi="Arial" w:cs="Arial"/>
                <w:b/>
                <w:sz w:val="24"/>
                <w:szCs w:val="24"/>
                <w:vertAlign w:val="superscript"/>
              </w:rPr>
              <w:t>(1)</w:t>
            </w:r>
          </w:p>
        </w:tc>
        <w:tc>
          <w:tcPr>
            <w:tcW w:w="1843" w:type="dxa"/>
          </w:tcPr>
          <w:p w:rsidR="005372D6" w:rsidRPr="00880287" w:rsidRDefault="00436FF8" w:rsidP="000014D4">
            <w:pPr>
              <w:spacing w:before="120"/>
              <w:rPr>
                <w:rFonts w:ascii="Arial" w:hAnsi="Arial" w:cs="Arial"/>
                <w:b/>
                <w:sz w:val="24"/>
                <w:szCs w:val="24"/>
                <w:vertAlign w:val="superscript"/>
              </w:rPr>
            </w:pPr>
            <w:r w:rsidRPr="0077458D">
              <w:rPr>
                <w:rFonts w:ascii="Arial" w:hAnsi="Arial" w:cs="Arial"/>
                <w:b/>
                <w:sz w:val="24"/>
                <w:szCs w:val="24"/>
                <w:u w:val="single"/>
                <w:vertAlign w:val="superscript"/>
              </w:rPr>
              <w:t>New</w:t>
            </w:r>
            <w:r>
              <w:rPr>
                <w:rFonts w:ascii="Arial" w:hAnsi="Arial" w:cs="Arial"/>
                <w:b/>
                <w:sz w:val="24"/>
                <w:szCs w:val="24"/>
                <w:vertAlign w:val="superscript"/>
              </w:rPr>
              <w:t xml:space="preserve"> Shares - £ equivalent</w:t>
            </w:r>
          </w:p>
        </w:tc>
      </w:tr>
      <w:tr w:rsidR="005372D6" w:rsidTr="00FD4DF6">
        <w:tc>
          <w:tcPr>
            <w:tcW w:w="2660" w:type="dxa"/>
          </w:tcPr>
          <w:p w:rsidR="005372D6" w:rsidRPr="00880287" w:rsidRDefault="005372D6" w:rsidP="000014D4">
            <w:pPr>
              <w:spacing w:before="120"/>
              <w:rPr>
                <w:rFonts w:ascii="Arial" w:hAnsi="Arial" w:cs="Arial"/>
                <w:sz w:val="24"/>
                <w:szCs w:val="24"/>
                <w:vertAlign w:val="superscript"/>
              </w:rPr>
            </w:pPr>
            <w:r w:rsidRPr="00880287">
              <w:rPr>
                <w:rFonts w:ascii="Arial" w:hAnsi="Arial" w:cs="Arial"/>
                <w:sz w:val="24"/>
                <w:szCs w:val="24"/>
                <w:vertAlign w:val="superscript"/>
              </w:rPr>
              <w:t>Liability Management Initiatives</w:t>
            </w:r>
          </w:p>
        </w:tc>
        <w:tc>
          <w:tcPr>
            <w:tcW w:w="1134" w:type="dxa"/>
          </w:tcPr>
          <w:p w:rsidR="005372D6" w:rsidRPr="00880287" w:rsidRDefault="00846A21" w:rsidP="000014D4">
            <w:pPr>
              <w:spacing w:before="120"/>
              <w:jc w:val="center"/>
              <w:rPr>
                <w:rFonts w:ascii="Arial" w:hAnsi="Arial" w:cs="Arial"/>
                <w:sz w:val="24"/>
                <w:szCs w:val="24"/>
                <w:vertAlign w:val="superscript"/>
              </w:rPr>
            </w:pPr>
            <w:r>
              <w:rPr>
                <w:rFonts w:ascii="Arial" w:hAnsi="Arial" w:cs="Arial"/>
                <w:sz w:val="24"/>
                <w:szCs w:val="24"/>
                <w:vertAlign w:val="superscript"/>
              </w:rPr>
              <w:t xml:space="preserve">c. </w:t>
            </w:r>
            <w:r w:rsidR="005372D6">
              <w:rPr>
                <w:rFonts w:ascii="Arial" w:hAnsi="Arial" w:cs="Arial"/>
                <w:sz w:val="24"/>
                <w:szCs w:val="24"/>
                <w:vertAlign w:val="superscript"/>
              </w:rPr>
              <w:t>0.29%</w:t>
            </w:r>
          </w:p>
        </w:tc>
        <w:tc>
          <w:tcPr>
            <w:tcW w:w="1134" w:type="dxa"/>
          </w:tcPr>
          <w:p w:rsidR="005372D6" w:rsidRPr="00880287" w:rsidRDefault="00846A21" w:rsidP="000014D4">
            <w:pPr>
              <w:spacing w:before="120"/>
              <w:jc w:val="center"/>
              <w:rPr>
                <w:rFonts w:ascii="Arial" w:hAnsi="Arial" w:cs="Arial"/>
                <w:sz w:val="24"/>
                <w:szCs w:val="24"/>
                <w:vertAlign w:val="superscript"/>
              </w:rPr>
            </w:pPr>
            <w:r>
              <w:rPr>
                <w:rFonts w:ascii="Arial" w:hAnsi="Arial" w:cs="Arial"/>
                <w:sz w:val="24"/>
                <w:szCs w:val="24"/>
                <w:vertAlign w:val="superscript"/>
              </w:rPr>
              <w:t xml:space="preserve">c. </w:t>
            </w:r>
            <w:r w:rsidR="005372D6">
              <w:rPr>
                <w:rFonts w:ascii="Arial" w:hAnsi="Arial" w:cs="Arial"/>
                <w:sz w:val="24"/>
                <w:szCs w:val="24"/>
                <w:vertAlign w:val="superscript"/>
              </w:rPr>
              <w:t>3.90%</w:t>
            </w:r>
          </w:p>
        </w:tc>
        <w:tc>
          <w:tcPr>
            <w:tcW w:w="1843" w:type="dxa"/>
          </w:tcPr>
          <w:p w:rsidR="005372D6" w:rsidRPr="00880287" w:rsidRDefault="00846A21" w:rsidP="000014D4">
            <w:pPr>
              <w:spacing w:before="120"/>
              <w:jc w:val="center"/>
              <w:rPr>
                <w:rFonts w:ascii="Arial" w:hAnsi="Arial" w:cs="Arial"/>
                <w:sz w:val="24"/>
                <w:szCs w:val="24"/>
                <w:vertAlign w:val="superscript"/>
              </w:rPr>
            </w:pPr>
            <w:r>
              <w:rPr>
                <w:rFonts w:ascii="Arial" w:hAnsi="Arial" w:cs="Arial"/>
                <w:sz w:val="24"/>
                <w:szCs w:val="24"/>
                <w:vertAlign w:val="superscript"/>
              </w:rPr>
              <w:t xml:space="preserve">c. </w:t>
            </w:r>
            <w:r w:rsidR="005372D6">
              <w:rPr>
                <w:rFonts w:ascii="Arial" w:hAnsi="Arial" w:cs="Arial"/>
                <w:sz w:val="24"/>
                <w:szCs w:val="24"/>
                <w:vertAlign w:val="superscript"/>
              </w:rPr>
              <w:t>3.00%</w:t>
            </w:r>
          </w:p>
        </w:tc>
        <w:tc>
          <w:tcPr>
            <w:tcW w:w="1842" w:type="dxa"/>
          </w:tcPr>
          <w:p w:rsidR="005372D6" w:rsidRPr="00880287" w:rsidRDefault="005372D6" w:rsidP="00A90341">
            <w:pPr>
              <w:spacing w:before="120"/>
              <w:jc w:val="center"/>
              <w:rPr>
                <w:rFonts w:ascii="Arial" w:hAnsi="Arial" w:cs="Arial"/>
                <w:sz w:val="24"/>
                <w:szCs w:val="24"/>
                <w:vertAlign w:val="superscript"/>
              </w:rPr>
            </w:pPr>
            <w:r>
              <w:rPr>
                <w:rFonts w:ascii="Arial" w:hAnsi="Arial" w:cs="Arial"/>
                <w:sz w:val="24"/>
                <w:szCs w:val="24"/>
                <w:vertAlign w:val="superscript"/>
              </w:rPr>
              <w:t>--</w:t>
            </w:r>
          </w:p>
        </w:tc>
        <w:tc>
          <w:tcPr>
            <w:tcW w:w="1843" w:type="dxa"/>
          </w:tcPr>
          <w:p w:rsidR="005372D6" w:rsidRPr="00880287" w:rsidRDefault="005372D6" w:rsidP="000014D4">
            <w:pPr>
              <w:spacing w:before="120"/>
              <w:jc w:val="center"/>
              <w:rPr>
                <w:rFonts w:ascii="Arial" w:hAnsi="Arial" w:cs="Arial"/>
                <w:sz w:val="24"/>
                <w:szCs w:val="24"/>
                <w:vertAlign w:val="superscript"/>
              </w:rPr>
            </w:pPr>
            <w:r>
              <w:rPr>
                <w:rFonts w:ascii="Arial" w:hAnsi="Arial" w:cs="Arial"/>
                <w:sz w:val="24"/>
                <w:szCs w:val="24"/>
                <w:vertAlign w:val="superscript"/>
              </w:rPr>
              <w:t>--</w:t>
            </w:r>
          </w:p>
        </w:tc>
      </w:tr>
      <w:tr w:rsidR="005372D6" w:rsidTr="00FD4DF6">
        <w:tc>
          <w:tcPr>
            <w:tcW w:w="2660" w:type="dxa"/>
          </w:tcPr>
          <w:p w:rsidR="005372D6" w:rsidRPr="00880287" w:rsidRDefault="005372D6" w:rsidP="000014D4">
            <w:pPr>
              <w:spacing w:before="120"/>
              <w:rPr>
                <w:rFonts w:ascii="Arial" w:hAnsi="Arial" w:cs="Arial"/>
                <w:sz w:val="24"/>
                <w:szCs w:val="24"/>
                <w:vertAlign w:val="superscript"/>
              </w:rPr>
            </w:pPr>
            <w:r w:rsidRPr="00880287">
              <w:rPr>
                <w:rFonts w:ascii="Arial" w:hAnsi="Arial" w:cs="Arial"/>
                <w:sz w:val="24"/>
                <w:szCs w:val="24"/>
                <w:vertAlign w:val="superscript"/>
              </w:rPr>
              <w:t>Conversion of Preference Shares</w:t>
            </w:r>
          </w:p>
        </w:tc>
        <w:tc>
          <w:tcPr>
            <w:tcW w:w="1134" w:type="dxa"/>
          </w:tcPr>
          <w:p w:rsidR="005372D6" w:rsidRPr="00880287" w:rsidRDefault="00846A21" w:rsidP="000014D4">
            <w:pPr>
              <w:spacing w:before="120"/>
              <w:jc w:val="center"/>
              <w:rPr>
                <w:rFonts w:ascii="Arial" w:hAnsi="Arial" w:cs="Arial"/>
                <w:sz w:val="24"/>
                <w:szCs w:val="24"/>
                <w:vertAlign w:val="superscript"/>
              </w:rPr>
            </w:pPr>
            <w:r>
              <w:rPr>
                <w:rFonts w:ascii="Arial" w:hAnsi="Arial" w:cs="Arial"/>
                <w:sz w:val="24"/>
                <w:szCs w:val="24"/>
                <w:vertAlign w:val="superscript"/>
              </w:rPr>
              <w:t xml:space="preserve">c. </w:t>
            </w:r>
            <w:r w:rsidR="005372D6">
              <w:rPr>
                <w:rFonts w:ascii="Arial" w:hAnsi="Arial" w:cs="Arial"/>
                <w:sz w:val="24"/>
                <w:szCs w:val="24"/>
                <w:vertAlign w:val="superscript"/>
              </w:rPr>
              <w:t>0.</w:t>
            </w:r>
            <w:r w:rsidR="004705F7">
              <w:rPr>
                <w:rFonts w:ascii="Arial" w:hAnsi="Arial" w:cs="Arial"/>
                <w:sz w:val="24"/>
                <w:szCs w:val="24"/>
                <w:vertAlign w:val="superscript"/>
              </w:rPr>
              <w:t>06</w:t>
            </w:r>
            <w:r w:rsidR="005372D6">
              <w:rPr>
                <w:rFonts w:ascii="Arial" w:hAnsi="Arial" w:cs="Arial"/>
                <w:sz w:val="24"/>
                <w:szCs w:val="24"/>
                <w:vertAlign w:val="superscript"/>
              </w:rPr>
              <w:t>%</w:t>
            </w:r>
          </w:p>
        </w:tc>
        <w:tc>
          <w:tcPr>
            <w:tcW w:w="1134" w:type="dxa"/>
          </w:tcPr>
          <w:p w:rsidR="005372D6" w:rsidRPr="00880287" w:rsidRDefault="005372D6" w:rsidP="000014D4">
            <w:pPr>
              <w:spacing w:before="120"/>
              <w:jc w:val="center"/>
              <w:rPr>
                <w:rFonts w:ascii="Arial" w:hAnsi="Arial" w:cs="Arial"/>
                <w:sz w:val="24"/>
                <w:szCs w:val="24"/>
                <w:vertAlign w:val="superscript"/>
              </w:rPr>
            </w:pPr>
            <w:r>
              <w:rPr>
                <w:rFonts w:ascii="Arial" w:hAnsi="Arial" w:cs="Arial"/>
                <w:sz w:val="24"/>
                <w:szCs w:val="24"/>
                <w:vertAlign w:val="superscript"/>
              </w:rPr>
              <w:t>c. -1.</w:t>
            </w:r>
            <w:r w:rsidR="00E9302D">
              <w:rPr>
                <w:rFonts w:ascii="Arial" w:hAnsi="Arial" w:cs="Arial"/>
                <w:sz w:val="24"/>
                <w:szCs w:val="24"/>
                <w:vertAlign w:val="superscript"/>
              </w:rPr>
              <w:t>50</w:t>
            </w:r>
            <w:r>
              <w:rPr>
                <w:rFonts w:ascii="Arial" w:hAnsi="Arial" w:cs="Arial"/>
                <w:sz w:val="24"/>
                <w:szCs w:val="24"/>
                <w:vertAlign w:val="superscript"/>
              </w:rPr>
              <w:t>%</w:t>
            </w:r>
          </w:p>
        </w:tc>
        <w:tc>
          <w:tcPr>
            <w:tcW w:w="1843" w:type="dxa"/>
          </w:tcPr>
          <w:p w:rsidR="005372D6" w:rsidRPr="00880287" w:rsidRDefault="005372D6" w:rsidP="000014D4">
            <w:pPr>
              <w:spacing w:before="120"/>
              <w:jc w:val="center"/>
              <w:rPr>
                <w:rFonts w:ascii="Arial" w:hAnsi="Arial" w:cs="Arial"/>
                <w:sz w:val="24"/>
                <w:szCs w:val="24"/>
                <w:vertAlign w:val="superscript"/>
              </w:rPr>
            </w:pPr>
            <w:r>
              <w:rPr>
                <w:rFonts w:ascii="Arial" w:hAnsi="Arial" w:cs="Arial"/>
                <w:sz w:val="24"/>
                <w:szCs w:val="24"/>
                <w:vertAlign w:val="superscript"/>
              </w:rPr>
              <w:t>c.</w:t>
            </w:r>
            <w:r w:rsidR="0077458D">
              <w:rPr>
                <w:rFonts w:ascii="Arial" w:hAnsi="Arial" w:cs="Arial"/>
                <w:sz w:val="24"/>
                <w:szCs w:val="24"/>
                <w:vertAlign w:val="superscript"/>
              </w:rPr>
              <w:t xml:space="preserve"> -0.</w:t>
            </w:r>
            <w:r w:rsidR="00E9302D">
              <w:rPr>
                <w:rFonts w:ascii="Arial" w:hAnsi="Arial" w:cs="Arial"/>
                <w:sz w:val="24"/>
                <w:szCs w:val="24"/>
                <w:vertAlign w:val="superscript"/>
              </w:rPr>
              <w:t>40</w:t>
            </w:r>
            <w:r w:rsidR="0077458D">
              <w:rPr>
                <w:rFonts w:ascii="Arial" w:hAnsi="Arial" w:cs="Arial"/>
                <w:sz w:val="24"/>
                <w:szCs w:val="24"/>
                <w:vertAlign w:val="superscript"/>
              </w:rPr>
              <w:t>%</w:t>
            </w:r>
          </w:p>
        </w:tc>
        <w:tc>
          <w:tcPr>
            <w:tcW w:w="1842" w:type="dxa"/>
          </w:tcPr>
          <w:p w:rsidR="005372D6" w:rsidRPr="00880287" w:rsidRDefault="005372D6" w:rsidP="00A90341">
            <w:pPr>
              <w:spacing w:before="120"/>
              <w:jc w:val="center"/>
              <w:rPr>
                <w:rFonts w:ascii="Arial" w:hAnsi="Arial" w:cs="Arial"/>
                <w:sz w:val="24"/>
                <w:szCs w:val="24"/>
                <w:vertAlign w:val="superscript"/>
              </w:rPr>
            </w:pPr>
            <w:r>
              <w:rPr>
                <w:rFonts w:ascii="Arial" w:hAnsi="Arial" w:cs="Arial"/>
                <w:sz w:val="24"/>
                <w:szCs w:val="24"/>
                <w:vertAlign w:val="superscript"/>
              </w:rPr>
              <w:t>1,</w:t>
            </w:r>
            <w:r w:rsidR="00DC1B74">
              <w:rPr>
                <w:rFonts w:ascii="Arial" w:hAnsi="Arial" w:cs="Arial"/>
                <w:sz w:val="24"/>
                <w:szCs w:val="24"/>
                <w:vertAlign w:val="superscript"/>
              </w:rPr>
              <w:t>602</w:t>
            </w:r>
            <w:r>
              <w:rPr>
                <w:rFonts w:ascii="Arial" w:hAnsi="Arial" w:cs="Arial"/>
                <w:sz w:val="24"/>
                <w:szCs w:val="24"/>
                <w:vertAlign w:val="superscript"/>
              </w:rPr>
              <w:t>m(2)</w:t>
            </w:r>
          </w:p>
        </w:tc>
        <w:tc>
          <w:tcPr>
            <w:tcW w:w="1843" w:type="dxa"/>
          </w:tcPr>
          <w:p w:rsidR="00A65EE7" w:rsidRPr="00880287" w:rsidRDefault="00436FF8" w:rsidP="000014D4">
            <w:pPr>
              <w:spacing w:before="120"/>
              <w:jc w:val="center"/>
              <w:rPr>
                <w:rFonts w:ascii="Arial" w:hAnsi="Arial" w:cs="Arial"/>
                <w:sz w:val="24"/>
                <w:szCs w:val="24"/>
                <w:vertAlign w:val="superscript"/>
              </w:rPr>
            </w:pPr>
            <w:r>
              <w:rPr>
                <w:rFonts w:ascii="Arial" w:hAnsi="Arial" w:cs="Arial"/>
                <w:sz w:val="24"/>
                <w:szCs w:val="24"/>
                <w:vertAlign w:val="superscript"/>
              </w:rPr>
              <w:t>£62</w:t>
            </w:r>
            <w:r w:rsidR="00DC1B74">
              <w:rPr>
                <w:rFonts w:ascii="Arial" w:hAnsi="Arial" w:cs="Arial"/>
                <w:sz w:val="24"/>
                <w:szCs w:val="24"/>
                <w:vertAlign w:val="superscript"/>
              </w:rPr>
              <w:t>0</w:t>
            </w:r>
            <w:r w:rsidR="005372D6">
              <w:rPr>
                <w:rFonts w:ascii="Arial" w:hAnsi="Arial" w:cs="Arial"/>
                <w:sz w:val="24"/>
                <w:szCs w:val="24"/>
                <w:vertAlign w:val="superscript"/>
              </w:rPr>
              <w:t>m(</w:t>
            </w:r>
            <w:r w:rsidR="0041557D">
              <w:rPr>
                <w:rFonts w:ascii="Arial" w:hAnsi="Arial" w:cs="Arial"/>
                <w:sz w:val="24"/>
                <w:szCs w:val="24"/>
                <w:vertAlign w:val="superscript"/>
              </w:rPr>
              <w:t>3</w:t>
            </w:r>
            <w:r w:rsidR="005372D6">
              <w:rPr>
                <w:rFonts w:ascii="Arial" w:hAnsi="Arial" w:cs="Arial"/>
                <w:sz w:val="24"/>
                <w:szCs w:val="24"/>
                <w:vertAlign w:val="superscript"/>
              </w:rPr>
              <w:t>)</w:t>
            </w:r>
          </w:p>
        </w:tc>
      </w:tr>
      <w:tr w:rsidR="005372D6" w:rsidTr="00FD4DF6">
        <w:tc>
          <w:tcPr>
            <w:tcW w:w="2660" w:type="dxa"/>
          </w:tcPr>
          <w:p w:rsidR="005372D6" w:rsidRPr="00880287" w:rsidRDefault="005372D6" w:rsidP="000014D4">
            <w:pPr>
              <w:spacing w:before="120"/>
              <w:rPr>
                <w:rFonts w:ascii="Arial" w:hAnsi="Arial" w:cs="Arial"/>
                <w:sz w:val="24"/>
                <w:szCs w:val="24"/>
                <w:vertAlign w:val="superscript"/>
              </w:rPr>
            </w:pPr>
            <w:r w:rsidRPr="00880287">
              <w:rPr>
                <w:rFonts w:ascii="Arial" w:hAnsi="Arial" w:cs="Arial"/>
                <w:sz w:val="24"/>
                <w:szCs w:val="24"/>
                <w:vertAlign w:val="superscript"/>
              </w:rPr>
              <w:t xml:space="preserve">2009 </w:t>
            </w:r>
            <w:r>
              <w:rPr>
                <w:rFonts w:ascii="Arial" w:hAnsi="Arial" w:cs="Arial"/>
                <w:sz w:val="24"/>
                <w:szCs w:val="24"/>
                <w:vertAlign w:val="superscript"/>
              </w:rPr>
              <w:t>Deferr</w:t>
            </w:r>
            <w:r w:rsidR="009E417B">
              <w:rPr>
                <w:rFonts w:ascii="Arial" w:hAnsi="Arial" w:cs="Arial"/>
                <w:sz w:val="24"/>
                <w:szCs w:val="24"/>
                <w:vertAlign w:val="superscript"/>
              </w:rPr>
              <w:t xml:space="preserve">al Plan </w:t>
            </w:r>
            <w:r w:rsidRPr="00880287">
              <w:rPr>
                <w:rFonts w:ascii="Arial" w:hAnsi="Arial" w:cs="Arial"/>
                <w:sz w:val="24"/>
                <w:szCs w:val="24"/>
                <w:vertAlign w:val="superscript"/>
              </w:rPr>
              <w:t xml:space="preserve"> </w:t>
            </w:r>
          </w:p>
        </w:tc>
        <w:tc>
          <w:tcPr>
            <w:tcW w:w="1134" w:type="dxa"/>
          </w:tcPr>
          <w:p w:rsidR="005372D6" w:rsidRPr="00880287" w:rsidRDefault="00846A21" w:rsidP="000014D4">
            <w:pPr>
              <w:spacing w:before="120"/>
              <w:jc w:val="center"/>
              <w:rPr>
                <w:rFonts w:ascii="Arial" w:hAnsi="Arial" w:cs="Arial"/>
                <w:sz w:val="24"/>
                <w:szCs w:val="24"/>
                <w:vertAlign w:val="superscript"/>
              </w:rPr>
            </w:pPr>
            <w:r>
              <w:rPr>
                <w:rFonts w:ascii="Arial" w:hAnsi="Arial" w:cs="Arial"/>
                <w:sz w:val="24"/>
                <w:szCs w:val="24"/>
                <w:vertAlign w:val="superscript"/>
              </w:rPr>
              <w:t xml:space="preserve">c. </w:t>
            </w:r>
            <w:r w:rsidR="005372D6">
              <w:rPr>
                <w:rFonts w:ascii="Arial" w:hAnsi="Arial" w:cs="Arial"/>
                <w:sz w:val="24"/>
                <w:szCs w:val="24"/>
                <w:vertAlign w:val="superscript"/>
              </w:rPr>
              <w:t>0.</w:t>
            </w:r>
            <w:r w:rsidR="008A44A1">
              <w:rPr>
                <w:rFonts w:ascii="Arial" w:hAnsi="Arial" w:cs="Arial"/>
                <w:sz w:val="24"/>
                <w:szCs w:val="24"/>
                <w:vertAlign w:val="superscript"/>
              </w:rPr>
              <w:t>0</w:t>
            </w:r>
            <w:r w:rsidR="00736E3C">
              <w:rPr>
                <w:rFonts w:ascii="Arial" w:hAnsi="Arial" w:cs="Arial"/>
                <w:sz w:val="24"/>
                <w:szCs w:val="24"/>
                <w:vertAlign w:val="superscript"/>
              </w:rPr>
              <w:t>0</w:t>
            </w:r>
            <w:r w:rsidR="005372D6">
              <w:rPr>
                <w:rFonts w:ascii="Arial" w:hAnsi="Arial" w:cs="Arial"/>
                <w:sz w:val="24"/>
                <w:szCs w:val="24"/>
                <w:vertAlign w:val="superscript"/>
              </w:rPr>
              <w:t>%</w:t>
            </w:r>
          </w:p>
        </w:tc>
        <w:tc>
          <w:tcPr>
            <w:tcW w:w="1134" w:type="dxa"/>
          </w:tcPr>
          <w:p w:rsidR="005372D6" w:rsidRPr="00880287" w:rsidRDefault="005372D6" w:rsidP="000014D4">
            <w:pPr>
              <w:spacing w:before="120"/>
              <w:jc w:val="center"/>
              <w:rPr>
                <w:rFonts w:ascii="Arial" w:hAnsi="Arial" w:cs="Arial"/>
                <w:sz w:val="24"/>
                <w:szCs w:val="24"/>
                <w:vertAlign w:val="superscript"/>
              </w:rPr>
            </w:pPr>
            <w:r>
              <w:rPr>
                <w:rFonts w:ascii="Arial" w:hAnsi="Arial" w:cs="Arial"/>
                <w:sz w:val="24"/>
                <w:szCs w:val="24"/>
                <w:vertAlign w:val="superscript"/>
              </w:rPr>
              <w:t>c.</w:t>
            </w:r>
            <w:r w:rsidR="0077458D">
              <w:rPr>
                <w:rFonts w:ascii="Arial" w:hAnsi="Arial" w:cs="Arial"/>
                <w:sz w:val="24"/>
                <w:szCs w:val="24"/>
                <w:vertAlign w:val="superscript"/>
              </w:rPr>
              <w:t xml:space="preserve"> -1.20%</w:t>
            </w:r>
          </w:p>
        </w:tc>
        <w:tc>
          <w:tcPr>
            <w:tcW w:w="1843" w:type="dxa"/>
          </w:tcPr>
          <w:p w:rsidR="005372D6" w:rsidRPr="00880287" w:rsidRDefault="005372D6" w:rsidP="000014D4">
            <w:pPr>
              <w:spacing w:before="120"/>
              <w:jc w:val="center"/>
              <w:rPr>
                <w:rFonts w:ascii="Arial" w:hAnsi="Arial" w:cs="Arial"/>
                <w:sz w:val="24"/>
                <w:szCs w:val="24"/>
                <w:vertAlign w:val="superscript"/>
              </w:rPr>
            </w:pPr>
            <w:r>
              <w:rPr>
                <w:rFonts w:ascii="Arial" w:hAnsi="Arial" w:cs="Arial"/>
                <w:sz w:val="24"/>
                <w:szCs w:val="24"/>
                <w:vertAlign w:val="superscript"/>
              </w:rPr>
              <w:t>c. -0.</w:t>
            </w:r>
            <w:r w:rsidR="00E9302D">
              <w:rPr>
                <w:rFonts w:ascii="Arial" w:hAnsi="Arial" w:cs="Arial"/>
                <w:sz w:val="24"/>
                <w:szCs w:val="24"/>
                <w:vertAlign w:val="superscript"/>
              </w:rPr>
              <w:t>40</w:t>
            </w:r>
            <w:r>
              <w:rPr>
                <w:rFonts w:ascii="Arial" w:hAnsi="Arial" w:cs="Arial"/>
                <w:sz w:val="24"/>
                <w:szCs w:val="24"/>
                <w:vertAlign w:val="superscript"/>
              </w:rPr>
              <w:t>%</w:t>
            </w:r>
          </w:p>
        </w:tc>
        <w:tc>
          <w:tcPr>
            <w:tcW w:w="1842" w:type="dxa"/>
          </w:tcPr>
          <w:p w:rsidR="005372D6" w:rsidRPr="00880287" w:rsidRDefault="005372D6" w:rsidP="00A90341">
            <w:pPr>
              <w:spacing w:before="120"/>
              <w:jc w:val="center"/>
              <w:rPr>
                <w:rFonts w:ascii="Arial" w:hAnsi="Arial" w:cs="Arial"/>
                <w:sz w:val="24"/>
                <w:szCs w:val="24"/>
                <w:vertAlign w:val="superscript"/>
              </w:rPr>
            </w:pPr>
            <w:r>
              <w:rPr>
                <w:rFonts w:ascii="Arial" w:hAnsi="Arial" w:cs="Arial"/>
                <w:sz w:val="24"/>
                <w:szCs w:val="24"/>
                <w:vertAlign w:val="superscript"/>
              </w:rPr>
              <w:t>1,320m(</w:t>
            </w:r>
            <w:r w:rsidR="0041557D">
              <w:rPr>
                <w:rFonts w:ascii="Arial" w:hAnsi="Arial" w:cs="Arial"/>
                <w:sz w:val="24"/>
                <w:szCs w:val="24"/>
                <w:vertAlign w:val="superscript"/>
              </w:rPr>
              <w:t>4</w:t>
            </w:r>
            <w:r>
              <w:rPr>
                <w:rFonts w:ascii="Arial" w:hAnsi="Arial" w:cs="Arial"/>
                <w:sz w:val="24"/>
                <w:szCs w:val="24"/>
                <w:vertAlign w:val="superscript"/>
              </w:rPr>
              <w:t>)</w:t>
            </w:r>
          </w:p>
        </w:tc>
        <w:tc>
          <w:tcPr>
            <w:tcW w:w="1843" w:type="dxa"/>
          </w:tcPr>
          <w:p w:rsidR="005372D6" w:rsidRPr="00880287" w:rsidRDefault="00436FF8" w:rsidP="000014D4">
            <w:pPr>
              <w:spacing w:before="120"/>
              <w:jc w:val="center"/>
              <w:rPr>
                <w:rFonts w:ascii="Arial" w:hAnsi="Arial" w:cs="Arial"/>
                <w:sz w:val="24"/>
                <w:szCs w:val="24"/>
                <w:vertAlign w:val="superscript"/>
              </w:rPr>
            </w:pPr>
            <w:r>
              <w:rPr>
                <w:rFonts w:ascii="Arial" w:hAnsi="Arial" w:cs="Arial"/>
                <w:sz w:val="24"/>
                <w:szCs w:val="24"/>
                <w:vertAlign w:val="superscript"/>
              </w:rPr>
              <w:t>£500</w:t>
            </w:r>
            <w:r w:rsidR="005372D6">
              <w:rPr>
                <w:rFonts w:ascii="Arial" w:hAnsi="Arial" w:cs="Arial"/>
                <w:sz w:val="24"/>
                <w:szCs w:val="24"/>
                <w:vertAlign w:val="superscript"/>
              </w:rPr>
              <w:t>m(</w:t>
            </w:r>
            <w:r w:rsidR="0041557D">
              <w:rPr>
                <w:rFonts w:ascii="Arial" w:hAnsi="Arial" w:cs="Arial"/>
                <w:sz w:val="24"/>
                <w:szCs w:val="24"/>
                <w:vertAlign w:val="superscript"/>
              </w:rPr>
              <w:t>4</w:t>
            </w:r>
            <w:r w:rsidR="005372D6">
              <w:rPr>
                <w:rFonts w:ascii="Arial" w:hAnsi="Arial" w:cs="Arial"/>
                <w:sz w:val="24"/>
                <w:szCs w:val="24"/>
                <w:vertAlign w:val="superscript"/>
              </w:rPr>
              <w:t>)</w:t>
            </w:r>
          </w:p>
        </w:tc>
      </w:tr>
      <w:tr w:rsidR="005372D6" w:rsidRPr="002B520A" w:rsidTr="00FD4DF6">
        <w:tc>
          <w:tcPr>
            <w:tcW w:w="2660" w:type="dxa"/>
          </w:tcPr>
          <w:p w:rsidR="005372D6" w:rsidRPr="002B520A" w:rsidRDefault="005372D6" w:rsidP="000014D4">
            <w:pPr>
              <w:spacing w:before="120"/>
              <w:rPr>
                <w:rFonts w:ascii="Arial" w:hAnsi="Arial" w:cs="Arial"/>
                <w:b/>
                <w:bCs/>
                <w:sz w:val="24"/>
                <w:szCs w:val="24"/>
                <w:vertAlign w:val="superscript"/>
              </w:rPr>
            </w:pPr>
            <w:r w:rsidRPr="002B520A">
              <w:rPr>
                <w:rFonts w:ascii="Arial" w:hAnsi="Arial" w:cs="Arial"/>
                <w:b/>
                <w:bCs/>
                <w:sz w:val="24"/>
                <w:szCs w:val="24"/>
                <w:vertAlign w:val="superscript"/>
              </w:rPr>
              <w:t>Total</w:t>
            </w:r>
          </w:p>
        </w:tc>
        <w:tc>
          <w:tcPr>
            <w:tcW w:w="1134" w:type="dxa"/>
          </w:tcPr>
          <w:p w:rsidR="005372D6" w:rsidRPr="002B520A" w:rsidRDefault="00846A21" w:rsidP="000014D4">
            <w:pPr>
              <w:spacing w:before="120"/>
              <w:jc w:val="center"/>
              <w:rPr>
                <w:rFonts w:ascii="Arial" w:hAnsi="Arial" w:cs="Arial"/>
                <w:b/>
                <w:bCs/>
                <w:sz w:val="24"/>
                <w:szCs w:val="24"/>
                <w:vertAlign w:val="superscript"/>
              </w:rPr>
            </w:pPr>
            <w:r>
              <w:rPr>
                <w:rFonts w:ascii="Arial" w:hAnsi="Arial" w:cs="Arial"/>
                <w:sz w:val="24"/>
                <w:szCs w:val="24"/>
                <w:vertAlign w:val="superscript"/>
              </w:rPr>
              <w:t xml:space="preserve">c. </w:t>
            </w:r>
            <w:r w:rsidR="005372D6" w:rsidRPr="002B520A">
              <w:rPr>
                <w:rFonts w:ascii="Arial" w:hAnsi="Arial" w:cs="Arial"/>
                <w:b/>
                <w:bCs/>
                <w:sz w:val="24"/>
                <w:szCs w:val="24"/>
                <w:vertAlign w:val="superscript"/>
              </w:rPr>
              <w:t>0.</w:t>
            </w:r>
            <w:r w:rsidR="004705F7">
              <w:rPr>
                <w:rFonts w:ascii="Arial" w:hAnsi="Arial" w:cs="Arial"/>
                <w:b/>
                <w:bCs/>
                <w:sz w:val="24"/>
                <w:szCs w:val="24"/>
                <w:vertAlign w:val="superscript"/>
              </w:rPr>
              <w:t>3</w:t>
            </w:r>
            <w:r w:rsidR="00EA1BDD">
              <w:rPr>
                <w:rFonts w:ascii="Arial" w:hAnsi="Arial" w:cs="Arial"/>
                <w:b/>
                <w:bCs/>
                <w:sz w:val="24"/>
                <w:szCs w:val="24"/>
                <w:vertAlign w:val="superscript"/>
              </w:rPr>
              <w:t>5</w:t>
            </w:r>
            <w:r w:rsidR="005372D6" w:rsidRPr="002B520A">
              <w:rPr>
                <w:rFonts w:ascii="Arial" w:hAnsi="Arial" w:cs="Arial"/>
                <w:b/>
                <w:bCs/>
                <w:sz w:val="24"/>
                <w:szCs w:val="24"/>
                <w:vertAlign w:val="superscript"/>
              </w:rPr>
              <w:t>%</w:t>
            </w:r>
            <w:r w:rsidR="00726733">
              <w:rPr>
                <w:rFonts w:ascii="Arial" w:hAnsi="Arial" w:cs="Arial"/>
                <w:b/>
                <w:bCs/>
                <w:sz w:val="24"/>
                <w:szCs w:val="24"/>
                <w:vertAlign w:val="superscript"/>
              </w:rPr>
              <w:t>(5)</w:t>
            </w:r>
          </w:p>
        </w:tc>
        <w:tc>
          <w:tcPr>
            <w:tcW w:w="1134" w:type="dxa"/>
          </w:tcPr>
          <w:p w:rsidR="005372D6" w:rsidRPr="002B520A" w:rsidRDefault="00BD224D" w:rsidP="000014D4">
            <w:pPr>
              <w:spacing w:before="120"/>
              <w:jc w:val="center"/>
              <w:rPr>
                <w:rFonts w:ascii="Arial" w:hAnsi="Arial" w:cs="Arial"/>
                <w:b/>
                <w:bCs/>
                <w:sz w:val="24"/>
                <w:szCs w:val="24"/>
                <w:vertAlign w:val="superscript"/>
              </w:rPr>
            </w:pPr>
            <w:r>
              <w:rPr>
                <w:rFonts w:ascii="Arial" w:hAnsi="Arial" w:cs="Arial"/>
                <w:sz w:val="24"/>
                <w:szCs w:val="24"/>
                <w:vertAlign w:val="superscript"/>
              </w:rPr>
              <w:t xml:space="preserve">c. </w:t>
            </w:r>
            <w:r w:rsidR="005372D6" w:rsidRPr="002B520A">
              <w:rPr>
                <w:rFonts w:ascii="Arial" w:hAnsi="Arial" w:cs="Arial"/>
                <w:b/>
                <w:bCs/>
                <w:sz w:val="24"/>
                <w:szCs w:val="24"/>
                <w:vertAlign w:val="superscript"/>
              </w:rPr>
              <w:t>1.</w:t>
            </w:r>
            <w:r w:rsidR="00E9302D">
              <w:rPr>
                <w:rFonts w:ascii="Arial" w:hAnsi="Arial" w:cs="Arial"/>
                <w:b/>
                <w:bCs/>
                <w:sz w:val="24"/>
                <w:szCs w:val="24"/>
                <w:vertAlign w:val="superscript"/>
              </w:rPr>
              <w:t>2</w:t>
            </w:r>
            <w:r w:rsidR="00E9302D" w:rsidRPr="002B520A">
              <w:rPr>
                <w:rFonts w:ascii="Arial" w:hAnsi="Arial" w:cs="Arial"/>
                <w:b/>
                <w:bCs/>
                <w:sz w:val="24"/>
                <w:szCs w:val="24"/>
                <w:vertAlign w:val="superscript"/>
              </w:rPr>
              <w:t>0</w:t>
            </w:r>
            <w:r w:rsidR="005372D6" w:rsidRPr="002B520A">
              <w:rPr>
                <w:rFonts w:ascii="Arial" w:hAnsi="Arial" w:cs="Arial"/>
                <w:b/>
                <w:bCs/>
                <w:sz w:val="24"/>
                <w:szCs w:val="24"/>
                <w:vertAlign w:val="superscript"/>
              </w:rPr>
              <w:t>%</w:t>
            </w:r>
          </w:p>
        </w:tc>
        <w:tc>
          <w:tcPr>
            <w:tcW w:w="1843" w:type="dxa"/>
          </w:tcPr>
          <w:p w:rsidR="005372D6" w:rsidRPr="002B520A" w:rsidRDefault="00BD224D" w:rsidP="000014D4">
            <w:pPr>
              <w:spacing w:before="120"/>
              <w:jc w:val="center"/>
              <w:rPr>
                <w:rFonts w:ascii="Arial" w:hAnsi="Arial" w:cs="Arial"/>
                <w:b/>
                <w:bCs/>
                <w:sz w:val="24"/>
                <w:szCs w:val="24"/>
                <w:vertAlign w:val="superscript"/>
              </w:rPr>
            </w:pPr>
            <w:r>
              <w:rPr>
                <w:rFonts w:ascii="Arial" w:hAnsi="Arial" w:cs="Arial"/>
                <w:sz w:val="24"/>
                <w:szCs w:val="24"/>
                <w:vertAlign w:val="superscript"/>
              </w:rPr>
              <w:t xml:space="preserve">c. </w:t>
            </w:r>
            <w:r w:rsidR="005372D6" w:rsidRPr="002B520A">
              <w:rPr>
                <w:rFonts w:ascii="Arial" w:hAnsi="Arial" w:cs="Arial"/>
                <w:b/>
                <w:bCs/>
                <w:sz w:val="24"/>
                <w:szCs w:val="24"/>
                <w:vertAlign w:val="superscript"/>
              </w:rPr>
              <w:t>2.</w:t>
            </w:r>
            <w:r w:rsidR="00E9302D">
              <w:rPr>
                <w:rFonts w:ascii="Arial" w:hAnsi="Arial" w:cs="Arial"/>
                <w:b/>
                <w:bCs/>
                <w:sz w:val="24"/>
                <w:szCs w:val="24"/>
                <w:vertAlign w:val="superscript"/>
              </w:rPr>
              <w:t>2</w:t>
            </w:r>
            <w:r w:rsidR="00E9302D" w:rsidRPr="002B520A">
              <w:rPr>
                <w:rFonts w:ascii="Arial" w:hAnsi="Arial" w:cs="Arial"/>
                <w:b/>
                <w:bCs/>
                <w:sz w:val="24"/>
                <w:szCs w:val="24"/>
                <w:vertAlign w:val="superscript"/>
              </w:rPr>
              <w:t>0</w:t>
            </w:r>
            <w:r w:rsidR="005372D6" w:rsidRPr="002B520A">
              <w:rPr>
                <w:rFonts w:ascii="Arial" w:hAnsi="Arial" w:cs="Arial"/>
                <w:b/>
                <w:bCs/>
                <w:sz w:val="24"/>
                <w:szCs w:val="24"/>
                <w:vertAlign w:val="superscript"/>
              </w:rPr>
              <w:t>%</w:t>
            </w:r>
          </w:p>
        </w:tc>
        <w:tc>
          <w:tcPr>
            <w:tcW w:w="1842" w:type="dxa"/>
          </w:tcPr>
          <w:p w:rsidR="005372D6" w:rsidRPr="002B520A" w:rsidRDefault="005372D6" w:rsidP="00A90341">
            <w:pPr>
              <w:spacing w:before="120"/>
              <w:jc w:val="center"/>
              <w:rPr>
                <w:rFonts w:ascii="Arial" w:hAnsi="Arial" w:cs="Arial"/>
                <w:b/>
                <w:bCs/>
                <w:sz w:val="24"/>
                <w:szCs w:val="24"/>
                <w:vertAlign w:val="superscript"/>
              </w:rPr>
            </w:pPr>
            <w:r w:rsidRPr="002B520A">
              <w:rPr>
                <w:rFonts w:ascii="Arial" w:hAnsi="Arial" w:cs="Arial"/>
                <w:b/>
                <w:bCs/>
                <w:sz w:val="24"/>
                <w:szCs w:val="24"/>
                <w:vertAlign w:val="superscript"/>
              </w:rPr>
              <w:t>2,</w:t>
            </w:r>
            <w:r w:rsidR="00DC1B74">
              <w:rPr>
                <w:rFonts w:ascii="Arial" w:hAnsi="Arial" w:cs="Arial"/>
                <w:b/>
                <w:bCs/>
                <w:sz w:val="24"/>
                <w:szCs w:val="24"/>
                <w:vertAlign w:val="superscript"/>
              </w:rPr>
              <w:t>922</w:t>
            </w:r>
            <w:r w:rsidRPr="002B520A">
              <w:rPr>
                <w:rFonts w:ascii="Arial" w:hAnsi="Arial" w:cs="Arial"/>
                <w:b/>
                <w:bCs/>
                <w:sz w:val="24"/>
                <w:szCs w:val="24"/>
                <w:vertAlign w:val="superscript"/>
              </w:rPr>
              <w:t>m</w:t>
            </w:r>
          </w:p>
        </w:tc>
        <w:tc>
          <w:tcPr>
            <w:tcW w:w="1843" w:type="dxa"/>
          </w:tcPr>
          <w:p w:rsidR="005372D6" w:rsidRPr="002B520A" w:rsidRDefault="00436FF8" w:rsidP="000014D4">
            <w:pPr>
              <w:spacing w:before="120"/>
              <w:jc w:val="center"/>
              <w:rPr>
                <w:rFonts w:ascii="Arial" w:hAnsi="Arial" w:cs="Arial"/>
                <w:b/>
                <w:bCs/>
                <w:sz w:val="24"/>
                <w:szCs w:val="24"/>
                <w:vertAlign w:val="superscript"/>
              </w:rPr>
            </w:pPr>
            <w:r>
              <w:rPr>
                <w:rFonts w:ascii="Arial" w:hAnsi="Arial" w:cs="Arial"/>
                <w:b/>
                <w:bCs/>
                <w:sz w:val="24"/>
                <w:szCs w:val="24"/>
                <w:vertAlign w:val="superscript"/>
              </w:rPr>
              <w:t>£1,12</w:t>
            </w:r>
            <w:r w:rsidR="00DC1B74">
              <w:rPr>
                <w:rFonts w:ascii="Arial" w:hAnsi="Arial" w:cs="Arial"/>
                <w:b/>
                <w:bCs/>
                <w:sz w:val="24"/>
                <w:szCs w:val="24"/>
                <w:vertAlign w:val="superscript"/>
              </w:rPr>
              <w:t>0</w:t>
            </w:r>
            <w:r w:rsidR="005372D6" w:rsidRPr="002B520A">
              <w:rPr>
                <w:rFonts w:ascii="Arial" w:hAnsi="Arial" w:cs="Arial"/>
                <w:b/>
                <w:bCs/>
                <w:sz w:val="24"/>
                <w:szCs w:val="24"/>
                <w:vertAlign w:val="superscript"/>
              </w:rPr>
              <w:t>m</w:t>
            </w:r>
          </w:p>
        </w:tc>
      </w:tr>
    </w:tbl>
    <w:p w:rsidR="00672651" w:rsidRDefault="00672651" w:rsidP="00672651">
      <w:pPr>
        <w:jc w:val="both"/>
        <w:rPr>
          <w:rFonts w:ascii="Arial" w:hAnsi="Arial"/>
        </w:rPr>
      </w:pPr>
    </w:p>
    <w:p w:rsidR="00672651" w:rsidRDefault="00672651" w:rsidP="00672651">
      <w:pPr>
        <w:jc w:val="both"/>
        <w:rPr>
          <w:rFonts w:ascii="Arial" w:hAnsi="Arial"/>
        </w:rPr>
      </w:pPr>
      <w:r w:rsidRPr="00C66DFD">
        <w:rPr>
          <w:rFonts w:ascii="Arial" w:hAnsi="Arial"/>
        </w:rPr>
        <w:t>(1)</w:t>
      </w:r>
      <w:r>
        <w:rPr>
          <w:rFonts w:ascii="Arial" w:hAnsi="Arial"/>
        </w:rPr>
        <w:t xml:space="preserve"> </w:t>
      </w:r>
      <w:r w:rsidR="00BD224D">
        <w:rPr>
          <w:rFonts w:ascii="Arial" w:hAnsi="Arial"/>
        </w:rPr>
        <w:t xml:space="preserve">Against </w:t>
      </w:r>
      <w:r>
        <w:rPr>
          <w:rFonts w:ascii="Arial" w:hAnsi="Arial"/>
        </w:rPr>
        <w:t xml:space="preserve">the </w:t>
      </w:r>
      <w:r w:rsidR="008B2352">
        <w:rPr>
          <w:rFonts w:ascii="Arial" w:hAnsi="Arial"/>
        </w:rPr>
        <w:t xml:space="preserve">approximately </w:t>
      </w:r>
      <w:r>
        <w:rPr>
          <w:rFonts w:ascii="Arial" w:hAnsi="Arial"/>
        </w:rPr>
        <w:t>2.9bn new shares issued for the actions above, approximately 2.</w:t>
      </w:r>
      <w:r w:rsidR="00A65EE7">
        <w:rPr>
          <w:rFonts w:ascii="Arial" w:hAnsi="Arial"/>
        </w:rPr>
        <w:t xml:space="preserve">2bn </w:t>
      </w:r>
      <w:r>
        <w:rPr>
          <w:rFonts w:ascii="Arial" w:hAnsi="Arial"/>
        </w:rPr>
        <w:t xml:space="preserve">will be </w:t>
      </w:r>
      <w:r w:rsidR="00BD224D">
        <w:rPr>
          <w:rFonts w:ascii="Arial" w:hAnsi="Arial"/>
        </w:rPr>
        <w:t xml:space="preserve">issued to or purchased by the </w:t>
      </w:r>
      <w:r>
        <w:rPr>
          <w:rFonts w:ascii="Arial" w:hAnsi="Arial"/>
        </w:rPr>
        <w:t>Employee Benefit Trust</w:t>
      </w:r>
      <w:r w:rsidR="00736E3C">
        <w:rPr>
          <w:rFonts w:ascii="Arial" w:hAnsi="Arial"/>
        </w:rPr>
        <w:t xml:space="preserve"> (“EBT”)</w:t>
      </w:r>
      <w:r w:rsidR="00A65EE7">
        <w:rPr>
          <w:rFonts w:ascii="Arial" w:hAnsi="Arial"/>
        </w:rPr>
        <w:t>, with another 0.2bn shares being purchased through open market transactions</w:t>
      </w:r>
      <w:r>
        <w:rPr>
          <w:rFonts w:ascii="Arial" w:hAnsi="Arial"/>
        </w:rPr>
        <w:t xml:space="preserve"> for the purpose of hedging deferred share obligations</w:t>
      </w:r>
      <w:r w:rsidR="00E04429">
        <w:rPr>
          <w:rFonts w:ascii="Arial" w:hAnsi="Arial"/>
        </w:rPr>
        <w:t>.</w:t>
      </w:r>
    </w:p>
    <w:p w:rsidR="00436FF8" w:rsidRPr="0041557D" w:rsidRDefault="00DC1B74" w:rsidP="00F44C0A">
      <w:pPr>
        <w:jc w:val="both"/>
        <w:rPr>
          <w:rFonts w:ascii="Arial" w:hAnsi="Arial"/>
        </w:rPr>
      </w:pPr>
      <w:r w:rsidRPr="0041557D">
        <w:rPr>
          <w:rFonts w:ascii="Arial" w:hAnsi="Arial"/>
        </w:rPr>
        <w:t>(2) Preference Shares converted at a share price of 38.71p.</w:t>
      </w:r>
    </w:p>
    <w:p w:rsidR="0041557D" w:rsidRPr="0041557D" w:rsidRDefault="0041557D" w:rsidP="00F44C0A">
      <w:pPr>
        <w:jc w:val="both"/>
        <w:rPr>
          <w:rFonts w:ascii="Arial" w:hAnsi="Arial"/>
        </w:rPr>
      </w:pPr>
      <w:r w:rsidRPr="0041557D">
        <w:rPr>
          <w:rFonts w:ascii="Arial" w:hAnsi="Arial"/>
        </w:rPr>
        <w:t>(3) Preference Shares converted at a USD:GBP foreign exchange rate of 1.508.</w:t>
      </w:r>
    </w:p>
    <w:p w:rsidR="00DC1B74" w:rsidRPr="0041557D" w:rsidRDefault="00DC1B74" w:rsidP="00F44C0A">
      <w:pPr>
        <w:jc w:val="both"/>
        <w:rPr>
          <w:rFonts w:ascii="Arial" w:hAnsi="Arial"/>
        </w:rPr>
      </w:pPr>
      <w:r w:rsidRPr="0041557D">
        <w:rPr>
          <w:rFonts w:ascii="Arial" w:hAnsi="Arial"/>
        </w:rPr>
        <w:t>(</w:t>
      </w:r>
      <w:r w:rsidR="0041557D" w:rsidRPr="0041557D">
        <w:rPr>
          <w:rFonts w:ascii="Arial" w:hAnsi="Arial"/>
        </w:rPr>
        <w:t>4</w:t>
      </w:r>
      <w:r w:rsidRPr="0041557D">
        <w:rPr>
          <w:rFonts w:ascii="Arial" w:hAnsi="Arial"/>
        </w:rPr>
        <w:t>) 5-day weighted average price for 2009 deferred shares of 37.876p.</w:t>
      </w:r>
    </w:p>
    <w:p w:rsidR="00DC1B74" w:rsidRDefault="00DC1B74" w:rsidP="00F44C0A">
      <w:pPr>
        <w:jc w:val="both"/>
        <w:rPr>
          <w:rFonts w:ascii="Arial" w:hAnsi="Arial"/>
          <w:u w:val="single"/>
        </w:rPr>
      </w:pPr>
    </w:p>
    <w:p w:rsidR="00436FF8" w:rsidRPr="00BF3C4B" w:rsidRDefault="00436FF8" w:rsidP="00F44C0A">
      <w:pPr>
        <w:jc w:val="both"/>
        <w:rPr>
          <w:rFonts w:ascii="Arial" w:hAnsi="Arial" w:cs="Arial"/>
          <w:b/>
          <w:sz w:val="32"/>
          <w:szCs w:val="32"/>
          <w:u w:val="single"/>
          <w:vertAlign w:val="superscript"/>
        </w:rPr>
      </w:pPr>
      <w:r>
        <w:rPr>
          <w:rFonts w:ascii="Arial" w:hAnsi="Arial" w:cs="Arial"/>
          <w:b/>
          <w:sz w:val="32"/>
          <w:szCs w:val="32"/>
          <w:u w:val="single"/>
          <w:vertAlign w:val="superscript"/>
        </w:rPr>
        <w:t xml:space="preserve">Hedging Requirements for </w:t>
      </w:r>
      <w:r w:rsidR="00BF3C4B" w:rsidRPr="00BF3C4B">
        <w:rPr>
          <w:rFonts w:ascii="Arial" w:hAnsi="Arial" w:cs="Arial"/>
          <w:b/>
          <w:sz w:val="32"/>
          <w:szCs w:val="32"/>
          <w:u w:val="single"/>
          <w:vertAlign w:val="superscript"/>
        </w:rPr>
        <w:t>2009 Deferr</w:t>
      </w:r>
      <w:r w:rsidR="008E0566">
        <w:rPr>
          <w:rFonts w:ascii="Arial" w:hAnsi="Arial" w:cs="Arial"/>
          <w:b/>
          <w:sz w:val="32"/>
          <w:szCs w:val="32"/>
          <w:u w:val="single"/>
          <w:vertAlign w:val="superscript"/>
        </w:rPr>
        <w:t>al Award</w:t>
      </w:r>
      <w:r w:rsidR="008E0566" w:rsidRPr="00BF3C4B">
        <w:rPr>
          <w:rFonts w:ascii="Arial" w:hAnsi="Arial" w:cs="Arial"/>
          <w:b/>
          <w:sz w:val="32"/>
          <w:szCs w:val="32"/>
          <w:u w:val="single"/>
          <w:vertAlign w:val="superscript"/>
        </w:rPr>
        <w:t xml:space="preserve"> Obligation</w:t>
      </w:r>
    </w:p>
    <w:tbl>
      <w:tblPr>
        <w:tblStyle w:val="TableGrid"/>
        <w:tblW w:w="6629" w:type="dxa"/>
        <w:tblLook w:val="01E0"/>
      </w:tblPr>
      <w:tblGrid>
        <w:gridCol w:w="2660"/>
        <w:gridCol w:w="1842"/>
        <w:gridCol w:w="2127"/>
      </w:tblGrid>
      <w:tr w:rsidR="004C7417" w:rsidRPr="00880287" w:rsidTr="004C7417">
        <w:tc>
          <w:tcPr>
            <w:tcW w:w="2660" w:type="dxa"/>
          </w:tcPr>
          <w:p w:rsidR="004C7417" w:rsidRDefault="004C7417" w:rsidP="00A90341">
            <w:pPr>
              <w:spacing w:before="120"/>
              <w:rPr>
                <w:rFonts w:ascii="Arial" w:hAnsi="Arial" w:cs="Arial"/>
                <w:sz w:val="22"/>
                <w:szCs w:val="22"/>
                <w:vertAlign w:val="superscript"/>
              </w:rPr>
            </w:pPr>
          </w:p>
        </w:tc>
        <w:tc>
          <w:tcPr>
            <w:tcW w:w="1842" w:type="dxa"/>
          </w:tcPr>
          <w:p w:rsidR="004C7417" w:rsidRPr="00880287" w:rsidRDefault="004C7417" w:rsidP="00A90341">
            <w:pPr>
              <w:spacing w:before="120"/>
              <w:rPr>
                <w:rFonts w:ascii="Arial" w:hAnsi="Arial" w:cs="Arial"/>
                <w:b/>
                <w:sz w:val="24"/>
                <w:szCs w:val="24"/>
                <w:vertAlign w:val="superscript"/>
              </w:rPr>
            </w:pPr>
            <w:r>
              <w:rPr>
                <w:rFonts w:ascii="Arial" w:hAnsi="Arial" w:cs="Arial"/>
                <w:b/>
                <w:sz w:val="24"/>
                <w:szCs w:val="24"/>
                <w:vertAlign w:val="superscript"/>
              </w:rPr>
              <w:t># Shares Required for Purchase</w:t>
            </w:r>
          </w:p>
        </w:tc>
        <w:tc>
          <w:tcPr>
            <w:tcW w:w="2127" w:type="dxa"/>
          </w:tcPr>
          <w:p w:rsidR="004C7417" w:rsidRPr="00880287" w:rsidRDefault="004C7417" w:rsidP="00A90341">
            <w:pPr>
              <w:spacing w:before="120"/>
              <w:rPr>
                <w:rFonts w:ascii="Arial" w:hAnsi="Arial" w:cs="Arial"/>
                <w:b/>
                <w:sz w:val="24"/>
                <w:szCs w:val="24"/>
                <w:vertAlign w:val="superscript"/>
              </w:rPr>
            </w:pPr>
            <w:r>
              <w:rPr>
                <w:rFonts w:ascii="Arial" w:hAnsi="Arial" w:cs="Arial"/>
                <w:b/>
                <w:sz w:val="24"/>
                <w:szCs w:val="24"/>
                <w:vertAlign w:val="superscript"/>
              </w:rPr>
              <w:t>Shares Required for Purchase - £ equivalent</w:t>
            </w:r>
          </w:p>
        </w:tc>
      </w:tr>
      <w:tr w:rsidR="004C7417" w:rsidRPr="00880287" w:rsidTr="004C7417">
        <w:tc>
          <w:tcPr>
            <w:tcW w:w="2660" w:type="dxa"/>
          </w:tcPr>
          <w:p w:rsidR="004C7417" w:rsidRPr="00880287" w:rsidRDefault="004C7417" w:rsidP="00A90341">
            <w:pPr>
              <w:spacing w:before="120"/>
              <w:rPr>
                <w:rFonts w:ascii="Arial" w:hAnsi="Arial" w:cs="Arial"/>
                <w:sz w:val="24"/>
                <w:szCs w:val="24"/>
                <w:vertAlign w:val="superscript"/>
              </w:rPr>
            </w:pPr>
            <w:r>
              <w:rPr>
                <w:rFonts w:ascii="Arial" w:hAnsi="Arial" w:cs="Arial"/>
                <w:sz w:val="24"/>
                <w:szCs w:val="24"/>
                <w:vertAlign w:val="superscript"/>
              </w:rPr>
              <w:t xml:space="preserve">Newly Issued Shares </w:t>
            </w:r>
          </w:p>
        </w:tc>
        <w:tc>
          <w:tcPr>
            <w:tcW w:w="1842" w:type="dxa"/>
          </w:tcPr>
          <w:p w:rsidR="004C7417" w:rsidRPr="00880287" w:rsidRDefault="004C7417" w:rsidP="00A90341">
            <w:pPr>
              <w:spacing w:before="120"/>
              <w:jc w:val="center"/>
              <w:rPr>
                <w:rFonts w:ascii="Arial" w:hAnsi="Arial" w:cs="Arial"/>
                <w:sz w:val="24"/>
                <w:szCs w:val="24"/>
                <w:vertAlign w:val="superscript"/>
              </w:rPr>
            </w:pPr>
            <w:r>
              <w:rPr>
                <w:rFonts w:ascii="Arial" w:hAnsi="Arial" w:cs="Arial"/>
                <w:sz w:val="24"/>
                <w:szCs w:val="24"/>
                <w:vertAlign w:val="superscript"/>
              </w:rPr>
              <w:t>1,320m</w:t>
            </w:r>
          </w:p>
        </w:tc>
        <w:tc>
          <w:tcPr>
            <w:tcW w:w="2127" w:type="dxa"/>
          </w:tcPr>
          <w:p w:rsidR="004C7417" w:rsidRPr="00880287" w:rsidRDefault="004C7417" w:rsidP="00A90341">
            <w:pPr>
              <w:spacing w:before="120"/>
              <w:jc w:val="center"/>
              <w:rPr>
                <w:rFonts w:ascii="Arial" w:hAnsi="Arial" w:cs="Arial"/>
                <w:sz w:val="24"/>
                <w:szCs w:val="24"/>
                <w:vertAlign w:val="superscript"/>
              </w:rPr>
            </w:pPr>
            <w:r>
              <w:rPr>
                <w:rFonts w:ascii="Arial" w:hAnsi="Arial" w:cs="Arial"/>
                <w:sz w:val="24"/>
                <w:szCs w:val="24"/>
                <w:vertAlign w:val="superscript"/>
              </w:rPr>
              <w:t>£500m</w:t>
            </w:r>
          </w:p>
        </w:tc>
      </w:tr>
      <w:tr w:rsidR="004C7417" w:rsidRPr="00880287" w:rsidTr="004C7417">
        <w:tc>
          <w:tcPr>
            <w:tcW w:w="2660" w:type="dxa"/>
          </w:tcPr>
          <w:p w:rsidR="004C7417" w:rsidRPr="00880287" w:rsidRDefault="004C7417" w:rsidP="004C7417">
            <w:pPr>
              <w:spacing w:before="120"/>
              <w:rPr>
                <w:rFonts w:ascii="Arial" w:hAnsi="Arial" w:cs="Arial"/>
                <w:sz w:val="24"/>
                <w:szCs w:val="24"/>
                <w:vertAlign w:val="superscript"/>
              </w:rPr>
            </w:pPr>
            <w:r w:rsidRPr="00880287">
              <w:rPr>
                <w:rFonts w:ascii="Arial" w:hAnsi="Arial" w:cs="Arial"/>
                <w:sz w:val="24"/>
                <w:szCs w:val="24"/>
                <w:vertAlign w:val="superscript"/>
              </w:rPr>
              <w:t>Conversion of Preference Shares</w:t>
            </w:r>
            <w:r>
              <w:rPr>
                <w:rFonts w:ascii="Arial" w:hAnsi="Arial" w:cs="Arial"/>
                <w:sz w:val="24"/>
                <w:szCs w:val="24"/>
                <w:vertAlign w:val="superscript"/>
              </w:rPr>
              <w:t xml:space="preserve"> sold directly into EBT</w:t>
            </w:r>
          </w:p>
        </w:tc>
        <w:tc>
          <w:tcPr>
            <w:tcW w:w="1842" w:type="dxa"/>
          </w:tcPr>
          <w:p w:rsidR="004C7417" w:rsidRPr="00880287" w:rsidRDefault="00DC1B74" w:rsidP="00A90341">
            <w:pPr>
              <w:spacing w:before="120"/>
              <w:jc w:val="center"/>
              <w:rPr>
                <w:rFonts w:ascii="Arial" w:hAnsi="Arial" w:cs="Arial"/>
                <w:sz w:val="24"/>
                <w:szCs w:val="24"/>
                <w:vertAlign w:val="superscript"/>
              </w:rPr>
            </w:pPr>
            <w:r>
              <w:rPr>
                <w:rFonts w:ascii="Arial" w:hAnsi="Arial" w:cs="Arial"/>
                <w:sz w:val="24"/>
                <w:szCs w:val="24"/>
                <w:vertAlign w:val="superscript"/>
              </w:rPr>
              <w:t>9</w:t>
            </w:r>
            <w:r w:rsidR="0041557D">
              <w:rPr>
                <w:rFonts w:ascii="Arial" w:hAnsi="Arial" w:cs="Arial"/>
                <w:sz w:val="24"/>
                <w:szCs w:val="24"/>
                <w:vertAlign w:val="superscript"/>
              </w:rPr>
              <w:t>39</w:t>
            </w:r>
            <w:r w:rsidR="004C7417">
              <w:rPr>
                <w:rFonts w:ascii="Arial" w:hAnsi="Arial" w:cs="Arial"/>
                <w:sz w:val="24"/>
                <w:szCs w:val="24"/>
                <w:vertAlign w:val="superscript"/>
              </w:rPr>
              <w:t>m</w:t>
            </w:r>
            <w:r>
              <w:rPr>
                <w:rFonts w:ascii="Arial" w:hAnsi="Arial" w:cs="Arial"/>
                <w:sz w:val="24"/>
                <w:szCs w:val="24"/>
                <w:vertAlign w:val="superscript"/>
              </w:rPr>
              <w:t>(2)</w:t>
            </w:r>
            <w:r w:rsidR="00672651">
              <w:rPr>
                <w:rFonts w:ascii="Arial" w:hAnsi="Arial" w:cs="Arial"/>
                <w:sz w:val="24"/>
                <w:szCs w:val="24"/>
                <w:vertAlign w:val="superscript"/>
              </w:rPr>
              <w:t>(</w:t>
            </w:r>
            <w:r w:rsidR="00726733">
              <w:rPr>
                <w:rFonts w:ascii="Arial" w:hAnsi="Arial" w:cs="Arial"/>
                <w:sz w:val="24"/>
                <w:szCs w:val="24"/>
                <w:vertAlign w:val="superscript"/>
              </w:rPr>
              <w:t>6</w:t>
            </w:r>
            <w:r w:rsidR="00672651">
              <w:rPr>
                <w:rFonts w:ascii="Arial" w:hAnsi="Arial" w:cs="Arial"/>
                <w:sz w:val="24"/>
                <w:szCs w:val="24"/>
                <w:vertAlign w:val="superscript"/>
              </w:rPr>
              <w:t>)</w:t>
            </w:r>
          </w:p>
        </w:tc>
        <w:tc>
          <w:tcPr>
            <w:tcW w:w="2127" w:type="dxa"/>
          </w:tcPr>
          <w:p w:rsidR="004C7417" w:rsidRPr="00880287" w:rsidRDefault="004C7417" w:rsidP="00A90341">
            <w:pPr>
              <w:spacing w:before="120"/>
              <w:jc w:val="center"/>
              <w:rPr>
                <w:rFonts w:ascii="Arial" w:hAnsi="Arial" w:cs="Arial"/>
                <w:sz w:val="24"/>
                <w:szCs w:val="24"/>
                <w:vertAlign w:val="superscript"/>
              </w:rPr>
            </w:pPr>
            <w:r>
              <w:rPr>
                <w:rFonts w:ascii="Arial" w:hAnsi="Arial" w:cs="Arial"/>
                <w:sz w:val="24"/>
                <w:szCs w:val="24"/>
                <w:vertAlign w:val="superscript"/>
              </w:rPr>
              <w:t>£36</w:t>
            </w:r>
            <w:r w:rsidR="00DC1B74">
              <w:rPr>
                <w:rFonts w:ascii="Arial" w:hAnsi="Arial" w:cs="Arial"/>
                <w:sz w:val="24"/>
                <w:szCs w:val="24"/>
                <w:vertAlign w:val="superscript"/>
              </w:rPr>
              <w:t>3</w:t>
            </w:r>
            <w:r>
              <w:rPr>
                <w:rFonts w:ascii="Arial" w:hAnsi="Arial" w:cs="Arial"/>
                <w:sz w:val="24"/>
                <w:szCs w:val="24"/>
                <w:vertAlign w:val="superscript"/>
              </w:rPr>
              <w:t>m</w:t>
            </w:r>
            <w:r w:rsidR="00DC1B74">
              <w:rPr>
                <w:rFonts w:ascii="Arial" w:hAnsi="Arial" w:cs="Arial"/>
                <w:sz w:val="24"/>
                <w:szCs w:val="24"/>
                <w:vertAlign w:val="superscript"/>
              </w:rPr>
              <w:t>(</w:t>
            </w:r>
            <w:r w:rsidR="0041557D">
              <w:rPr>
                <w:rFonts w:ascii="Arial" w:hAnsi="Arial" w:cs="Arial"/>
                <w:sz w:val="24"/>
                <w:szCs w:val="24"/>
                <w:vertAlign w:val="superscript"/>
              </w:rPr>
              <w:t>3</w:t>
            </w:r>
            <w:r w:rsidR="00DC1B74">
              <w:rPr>
                <w:rFonts w:ascii="Arial" w:hAnsi="Arial" w:cs="Arial"/>
                <w:sz w:val="24"/>
                <w:szCs w:val="24"/>
                <w:vertAlign w:val="superscript"/>
              </w:rPr>
              <w:t>)</w:t>
            </w:r>
          </w:p>
        </w:tc>
      </w:tr>
      <w:tr w:rsidR="004C7417" w:rsidRPr="00880287" w:rsidTr="004C7417">
        <w:tc>
          <w:tcPr>
            <w:tcW w:w="2660" w:type="dxa"/>
          </w:tcPr>
          <w:p w:rsidR="004C7417" w:rsidRPr="00880287" w:rsidRDefault="004C7417" w:rsidP="00A90341">
            <w:pPr>
              <w:spacing w:before="120"/>
              <w:rPr>
                <w:rFonts w:ascii="Arial" w:hAnsi="Arial" w:cs="Arial"/>
                <w:sz w:val="24"/>
                <w:szCs w:val="24"/>
                <w:vertAlign w:val="superscript"/>
              </w:rPr>
            </w:pPr>
            <w:r>
              <w:rPr>
                <w:rFonts w:ascii="Arial" w:hAnsi="Arial" w:cs="Arial"/>
                <w:sz w:val="24"/>
                <w:szCs w:val="24"/>
                <w:vertAlign w:val="superscript"/>
              </w:rPr>
              <w:t>Open Market Purchases</w:t>
            </w:r>
            <w:r w:rsidRPr="00880287">
              <w:rPr>
                <w:rFonts w:ascii="Arial" w:hAnsi="Arial" w:cs="Arial"/>
                <w:sz w:val="24"/>
                <w:szCs w:val="24"/>
                <w:vertAlign w:val="superscript"/>
              </w:rPr>
              <w:t xml:space="preserve"> </w:t>
            </w:r>
          </w:p>
        </w:tc>
        <w:tc>
          <w:tcPr>
            <w:tcW w:w="1842" w:type="dxa"/>
          </w:tcPr>
          <w:p w:rsidR="004C7417" w:rsidRPr="00880287" w:rsidRDefault="00DC1B74" w:rsidP="00A90341">
            <w:pPr>
              <w:spacing w:before="120"/>
              <w:jc w:val="center"/>
              <w:rPr>
                <w:rFonts w:ascii="Arial" w:hAnsi="Arial" w:cs="Arial"/>
                <w:sz w:val="24"/>
                <w:szCs w:val="24"/>
                <w:vertAlign w:val="superscript"/>
              </w:rPr>
            </w:pPr>
            <w:r>
              <w:rPr>
                <w:rFonts w:ascii="Arial" w:hAnsi="Arial" w:cs="Arial"/>
                <w:sz w:val="24"/>
                <w:szCs w:val="24"/>
                <w:vertAlign w:val="superscript"/>
              </w:rPr>
              <w:t>c. 196</w:t>
            </w:r>
            <w:r w:rsidR="004C7417">
              <w:rPr>
                <w:rFonts w:ascii="Arial" w:hAnsi="Arial" w:cs="Arial"/>
                <w:sz w:val="24"/>
                <w:szCs w:val="24"/>
                <w:vertAlign w:val="superscript"/>
              </w:rPr>
              <w:t>m(</w:t>
            </w:r>
            <w:r w:rsidR="00726733">
              <w:rPr>
                <w:rFonts w:ascii="Arial" w:hAnsi="Arial" w:cs="Arial"/>
                <w:sz w:val="24"/>
                <w:szCs w:val="24"/>
                <w:vertAlign w:val="superscript"/>
              </w:rPr>
              <w:t>7</w:t>
            </w:r>
            <w:r w:rsidR="004C7417">
              <w:rPr>
                <w:rFonts w:ascii="Arial" w:hAnsi="Arial" w:cs="Arial"/>
                <w:sz w:val="24"/>
                <w:szCs w:val="24"/>
                <w:vertAlign w:val="superscript"/>
              </w:rPr>
              <w:t>)</w:t>
            </w:r>
          </w:p>
        </w:tc>
        <w:tc>
          <w:tcPr>
            <w:tcW w:w="2127" w:type="dxa"/>
          </w:tcPr>
          <w:p w:rsidR="004C7417" w:rsidRPr="00880287" w:rsidRDefault="00DC1B74" w:rsidP="00A90341">
            <w:pPr>
              <w:spacing w:before="120"/>
              <w:jc w:val="center"/>
              <w:rPr>
                <w:rFonts w:ascii="Arial" w:hAnsi="Arial" w:cs="Arial"/>
                <w:sz w:val="24"/>
                <w:szCs w:val="24"/>
                <w:vertAlign w:val="superscript"/>
              </w:rPr>
            </w:pPr>
            <w:r>
              <w:rPr>
                <w:rFonts w:ascii="Arial" w:hAnsi="Arial" w:cs="Arial"/>
                <w:sz w:val="24"/>
                <w:szCs w:val="24"/>
                <w:vertAlign w:val="superscript"/>
              </w:rPr>
              <w:t xml:space="preserve">c. </w:t>
            </w:r>
            <w:r w:rsidR="004C7417">
              <w:rPr>
                <w:rFonts w:ascii="Arial" w:hAnsi="Arial" w:cs="Arial"/>
                <w:sz w:val="24"/>
                <w:szCs w:val="24"/>
                <w:vertAlign w:val="superscript"/>
              </w:rPr>
              <w:t>£8</w:t>
            </w:r>
            <w:r>
              <w:rPr>
                <w:rFonts w:ascii="Arial" w:hAnsi="Arial" w:cs="Arial"/>
                <w:sz w:val="24"/>
                <w:szCs w:val="24"/>
                <w:vertAlign w:val="superscript"/>
              </w:rPr>
              <w:t>7</w:t>
            </w:r>
            <w:r w:rsidR="004C7417">
              <w:rPr>
                <w:rFonts w:ascii="Arial" w:hAnsi="Arial" w:cs="Arial"/>
                <w:sz w:val="24"/>
                <w:szCs w:val="24"/>
                <w:vertAlign w:val="superscript"/>
              </w:rPr>
              <w:t>m</w:t>
            </w:r>
          </w:p>
        </w:tc>
      </w:tr>
      <w:tr w:rsidR="004C7417" w:rsidRPr="002B520A" w:rsidTr="004C7417">
        <w:tc>
          <w:tcPr>
            <w:tcW w:w="2660" w:type="dxa"/>
          </w:tcPr>
          <w:p w:rsidR="004C7417" w:rsidRPr="002B520A" w:rsidRDefault="004C7417" w:rsidP="00A90341">
            <w:pPr>
              <w:spacing w:before="120"/>
              <w:rPr>
                <w:rFonts w:ascii="Arial" w:hAnsi="Arial" w:cs="Arial"/>
                <w:b/>
                <w:bCs/>
                <w:sz w:val="24"/>
                <w:szCs w:val="24"/>
                <w:vertAlign w:val="superscript"/>
              </w:rPr>
            </w:pPr>
            <w:r w:rsidRPr="002B520A">
              <w:rPr>
                <w:rFonts w:ascii="Arial" w:hAnsi="Arial" w:cs="Arial"/>
                <w:b/>
                <w:bCs/>
                <w:sz w:val="24"/>
                <w:szCs w:val="24"/>
                <w:vertAlign w:val="superscript"/>
              </w:rPr>
              <w:t>Total</w:t>
            </w:r>
          </w:p>
        </w:tc>
        <w:tc>
          <w:tcPr>
            <w:tcW w:w="1842" w:type="dxa"/>
          </w:tcPr>
          <w:p w:rsidR="004C7417" w:rsidRPr="00BF3C4B" w:rsidRDefault="0058130A" w:rsidP="00A90341">
            <w:pPr>
              <w:spacing w:before="120"/>
              <w:jc w:val="center"/>
              <w:rPr>
                <w:rFonts w:ascii="Arial" w:hAnsi="Arial" w:cs="Arial"/>
                <w:b/>
                <w:bCs/>
                <w:sz w:val="24"/>
                <w:szCs w:val="24"/>
                <w:vertAlign w:val="superscript"/>
              </w:rPr>
            </w:pPr>
            <w:r>
              <w:rPr>
                <w:rFonts w:ascii="Arial" w:hAnsi="Arial" w:cs="Arial"/>
                <w:b/>
                <w:bCs/>
                <w:sz w:val="24"/>
                <w:szCs w:val="24"/>
                <w:vertAlign w:val="superscript"/>
              </w:rPr>
              <w:t xml:space="preserve">c. </w:t>
            </w:r>
            <w:r w:rsidR="004C7417">
              <w:rPr>
                <w:rFonts w:ascii="Arial" w:hAnsi="Arial" w:cs="Arial"/>
                <w:b/>
                <w:bCs/>
                <w:sz w:val="24"/>
                <w:szCs w:val="24"/>
                <w:vertAlign w:val="superscript"/>
              </w:rPr>
              <w:t>2,4</w:t>
            </w:r>
            <w:r w:rsidR="00DC1B74">
              <w:rPr>
                <w:rFonts w:ascii="Arial" w:hAnsi="Arial" w:cs="Arial"/>
                <w:b/>
                <w:bCs/>
                <w:sz w:val="24"/>
                <w:szCs w:val="24"/>
                <w:vertAlign w:val="superscript"/>
              </w:rPr>
              <w:t>5</w:t>
            </w:r>
            <w:r w:rsidR="0041557D">
              <w:rPr>
                <w:rFonts w:ascii="Arial" w:hAnsi="Arial" w:cs="Arial"/>
                <w:b/>
                <w:bCs/>
                <w:sz w:val="24"/>
                <w:szCs w:val="24"/>
                <w:vertAlign w:val="superscript"/>
              </w:rPr>
              <w:t>5</w:t>
            </w:r>
            <w:r w:rsidR="004C7417">
              <w:rPr>
                <w:rFonts w:ascii="Arial" w:hAnsi="Arial" w:cs="Arial"/>
                <w:b/>
                <w:bCs/>
                <w:sz w:val="24"/>
                <w:szCs w:val="24"/>
                <w:vertAlign w:val="superscript"/>
              </w:rPr>
              <w:t>m</w:t>
            </w:r>
          </w:p>
        </w:tc>
        <w:tc>
          <w:tcPr>
            <w:tcW w:w="2127" w:type="dxa"/>
          </w:tcPr>
          <w:p w:rsidR="004C7417" w:rsidRPr="002B520A" w:rsidRDefault="0058130A" w:rsidP="00A90341">
            <w:pPr>
              <w:spacing w:before="120"/>
              <w:jc w:val="center"/>
              <w:rPr>
                <w:rFonts w:ascii="Arial" w:hAnsi="Arial" w:cs="Arial"/>
                <w:b/>
                <w:bCs/>
                <w:sz w:val="24"/>
                <w:szCs w:val="24"/>
                <w:vertAlign w:val="superscript"/>
              </w:rPr>
            </w:pPr>
            <w:r>
              <w:rPr>
                <w:rFonts w:ascii="Arial" w:hAnsi="Arial" w:cs="Arial"/>
                <w:b/>
                <w:bCs/>
                <w:sz w:val="24"/>
                <w:szCs w:val="24"/>
                <w:vertAlign w:val="superscript"/>
              </w:rPr>
              <w:t xml:space="preserve">c. </w:t>
            </w:r>
            <w:r w:rsidR="004C7417">
              <w:rPr>
                <w:rFonts w:ascii="Arial" w:hAnsi="Arial" w:cs="Arial"/>
                <w:b/>
                <w:bCs/>
                <w:sz w:val="24"/>
                <w:szCs w:val="24"/>
                <w:vertAlign w:val="superscript"/>
              </w:rPr>
              <w:t>£950m</w:t>
            </w:r>
          </w:p>
        </w:tc>
      </w:tr>
    </w:tbl>
    <w:p w:rsidR="00436FF8" w:rsidRDefault="00436FF8" w:rsidP="00F44C0A">
      <w:pPr>
        <w:jc w:val="both"/>
        <w:rPr>
          <w:rFonts w:ascii="Arial" w:hAnsi="Arial"/>
        </w:rPr>
      </w:pPr>
      <w:r w:rsidRPr="00C66DFD">
        <w:rPr>
          <w:rFonts w:ascii="Arial" w:hAnsi="Arial"/>
        </w:rPr>
        <w:t xml:space="preserve"> </w:t>
      </w:r>
    </w:p>
    <w:p w:rsidR="00726733" w:rsidRPr="00726733" w:rsidRDefault="00726733" w:rsidP="004F7566">
      <w:pPr>
        <w:jc w:val="both"/>
        <w:rPr>
          <w:rFonts w:ascii="Arial" w:hAnsi="Arial" w:cs="Arial"/>
        </w:rPr>
      </w:pPr>
      <w:r>
        <w:rPr>
          <w:rFonts w:ascii="Arial" w:hAnsi="Arial" w:cs="Arial"/>
        </w:rPr>
        <w:t xml:space="preserve">(5) </w:t>
      </w:r>
      <w:r w:rsidR="000B14F0">
        <w:rPr>
          <w:rFonts w:ascii="Arial" w:hAnsi="Arial" w:cs="Arial"/>
        </w:rPr>
        <w:t>Additional c</w:t>
      </w:r>
      <w:r>
        <w:rPr>
          <w:rFonts w:ascii="Arial" w:hAnsi="Arial" w:cs="Arial"/>
        </w:rPr>
        <w:t xml:space="preserve">ore Tier 1 </w:t>
      </w:r>
      <w:r w:rsidR="00EA1BDD">
        <w:rPr>
          <w:rFonts w:ascii="Arial" w:hAnsi="Arial" w:cs="Arial"/>
        </w:rPr>
        <w:t xml:space="preserve">benefit of c. 0.20% </w:t>
      </w:r>
      <w:r w:rsidR="00BA0574">
        <w:rPr>
          <w:rFonts w:ascii="Arial" w:hAnsi="Arial" w:cs="Arial"/>
        </w:rPr>
        <w:t xml:space="preserve">through </w:t>
      </w:r>
      <w:r w:rsidR="00EA1BDD">
        <w:rPr>
          <w:rFonts w:ascii="Arial" w:hAnsi="Arial" w:cs="Arial"/>
        </w:rPr>
        <w:t>funding portion of the bonus in equity already reflected in 31 December 2009 CT1 ratio of 11.0%</w:t>
      </w:r>
      <w:r w:rsidRPr="00726733">
        <w:rPr>
          <w:rFonts w:ascii="Arial" w:hAnsi="Arial" w:cs="Arial"/>
        </w:rPr>
        <w:t>.</w:t>
      </w:r>
    </w:p>
    <w:p w:rsidR="0041557D" w:rsidRDefault="00672651" w:rsidP="004F7566">
      <w:pPr>
        <w:jc w:val="both"/>
        <w:rPr>
          <w:rFonts w:ascii="Arial" w:hAnsi="Arial" w:cs="Arial"/>
        </w:rPr>
      </w:pPr>
      <w:r>
        <w:rPr>
          <w:rFonts w:ascii="Arial" w:hAnsi="Arial" w:cs="Arial"/>
        </w:rPr>
        <w:t>(</w:t>
      </w:r>
      <w:r w:rsidR="00726733">
        <w:rPr>
          <w:rFonts w:ascii="Arial" w:hAnsi="Arial" w:cs="Arial"/>
        </w:rPr>
        <w:t>6</w:t>
      </w:r>
      <w:r>
        <w:rPr>
          <w:rFonts w:ascii="Arial" w:hAnsi="Arial" w:cs="Arial"/>
        </w:rPr>
        <w:t>) Represents portion of preference share offering that arranged to have their shares sold through RBS.</w:t>
      </w:r>
    </w:p>
    <w:p w:rsidR="00672651" w:rsidRDefault="00672651" w:rsidP="004F7566">
      <w:pPr>
        <w:jc w:val="both"/>
        <w:rPr>
          <w:rFonts w:ascii="Arial" w:hAnsi="Arial" w:cs="Arial"/>
        </w:rPr>
      </w:pPr>
      <w:r>
        <w:rPr>
          <w:rFonts w:ascii="Arial" w:hAnsi="Arial" w:cs="Arial"/>
        </w:rPr>
        <w:t>(</w:t>
      </w:r>
      <w:r w:rsidR="00726733">
        <w:rPr>
          <w:rFonts w:ascii="Arial" w:hAnsi="Arial" w:cs="Arial"/>
        </w:rPr>
        <w:t>7</w:t>
      </w:r>
      <w:r>
        <w:rPr>
          <w:rFonts w:ascii="Arial" w:hAnsi="Arial" w:cs="Arial"/>
        </w:rPr>
        <w:t>)</w:t>
      </w:r>
      <w:r w:rsidR="00D37E4B">
        <w:rPr>
          <w:rFonts w:ascii="Arial" w:hAnsi="Arial" w:cs="Arial"/>
        </w:rPr>
        <w:t xml:space="preserve"> </w:t>
      </w:r>
      <w:r w:rsidR="00EA1BDD">
        <w:rPr>
          <w:rFonts w:ascii="Arial" w:hAnsi="Arial" w:cs="Arial"/>
        </w:rPr>
        <w:t xml:space="preserve">Anticipated market purchases to fulfil hedging requirement. </w:t>
      </w:r>
      <w:r w:rsidR="00DC1B74">
        <w:rPr>
          <w:rFonts w:ascii="Arial" w:hAnsi="Arial" w:cs="Arial"/>
        </w:rPr>
        <w:t>Assumes illustrative share price of 44.49p.</w:t>
      </w:r>
    </w:p>
    <w:p w:rsidR="009E417B" w:rsidRDefault="009E417B" w:rsidP="004F7566">
      <w:pPr>
        <w:jc w:val="both"/>
        <w:rPr>
          <w:rFonts w:ascii="Arial" w:hAnsi="Arial" w:cs="Arial"/>
        </w:rPr>
      </w:pPr>
    </w:p>
    <w:p w:rsidR="00A65EE7" w:rsidRDefault="00A65EE7" w:rsidP="004F7566">
      <w:pPr>
        <w:jc w:val="both"/>
        <w:rPr>
          <w:rFonts w:ascii="Arial" w:hAnsi="Arial" w:cs="Arial"/>
        </w:rPr>
      </w:pPr>
    </w:p>
    <w:p w:rsidR="009E417B" w:rsidRPr="0008093E" w:rsidRDefault="0008093E" w:rsidP="004F7566">
      <w:pPr>
        <w:jc w:val="both"/>
        <w:rPr>
          <w:rFonts w:ascii="Arial" w:hAnsi="Arial" w:cs="Arial"/>
          <w:u w:val="single"/>
        </w:rPr>
      </w:pPr>
      <w:r w:rsidRPr="0008093E">
        <w:rPr>
          <w:rFonts w:ascii="Arial" w:hAnsi="Arial" w:cs="Arial"/>
          <w:u w:val="single"/>
        </w:rPr>
        <w:t>Contacts</w:t>
      </w:r>
    </w:p>
    <w:p w:rsidR="009E417B" w:rsidRDefault="009E417B" w:rsidP="004F7566">
      <w:pPr>
        <w:jc w:val="both"/>
        <w:rPr>
          <w:rFonts w:ascii="Arial" w:hAnsi="Arial" w:cs="Arial"/>
        </w:rPr>
      </w:pPr>
    </w:p>
    <w:p w:rsidR="00E04429" w:rsidRPr="00771596" w:rsidRDefault="00E04429" w:rsidP="00E04429">
      <w:pPr>
        <w:jc w:val="both"/>
        <w:rPr>
          <w:rFonts w:ascii="Arial" w:hAnsi="Arial" w:cs="Arial"/>
        </w:rPr>
      </w:pPr>
      <w:r w:rsidRPr="00771596">
        <w:rPr>
          <w:rFonts w:ascii="Arial" w:hAnsi="Arial" w:cs="Arial"/>
        </w:rPr>
        <w:t>Richard O’Connor</w:t>
      </w:r>
    </w:p>
    <w:p w:rsidR="00E04429" w:rsidRPr="00771596" w:rsidRDefault="00E04429" w:rsidP="00E04429">
      <w:pPr>
        <w:jc w:val="both"/>
        <w:rPr>
          <w:rFonts w:ascii="Arial" w:hAnsi="Arial" w:cs="Arial"/>
        </w:rPr>
      </w:pPr>
    </w:p>
    <w:p w:rsidR="00E04429" w:rsidRPr="00771596" w:rsidRDefault="00E04429" w:rsidP="00E04429">
      <w:pPr>
        <w:jc w:val="both"/>
        <w:rPr>
          <w:rFonts w:ascii="Arial" w:hAnsi="Arial" w:cs="Arial"/>
        </w:rPr>
      </w:pPr>
      <w:r w:rsidRPr="00771596">
        <w:rPr>
          <w:rFonts w:ascii="Arial" w:hAnsi="Arial" w:cs="Arial"/>
        </w:rPr>
        <w:t>Head of Investor Relations</w:t>
      </w:r>
    </w:p>
    <w:p w:rsidR="00E04429" w:rsidRPr="00771596" w:rsidRDefault="00E04429" w:rsidP="00E04429">
      <w:pPr>
        <w:jc w:val="both"/>
        <w:rPr>
          <w:rFonts w:ascii="Arial" w:hAnsi="Arial" w:cs="Arial"/>
        </w:rPr>
      </w:pPr>
    </w:p>
    <w:p w:rsidR="00E04429" w:rsidRPr="00771596" w:rsidRDefault="00E04429" w:rsidP="00E04429">
      <w:pPr>
        <w:jc w:val="both"/>
        <w:rPr>
          <w:rFonts w:ascii="Arial" w:hAnsi="Arial" w:cs="Arial"/>
        </w:rPr>
      </w:pPr>
      <w:r w:rsidRPr="00771596">
        <w:rPr>
          <w:rFonts w:ascii="Arial" w:hAnsi="Arial" w:cs="Arial"/>
        </w:rPr>
        <w:t>TEL: +44 (0) 20 7672 1758</w:t>
      </w:r>
    </w:p>
    <w:p w:rsidR="00E04429" w:rsidRPr="00771596" w:rsidRDefault="00E04429" w:rsidP="00E04429">
      <w:pPr>
        <w:jc w:val="both"/>
        <w:rPr>
          <w:rFonts w:ascii="Arial" w:hAnsi="Arial" w:cs="Arial"/>
        </w:rPr>
      </w:pPr>
    </w:p>
    <w:p w:rsidR="00E04429" w:rsidRPr="00771596" w:rsidRDefault="00E04429" w:rsidP="00E04429">
      <w:pPr>
        <w:jc w:val="both"/>
        <w:rPr>
          <w:rFonts w:ascii="Arial" w:hAnsi="Arial" w:cs="Arial"/>
        </w:rPr>
      </w:pPr>
    </w:p>
    <w:p w:rsidR="00E04429" w:rsidRPr="00771596" w:rsidRDefault="00E04429" w:rsidP="00E04429">
      <w:pPr>
        <w:jc w:val="both"/>
        <w:rPr>
          <w:rFonts w:ascii="Arial" w:hAnsi="Arial" w:cs="Arial"/>
        </w:rPr>
      </w:pPr>
      <w:r w:rsidRPr="00771596">
        <w:rPr>
          <w:rFonts w:ascii="Arial" w:hAnsi="Arial" w:cs="Arial"/>
        </w:rPr>
        <w:t>Emete Hassan</w:t>
      </w:r>
    </w:p>
    <w:p w:rsidR="00E04429" w:rsidRPr="00771596" w:rsidRDefault="00E04429" w:rsidP="00E04429">
      <w:pPr>
        <w:jc w:val="both"/>
        <w:rPr>
          <w:rFonts w:ascii="Arial" w:hAnsi="Arial" w:cs="Arial"/>
        </w:rPr>
      </w:pPr>
    </w:p>
    <w:p w:rsidR="00E04429" w:rsidRPr="00771596" w:rsidRDefault="00E04429" w:rsidP="00E04429">
      <w:pPr>
        <w:jc w:val="both"/>
        <w:rPr>
          <w:rFonts w:ascii="Arial" w:hAnsi="Arial" w:cs="Arial"/>
        </w:rPr>
      </w:pPr>
      <w:r w:rsidRPr="00771596">
        <w:rPr>
          <w:rFonts w:ascii="Arial" w:hAnsi="Arial" w:cs="Arial"/>
        </w:rPr>
        <w:t>Head of Debt Investor Relations</w:t>
      </w:r>
    </w:p>
    <w:p w:rsidR="00E04429" w:rsidRPr="00771596" w:rsidRDefault="00E04429" w:rsidP="00E04429">
      <w:pPr>
        <w:jc w:val="both"/>
        <w:rPr>
          <w:rFonts w:ascii="Arial" w:hAnsi="Arial" w:cs="Arial"/>
        </w:rPr>
      </w:pPr>
    </w:p>
    <w:p w:rsidR="00E04429" w:rsidRPr="00740348" w:rsidRDefault="00E04429" w:rsidP="00E04429">
      <w:pPr>
        <w:jc w:val="both"/>
        <w:rPr>
          <w:rFonts w:ascii="Arial" w:hAnsi="Arial" w:cs="Arial"/>
          <w:lang w:val="es-ES_tradnl"/>
        </w:rPr>
      </w:pPr>
      <w:r w:rsidRPr="00740348">
        <w:rPr>
          <w:rFonts w:ascii="Arial" w:hAnsi="Arial" w:cs="Arial"/>
          <w:lang w:val="es-ES_tradnl"/>
        </w:rPr>
        <w:t>TEL: +44 (0) 20 7672 1758</w:t>
      </w:r>
    </w:p>
    <w:p w:rsidR="00E04429" w:rsidRPr="00740348" w:rsidRDefault="00E04429" w:rsidP="00E04429">
      <w:pPr>
        <w:jc w:val="both"/>
        <w:rPr>
          <w:rFonts w:ascii="Arial" w:hAnsi="Arial" w:cs="Arial"/>
          <w:lang w:val="es-ES_tradnl"/>
        </w:rPr>
      </w:pPr>
    </w:p>
    <w:p w:rsidR="00E04429" w:rsidRPr="00740348" w:rsidRDefault="00E04429" w:rsidP="00E04429">
      <w:pPr>
        <w:jc w:val="both"/>
        <w:rPr>
          <w:rFonts w:ascii="Arial" w:hAnsi="Arial" w:cs="Arial"/>
          <w:lang w:val="es-ES_tradnl"/>
        </w:rPr>
      </w:pPr>
    </w:p>
    <w:p w:rsidR="00E04429" w:rsidRPr="00740348" w:rsidRDefault="00E04429" w:rsidP="00E04429">
      <w:pPr>
        <w:jc w:val="both"/>
        <w:rPr>
          <w:rFonts w:ascii="Arial" w:hAnsi="Arial" w:cs="Arial"/>
          <w:lang w:val="es-ES_tradnl"/>
        </w:rPr>
      </w:pPr>
      <w:r w:rsidRPr="00740348">
        <w:rPr>
          <w:rFonts w:ascii="Arial" w:hAnsi="Arial" w:cs="Arial"/>
          <w:lang w:val="es-ES_tradnl"/>
        </w:rPr>
        <w:t>Group Media Centre</w:t>
      </w:r>
    </w:p>
    <w:p w:rsidR="00E04429" w:rsidRPr="00740348" w:rsidRDefault="00E04429" w:rsidP="00E04429">
      <w:pPr>
        <w:jc w:val="both"/>
        <w:rPr>
          <w:rFonts w:ascii="Arial" w:hAnsi="Arial" w:cs="Arial"/>
          <w:lang w:val="es-ES_tradnl"/>
        </w:rPr>
      </w:pPr>
    </w:p>
    <w:p w:rsidR="00E04429" w:rsidRPr="00740348" w:rsidRDefault="00E04429" w:rsidP="00E04429">
      <w:pPr>
        <w:jc w:val="both"/>
        <w:rPr>
          <w:rFonts w:ascii="Arial" w:hAnsi="Arial" w:cs="Arial"/>
          <w:lang w:val="es-ES_tradnl"/>
        </w:rPr>
      </w:pPr>
      <w:r w:rsidRPr="00740348">
        <w:rPr>
          <w:rFonts w:ascii="Arial" w:hAnsi="Arial" w:cs="Arial"/>
          <w:lang w:val="es-ES_tradnl"/>
        </w:rPr>
        <w:t>TEL: +44 (0) 131 523 4414</w:t>
      </w:r>
    </w:p>
    <w:p w:rsidR="00E04429" w:rsidRPr="00E04429" w:rsidRDefault="00E04429" w:rsidP="004F7566">
      <w:pPr>
        <w:jc w:val="both"/>
        <w:rPr>
          <w:rFonts w:ascii="Arial" w:hAnsi="Arial" w:cs="Arial"/>
          <w:b/>
          <w:bCs/>
          <w:sz w:val="24"/>
          <w:szCs w:val="24"/>
          <w:u w:val="single"/>
        </w:rPr>
      </w:pPr>
      <w:r w:rsidRPr="00E04429">
        <w:rPr>
          <w:rFonts w:ascii="Arial" w:hAnsi="Arial" w:cs="Arial"/>
          <w:b/>
          <w:bCs/>
          <w:sz w:val="24"/>
          <w:szCs w:val="24"/>
          <w:u w:val="single"/>
        </w:rPr>
        <w:t>Appendix 1: Illustrative estimated impact on capital securities outstanding</w:t>
      </w:r>
    </w:p>
    <w:p w:rsidR="00E04429" w:rsidRDefault="00E04429" w:rsidP="004F7566">
      <w:pPr>
        <w:jc w:val="both"/>
        <w:rPr>
          <w:rFonts w:ascii="Arial" w:hAnsi="Arial" w:cs="Arial"/>
        </w:rPr>
      </w:pPr>
    </w:p>
    <w:tbl>
      <w:tblPr>
        <w:tblW w:w="7827" w:type="dxa"/>
        <w:tblCellSpacing w:w="0" w:type="dxa"/>
        <w:tblCellMar>
          <w:left w:w="0" w:type="dxa"/>
          <w:right w:w="0" w:type="dxa"/>
        </w:tblCellMar>
        <w:tblLook w:val="0000"/>
      </w:tblPr>
      <w:tblGrid>
        <w:gridCol w:w="4425"/>
        <w:gridCol w:w="3402"/>
      </w:tblGrid>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jc w:val="both"/>
              <w:rPr>
                <w:rFonts w:ascii="Arial" w:hAnsi="Arial" w:cs="Arial"/>
              </w:rPr>
            </w:pPr>
            <w:r w:rsidRPr="00E04429">
              <w:rPr>
                <w:rFonts w:ascii="Arial" w:hAnsi="Arial" w:cs="Arial"/>
                <w:b/>
                <w:bCs/>
              </w:rPr>
              <w:lastRenderedPageBreak/>
              <w:t xml:space="preserve">Projected new </w:t>
            </w:r>
            <w:r w:rsidR="002F163B">
              <w:rPr>
                <w:rFonts w:ascii="Arial" w:hAnsi="Arial" w:cs="Arial"/>
                <w:b/>
                <w:bCs/>
              </w:rPr>
              <w:t>senior debt</w:t>
            </w:r>
            <w:r w:rsidR="002F163B" w:rsidRPr="00E04429">
              <w:rPr>
                <w:rFonts w:ascii="Arial" w:hAnsi="Arial" w:cs="Arial"/>
                <w:b/>
                <w:bCs/>
              </w:rPr>
              <w:t xml:space="preserve"> </w:t>
            </w:r>
            <w:r w:rsidRPr="00E04429">
              <w:rPr>
                <w:rFonts w:ascii="Arial" w:hAnsi="Arial" w:cs="Arial"/>
                <w:b/>
                <w:bCs/>
              </w:rPr>
              <w:t>to be issued</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£2,093m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jc w:val="both"/>
              <w:rPr>
                <w:rFonts w:ascii="Arial" w:hAnsi="Arial" w:cs="Arial"/>
              </w:rPr>
            </w:pPr>
            <w:r w:rsidRPr="00E04429">
              <w:rPr>
                <w:rFonts w:ascii="Arial" w:hAnsi="Arial" w:cs="Arial"/>
                <w:b/>
                <w:bCs/>
              </w:rPr>
              <w:t>Cash paid for securities repurchased</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£2,689m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A90341" w:rsidRPr="00E04429" w:rsidRDefault="00E04429" w:rsidP="00E04429">
            <w:pPr>
              <w:jc w:val="both"/>
              <w:rPr>
                <w:rFonts w:ascii="Arial" w:hAnsi="Arial" w:cs="Arial"/>
              </w:rPr>
            </w:pPr>
            <w:r w:rsidRPr="00E04429">
              <w:rPr>
                <w:rFonts w:ascii="Arial" w:hAnsi="Arial" w:cs="Arial"/>
              </w:rPr>
              <w:t> </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jc w:val="both"/>
              <w:rPr>
                <w:rFonts w:ascii="Arial" w:hAnsi="Arial" w:cs="Arial"/>
              </w:rPr>
            </w:pPr>
            <w:r w:rsidRPr="00E04429">
              <w:rPr>
                <w:rFonts w:ascii="Arial" w:hAnsi="Arial" w:cs="Arial"/>
                <w:b/>
                <w:bCs/>
              </w:rPr>
              <w:t>Lower Tier 2 Securities</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numPr>
                <w:ilvl w:val="0"/>
                <w:numId w:val="10"/>
              </w:numPr>
              <w:jc w:val="both"/>
              <w:rPr>
                <w:rFonts w:ascii="Arial" w:hAnsi="Arial" w:cs="Arial"/>
              </w:rPr>
            </w:pPr>
            <w:r w:rsidRPr="00E04429">
              <w:rPr>
                <w:rFonts w:ascii="Arial" w:hAnsi="Arial" w:cs="Arial"/>
              </w:rPr>
              <w:t>Total outstanding</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£20,181m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numPr>
                <w:ilvl w:val="0"/>
                <w:numId w:val="11"/>
              </w:numPr>
              <w:jc w:val="both"/>
              <w:rPr>
                <w:rFonts w:ascii="Arial" w:hAnsi="Arial" w:cs="Arial"/>
              </w:rPr>
            </w:pPr>
            <w:r w:rsidRPr="00E04429">
              <w:rPr>
                <w:rFonts w:ascii="Arial" w:hAnsi="Arial" w:cs="Arial"/>
              </w:rPr>
              <w:t>Percentage removed</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0.0%</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numPr>
                <w:ilvl w:val="0"/>
                <w:numId w:val="12"/>
              </w:numPr>
              <w:jc w:val="both"/>
              <w:rPr>
                <w:rFonts w:ascii="Arial" w:hAnsi="Arial" w:cs="Arial"/>
              </w:rPr>
            </w:pPr>
            <w:r w:rsidRPr="00E04429">
              <w:rPr>
                <w:rFonts w:ascii="Arial" w:hAnsi="Arial" w:cs="Arial"/>
              </w:rPr>
              <w:t>Total remaining post transaction</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£20,181m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A90341" w:rsidRPr="00E04429" w:rsidRDefault="00E04429" w:rsidP="00E04429">
            <w:pPr>
              <w:jc w:val="both"/>
              <w:rPr>
                <w:rFonts w:ascii="Arial" w:hAnsi="Arial" w:cs="Arial"/>
              </w:rPr>
            </w:pPr>
            <w:r w:rsidRPr="00E04429">
              <w:rPr>
                <w:rFonts w:ascii="Arial" w:hAnsi="Arial" w:cs="Arial"/>
              </w:rPr>
              <w:t> </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jc w:val="both"/>
              <w:rPr>
                <w:rFonts w:ascii="Arial" w:hAnsi="Arial" w:cs="Arial"/>
              </w:rPr>
            </w:pPr>
            <w:r w:rsidRPr="00E04429">
              <w:rPr>
                <w:rFonts w:ascii="Arial" w:hAnsi="Arial" w:cs="Arial"/>
                <w:b/>
                <w:bCs/>
              </w:rPr>
              <w:t>Upper Tier 2 Securities</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numPr>
                <w:ilvl w:val="0"/>
                <w:numId w:val="13"/>
              </w:numPr>
              <w:jc w:val="both"/>
              <w:rPr>
                <w:rFonts w:ascii="Arial" w:hAnsi="Arial" w:cs="Arial"/>
              </w:rPr>
            </w:pPr>
            <w:r w:rsidRPr="00E04429">
              <w:rPr>
                <w:rFonts w:ascii="Arial" w:hAnsi="Arial" w:cs="Arial"/>
              </w:rPr>
              <w:t>Total outstanding</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£4,267m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numPr>
                <w:ilvl w:val="0"/>
                <w:numId w:val="14"/>
              </w:numPr>
              <w:jc w:val="both"/>
              <w:rPr>
                <w:rFonts w:ascii="Arial" w:hAnsi="Arial" w:cs="Arial"/>
              </w:rPr>
            </w:pPr>
            <w:r w:rsidRPr="00E04429">
              <w:rPr>
                <w:rFonts w:ascii="Arial" w:hAnsi="Arial" w:cs="Arial"/>
              </w:rPr>
              <w:t>Percentage removed</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63.9%</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vAlign w:val="center"/>
          </w:tcPr>
          <w:p w:rsidR="00E04429" w:rsidRPr="00E04429" w:rsidRDefault="00E04429" w:rsidP="00E04429">
            <w:pPr>
              <w:numPr>
                <w:ilvl w:val="0"/>
                <w:numId w:val="15"/>
              </w:numPr>
              <w:jc w:val="both"/>
              <w:rPr>
                <w:rFonts w:ascii="Arial" w:hAnsi="Arial" w:cs="Arial"/>
              </w:rPr>
            </w:pPr>
            <w:r w:rsidRPr="00E04429">
              <w:rPr>
                <w:rFonts w:ascii="Arial" w:hAnsi="Arial" w:cs="Arial"/>
              </w:rPr>
              <w:t>Total remaining post transaction</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£1,542m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A90341" w:rsidRPr="00E04429" w:rsidRDefault="00E04429" w:rsidP="00E04429">
            <w:pPr>
              <w:jc w:val="both"/>
              <w:rPr>
                <w:rFonts w:ascii="Arial" w:hAnsi="Arial" w:cs="Arial"/>
              </w:rPr>
            </w:pPr>
            <w:r w:rsidRPr="00E04429">
              <w:rPr>
                <w:rFonts w:ascii="Arial" w:hAnsi="Arial" w:cs="Arial"/>
              </w:rPr>
              <w:t> </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jc w:val="both"/>
              <w:rPr>
                <w:rFonts w:ascii="Arial" w:hAnsi="Arial" w:cs="Arial"/>
              </w:rPr>
            </w:pPr>
            <w:r w:rsidRPr="00E04429">
              <w:rPr>
                <w:rFonts w:ascii="Arial" w:hAnsi="Arial" w:cs="Arial"/>
                <w:b/>
                <w:bCs/>
              </w:rPr>
              <w:t>Innovative Tier 1 Securities</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numPr>
                <w:ilvl w:val="0"/>
                <w:numId w:val="16"/>
              </w:numPr>
              <w:jc w:val="both"/>
              <w:rPr>
                <w:rFonts w:ascii="Arial" w:hAnsi="Arial" w:cs="Arial"/>
              </w:rPr>
            </w:pPr>
            <w:r w:rsidRPr="00E04429">
              <w:rPr>
                <w:rFonts w:ascii="Arial" w:hAnsi="Arial" w:cs="Arial"/>
              </w:rPr>
              <w:t>Total outstanding</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£2,818m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numPr>
                <w:ilvl w:val="0"/>
                <w:numId w:val="17"/>
              </w:numPr>
              <w:jc w:val="both"/>
              <w:rPr>
                <w:rFonts w:ascii="Arial" w:hAnsi="Arial" w:cs="Arial"/>
              </w:rPr>
            </w:pPr>
            <w:r w:rsidRPr="00E04429">
              <w:rPr>
                <w:rFonts w:ascii="Arial" w:hAnsi="Arial" w:cs="Arial"/>
              </w:rPr>
              <w:t>Percentage removed</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0.0%</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numPr>
                <w:ilvl w:val="0"/>
                <w:numId w:val="18"/>
              </w:numPr>
              <w:jc w:val="both"/>
              <w:rPr>
                <w:rFonts w:ascii="Arial" w:hAnsi="Arial" w:cs="Arial"/>
              </w:rPr>
            </w:pPr>
            <w:r w:rsidRPr="00E04429">
              <w:rPr>
                <w:rFonts w:ascii="Arial" w:hAnsi="Arial" w:cs="Arial"/>
              </w:rPr>
              <w:t>Total remaining post transaction</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£2,818m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A90341" w:rsidRPr="00E04429" w:rsidRDefault="00E04429" w:rsidP="00E04429">
            <w:pPr>
              <w:jc w:val="both"/>
              <w:rPr>
                <w:rFonts w:ascii="Arial" w:hAnsi="Arial" w:cs="Arial"/>
              </w:rPr>
            </w:pPr>
            <w:r w:rsidRPr="00E04429">
              <w:rPr>
                <w:rFonts w:ascii="Arial" w:hAnsi="Arial" w:cs="Arial"/>
              </w:rPr>
              <w:t> </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jc w:val="both"/>
              <w:rPr>
                <w:rFonts w:ascii="Arial" w:hAnsi="Arial" w:cs="Arial"/>
              </w:rPr>
            </w:pPr>
            <w:r w:rsidRPr="00E04429">
              <w:rPr>
                <w:rFonts w:ascii="Arial" w:hAnsi="Arial" w:cs="Arial"/>
                <w:b/>
                <w:bCs/>
              </w:rPr>
              <w:t>Non-innovative Tier 1 Securities</w:t>
            </w:r>
          </w:p>
        </w:tc>
        <w:tc>
          <w:tcPr>
            <w:tcW w:w="3402" w:type="dxa"/>
            <w:tcBorders>
              <w:top w:val="single" w:sz="6" w:space="0" w:color="9E9991"/>
              <w:left w:val="single" w:sz="6" w:space="0" w:color="000000"/>
              <w:bottom w:val="single" w:sz="6" w:space="0" w:color="9E9991"/>
              <w:right w:val="single" w:sz="12" w:space="0" w:color="000000"/>
            </w:tcBorders>
          </w:tcPr>
          <w:p w:rsidR="00A90341" w:rsidRPr="00E04429" w:rsidRDefault="00E04429" w:rsidP="00E04429">
            <w:pPr>
              <w:jc w:val="both"/>
              <w:rPr>
                <w:rFonts w:ascii="Arial" w:hAnsi="Arial" w:cs="Arial"/>
              </w:rPr>
            </w:pPr>
            <w:r w:rsidRPr="00E04429">
              <w:rPr>
                <w:rFonts w:ascii="Arial" w:hAnsi="Arial" w:cs="Arial"/>
              </w:rPr>
              <w:t> </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numPr>
                <w:ilvl w:val="0"/>
                <w:numId w:val="19"/>
              </w:numPr>
              <w:jc w:val="both"/>
              <w:rPr>
                <w:rFonts w:ascii="Arial" w:hAnsi="Arial" w:cs="Arial"/>
              </w:rPr>
            </w:pPr>
            <w:r w:rsidRPr="00E04429">
              <w:rPr>
                <w:rFonts w:ascii="Arial" w:hAnsi="Arial" w:cs="Arial"/>
              </w:rPr>
              <w:t>Total outstanding</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£8,797m</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numPr>
                <w:ilvl w:val="0"/>
                <w:numId w:val="20"/>
              </w:numPr>
              <w:jc w:val="both"/>
              <w:rPr>
                <w:rFonts w:ascii="Arial" w:hAnsi="Arial" w:cs="Arial"/>
              </w:rPr>
            </w:pPr>
            <w:r w:rsidRPr="00E04429">
              <w:rPr>
                <w:rFonts w:ascii="Arial" w:hAnsi="Arial" w:cs="Arial"/>
              </w:rPr>
              <w:t>Percentage removed</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39.2%</w:t>
            </w:r>
          </w:p>
        </w:tc>
      </w:tr>
      <w:tr w:rsidR="00E04429" w:rsidRPr="00E04429" w:rsidTr="00E04429">
        <w:trPr>
          <w:trHeight w:val="210"/>
          <w:tblCellSpacing w:w="0" w:type="dxa"/>
        </w:trPr>
        <w:tc>
          <w:tcPr>
            <w:tcW w:w="4425" w:type="dxa"/>
            <w:tcBorders>
              <w:top w:val="single" w:sz="6" w:space="0" w:color="9E9991"/>
              <w:left w:val="single" w:sz="12" w:space="0" w:color="000000"/>
              <w:bottom w:val="single" w:sz="6" w:space="0" w:color="9E9991"/>
              <w:right w:val="single" w:sz="6" w:space="0" w:color="000000"/>
            </w:tcBorders>
          </w:tcPr>
          <w:p w:rsidR="00E04429" w:rsidRPr="00E04429" w:rsidRDefault="00E04429" w:rsidP="00E04429">
            <w:pPr>
              <w:numPr>
                <w:ilvl w:val="0"/>
                <w:numId w:val="21"/>
              </w:numPr>
              <w:jc w:val="both"/>
              <w:rPr>
                <w:rFonts w:ascii="Arial" w:hAnsi="Arial" w:cs="Arial"/>
              </w:rPr>
            </w:pPr>
            <w:r w:rsidRPr="00E04429">
              <w:rPr>
                <w:rFonts w:ascii="Arial" w:hAnsi="Arial" w:cs="Arial"/>
              </w:rPr>
              <w:t>Total remaining post transaction</w:t>
            </w:r>
          </w:p>
        </w:tc>
        <w:tc>
          <w:tcPr>
            <w:tcW w:w="3402" w:type="dxa"/>
            <w:tcBorders>
              <w:top w:val="single" w:sz="6" w:space="0" w:color="9E9991"/>
              <w:left w:val="single" w:sz="6" w:space="0" w:color="000000"/>
              <w:bottom w:val="single" w:sz="6" w:space="0" w:color="9E9991"/>
              <w:right w:val="single" w:sz="12" w:space="0" w:color="000000"/>
            </w:tcBorders>
          </w:tcPr>
          <w:p w:rsidR="00E04429" w:rsidRPr="00E04429" w:rsidRDefault="00E04429" w:rsidP="00E04429">
            <w:pPr>
              <w:jc w:val="both"/>
              <w:rPr>
                <w:rFonts w:ascii="Arial" w:hAnsi="Arial" w:cs="Arial"/>
              </w:rPr>
            </w:pPr>
            <w:r w:rsidRPr="00E04429">
              <w:rPr>
                <w:rFonts w:ascii="Arial" w:hAnsi="Arial" w:cs="Arial"/>
              </w:rPr>
              <w:t>£5,351m</w:t>
            </w:r>
          </w:p>
        </w:tc>
      </w:tr>
    </w:tbl>
    <w:p w:rsidR="00E04429" w:rsidRDefault="00E04429" w:rsidP="004F7566">
      <w:pPr>
        <w:jc w:val="both"/>
        <w:rPr>
          <w:rFonts w:ascii="Arial" w:hAnsi="Arial" w:cs="Arial"/>
        </w:rPr>
      </w:pPr>
    </w:p>
    <w:p w:rsidR="00186348" w:rsidRDefault="00186348" w:rsidP="004F7566">
      <w:pPr>
        <w:jc w:val="both"/>
        <w:rPr>
          <w:rFonts w:ascii="Arial" w:hAnsi="Arial" w:cs="Arial"/>
        </w:rPr>
      </w:pPr>
    </w:p>
    <w:p w:rsidR="00186348" w:rsidRDefault="00186348" w:rsidP="004F7566">
      <w:pPr>
        <w:jc w:val="both"/>
        <w:rPr>
          <w:rFonts w:ascii="Arial" w:hAnsi="Arial" w:cs="Arial"/>
        </w:rPr>
      </w:pPr>
    </w:p>
    <w:p w:rsidR="001F47B3" w:rsidRDefault="001F47B3" w:rsidP="001F47B3">
      <w:pPr>
        <w:jc w:val="both"/>
        <w:rPr>
          <w:rFonts w:ascii="Arial" w:hAnsi="Arial" w:cs="Arial"/>
        </w:rPr>
      </w:pPr>
    </w:p>
    <w:p w:rsidR="00E04429" w:rsidRDefault="00E04429" w:rsidP="001F47B3">
      <w:pPr>
        <w:jc w:val="both"/>
        <w:rPr>
          <w:rFonts w:ascii="Arial" w:hAnsi="Arial" w:cs="Arial"/>
        </w:rPr>
      </w:pPr>
    </w:p>
    <w:p w:rsidR="00E04429" w:rsidRDefault="00E04429" w:rsidP="001F47B3">
      <w:pPr>
        <w:jc w:val="both"/>
        <w:rPr>
          <w:rFonts w:ascii="Arial" w:hAnsi="Arial" w:cs="Arial"/>
        </w:rPr>
      </w:pPr>
    </w:p>
    <w:p w:rsidR="00E04429" w:rsidRDefault="00E04429" w:rsidP="001F47B3">
      <w:pPr>
        <w:jc w:val="both"/>
        <w:rPr>
          <w:rFonts w:ascii="Arial" w:hAnsi="Arial" w:cs="Arial"/>
        </w:rPr>
      </w:pPr>
    </w:p>
    <w:p w:rsidR="00E04429" w:rsidRDefault="00E04429" w:rsidP="001F47B3">
      <w:pPr>
        <w:jc w:val="both"/>
        <w:rPr>
          <w:rFonts w:ascii="Arial" w:hAnsi="Arial" w:cs="Arial"/>
        </w:rPr>
      </w:pPr>
    </w:p>
    <w:p w:rsidR="00E04429" w:rsidRDefault="00E04429" w:rsidP="001F47B3">
      <w:pPr>
        <w:jc w:val="both"/>
        <w:rPr>
          <w:rFonts w:ascii="Arial" w:hAnsi="Arial" w:cs="Arial"/>
        </w:rPr>
      </w:pPr>
    </w:p>
    <w:p w:rsidR="00E04429" w:rsidRDefault="00E04429" w:rsidP="001F47B3">
      <w:pPr>
        <w:jc w:val="both"/>
        <w:rPr>
          <w:rFonts w:ascii="Arial" w:hAnsi="Arial" w:cs="Arial"/>
        </w:rPr>
      </w:pPr>
    </w:p>
    <w:p w:rsidR="00E04429" w:rsidRDefault="00E04429"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5B16AE" w:rsidRDefault="005B16AE" w:rsidP="001F47B3">
      <w:pPr>
        <w:jc w:val="both"/>
        <w:rPr>
          <w:rFonts w:ascii="Arial" w:hAnsi="Arial" w:cs="Arial"/>
        </w:rPr>
      </w:pPr>
    </w:p>
    <w:p w:rsidR="00B32552" w:rsidRDefault="00B32552" w:rsidP="001F47B3">
      <w:pPr>
        <w:jc w:val="both"/>
        <w:rPr>
          <w:rFonts w:ascii="Arial" w:hAnsi="Arial" w:cs="Arial"/>
        </w:rPr>
      </w:pPr>
    </w:p>
    <w:p w:rsidR="00B32552" w:rsidRDefault="00B32552" w:rsidP="001F47B3">
      <w:pPr>
        <w:jc w:val="both"/>
        <w:rPr>
          <w:rFonts w:ascii="Arial" w:hAnsi="Arial" w:cs="Arial"/>
        </w:rPr>
      </w:pPr>
    </w:p>
    <w:p w:rsidR="00645A67" w:rsidRDefault="00645A67" w:rsidP="001F47B3">
      <w:pPr>
        <w:jc w:val="both"/>
        <w:rPr>
          <w:rFonts w:ascii="Arial" w:hAnsi="Arial" w:cs="Arial"/>
        </w:rPr>
      </w:pPr>
    </w:p>
    <w:p w:rsidR="00E04429" w:rsidRDefault="00E04429" w:rsidP="001F47B3">
      <w:pPr>
        <w:jc w:val="both"/>
        <w:rPr>
          <w:rFonts w:ascii="Arial" w:hAnsi="Arial" w:cs="Arial"/>
        </w:rPr>
      </w:pPr>
    </w:p>
    <w:p w:rsidR="00E04429" w:rsidRDefault="00E04429" w:rsidP="001F47B3">
      <w:pPr>
        <w:jc w:val="both"/>
        <w:rPr>
          <w:rFonts w:ascii="Arial" w:hAnsi="Arial" w:cs="Arial"/>
        </w:rPr>
      </w:pPr>
    </w:p>
    <w:p w:rsidR="008D19FA" w:rsidRPr="00A51865" w:rsidRDefault="00A51865" w:rsidP="00A14281">
      <w:pPr>
        <w:jc w:val="both"/>
        <w:rPr>
          <w:rFonts w:ascii="Arial" w:hAnsi="Arial" w:cs="Arial"/>
          <w:b/>
          <w:u w:val="single"/>
        </w:rPr>
      </w:pPr>
      <w:r w:rsidRPr="00A51865">
        <w:rPr>
          <w:rFonts w:ascii="Arial" w:hAnsi="Arial" w:cs="Arial"/>
          <w:b/>
          <w:u w:val="single"/>
        </w:rPr>
        <w:t>FORWARD-LOOKING STATEMENTS</w:t>
      </w:r>
    </w:p>
    <w:p w:rsidR="00A51865" w:rsidRPr="00A51865" w:rsidRDefault="00A51865" w:rsidP="00A14281">
      <w:pPr>
        <w:jc w:val="both"/>
        <w:rPr>
          <w:rFonts w:ascii="Arial" w:hAnsi="Arial" w:cs="Arial"/>
          <w:b/>
        </w:rPr>
      </w:pPr>
    </w:p>
    <w:p w:rsidR="00A51865" w:rsidRDefault="00357D3C" w:rsidP="00357D3C">
      <w:pPr>
        <w:jc w:val="both"/>
        <w:rPr>
          <w:rFonts w:ascii="Arial" w:hAnsi="Arial" w:cs="Arial"/>
        </w:rPr>
      </w:pPr>
      <w:r w:rsidRPr="00357D3C">
        <w:rPr>
          <w:rFonts w:ascii="Arial" w:hAnsi="Arial" w:cs="Arial"/>
        </w:rPr>
        <w:lastRenderedPageBreak/>
        <w:t>This announcement includes certain "forward-looking statements". These statements are based on the current expectations of RBS</w:t>
      </w:r>
      <w:r w:rsidR="005065C7">
        <w:rPr>
          <w:rFonts w:ascii="Arial" w:hAnsi="Arial" w:cs="Arial"/>
        </w:rPr>
        <w:t>G</w:t>
      </w:r>
      <w:r w:rsidRPr="00357D3C">
        <w:rPr>
          <w:rFonts w:ascii="Arial" w:hAnsi="Arial" w:cs="Arial"/>
        </w:rPr>
        <w:t xml:space="preserve"> and are naturally subject to uncertainty and changes in</w:t>
      </w:r>
      <w:r>
        <w:rPr>
          <w:rFonts w:ascii="Arial" w:hAnsi="Arial" w:cs="Arial"/>
        </w:rPr>
        <w:t xml:space="preserve"> </w:t>
      </w:r>
      <w:r w:rsidRPr="00357D3C">
        <w:rPr>
          <w:rFonts w:ascii="Arial" w:hAnsi="Arial" w:cs="Arial"/>
        </w:rPr>
        <w:t xml:space="preserve">certain circumstances. Forward-looking statements include any statements related to the benefits resulting from </w:t>
      </w:r>
      <w:r w:rsidR="00141C1C">
        <w:rPr>
          <w:rFonts w:ascii="Arial" w:hAnsi="Arial" w:cs="Arial"/>
        </w:rPr>
        <w:t>the</w:t>
      </w:r>
      <w:r w:rsidRPr="00357D3C">
        <w:rPr>
          <w:rFonts w:ascii="Arial" w:hAnsi="Arial" w:cs="Arial"/>
        </w:rPr>
        <w:t xml:space="preserve"> transaction</w:t>
      </w:r>
      <w:r w:rsidR="00141C1C">
        <w:rPr>
          <w:rFonts w:ascii="Arial" w:hAnsi="Arial" w:cs="Arial"/>
        </w:rPr>
        <w:t>s</w:t>
      </w:r>
      <w:r w:rsidRPr="00357D3C">
        <w:rPr>
          <w:rFonts w:ascii="Arial" w:hAnsi="Arial" w:cs="Arial"/>
        </w:rPr>
        <w:t xml:space="preserve"> </w:t>
      </w:r>
      <w:r w:rsidR="00AB2E3C">
        <w:rPr>
          <w:rFonts w:ascii="Arial" w:hAnsi="Arial" w:cs="Arial"/>
        </w:rPr>
        <w:t xml:space="preserve">referenced herein </w:t>
      </w:r>
      <w:r w:rsidR="00141C1C">
        <w:rPr>
          <w:rFonts w:ascii="Arial" w:hAnsi="Arial" w:cs="Arial"/>
        </w:rPr>
        <w:t>including</w:t>
      </w:r>
      <w:r w:rsidRPr="00357D3C">
        <w:rPr>
          <w:rFonts w:ascii="Arial" w:hAnsi="Arial" w:cs="Arial"/>
        </w:rPr>
        <w:t>, without limitation, statements</w:t>
      </w:r>
      <w:r>
        <w:rPr>
          <w:rFonts w:ascii="Arial" w:hAnsi="Arial" w:cs="Arial"/>
        </w:rPr>
        <w:t xml:space="preserve"> </w:t>
      </w:r>
      <w:r w:rsidRPr="00357D3C">
        <w:rPr>
          <w:rFonts w:ascii="Arial" w:hAnsi="Arial" w:cs="Arial"/>
        </w:rPr>
        <w:t>typically containing words such as "intends", "expects", "anticipates", "targets", "plans", "estimates"</w:t>
      </w:r>
      <w:r w:rsidR="00287E25">
        <w:rPr>
          <w:rFonts w:ascii="Arial" w:hAnsi="Arial" w:cs="Arial"/>
        </w:rPr>
        <w:t>, “forecasts”</w:t>
      </w:r>
      <w:r w:rsidRPr="00357D3C">
        <w:rPr>
          <w:rFonts w:ascii="Arial" w:hAnsi="Arial" w:cs="Arial"/>
        </w:rPr>
        <w:t xml:space="preserve"> and words of similar import. By their nature, forward-looking statements involve risk</w:t>
      </w:r>
      <w:r>
        <w:rPr>
          <w:rFonts w:ascii="Arial" w:hAnsi="Arial" w:cs="Arial"/>
        </w:rPr>
        <w:t xml:space="preserve"> </w:t>
      </w:r>
      <w:r w:rsidRPr="00357D3C">
        <w:rPr>
          <w:rFonts w:ascii="Arial" w:hAnsi="Arial" w:cs="Arial"/>
        </w:rPr>
        <w:t>and uncertainty because they relate to events and depend on circumstances that will occur in the future. There are a number of factors that could cause actual results and developments to differ</w:t>
      </w:r>
      <w:r>
        <w:rPr>
          <w:rFonts w:ascii="Arial" w:hAnsi="Arial" w:cs="Arial"/>
        </w:rPr>
        <w:t xml:space="preserve"> </w:t>
      </w:r>
      <w:r w:rsidRPr="00357D3C">
        <w:rPr>
          <w:rFonts w:ascii="Arial" w:hAnsi="Arial" w:cs="Arial"/>
        </w:rPr>
        <w:t>materially from those expressed or implied by such forward-looking statements. These factors include, but are not limited to, satisfaction of</w:t>
      </w:r>
      <w:r>
        <w:rPr>
          <w:rFonts w:ascii="Arial" w:hAnsi="Arial" w:cs="Arial"/>
        </w:rPr>
        <w:t xml:space="preserve"> </w:t>
      </w:r>
      <w:r w:rsidR="00AB2E3C">
        <w:rPr>
          <w:rFonts w:ascii="Arial" w:hAnsi="Arial" w:cs="Arial"/>
        </w:rPr>
        <w:t>conditions to the proposed o</w:t>
      </w:r>
      <w:r w:rsidRPr="00357D3C">
        <w:rPr>
          <w:rFonts w:ascii="Arial" w:hAnsi="Arial" w:cs="Arial"/>
        </w:rPr>
        <w:t>ffer</w:t>
      </w:r>
      <w:r w:rsidR="00AB2E3C">
        <w:rPr>
          <w:rFonts w:ascii="Arial" w:hAnsi="Arial" w:cs="Arial"/>
        </w:rPr>
        <w:t>s</w:t>
      </w:r>
      <w:r w:rsidRPr="00357D3C">
        <w:rPr>
          <w:rFonts w:ascii="Arial" w:hAnsi="Arial" w:cs="Arial"/>
        </w:rPr>
        <w:t xml:space="preserve">, the successful completion of the </w:t>
      </w:r>
      <w:r w:rsidR="005065C7">
        <w:rPr>
          <w:rFonts w:ascii="Arial" w:hAnsi="Arial" w:cs="Arial"/>
        </w:rPr>
        <w:t>proposed o</w:t>
      </w:r>
      <w:r w:rsidRPr="00357D3C">
        <w:rPr>
          <w:rFonts w:ascii="Arial" w:hAnsi="Arial" w:cs="Arial"/>
        </w:rPr>
        <w:t>ffer</w:t>
      </w:r>
      <w:r w:rsidR="00AB2E3C">
        <w:rPr>
          <w:rFonts w:ascii="Arial" w:hAnsi="Arial" w:cs="Arial"/>
        </w:rPr>
        <w:t>s</w:t>
      </w:r>
      <w:r w:rsidR="00287E25">
        <w:rPr>
          <w:rFonts w:ascii="Arial" w:hAnsi="Arial" w:cs="Arial"/>
        </w:rPr>
        <w:t>, take-up rates in them</w:t>
      </w:r>
      <w:r w:rsidR="005065C7">
        <w:rPr>
          <w:rFonts w:ascii="Arial" w:hAnsi="Arial" w:cs="Arial"/>
        </w:rPr>
        <w:t xml:space="preserve"> and</w:t>
      </w:r>
      <w:r w:rsidRPr="00357D3C">
        <w:rPr>
          <w:rFonts w:ascii="Arial" w:hAnsi="Arial" w:cs="Arial"/>
        </w:rPr>
        <w:t xml:space="preserve"> the antici</w:t>
      </w:r>
      <w:r w:rsidR="005065C7">
        <w:rPr>
          <w:rFonts w:ascii="Arial" w:hAnsi="Arial" w:cs="Arial"/>
        </w:rPr>
        <w:t>pated benefits of the proposed o</w:t>
      </w:r>
      <w:r w:rsidRPr="00357D3C">
        <w:rPr>
          <w:rFonts w:ascii="Arial" w:hAnsi="Arial" w:cs="Arial"/>
        </w:rPr>
        <w:t>ffer</w:t>
      </w:r>
      <w:r w:rsidR="005065C7">
        <w:rPr>
          <w:rFonts w:ascii="Arial" w:hAnsi="Arial" w:cs="Arial"/>
        </w:rPr>
        <w:t>s</w:t>
      </w:r>
      <w:r w:rsidRPr="00357D3C">
        <w:rPr>
          <w:rFonts w:ascii="Arial" w:hAnsi="Arial" w:cs="Arial"/>
        </w:rPr>
        <w:t xml:space="preserve"> </w:t>
      </w:r>
      <w:r w:rsidR="005065C7">
        <w:rPr>
          <w:rFonts w:ascii="Arial" w:hAnsi="Arial" w:cs="Arial"/>
        </w:rPr>
        <w:t>not being realized</w:t>
      </w:r>
      <w:r w:rsidRPr="00357D3C">
        <w:rPr>
          <w:rFonts w:ascii="Arial" w:hAnsi="Arial" w:cs="Arial"/>
        </w:rPr>
        <w:t>, as well as additional factors, such as changes in economic conditions,</w:t>
      </w:r>
      <w:r>
        <w:rPr>
          <w:rFonts w:ascii="Arial" w:hAnsi="Arial" w:cs="Arial"/>
        </w:rPr>
        <w:t xml:space="preserve"> </w:t>
      </w:r>
      <w:r w:rsidRPr="00357D3C">
        <w:rPr>
          <w:rFonts w:ascii="Arial" w:hAnsi="Arial" w:cs="Arial"/>
        </w:rPr>
        <w:t>changes in the regulatory environment, fluctuations in interest and exchange rates, the outcome of litigation and government actions. Other unknown or unpredictable factors could cause actual</w:t>
      </w:r>
      <w:r>
        <w:rPr>
          <w:rFonts w:ascii="Arial" w:hAnsi="Arial" w:cs="Arial"/>
        </w:rPr>
        <w:t xml:space="preserve"> </w:t>
      </w:r>
      <w:r w:rsidRPr="00357D3C">
        <w:rPr>
          <w:rFonts w:ascii="Arial" w:hAnsi="Arial" w:cs="Arial"/>
        </w:rPr>
        <w:t>results to differ materially from those in the forward-looking statements. RBS</w:t>
      </w:r>
      <w:r w:rsidR="005065C7">
        <w:rPr>
          <w:rFonts w:ascii="Arial" w:hAnsi="Arial" w:cs="Arial"/>
        </w:rPr>
        <w:t>G</w:t>
      </w:r>
      <w:r w:rsidRPr="00357D3C">
        <w:rPr>
          <w:rFonts w:ascii="Arial" w:hAnsi="Arial" w:cs="Arial"/>
        </w:rPr>
        <w:t xml:space="preserve"> does not undertake any obligation to update publicly or revise forward-looking statements, whether as a result of new</w:t>
      </w:r>
      <w:r>
        <w:rPr>
          <w:rFonts w:ascii="Arial" w:hAnsi="Arial" w:cs="Arial"/>
        </w:rPr>
        <w:t xml:space="preserve"> </w:t>
      </w:r>
      <w:r w:rsidRPr="00357D3C">
        <w:rPr>
          <w:rFonts w:ascii="Arial" w:hAnsi="Arial" w:cs="Arial"/>
        </w:rPr>
        <w:t>information, future events or otherwise, except to the extent legally required.</w:t>
      </w:r>
    </w:p>
    <w:p w:rsidR="00566F9A" w:rsidRDefault="00566F9A" w:rsidP="00357D3C">
      <w:pPr>
        <w:jc w:val="both"/>
        <w:rPr>
          <w:rFonts w:ascii="Arial" w:hAnsi="Arial" w:cs="Arial"/>
        </w:rPr>
      </w:pPr>
    </w:p>
    <w:p w:rsidR="00566F9A" w:rsidRDefault="00566F9A" w:rsidP="00357D3C">
      <w:pPr>
        <w:jc w:val="both"/>
        <w:rPr>
          <w:rFonts w:ascii="Arial" w:hAnsi="Arial" w:cs="Arial"/>
          <w:b/>
          <w:u w:val="single"/>
        </w:rPr>
      </w:pPr>
      <w:r w:rsidRPr="00566F9A">
        <w:rPr>
          <w:rFonts w:ascii="Arial" w:hAnsi="Arial" w:cs="Arial"/>
          <w:b/>
          <w:u w:val="single"/>
        </w:rPr>
        <w:t>DISCLAIMER</w:t>
      </w:r>
    </w:p>
    <w:p w:rsidR="00566F9A" w:rsidRDefault="00566F9A" w:rsidP="00357D3C">
      <w:pPr>
        <w:jc w:val="both"/>
        <w:rPr>
          <w:rFonts w:ascii="Arial" w:hAnsi="Arial" w:cs="Arial"/>
          <w:b/>
          <w:u w:val="single"/>
        </w:rPr>
      </w:pPr>
    </w:p>
    <w:p w:rsidR="00566F9A" w:rsidRDefault="00566F9A" w:rsidP="00357D3C">
      <w:pPr>
        <w:jc w:val="both"/>
        <w:rPr>
          <w:rFonts w:ascii="Arial" w:hAnsi="Arial" w:cs="Arial"/>
        </w:rPr>
      </w:pPr>
      <w:r w:rsidRPr="00566F9A">
        <w:rPr>
          <w:rFonts w:ascii="Arial" w:hAnsi="Arial" w:cs="Arial"/>
        </w:rPr>
        <w:t>No offer or invitation to acquire or exchange any securities is being made pursuant to this announcement. This announcement does not constitute an invitation to participate in the Exchange Offer or the Tender Offers.</w:t>
      </w:r>
    </w:p>
    <w:p w:rsidR="00566F9A" w:rsidRDefault="00566F9A" w:rsidP="00357D3C">
      <w:pPr>
        <w:jc w:val="both"/>
        <w:rPr>
          <w:rFonts w:ascii="Arial" w:hAnsi="Arial" w:cs="Arial"/>
        </w:rPr>
      </w:pPr>
    </w:p>
    <w:p w:rsidR="00566F9A" w:rsidRDefault="00566F9A" w:rsidP="00357D3C">
      <w:pPr>
        <w:jc w:val="both"/>
        <w:rPr>
          <w:rFonts w:ascii="Arial" w:hAnsi="Arial" w:cs="Arial"/>
        </w:rPr>
      </w:pPr>
    </w:p>
    <w:p w:rsidR="002314AD" w:rsidRDefault="002314AD" w:rsidP="00357D3C">
      <w:pPr>
        <w:jc w:val="both"/>
        <w:rPr>
          <w:rFonts w:ascii="Arial" w:hAnsi="Arial" w:cs="Arial"/>
          <w:b/>
          <w:u w:val="single"/>
        </w:rPr>
      </w:pPr>
      <w:r>
        <w:rPr>
          <w:rFonts w:ascii="Arial" w:hAnsi="Arial" w:cs="Arial"/>
          <w:b/>
          <w:u w:val="single"/>
        </w:rPr>
        <w:t>OFFER RESTRICTIONS</w:t>
      </w:r>
    </w:p>
    <w:p w:rsidR="002314AD" w:rsidRDefault="002314AD" w:rsidP="002314AD">
      <w:pPr>
        <w:jc w:val="both"/>
        <w:rPr>
          <w:rFonts w:ascii="Arial" w:hAnsi="Arial" w:cs="Arial"/>
          <w:b/>
          <w:u w:val="single"/>
        </w:rPr>
      </w:pPr>
    </w:p>
    <w:p w:rsidR="002314AD" w:rsidRDefault="002314AD" w:rsidP="002314AD">
      <w:pPr>
        <w:jc w:val="both"/>
        <w:rPr>
          <w:rFonts w:ascii="Arial" w:hAnsi="Arial" w:cs="Arial"/>
          <w:b/>
          <w:u w:val="single"/>
        </w:rPr>
      </w:pPr>
      <w:r w:rsidRPr="002314AD">
        <w:rPr>
          <w:rFonts w:ascii="Arial" w:hAnsi="Arial" w:cs="Arial"/>
          <w:b/>
          <w:u w:val="single"/>
        </w:rPr>
        <w:t>Italy</w:t>
      </w:r>
    </w:p>
    <w:p w:rsidR="002314AD" w:rsidRPr="002314AD" w:rsidRDefault="002314AD" w:rsidP="002314AD">
      <w:pPr>
        <w:jc w:val="both"/>
        <w:rPr>
          <w:rFonts w:ascii="Arial" w:hAnsi="Arial" w:cs="Arial"/>
          <w:b/>
          <w:u w:val="single"/>
        </w:rPr>
      </w:pPr>
    </w:p>
    <w:p w:rsidR="002314AD" w:rsidRDefault="002314AD" w:rsidP="002314AD">
      <w:pPr>
        <w:jc w:val="both"/>
        <w:rPr>
          <w:rFonts w:ascii="Arial" w:hAnsi="Arial" w:cs="Arial"/>
        </w:rPr>
      </w:pPr>
      <w:r w:rsidRPr="002314AD">
        <w:rPr>
          <w:rFonts w:ascii="Arial" w:hAnsi="Arial" w:cs="Arial"/>
        </w:rPr>
        <w:t>This announcement, the Exchange Offer and the Tender Offers are not being and will not be made, directly or indirectly, in the Republic of Italy (“</w:t>
      </w:r>
      <w:r w:rsidRPr="002314AD">
        <w:rPr>
          <w:rFonts w:ascii="Arial" w:hAnsi="Arial" w:cs="Arial"/>
          <w:b/>
        </w:rPr>
        <w:t>Italy</w:t>
      </w:r>
      <w:r w:rsidRPr="002314AD">
        <w:rPr>
          <w:rFonts w:ascii="Arial" w:hAnsi="Arial" w:cs="Arial"/>
        </w:rPr>
        <w:t>”). The Exchange Offer and the Tender Offers have not been, and will not be, submitted to the clearance procedures of the Commissione Nazionale per le Società e la Borsa (“</w:t>
      </w:r>
      <w:r w:rsidRPr="003423AD">
        <w:rPr>
          <w:rFonts w:ascii="Arial" w:hAnsi="Arial" w:cs="Arial"/>
          <w:b/>
        </w:rPr>
        <w:t>CONSOB</w:t>
      </w:r>
      <w:r w:rsidRPr="002314AD">
        <w:rPr>
          <w:rFonts w:ascii="Arial" w:hAnsi="Arial" w:cs="Arial"/>
        </w:rPr>
        <w:t xml:space="preserve">”) pursuant to Italian laws and regulations. </w:t>
      </w:r>
      <w:r>
        <w:rPr>
          <w:rFonts w:ascii="Arial" w:hAnsi="Arial" w:cs="Arial"/>
        </w:rPr>
        <w:t>T</w:t>
      </w:r>
      <w:r w:rsidRPr="002314AD">
        <w:rPr>
          <w:rFonts w:ascii="Arial" w:hAnsi="Arial" w:cs="Arial"/>
        </w:rPr>
        <w:t xml:space="preserve">he Exchange Offer and Tender Offers will not be available to </w:t>
      </w:r>
      <w:r>
        <w:rPr>
          <w:rFonts w:ascii="Arial" w:hAnsi="Arial" w:cs="Arial"/>
        </w:rPr>
        <w:t xml:space="preserve">holders located or resident in Italy and </w:t>
      </w:r>
      <w:r w:rsidRPr="002314AD">
        <w:rPr>
          <w:rFonts w:ascii="Arial" w:hAnsi="Arial" w:cs="Arial"/>
        </w:rPr>
        <w:t>any documents relating to the Exchange Offer</w:t>
      </w:r>
      <w:r>
        <w:rPr>
          <w:rFonts w:ascii="Arial" w:hAnsi="Arial" w:cs="Arial"/>
        </w:rPr>
        <w:t xml:space="preserve"> or</w:t>
      </w:r>
      <w:r w:rsidRPr="002314AD">
        <w:rPr>
          <w:rFonts w:ascii="Arial" w:hAnsi="Arial" w:cs="Arial"/>
        </w:rPr>
        <w:t xml:space="preserve"> the Tender Offers may </w:t>
      </w:r>
      <w:r>
        <w:rPr>
          <w:rFonts w:ascii="Arial" w:hAnsi="Arial" w:cs="Arial"/>
        </w:rPr>
        <w:t xml:space="preserve">not </w:t>
      </w:r>
      <w:r w:rsidRPr="002314AD">
        <w:rPr>
          <w:rFonts w:ascii="Arial" w:hAnsi="Arial" w:cs="Arial"/>
        </w:rPr>
        <w:t>be distributed or made available in Italy.</w:t>
      </w:r>
    </w:p>
    <w:p w:rsidR="002314AD" w:rsidRPr="002314AD" w:rsidRDefault="002314AD" w:rsidP="002314AD">
      <w:pPr>
        <w:jc w:val="both"/>
        <w:rPr>
          <w:rFonts w:ascii="Arial" w:hAnsi="Arial" w:cs="Arial"/>
        </w:rPr>
      </w:pPr>
    </w:p>
    <w:p w:rsidR="002314AD" w:rsidRDefault="002314AD" w:rsidP="002314AD">
      <w:pPr>
        <w:jc w:val="both"/>
        <w:rPr>
          <w:rFonts w:ascii="Arial" w:hAnsi="Arial" w:cs="Arial"/>
          <w:b/>
          <w:u w:val="single"/>
        </w:rPr>
      </w:pPr>
      <w:r w:rsidRPr="002314AD">
        <w:rPr>
          <w:rFonts w:ascii="Arial" w:hAnsi="Arial" w:cs="Arial"/>
          <w:b/>
          <w:u w:val="single"/>
        </w:rPr>
        <w:t>United Kingdom</w:t>
      </w:r>
    </w:p>
    <w:p w:rsidR="002314AD" w:rsidRPr="002314AD" w:rsidRDefault="002314AD" w:rsidP="002314AD">
      <w:pPr>
        <w:jc w:val="both"/>
        <w:rPr>
          <w:rFonts w:ascii="Arial" w:hAnsi="Arial" w:cs="Arial"/>
          <w:b/>
          <w:u w:val="single"/>
        </w:rPr>
      </w:pPr>
    </w:p>
    <w:p w:rsidR="002314AD" w:rsidRPr="002314AD" w:rsidRDefault="002314AD" w:rsidP="002314AD">
      <w:pPr>
        <w:jc w:val="both"/>
        <w:rPr>
          <w:rFonts w:ascii="Arial" w:hAnsi="Arial" w:cs="Arial"/>
        </w:rPr>
      </w:pPr>
      <w:r w:rsidRPr="002314AD">
        <w:rPr>
          <w:rFonts w:ascii="Arial" w:hAnsi="Arial" w:cs="Arial"/>
        </w:rPr>
        <w:t>The communication of this announcement and any documents relating to the Exchange Offer or the Tender Offers is not being made and will not be made, and such documents and/or materials have not been approved, by an authorised person for the purposes of section 21 of the Financial Services and Markets Act 2000. The communication of such documents and/or materials as a financial promotion is only being made to those persons in the United Kingdom falling within the definition of investment professionals (as defined in Article 19(5) of the Financial Services and Markets Act 2000 (Financial Promotion) Order 2005 (the “</w:t>
      </w:r>
      <w:r w:rsidRPr="003423AD">
        <w:rPr>
          <w:rFonts w:ascii="Arial" w:hAnsi="Arial" w:cs="Arial"/>
          <w:b/>
        </w:rPr>
        <w:t>Financial Promotion Order</w:t>
      </w:r>
      <w:r w:rsidRPr="002314AD">
        <w:rPr>
          <w:rFonts w:ascii="Arial" w:hAnsi="Arial" w:cs="Arial"/>
        </w:rPr>
        <w:t>”)) (and any persons who do not have professional experience in matters relating to investments should not rely on such documents and/or materials) or persons who are within Article 43 of the Financial Promotion Order or any other persons to whom it may otherwise lawfully be made in accordance with the Financial Promotion Order.</w:t>
      </w:r>
    </w:p>
    <w:p w:rsidR="002314AD" w:rsidRPr="002314AD" w:rsidRDefault="002314AD" w:rsidP="002314AD">
      <w:pPr>
        <w:jc w:val="both"/>
        <w:rPr>
          <w:rFonts w:ascii="Arial" w:hAnsi="Arial" w:cs="Arial"/>
          <w:b/>
          <w:u w:val="single"/>
        </w:rPr>
      </w:pPr>
    </w:p>
    <w:p w:rsidR="002314AD" w:rsidRDefault="002314AD" w:rsidP="002314AD">
      <w:pPr>
        <w:jc w:val="both"/>
        <w:rPr>
          <w:rFonts w:ascii="Arial" w:hAnsi="Arial" w:cs="Arial"/>
          <w:b/>
          <w:u w:val="single"/>
        </w:rPr>
      </w:pPr>
      <w:r w:rsidRPr="002314AD">
        <w:rPr>
          <w:rFonts w:ascii="Arial" w:hAnsi="Arial" w:cs="Arial"/>
          <w:b/>
          <w:u w:val="single"/>
        </w:rPr>
        <w:t>Other</w:t>
      </w:r>
    </w:p>
    <w:p w:rsidR="002314AD" w:rsidRPr="002314AD" w:rsidRDefault="002314AD" w:rsidP="002314AD">
      <w:pPr>
        <w:jc w:val="both"/>
        <w:rPr>
          <w:rFonts w:ascii="Arial" w:hAnsi="Arial" w:cs="Arial"/>
          <w:b/>
          <w:u w:val="single"/>
        </w:rPr>
      </w:pPr>
    </w:p>
    <w:p w:rsidR="002314AD" w:rsidRPr="002314AD" w:rsidRDefault="002314AD" w:rsidP="002314AD">
      <w:pPr>
        <w:jc w:val="both"/>
        <w:rPr>
          <w:rFonts w:ascii="Arial" w:hAnsi="Arial" w:cs="Arial"/>
        </w:rPr>
      </w:pPr>
      <w:r w:rsidRPr="002314AD">
        <w:rPr>
          <w:rFonts w:ascii="Arial" w:hAnsi="Arial" w:cs="Arial"/>
        </w:rPr>
        <w:t xml:space="preserve">The Exchange Offer and the Tender Offers are subject to further offer and distribution restrictions as will be more fully set out in the </w:t>
      </w:r>
      <w:r>
        <w:rPr>
          <w:rFonts w:ascii="Arial" w:hAnsi="Arial" w:cs="Arial"/>
        </w:rPr>
        <w:t>documents relating to them</w:t>
      </w:r>
      <w:r w:rsidRPr="002314AD">
        <w:rPr>
          <w:rFonts w:ascii="Arial" w:hAnsi="Arial" w:cs="Arial"/>
        </w:rPr>
        <w:t xml:space="preserve">. The distribution of this announcement in </w:t>
      </w:r>
      <w:smartTag w:uri="urn:schemas-microsoft-com:office:smarttags" w:element="country-region">
        <w:r w:rsidRPr="002314AD">
          <w:rPr>
            <w:rFonts w:ascii="Arial" w:hAnsi="Arial" w:cs="Arial"/>
          </w:rPr>
          <w:t>Canada</w:t>
        </w:r>
      </w:smartTag>
      <w:r w:rsidRPr="002314AD">
        <w:rPr>
          <w:rFonts w:ascii="Arial" w:hAnsi="Arial" w:cs="Arial"/>
        </w:rPr>
        <w:t xml:space="preserve">, </w:t>
      </w:r>
      <w:smartTag w:uri="urn:schemas-microsoft-com:office:smarttags" w:element="country-region">
        <w:r w:rsidRPr="002314AD">
          <w:rPr>
            <w:rFonts w:ascii="Arial" w:hAnsi="Arial" w:cs="Arial"/>
          </w:rPr>
          <w:t>Austria</w:t>
        </w:r>
      </w:smartTag>
      <w:r w:rsidRPr="002314AD">
        <w:rPr>
          <w:rFonts w:ascii="Arial" w:hAnsi="Arial" w:cs="Arial"/>
        </w:rPr>
        <w:t xml:space="preserve">, Belgium Denmark, </w:t>
      </w:r>
      <w:smartTag w:uri="urn:schemas-microsoft-com:office:smarttags" w:element="country-region">
        <w:r w:rsidRPr="002314AD">
          <w:rPr>
            <w:rFonts w:ascii="Arial" w:hAnsi="Arial" w:cs="Arial"/>
          </w:rPr>
          <w:t>France</w:t>
        </w:r>
      </w:smartTag>
      <w:r w:rsidRPr="002314AD">
        <w:rPr>
          <w:rFonts w:ascii="Arial" w:hAnsi="Arial" w:cs="Arial"/>
        </w:rPr>
        <w:t xml:space="preserve">, </w:t>
      </w:r>
      <w:smartTag w:uri="urn:schemas-microsoft-com:office:smarttags" w:element="country-region">
        <w:r w:rsidRPr="002314AD">
          <w:rPr>
            <w:rFonts w:ascii="Arial" w:hAnsi="Arial" w:cs="Arial"/>
          </w:rPr>
          <w:t>Ireland</w:t>
        </w:r>
      </w:smartTag>
      <w:r w:rsidRPr="002314AD">
        <w:rPr>
          <w:rFonts w:ascii="Arial" w:hAnsi="Arial" w:cs="Arial"/>
        </w:rPr>
        <w:t xml:space="preserve">, </w:t>
      </w:r>
      <w:smartTag w:uri="urn:schemas-microsoft-com:office:smarttags" w:element="country-region">
        <w:r w:rsidRPr="002314AD">
          <w:rPr>
            <w:rFonts w:ascii="Arial" w:hAnsi="Arial" w:cs="Arial"/>
          </w:rPr>
          <w:t>Italy</w:t>
        </w:r>
      </w:smartTag>
      <w:r w:rsidRPr="002314AD">
        <w:rPr>
          <w:rFonts w:ascii="Arial" w:hAnsi="Arial" w:cs="Arial"/>
        </w:rPr>
        <w:t xml:space="preserve">, </w:t>
      </w:r>
      <w:smartTag w:uri="urn:schemas-microsoft-com:office:smarttags" w:element="country-region">
        <w:r w:rsidRPr="002314AD">
          <w:rPr>
            <w:rFonts w:ascii="Arial" w:hAnsi="Arial" w:cs="Arial"/>
          </w:rPr>
          <w:t>Portugal</w:t>
        </w:r>
      </w:smartTag>
      <w:r w:rsidRPr="002314AD">
        <w:rPr>
          <w:rFonts w:ascii="Arial" w:hAnsi="Arial" w:cs="Arial"/>
        </w:rPr>
        <w:t xml:space="preserve">, </w:t>
      </w:r>
      <w:smartTag w:uri="urn:schemas-microsoft-com:office:smarttags" w:element="country-region">
        <w:r w:rsidRPr="002314AD">
          <w:rPr>
            <w:rFonts w:ascii="Arial" w:hAnsi="Arial" w:cs="Arial"/>
          </w:rPr>
          <w:t>Switzerland</w:t>
        </w:r>
      </w:smartTag>
      <w:r w:rsidRPr="002314AD">
        <w:rPr>
          <w:rFonts w:ascii="Arial" w:hAnsi="Arial" w:cs="Arial"/>
        </w:rPr>
        <w:t xml:space="preserve">, </w:t>
      </w:r>
      <w:smartTag w:uri="urn:schemas-microsoft-com:office:smarttags" w:element="City">
        <w:r w:rsidRPr="002314AD">
          <w:rPr>
            <w:rFonts w:ascii="Arial" w:hAnsi="Arial" w:cs="Arial"/>
          </w:rPr>
          <w:t>Hong Kong</w:t>
        </w:r>
      </w:smartTag>
      <w:r w:rsidRPr="002314AD">
        <w:rPr>
          <w:rFonts w:ascii="Arial" w:hAnsi="Arial" w:cs="Arial"/>
        </w:rPr>
        <w:t xml:space="preserve">, </w:t>
      </w:r>
      <w:smartTag w:uri="urn:schemas-microsoft-com:office:smarttags" w:element="country-region">
        <w:r w:rsidRPr="002314AD">
          <w:rPr>
            <w:rFonts w:ascii="Arial" w:hAnsi="Arial" w:cs="Arial"/>
          </w:rPr>
          <w:t>Japan</w:t>
        </w:r>
      </w:smartTag>
      <w:r w:rsidRPr="002314AD">
        <w:rPr>
          <w:rFonts w:ascii="Arial" w:hAnsi="Arial" w:cs="Arial"/>
        </w:rPr>
        <w:t xml:space="preserve">, </w:t>
      </w:r>
      <w:smartTag w:uri="urn:schemas-microsoft-com:office:smarttags" w:element="place">
        <w:smartTag w:uri="urn:schemas-microsoft-com:office:smarttags" w:element="country-region">
          <w:r w:rsidRPr="002314AD">
            <w:rPr>
              <w:rFonts w:ascii="Arial" w:hAnsi="Arial" w:cs="Arial"/>
            </w:rPr>
            <w:t>Singapore</w:t>
          </w:r>
        </w:smartTag>
      </w:smartTag>
      <w:r w:rsidRPr="002314AD">
        <w:rPr>
          <w:rFonts w:ascii="Arial" w:hAnsi="Arial" w:cs="Arial"/>
        </w:rPr>
        <w:t xml:space="preserve"> is restricted by the laws of such jurisdictions. No action has been or will be taken in any jurisdiction in relation to the Exchange Offer that would permit a public offering of securities.</w:t>
      </w:r>
    </w:p>
    <w:sectPr w:rsidR="002314AD" w:rsidRPr="002314AD" w:rsidSect="001F56BF">
      <w:footerReference w:type="even" r:id="rId9"/>
      <w:footerReference w:type="default" r:id="rId10"/>
      <w:pgSz w:w="11906" w:h="16838"/>
      <w:pgMar w:top="709" w:right="1274" w:bottom="567" w:left="851" w:header="567" w:footer="567" w:gutter="0"/>
      <w:pgBorders w:offsetFrom="page">
        <w:bottom w:val="single" w:sz="12" w:space="24" w:color="C0C0C0"/>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39C" w:rsidRDefault="0017739C">
      <w:r>
        <w:separator/>
      </w:r>
    </w:p>
  </w:endnote>
  <w:endnote w:type="continuationSeparator" w:id="0">
    <w:p w:rsidR="0017739C" w:rsidRDefault="001773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Frutiger 45 Light">
    <w:altName w:val="Arial"/>
    <w:charset w:val="00"/>
    <w:family w:val="swiss"/>
    <w:pitch w:val="variable"/>
    <w:sig w:usb0="A00000AF" w:usb1="5000205B" w:usb2="00000000" w:usb3="00000000" w:csb0="00000193" w:csb1="00000000"/>
  </w:font>
  <w:font w:name="STKaiti">
    <w:charset w:val="86"/>
    <w:family w:val="auto"/>
    <w:pitch w:val="variable"/>
    <w:sig w:usb0="00000287" w:usb1="080F0000" w:usb2="00000010" w:usb3="00000000" w:csb0="0004009F" w:csb1="00000000"/>
  </w:font>
  <w:font w:name="JDIGK A+ Time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05" w:rsidRDefault="00576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76F05" w:rsidRDefault="00576F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05" w:rsidRDefault="00576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49EB">
      <w:rPr>
        <w:rStyle w:val="PageNumber"/>
        <w:noProof/>
      </w:rPr>
      <w:t>5</w:t>
    </w:r>
    <w:r>
      <w:rPr>
        <w:rStyle w:val="PageNumber"/>
      </w:rPr>
      <w:fldChar w:fldCharType="end"/>
    </w:r>
  </w:p>
  <w:p w:rsidR="00576F05" w:rsidRDefault="00576F05" w:rsidP="005F78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39C" w:rsidRDefault="0017739C">
      <w:r>
        <w:separator/>
      </w:r>
    </w:p>
  </w:footnote>
  <w:footnote w:type="continuationSeparator" w:id="0">
    <w:p w:rsidR="0017739C" w:rsidRDefault="00177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B8E5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243E58"/>
    <w:multiLevelType w:val="hybridMultilevel"/>
    <w:tmpl w:val="D6C6120A"/>
    <w:lvl w:ilvl="0" w:tplc="90FCA1A6">
      <w:start w:val="1"/>
      <w:numFmt w:val="bullet"/>
      <w:lvlText w:val="-"/>
      <w:lvlJc w:val="left"/>
      <w:pPr>
        <w:tabs>
          <w:tab w:val="num" w:pos="720"/>
        </w:tabs>
        <w:ind w:left="720" w:hanging="360"/>
      </w:pPr>
      <w:rPr>
        <w:rFonts w:ascii="Arial" w:eastAsia="Times New Roman" w:hAnsi="Aria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223B35"/>
    <w:multiLevelType w:val="hybridMultilevel"/>
    <w:tmpl w:val="2AF2136A"/>
    <w:lvl w:ilvl="0" w:tplc="18DC12EA">
      <w:start w:val="1"/>
      <w:numFmt w:val="bullet"/>
      <w:lvlText w:val="•"/>
      <w:lvlJc w:val="left"/>
      <w:pPr>
        <w:tabs>
          <w:tab w:val="num" w:pos="720"/>
        </w:tabs>
        <w:ind w:left="720" w:hanging="360"/>
      </w:pPr>
      <w:rPr>
        <w:rFonts w:ascii="Arial" w:hAnsi="Arial" w:hint="default"/>
      </w:rPr>
    </w:lvl>
    <w:lvl w:ilvl="1" w:tplc="2284685A" w:tentative="1">
      <w:start w:val="1"/>
      <w:numFmt w:val="bullet"/>
      <w:lvlText w:val="•"/>
      <w:lvlJc w:val="left"/>
      <w:pPr>
        <w:tabs>
          <w:tab w:val="num" w:pos="1440"/>
        </w:tabs>
        <w:ind w:left="1440" w:hanging="360"/>
      </w:pPr>
      <w:rPr>
        <w:rFonts w:ascii="Arial" w:hAnsi="Arial" w:hint="default"/>
      </w:rPr>
    </w:lvl>
    <w:lvl w:ilvl="2" w:tplc="C782593A" w:tentative="1">
      <w:start w:val="1"/>
      <w:numFmt w:val="bullet"/>
      <w:lvlText w:val="•"/>
      <w:lvlJc w:val="left"/>
      <w:pPr>
        <w:tabs>
          <w:tab w:val="num" w:pos="2160"/>
        </w:tabs>
        <w:ind w:left="2160" w:hanging="360"/>
      </w:pPr>
      <w:rPr>
        <w:rFonts w:ascii="Arial" w:hAnsi="Arial" w:hint="default"/>
      </w:rPr>
    </w:lvl>
    <w:lvl w:ilvl="3" w:tplc="5706ECDC" w:tentative="1">
      <w:start w:val="1"/>
      <w:numFmt w:val="bullet"/>
      <w:lvlText w:val="•"/>
      <w:lvlJc w:val="left"/>
      <w:pPr>
        <w:tabs>
          <w:tab w:val="num" w:pos="2880"/>
        </w:tabs>
        <w:ind w:left="2880" w:hanging="360"/>
      </w:pPr>
      <w:rPr>
        <w:rFonts w:ascii="Arial" w:hAnsi="Arial" w:hint="default"/>
      </w:rPr>
    </w:lvl>
    <w:lvl w:ilvl="4" w:tplc="4CBAEC7A" w:tentative="1">
      <w:start w:val="1"/>
      <w:numFmt w:val="bullet"/>
      <w:lvlText w:val="•"/>
      <w:lvlJc w:val="left"/>
      <w:pPr>
        <w:tabs>
          <w:tab w:val="num" w:pos="3600"/>
        </w:tabs>
        <w:ind w:left="3600" w:hanging="360"/>
      </w:pPr>
      <w:rPr>
        <w:rFonts w:ascii="Arial" w:hAnsi="Arial" w:hint="default"/>
      </w:rPr>
    </w:lvl>
    <w:lvl w:ilvl="5" w:tplc="828A8B74" w:tentative="1">
      <w:start w:val="1"/>
      <w:numFmt w:val="bullet"/>
      <w:lvlText w:val="•"/>
      <w:lvlJc w:val="left"/>
      <w:pPr>
        <w:tabs>
          <w:tab w:val="num" w:pos="4320"/>
        </w:tabs>
        <w:ind w:left="4320" w:hanging="360"/>
      </w:pPr>
      <w:rPr>
        <w:rFonts w:ascii="Arial" w:hAnsi="Arial" w:hint="default"/>
      </w:rPr>
    </w:lvl>
    <w:lvl w:ilvl="6" w:tplc="6D106FCE" w:tentative="1">
      <w:start w:val="1"/>
      <w:numFmt w:val="bullet"/>
      <w:lvlText w:val="•"/>
      <w:lvlJc w:val="left"/>
      <w:pPr>
        <w:tabs>
          <w:tab w:val="num" w:pos="5040"/>
        </w:tabs>
        <w:ind w:left="5040" w:hanging="360"/>
      </w:pPr>
      <w:rPr>
        <w:rFonts w:ascii="Arial" w:hAnsi="Arial" w:hint="default"/>
      </w:rPr>
    </w:lvl>
    <w:lvl w:ilvl="7" w:tplc="CFD81232" w:tentative="1">
      <w:start w:val="1"/>
      <w:numFmt w:val="bullet"/>
      <w:lvlText w:val="•"/>
      <w:lvlJc w:val="left"/>
      <w:pPr>
        <w:tabs>
          <w:tab w:val="num" w:pos="5760"/>
        </w:tabs>
        <w:ind w:left="5760" w:hanging="360"/>
      </w:pPr>
      <w:rPr>
        <w:rFonts w:ascii="Arial" w:hAnsi="Arial" w:hint="default"/>
      </w:rPr>
    </w:lvl>
    <w:lvl w:ilvl="8" w:tplc="43BE4224" w:tentative="1">
      <w:start w:val="1"/>
      <w:numFmt w:val="bullet"/>
      <w:lvlText w:val="•"/>
      <w:lvlJc w:val="left"/>
      <w:pPr>
        <w:tabs>
          <w:tab w:val="num" w:pos="6480"/>
        </w:tabs>
        <w:ind w:left="6480" w:hanging="360"/>
      </w:pPr>
      <w:rPr>
        <w:rFonts w:ascii="Arial" w:hAnsi="Arial" w:hint="default"/>
      </w:rPr>
    </w:lvl>
  </w:abstractNum>
  <w:abstractNum w:abstractNumId="3">
    <w:nsid w:val="0A0E6F90"/>
    <w:multiLevelType w:val="hybridMultilevel"/>
    <w:tmpl w:val="8F4822A0"/>
    <w:lvl w:ilvl="0" w:tplc="C558363C">
      <w:start w:val="1"/>
      <w:numFmt w:val="bullet"/>
      <w:lvlText w:val="•"/>
      <w:lvlJc w:val="left"/>
      <w:pPr>
        <w:tabs>
          <w:tab w:val="num" w:pos="720"/>
        </w:tabs>
        <w:ind w:left="720" w:hanging="360"/>
      </w:pPr>
      <w:rPr>
        <w:rFonts w:ascii="Arial" w:hAnsi="Arial" w:hint="default"/>
      </w:rPr>
    </w:lvl>
    <w:lvl w:ilvl="1" w:tplc="F536A6A8" w:tentative="1">
      <w:start w:val="1"/>
      <w:numFmt w:val="bullet"/>
      <w:lvlText w:val="•"/>
      <w:lvlJc w:val="left"/>
      <w:pPr>
        <w:tabs>
          <w:tab w:val="num" w:pos="1440"/>
        </w:tabs>
        <w:ind w:left="1440" w:hanging="360"/>
      </w:pPr>
      <w:rPr>
        <w:rFonts w:ascii="Arial" w:hAnsi="Arial" w:hint="default"/>
      </w:rPr>
    </w:lvl>
    <w:lvl w:ilvl="2" w:tplc="EB7ED688" w:tentative="1">
      <w:start w:val="1"/>
      <w:numFmt w:val="bullet"/>
      <w:lvlText w:val="•"/>
      <w:lvlJc w:val="left"/>
      <w:pPr>
        <w:tabs>
          <w:tab w:val="num" w:pos="2160"/>
        </w:tabs>
        <w:ind w:left="2160" w:hanging="360"/>
      </w:pPr>
      <w:rPr>
        <w:rFonts w:ascii="Arial" w:hAnsi="Arial" w:hint="default"/>
      </w:rPr>
    </w:lvl>
    <w:lvl w:ilvl="3" w:tplc="CA90B40A" w:tentative="1">
      <w:start w:val="1"/>
      <w:numFmt w:val="bullet"/>
      <w:lvlText w:val="•"/>
      <w:lvlJc w:val="left"/>
      <w:pPr>
        <w:tabs>
          <w:tab w:val="num" w:pos="2880"/>
        </w:tabs>
        <w:ind w:left="2880" w:hanging="360"/>
      </w:pPr>
      <w:rPr>
        <w:rFonts w:ascii="Arial" w:hAnsi="Arial" w:hint="default"/>
      </w:rPr>
    </w:lvl>
    <w:lvl w:ilvl="4" w:tplc="647A2ADA" w:tentative="1">
      <w:start w:val="1"/>
      <w:numFmt w:val="bullet"/>
      <w:lvlText w:val="•"/>
      <w:lvlJc w:val="left"/>
      <w:pPr>
        <w:tabs>
          <w:tab w:val="num" w:pos="3600"/>
        </w:tabs>
        <w:ind w:left="3600" w:hanging="360"/>
      </w:pPr>
      <w:rPr>
        <w:rFonts w:ascii="Arial" w:hAnsi="Arial" w:hint="default"/>
      </w:rPr>
    </w:lvl>
    <w:lvl w:ilvl="5" w:tplc="7B9EF8E8" w:tentative="1">
      <w:start w:val="1"/>
      <w:numFmt w:val="bullet"/>
      <w:lvlText w:val="•"/>
      <w:lvlJc w:val="left"/>
      <w:pPr>
        <w:tabs>
          <w:tab w:val="num" w:pos="4320"/>
        </w:tabs>
        <w:ind w:left="4320" w:hanging="360"/>
      </w:pPr>
      <w:rPr>
        <w:rFonts w:ascii="Arial" w:hAnsi="Arial" w:hint="default"/>
      </w:rPr>
    </w:lvl>
    <w:lvl w:ilvl="6" w:tplc="9D02E3E0" w:tentative="1">
      <w:start w:val="1"/>
      <w:numFmt w:val="bullet"/>
      <w:lvlText w:val="•"/>
      <w:lvlJc w:val="left"/>
      <w:pPr>
        <w:tabs>
          <w:tab w:val="num" w:pos="5040"/>
        </w:tabs>
        <w:ind w:left="5040" w:hanging="360"/>
      </w:pPr>
      <w:rPr>
        <w:rFonts w:ascii="Arial" w:hAnsi="Arial" w:hint="default"/>
      </w:rPr>
    </w:lvl>
    <w:lvl w:ilvl="7" w:tplc="9A4A91DA" w:tentative="1">
      <w:start w:val="1"/>
      <w:numFmt w:val="bullet"/>
      <w:lvlText w:val="•"/>
      <w:lvlJc w:val="left"/>
      <w:pPr>
        <w:tabs>
          <w:tab w:val="num" w:pos="5760"/>
        </w:tabs>
        <w:ind w:left="5760" w:hanging="360"/>
      </w:pPr>
      <w:rPr>
        <w:rFonts w:ascii="Arial" w:hAnsi="Arial" w:hint="default"/>
      </w:rPr>
    </w:lvl>
    <w:lvl w:ilvl="8" w:tplc="D9449F12" w:tentative="1">
      <w:start w:val="1"/>
      <w:numFmt w:val="bullet"/>
      <w:lvlText w:val="•"/>
      <w:lvlJc w:val="left"/>
      <w:pPr>
        <w:tabs>
          <w:tab w:val="num" w:pos="6480"/>
        </w:tabs>
        <w:ind w:left="6480" w:hanging="360"/>
      </w:pPr>
      <w:rPr>
        <w:rFonts w:ascii="Arial" w:hAnsi="Arial" w:hint="default"/>
      </w:rPr>
    </w:lvl>
  </w:abstractNum>
  <w:abstractNum w:abstractNumId="4">
    <w:nsid w:val="12E05A95"/>
    <w:multiLevelType w:val="hybridMultilevel"/>
    <w:tmpl w:val="853498AE"/>
    <w:lvl w:ilvl="0" w:tplc="DA0C8F72">
      <w:start w:val="1"/>
      <w:numFmt w:val="bullet"/>
      <w:lvlText w:val="•"/>
      <w:lvlJc w:val="left"/>
      <w:pPr>
        <w:tabs>
          <w:tab w:val="num" w:pos="720"/>
        </w:tabs>
        <w:ind w:left="720" w:hanging="360"/>
      </w:pPr>
      <w:rPr>
        <w:rFonts w:ascii="Arial" w:hAnsi="Arial" w:hint="default"/>
      </w:rPr>
    </w:lvl>
    <w:lvl w:ilvl="1" w:tplc="9B7083FE" w:tentative="1">
      <w:start w:val="1"/>
      <w:numFmt w:val="bullet"/>
      <w:lvlText w:val="•"/>
      <w:lvlJc w:val="left"/>
      <w:pPr>
        <w:tabs>
          <w:tab w:val="num" w:pos="1440"/>
        </w:tabs>
        <w:ind w:left="1440" w:hanging="360"/>
      </w:pPr>
      <w:rPr>
        <w:rFonts w:ascii="Arial" w:hAnsi="Arial" w:hint="default"/>
      </w:rPr>
    </w:lvl>
    <w:lvl w:ilvl="2" w:tplc="492C94DC" w:tentative="1">
      <w:start w:val="1"/>
      <w:numFmt w:val="bullet"/>
      <w:lvlText w:val="•"/>
      <w:lvlJc w:val="left"/>
      <w:pPr>
        <w:tabs>
          <w:tab w:val="num" w:pos="2160"/>
        </w:tabs>
        <w:ind w:left="2160" w:hanging="360"/>
      </w:pPr>
      <w:rPr>
        <w:rFonts w:ascii="Arial" w:hAnsi="Arial" w:hint="default"/>
      </w:rPr>
    </w:lvl>
    <w:lvl w:ilvl="3" w:tplc="200A92F6" w:tentative="1">
      <w:start w:val="1"/>
      <w:numFmt w:val="bullet"/>
      <w:lvlText w:val="•"/>
      <w:lvlJc w:val="left"/>
      <w:pPr>
        <w:tabs>
          <w:tab w:val="num" w:pos="2880"/>
        </w:tabs>
        <w:ind w:left="2880" w:hanging="360"/>
      </w:pPr>
      <w:rPr>
        <w:rFonts w:ascii="Arial" w:hAnsi="Arial" w:hint="default"/>
      </w:rPr>
    </w:lvl>
    <w:lvl w:ilvl="4" w:tplc="4D44AF60" w:tentative="1">
      <w:start w:val="1"/>
      <w:numFmt w:val="bullet"/>
      <w:lvlText w:val="•"/>
      <w:lvlJc w:val="left"/>
      <w:pPr>
        <w:tabs>
          <w:tab w:val="num" w:pos="3600"/>
        </w:tabs>
        <w:ind w:left="3600" w:hanging="360"/>
      </w:pPr>
      <w:rPr>
        <w:rFonts w:ascii="Arial" w:hAnsi="Arial" w:hint="default"/>
      </w:rPr>
    </w:lvl>
    <w:lvl w:ilvl="5" w:tplc="99F248AE" w:tentative="1">
      <w:start w:val="1"/>
      <w:numFmt w:val="bullet"/>
      <w:lvlText w:val="•"/>
      <w:lvlJc w:val="left"/>
      <w:pPr>
        <w:tabs>
          <w:tab w:val="num" w:pos="4320"/>
        </w:tabs>
        <w:ind w:left="4320" w:hanging="360"/>
      </w:pPr>
      <w:rPr>
        <w:rFonts w:ascii="Arial" w:hAnsi="Arial" w:hint="default"/>
      </w:rPr>
    </w:lvl>
    <w:lvl w:ilvl="6" w:tplc="CDCA6E28" w:tentative="1">
      <w:start w:val="1"/>
      <w:numFmt w:val="bullet"/>
      <w:lvlText w:val="•"/>
      <w:lvlJc w:val="left"/>
      <w:pPr>
        <w:tabs>
          <w:tab w:val="num" w:pos="5040"/>
        </w:tabs>
        <w:ind w:left="5040" w:hanging="360"/>
      </w:pPr>
      <w:rPr>
        <w:rFonts w:ascii="Arial" w:hAnsi="Arial" w:hint="default"/>
      </w:rPr>
    </w:lvl>
    <w:lvl w:ilvl="7" w:tplc="78D272B8" w:tentative="1">
      <w:start w:val="1"/>
      <w:numFmt w:val="bullet"/>
      <w:lvlText w:val="•"/>
      <w:lvlJc w:val="left"/>
      <w:pPr>
        <w:tabs>
          <w:tab w:val="num" w:pos="5760"/>
        </w:tabs>
        <w:ind w:left="5760" w:hanging="360"/>
      </w:pPr>
      <w:rPr>
        <w:rFonts w:ascii="Arial" w:hAnsi="Arial" w:hint="default"/>
      </w:rPr>
    </w:lvl>
    <w:lvl w:ilvl="8" w:tplc="9ADA27EA" w:tentative="1">
      <w:start w:val="1"/>
      <w:numFmt w:val="bullet"/>
      <w:lvlText w:val="•"/>
      <w:lvlJc w:val="left"/>
      <w:pPr>
        <w:tabs>
          <w:tab w:val="num" w:pos="6480"/>
        </w:tabs>
        <w:ind w:left="6480" w:hanging="360"/>
      </w:pPr>
      <w:rPr>
        <w:rFonts w:ascii="Arial" w:hAnsi="Arial" w:hint="default"/>
      </w:rPr>
    </w:lvl>
  </w:abstractNum>
  <w:abstractNum w:abstractNumId="5">
    <w:nsid w:val="1AD50A74"/>
    <w:multiLevelType w:val="hybridMultilevel"/>
    <w:tmpl w:val="5AB2EF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C2271D9"/>
    <w:multiLevelType w:val="hybridMultilevel"/>
    <w:tmpl w:val="B37E6754"/>
    <w:lvl w:ilvl="0" w:tplc="8858145C">
      <w:start w:val="1"/>
      <w:numFmt w:val="bullet"/>
      <w:lvlText w:val="•"/>
      <w:lvlJc w:val="left"/>
      <w:pPr>
        <w:tabs>
          <w:tab w:val="num" w:pos="720"/>
        </w:tabs>
        <w:ind w:left="720" w:hanging="360"/>
      </w:pPr>
      <w:rPr>
        <w:rFonts w:ascii="Arial" w:hAnsi="Arial" w:hint="default"/>
      </w:rPr>
    </w:lvl>
    <w:lvl w:ilvl="1" w:tplc="8C2CF2DC" w:tentative="1">
      <w:start w:val="1"/>
      <w:numFmt w:val="bullet"/>
      <w:lvlText w:val="•"/>
      <w:lvlJc w:val="left"/>
      <w:pPr>
        <w:tabs>
          <w:tab w:val="num" w:pos="1440"/>
        </w:tabs>
        <w:ind w:left="1440" w:hanging="360"/>
      </w:pPr>
      <w:rPr>
        <w:rFonts w:ascii="Arial" w:hAnsi="Arial" w:hint="default"/>
      </w:rPr>
    </w:lvl>
    <w:lvl w:ilvl="2" w:tplc="7D4EAA94" w:tentative="1">
      <w:start w:val="1"/>
      <w:numFmt w:val="bullet"/>
      <w:lvlText w:val="•"/>
      <w:lvlJc w:val="left"/>
      <w:pPr>
        <w:tabs>
          <w:tab w:val="num" w:pos="2160"/>
        </w:tabs>
        <w:ind w:left="2160" w:hanging="360"/>
      </w:pPr>
      <w:rPr>
        <w:rFonts w:ascii="Arial" w:hAnsi="Arial" w:hint="default"/>
      </w:rPr>
    </w:lvl>
    <w:lvl w:ilvl="3" w:tplc="69C050C0" w:tentative="1">
      <w:start w:val="1"/>
      <w:numFmt w:val="bullet"/>
      <w:lvlText w:val="•"/>
      <w:lvlJc w:val="left"/>
      <w:pPr>
        <w:tabs>
          <w:tab w:val="num" w:pos="2880"/>
        </w:tabs>
        <w:ind w:left="2880" w:hanging="360"/>
      </w:pPr>
      <w:rPr>
        <w:rFonts w:ascii="Arial" w:hAnsi="Arial" w:hint="default"/>
      </w:rPr>
    </w:lvl>
    <w:lvl w:ilvl="4" w:tplc="5792DECC" w:tentative="1">
      <w:start w:val="1"/>
      <w:numFmt w:val="bullet"/>
      <w:lvlText w:val="•"/>
      <w:lvlJc w:val="left"/>
      <w:pPr>
        <w:tabs>
          <w:tab w:val="num" w:pos="3600"/>
        </w:tabs>
        <w:ind w:left="3600" w:hanging="360"/>
      </w:pPr>
      <w:rPr>
        <w:rFonts w:ascii="Arial" w:hAnsi="Arial" w:hint="default"/>
      </w:rPr>
    </w:lvl>
    <w:lvl w:ilvl="5" w:tplc="EBC21A9A" w:tentative="1">
      <w:start w:val="1"/>
      <w:numFmt w:val="bullet"/>
      <w:lvlText w:val="•"/>
      <w:lvlJc w:val="left"/>
      <w:pPr>
        <w:tabs>
          <w:tab w:val="num" w:pos="4320"/>
        </w:tabs>
        <w:ind w:left="4320" w:hanging="360"/>
      </w:pPr>
      <w:rPr>
        <w:rFonts w:ascii="Arial" w:hAnsi="Arial" w:hint="default"/>
      </w:rPr>
    </w:lvl>
    <w:lvl w:ilvl="6" w:tplc="DB34E316" w:tentative="1">
      <w:start w:val="1"/>
      <w:numFmt w:val="bullet"/>
      <w:lvlText w:val="•"/>
      <w:lvlJc w:val="left"/>
      <w:pPr>
        <w:tabs>
          <w:tab w:val="num" w:pos="5040"/>
        </w:tabs>
        <w:ind w:left="5040" w:hanging="360"/>
      </w:pPr>
      <w:rPr>
        <w:rFonts w:ascii="Arial" w:hAnsi="Arial" w:hint="default"/>
      </w:rPr>
    </w:lvl>
    <w:lvl w:ilvl="7" w:tplc="43D6BB4A" w:tentative="1">
      <w:start w:val="1"/>
      <w:numFmt w:val="bullet"/>
      <w:lvlText w:val="•"/>
      <w:lvlJc w:val="left"/>
      <w:pPr>
        <w:tabs>
          <w:tab w:val="num" w:pos="5760"/>
        </w:tabs>
        <w:ind w:left="5760" w:hanging="360"/>
      </w:pPr>
      <w:rPr>
        <w:rFonts w:ascii="Arial" w:hAnsi="Arial" w:hint="default"/>
      </w:rPr>
    </w:lvl>
    <w:lvl w:ilvl="8" w:tplc="A58A3FD2" w:tentative="1">
      <w:start w:val="1"/>
      <w:numFmt w:val="bullet"/>
      <w:lvlText w:val="•"/>
      <w:lvlJc w:val="left"/>
      <w:pPr>
        <w:tabs>
          <w:tab w:val="num" w:pos="6480"/>
        </w:tabs>
        <w:ind w:left="6480" w:hanging="360"/>
      </w:pPr>
      <w:rPr>
        <w:rFonts w:ascii="Arial" w:hAnsi="Arial" w:hint="default"/>
      </w:rPr>
    </w:lvl>
  </w:abstractNum>
  <w:abstractNum w:abstractNumId="7">
    <w:nsid w:val="1CA9258B"/>
    <w:multiLevelType w:val="hybridMultilevel"/>
    <w:tmpl w:val="10D63F74"/>
    <w:lvl w:ilvl="0" w:tplc="970E858C">
      <w:start w:val="1"/>
      <w:numFmt w:val="bullet"/>
      <w:lvlText w:val="•"/>
      <w:lvlJc w:val="left"/>
      <w:pPr>
        <w:tabs>
          <w:tab w:val="num" w:pos="720"/>
        </w:tabs>
        <w:ind w:left="720" w:hanging="360"/>
      </w:pPr>
      <w:rPr>
        <w:rFonts w:ascii="Arial" w:hAnsi="Arial" w:hint="default"/>
      </w:rPr>
    </w:lvl>
    <w:lvl w:ilvl="1" w:tplc="B300ADE6" w:tentative="1">
      <w:start w:val="1"/>
      <w:numFmt w:val="bullet"/>
      <w:lvlText w:val="•"/>
      <w:lvlJc w:val="left"/>
      <w:pPr>
        <w:tabs>
          <w:tab w:val="num" w:pos="1440"/>
        </w:tabs>
        <w:ind w:left="1440" w:hanging="360"/>
      </w:pPr>
      <w:rPr>
        <w:rFonts w:ascii="Arial" w:hAnsi="Arial" w:hint="default"/>
      </w:rPr>
    </w:lvl>
    <w:lvl w:ilvl="2" w:tplc="F058214E" w:tentative="1">
      <w:start w:val="1"/>
      <w:numFmt w:val="bullet"/>
      <w:lvlText w:val="•"/>
      <w:lvlJc w:val="left"/>
      <w:pPr>
        <w:tabs>
          <w:tab w:val="num" w:pos="2160"/>
        </w:tabs>
        <w:ind w:left="2160" w:hanging="360"/>
      </w:pPr>
      <w:rPr>
        <w:rFonts w:ascii="Arial" w:hAnsi="Arial" w:hint="default"/>
      </w:rPr>
    </w:lvl>
    <w:lvl w:ilvl="3" w:tplc="FD986000" w:tentative="1">
      <w:start w:val="1"/>
      <w:numFmt w:val="bullet"/>
      <w:lvlText w:val="•"/>
      <w:lvlJc w:val="left"/>
      <w:pPr>
        <w:tabs>
          <w:tab w:val="num" w:pos="2880"/>
        </w:tabs>
        <w:ind w:left="2880" w:hanging="360"/>
      </w:pPr>
      <w:rPr>
        <w:rFonts w:ascii="Arial" w:hAnsi="Arial" w:hint="default"/>
      </w:rPr>
    </w:lvl>
    <w:lvl w:ilvl="4" w:tplc="624C7880" w:tentative="1">
      <w:start w:val="1"/>
      <w:numFmt w:val="bullet"/>
      <w:lvlText w:val="•"/>
      <w:lvlJc w:val="left"/>
      <w:pPr>
        <w:tabs>
          <w:tab w:val="num" w:pos="3600"/>
        </w:tabs>
        <w:ind w:left="3600" w:hanging="360"/>
      </w:pPr>
      <w:rPr>
        <w:rFonts w:ascii="Arial" w:hAnsi="Arial" w:hint="default"/>
      </w:rPr>
    </w:lvl>
    <w:lvl w:ilvl="5" w:tplc="442E077E" w:tentative="1">
      <w:start w:val="1"/>
      <w:numFmt w:val="bullet"/>
      <w:lvlText w:val="•"/>
      <w:lvlJc w:val="left"/>
      <w:pPr>
        <w:tabs>
          <w:tab w:val="num" w:pos="4320"/>
        </w:tabs>
        <w:ind w:left="4320" w:hanging="360"/>
      </w:pPr>
      <w:rPr>
        <w:rFonts w:ascii="Arial" w:hAnsi="Arial" w:hint="default"/>
      </w:rPr>
    </w:lvl>
    <w:lvl w:ilvl="6" w:tplc="F104D9E6" w:tentative="1">
      <w:start w:val="1"/>
      <w:numFmt w:val="bullet"/>
      <w:lvlText w:val="•"/>
      <w:lvlJc w:val="left"/>
      <w:pPr>
        <w:tabs>
          <w:tab w:val="num" w:pos="5040"/>
        </w:tabs>
        <w:ind w:left="5040" w:hanging="360"/>
      </w:pPr>
      <w:rPr>
        <w:rFonts w:ascii="Arial" w:hAnsi="Arial" w:hint="default"/>
      </w:rPr>
    </w:lvl>
    <w:lvl w:ilvl="7" w:tplc="ED22B232" w:tentative="1">
      <w:start w:val="1"/>
      <w:numFmt w:val="bullet"/>
      <w:lvlText w:val="•"/>
      <w:lvlJc w:val="left"/>
      <w:pPr>
        <w:tabs>
          <w:tab w:val="num" w:pos="5760"/>
        </w:tabs>
        <w:ind w:left="5760" w:hanging="360"/>
      </w:pPr>
      <w:rPr>
        <w:rFonts w:ascii="Arial" w:hAnsi="Arial" w:hint="default"/>
      </w:rPr>
    </w:lvl>
    <w:lvl w:ilvl="8" w:tplc="9ED28C58" w:tentative="1">
      <w:start w:val="1"/>
      <w:numFmt w:val="bullet"/>
      <w:lvlText w:val="•"/>
      <w:lvlJc w:val="left"/>
      <w:pPr>
        <w:tabs>
          <w:tab w:val="num" w:pos="6480"/>
        </w:tabs>
        <w:ind w:left="6480" w:hanging="360"/>
      </w:pPr>
      <w:rPr>
        <w:rFonts w:ascii="Arial" w:hAnsi="Arial" w:hint="default"/>
      </w:rPr>
    </w:lvl>
  </w:abstractNum>
  <w:abstractNum w:abstractNumId="8">
    <w:nsid w:val="297645FD"/>
    <w:multiLevelType w:val="hybridMultilevel"/>
    <w:tmpl w:val="A8FA270E"/>
    <w:lvl w:ilvl="0" w:tplc="019E4502">
      <w:start w:val="1"/>
      <w:numFmt w:val="bullet"/>
      <w:lvlText w:val="-"/>
      <w:lvlJc w:val="left"/>
      <w:pPr>
        <w:tabs>
          <w:tab w:val="num" w:pos="720"/>
        </w:tabs>
        <w:ind w:left="720" w:hanging="360"/>
      </w:pPr>
      <w:rPr>
        <w:rFonts w:ascii="Arial" w:eastAsia="Times New Roman" w:hAnsi="Aria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AB10F17"/>
    <w:multiLevelType w:val="hybridMultilevel"/>
    <w:tmpl w:val="0ABACE52"/>
    <w:lvl w:ilvl="0" w:tplc="946ECFDA">
      <w:start w:val="1"/>
      <w:numFmt w:val="bullet"/>
      <w:lvlText w:val="•"/>
      <w:lvlJc w:val="left"/>
      <w:pPr>
        <w:tabs>
          <w:tab w:val="num" w:pos="720"/>
        </w:tabs>
        <w:ind w:left="720" w:hanging="360"/>
      </w:pPr>
      <w:rPr>
        <w:rFonts w:ascii="Arial" w:hAnsi="Arial" w:hint="default"/>
      </w:rPr>
    </w:lvl>
    <w:lvl w:ilvl="1" w:tplc="9A94AA7A" w:tentative="1">
      <w:start w:val="1"/>
      <w:numFmt w:val="bullet"/>
      <w:lvlText w:val="•"/>
      <w:lvlJc w:val="left"/>
      <w:pPr>
        <w:tabs>
          <w:tab w:val="num" w:pos="1440"/>
        </w:tabs>
        <w:ind w:left="1440" w:hanging="360"/>
      </w:pPr>
      <w:rPr>
        <w:rFonts w:ascii="Arial" w:hAnsi="Arial" w:hint="default"/>
      </w:rPr>
    </w:lvl>
    <w:lvl w:ilvl="2" w:tplc="7DF22246" w:tentative="1">
      <w:start w:val="1"/>
      <w:numFmt w:val="bullet"/>
      <w:lvlText w:val="•"/>
      <w:lvlJc w:val="left"/>
      <w:pPr>
        <w:tabs>
          <w:tab w:val="num" w:pos="2160"/>
        </w:tabs>
        <w:ind w:left="2160" w:hanging="360"/>
      </w:pPr>
      <w:rPr>
        <w:rFonts w:ascii="Arial" w:hAnsi="Arial" w:hint="default"/>
      </w:rPr>
    </w:lvl>
    <w:lvl w:ilvl="3" w:tplc="1EECB07E" w:tentative="1">
      <w:start w:val="1"/>
      <w:numFmt w:val="bullet"/>
      <w:lvlText w:val="•"/>
      <w:lvlJc w:val="left"/>
      <w:pPr>
        <w:tabs>
          <w:tab w:val="num" w:pos="2880"/>
        </w:tabs>
        <w:ind w:left="2880" w:hanging="360"/>
      </w:pPr>
      <w:rPr>
        <w:rFonts w:ascii="Arial" w:hAnsi="Arial" w:hint="default"/>
      </w:rPr>
    </w:lvl>
    <w:lvl w:ilvl="4" w:tplc="6CF6948E" w:tentative="1">
      <w:start w:val="1"/>
      <w:numFmt w:val="bullet"/>
      <w:lvlText w:val="•"/>
      <w:lvlJc w:val="left"/>
      <w:pPr>
        <w:tabs>
          <w:tab w:val="num" w:pos="3600"/>
        </w:tabs>
        <w:ind w:left="3600" w:hanging="360"/>
      </w:pPr>
      <w:rPr>
        <w:rFonts w:ascii="Arial" w:hAnsi="Arial" w:hint="default"/>
      </w:rPr>
    </w:lvl>
    <w:lvl w:ilvl="5" w:tplc="9A50733A" w:tentative="1">
      <w:start w:val="1"/>
      <w:numFmt w:val="bullet"/>
      <w:lvlText w:val="•"/>
      <w:lvlJc w:val="left"/>
      <w:pPr>
        <w:tabs>
          <w:tab w:val="num" w:pos="4320"/>
        </w:tabs>
        <w:ind w:left="4320" w:hanging="360"/>
      </w:pPr>
      <w:rPr>
        <w:rFonts w:ascii="Arial" w:hAnsi="Arial" w:hint="default"/>
      </w:rPr>
    </w:lvl>
    <w:lvl w:ilvl="6" w:tplc="E140F916" w:tentative="1">
      <w:start w:val="1"/>
      <w:numFmt w:val="bullet"/>
      <w:lvlText w:val="•"/>
      <w:lvlJc w:val="left"/>
      <w:pPr>
        <w:tabs>
          <w:tab w:val="num" w:pos="5040"/>
        </w:tabs>
        <w:ind w:left="5040" w:hanging="360"/>
      </w:pPr>
      <w:rPr>
        <w:rFonts w:ascii="Arial" w:hAnsi="Arial" w:hint="default"/>
      </w:rPr>
    </w:lvl>
    <w:lvl w:ilvl="7" w:tplc="82488E92" w:tentative="1">
      <w:start w:val="1"/>
      <w:numFmt w:val="bullet"/>
      <w:lvlText w:val="•"/>
      <w:lvlJc w:val="left"/>
      <w:pPr>
        <w:tabs>
          <w:tab w:val="num" w:pos="5760"/>
        </w:tabs>
        <w:ind w:left="5760" w:hanging="360"/>
      </w:pPr>
      <w:rPr>
        <w:rFonts w:ascii="Arial" w:hAnsi="Arial" w:hint="default"/>
      </w:rPr>
    </w:lvl>
    <w:lvl w:ilvl="8" w:tplc="174E7D84" w:tentative="1">
      <w:start w:val="1"/>
      <w:numFmt w:val="bullet"/>
      <w:lvlText w:val="•"/>
      <w:lvlJc w:val="left"/>
      <w:pPr>
        <w:tabs>
          <w:tab w:val="num" w:pos="6480"/>
        </w:tabs>
        <w:ind w:left="6480" w:hanging="360"/>
      </w:pPr>
      <w:rPr>
        <w:rFonts w:ascii="Arial" w:hAnsi="Arial" w:hint="default"/>
      </w:rPr>
    </w:lvl>
  </w:abstractNum>
  <w:abstractNum w:abstractNumId="10">
    <w:nsid w:val="2C410592"/>
    <w:multiLevelType w:val="hybridMultilevel"/>
    <w:tmpl w:val="DE4A5270"/>
    <w:lvl w:ilvl="0" w:tplc="149C2CF8">
      <w:start w:val="1"/>
      <w:numFmt w:val="bullet"/>
      <w:lvlText w:val="•"/>
      <w:lvlJc w:val="left"/>
      <w:pPr>
        <w:tabs>
          <w:tab w:val="num" w:pos="720"/>
        </w:tabs>
        <w:ind w:left="720" w:hanging="360"/>
      </w:pPr>
      <w:rPr>
        <w:rFonts w:ascii="Arial" w:hAnsi="Arial" w:hint="default"/>
      </w:rPr>
    </w:lvl>
    <w:lvl w:ilvl="1" w:tplc="80F6CA3E" w:tentative="1">
      <w:start w:val="1"/>
      <w:numFmt w:val="bullet"/>
      <w:lvlText w:val="•"/>
      <w:lvlJc w:val="left"/>
      <w:pPr>
        <w:tabs>
          <w:tab w:val="num" w:pos="1440"/>
        </w:tabs>
        <w:ind w:left="1440" w:hanging="360"/>
      </w:pPr>
      <w:rPr>
        <w:rFonts w:ascii="Arial" w:hAnsi="Arial" w:hint="default"/>
      </w:rPr>
    </w:lvl>
    <w:lvl w:ilvl="2" w:tplc="36C217D6" w:tentative="1">
      <w:start w:val="1"/>
      <w:numFmt w:val="bullet"/>
      <w:lvlText w:val="•"/>
      <w:lvlJc w:val="left"/>
      <w:pPr>
        <w:tabs>
          <w:tab w:val="num" w:pos="2160"/>
        </w:tabs>
        <w:ind w:left="2160" w:hanging="360"/>
      </w:pPr>
      <w:rPr>
        <w:rFonts w:ascii="Arial" w:hAnsi="Arial" w:hint="default"/>
      </w:rPr>
    </w:lvl>
    <w:lvl w:ilvl="3" w:tplc="B6E04FDC" w:tentative="1">
      <w:start w:val="1"/>
      <w:numFmt w:val="bullet"/>
      <w:lvlText w:val="•"/>
      <w:lvlJc w:val="left"/>
      <w:pPr>
        <w:tabs>
          <w:tab w:val="num" w:pos="2880"/>
        </w:tabs>
        <w:ind w:left="2880" w:hanging="360"/>
      </w:pPr>
      <w:rPr>
        <w:rFonts w:ascii="Arial" w:hAnsi="Arial" w:hint="default"/>
      </w:rPr>
    </w:lvl>
    <w:lvl w:ilvl="4" w:tplc="08BEA7B4" w:tentative="1">
      <w:start w:val="1"/>
      <w:numFmt w:val="bullet"/>
      <w:lvlText w:val="•"/>
      <w:lvlJc w:val="left"/>
      <w:pPr>
        <w:tabs>
          <w:tab w:val="num" w:pos="3600"/>
        </w:tabs>
        <w:ind w:left="3600" w:hanging="360"/>
      </w:pPr>
      <w:rPr>
        <w:rFonts w:ascii="Arial" w:hAnsi="Arial" w:hint="default"/>
      </w:rPr>
    </w:lvl>
    <w:lvl w:ilvl="5" w:tplc="164E2422" w:tentative="1">
      <w:start w:val="1"/>
      <w:numFmt w:val="bullet"/>
      <w:lvlText w:val="•"/>
      <w:lvlJc w:val="left"/>
      <w:pPr>
        <w:tabs>
          <w:tab w:val="num" w:pos="4320"/>
        </w:tabs>
        <w:ind w:left="4320" w:hanging="360"/>
      </w:pPr>
      <w:rPr>
        <w:rFonts w:ascii="Arial" w:hAnsi="Arial" w:hint="default"/>
      </w:rPr>
    </w:lvl>
    <w:lvl w:ilvl="6" w:tplc="728CEE44" w:tentative="1">
      <w:start w:val="1"/>
      <w:numFmt w:val="bullet"/>
      <w:lvlText w:val="•"/>
      <w:lvlJc w:val="left"/>
      <w:pPr>
        <w:tabs>
          <w:tab w:val="num" w:pos="5040"/>
        </w:tabs>
        <w:ind w:left="5040" w:hanging="360"/>
      </w:pPr>
      <w:rPr>
        <w:rFonts w:ascii="Arial" w:hAnsi="Arial" w:hint="default"/>
      </w:rPr>
    </w:lvl>
    <w:lvl w:ilvl="7" w:tplc="37FAECDE" w:tentative="1">
      <w:start w:val="1"/>
      <w:numFmt w:val="bullet"/>
      <w:lvlText w:val="•"/>
      <w:lvlJc w:val="left"/>
      <w:pPr>
        <w:tabs>
          <w:tab w:val="num" w:pos="5760"/>
        </w:tabs>
        <w:ind w:left="5760" w:hanging="360"/>
      </w:pPr>
      <w:rPr>
        <w:rFonts w:ascii="Arial" w:hAnsi="Arial" w:hint="default"/>
      </w:rPr>
    </w:lvl>
    <w:lvl w:ilvl="8" w:tplc="A5BCC334" w:tentative="1">
      <w:start w:val="1"/>
      <w:numFmt w:val="bullet"/>
      <w:lvlText w:val="•"/>
      <w:lvlJc w:val="left"/>
      <w:pPr>
        <w:tabs>
          <w:tab w:val="num" w:pos="6480"/>
        </w:tabs>
        <w:ind w:left="6480" w:hanging="360"/>
      </w:pPr>
      <w:rPr>
        <w:rFonts w:ascii="Arial" w:hAnsi="Arial" w:hint="default"/>
      </w:rPr>
    </w:lvl>
  </w:abstractNum>
  <w:abstractNum w:abstractNumId="11">
    <w:nsid w:val="2F657D43"/>
    <w:multiLevelType w:val="hybridMultilevel"/>
    <w:tmpl w:val="B20E561A"/>
    <w:lvl w:ilvl="0" w:tplc="B41AD120">
      <w:start w:val="1"/>
      <w:numFmt w:val="bullet"/>
      <w:lvlText w:val="•"/>
      <w:lvlJc w:val="left"/>
      <w:pPr>
        <w:tabs>
          <w:tab w:val="num" w:pos="720"/>
        </w:tabs>
        <w:ind w:left="720" w:hanging="360"/>
      </w:pPr>
      <w:rPr>
        <w:rFonts w:ascii="Arial" w:hAnsi="Arial" w:hint="default"/>
      </w:rPr>
    </w:lvl>
    <w:lvl w:ilvl="1" w:tplc="46429F24" w:tentative="1">
      <w:start w:val="1"/>
      <w:numFmt w:val="bullet"/>
      <w:lvlText w:val="•"/>
      <w:lvlJc w:val="left"/>
      <w:pPr>
        <w:tabs>
          <w:tab w:val="num" w:pos="1440"/>
        </w:tabs>
        <w:ind w:left="1440" w:hanging="360"/>
      </w:pPr>
      <w:rPr>
        <w:rFonts w:ascii="Arial" w:hAnsi="Arial" w:hint="default"/>
      </w:rPr>
    </w:lvl>
    <w:lvl w:ilvl="2" w:tplc="B7BC6096" w:tentative="1">
      <w:start w:val="1"/>
      <w:numFmt w:val="bullet"/>
      <w:lvlText w:val="•"/>
      <w:lvlJc w:val="left"/>
      <w:pPr>
        <w:tabs>
          <w:tab w:val="num" w:pos="2160"/>
        </w:tabs>
        <w:ind w:left="2160" w:hanging="360"/>
      </w:pPr>
      <w:rPr>
        <w:rFonts w:ascii="Arial" w:hAnsi="Arial" w:hint="default"/>
      </w:rPr>
    </w:lvl>
    <w:lvl w:ilvl="3" w:tplc="B34CE730" w:tentative="1">
      <w:start w:val="1"/>
      <w:numFmt w:val="bullet"/>
      <w:lvlText w:val="•"/>
      <w:lvlJc w:val="left"/>
      <w:pPr>
        <w:tabs>
          <w:tab w:val="num" w:pos="2880"/>
        </w:tabs>
        <w:ind w:left="2880" w:hanging="360"/>
      </w:pPr>
      <w:rPr>
        <w:rFonts w:ascii="Arial" w:hAnsi="Arial" w:hint="default"/>
      </w:rPr>
    </w:lvl>
    <w:lvl w:ilvl="4" w:tplc="DB2EFD10" w:tentative="1">
      <w:start w:val="1"/>
      <w:numFmt w:val="bullet"/>
      <w:lvlText w:val="•"/>
      <w:lvlJc w:val="left"/>
      <w:pPr>
        <w:tabs>
          <w:tab w:val="num" w:pos="3600"/>
        </w:tabs>
        <w:ind w:left="3600" w:hanging="360"/>
      </w:pPr>
      <w:rPr>
        <w:rFonts w:ascii="Arial" w:hAnsi="Arial" w:hint="default"/>
      </w:rPr>
    </w:lvl>
    <w:lvl w:ilvl="5" w:tplc="F4AE5828" w:tentative="1">
      <w:start w:val="1"/>
      <w:numFmt w:val="bullet"/>
      <w:lvlText w:val="•"/>
      <w:lvlJc w:val="left"/>
      <w:pPr>
        <w:tabs>
          <w:tab w:val="num" w:pos="4320"/>
        </w:tabs>
        <w:ind w:left="4320" w:hanging="360"/>
      </w:pPr>
      <w:rPr>
        <w:rFonts w:ascii="Arial" w:hAnsi="Arial" w:hint="default"/>
      </w:rPr>
    </w:lvl>
    <w:lvl w:ilvl="6" w:tplc="8298A7E4" w:tentative="1">
      <w:start w:val="1"/>
      <w:numFmt w:val="bullet"/>
      <w:lvlText w:val="•"/>
      <w:lvlJc w:val="left"/>
      <w:pPr>
        <w:tabs>
          <w:tab w:val="num" w:pos="5040"/>
        </w:tabs>
        <w:ind w:left="5040" w:hanging="360"/>
      </w:pPr>
      <w:rPr>
        <w:rFonts w:ascii="Arial" w:hAnsi="Arial" w:hint="default"/>
      </w:rPr>
    </w:lvl>
    <w:lvl w:ilvl="7" w:tplc="551ECD9C" w:tentative="1">
      <w:start w:val="1"/>
      <w:numFmt w:val="bullet"/>
      <w:lvlText w:val="•"/>
      <w:lvlJc w:val="left"/>
      <w:pPr>
        <w:tabs>
          <w:tab w:val="num" w:pos="5760"/>
        </w:tabs>
        <w:ind w:left="5760" w:hanging="360"/>
      </w:pPr>
      <w:rPr>
        <w:rFonts w:ascii="Arial" w:hAnsi="Arial" w:hint="default"/>
      </w:rPr>
    </w:lvl>
    <w:lvl w:ilvl="8" w:tplc="5B8C71B8" w:tentative="1">
      <w:start w:val="1"/>
      <w:numFmt w:val="bullet"/>
      <w:lvlText w:val="•"/>
      <w:lvlJc w:val="left"/>
      <w:pPr>
        <w:tabs>
          <w:tab w:val="num" w:pos="6480"/>
        </w:tabs>
        <w:ind w:left="6480" w:hanging="360"/>
      </w:pPr>
      <w:rPr>
        <w:rFonts w:ascii="Arial" w:hAnsi="Arial" w:hint="default"/>
      </w:rPr>
    </w:lvl>
  </w:abstractNum>
  <w:abstractNum w:abstractNumId="12">
    <w:nsid w:val="2FCE3AC7"/>
    <w:multiLevelType w:val="hybridMultilevel"/>
    <w:tmpl w:val="341697E2"/>
    <w:lvl w:ilvl="0" w:tplc="3C144652">
      <w:start w:val="1"/>
      <w:numFmt w:val="bullet"/>
      <w:lvlText w:val="-"/>
      <w:lvlJc w:val="left"/>
      <w:pPr>
        <w:tabs>
          <w:tab w:val="num" w:pos="720"/>
        </w:tabs>
        <w:ind w:left="720" w:hanging="360"/>
      </w:pPr>
      <w:rPr>
        <w:rFonts w:ascii="Arial" w:eastAsia="Times New Roman" w:hAnsi="Aria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0031A2E"/>
    <w:multiLevelType w:val="hybridMultilevel"/>
    <w:tmpl w:val="18806786"/>
    <w:lvl w:ilvl="0" w:tplc="1BACF3E8">
      <w:start w:val="1"/>
      <w:numFmt w:val="bullet"/>
      <w:lvlText w:val="•"/>
      <w:lvlJc w:val="left"/>
      <w:pPr>
        <w:tabs>
          <w:tab w:val="num" w:pos="720"/>
        </w:tabs>
        <w:ind w:left="720" w:hanging="360"/>
      </w:pPr>
      <w:rPr>
        <w:rFonts w:ascii="Arial" w:hAnsi="Arial" w:hint="default"/>
      </w:rPr>
    </w:lvl>
    <w:lvl w:ilvl="1" w:tplc="ACC48AEC" w:tentative="1">
      <w:start w:val="1"/>
      <w:numFmt w:val="bullet"/>
      <w:lvlText w:val="•"/>
      <w:lvlJc w:val="left"/>
      <w:pPr>
        <w:tabs>
          <w:tab w:val="num" w:pos="1440"/>
        </w:tabs>
        <w:ind w:left="1440" w:hanging="360"/>
      </w:pPr>
      <w:rPr>
        <w:rFonts w:ascii="Arial" w:hAnsi="Arial" w:hint="default"/>
      </w:rPr>
    </w:lvl>
    <w:lvl w:ilvl="2" w:tplc="FE6E6448" w:tentative="1">
      <w:start w:val="1"/>
      <w:numFmt w:val="bullet"/>
      <w:lvlText w:val="•"/>
      <w:lvlJc w:val="left"/>
      <w:pPr>
        <w:tabs>
          <w:tab w:val="num" w:pos="2160"/>
        </w:tabs>
        <w:ind w:left="2160" w:hanging="360"/>
      </w:pPr>
      <w:rPr>
        <w:rFonts w:ascii="Arial" w:hAnsi="Arial" w:hint="default"/>
      </w:rPr>
    </w:lvl>
    <w:lvl w:ilvl="3" w:tplc="95D6D44C" w:tentative="1">
      <w:start w:val="1"/>
      <w:numFmt w:val="bullet"/>
      <w:lvlText w:val="•"/>
      <w:lvlJc w:val="left"/>
      <w:pPr>
        <w:tabs>
          <w:tab w:val="num" w:pos="2880"/>
        </w:tabs>
        <w:ind w:left="2880" w:hanging="360"/>
      </w:pPr>
      <w:rPr>
        <w:rFonts w:ascii="Arial" w:hAnsi="Arial" w:hint="default"/>
      </w:rPr>
    </w:lvl>
    <w:lvl w:ilvl="4" w:tplc="0C405C1C" w:tentative="1">
      <w:start w:val="1"/>
      <w:numFmt w:val="bullet"/>
      <w:lvlText w:val="•"/>
      <w:lvlJc w:val="left"/>
      <w:pPr>
        <w:tabs>
          <w:tab w:val="num" w:pos="3600"/>
        </w:tabs>
        <w:ind w:left="3600" w:hanging="360"/>
      </w:pPr>
      <w:rPr>
        <w:rFonts w:ascii="Arial" w:hAnsi="Arial" w:hint="default"/>
      </w:rPr>
    </w:lvl>
    <w:lvl w:ilvl="5" w:tplc="F0220A0A" w:tentative="1">
      <w:start w:val="1"/>
      <w:numFmt w:val="bullet"/>
      <w:lvlText w:val="•"/>
      <w:lvlJc w:val="left"/>
      <w:pPr>
        <w:tabs>
          <w:tab w:val="num" w:pos="4320"/>
        </w:tabs>
        <w:ind w:left="4320" w:hanging="360"/>
      </w:pPr>
      <w:rPr>
        <w:rFonts w:ascii="Arial" w:hAnsi="Arial" w:hint="default"/>
      </w:rPr>
    </w:lvl>
    <w:lvl w:ilvl="6" w:tplc="708C3326" w:tentative="1">
      <w:start w:val="1"/>
      <w:numFmt w:val="bullet"/>
      <w:lvlText w:val="•"/>
      <w:lvlJc w:val="left"/>
      <w:pPr>
        <w:tabs>
          <w:tab w:val="num" w:pos="5040"/>
        </w:tabs>
        <w:ind w:left="5040" w:hanging="360"/>
      </w:pPr>
      <w:rPr>
        <w:rFonts w:ascii="Arial" w:hAnsi="Arial" w:hint="default"/>
      </w:rPr>
    </w:lvl>
    <w:lvl w:ilvl="7" w:tplc="957A0AC8" w:tentative="1">
      <w:start w:val="1"/>
      <w:numFmt w:val="bullet"/>
      <w:lvlText w:val="•"/>
      <w:lvlJc w:val="left"/>
      <w:pPr>
        <w:tabs>
          <w:tab w:val="num" w:pos="5760"/>
        </w:tabs>
        <w:ind w:left="5760" w:hanging="360"/>
      </w:pPr>
      <w:rPr>
        <w:rFonts w:ascii="Arial" w:hAnsi="Arial" w:hint="default"/>
      </w:rPr>
    </w:lvl>
    <w:lvl w:ilvl="8" w:tplc="E0C6B518" w:tentative="1">
      <w:start w:val="1"/>
      <w:numFmt w:val="bullet"/>
      <w:lvlText w:val="•"/>
      <w:lvlJc w:val="left"/>
      <w:pPr>
        <w:tabs>
          <w:tab w:val="num" w:pos="6480"/>
        </w:tabs>
        <w:ind w:left="6480" w:hanging="360"/>
      </w:pPr>
      <w:rPr>
        <w:rFonts w:ascii="Arial" w:hAnsi="Arial" w:hint="default"/>
      </w:rPr>
    </w:lvl>
  </w:abstractNum>
  <w:abstractNum w:abstractNumId="14">
    <w:nsid w:val="3A824D9D"/>
    <w:multiLevelType w:val="hybridMultilevel"/>
    <w:tmpl w:val="6D7218C6"/>
    <w:lvl w:ilvl="0" w:tplc="C1F21626">
      <w:start w:val="1"/>
      <w:numFmt w:val="bullet"/>
      <w:lvlText w:val="•"/>
      <w:lvlJc w:val="left"/>
      <w:pPr>
        <w:tabs>
          <w:tab w:val="num" w:pos="720"/>
        </w:tabs>
        <w:ind w:left="720" w:hanging="360"/>
      </w:pPr>
      <w:rPr>
        <w:rFonts w:ascii="Arial" w:hAnsi="Arial" w:hint="default"/>
      </w:rPr>
    </w:lvl>
    <w:lvl w:ilvl="1" w:tplc="2A660078" w:tentative="1">
      <w:start w:val="1"/>
      <w:numFmt w:val="bullet"/>
      <w:lvlText w:val="•"/>
      <w:lvlJc w:val="left"/>
      <w:pPr>
        <w:tabs>
          <w:tab w:val="num" w:pos="1440"/>
        </w:tabs>
        <w:ind w:left="1440" w:hanging="360"/>
      </w:pPr>
      <w:rPr>
        <w:rFonts w:ascii="Arial" w:hAnsi="Arial" w:hint="default"/>
      </w:rPr>
    </w:lvl>
    <w:lvl w:ilvl="2" w:tplc="4F6EB9AA" w:tentative="1">
      <w:start w:val="1"/>
      <w:numFmt w:val="bullet"/>
      <w:lvlText w:val="•"/>
      <w:lvlJc w:val="left"/>
      <w:pPr>
        <w:tabs>
          <w:tab w:val="num" w:pos="2160"/>
        </w:tabs>
        <w:ind w:left="2160" w:hanging="360"/>
      </w:pPr>
      <w:rPr>
        <w:rFonts w:ascii="Arial" w:hAnsi="Arial" w:hint="default"/>
      </w:rPr>
    </w:lvl>
    <w:lvl w:ilvl="3" w:tplc="4A3C5F90" w:tentative="1">
      <w:start w:val="1"/>
      <w:numFmt w:val="bullet"/>
      <w:lvlText w:val="•"/>
      <w:lvlJc w:val="left"/>
      <w:pPr>
        <w:tabs>
          <w:tab w:val="num" w:pos="2880"/>
        </w:tabs>
        <w:ind w:left="2880" w:hanging="360"/>
      </w:pPr>
      <w:rPr>
        <w:rFonts w:ascii="Arial" w:hAnsi="Arial" w:hint="default"/>
      </w:rPr>
    </w:lvl>
    <w:lvl w:ilvl="4" w:tplc="9590217E" w:tentative="1">
      <w:start w:val="1"/>
      <w:numFmt w:val="bullet"/>
      <w:lvlText w:val="•"/>
      <w:lvlJc w:val="left"/>
      <w:pPr>
        <w:tabs>
          <w:tab w:val="num" w:pos="3600"/>
        </w:tabs>
        <w:ind w:left="3600" w:hanging="360"/>
      </w:pPr>
      <w:rPr>
        <w:rFonts w:ascii="Arial" w:hAnsi="Arial" w:hint="default"/>
      </w:rPr>
    </w:lvl>
    <w:lvl w:ilvl="5" w:tplc="67B063A4" w:tentative="1">
      <w:start w:val="1"/>
      <w:numFmt w:val="bullet"/>
      <w:lvlText w:val="•"/>
      <w:lvlJc w:val="left"/>
      <w:pPr>
        <w:tabs>
          <w:tab w:val="num" w:pos="4320"/>
        </w:tabs>
        <w:ind w:left="4320" w:hanging="360"/>
      </w:pPr>
      <w:rPr>
        <w:rFonts w:ascii="Arial" w:hAnsi="Arial" w:hint="default"/>
      </w:rPr>
    </w:lvl>
    <w:lvl w:ilvl="6" w:tplc="0174417C" w:tentative="1">
      <w:start w:val="1"/>
      <w:numFmt w:val="bullet"/>
      <w:lvlText w:val="•"/>
      <w:lvlJc w:val="left"/>
      <w:pPr>
        <w:tabs>
          <w:tab w:val="num" w:pos="5040"/>
        </w:tabs>
        <w:ind w:left="5040" w:hanging="360"/>
      </w:pPr>
      <w:rPr>
        <w:rFonts w:ascii="Arial" w:hAnsi="Arial" w:hint="default"/>
      </w:rPr>
    </w:lvl>
    <w:lvl w:ilvl="7" w:tplc="8868959A" w:tentative="1">
      <w:start w:val="1"/>
      <w:numFmt w:val="bullet"/>
      <w:lvlText w:val="•"/>
      <w:lvlJc w:val="left"/>
      <w:pPr>
        <w:tabs>
          <w:tab w:val="num" w:pos="5760"/>
        </w:tabs>
        <w:ind w:left="5760" w:hanging="360"/>
      </w:pPr>
      <w:rPr>
        <w:rFonts w:ascii="Arial" w:hAnsi="Arial" w:hint="default"/>
      </w:rPr>
    </w:lvl>
    <w:lvl w:ilvl="8" w:tplc="D0AE2724" w:tentative="1">
      <w:start w:val="1"/>
      <w:numFmt w:val="bullet"/>
      <w:lvlText w:val="•"/>
      <w:lvlJc w:val="left"/>
      <w:pPr>
        <w:tabs>
          <w:tab w:val="num" w:pos="6480"/>
        </w:tabs>
        <w:ind w:left="6480" w:hanging="360"/>
      </w:pPr>
      <w:rPr>
        <w:rFonts w:ascii="Arial" w:hAnsi="Arial" w:hint="default"/>
      </w:rPr>
    </w:lvl>
  </w:abstractNum>
  <w:abstractNum w:abstractNumId="15">
    <w:nsid w:val="475B3203"/>
    <w:multiLevelType w:val="multilevel"/>
    <w:tmpl w:val="27EA873A"/>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nsid w:val="502B556C"/>
    <w:multiLevelType w:val="hybridMultilevel"/>
    <w:tmpl w:val="BEBCC906"/>
    <w:lvl w:ilvl="0" w:tplc="31E0C56A">
      <w:start w:val="1"/>
      <w:numFmt w:val="bullet"/>
      <w:lvlText w:val="-"/>
      <w:lvlJc w:val="left"/>
      <w:pPr>
        <w:tabs>
          <w:tab w:val="num" w:pos="2007"/>
        </w:tabs>
        <w:ind w:left="2007" w:hanging="360"/>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3A0747F"/>
    <w:multiLevelType w:val="hybridMultilevel"/>
    <w:tmpl w:val="14C06B28"/>
    <w:lvl w:ilvl="0" w:tplc="61D80450">
      <w:start w:val="1"/>
      <w:numFmt w:val="bullet"/>
      <w:lvlText w:val="•"/>
      <w:lvlJc w:val="left"/>
      <w:pPr>
        <w:tabs>
          <w:tab w:val="num" w:pos="720"/>
        </w:tabs>
        <w:ind w:left="720" w:hanging="360"/>
      </w:pPr>
      <w:rPr>
        <w:rFonts w:ascii="Arial" w:hAnsi="Arial" w:hint="default"/>
      </w:rPr>
    </w:lvl>
    <w:lvl w:ilvl="1" w:tplc="B33A27DA" w:tentative="1">
      <w:start w:val="1"/>
      <w:numFmt w:val="bullet"/>
      <w:lvlText w:val="•"/>
      <w:lvlJc w:val="left"/>
      <w:pPr>
        <w:tabs>
          <w:tab w:val="num" w:pos="1440"/>
        </w:tabs>
        <w:ind w:left="1440" w:hanging="360"/>
      </w:pPr>
      <w:rPr>
        <w:rFonts w:ascii="Arial" w:hAnsi="Arial" w:hint="default"/>
      </w:rPr>
    </w:lvl>
    <w:lvl w:ilvl="2" w:tplc="461ACCF8" w:tentative="1">
      <w:start w:val="1"/>
      <w:numFmt w:val="bullet"/>
      <w:lvlText w:val="•"/>
      <w:lvlJc w:val="left"/>
      <w:pPr>
        <w:tabs>
          <w:tab w:val="num" w:pos="2160"/>
        </w:tabs>
        <w:ind w:left="2160" w:hanging="360"/>
      </w:pPr>
      <w:rPr>
        <w:rFonts w:ascii="Arial" w:hAnsi="Arial" w:hint="default"/>
      </w:rPr>
    </w:lvl>
    <w:lvl w:ilvl="3" w:tplc="D8C4856C" w:tentative="1">
      <w:start w:val="1"/>
      <w:numFmt w:val="bullet"/>
      <w:lvlText w:val="•"/>
      <w:lvlJc w:val="left"/>
      <w:pPr>
        <w:tabs>
          <w:tab w:val="num" w:pos="2880"/>
        </w:tabs>
        <w:ind w:left="2880" w:hanging="360"/>
      </w:pPr>
      <w:rPr>
        <w:rFonts w:ascii="Arial" w:hAnsi="Arial" w:hint="default"/>
      </w:rPr>
    </w:lvl>
    <w:lvl w:ilvl="4" w:tplc="0A20D78C" w:tentative="1">
      <w:start w:val="1"/>
      <w:numFmt w:val="bullet"/>
      <w:lvlText w:val="•"/>
      <w:lvlJc w:val="left"/>
      <w:pPr>
        <w:tabs>
          <w:tab w:val="num" w:pos="3600"/>
        </w:tabs>
        <w:ind w:left="3600" w:hanging="360"/>
      </w:pPr>
      <w:rPr>
        <w:rFonts w:ascii="Arial" w:hAnsi="Arial" w:hint="default"/>
      </w:rPr>
    </w:lvl>
    <w:lvl w:ilvl="5" w:tplc="A3FA1BFE" w:tentative="1">
      <w:start w:val="1"/>
      <w:numFmt w:val="bullet"/>
      <w:lvlText w:val="•"/>
      <w:lvlJc w:val="left"/>
      <w:pPr>
        <w:tabs>
          <w:tab w:val="num" w:pos="4320"/>
        </w:tabs>
        <w:ind w:left="4320" w:hanging="360"/>
      </w:pPr>
      <w:rPr>
        <w:rFonts w:ascii="Arial" w:hAnsi="Arial" w:hint="default"/>
      </w:rPr>
    </w:lvl>
    <w:lvl w:ilvl="6" w:tplc="650CE1A6" w:tentative="1">
      <w:start w:val="1"/>
      <w:numFmt w:val="bullet"/>
      <w:lvlText w:val="•"/>
      <w:lvlJc w:val="left"/>
      <w:pPr>
        <w:tabs>
          <w:tab w:val="num" w:pos="5040"/>
        </w:tabs>
        <w:ind w:left="5040" w:hanging="360"/>
      </w:pPr>
      <w:rPr>
        <w:rFonts w:ascii="Arial" w:hAnsi="Arial" w:hint="default"/>
      </w:rPr>
    </w:lvl>
    <w:lvl w:ilvl="7" w:tplc="598CAD28" w:tentative="1">
      <w:start w:val="1"/>
      <w:numFmt w:val="bullet"/>
      <w:lvlText w:val="•"/>
      <w:lvlJc w:val="left"/>
      <w:pPr>
        <w:tabs>
          <w:tab w:val="num" w:pos="5760"/>
        </w:tabs>
        <w:ind w:left="5760" w:hanging="360"/>
      </w:pPr>
      <w:rPr>
        <w:rFonts w:ascii="Arial" w:hAnsi="Arial" w:hint="default"/>
      </w:rPr>
    </w:lvl>
    <w:lvl w:ilvl="8" w:tplc="5BA8C1D8" w:tentative="1">
      <w:start w:val="1"/>
      <w:numFmt w:val="bullet"/>
      <w:lvlText w:val="•"/>
      <w:lvlJc w:val="left"/>
      <w:pPr>
        <w:tabs>
          <w:tab w:val="num" w:pos="6480"/>
        </w:tabs>
        <w:ind w:left="6480" w:hanging="360"/>
      </w:pPr>
      <w:rPr>
        <w:rFonts w:ascii="Arial" w:hAnsi="Arial" w:hint="default"/>
      </w:rPr>
    </w:lvl>
  </w:abstractNum>
  <w:abstractNum w:abstractNumId="18">
    <w:nsid w:val="619D0DD8"/>
    <w:multiLevelType w:val="hybridMultilevel"/>
    <w:tmpl w:val="9AD42F64"/>
    <w:lvl w:ilvl="0" w:tplc="63AC2876">
      <w:start w:val="1"/>
      <w:numFmt w:val="bullet"/>
      <w:lvlText w:val="•"/>
      <w:lvlJc w:val="left"/>
      <w:pPr>
        <w:tabs>
          <w:tab w:val="num" w:pos="720"/>
        </w:tabs>
        <w:ind w:left="720" w:hanging="360"/>
      </w:pPr>
      <w:rPr>
        <w:rFonts w:ascii="Arial" w:hAnsi="Arial" w:hint="default"/>
      </w:rPr>
    </w:lvl>
    <w:lvl w:ilvl="1" w:tplc="9AA66276" w:tentative="1">
      <w:start w:val="1"/>
      <w:numFmt w:val="bullet"/>
      <w:lvlText w:val="•"/>
      <w:lvlJc w:val="left"/>
      <w:pPr>
        <w:tabs>
          <w:tab w:val="num" w:pos="1440"/>
        </w:tabs>
        <w:ind w:left="1440" w:hanging="360"/>
      </w:pPr>
      <w:rPr>
        <w:rFonts w:ascii="Arial" w:hAnsi="Arial" w:hint="default"/>
      </w:rPr>
    </w:lvl>
    <w:lvl w:ilvl="2" w:tplc="C742C9D8" w:tentative="1">
      <w:start w:val="1"/>
      <w:numFmt w:val="bullet"/>
      <w:lvlText w:val="•"/>
      <w:lvlJc w:val="left"/>
      <w:pPr>
        <w:tabs>
          <w:tab w:val="num" w:pos="2160"/>
        </w:tabs>
        <w:ind w:left="2160" w:hanging="360"/>
      </w:pPr>
      <w:rPr>
        <w:rFonts w:ascii="Arial" w:hAnsi="Arial" w:hint="default"/>
      </w:rPr>
    </w:lvl>
    <w:lvl w:ilvl="3" w:tplc="1CDC7876" w:tentative="1">
      <w:start w:val="1"/>
      <w:numFmt w:val="bullet"/>
      <w:lvlText w:val="•"/>
      <w:lvlJc w:val="left"/>
      <w:pPr>
        <w:tabs>
          <w:tab w:val="num" w:pos="2880"/>
        </w:tabs>
        <w:ind w:left="2880" w:hanging="360"/>
      </w:pPr>
      <w:rPr>
        <w:rFonts w:ascii="Arial" w:hAnsi="Arial" w:hint="default"/>
      </w:rPr>
    </w:lvl>
    <w:lvl w:ilvl="4" w:tplc="E2C0737A" w:tentative="1">
      <w:start w:val="1"/>
      <w:numFmt w:val="bullet"/>
      <w:lvlText w:val="•"/>
      <w:lvlJc w:val="left"/>
      <w:pPr>
        <w:tabs>
          <w:tab w:val="num" w:pos="3600"/>
        </w:tabs>
        <w:ind w:left="3600" w:hanging="360"/>
      </w:pPr>
      <w:rPr>
        <w:rFonts w:ascii="Arial" w:hAnsi="Arial" w:hint="default"/>
      </w:rPr>
    </w:lvl>
    <w:lvl w:ilvl="5" w:tplc="7E2A9E5C" w:tentative="1">
      <w:start w:val="1"/>
      <w:numFmt w:val="bullet"/>
      <w:lvlText w:val="•"/>
      <w:lvlJc w:val="left"/>
      <w:pPr>
        <w:tabs>
          <w:tab w:val="num" w:pos="4320"/>
        </w:tabs>
        <w:ind w:left="4320" w:hanging="360"/>
      </w:pPr>
      <w:rPr>
        <w:rFonts w:ascii="Arial" w:hAnsi="Arial" w:hint="default"/>
      </w:rPr>
    </w:lvl>
    <w:lvl w:ilvl="6" w:tplc="9F308AF4" w:tentative="1">
      <w:start w:val="1"/>
      <w:numFmt w:val="bullet"/>
      <w:lvlText w:val="•"/>
      <w:lvlJc w:val="left"/>
      <w:pPr>
        <w:tabs>
          <w:tab w:val="num" w:pos="5040"/>
        </w:tabs>
        <w:ind w:left="5040" w:hanging="360"/>
      </w:pPr>
      <w:rPr>
        <w:rFonts w:ascii="Arial" w:hAnsi="Arial" w:hint="default"/>
      </w:rPr>
    </w:lvl>
    <w:lvl w:ilvl="7" w:tplc="18803BB2" w:tentative="1">
      <w:start w:val="1"/>
      <w:numFmt w:val="bullet"/>
      <w:lvlText w:val="•"/>
      <w:lvlJc w:val="left"/>
      <w:pPr>
        <w:tabs>
          <w:tab w:val="num" w:pos="5760"/>
        </w:tabs>
        <w:ind w:left="5760" w:hanging="360"/>
      </w:pPr>
      <w:rPr>
        <w:rFonts w:ascii="Arial" w:hAnsi="Arial" w:hint="default"/>
      </w:rPr>
    </w:lvl>
    <w:lvl w:ilvl="8" w:tplc="70C22504" w:tentative="1">
      <w:start w:val="1"/>
      <w:numFmt w:val="bullet"/>
      <w:lvlText w:val="•"/>
      <w:lvlJc w:val="left"/>
      <w:pPr>
        <w:tabs>
          <w:tab w:val="num" w:pos="6480"/>
        </w:tabs>
        <w:ind w:left="6480" w:hanging="360"/>
      </w:pPr>
      <w:rPr>
        <w:rFonts w:ascii="Arial" w:hAnsi="Arial" w:hint="default"/>
      </w:rPr>
    </w:lvl>
  </w:abstractNum>
  <w:abstractNum w:abstractNumId="19">
    <w:nsid w:val="75062A25"/>
    <w:multiLevelType w:val="hybridMultilevel"/>
    <w:tmpl w:val="3200969C"/>
    <w:lvl w:ilvl="0" w:tplc="A5B8F18A">
      <w:start w:val="1"/>
      <w:numFmt w:val="bullet"/>
      <w:lvlText w:val=""/>
      <w:lvlJc w:val="left"/>
      <w:pPr>
        <w:tabs>
          <w:tab w:val="num" w:pos="1287"/>
        </w:tabs>
        <w:ind w:left="1287" w:hanging="360"/>
      </w:pPr>
      <w:rPr>
        <w:rFonts w:ascii="Webdings" w:hAnsi="Webdings" w:hint="default"/>
        <w:color w:val="99CCFF"/>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0">
    <w:nsid w:val="76141E89"/>
    <w:multiLevelType w:val="hybridMultilevel"/>
    <w:tmpl w:val="3906F4DA"/>
    <w:lvl w:ilvl="0" w:tplc="A5B8F18A">
      <w:start w:val="1"/>
      <w:numFmt w:val="bullet"/>
      <w:lvlText w:val=""/>
      <w:lvlJc w:val="left"/>
      <w:pPr>
        <w:tabs>
          <w:tab w:val="num" w:pos="1287"/>
        </w:tabs>
        <w:ind w:left="1287" w:hanging="360"/>
      </w:pPr>
      <w:rPr>
        <w:rFonts w:ascii="Webdings" w:hAnsi="Webdings" w:hint="default"/>
        <w:color w:val="99CCFF"/>
      </w:rPr>
    </w:lvl>
    <w:lvl w:ilvl="1" w:tplc="0D40919C">
      <w:start w:val="1"/>
      <w:numFmt w:val="bullet"/>
      <w:lvlText w:val="-"/>
      <w:lvlJc w:val="left"/>
      <w:pPr>
        <w:tabs>
          <w:tab w:val="num" w:pos="2007"/>
        </w:tabs>
        <w:ind w:left="2007" w:hanging="360"/>
      </w:pPr>
      <w:rPr>
        <w:rFonts w:ascii="Arial" w:hAnsi="Arial" w:hint="default"/>
        <w:color w:val="99CCFF"/>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abstractNumId w:val="15"/>
  </w:num>
  <w:num w:numId="2">
    <w:abstractNumId w:val="0"/>
  </w:num>
  <w:num w:numId="3">
    <w:abstractNumId w:val="5"/>
  </w:num>
  <w:num w:numId="4">
    <w:abstractNumId w:val="19"/>
  </w:num>
  <w:num w:numId="5">
    <w:abstractNumId w:val="20"/>
  </w:num>
  <w:num w:numId="6">
    <w:abstractNumId w:val="16"/>
  </w:num>
  <w:num w:numId="7">
    <w:abstractNumId w:val="1"/>
  </w:num>
  <w:num w:numId="8">
    <w:abstractNumId w:val="12"/>
  </w:num>
  <w:num w:numId="9">
    <w:abstractNumId w:val="8"/>
  </w:num>
  <w:num w:numId="10">
    <w:abstractNumId w:val="11"/>
  </w:num>
  <w:num w:numId="11">
    <w:abstractNumId w:val="6"/>
  </w:num>
  <w:num w:numId="12">
    <w:abstractNumId w:val="13"/>
  </w:num>
  <w:num w:numId="13">
    <w:abstractNumId w:val="4"/>
  </w:num>
  <w:num w:numId="14">
    <w:abstractNumId w:val="14"/>
  </w:num>
  <w:num w:numId="15">
    <w:abstractNumId w:val="9"/>
  </w:num>
  <w:num w:numId="16">
    <w:abstractNumId w:val="2"/>
  </w:num>
  <w:num w:numId="17">
    <w:abstractNumId w:val="3"/>
  </w:num>
  <w:num w:numId="18">
    <w:abstractNumId w:val="10"/>
  </w:num>
  <w:num w:numId="19">
    <w:abstractNumId w:val="7"/>
  </w:num>
  <w:num w:numId="20">
    <w:abstractNumId w:val="18"/>
  </w:num>
  <w:num w:numId="21">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fill="f" fillcolor="white" stroke="f">
      <v:fill color="white" on="f"/>
      <v:stroke on="f"/>
      <o:colormru v:ext="edit" colors="#ddd"/>
    </o:shapedefaults>
  </w:hdrShapeDefaults>
  <w:footnotePr>
    <w:footnote w:id="-1"/>
    <w:footnote w:id="0"/>
  </w:footnotePr>
  <w:endnotePr>
    <w:endnote w:id="-1"/>
    <w:endnote w:id="0"/>
  </w:endnotePr>
  <w:compat/>
  <w:rsids>
    <w:rsidRoot w:val="00557A6A"/>
    <w:rsid w:val="00000143"/>
    <w:rsid w:val="0000138A"/>
    <w:rsid w:val="000014D4"/>
    <w:rsid w:val="00001803"/>
    <w:rsid w:val="000028C3"/>
    <w:rsid w:val="00031507"/>
    <w:rsid w:val="00045677"/>
    <w:rsid w:val="000461B7"/>
    <w:rsid w:val="00050B05"/>
    <w:rsid w:val="0007116F"/>
    <w:rsid w:val="0008093E"/>
    <w:rsid w:val="000943F1"/>
    <w:rsid w:val="000955F7"/>
    <w:rsid w:val="00097957"/>
    <w:rsid w:val="000A0138"/>
    <w:rsid w:val="000B02CE"/>
    <w:rsid w:val="000B0366"/>
    <w:rsid w:val="000B14F0"/>
    <w:rsid w:val="000B1BF3"/>
    <w:rsid w:val="000B2059"/>
    <w:rsid w:val="000B2622"/>
    <w:rsid w:val="000B6AC5"/>
    <w:rsid w:val="000B7706"/>
    <w:rsid w:val="000B7A0A"/>
    <w:rsid w:val="000C0405"/>
    <w:rsid w:val="000C2E99"/>
    <w:rsid w:val="000C6BBE"/>
    <w:rsid w:val="000E12AA"/>
    <w:rsid w:val="000E2818"/>
    <w:rsid w:val="00113BEC"/>
    <w:rsid w:val="001200AB"/>
    <w:rsid w:val="00132926"/>
    <w:rsid w:val="00141C1C"/>
    <w:rsid w:val="00146005"/>
    <w:rsid w:val="00151652"/>
    <w:rsid w:val="00152C49"/>
    <w:rsid w:val="00152D28"/>
    <w:rsid w:val="0015388E"/>
    <w:rsid w:val="00162313"/>
    <w:rsid w:val="0016405B"/>
    <w:rsid w:val="00164809"/>
    <w:rsid w:val="00164984"/>
    <w:rsid w:val="00175F71"/>
    <w:rsid w:val="0017739C"/>
    <w:rsid w:val="001777D9"/>
    <w:rsid w:val="001824D6"/>
    <w:rsid w:val="001839DE"/>
    <w:rsid w:val="00185E76"/>
    <w:rsid w:val="00186348"/>
    <w:rsid w:val="0019556E"/>
    <w:rsid w:val="001A0C09"/>
    <w:rsid w:val="001A3EB4"/>
    <w:rsid w:val="001B72FE"/>
    <w:rsid w:val="001C2ADC"/>
    <w:rsid w:val="001C55CE"/>
    <w:rsid w:val="001D52BF"/>
    <w:rsid w:val="001E7016"/>
    <w:rsid w:val="001F47B3"/>
    <w:rsid w:val="001F56BF"/>
    <w:rsid w:val="001F66E1"/>
    <w:rsid w:val="001F6AC2"/>
    <w:rsid w:val="00211075"/>
    <w:rsid w:val="0022268D"/>
    <w:rsid w:val="002227EF"/>
    <w:rsid w:val="0022326E"/>
    <w:rsid w:val="002314AD"/>
    <w:rsid w:val="0024010E"/>
    <w:rsid w:val="00240C42"/>
    <w:rsid w:val="002556CF"/>
    <w:rsid w:val="00260637"/>
    <w:rsid w:val="002636DD"/>
    <w:rsid w:val="0026394D"/>
    <w:rsid w:val="00277A93"/>
    <w:rsid w:val="00284A93"/>
    <w:rsid w:val="00285F26"/>
    <w:rsid w:val="00287E25"/>
    <w:rsid w:val="00297D93"/>
    <w:rsid w:val="002A641D"/>
    <w:rsid w:val="002A6F8A"/>
    <w:rsid w:val="002B08D0"/>
    <w:rsid w:val="002B2AB3"/>
    <w:rsid w:val="002B3F93"/>
    <w:rsid w:val="002B77F7"/>
    <w:rsid w:val="002C19C9"/>
    <w:rsid w:val="002C1FEA"/>
    <w:rsid w:val="002D5DA8"/>
    <w:rsid w:val="002D5DC0"/>
    <w:rsid w:val="002E7D2E"/>
    <w:rsid w:val="002F163B"/>
    <w:rsid w:val="002F2925"/>
    <w:rsid w:val="002F3234"/>
    <w:rsid w:val="002F67D6"/>
    <w:rsid w:val="00302AB6"/>
    <w:rsid w:val="00305EEC"/>
    <w:rsid w:val="00306AA6"/>
    <w:rsid w:val="0031143C"/>
    <w:rsid w:val="00316886"/>
    <w:rsid w:val="00316911"/>
    <w:rsid w:val="00320EE1"/>
    <w:rsid w:val="00323CF9"/>
    <w:rsid w:val="00327F3E"/>
    <w:rsid w:val="0033289B"/>
    <w:rsid w:val="00334AF2"/>
    <w:rsid w:val="003423AD"/>
    <w:rsid w:val="003458BB"/>
    <w:rsid w:val="00346C33"/>
    <w:rsid w:val="003559E1"/>
    <w:rsid w:val="00357D3C"/>
    <w:rsid w:val="00364512"/>
    <w:rsid w:val="0037035B"/>
    <w:rsid w:val="003717F1"/>
    <w:rsid w:val="00373441"/>
    <w:rsid w:val="00376BFD"/>
    <w:rsid w:val="00380BE6"/>
    <w:rsid w:val="00385446"/>
    <w:rsid w:val="003859CD"/>
    <w:rsid w:val="00392D95"/>
    <w:rsid w:val="00394D30"/>
    <w:rsid w:val="003A0ECB"/>
    <w:rsid w:val="003A1620"/>
    <w:rsid w:val="003C0377"/>
    <w:rsid w:val="003C791A"/>
    <w:rsid w:val="003D1018"/>
    <w:rsid w:val="003D21B2"/>
    <w:rsid w:val="003D4733"/>
    <w:rsid w:val="003D734D"/>
    <w:rsid w:val="003E47A3"/>
    <w:rsid w:val="003F2162"/>
    <w:rsid w:val="003F7284"/>
    <w:rsid w:val="00402DDB"/>
    <w:rsid w:val="00407DC6"/>
    <w:rsid w:val="0041557D"/>
    <w:rsid w:val="00416496"/>
    <w:rsid w:val="00421442"/>
    <w:rsid w:val="004345F5"/>
    <w:rsid w:val="004359BF"/>
    <w:rsid w:val="00435E77"/>
    <w:rsid w:val="00436FF8"/>
    <w:rsid w:val="0044108F"/>
    <w:rsid w:val="004623EA"/>
    <w:rsid w:val="004675AF"/>
    <w:rsid w:val="00467A81"/>
    <w:rsid w:val="004705F7"/>
    <w:rsid w:val="004805FB"/>
    <w:rsid w:val="00486D4B"/>
    <w:rsid w:val="00490AC3"/>
    <w:rsid w:val="00492BBD"/>
    <w:rsid w:val="00493D59"/>
    <w:rsid w:val="00495847"/>
    <w:rsid w:val="004A2091"/>
    <w:rsid w:val="004B3C92"/>
    <w:rsid w:val="004C46B2"/>
    <w:rsid w:val="004C5D9C"/>
    <w:rsid w:val="004C7417"/>
    <w:rsid w:val="004D065C"/>
    <w:rsid w:val="004D090B"/>
    <w:rsid w:val="004D3EC6"/>
    <w:rsid w:val="004D7DB9"/>
    <w:rsid w:val="004F38C9"/>
    <w:rsid w:val="004F7566"/>
    <w:rsid w:val="004F79E0"/>
    <w:rsid w:val="004F7AE5"/>
    <w:rsid w:val="00500282"/>
    <w:rsid w:val="005051BA"/>
    <w:rsid w:val="005065C7"/>
    <w:rsid w:val="005128BB"/>
    <w:rsid w:val="00516060"/>
    <w:rsid w:val="00522C5E"/>
    <w:rsid w:val="005372D6"/>
    <w:rsid w:val="0054497D"/>
    <w:rsid w:val="00556B31"/>
    <w:rsid w:val="00557A6A"/>
    <w:rsid w:val="0056576A"/>
    <w:rsid w:val="00566251"/>
    <w:rsid w:val="00566F9A"/>
    <w:rsid w:val="00570F84"/>
    <w:rsid w:val="00573AB1"/>
    <w:rsid w:val="00576F05"/>
    <w:rsid w:val="0058130A"/>
    <w:rsid w:val="00586878"/>
    <w:rsid w:val="00590414"/>
    <w:rsid w:val="005909D3"/>
    <w:rsid w:val="0059348E"/>
    <w:rsid w:val="005945CD"/>
    <w:rsid w:val="005A06CC"/>
    <w:rsid w:val="005A26D8"/>
    <w:rsid w:val="005A2C29"/>
    <w:rsid w:val="005A37DF"/>
    <w:rsid w:val="005B002C"/>
    <w:rsid w:val="005B1208"/>
    <w:rsid w:val="005B16AE"/>
    <w:rsid w:val="005B3123"/>
    <w:rsid w:val="005B4C05"/>
    <w:rsid w:val="005C2ACD"/>
    <w:rsid w:val="005C3F73"/>
    <w:rsid w:val="005D15AC"/>
    <w:rsid w:val="005E5D67"/>
    <w:rsid w:val="005F2AF8"/>
    <w:rsid w:val="005F7845"/>
    <w:rsid w:val="005F7CF2"/>
    <w:rsid w:val="00603927"/>
    <w:rsid w:val="00603C4B"/>
    <w:rsid w:val="00612158"/>
    <w:rsid w:val="006177F0"/>
    <w:rsid w:val="0062204E"/>
    <w:rsid w:val="00625071"/>
    <w:rsid w:val="00641D96"/>
    <w:rsid w:val="00642242"/>
    <w:rsid w:val="00642EB1"/>
    <w:rsid w:val="00645A67"/>
    <w:rsid w:val="00657A53"/>
    <w:rsid w:val="006602DD"/>
    <w:rsid w:val="00672651"/>
    <w:rsid w:val="00680680"/>
    <w:rsid w:val="00681E3E"/>
    <w:rsid w:val="00682421"/>
    <w:rsid w:val="006827F9"/>
    <w:rsid w:val="0068483C"/>
    <w:rsid w:val="00693908"/>
    <w:rsid w:val="00697C8F"/>
    <w:rsid w:val="006A16C0"/>
    <w:rsid w:val="006A33EC"/>
    <w:rsid w:val="006A5E70"/>
    <w:rsid w:val="006B76B8"/>
    <w:rsid w:val="006C22B9"/>
    <w:rsid w:val="006C322E"/>
    <w:rsid w:val="006C6B54"/>
    <w:rsid w:val="006D10CA"/>
    <w:rsid w:val="006D2F5D"/>
    <w:rsid w:val="006D4C9F"/>
    <w:rsid w:val="006E1023"/>
    <w:rsid w:val="006E445C"/>
    <w:rsid w:val="006E7C0D"/>
    <w:rsid w:val="006F6213"/>
    <w:rsid w:val="00715C3C"/>
    <w:rsid w:val="00720C92"/>
    <w:rsid w:val="00726733"/>
    <w:rsid w:val="0073541E"/>
    <w:rsid w:val="00736E3C"/>
    <w:rsid w:val="00740348"/>
    <w:rsid w:val="00742990"/>
    <w:rsid w:val="00751041"/>
    <w:rsid w:val="0075133C"/>
    <w:rsid w:val="0075319F"/>
    <w:rsid w:val="00753F84"/>
    <w:rsid w:val="0075444F"/>
    <w:rsid w:val="00763B43"/>
    <w:rsid w:val="00767944"/>
    <w:rsid w:val="007702DE"/>
    <w:rsid w:val="00771596"/>
    <w:rsid w:val="0077458D"/>
    <w:rsid w:val="00777663"/>
    <w:rsid w:val="00777A09"/>
    <w:rsid w:val="00793E2E"/>
    <w:rsid w:val="007C000B"/>
    <w:rsid w:val="007C0632"/>
    <w:rsid w:val="007C36E0"/>
    <w:rsid w:val="007C55DA"/>
    <w:rsid w:val="007E3036"/>
    <w:rsid w:val="007E6A1D"/>
    <w:rsid w:val="007F6EEF"/>
    <w:rsid w:val="008059F9"/>
    <w:rsid w:val="008163A9"/>
    <w:rsid w:val="00832CA1"/>
    <w:rsid w:val="00834203"/>
    <w:rsid w:val="0083454D"/>
    <w:rsid w:val="0083604A"/>
    <w:rsid w:val="00843571"/>
    <w:rsid w:val="00843E4F"/>
    <w:rsid w:val="00846A21"/>
    <w:rsid w:val="00857739"/>
    <w:rsid w:val="0086798A"/>
    <w:rsid w:val="00874A5F"/>
    <w:rsid w:val="00892189"/>
    <w:rsid w:val="00897DAE"/>
    <w:rsid w:val="008A0E37"/>
    <w:rsid w:val="008A2772"/>
    <w:rsid w:val="008A44A1"/>
    <w:rsid w:val="008A670E"/>
    <w:rsid w:val="008B2352"/>
    <w:rsid w:val="008C09B1"/>
    <w:rsid w:val="008D19FA"/>
    <w:rsid w:val="008D385E"/>
    <w:rsid w:val="008D3BE0"/>
    <w:rsid w:val="008D6AC9"/>
    <w:rsid w:val="008E0566"/>
    <w:rsid w:val="008E754B"/>
    <w:rsid w:val="008F3784"/>
    <w:rsid w:val="008F4F69"/>
    <w:rsid w:val="008F7898"/>
    <w:rsid w:val="00903015"/>
    <w:rsid w:val="00903098"/>
    <w:rsid w:val="00903347"/>
    <w:rsid w:val="0091429E"/>
    <w:rsid w:val="00923F08"/>
    <w:rsid w:val="00945059"/>
    <w:rsid w:val="00945FA1"/>
    <w:rsid w:val="00946A1D"/>
    <w:rsid w:val="00950C27"/>
    <w:rsid w:val="00955FD3"/>
    <w:rsid w:val="0095647D"/>
    <w:rsid w:val="0097158E"/>
    <w:rsid w:val="00976116"/>
    <w:rsid w:val="00984148"/>
    <w:rsid w:val="00985253"/>
    <w:rsid w:val="0098667B"/>
    <w:rsid w:val="00993E2C"/>
    <w:rsid w:val="0099772D"/>
    <w:rsid w:val="009A1EAD"/>
    <w:rsid w:val="009B24F0"/>
    <w:rsid w:val="009B5D83"/>
    <w:rsid w:val="009B6475"/>
    <w:rsid w:val="009C0B65"/>
    <w:rsid w:val="009C13E5"/>
    <w:rsid w:val="009C3978"/>
    <w:rsid w:val="009C7EF4"/>
    <w:rsid w:val="009D2772"/>
    <w:rsid w:val="009E0762"/>
    <w:rsid w:val="009E3167"/>
    <w:rsid w:val="009E417B"/>
    <w:rsid w:val="009E6F9C"/>
    <w:rsid w:val="009F21BF"/>
    <w:rsid w:val="00A056AA"/>
    <w:rsid w:val="00A14281"/>
    <w:rsid w:val="00A222EA"/>
    <w:rsid w:val="00A25195"/>
    <w:rsid w:val="00A2645B"/>
    <w:rsid w:val="00A30F66"/>
    <w:rsid w:val="00A31771"/>
    <w:rsid w:val="00A33189"/>
    <w:rsid w:val="00A33E23"/>
    <w:rsid w:val="00A51433"/>
    <w:rsid w:val="00A51865"/>
    <w:rsid w:val="00A54C1E"/>
    <w:rsid w:val="00A55946"/>
    <w:rsid w:val="00A572D1"/>
    <w:rsid w:val="00A65EE7"/>
    <w:rsid w:val="00A66726"/>
    <w:rsid w:val="00A74833"/>
    <w:rsid w:val="00A90341"/>
    <w:rsid w:val="00A95440"/>
    <w:rsid w:val="00A978A9"/>
    <w:rsid w:val="00AA25A9"/>
    <w:rsid w:val="00AA5A5A"/>
    <w:rsid w:val="00AB268F"/>
    <w:rsid w:val="00AB2E3C"/>
    <w:rsid w:val="00AB3063"/>
    <w:rsid w:val="00AC1275"/>
    <w:rsid w:val="00AC17EF"/>
    <w:rsid w:val="00AC1A1A"/>
    <w:rsid w:val="00AC3A58"/>
    <w:rsid w:val="00AC44C4"/>
    <w:rsid w:val="00AC4DD0"/>
    <w:rsid w:val="00AD5E33"/>
    <w:rsid w:val="00AE0E6B"/>
    <w:rsid w:val="00AE273D"/>
    <w:rsid w:val="00AE39FF"/>
    <w:rsid w:val="00AF03E7"/>
    <w:rsid w:val="00AF55B9"/>
    <w:rsid w:val="00B0026F"/>
    <w:rsid w:val="00B010D3"/>
    <w:rsid w:val="00B018BE"/>
    <w:rsid w:val="00B036F3"/>
    <w:rsid w:val="00B101D7"/>
    <w:rsid w:val="00B116FF"/>
    <w:rsid w:val="00B14564"/>
    <w:rsid w:val="00B208D7"/>
    <w:rsid w:val="00B224F3"/>
    <w:rsid w:val="00B26883"/>
    <w:rsid w:val="00B32552"/>
    <w:rsid w:val="00B44981"/>
    <w:rsid w:val="00B47FFC"/>
    <w:rsid w:val="00B50265"/>
    <w:rsid w:val="00B537BB"/>
    <w:rsid w:val="00B565C6"/>
    <w:rsid w:val="00B63D40"/>
    <w:rsid w:val="00B66DF9"/>
    <w:rsid w:val="00B70567"/>
    <w:rsid w:val="00B84387"/>
    <w:rsid w:val="00B93C19"/>
    <w:rsid w:val="00BA0574"/>
    <w:rsid w:val="00BB35E7"/>
    <w:rsid w:val="00BC7C81"/>
    <w:rsid w:val="00BD07DE"/>
    <w:rsid w:val="00BD224D"/>
    <w:rsid w:val="00BE5CFB"/>
    <w:rsid w:val="00BF05CE"/>
    <w:rsid w:val="00BF2E81"/>
    <w:rsid w:val="00BF3C4B"/>
    <w:rsid w:val="00C00462"/>
    <w:rsid w:val="00C00D21"/>
    <w:rsid w:val="00C057F8"/>
    <w:rsid w:val="00C07DF7"/>
    <w:rsid w:val="00C100B3"/>
    <w:rsid w:val="00C10E35"/>
    <w:rsid w:val="00C113B2"/>
    <w:rsid w:val="00C35238"/>
    <w:rsid w:val="00C41A3F"/>
    <w:rsid w:val="00C433FD"/>
    <w:rsid w:val="00C43B6C"/>
    <w:rsid w:val="00C43F94"/>
    <w:rsid w:val="00C441A1"/>
    <w:rsid w:val="00C449EB"/>
    <w:rsid w:val="00C70A30"/>
    <w:rsid w:val="00C7533F"/>
    <w:rsid w:val="00C75404"/>
    <w:rsid w:val="00C8102E"/>
    <w:rsid w:val="00C968C7"/>
    <w:rsid w:val="00CA6DFF"/>
    <w:rsid w:val="00CB63E9"/>
    <w:rsid w:val="00CC6FB8"/>
    <w:rsid w:val="00CD0F55"/>
    <w:rsid w:val="00CD3B3D"/>
    <w:rsid w:val="00CD42B7"/>
    <w:rsid w:val="00CD42D3"/>
    <w:rsid w:val="00CE1984"/>
    <w:rsid w:val="00CE1EB5"/>
    <w:rsid w:val="00CE35CC"/>
    <w:rsid w:val="00CF101F"/>
    <w:rsid w:val="00CF2F5A"/>
    <w:rsid w:val="00D069CF"/>
    <w:rsid w:val="00D115E6"/>
    <w:rsid w:val="00D21909"/>
    <w:rsid w:val="00D26BE9"/>
    <w:rsid w:val="00D31EC1"/>
    <w:rsid w:val="00D33FE6"/>
    <w:rsid w:val="00D36DFD"/>
    <w:rsid w:val="00D37E4B"/>
    <w:rsid w:val="00D40D5B"/>
    <w:rsid w:val="00D41FA0"/>
    <w:rsid w:val="00D554E1"/>
    <w:rsid w:val="00D60D93"/>
    <w:rsid w:val="00D61626"/>
    <w:rsid w:val="00D661B3"/>
    <w:rsid w:val="00D71DB9"/>
    <w:rsid w:val="00D74ED4"/>
    <w:rsid w:val="00D75249"/>
    <w:rsid w:val="00D76479"/>
    <w:rsid w:val="00D77553"/>
    <w:rsid w:val="00D800F2"/>
    <w:rsid w:val="00D80415"/>
    <w:rsid w:val="00D80BD2"/>
    <w:rsid w:val="00D82238"/>
    <w:rsid w:val="00D85E5B"/>
    <w:rsid w:val="00D93E1F"/>
    <w:rsid w:val="00DA172A"/>
    <w:rsid w:val="00DA7ED1"/>
    <w:rsid w:val="00DB45E4"/>
    <w:rsid w:val="00DB4657"/>
    <w:rsid w:val="00DC0A20"/>
    <w:rsid w:val="00DC1B74"/>
    <w:rsid w:val="00DC1DEA"/>
    <w:rsid w:val="00DD18C2"/>
    <w:rsid w:val="00DF72DC"/>
    <w:rsid w:val="00E01387"/>
    <w:rsid w:val="00E02388"/>
    <w:rsid w:val="00E04429"/>
    <w:rsid w:val="00E10C13"/>
    <w:rsid w:val="00E116D5"/>
    <w:rsid w:val="00E2124D"/>
    <w:rsid w:val="00E30256"/>
    <w:rsid w:val="00E31F4F"/>
    <w:rsid w:val="00E34840"/>
    <w:rsid w:val="00E36783"/>
    <w:rsid w:val="00E42226"/>
    <w:rsid w:val="00E42291"/>
    <w:rsid w:val="00E43BBF"/>
    <w:rsid w:val="00E451A9"/>
    <w:rsid w:val="00E456B5"/>
    <w:rsid w:val="00E53356"/>
    <w:rsid w:val="00E551C9"/>
    <w:rsid w:val="00E57A78"/>
    <w:rsid w:val="00E61C0E"/>
    <w:rsid w:val="00E80D28"/>
    <w:rsid w:val="00E86968"/>
    <w:rsid w:val="00E91E13"/>
    <w:rsid w:val="00E9302D"/>
    <w:rsid w:val="00EA1BDD"/>
    <w:rsid w:val="00EA319B"/>
    <w:rsid w:val="00EA3973"/>
    <w:rsid w:val="00EC3BD5"/>
    <w:rsid w:val="00EE21C2"/>
    <w:rsid w:val="00EE5327"/>
    <w:rsid w:val="00EE736A"/>
    <w:rsid w:val="00F06194"/>
    <w:rsid w:val="00F06DBA"/>
    <w:rsid w:val="00F06EE4"/>
    <w:rsid w:val="00F07081"/>
    <w:rsid w:val="00F128DF"/>
    <w:rsid w:val="00F13C62"/>
    <w:rsid w:val="00F16338"/>
    <w:rsid w:val="00F17494"/>
    <w:rsid w:val="00F26002"/>
    <w:rsid w:val="00F27DAA"/>
    <w:rsid w:val="00F367BD"/>
    <w:rsid w:val="00F4056B"/>
    <w:rsid w:val="00F44C0A"/>
    <w:rsid w:val="00F458D6"/>
    <w:rsid w:val="00F5295F"/>
    <w:rsid w:val="00F53BB0"/>
    <w:rsid w:val="00F5748B"/>
    <w:rsid w:val="00F57864"/>
    <w:rsid w:val="00F60C45"/>
    <w:rsid w:val="00F6473F"/>
    <w:rsid w:val="00F702D0"/>
    <w:rsid w:val="00F747CC"/>
    <w:rsid w:val="00F77127"/>
    <w:rsid w:val="00F8116D"/>
    <w:rsid w:val="00F82294"/>
    <w:rsid w:val="00F847EA"/>
    <w:rsid w:val="00F852DB"/>
    <w:rsid w:val="00F9142B"/>
    <w:rsid w:val="00F92D85"/>
    <w:rsid w:val="00FA0386"/>
    <w:rsid w:val="00FA10BA"/>
    <w:rsid w:val="00FA14C8"/>
    <w:rsid w:val="00FA4648"/>
    <w:rsid w:val="00FA5DCA"/>
    <w:rsid w:val="00FB0E56"/>
    <w:rsid w:val="00FB240A"/>
    <w:rsid w:val="00FB588B"/>
    <w:rsid w:val="00FB729C"/>
    <w:rsid w:val="00FC3552"/>
    <w:rsid w:val="00FD4DF6"/>
    <w:rsid w:val="00FE6DC7"/>
    <w:rsid w:val="00FF0449"/>
    <w:rsid w:val="00FF1ED9"/>
    <w:rsid w:val="00FF2C0F"/>
    <w:rsid w:val="00FF5387"/>
    <w:rsid w:val="00FF6E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fill="f" fillcolor="white" stroke="f">
      <v:fill color="white" on="f"/>
      <v:stroke on="f"/>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rFonts w:ascii="Arial" w:hAnsi="Arial"/>
      <w:i/>
      <w:sz w:val="16"/>
    </w:rPr>
  </w:style>
  <w:style w:type="paragraph" w:styleId="Heading3">
    <w:name w:val="heading 3"/>
    <w:basedOn w:val="Normal"/>
    <w:next w:val="Normal"/>
    <w:qFormat/>
    <w:pPr>
      <w:keepNext/>
      <w:outlineLvl w:val="2"/>
    </w:pPr>
    <w:rPr>
      <w:rFonts w:ascii="Arial" w:hAnsi="Arial"/>
      <w:i/>
      <w:snapToGrid w:val="0"/>
      <w:color w:val="000000"/>
      <w:lang w:eastAsia="en-US"/>
    </w:rPr>
  </w:style>
  <w:style w:type="paragraph" w:styleId="Heading4">
    <w:name w:val="heading 4"/>
    <w:basedOn w:val="Normal"/>
    <w:next w:val="Normal"/>
    <w:qFormat/>
    <w:pPr>
      <w:keepNext/>
      <w:outlineLvl w:val="3"/>
    </w:pPr>
    <w:rPr>
      <w:rFonts w:ascii="Arial" w:hAnsi="Arial"/>
      <w:b/>
      <w:snapToGrid w:val="0"/>
      <w:sz w:val="28"/>
      <w:u w:val="single"/>
      <w:lang w:eastAsia="en-US"/>
    </w:rPr>
  </w:style>
  <w:style w:type="paragraph" w:styleId="Heading5">
    <w:name w:val="heading 5"/>
    <w:basedOn w:val="Normal"/>
    <w:next w:val="Normal"/>
    <w:qFormat/>
    <w:pPr>
      <w:keepNext/>
      <w:outlineLvl w:val="4"/>
    </w:pPr>
    <w:rPr>
      <w:rFonts w:ascii="Arial" w:hAnsi="Arial"/>
      <w:b/>
      <w:snapToGrid w:val="0"/>
      <w:u w:val="single"/>
      <w:lang w:eastAsia="en-US"/>
    </w:rPr>
  </w:style>
  <w:style w:type="paragraph" w:styleId="Heading6">
    <w:name w:val="heading 6"/>
    <w:basedOn w:val="Normal"/>
    <w:next w:val="Normal"/>
    <w:qFormat/>
    <w:pPr>
      <w:keepNext/>
      <w:jc w:val="both"/>
      <w:outlineLvl w:val="5"/>
    </w:pPr>
    <w:rPr>
      <w:rFonts w:ascii="Arial" w:hAnsi="Arial"/>
      <w:b/>
    </w:rPr>
  </w:style>
  <w:style w:type="paragraph" w:styleId="Heading7">
    <w:name w:val="heading 7"/>
    <w:basedOn w:val="Normal"/>
    <w:next w:val="Normal"/>
    <w:qFormat/>
    <w:pPr>
      <w:keepNext/>
      <w:jc w:val="right"/>
      <w:outlineLvl w:val="6"/>
    </w:pPr>
    <w:rPr>
      <w:rFonts w:ascii="Arial" w:hAnsi="Arial"/>
      <w:b/>
      <w:snapToGrid w:val="0"/>
      <w:sz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495"/>
    </w:pPr>
  </w:style>
  <w:style w:type="paragraph" w:styleId="BodyText">
    <w:name w:val="Body Text"/>
    <w:basedOn w:val="Normal"/>
    <w:pPr>
      <w:shd w:val="clear" w:color="auto" w:fill="FFFF00"/>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hd w:val="pct12" w:color="auto" w:fill="FFFFFF"/>
      <w:jc w:val="both"/>
    </w:pPr>
    <w:rPr>
      <w:b/>
    </w:rPr>
  </w:style>
  <w:style w:type="paragraph" w:styleId="Header">
    <w:name w:val="header"/>
    <w:basedOn w:val="Normal"/>
    <w:pPr>
      <w:tabs>
        <w:tab w:val="center" w:pos="4153"/>
        <w:tab w:val="right" w:pos="8306"/>
      </w:tabs>
    </w:pPr>
  </w:style>
  <w:style w:type="paragraph" w:styleId="BodyText3">
    <w:name w:val="Body Text 3"/>
    <w:basedOn w:val="Normal"/>
    <w:rPr>
      <w:rFonts w:ascii="Trebuchet MS" w:hAnsi="Trebuchet MS"/>
      <w:color w:val="0000FF"/>
    </w:rPr>
  </w:style>
  <w:style w:type="paragraph" w:styleId="Title">
    <w:name w:val="Title"/>
    <w:basedOn w:val="Normal"/>
    <w:qFormat/>
    <w:pPr>
      <w:pBdr>
        <w:bottom w:val="single" w:sz="4" w:space="1" w:color="auto"/>
      </w:pBdr>
      <w:jc w:val="center"/>
    </w:pPr>
    <w:rPr>
      <w:rFonts w:ascii="Arial" w:hAnsi="Arial"/>
      <w:b/>
    </w:rPr>
  </w:style>
  <w:style w:type="paragraph" w:styleId="Footer">
    <w:name w:val="footer"/>
    <w:basedOn w:val="Normal"/>
    <w:pPr>
      <w:tabs>
        <w:tab w:val="center" w:pos="4153"/>
        <w:tab w:val="right" w:pos="8306"/>
      </w:tabs>
    </w:pPr>
  </w:style>
  <w:style w:type="paragraph" w:styleId="Subtitle">
    <w:name w:val="Subtitle"/>
    <w:basedOn w:val="Normal"/>
    <w:qFormat/>
    <w:pPr>
      <w:jc w:val="both"/>
    </w:pPr>
    <w:rPr>
      <w:rFonts w:ascii="Arial" w:hAnsi="Arial"/>
      <w:b/>
      <w:u w:val="single"/>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ReportTitle">
    <w:name w:val="ReportTitle"/>
    <w:basedOn w:val="Normal"/>
    <w:next w:val="Normal"/>
    <w:pPr>
      <w:spacing w:before="880" w:line="640" w:lineRule="atLeast"/>
    </w:pPr>
    <w:rPr>
      <w:rFonts w:ascii="Arial" w:hAnsi="Arial"/>
      <w:color w:val="FFFFFF"/>
      <w:sz w:val="48"/>
      <w:szCs w:val="24"/>
      <w:lang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dytext">
    <w:name w:val="Normal Body text"/>
    <w:basedOn w:val="Normal"/>
    <w:link w:val="NormalBodytextChar"/>
    <w:autoRedefine/>
    <w:pPr>
      <w:keepLines/>
      <w:spacing w:line="288" w:lineRule="auto"/>
      <w:jc w:val="both"/>
    </w:pPr>
    <w:rPr>
      <w:rFonts w:ascii="Arial" w:hAnsi="Arial" w:cs="Arial"/>
      <w:sz w:val="18"/>
      <w:szCs w:val="18"/>
      <w:lang w:eastAsia="en-GB"/>
    </w:rPr>
  </w:style>
  <w:style w:type="character" w:customStyle="1" w:styleId="NormalBodytextChar">
    <w:name w:val="Normal Body text Char"/>
    <w:basedOn w:val="DefaultParagraphFont"/>
    <w:link w:val="NormalBodytext"/>
    <w:rPr>
      <w:rFonts w:ascii="Arial" w:hAnsi="Arial" w:cs="Arial"/>
      <w:sz w:val="18"/>
      <w:szCs w:val="18"/>
      <w:lang w:val="en-GB" w:eastAsia="en-GB" w:bidi="ar-SA"/>
    </w:rPr>
  </w:style>
  <w:style w:type="paragraph" w:styleId="FootnoteText">
    <w:name w:val="footnote text"/>
    <w:basedOn w:val="Normal"/>
    <w:semiHidden/>
    <w:rsid w:val="00A55946"/>
  </w:style>
  <w:style w:type="character" w:styleId="FootnoteReference">
    <w:name w:val="footnote reference"/>
    <w:basedOn w:val="DefaultParagraphFont"/>
    <w:semiHidden/>
    <w:rsid w:val="00A55946"/>
    <w:rPr>
      <w:vertAlign w:val="superscript"/>
    </w:rPr>
  </w:style>
  <w:style w:type="paragraph" w:customStyle="1" w:styleId="CellBody">
    <w:name w:val="CellBody"/>
    <w:basedOn w:val="Normal"/>
    <w:rsid w:val="00AB3063"/>
    <w:pPr>
      <w:spacing w:before="40" w:after="40" w:line="290" w:lineRule="auto"/>
    </w:pPr>
    <w:rPr>
      <w:kern w:val="20"/>
      <w:lang w:eastAsia="en-US"/>
    </w:rPr>
  </w:style>
  <w:style w:type="paragraph" w:customStyle="1" w:styleId="CellHead">
    <w:name w:val="CellHead"/>
    <w:basedOn w:val="Normal"/>
    <w:rsid w:val="00AB3063"/>
    <w:pPr>
      <w:keepNext/>
      <w:spacing w:before="40" w:after="120" w:line="290" w:lineRule="auto"/>
    </w:pPr>
    <w:rPr>
      <w:b/>
      <w:kern w:val="20"/>
      <w:lang w:eastAsia="en-US"/>
    </w:rPr>
  </w:style>
  <w:style w:type="paragraph" w:customStyle="1" w:styleId="Table-Text">
    <w:name w:val="Table - Text"/>
    <w:basedOn w:val="Normal"/>
    <w:link w:val="Table-TextChar"/>
    <w:rsid w:val="008D385E"/>
    <w:pPr>
      <w:spacing w:before="20" w:after="20" w:line="260" w:lineRule="atLeast"/>
      <w:ind w:left="58" w:right="58"/>
    </w:pPr>
    <w:rPr>
      <w:rFonts w:ascii="Frutiger 45 Light" w:eastAsia="STKaiti" w:hAnsi="Frutiger 45 Light"/>
      <w:sz w:val="22"/>
      <w:lang w:eastAsia="en-US"/>
    </w:rPr>
  </w:style>
  <w:style w:type="paragraph" w:customStyle="1" w:styleId="Normal10pt">
    <w:name w:val="Normal + 10 pt"/>
    <w:basedOn w:val="Table-Text"/>
    <w:link w:val="Normal10ptChar"/>
    <w:rsid w:val="008D385E"/>
    <w:pPr>
      <w:ind w:left="0"/>
      <w:jc w:val="both"/>
    </w:pPr>
    <w:rPr>
      <w:rFonts w:ascii="Times New Roman" w:hAnsi="Times New Roman"/>
      <w:sz w:val="20"/>
    </w:rPr>
  </w:style>
  <w:style w:type="character" w:customStyle="1" w:styleId="Table-TextChar">
    <w:name w:val="Table - Text Char"/>
    <w:basedOn w:val="DefaultParagraphFont"/>
    <w:link w:val="Table-Text"/>
    <w:rsid w:val="008D385E"/>
    <w:rPr>
      <w:rFonts w:ascii="Frutiger 45 Light" w:eastAsia="STKaiti" w:hAnsi="Frutiger 45 Light"/>
      <w:sz w:val="22"/>
      <w:lang w:val="en-GB" w:eastAsia="en-US" w:bidi="ar-SA"/>
    </w:rPr>
  </w:style>
  <w:style w:type="character" w:customStyle="1" w:styleId="Normal10ptChar">
    <w:name w:val="Normal + 10 pt Char"/>
    <w:basedOn w:val="Table-TextChar"/>
    <w:link w:val="Normal10pt"/>
    <w:rsid w:val="008D385E"/>
  </w:style>
  <w:style w:type="paragraph" w:customStyle="1" w:styleId="Default">
    <w:name w:val="Default"/>
    <w:rsid w:val="008D385E"/>
    <w:pPr>
      <w:autoSpaceDE w:val="0"/>
      <w:autoSpaceDN w:val="0"/>
      <w:adjustRightInd w:val="0"/>
    </w:pPr>
    <w:rPr>
      <w:color w:val="000000"/>
      <w:sz w:val="24"/>
      <w:szCs w:val="24"/>
      <w:lang w:val="en-GB" w:eastAsia="en-GB" w:bidi="he-IL"/>
    </w:rPr>
  </w:style>
  <w:style w:type="paragraph" w:customStyle="1" w:styleId="CM136">
    <w:name w:val="CM136"/>
    <w:basedOn w:val="Default"/>
    <w:next w:val="Default"/>
    <w:rsid w:val="008D385E"/>
    <w:pPr>
      <w:widowControl w:val="0"/>
      <w:spacing w:after="75"/>
    </w:pPr>
    <w:rPr>
      <w:rFonts w:ascii="JDIGK A+ Times" w:hAnsi="JDIGK A+ Times"/>
      <w:color w:val="auto"/>
      <w:lang w:val="en-US" w:eastAsia="en-US" w:bidi="ar-SA"/>
    </w:rPr>
  </w:style>
  <w:style w:type="paragraph" w:customStyle="1" w:styleId="Body">
    <w:name w:val="Body"/>
    <w:aliases w:val="by,Text,Body1,Text1,heading2,b,b10pt,B,byA,by 14pt,newBody,Title1"/>
    <w:basedOn w:val="Normal"/>
    <w:link w:val="BodyChar1"/>
    <w:rsid w:val="008D385E"/>
    <w:pPr>
      <w:spacing w:after="140" w:line="290" w:lineRule="auto"/>
      <w:ind w:left="425"/>
      <w:jc w:val="both"/>
    </w:pPr>
    <w:rPr>
      <w:kern w:val="20"/>
      <w:lang w:eastAsia="en-US"/>
    </w:rPr>
  </w:style>
  <w:style w:type="character" w:customStyle="1" w:styleId="BodyChar1">
    <w:name w:val="Body Char1"/>
    <w:basedOn w:val="DefaultParagraphFont"/>
    <w:link w:val="Body"/>
    <w:rsid w:val="008D385E"/>
    <w:rPr>
      <w:kern w:val="20"/>
      <w:lang w:val="en-GB" w:eastAsia="en-US" w:bidi="ar-SA"/>
    </w:rPr>
  </w:style>
  <w:style w:type="paragraph" w:customStyle="1" w:styleId="AODocTxt">
    <w:name w:val="AODocTxt"/>
    <w:basedOn w:val="Normal"/>
    <w:link w:val="AODocTxtChar"/>
    <w:rsid w:val="008D385E"/>
    <w:pPr>
      <w:numPr>
        <w:numId w:val="1"/>
      </w:numPr>
      <w:spacing w:before="240" w:line="260" w:lineRule="atLeast"/>
    </w:pPr>
    <w:rPr>
      <w:rFonts w:eastAsia="SimSun"/>
      <w:sz w:val="22"/>
      <w:szCs w:val="22"/>
      <w:lang w:eastAsia="en-US"/>
    </w:rPr>
  </w:style>
  <w:style w:type="paragraph" w:customStyle="1" w:styleId="AODocTxtL1">
    <w:name w:val="AODocTxtL1"/>
    <w:basedOn w:val="AODocTxt"/>
    <w:rsid w:val="008D385E"/>
    <w:pPr>
      <w:numPr>
        <w:ilvl w:val="1"/>
      </w:numPr>
      <w:tabs>
        <w:tab w:val="num" w:pos="-360"/>
        <w:tab w:val="num" w:pos="2007"/>
      </w:tabs>
      <w:ind w:left="-360" w:hanging="360"/>
    </w:pPr>
  </w:style>
  <w:style w:type="paragraph" w:customStyle="1" w:styleId="AODocTxtL2">
    <w:name w:val="AODocTxtL2"/>
    <w:basedOn w:val="AODocTxt"/>
    <w:rsid w:val="008D385E"/>
    <w:pPr>
      <w:numPr>
        <w:ilvl w:val="2"/>
      </w:numPr>
      <w:tabs>
        <w:tab w:val="num" w:pos="360"/>
        <w:tab w:val="num" w:pos="2727"/>
      </w:tabs>
      <w:ind w:left="360" w:hanging="180"/>
    </w:pPr>
  </w:style>
  <w:style w:type="paragraph" w:customStyle="1" w:styleId="AODocTxtL3">
    <w:name w:val="AODocTxtL3"/>
    <w:basedOn w:val="AODocTxt"/>
    <w:rsid w:val="008D385E"/>
    <w:pPr>
      <w:numPr>
        <w:ilvl w:val="3"/>
      </w:numPr>
      <w:tabs>
        <w:tab w:val="num" w:pos="1080"/>
        <w:tab w:val="num" w:pos="3447"/>
      </w:tabs>
      <w:ind w:left="1080" w:hanging="360"/>
    </w:pPr>
  </w:style>
  <w:style w:type="paragraph" w:customStyle="1" w:styleId="AODocTxtL4">
    <w:name w:val="AODocTxtL4"/>
    <w:basedOn w:val="AODocTxt"/>
    <w:rsid w:val="008D385E"/>
    <w:pPr>
      <w:numPr>
        <w:ilvl w:val="4"/>
      </w:numPr>
      <w:tabs>
        <w:tab w:val="num" w:pos="1800"/>
        <w:tab w:val="num" w:pos="4167"/>
      </w:tabs>
      <w:ind w:left="1800" w:hanging="360"/>
    </w:pPr>
  </w:style>
  <w:style w:type="paragraph" w:customStyle="1" w:styleId="AODocTxtL5">
    <w:name w:val="AODocTxtL5"/>
    <w:basedOn w:val="AODocTxt"/>
    <w:rsid w:val="008D385E"/>
    <w:pPr>
      <w:numPr>
        <w:ilvl w:val="5"/>
      </w:numPr>
      <w:tabs>
        <w:tab w:val="num" w:pos="2520"/>
        <w:tab w:val="num" w:pos="4887"/>
      </w:tabs>
      <w:ind w:left="2520" w:hanging="180"/>
    </w:pPr>
  </w:style>
  <w:style w:type="paragraph" w:customStyle="1" w:styleId="AODocTxtL6">
    <w:name w:val="AODocTxtL6"/>
    <w:basedOn w:val="AODocTxt"/>
    <w:rsid w:val="008D385E"/>
    <w:pPr>
      <w:numPr>
        <w:ilvl w:val="6"/>
      </w:numPr>
      <w:tabs>
        <w:tab w:val="num" w:pos="3240"/>
        <w:tab w:val="num" w:pos="5607"/>
      </w:tabs>
      <w:ind w:left="3240" w:hanging="360"/>
    </w:pPr>
  </w:style>
  <w:style w:type="paragraph" w:customStyle="1" w:styleId="AODocTxtL7">
    <w:name w:val="AODocTxtL7"/>
    <w:basedOn w:val="AODocTxt"/>
    <w:rsid w:val="008D385E"/>
    <w:pPr>
      <w:numPr>
        <w:ilvl w:val="7"/>
      </w:numPr>
      <w:tabs>
        <w:tab w:val="num" w:pos="3960"/>
        <w:tab w:val="num" w:pos="6327"/>
      </w:tabs>
      <w:ind w:left="3960" w:hanging="360"/>
    </w:pPr>
  </w:style>
  <w:style w:type="paragraph" w:customStyle="1" w:styleId="AODocTxtL8">
    <w:name w:val="AODocTxtL8"/>
    <w:basedOn w:val="AODocTxt"/>
    <w:rsid w:val="008D385E"/>
    <w:pPr>
      <w:numPr>
        <w:ilvl w:val="8"/>
      </w:numPr>
      <w:tabs>
        <w:tab w:val="num" w:pos="4680"/>
        <w:tab w:val="num" w:pos="7047"/>
      </w:tabs>
      <w:ind w:left="4680" w:hanging="180"/>
    </w:pPr>
  </w:style>
  <w:style w:type="paragraph" w:customStyle="1" w:styleId="text2">
    <w:name w:val="text2"/>
    <w:aliases w:val="t2"/>
    <w:rsid w:val="008D385E"/>
    <w:pPr>
      <w:spacing w:before="120" w:line="260" w:lineRule="atLeast"/>
      <w:jc w:val="both"/>
    </w:pPr>
    <w:rPr>
      <w:rFonts w:eastAsia="SimSun"/>
      <w:sz w:val="18"/>
      <w:szCs w:val="18"/>
      <w:lang w:val="en-GB" w:eastAsia="en-US"/>
    </w:rPr>
  </w:style>
  <w:style w:type="character" w:customStyle="1" w:styleId="AODocTxtChar">
    <w:name w:val="AODocTxt Char"/>
    <w:basedOn w:val="DefaultParagraphFont"/>
    <w:link w:val="AODocTxt"/>
    <w:rsid w:val="008D385E"/>
    <w:rPr>
      <w:rFonts w:eastAsia="SimSun"/>
      <w:sz w:val="22"/>
      <w:szCs w:val="22"/>
      <w:lang w:val="en-GB" w:eastAsia="en-US" w:bidi="ar-SA"/>
    </w:rPr>
  </w:style>
  <w:style w:type="paragraph" w:styleId="ListBullet">
    <w:name w:val="List Bullet"/>
    <w:basedOn w:val="Normal"/>
    <w:rsid w:val="00495847"/>
    <w:pPr>
      <w:numPr>
        <w:numId w:val="2"/>
      </w:numPr>
    </w:pPr>
  </w:style>
  <w:style w:type="character" w:styleId="Strong">
    <w:name w:val="Strong"/>
    <w:basedOn w:val="DefaultParagraphFont"/>
    <w:qFormat/>
    <w:rsid w:val="005051BA"/>
    <w:rPr>
      <w:b/>
      <w:bCs/>
    </w:rPr>
  </w:style>
</w:styles>
</file>

<file path=word/webSettings.xml><?xml version="1.0" encoding="utf-8"?>
<w:webSettings xmlns:r="http://schemas.openxmlformats.org/officeDocument/2006/relationships" xmlns:w="http://schemas.openxmlformats.org/wordprocessingml/2006/main">
  <w:divs>
    <w:div w:id="13314087">
      <w:bodyDiv w:val="1"/>
      <w:marLeft w:val="0"/>
      <w:marRight w:val="0"/>
      <w:marTop w:val="0"/>
      <w:marBottom w:val="0"/>
      <w:divBdr>
        <w:top w:val="none" w:sz="0" w:space="0" w:color="auto"/>
        <w:left w:val="none" w:sz="0" w:space="0" w:color="auto"/>
        <w:bottom w:val="none" w:sz="0" w:space="0" w:color="auto"/>
        <w:right w:val="none" w:sz="0" w:space="0" w:color="auto"/>
      </w:divBdr>
      <w:divsChild>
        <w:div w:id="1413553147">
          <w:marLeft w:val="0"/>
          <w:marRight w:val="0"/>
          <w:marTop w:val="0"/>
          <w:marBottom w:val="0"/>
          <w:divBdr>
            <w:top w:val="none" w:sz="0" w:space="0" w:color="auto"/>
            <w:left w:val="none" w:sz="0" w:space="0" w:color="auto"/>
            <w:bottom w:val="none" w:sz="0" w:space="0" w:color="auto"/>
            <w:right w:val="none" w:sz="0" w:space="0" w:color="auto"/>
          </w:divBdr>
        </w:div>
      </w:divsChild>
    </w:div>
    <w:div w:id="27146818">
      <w:bodyDiv w:val="1"/>
      <w:marLeft w:val="0"/>
      <w:marRight w:val="0"/>
      <w:marTop w:val="0"/>
      <w:marBottom w:val="0"/>
      <w:divBdr>
        <w:top w:val="none" w:sz="0" w:space="0" w:color="auto"/>
        <w:left w:val="none" w:sz="0" w:space="0" w:color="auto"/>
        <w:bottom w:val="none" w:sz="0" w:space="0" w:color="auto"/>
        <w:right w:val="none" w:sz="0" w:space="0" w:color="auto"/>
      </w:divBdr>
      <w:divsChild>
        <w:div w:id="258294210">
          <w:marLeft w:val="0"/>
          <w:marRight w:val="0"/>
          <w:marTop w:val="0"/>
          <w:marBottom w:val="0"/>
          <w:divBdr>
            <w:top w:val="none" w:sz="0" w:space="0" w:color="auto"/>
            <w:left w:val="none" w:sz="0" w:space="0" w:color="auto"/>
            <w:bottom w:val="none" w:sz="0" w:space="0" w:color="auto"/>
            <w:right w:val="none" w:sz="0" w:space="0" w:color="auto"/>
          </w:divBdr>
        </w:div>
        <w:div w:id="341399726">
          <w:marLeft w:val="0"/>
          <w:marRight w:val="0"/>
          <w:marTop w:val="0"/>
          <w:marBottom w:val="0"/>
          <w:divBdr>
            <w:top w:val="none" w:sz="0" w:space="0" w:color="auto"/>
            <w:left w:val="none" w:sz="0" w:space="0" w:color="auto"/>
            <w:bottom w:val="none" w:sz="0" w:space="0" w:color="auto"/>
            <w:right w:val="none" w:sz="0" w:space="0" w:color="auto"/>
          </w:divBdr>
        </w:div>
        <w:div w:id="479611985">
          <w:marLeft w:val="0"/>
          <w:marRight w:val="0"/>
          <w:marTop w:val="0"/>
          <w:marBottom w:val="0"/>
          <w:divBdr>
            <w:top w:val="none" w:sz="0" w:space="0" w:color="auto"/>
            <w:left w:val="none" w:sz="0" w:space="0" w:color="auto"/>
            <w:bottom w:val="none" w:sz="0" w:space="0" w:color="auto"/>
            <w:right w:val="none" w:sz="0" w:space="0" w:color="auto"/>
          </w:divBdr>
        </w:div>
        <w:div w:id="867644825">
          <w:marLeft w:val="0"/>
          <w:marRight w:val="0"/>
          <w:marTop w:val="0"/>
          <w:marBottom w:val="0"/>
          <w:divBdr>
            <w:top w:val="none" w:sz="0" w:space="0" w:color="auto"/>
            <w:left w:val="none" w:sz="0" w:space="0" w:color="auto"/>
            <w:bottom w:val="none" w:sz="0" w:space="0" w:color="auto"/>
            <w:right w:val="none" w:sz="0" w:space="0" w:color="auto"/>
          </w:divBdr>
        </w:div>
        <w:div w:id="953900376">
          <w:marLeft w:val="0"/>
          <w:marRight w:val="0"/>
          <w:marTop w:val="0"/>
          <w:marBottom w:val="0"/>
          <w:divBdr>
            <w:top w:val="none" w:sz="0" w:space="0" w:color="auto"/>
            <w:left w:val="none" w:sz="0" w:space="0" w:color="auto"/>
            <w:bottom w:val="none" w:sz="0" w:space="0" w:color="auto"/>
            <w:right w:val="none" w:sz="0" w:space="0" w:color="auto"/>
          </w:divBdr>
        </w:div>
        <w:div w:id="1070809814">
          <w:marLeft w:val="0"/>
          <w:marRight w:val="0"/>
          <w:marTop w:val="0"/>
          <w:marBottom w:val="0"/>
          <w:divBdr>
            <w:top w:val="none" w:sz="0" w:space="0" w:color="auto"/>
            <w:left w:val="none" w:sz="0" w:space="0" w:color="auto"/>
            <w:bottom w:val="none" w:sz="0" w:space="0" w:color="auto"/>
            <w:right w:val="none" w:sz="0" w:space="0" w:color="auto"/>
          </w:divBdr>
        </w:div>
        <w:div w:id="1109786717">
          <w:marLeft w:val="0"/>
          <w:marRight w:val="0"/>
          <w:marTop w:val="0"/>
          <w:marBottom w:val="0"/>
          <w:divBdr>
            <w:top w:val="none" w:sz="0" w:space="0" w:color="auto"/>
            <w:left w:val="none" w:sz="0" w:space="0" w:color="auto"/>
            <w:bottom w:val="none" w:sz="0" w:space="0" w:color="auto"/>
            <w:right w:val="none" w:sz="0" w:space="0" w:color="auto"/>
          </w:divBdr>
        </w:div>
        <w:div w:id="1149708374">
          <w:marLeft w:val="0"/>
          <w:marRight w:val="0"/>
          <w:marTop w:val="0"/>
          <w:marBottom w:val="0"/>
          <w:divBdr>
            <w:top w:val="none" w:sz="0" w:space="0" w:color="auto"/>
            <w:left w:val="none" w:sz="0" w:space="0" w:color="auto"/>
            <w:bottom w:val="none" w:sz="0" w:space="0" w:color="auto"/>
            <w:right w:val="none" w:sz="0" w:space="0" w:color="auto"/>
          </w:divBdr>
        </w:div>
        <w:div w:id="1295212665">
          <w:marLeft w:val="0"/>
          <w:marRight w:val="0"/>
          <w:marTop w:val="0"/>
          <w:marBottom w:val="0"/>
          <w:divBdr>
            <w:top w:val="none" w:sz="0" w:space="0" w:color="auto"/>
            <w:left w:val="none" w:sz="0" w:space="0" w:color="auto"/>
            <w:bottom w:val="none" w:sz="0" w:space="0" w:color="auto"/>
            <w:right w:val="none" w:sz="0" w:space="0" w:color="auto"/>
          </w:divBdr>
        </w:div>
        <w:div w:id="1363437738">
          <w:marLeft w:val="0"/>
          <w:marRight w:val="0"/>
          <w:marTop w:val="0"/>
          <w:marBottom w:val="0"/>
          <w:divBdr>
            <w:top w:val="none" w:sz="0" w:space="0" w:color="auto"/>
            <w:left w:val="none" w:sz="0" w:space="0" w:color="auto"/>
            <w:bottom w:val="none" w:sz="0" w:space="0" w:color="auto"/>
            <w:right w:val="none" w:sz="0" w:space="0" w:color="auto"/>
          </w:divBdr>
        </w:div>
        <w:div w:id="1740592124">
          <w:marLeft w:val="0"/>
          <w:marRight w:val="0"/>
          <w:marTop w:val="0"/>
          <w:marBottom w:val="0"/>
          <w:divBdr>
            <w:top w:val="none" w:sz="0" w:space="0" w:color="auto"/>
            <w:left w:val="none" w:sz="0" w:space="0" w:color="auto"/>
            <w:bottom w:val="none" w:sz="0" w:space="0" w:color="auto"/>
            <w:right w:val="none" w:sz="0" w:space="0" w:color="auto"/>
          </w:divBdr>
        </w:div>
        <w:div w:id="1953050298">
          <w:marLeft w:val="0"/>
          <w:marRight w:val="0"/>
          <w:marTop w:val="0"/>
          <w:marBottom w:val="0"/>
          <w:divBdr>
            <w:top w:val="none" w:sz="0" w:space="0" w:color="auto"/>
            <w:left w:val="none" w:sz="0" w:space="0" w:color="auto"/>
            <w:bottom w:val="none" w:sz="0" w:space="0" w:color="auto"/>
            <w:right w:val="none" w:sz="0" w:space="0" w:color="auto"/>
          </w:divBdr>
        </w:div>
        <w:div w:id="2124031677">
          <w:marLeft w:val="0"/>
          <w:marRight w:val="0"/>
          <w:marTop w:val="0"/>
          <w:marBottom w:val="0"/>
          <w:divBdr>
            <w:top w:val="none" w:sz="0" w:space="0" w:color="auto"/>
            <w:left w:val="none" w:sz="0" w:space="0" w:color="auto"/>
            <w:bottom w:val="none" w:sz="0" w:space="0" w:color="auto"/>
            <w:right w:val="none" w:sz="0" w:space="0" w:color="auto"/>
          </w:divBdr>
        </w:div>
      </w:divsChild>
    </w:div>
    <w:div w:id="72551566">
      <w:bodyDiv w:val="1"/>
      <w:marLeft w:val="0"/>
      <w:marRight w:val="0"/>
      <w:marTop w:val="0"/>
      <w:marBottom w:val="0"/>
      <w:divBdr>
        <w:top w:val="none" w:sz="0" w:space="0" w:color="auto"/>
        <w:left w:val="none" w:sz="0" w:space="0" w:color="auto"/>
        <w:bottom w:val="none" w:sz="0" w:space="0" w:color="auto"/>
        <w:right w:val="none" w:sz="0" w:space="0" w:color="auto"/>
      </w:divBdr>
      <w:divsChild>
        <w:div w:id="10768667">
          <w:marLeft w:val="0"/>
          <w:marRight w:val="0"/>
          <w:marTop w:val="0"/>
          <w:marBottom w:val="0"/>
          <w:divBdr>
            <w:top w:val="none" w:sz="0" w:space="0" w:color="auto"/>
            <w:left w:val="none" w:sz="0" w:space="0" w:color="auto"/>
            <w:bottom w:val="none" w:sz="0" w:space="0" w:color="auto"/>
            <w:right w:val="none" w:sz="0" w:space="0" w:color="auto"/>
          </w:divBdr>
        </w:div>
        <w:div w:id="163517386">
          <w:marLeft w:val="0"/>
          <w:marRight w:val="0"/>
          <w:marTop w:val="0"/>
          <w:marBottom w:val="0"/>
          <w:divBdr>
            <w:top w:val="none" w:sz="0" w:space="0" w:color="auto"/>
            <w:left w:val="none" w:sz="0" w:space="0" w:color="auto"/>
            <w:bottom w:val="none" w:sz="0" w:space="0" w:color="auto"/>
            <w:right w:val="none" w:sz="0" w:space="0" w:color="auto"/>
          </w:divBdr>
        </w:div>
        <w:div w:id="230773786">
          <w:marLeft w:val="0"/>
          <w:marRight w:val="0"/>
          <w:marTop w:val="0"/>
          <w:marBottom w:val="0"/>
          <w:divBdr>
            <w:top w:val="none" w:sz="0" w:space="0" w:color="auto"/>
            <w:left w:val="none" w:sz="0" w:space="0" w:color="auto"/>
            <w:bottom w:val="none" w:sz="0" w:space="0" w:color="auto"/>
            <w:right w:val="none" w:sz="0" w:space="0" w:color="auto"/>
          </w:divBdr>
        </w:div>
        <w:div w:id="261963257">
          <w:marLeft w:val="0"/>
          <w:marRight w:val="0"/>
          <w:marTop w:val="0"/>
          <w:marBottom w:val="0"/>
          <w:divBdr>
            <w:top w:val="none" w:sz="0" w:space="0" w:color="auto"/>
            <w:left w:val="none" w:sz="0" w:space="0" w:color="auto"/>
            <w:bottom w:val="none" w:sz="0" w:space="0" w:color="auto"/>
            <w:right w:val="none" w:sz="0" w:space="0" w:color="auto"/>
          </w:divBdr>
        </w:div>
        <w:div w:id="470489860">
          <w:marLeft w:val="0"/>
          <w:marRight w:val="0"/>
          <w:marTop w:val="0"/>
          <w:marBottom w:val="0"/>
          <w:divBdr>
            <w:top w:val="none" w:sz="0" w:space="0" w:color="auto"/>
            <w:left w:val="none" w:sz="0" w:space="0" w:color="auto"/>
            <w:bottom w:val="none" w:sz="0" w:space="0" w:color="auto"/>
            <w:right w:val="none" w:sz="0" w:space="0" w:color="auto"/>
          </w:divBdr>
        </w:div>
        <w:div w:id="618948274">
          <w:marLeft w:val="0"/>
          <w:marRight w:val="0"/>
          <w:marTop w:val="0"/>
          <w:marBottom w:val="0"/>
          <w:divBdr>
            <w:top w:val="none" w:sz="0" w:space="0" w:color="auto"/>
            <w:left w:val="none" w:sz="0" w:space="0" w:color="auto"/>
            <w:bottom w:val="none" w:sz="0" w:space="0" w:color="auto"/>
            <w:right w:val="none" w:sz="0" w:space="0" w:color="auto"/>
          </w:divBdr>
        </w:div>
        <w:div w:id="1081945243">
          <w:marLeft w:val="0"/>
          <w:marRight w:val="0"/>
          <w:marTop w:val="0"/>
          <w:marBottom w:val="0"/>
          <w:divBdr>
            <w:top w:val="none" w:sz="0" w:space="0" w:color="auto"/>
            <w:left w:val="none" w:sz="0" w:space="0" w:color="auto"/>
            <w:bottom w:val="none" w:sz="0" w:space="0" w:color="auto"/>
            <w:right w:val="none" w:sz="0" w:space="0" w:color="auto"/>
          </w:divBdr>
        </w:div>
        <w:div w:id="1099833408">
          <w:marLeft w:val="0"/>
          <w:marRight w:val="0"/>
          <w:marTop w:val="0"/>
          <w:marBottom w:val="0"/>
          <w:divBdr>
            <w:top w:val="none" w:sz="0" w:space="0" w:color="auto"/>
            <w:left w:val="none" w:sz="0" w:space="0" w:color="auto"/>
            <w:bottom w:val="none" w:sz="0" w:space="0" w:color="auto"/>
            <w:right w:val="none" w:sz="0" w:space="0" w:color="auto"/>
          </w:divBdr>
        </w:div>
        <w:div w:id="1389299095">
          <w:marLeft w:val="0"/>
          <w:marRight w:val="0"/>
          <w:marTop w:val="0"/>
          <w:marBottom w:val="0"/>
          <w:divBdr>
            <w:top w:val="none" w:sz="0" w:space="0" w:color="auto"/>
            <w:left w:val="none" w:sz="0" w:space="0" w:color="auto"/>
            <w:bottom w:val="none" w:sz="0" w:space="0" w:color="auto"/>
            <w:right w:val="none" w:sz="0" w:space="0" w:color="auto"/>
          </w:divBdr>
        </w:div>
        <w:div w:id="1402412306">
          <w:marLeft w:val="0"/>
          <w:marRight w:val="0"/>
          <w:marTop w:val="0"/>
          <w:marBottom w:val="0"/>
          <w:divBdr>
            <w:top w:val="none" w:sz="0" w:space="0" w:color="auto"/>
            <w:left w:val="none" w:sz="0" w:space="0" w:color="auto"/>
            <w:bottom w:val="none" w:sz="0" w:space="0" w:color="auto"/>
            <w:right w:val="none" w:sz="0" w:space="0" w:color="auto"/>
          </w:divBdr>
        </w:div>
        <w:div w:id="1488208308">
          <w:marLeft w:val="0"/>
          <w:marRight w:val="0"/>
          <w:marTop w:val="0"/>
          <w:marBottom w:val="0"/>
          <w:divBdr>
            <w:top w:val="none" w:sz="0" w:space="0" w:color="auto"/>
            <w:left w:val="none" w:sz="0" w:space="0" w:color="auto"/>
            <w:bottom w:val="none" w:sz="0" w:space="0" w:color="auto"/>
            <w:right w:val="none" w:sz="0" w:space="0" w:color="auto"/>
          </w:divBdr>
        </w:div>
        <w:div w:id="1529219469">
          <w:marLeft w:val="0"/>
          <w:marRight w:val="0"/>
          <w:marTop w:val="0"/>
          <w:marBottom w:val="0"/>
          <w:divBdr>
            <w:top w:val="none" w:sz="0" w:space="0" w:color="auto"/>
            <w:left w:val="none" w:sz="0" w:space="0" w:color="auto"/>
            <w:bottom w:val="none" w:sz="0" w:space="0" w:color="auto"/>
            <w:right w:val="none" w:sz="0" w:space="0" w:color="auto"/>
          </w:divBdr>
        </w:div>
        <w:div w:id="1678773989">
          <w:marLeft w:val="0"/>
          <w:marRight w:val="0"/>
          <w:marTop w:val="0"/>
          <w:marBottom w:val="0"/>
          <w:divBdr>
            <w:top w:val="none" w:sz="0" w:space="0" w:color="auto"/>
            <w:left w:val="none" w:sz="0" w:space="0" w:color="auto"/>
            <w:bottom w:val="none" w:sz="0" w:space="0" w:color="auto"/>
            <w:right w:val="none" w:sz="0" w:space="0" w:color="auto"/>
          </w:divBdr>
        </w:div>
        <w:div w:id="1704792569">
          <w:marLeft w:val="0"/>
          <w:marRight w:val="0"/>
          <w:marTop w:val="0"/>
          <w:marBottom w:val="0"/>
          <w:divBdr>
            <w:top w:val="none" w:sz="0" w:space="0" w:color="auto"/>
            <w:left w:val="none" w:sz="0" w:space="0" w:color="auto"/>
            <w:bottom w:val="none" w:sz="0" w:space="0" w:color="auto"/>
            <w:right w:val="none" w:sz="0" w:space="0" w:color="auto"/>
          </w:divBdr>
        </w:div>
        <w:div w:id="1785152451">
          <w:marLeft w:val="0"/>
          <w:marRight w:val="0"/>
          <w:marTop w:val="0"/>
          <w:marBottom w:val="0"/>
          <w:divBdr>
            <w:top w:val="none" w:sz="0" w:space="0" w:color="auto"/>
            <w:left w:val="none" w:sz="0" w:space="0" w:color="auto"/>
            <w:bottom w:val="none" w:sz="0" w:space="0" w:color="auto"/>
            <w:right w:val="none" w:sz="0" w:space="0" w:color="auto"/>
          </w:divBdr>
        </w:div>
        <w:div w:id="1832259689">
          <w:marLeft w:val="0"/>
          <w:marRight w:val="0"/>
          <w:marTop w:val="0"/>
          <w:marBottom w:val="0"/>
          <w:divBdr>
            <w:top w:val="none" w:sz="0" w:space="0" w:color="auto"/>
            <w:left w:val="none" w:sz="0" w:space="0" w:color="auto"/>
            <w:bottom w:val="none" w:sz="0" w:space="0" w:color="auto"/>
            <w:right w:val="none" w:sz="0" w:space="0" w:color="auto"/>
          </w:divBdr>
        </w:div>
        <w:div w:id="1872379758">
          <w:marLeft w:val="0"/>
          <w:marRight w:val="0"/>
          <w:marTop w:val="0"/>
          <w:marBottom w:val="0"/>
          <w:divBdr>
            <w:top w:val="none" w:sz="0" w:space="0" w:color="auto"/>
            <w:left w:val="none" w:sz="0" w:space="0" w:color="auto"/>
            <w:bottom w:val="none" w:sz="0" w:space="0" w:color="auto"/>
            <w:right w:val="none" w:sz="0" w:space="0" w:color="auto"/>
          </w:divBdr>
        </w:div>
        <w:div w:id="1881169284">
          <w:marLeft w:val="0"/>
          <w:marRight w:val="0"/>
          <w:marTop w:val="0"/>
          <w:marBottom w:val="0"/>
          <w:divBdr>
            <w:top w:val="none" w:sz="0" w:space="0" w:color="auto"/>
            <w:left w:val="none" w:sz="0" w:space="0" w:color="auto"/>
            <w:bottom w:val="none" w:sz="0" w:space="0" w:color="auto"/>
            <w:right w:val="none" w:sz="0" w:space="0" w:color="auto"/>
          </w:divBdr>
        </w:div>
      </w:divsChild>
    </w:div>
    <w:div w:id="83846166">
      <w:bodyDiv w:val="1"/>
      <w:marLeft w:val="0"/>
      <w:marRight w:val="0"/>
      <w:marTop w:val="0"/>
      <w:marBottom w:val="0"/>
      <w:divBdr>
        <w:top w:val="none" w:sz="0" w:space="0" w:color="auto"/>
        <w:left w:val="none" w:sz="0" w:space="0" w:color="auto"/>
        <w:bottom w:val="none" w:sz="0" w:space="0" w:color="auto"/>
        <w:right w:val="none" w:sz="0" w:space="0" w:color="auto"/>
      </w:divBdr>
    </w:div>
    <w:div w:id="93868571">
      <w:bodyDiv w:val="1"/>
      <w:marLeft w:val="0"/>
      <w:marRight w:val="0"/>
      <w:marTop w:val="0"/>
      <w:marBottom w:val="0"/>
      <w:divBdr>
        <w:top w:val="none" w:sz="0" w:space="0" w:color="auto"/>
        <w:left w:val="none" w:sz="0" w:space="0" w:color="auto"/>
        <w:bottom w:val="none" w:sz="0" w:space="0" w:color="auto"/>
        <w:right w:val="none" w:sz="0" w:space="0" w:color="auto"/>
      </w:divBdr>
      <w:divsChild>
        <w:div w:id="1217931437">
          <w:marLeft w:val="0"/>
          <w:marRight w:val="0"/>
          <w:marTop w:val="0"/>
          <w:marBottom w:val="0"/>
          <w:divBdr>
            <w:top w:val="none" w:sz="0" w:space="0" w:color="auto"/>
            <w:left w:val="none" w:sz="0" w:space="0" w:color="auto"/>
            <w:bottom w:val="none" w:sz="0" w:space="0" w:color="auto"/>
            <w:right w:val="none" w:sz="0" w:space="0" w:color="auto"/>
          </w:divBdr>
        </w:div>
      </w:divsChild>
    </w:div>
    <w:div w:id="226958284">
      <w:bodyDiv w:val="1"/>
      <w:marLeft w:val="0"/>
      <w:marRight w:val="0"/>
      <w:marTop w:val="0"/>
      <w:marBottom w:val="0"/>
      <w:divBdr>
        <w:top w:val="none" w:sz="0" w:space="0" w:color="auto"/>
        <w:left w:val="none" w:sz="0" w:space="0" w:color="auto"/>
        <w:bottom w:val="none" w:sz="0" w:space="0" w:color="auto"/>
        <w:right w:val="none" w:sz="0" w:space="0" w:color="auto"/>
      </w:divBdr>
      <w:divsChild>
        <w:div w:id="1899320703">
          <w:marLeft w:val="0"/>
          <w:marRight w:val="0"/>
          <w:marTop w:val="0"/>
          <w:marBottom w:val="0"/>
          <w:divBdr>
            <w:top w:val="none" w:sz="0" w:space="0" w:color="auto"/>
            <w:left w:val="none" w:sz="0" w:space="0" w:color="auto"/>
            <w:bottom w:val="none" w:sz="0" w:space="0" w:color="auto"/>
            <w:right w:val="none" w:sz="0" w:space="0" w:color="auto"/>
          </w:divBdr>
        </w:div>
      </w:divsChild>
    </w:div>
    <w:div w:id="478502613">
      <w:bodyDiv w:val="1"/>
      <w:marLeft w:val="0"/>
      <w:marRight w:val="0"/>
      <w:marTop w:val="0"/>
      <w:marBottom w:val="0"/>
      <w:divBdr>
        <w:top w:val="none" w:sz="0" w:space="0" w:color="auto"/>
        <w:left w:val="none" w:sz="0" w:space="0" w:color="auto"/>
        <w:bottom w:val="none" w:sz="0" w:space="0" w:color="auto"/>
        <w:right w:val="none" w:sz="0" w:space="0" w:color="auto"/>
      </w:divBdr>
      <w:divsChild>
        <w:div w:id="280234778">
          <w:marLeft w:val="0"/>
          <w:marRight w:val="0"/>
          <w:marTop w:val="0"/>
          <w:marBottom w:val="0"/>
          <w:divBdr>
            <w:top w:val="none" w:sz="0" w:space="0" w:color="auto"/>
            <w:left w:val="none" w:sz="0" w:space="0" w:color="auto"/>
            <w:bottom w:val="none" w:sz="0" w:space="0" w:color="auto"/>
            <w:right w:val="none" w:sz="0" w:space="0" w:color="auto"/>
          </w:divBdr>
        </w:div>
        <w:div w:id="1020670182">
          <w:marLeft w:val="0"/>
          <w:marRight w:val="0"/>
          <w:marTop w:val="0"/>
          <w:marBottom w:val="0"/>
          <w:divBdr>
            <w:top w:val="none" w:sz="0" w:space="0" w:color="auto"/>
            <w:left w:val="none" w:sz="0" w:space="0" w:color="auto"/>
            <w:bottom w:val="none" w:sz="0" w:space="0" w:color="auto"/>
            <w:right w:val="none" w:sz="0" w:space="0" w:color="auto"/>
          </w:divBdr>
        </w:div>
        <w:div w:id="2062635822">
          <w:marLeft w:val="0"/>
          <w:marRight w:val="0"/>
          <w:marTop w:val="0"/>
          <w:marBottom w:val="0"/>
          <w:divBdr>
            <w:top w:val="none" w:sz="0" w:space="0" w:color="auto"/>
            <w:left w:val="none" w:sz="0" w:space="0" w:color="auto"/>
            <w:bottom w:val="none" w:sz="0" w:space="0" w:color="auto"/>
            <w:right w:val="none" w:sz="0" w:space="0" w:color="auto"/>
          </w:divBdr>
        </w:div>
      </w:divsChild>
    </w:div>
    <w:div w:id="498160117">
      <w:bodyDiv w:val="1"/>
      <w:marLeft w:val="0"/>
      <w:marRight w:val="0"/>
      <w:marTop w:val="0"/>
      <w:marBottom w:val="0"/>
      <w:divBdr>
        <w:top w:val="none" w:sz="0" w:space="0" w:color="auto"/>
        <w:left w:val="none" w:sz="0" w:space="0" w:color="auto"/>
        <w:bottom w:val="none" w:sz="0" w:space="0" w:color="auto"/>
        <w:right w:val="none" w:sz="0" w:space="0" w:color="auto"/>
      </w:divBdr>
      <w:divsChild>
        <w:div w:id="205875295">
          <w:marLeft w:val="0"/>
          <w:marRight w:val="0"/>
          <w:marTop w:val="0"/>
          <w:marBottom w:val="0"/>
          <w:divBdr>
            <w:top w:val="none" w:sz="0" w:space="0" w:color="auto"/>
            <w:left w:val="none" w:sz="0" w:space="0" w:color="auto"/>
            <w:bottom w:val="none" w:sz="0" w:space="0" w:color="auto"/>
            <w:right w:val="none" w:sz="0" w:space="0" w:color="auto"/>
          </w:divBdr>
        </w:div>
      </w:divsChild>
    </w:div>
    <w:div w:id="519708069">
      <w:bodyDiv w:val="1"/>
      <w:marLeft w:val="0"/>
      <w:marRight w:val="0"/>
      <w:marTop w:val="0"/>
      <w:marBottom w:val="0"/>
      <w:divBdr>
        <w:top w:val="none" w:sz="0" w:space="0" w:color="auto"/>
        <w:left w:val="none" w:sz="0" w:space="0" w:color="auto"/>
        <w:bottom w:val="none" w:sz="0" w:space="0" w:color="auto"/>
        <w:right w:val="none" w:sz="0" w:space="0" w:color="auto"/>
      </w:divBdr>
    </w:div>
    <w:div w:id="546456236">
      <w:bodyDiv w:val="1"/>
      <w:marLeft w:val="0"/>
      <w:marRight w:val="0"/>
      <w:marTop w:val="0"/>
      <w:marBottom w:val="0"/>
      <w:divBdr>
        <w:top w:val="none" w:sz="0" w:space="0" w:color="auto"/>
        <w:left w:val="none" w:sz="0" w:space="0" w:color="auto"/>
        <w:bottom w:val="none" w:sz="0" w:space="0" w:color="auto"/>
        <w:right w:val="none" w:sz="0" w:space="0" w:color="auto"/>
      </w:divBdr>
      <w:divsChild>
        <w:div w:id="205529890">
          <w:marLeft w:val="0"/>
          <w:marRight w:val="0"/>
          <w:marTop w:val="0"/>
          <w:marBottom w:val="0"/>
          <w:divBdr>
            <w:top w:val="none" w:sz="0" w:space="0" w:color="auto"/>
            <w:left w:val="none" w:sz="0" w:space="0" w:color="auto"/>
            <w:bottom w:val="none" w:sz="0" w:space="0" w:color="auto"/>
            <w:right w:val="none" w:sz="0" w:space="0" w:color="auto"/>
          </w:divBdr>
        </w:div>
        <w:div w:id="211969855">
          <w:marLeft w:val="0"/>
          <w:marRight w:val="0"/>
          <w:marTop w:val="0"/>
          <w:marBottom w:val="0"/>
          <w:divBdr>
            <w:top w:val="none" w:sz="0" w:space="0" w:color="auto"/>
            <w:left w:val="none" w:sz="0" w:space="0" w:color="auto"/>
            <w:bottom w:val="none" w:sz="0" w:space="0" w:color="auto"/>
            <w:right w:val="none" w:sz="0" w:space="0" w:color="auto"/>
          </w:divBdr>
        </w:div>
        <w:div w:id="270281904">
          <w:marLeft w:val="0"/>
          <w:marRight w:val="0"/>
          <w:marTop w:val="0"/>
          <w:marBottom w:val="0"/>
          <w:divBdr>
            <w:top w:val="none" w:sz="0" w:space="0" w:color="auto"/>
            <w:left w:val="none" w:sz="0" w:space="0" w:color="auto"/>
            <w:bottom w:val="none" w:sz="0" w:space="0" w:color="auto"/>
            <w:right w:val="none" w:sz="0" w:space="0" w:color="auto"/>
          </w:divBdr>
        </w:div>
        <w:div w:id="508107461">
          <w:marLeft w:val="0"/>
          <w:marRight w:val="0"/>
          <w:marTop w:val="0"/>
          <w:marBottom w:val="0"/>
          <w:divBdr>
            <w:top w:val="none" w:sz="0" w:space="0" w:color="auto"/>
            <w:left w:val="none" w:sz="0" w:space="0" w:color="auto"/>
            <w:bottom w:val="none" w:sz="0" w:space="0" w:color="auto"/>
            <w:right w:val="none" w:sz="0" w:space="0" w:color="auto"/>
          </w:divBdr>
        </w:div>
        <w:div w:id="964769771">
          <w:marLeft w:val="0"/>
          <w:marRight w:val="0"/>
          <w:marTop w:val="0"/>
          <w:marBottom w:val="0"/>
          <w:divBdr>
            <w:top w:val="none" w:sz="0" w:space="0" w:color="auto"/>
            <w:left w:val="none" w:sz="0" w:space="0" w:color="auto"/>
            <w:bottom w:val="none" w:sz="0" w:space="0" w:color="auto"/>
            <w:right w:val="none" w:sz="0" w:space="0" w:color="auto"/>
          </w:divBdr>
        </w:div>
        <w:div w:id="1013073927">
          <w:marLeft w:val="0"/>
          <w:marRight w:val="0"/>
          <w:marTop w:val="0"/>
          <w:marBottom w:val="0"/>
          <w:divBdr>
            <w:top w:val="none" w:sz="0" w:space="0" w:color="auto"/>
            <w:left w:val="none" w:sz="0" w:space="0" w:color="auto"/>
            <w:bottom w:val="none" w:sz="0" w:space="0" w:color="auto"/>
            <w:right w:val="none" w:sz="0" w:space="0" w:color="auto"/>
          </w:divBdr>
        </w:div>
        <w:div w:id="1064110011">
          <w:marLeft w:val="0"/>
          <w:marRight w:val="0"/>
          <w:marTop w:val="0"/>
          <w:marBottom w:val="0"/>
          <w:divBdr>
            <w:top w:val="none" w:sz="0" w:space="0" w:color="auto"/>
            <w:left w:val="none" w:sz="0" w:space="0" w:color="auto"/>
            <w:bottom w:val="none" w:sz="0" w:space="0" w:color="auto"/>
            <w:right w:val="none" w:sz="0" w:space="0" w:color="auto"/>
          </w:divBdr>
        </w:div>
        <w:div w:id="1190533227">
          <w:marLeft w:val="0"/>
          <w:marRight w:val="0"/>
          <w:marTop w:val="0"/>
          <w:marBottom w:val="0"/>
          <w:divBdr>
            <w:top w:val="none" w:sz="0" w:space="0" w:color="auto"/>
            <w:left w:val="none" w:sz="0" w:space="0" w:color="auto"/>
            <w:bottom w:val="none" w:sz="0" w:space="0" w:color="auto"/>
            <w:right w:val="none" w:sz="0" w:space="0" w:color="auto"/>
          </w:divBdr>
        </w:div>
        <w:div w:id="1300109372">
          <w:marLeft w:val="0"/>
          <w:marRight w:val="0"/>
          <w:marTop w:val="0"/>
          <w:marBottom w:val="0"/>
          <w:divBdr>
            <w:top w:val="none" w:sz="0" w:space="0" w:color="auto"/>
            <w:left w:val="none" w:sz="0" w:space="0" w:color="auto"/>
            <w:bottom w:val="none" w:sz="0" w:space="0" w:color="auto"/>
            <w:right w:val="none" w:sz="0" w:space="0" w:color="auto"/>
          </w:divBdr>
        </w:div>
        <w:div w:id="1453092141">
          <w:marLeft w:val="0"/>
          <w:marRight w:val="0"/>
          <w:marTop w:val="0"/>
          <w:marBottom w:val="0"/>
          <w:divBdr>
            <w:top w:val="none" w:sz="0" w:space="0" w:color="auto"/>
            <w:left w:val="none" w:sz="0" w:space="0" w:color="auto"/>
            <w:bottom w:val="none" w:sz="0" w:space="0" w:color="auto"/>
            <w:right w:val="none" w:sz="0" w:space="0" w:color="auto"/>
          </w:divBdr>
        </w:div>
        <w:div w:id="1597977594">
          <w:marLeft w:val="0"/>
          <w:marRight w:val="0"/>
          <w:marTop w:val="0"/>
          <w:marBottom w:val="0"/>
          <w:divBdr>
            <w:top w:val="none" w:sz="0" w:space="0" w:color="auto"/>
            <w:left w:val="none" w:sz="0" w:space="0" w:color="auto"/>
            <w:bottom w:val="none" w:sz="0" w:space="0" w:color="auto"/>
            <w:right w:val="none" w:sz="0" w:space="0" w:color="auto"/>
          </w:divBdr>
        </w:div>
        <w:div w:id="1775513888">
          <w:marLeft w:val="0"/>
          <w:marRight w:val="0"/>
          <w:marTop w:val="0"/>
          <w:marBottom w:val="0"/>
          <w:divBdr>
            <w:top w:val="none" w:sz="0" w:space="0" w:color="auto"/>
            <w:left w:val="none" w:sz="0" w:space="0" w:color="auto"/>
            <w:bottom w:val="none" w:sz="0" w:space="0" w:color="auto"/>
            <w:right w:val="none" w:sz="0" w:space="0" w:color="auto"/>
          </w:divBdr>
        </w:div>
        <w:div w:id="1940483475">
          <w:marLeft w:val="0"/>
          <w:marRight w:val="0"/>
          <w:marTop w:val="0"/>
          <w:marBottom w:val="0"/>
          <w:divBdr>
            <w:top w:val="none" w:sz="0" w:space="0" w:color="auto"/>
            <w:left w:val="none" w:sz="0" w:space="0" w:color="auto"/>
            <w:bottom w:val="none" w:sz="0" w:space="0" w:color="auto"/>
            <w:right w:val="none" w:sz="0" w:space="0" w:color="auto"/>
          </w:divBdr>
        </w:div>
        <w:div w:id="1973631158">
          <w:marLeft w:val="0"/>
          <w:marRight w:val="0"/>
          <w:marTop w:val="0"/>
          <w:marBottom w:val="0"/>
          <w:divBdr>
            <w:top w:val="none" w:sz="0" w:space="0" w:color="auto"/>
            <w:left w:val="none" w:sz="0" w:space="0" w:color="auto"/>
            <w:bottom w:val="none" w:sz="0" w:space="0" w:color="auto"/>
            <w:right w:val="none" w:sz="0" w:space="0" w:color="auto"/>
          </w:divBdr>
        </w:div>
        <w:div w:id="2022396024">
          <w:marLeft w:val="0"/>
          <w:marRight w:val="0"/>
          <w:marTop w:val="0"/>
          <w:marBottom w:val="0"/>
          <w:divBdr>
            <w:top w:val="none" w:sz="0" w:space="0" w:color="auto"/>
            <w:left w:val="none" w:sz="0" w:space="0" w:color="auto"/>
            <w:bottom w:val="none" w:sz="0" w:space="0" w:color="auto"/>
            <w:right w:val="none" w:sz="0" w:space="0" w:color="auto"/>
          </w:divBdr>
        </w:div>
      </w:divsChild>
    </w:div>
    <w:div w:id="589004283">
      <w:bodyDiv w:val="1"/>
      <w:marLeft w:val="0"/>
      <w:marRight w:val="0"/>
      <w:marTop w:val="0"/>
      <w:marBottom w:val="0"/>
      <w:divBdr>
        <w:top w:val="none" w:sz="0" w:space="0" w:color="auto"/>
        <w:left w:val="none" w:sz="0" w:space="0" w:color="auto"/>
        <w:bottom w:val="none" w:sz="0" w:space="0" w:color="auto"/>
        <w:right w:val="none" w:sz="0" w:space="0" w:color="auto"/>
      </w:divBdr>
      <w:divsChild>
        <w:div w:id="1442069806">
          <w:marLeft w:val="0"/>
          <w:marRight w:val="0"/>
          <w:marTop w:val="0"/>
          <w:marBottom w:val="0"/>
          <w:divBdr>
            <w:top w:val="none" w:sz="0" w:space="0" w:color="auto"/>
            <w:left w:val="none" w:sz="0" w:space="0" w:color="auto"/>
            <w:bottom w:val="none" w:sz="0" w:space="0" w:color="auto"/>
            <w:right w:val="none" w:sz="0" w:space="0" w:color="auto"/>
          </w:divBdr>
          <w:divsChild>
            <w:div w:id="5251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3059">
      <w:bodyDiv w:val="1"/>
      <w:marLeft w:val="0"/>
      <w:marRight w:val="0"/>
      <w:marTop w:val="0"/>
      <w:marBottom w:val="0"/>
      <w:divBdr>
        <w:top w:val="none" w:sz="0" w:space="0" w:color="auto"/>
        <w:left w:val="none" w:sz="0" w:space="0" w:color="auto"/>
        <w:bottom w:val="none" w:sz="0" w:space="0" w:color="auto"/>
        <w:right w:val="none" w:sz="0" w:space="0" w:color="auto"/>
      </w:divBdr>
    </w:div>
    <w:div w:id="798377280">
      <w:bodyDiv w:val="1"/>
      <w:marLeft w:val="0"/>
      <w:marRight w:val="0"/>
      <w:marTop w:val="0"/>
      <w:marBottom w:val="0"/>
      <w:divBdr>
        <w:top w:val="none" w:sz="0" w:space="0" w:color="auto"/>
        <w:left w:val="none" w:sz="0" w:space="0" w:color="auto"/>
        <w:bottom w:val="none" w:sz="0" w:space="0" w:color="auto"/>
        <w:right w:val="none" w:sz="0" w:space="0" w:color="auto"/>
      </w:divBdr>
    </w:div>
    <w:div w:id="864441748">
      <w:bodyDiv w:val="1"/>
      <w:marLeft w:val="0"/>
      <w:marRight w:val="0"/>
      <w:marTop w:val="0"/>
      <w:marBottom w:val="0"/>
      <w:divBdr>
        <w:top w:val="none" w:sz="0" w:space="0" w:color="auto"/>
        <w:left w:val="none" w:sz="0" w:space="0" w:color="auto"/>
        <w:bottom w:val="none" w:sz="0" w:space="0" w:color="auto"/>
        <w:right w:val="none" w:sz="0" w:space="0" w:color="auto"/>
      </w:divBdr>
      <w:divsChild>
        <w:div w:id="670454618">
          <w:marLeft w:val="0"/>
          <w:marRight w:val="0"/>
          <w:marTop w:val="0"/>
          <w:marBottom w:val="0"/>
          <w:divBdr>
            <w:top w:val="none" w:sz="0" w:space="0" w:color="auto"/>
            <w:left w:val="none" w:sz="0" w:space="0" w:color="auto"/>
            <w:bottom w:val="none" w:sz="0" w:space="0" w:color="auto"/>
            <w:right w:val="none" w:sz="0" w:space="0" w:color="auto"/>
          </w:divBdr>
        </w:div>
        <w:div w:id="2081171576">
          <w:marLeft w:val="0"/>
          <w:marRight w:val="0"/>
          <w:marTop w:val="0"/>
          <w:marBottom w:val="0"/>
          <w:divBdr>
            <w:top w:val="none" w:sz="0" w:space="0" w:color="auto"/>
            <w:left w:val="none" w:sz="0" w:space="0" w:color="auto"/>
            <w:bottom w:val="none" w:sz="0" w:space="0" w:color="auto"/>
            <w:right w:val="none" w:sz="0" w:space="0" w:color="auto"/>
          </w:divBdr>
        </w:div>
      </w:divsChild>
    </w:div>
    <w:div w:id="877858648">
      <w:bodyDiv w:val="1"/>
      <w:marLeft w:val="0"/>
      <w:marRight w:val="0"/>
      <w:marTop w:val="0"/>
      <w:marBottom w:val="0"/>
      <w:divBdr>
        <w:top w:val="none" w:sz="0" w:space="0" w:color="auto"/>
        <w:left w:val="none" w:sz="0" w:space="0" w:color="auto"/>
        <w:bottom w:val="none" w:sz="0" w:space="0" w:color="auto"/>
        <w:right w:val="none" w:sz="0" w:space="0" w:color="auto"/>
      </w:divBdr>
      <w:divsChild>
        <w:div w:id="448672649">
          <w:marLeft w:val="0"/>
          <w:marRight w:val="0"/>
          <w:marTop w:val="0"/>
          <w:marBottom w:val="0"/>
          <w:divBdr>
            <w:top w:val="none" w:sz="0" w:space="0" w:color="auto"/>
            <w:left w:val="none" w:sz="0" w:space="0" w:color="auto"/>
            <w:bottom w:val="none" w:sz="0" w:space="0" w:color="auto"/>
            <w:right w:val="none" w:sz="0" w:space="0" w:color="auto"/>
          </w:divBdr>
        </w:div>
        <w:div w:id="935744579">
          <w:marLeft w:val="0"/>
          <w:marRight w:val="0"/>
          <w:marTop w:val="0"/>
          <w:marBottom w:val="0"/>
          <w:divBdr>
            <w:top w:val="none" w:sz="0" w:space="0" w:color="auto"/>
            <w:left w:val="none" w:sz="0" w:space="0" w:color="auto"/>
            <w:bottom w:val="none" w:sz="0" w:space="0" w:color="auto"/>
            <w:right w:val="none" w:sz="0" w:space="0" w:color="auto"/>
          </w:divBdr>
        </w:div>
        <w:div w:id="1833062683">
          <w:marLeft w:val="0"/>
          <w:marRight w:val="0"/>
          <w:marTop w:val="0"/>
          <w:marBottom w:val="0"/>
          <w:divBdr>
            <w:top w:val="none" w:sz="0" w:space="0" w:color="auto"/>
            <w:left w:val="none" w:sz="0" w:space="0" w:color="auto"/>
            <w:bottom w:val="none" w:sz="0" w:space="0" w:color="auto"/>
            <w:right w:val="none" w:sz="0" w:space="0" w:color="auto"/>
          </w:divBdr>
        </w:div>
      </w:divsChild>
    </w:div>
    <w:div w:id="889725375">
      <w:bodyDiv w:val="1"/>
      <w:marLeft w:val="0"/>
      <w:marRight w:val="0"/>
      <w:marTop w:val="0"/>
      <w:marBottom w:val="0"/>
      <w:divBdr>
        <w:top w:val="none" w:sz="0" w:space="0" w:color="auto"/>
        <w:left w:val="none" w:sz="0" w:space="0" w:color="auto"/>
        <w:bottom w:val="none" w:sz="0" w:space="0" w:color="auto"/>
        <w:right w:val="none" w:sz="0" w:space="0" w:color="auto"/>
      </w:divBdr>
      <w:divsChild>
        <w:div w:id="1479759204">
          <w:marLeft w:val="0"/>
          <w:marRight w:val="0"/>
          <w:marTop w:val="0"/>
          <w:marBottom w:val="0"/>
          <w:divBdr>
            <w:top w:val="none" w:sz="0" w:space="0" w:color="auto"/>
            <w:left w:val="none" w:sz="0" w:space="0" w:color="auto"/>
            <w:bottom w:val="none" w:sz="0" w:space="0" w:color="auto"/>
            <w:right w:val="none" w:sz="0" w:space="0" w:color="auto"/>
          </w:divBdr>
        </w:div>
        <w:div w:id="1855000285">
          <w:marLeft w:val="0"/>
          <w:marRight w:val="0"/>
          <w:marTop w:val="0"/>
          <w:marBottom w:val="0"/>
          <w:divBdr>
            <w:top w:val="none" w:sz="0" w:space="0" w:color="auto"/>
            <w:left w:val="none" w:sz="0" w:space="0" w:color="auto"/>
            <w:bottom w:val="none" w:sz="0" w:space="0" w:color="auto"/>
            <w:right w:val="none" w:sz="0" w:space="0" w:color="auto"/>
          </w:divBdr>
        </w:div>
        <w:div w:id="1991056215">
          <w:marLeft w:val="0"/>
          <w:marRight w:val="0"/>
          <w:marTop w:val="0"/>
          <w:marBottom w:val="0"/>
          <w:divBdr>
            <w:top w:val="none" w:sz="0" w:space="0" w:color="auto"/>
            <w:left w:val="none" w:sz="0" w:space="0" w:color="auto"/>
            <w:bottom w:val="none" w:sz="0" w:space="0" w:color="auto"/>
            <w:right w:val="none" w:sz="0" w:space="0" w:color="auto"/>
          </w:divBdr>
        </w:div>
      </w:divsChild>
    </w:div>
    <w:div w:id="923533443">
      <w:bodyDiv w:val="1"/>
      <w:marLeft w:val="0"/>
      <w:marRight w:val="0"/>
      <w:marTop w:val="0"/>
      <w:marBottom w:val="0"/>
      <w:divBdr>
        <w:top w:val="none" w:sz="0" w:space="0" w:color="auto"/>
        <w:left w:val="none" w:sz="0" w:space="0" w:color="auto"/>
        <w:bottom w:val="none" w:sz="0" w:space="0" w:color="auto"/>
        <w:right w:val="none" w:sz="0" w:space="0" w:color="auto"/>
      </w:divBdr>
      <w:divsChild>
        <w:div w:id="961230543">
          <w:marLeft w:val="0"/>
          <w:marRight w:val="0"/>
          <w:marTop w:val="0"/>
          <w:marBottom w:val="0"/>
          <w:divBdr>
            <w:top w:val="none" w:sz="0" w:space="0" w:color="auto"/>
            <w:left w:val="none" w:sz="0" w:space="0" w:color="auto"/>
            <w:bottom w:val="none" w:sz="0" w:space="0" w:color="auto"/>
            <w:right w:val="none" w:sz="0" w:space="0" w:color="auto"/>
          </w:divBdr>
          <w:divsChild>
            <w:div w:id="808395934">
              <w:marLeft w:val="0"/>
              <w:marRight w:val="0"/>
              <w:marTop w:val="0"/>
              <w:marBottom w:val="0"/>
              <w:divBdr>
                <w:top w:val="none" w:sz="0" w:space="0" w:color="auto"/>
                <w:left w:val="none" w:sz="0" w:space="0" w:color="auto"/>
                <w:bottom w:val="none" w:sz="0" w:space="0" w:color="auto"/>
                <w:right w:val="none" w:sz="0" w:space="0" w:color="auto"/>
              </w:divBdr>
            </w:div>
            <w:div w:id="17158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0660">
      <w:bodyDiv w:val="1"/>
      <w:marLeft w:val="0"/>
      <w:marRight w:val="0"/>
      <w:marTop w:val="0"/>
      <w:marBottom w:val="0"/>
      <w:divBdr>
        <w:top w:val="none" w:sz="0" w:space="0" w:color="auto"/>
        <w:left w:val="none" w:sz="0" w:space="0" w:color="auto"/>
        <w:bottom w:val="none" w:sz="0" w:space="0" w:color="auto"/>
        <w:right w:val="none" w:sz="0" w:space="0" w:color="auto"/>
      </w:divBdr>
      <w:divsChild>
        <w:div w:id="1822843589">
          <w:marLeft w:val="0"/>
          <w:marRight w:val="0"/>
          <w:marTop w:val="0"/>
          <w:marBottom w:val="0"/>
          <w:divBdr>
            <w:top w:val="none" w:sz="0" w:space="0" w:color="auto"/>
            <w:left w:val="none" w:sz="0" w:space="0" w:color="auto"/>
            <w:bottom w:val="none" w:sz="0" w:space="0" w:color="auto"/>
            <w:right w:val="none" w:sz="0" w:space="0" w:color="auto"/>
          </w:divBdr>
        </w:div>
      </w:divsChild>
    </w:div>
    <w:div w:id="1096025337">
      <w:bodyDiv w:val="1"/>
      <w:marLeft w:val="0"/>
      <w:marRight w:val="0"/>
      <w:marTop w:val="0"/>
      <w:marBottom w:val="0"/>
      <w:divBdr>
        <w:top w:val="none" w:sz="0" w:space="0" w:color="auto"/>
        <w:left w:val="none" w:sz="0" w:space="0" w:color="auto"/>
        <w:bottom w:val="none" w:sz="0" w:space="0" w:color="auto"/>
        <w:right w:val="none" w:sz="0" w:space="0" w:color="auto"/>
      </w:divBdr>
    </w:div>
    <w:div w:id="1109471988">
      <w:bodyDiv w:val="1"/>
      <w:marLeft w:val="0"/>
      <w:marRight w:val="0"/>
      <w:marTop w:val="0"/>
      <w:marBottom w:val="0"/>
      <w:divBdr>
        <w:top w:val="none" w:sz="0" w:space="0" w:color="auto"/>
        <w:left w:val="none" w:sz="0" w:space="0" w:color="auto"/>
        <w:bottom w:val="none" w:sz="0" w:space="0" w:color="auto"/>
        <w:right w:val="none" w:sz="0" w:space="0" w:color="auto"/>
      </w:divBdr>
      <w:divsChild>
        <w:div w:id="7295831">
          <w:marLeft w:val="0"/>
          <w:marRight w:val="0"/>
          <w:marTop w:val="0"/>
          <w:marBottom w:val="0"/>
          <w:divBdr>
            <w:top w:val="none" w:sz="0" w:space="0" w:color="auto"/>
            <w:left w:val="none" w:sz="0" w:space="0" w:color="auto"/>
            <w:bottom w:val="none" w:sz="0" w:space="0" w:color="auto"/>
            <w:right w:val="none" w:sz="0" w:space="0" w:color="auto"/>
          </w:divBdr>
          <w:divsChild>
            <w:div w:id="101999618">
              <w:marLeft w:val="0"/>
              <w:marRight w:val="0"/>
              <w:marTop w:val="0"/>
              <w:marBottom w:val="0"/>
              <w:divBdr>
                <w:top w:val="none" w:sz="0" w:space="0" w:color="auto"/>
                <w:left w:val="none" w:sz="0" w:space="0" w:color="auto"/>
                <w:bottom w:val="none" w:sz="0" w:space="0" w:color="auto"/>
                <w:right w:val="none" w:sz="0" w:space="0" w:color="auto"/>
              </w:divBdr>
            </w:div>
            <w:div w:id="166481280">
              <w:marLeft w:val="0"/>
              <w:marRight w:val="0"/>
              <w:marTop w:val="0"/>
              <w:marBottom w:val="0"/>
              <w:divBdr>
                <w:top w:val="none" w:sz="0" w:space="0" w:color="auto"/>
                <w:left w:val="none" w:sz="0" w:space="0" w:color="auto"/>
                <w:bottom w:val="none" w:sz="0" w:space="0" w:color="auto"/>
                <w:right w:val="none" w:sz="0" w:space="0" w:color="auto"/>
              </w:divBdr>
            </w:div>
            <w:div w:id="254168338">
              <w:marLeft w:val="0"/>
              <w:marRight w:val="0"/>
              <w:marTop w:val="0"/>
              <w:marBottom w:val="0"/>
              <w:divBdr>
                <w:top w:val="none" w:sz="0" w:space="0" w:color="auto"/>
                <w:left w:val="none" w:sz="0" w:space="0" w:color="auto"/>
                <w:bottom w:val="none" w:sz="0" w:space="0" w:color="auto"/>
                <w:right w:val="none" w:sz="0" w:space="0" w:color="auto"/>
              </w:divBdr>
            </w:div>
            <w:div w:id="263534433">
              <w:marLeft w:val="0"/>
              <w:marRight w:val="0"/>
              <w:marTop w:val="0"/>
              <w:marBottom w:val="0"/>
              <w:divBdr>
                <w:top w:val="none" w:sz="0" w:space="0" w:color="auto"/>
                <w:left w:val="none" w:sz="0" w:space="0" w:color="auto"/>
                <w:bottom w:val="none" w:sz="0" w:space="0" w:color="auto"/>
                <w:right w:val="none" w:sz="0" w:space="0" w:color="auto"/>
              </w:divBdr>
            </w:div>
            <w:div w:id="456073480">
              <w:marLeft w:val="0"/>
              <w:marRight w:val="0"/>
              <w:marTop w:val="0"/>
              <w:marBottom w:val="0"/>
              <w:divBdr>
                <w:top w:val="none" w:sz="0" w:space="0" w:color="auto"/>
                <w:left w:val="none" w:sz="0" w:space="0" w:color="auto"/>
                <w:bottom w:val="none" w:sz="0" w:space="0" w:color="auto"/>
                <w:right w:val="none" w:sz="0" w:space="0" w:color="auto"/>
              </w:divBdr>
            </w:div>
            <w:div w:id="477846502">
              <w:marLeft w:val="0"/>
              <w:marRight w:val="0"/>
              <w:marTop w:val="0"/>
              <w:marBottom w:val="0"/>
              <w:divBdr>
                <w:top w:val="none" w:sz="0" w:space="0" w:color="auto"/>
                <w:left w:val="none" w:sz="0" w:space="0" w:color="auto"/>
                <w:bottom w:val="none" w:sz="0" w:space="0" w:color="auto"/>
                <w:right w:val="none" w:sz="0" w:space="0" w:color="auto"/>
              </w:divBdr>
            </w:div>
            <w:div w:id="560988647">
              <w:marLeft w:val="0"/>
              <w:marRight w:val="0"/>
              <w:marTop w:val="0"/>
              <w:marBottom w:val="0"/>
              <w:divBdr>
                <w:top w:val="none" w:sz="0" w:space="0" w:color="auto"/>
                <w:left w:val="none" w:sz="0" w:space="0" w:color="auto"/>
                <w:bottom w:val="none" w:sz="0" w:space="0" w:color="auto"/>
                <w:right w:val="none" w:sz="0" w:space="0" w:color="auto"/>
              </w:divBdr>
            </w:div>
            <w:div w:id="602807425">
              <w:marLeft w:val="0"/>
              <w:marRight w:val="0"/>
              <w:marTop w:val="0"/>
              <w:marBottom w:val="0"/>
              <w:divBdr>
                <w:top w:val="none" w:sz="0" w:space="0" w:color="auto"/>
                <w:left w:val="none" w:sz="0" w:space="0" w:color="auto"/>
                <w:bottom w:val="none" w:sz="0" w:space="0" w:color="auto"/>
                <w:right w:val="none" w:sz="0" w:space="0" w:color="auto"/>
              </w:divBdr>
            </w:div>
            <w:div w:id="676690344">
              <w:marLeft w:val="0"/>
              <w:marRight w:val="0"/>
              <w:marTop w:val="0"/>
              <w:marBottom w:val="0"/>
              <w:divBdr>
                <w:top w:val="none" w:sz="0" w:space="0" w:color="auto"/>
                <w:left w:val="none" w:sz="0" w:space="0" w:color="auto"/>
                <w:bottom w:val="none" w:sz="0" w:space="0" w:color="auto"/>
                <w:right w:val="none" w:sz="0" w:space="0" w:color="auto"/>
              </w:divBdr>
            </w:div>
            <w:div w:id="694767824">
              <w:marLeft w:val="0"/>
              <w:marRight w:val="0"/>
              <w:marTop w:val="0"/>
              <w:marBottom w:val="0"/>
              <w:divBdr>
                <w:top w:val="none" w:sz="0" w:space="0" w:color="auto"/>
                <w:left w:val="none" w:sz="0" w:space="0" w:color="auto"/>
                <w:bottom w:val="none" w:sz="0" w:space="0" w:color="auto"/>
                <w:right w:val="none" w:sz="0" w:space="0" w:color="auto"/>
              </w:divBdr>
            </w:div>
            <w:div w:id="960767493">
              <w:marLeft w:val="0"/>
              <w:marRight w:val="0"/>
              <w:marTop w:val="0"/>
              <w:marBottom w:val="0"/>
              <w:divBdr>
                <w:top w:val="none" w:sz="0" w:space="0" w:color="auto"/>
                <w:left w:val="none" w:sz="0" w:space="0" w:color="auto"/>
                <w:bottom w:val="none" w:sz="0" w:space="0" w:color="auto"/>
                <w:right w:val="none" w:sz="0" w:space="0" w:color="auto"/>
              </w:divBdr>
            </w:div>
            <w:div w:id="988052714">
              <w:marLeft w:val="0"/>
              <w:marRight w:val="0"/>
              <w:marTop w:val="0"/>
              <w:marBottom w:val="0"/>
              <w:divBdr>
                <w:top w:val="none" w:sz="0" w:space="0" w:color="auto"/>
                <w:left w:val="none" w:sz="0" w:space="0" w:color="auto"/>
                <w:bottom w:val="none" w:sz="0" w:space="0" w:color="auto"/>
                <w:right w:val="none" w:sz="0" w:space="0" w:color="auto"/>
              </w:divBdr>
            </w:div>
            <w:div w:id="1100565272">
              <w:marLeft w:val="0"/>
              <w:marRight w:val="0"/>
              <w:marTop w:val="0"/>
              <w:marBottom w:val="0"/>
              <w:divBdr>
                <w:top w:val="none" w:sz="0" w:space="0" w:color="auto"/>
                <w:left w:val="none" w:sz="0" w:space="0" w:color="auto"/>
                <w:bottom w:val="none" w:sz="0" w:space="0" w:color="auto"/>
                <w:right w:val="none" w:sz="0" w:space="0" w:color="auto"/>
              </w:divBdr>
            </w:div>
            <w:div w:id="1467040442">
              <w:marLeft w:val="0"/>
              <w:marRight w:val="0"/>
              <w:marTop w:val="0"/>
              <w:marBottom w:val="0"/>
              <w:divBdr>
                <w:top w:val="none" w:sz="0" w:space="0" w:color="auto"/>
                <w:left w:val="none" w:sz="0" w:space="0" w:color="auto"/>
                <w:bottom w:val="none" w:sz="0" w:space="0" w:color="auto"/>
                <w:right w:val="none" w:sz="0" w:space="0" w:color="auto"/>
              </w:divBdr>
            </w:div>
            <w:div w:id="1525901190">
              <w:marLeft w:val="0"/>
              <w:marRight w:val="0"/>
              <w:marTop w:val="0"/>
              <w:marBottom w:val="0"/>
              <w:divBdr>
                <w:top w:val="none" w:sz="0" w:space="0" w:color="auto"/>
                <w:left w:val="none" w:sz="0" w:space="0" w:color="auto"/>
                <w:bottom w:val="none" w:sz="0" w:space="0" w:color="auto"/>
                <w:right w:val="none" w:sz="0" w:space="0" w:color="auto"/>
              </w:divBdr>
            </w:div>
            <w:div w:id="1828278702">
              <w:marLeft w:val="0"/>
              <w:marRight w:val="0"/>
              <w:marTop w:val="0"/>
              <w:marBottom w:val="0"/>
              <w:divBdr>
                <w:top w:val="none" w:sz="0" w:space="0" w:color="auto"/>
                <w:left w:val="none" w:sz="0" w:space="0" w:color="auto"/>
                <w:bottom w:val="none" w:sz="0" w:space="0" w:color="auto"/>
                <w:right w:val="none" w:sz="0" w:space="0" w:color="auto"/>
              </w:divBdr>
            </w:div>
            <w:div w:id="1952664492">
              <w:marLeft w:val="0"/>
              <w:marRight w:val="0"/>
              <w:marTop w:val="0"/>
              <w:marBottom w:val="0"/>
              <w:divBdr>
                <w:top w:val="none" w:sz="0" w:space="0" w:color="auto"/>
                <w:left w:val="none" w:sz="0" w:space="0" w:color="auto"/>
                <w:bottom w:val="none" w:sz="0" w:space="0" w:color="auto"/>
                <w:right w:val="none" w:sz="0" w:space="0" w:color="auto"/>
              </w:divBdr>
            </w:div>
            <w:div w:id="21284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1281">
      <w:bodyDiv w:val="1"/>
      <w:marLeft w:val="0"/>
      <w:marRight w:val="0"/>
      <w:marTop w:val="0"/>
      <w:marBottom w:val="0"/>
      <w:divBdr>
        <w:top w:val="none" w:sz="0" w:space="0" w:color="auto"/>
        <w:left w:val="none" w:sz="0" w:space="0" w:color="auto"/>
        <w:bottom w:val="none" w:sz="0" w:space="0" w:color="auto"/>
        <w:right w:val="none" w:sz="0" w:space="0" w:color="auto"/>
      </w:divBdr>
    </w:div>
    <w:div w:id="1128471030">
      <w:bodyDiv w:val="1"/>
      <w:marLeft w:val="0"/>
      <w:marRight w:val="0"/>
      <w:marTop w:val="0"/>
      <w:marBottom w:val="0"/>
      <w:divBdr>
        <w:top w:val="none" w:sz="0" w:space="0" w:color="auto"/>
        <w:left w:val="none" w:sz="0" w:space="0" w:color="auto"/>
        <w:bottom w:val="none" w:sz="0" w:space="0" w:color="auto"/>
        <w:right w:val="none" w:sz="0" w:space="0" w:color="auto"/>
      </w:divBdr>
      <w:divsChild>
        <w:div w:id="1146582086">
          <w:marLeft w:val="0"/>
          <w:marRight w:val="0"/>
          <w:marTop w:val="0"/>
          <w:marBottom w:val="0"/>
          <w:divBdr>
            <w:top w:val="none" w:sz="0" w:space="0" w:color="auto"/>
            <w:left w:val="none" w:sz="0" w:space="0" w:color="auto"/>
            <w:bottom w:val="none" w:sz="0" w:space="0" w:color="auto"/>
            <w:right w:val="none" w:sz="0" w:space="0" w:color="auto"/>
          </w:divBdr>
        </w:div>
      </w:divsChild>
    </w:div>
    <w:div w:id="1154252234">
      <w:bodyDiv w:val="1"/>
      <w:marLeft w:val="0"/>
      <w:marRight w:val="0"/>
      <w:marTop w:val="0"/>
      <w:marBottom w:val="0"/>
      <w:divBdr>
        <w:top w:val="none" w:sz="0" w:space="0" w:color="auto"/>
        <w:left w:val="none" w:sz="0" w:space="0" w:color="auto"/>
        <w:bottom w:val="none" w:sz="0" w:space="0" w:color="auto"/>
        <w:right w:val="none" w:sz="0" w:space="0" w:color="auto"/>
      </w:divBdr>
    </w:div>
    <w:div w:id="1237668367">
      <w:bodyDiv w:val="1"/>
      <w:marLeft w:val="0"/>
      <w:marRight w:val="0"/>
      <w:marTop w:val="0"/>
      <w:marBottom w:val="0"/>
      <w:divBdr>
        <w:top w:val="none" w:sz="0" w:space="0" w:color="auto"/>
        <w:left w:val="none" w:sz="0" w:space="0" w:color="auto"/>
        <w:bottom w:val="none" w:sz="0" w:space="0" w:color="auto"/>
        <w:right w:val="none" w:sz="0" w:space="0" w:color="auto"/>
      </w:divBdr>
      <w:divsChild>
        <w:div w:id="16464824">
          <w:marLeft w:val="0"/>
          <w:marRight w:val="0"/>
          <w:marTop w:val="0"/>
          <w:marBottom w:val="0"/>
          <w:divBdr>
            <w:top w:val="none" w:sz="0" w:space="0" w:color="auto"/>
            <w:left w:val="none" w:sz="0" w:space="0" w:color="auto"/>
            <w:bottom w:val="none" w:sz="0" w:space="0" w:color="auto"/>
            <w:right w:val="none" w:sz="0" w:space="0" w:color="auto"/>
          </w:divBdr>
        </w:div>
        <w:div w:id="480780098">
          <w:marLeft w:val="0"/>
          <w:marRight w:val="0"/>
          <w:marTop w:val="0"/>
          <w:marBottom w:val="0"/>
          <w:divBdr>
            <w:top w:val="none" w:sz="0" w:space="0" w:color="auto"/>
            <w:left w:val="none" w:sz="0" w:space="0" w:color="auto"/>
            <w:bottom w:val="none" w:sz="0" w:space="0" w:color="auto"/>
            <w:right w:val="none" w:sz="0" w:space="0" w:color="auto"/>
          </w:divBdr>
        </w:div>
        <w:div w:id="1095827618">
          <w:marLeft w:val="0"/>
          <w:marRight w:val="0"/>
          <w:marTop w:val="0"/>
          <w:marBottom w:val="0"/>
          <w:divBdr>
            <w:top w:val="none" w:sz="0" w:space="0" w:color="auto"/>
            <w:left w:val="none" w:sz="0" w:space="0" w:color="auto"/>
            <w:bottom w:val="none" w:sz="0" w:space="0" w:color="auto"/>
            <w:right w:val="none" w:sz="0" w:space="0" w:color="auto"/>
          </w:divBdr>
        </w:div>
        <w:div w:id="1286815681">
          <w:marLeft w:val="0"/>
          <w:marRight w:val="0"/>
          <w:marTop w:val="0"/>
          <w:marBottom w:val="0"/>
          <w:divBdr>
            <w:top w:val="none" w:sz="0" w:space="0" w:color="auto"/>
            <w:left w:val="none" w:sz="0" w:space="0" w:color="auto"/>
            <w:bottom w:val="none" w:sz="0" w:space="0" w:color="auto"/>
            <w:right w:val="none" w:sz="0" w:space="0" w:color="auto"/>
          </w:divBdr>
        </w:div>
        <w:div w:id="1797522441">
          <w:marLeft w:val="0"/>
          <w:marRight w:val="0"/>
          <w:marTop w:val="0"/>
          <w:marBottom w:val="0"/>
          <w:divBdr>
            <w:top w:val="none" w:sz="0" w:space="0" w:color="auto"/>
            <w:left w:val="none" w:sz="0" w:space="0" w:color="auto"/>
            <w:bottom w:val="none" w:sz="0" w:space="0" w:color="auto"/>
            <w:right w:val="none" w:sz="0" w:space="0" w:color="auto"/>
          </w:divBdr>
        </w:div>
      </w:divsChild>
    </w:div>
    <w:div w:id="1249654403">
      <w:bodyDiv w:val="1"/>
      <w:marLeft w:val="0"/>
      <w:marRight w:val="0"/>
      <w:marTop w:val="0"/>
      <w:marBottom w:val="0"/>
      <w:divBdr>
        <w:top w:val="none" w:sz="0" w:space="0" w:color="auto"/>
        <w:left w:val="none" w:sz="0" w:space="0" w:color="auto"/>
        <w:bottom w:val="none" w:sz="0" w:space="0" w:color="auto"/>
        <w:right w:val="none" w:sz="0" w:space="0" w:color="auto"/>
      </w:divBdr>
      <w:divsChild>
        <w:div w:id="422260684">
          <w:marLeft w:val="0"/>
          <w:marRight w:val="0"/>
          <w:marTop w:val="0"/>
          <w:marBottom w:val="0"/>
          <w:divBdr>
            <w:top w:val="none" w:sz="0" w:space="0" w:color="auto"/>
            <w:left w:val="none" w:sz="0" w:space="0" w:color="auto"/>
            <w:bottom w:val="none" w:sz="0" w:space="0" w:color="auto"/>
            <w:right w:val="none" w:sz="0" w:space="0" w:color="auto"/>
          </w:divBdr>
        </w:div>
        <w:div w:id="1927379093">
          <w:marLeft w:val="0"/>
          <w:marRight w:val="0"/>
          <w:marTop w:val="0"/>
          <w:marBottom w:val="0"/>
          <w:divBdr>
            <w:top w:val="none" w:sz="0" w:space="0" w:color="auto"/>
            <w:left w:val="none" w:sz="0" w:space="0" w:color="auto"/>
            <w:bottom w:val="none" w:sz="0" w:space="0" w:color="auto"/>
            <w:right w:val="none" w:sz="0" w:space="0" w:color="auto"/>
          </w:divBdr>
        </w:div>
      </w:divsChild>
    </w:div>
    <w:div w:id="1265265994">
      <w:bodyDiv w:val="1"/>
      <w:marLeft w:val="0"/>
      <w:marRight w:val="0"/>
      <w:marTop w:val="0"/>
      <w:marBottom w:val="0"/>
      <w:divBdr>
        <w:top w:val="none" w:sz="0" w:space="0" w:color="auto"/>
        <w:left w:val="none" w:sz="0" w:space="0" w:color="auto"/>
        <w:bottom w:val="none" w:sz="0" w:space="0" w:color="auto"/>
        <w:right w:val="none" w:sz="0" w:space="0" w:color="auto"/>
      </w:divBdr>
      <w:divsChild>
        <w:div w:id="26689456">
          <w:marLeft w:val="0"/>
          <w:marRight w:val="0"/>
          <w:marTop w:val="0"/>
          <w:marBottom w:val="0"/>
          <w:divBdr>
            <w:top w:val="none" w:sz="0" w:space="0" w:color="auto"/>
            <w:left w:val="none" w:sz="0" w:space="0" w:color="auto"/>
            <w:bottom w:val="none" w:sz="0" w:space="0" w:color="auto"/>
            <w:right w:val="none" w:sz="0" w:space="0" w:color="auto"/>
          </w:divBdr>
        </w:div>
        <w:div w:id="29108857">
          <w:marLeft w:val="0"/>
          <w:marRight w:val="0"/>
          <w:marTop w:val="0"/>
          <w:marBottom w:val="0"/>
          <w:divBdr>
            <w:top w:val="none" w:sz="0" w:space="0" w:color="auto"/>
            <w:left w:val="none" w:sz="0" w:space="0" w:color="auto"/>
            <w:bottom w:val="none" w:sz="0" w:space="0" w:color="auto"/>
            <w:right w:val="none" w:sz="0" w:space="0" w:color="auto"/>
          </w:divBdr>
        </w:div>
        <w:div w:id="649948491">
          <w:marLeft w:val="0"/>
          <w:marRight w:val="0"/>
          <w:marTop w:val="0"/>
          <w:marBottom w:val="0"/>
          <w:divBdr>
            <w:top w:val="none" w:sz="0" w:space="0" w:color="auto"/>
            <w:left w:val="none" w:sz="0" w:space="0" w:color="auto"/>
            <w:bottom w:val="none" w:sz="0" w:space="0" w:color="auto"/>
            <w:right w:val="none" w:sz="0" w:space="0" w:color="auto"/>
          </w:divBdr>
        </w:div>
        <w:div w:id="1625113008">
          <w:marLeft w:val="0"/>
          <w:marRight w:val="0"/>
          <w:marTop w:val="0"/>
          <w:marBottom w:val="0"/>
          <w:divBdr>
            <w:top w:val="none" w:sz="0" w:space="0" w:color="auto"/>
            <w:left w:val="none" w:sz="0" w:space="0" w:color="auto"/>
            <w:bottom w:val="none" w:sz="0" w:space="0" w:color="auto"/>
            <w:right w:val="none" w:sz="0" w:space="0" w:color="auto"/>
          </w:divBdr>
        </w:div>
        <w:div w:id="1916084728">
          <w:marLeft w:val="0"/>
          <w:marRight w:val="0"/>
          <w:marTop w:val="0"/>
          <w:marBottom w:val="0"/>
          <w:divBdr>
            <w:top w:val="none" w:sz="0" w:space="0" w:color="auto"/>
            <w:left w:val="none" w:sz="0" w:space="0" w:color="auto"/>
            <w:bottom w:val="none" w:sz="0" w:space="0" w:color="auto"/>
            <w:right w:val="none" w:sz="0" w:space="0" w:color="auto"/>
          </w:divBdr>
        </w:div>
      </w:divsChild>
    </w:div>
    <w:div w:id="1304044077">
      <w:bodyDiv w:val="1"/>
      <w:marLeft w:val="0"/>
      <w:marRight w:val="0"/>
      <w:marTop w:val="0"/>
      <w:marBottom w:val="0"/>
      <w:divBdr>
        <w:top w:val="none" w:sz="0" w:space="0" w:color="auto"/>
        <w:left w:val="none" w:sz="0" w:space="0" w:color="auto"/>
        <w:bottom w:val="none" w:sz="0" w:space="0" w:color="auto"/>
        <w:right w:val="none" w:sz="0" w:space="0" w:color="auto"/>
      </w:divBdr>
    </w:div>
    <w:div w:id="1325668469">
      <w:bodyDiv w:val="1"/>
      <w:marLeft w:val="0"/>
      <w:marRight w:val="0"/>
      <w:marTop w:val="0"/>
      <w:marBottom w:val="0"/>
      <w:divBdr>
        <w:top w:val="none" w:sz="0" w:space="0" w:color="auto"/>
        <w:left w:val="none" w:sz="0" w:space="0" w:color="auto"/>
        <w:bottom w:val="none" w:sz="0" w:space="0" w:color="auto"/>
        <w:right w:val="none" w:sz="0" w:space="0" w:color="auto"/>
      </w:divBdr>
      <w:divsChild>
        <w:div w:id="438067195">
          <w:marLeft w:val="0"/>
          <w:marRight w:val="0"/>
          <w:marTop w:val="0"/>
          <w:marBottom w:val="0"/>
          <w:divBdr>
            <w:top w:val="none" w:sz="0" w:space="0" w:color="auto"/>
            <w:left w:val="none" w:sz="0" w:space="0" w:color="auto"/>
            <w:bottom w:val="none" w:sz="0" w:space="0" w:color="auto"/>
            <w:right w:val="none" w:sz="0" w:space="0" w:color="auto"/>
          </w:divBdr>
          <w:divsChild>
            <w:div w:id="194851343">
              <w:marLeft w:val="0"/>
              <w:marRight w:val="0"/>
              <w:marTop w:val="0"/>
              <w:marBottom w:val="0"/>
              <w:divBdr>
                <w:top w:val="none" w:sz="0" w:space="0" w:color="auto"/>
                <w:left w:val="none" w:sz="0" w:space="0" w:color="auto"/>
                <w:bottom w:val="none" w:sz="0" w:space="0" w:color="auto"/>
                <w:right w:val="none" w:sz="0" w:space="0" w:color="auto"/>
              </w:divBdr>
            </w:div>
            <w:div w:id="216821315">
              <w:marLeft w:val="0"/>
              <w:marRight w:val="0"/>
              <w:marTop w:val="0"/>
              <w:marBottom w:val="0"/>
              <w:divBdr>
                <w:top w:val="none" w:sz="0" w:space="0" w:color="auto"/>
                <w:left w:val="none" w:sz="0" w:space="0" w:color="auto"/>
                <w:bottom w:val="none" w:sz="0" w:space="0" w:color="auto"/>
                <w:right w:val="none" w:sz="0" w:space="0" w:color="auto"/>
              </w:divBdr>
            </w:div>
            <w:div w:id="1650288424">
              <w:marLeft w:val="0"/>
              <w:marRight w:val="0"/>
              <w:marTop w:val="0"/>
              <w:marBottom w:val="0"/>
              <w:divBdr>
                <w:top w:val="none" w:sz="0" w:space="0" w:color="auto"/>
                <w:left w:val="none" w:sz="0" w:space="0" w:color="auto"/>
                <w:bottom w:val="none" w:sz="0" w:space="0" w:color="auto"/>
                <w:right w:val="none" w:sz="0" w:space="0" w:color="auto"/>
              </w:divBdr>
            </w:div>
            <w:div w:id="20899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8872">
      <w:bodyDiv w:val="1"/>
      <w:marLeft w:val="0"/>
      <w:marRight w:val="0"/>
      <w:marTop w:val="0"/>
      <w:marBottom w:val="0"/>
      <w:divBdr>
        <w:top w:val="none" w:sz="0" w:space="0" w:color="auto"/>
        <w:left w:val="none" w:sz="0" w:space="0" w:color="auto"/>
        <w:bottom w:val="none" w:sz="0" w:space="0" w:color="auto"/>
        <w:right w:val="none" w:sz="0" w:space="0" w:color="auto"/>
      </w:divBdr>
    </w:div>
    <w:div w:id="1345742117">
      <w:bodyDiv w:val="1"/>
      <w:marLeft w:val="0"/>
      <w:marRight w:val="0"/>
      <w:marTop w:val="0"/>
      <w:marBottom w:val="0"/>
      <w:divBdr>
        <w:top w:val="none" w:sz="0" w:space="0" w:color="auto"/>
        <w:left w:val="none" w:sz="0" w:space="0" w:color="auto"/>
        <w:bottom w:val="none" w:sz="0" w:space="0" w:color="auto"/>
        <w:right w:val="none" w:sz="0" w:space="0" w:color="auto"/>
      </w:divBdr>
      <w:divsChild>
        <w:div w:id="90705047">
          <w:marLeft w:val="0"/>
          <w:marRight w:val="0"/>
          <w:marTop w:val="0"/>
          <w:marBottom w:val="0"/>
          <w:divBdr>
            <w:top w:val="none" w:sz="0" w:space="0" w:color="auto"/>
            <w:left w:val="none" w:sz="0" w:space="0" w:color="auto"/>
            <w:bottom w:val="none" w:sz="0" w:space="0" w:color="auto"/>
            <w:right w:val="none" w:sz="0" w:space="0" w:color="auto"/>
          </w:divBdr>
        </w:div>
        <w:div w:id="211383761">
          <w:marLeft w:val="0"/>
          <w:marRight w:val="0"/>
          <w:marTop w:val="0"/>
          <w:marBottom w:val="0"/>
          <w:divBdr>
            <w:top w:val="none" w:sz="0" w:space="0" w:color="auto"/>
            <w:left w:val="none" w:sz="0" w:space="0" w:color="auto"/>
            <w:bottom w:val="none" w:sz="0" w:space="0" w:color="auto"/>
            <w:right w:val="none" w:sz="0" w:space="0" w:color="auto"/>
          </w:divBdr>
        </w:div>
        <w:div w:id="667485366">
          <w:marLeft w:val="0"/>
          <w:marRight w:val="0"/>
          <w:marTop w:val="0"/>
          <w:marBottom w:val="0"/>
          <w:divBdr>
            <w:top w:val="none" w:sz="0" w:space="0" w:color="auto"/>
            <w:left w:val="none" w:sz="0" w:space="0" w:color="auto"/>
            <w:bottom w:val="none" w:sz="0" w:space="0" w:color="auto"/>
            <w:right w:val="none" w:sz="0" w:space="0" w:color="auto"/>
          </w:divBdr>
        </w:div>
        <w:div w:id="1085807198">
          <w:marLeft w:val="0"/>
          <w:marRight w:val="0"/>
          <w:marTop w:val="0"/>
          <w:marBottom w:val="0"/>
          <w:divBdr>
            <w:top w:val="none" w:sz="0" w:space="0" w:color="auto"/>
            <w:left w:val="none" w:sz="0" w:space="0" w:color="auto"/>
            <w:bottom w:val="none" w:sz="0" w:space="0" w:color="auto"/>
            <w:right w:val="none" w:sz="0" w:space="0" w:color="auto"/>
          </w:divBdr>
        </w:div>
        <w:div w:id="1975258068">
          <w:marLeft w:val="0"/>
          <w:marRight w:val="0"/>
          <w:marTop w:val="0"/>
          <w:marBottom w:val="0"/>
          <w:divBdr>
            <w:top w:val="none" w:sz="0" w:space="0" w:color="auto"/>
            <w:left w:val="none" w:sz="0" w:space="0" w:color="auto"/>
            <w:bottom w:val="none" w:sz="0" w:space="0" w:color="auto"/>
            <w:right w:val="none" w:sz="0" w:space="0" w:color="auto"/>
          </w:divBdr>
        </w:div>
      </w:divsChild>
    </w:div>
    <w:div w:id="1364865628">
      <w:bodyDiv w:val="1"/>
      <w:marLeft w:val="0"/>
      <w:marRight w:val="0"/>
      <w:marTop w:val="0"/>
      <w:marBottom w:val="0"/>
      <w:divBdr>
        <w:top w:val="none" w:sz="0" w:space="0" w:color="auto"/>
        <w:left w:val="none" w:sz="0" w:space="0" w:color="auto"/>
        <w:bottom w:val="none" w:sz="0" w:space="0" w:color="auto"/>
        <w:right w:val="none" w:sz="0" w:space="0" w:color="auto"/>
      </w:divBdr>
      <w:divsChild>
        <w:div w:id="1720740730">
          <w:marLeft w:val="360"/>
          <w:marRight w:val="0"/>
          <w:marTop w:val="0"/>
          <w:marBottom w:val="0"/>
          <w:divBdr>
            <w:top w:val="none" w:sz="0" w:space="0" w:color="auto"/>
            <w:left w:val="none" w:sz="0" w:space="0" w:color="auto"/>
            <w:bottom w:val="none" w:sz="0" w:space="0" w:color="auto"/>
            <w:right w:val="none" w:sz="0" w:space="0" w:color="auto"/>
          </w:divBdr>
        </w:div>
      </w:divsChild>
    </w:div>
    <w:div w:id="1453284776">
      <w:bodyDiv w:val="1"/>
      <w:marLeft w:val="0"/>
      <w:marRight w:val="0"/>
      <w:marTop w:val="0"/>
      <w:marBottom w:val="0"/>
      <w:divBdr>
        <w:top w:val="none" w:sz="0" w:space="0" w:color="auto"/>
        <w:left w:val="none" w:sz="0" w:space="0" w:color="auto"/>
        <w:bottom w:val="none" w:sz="0" w:space="0" w:color="auto"/>
        <w:right w:val="none" w:sz="0" w:space="0" w:color="auto"/>
      </w:divBdr>
      <w:divsChild>
        <w:div w:id="1843619442">
          <w:marLeft w:val="0"/>
          <w:marRight w:val="0"/>
          <w:marTop w:val="0"/>
          <w:marBottom w:val="0"/>
          <w:divBdr>
            <w:top w:val="none" w:sz="0" w:space="0" w:color="auto"/>
            <w:left w:val="none" w:sz="0" w:space="0" w:color="auto"/>
            <w:bottom w:val="none" w:sz="0" w:space="0" w:color="auto"/>
            <w:right w:val="none" w:sz="0" w:space="0" w:color="auto"/>
          </w:divBdr>
        </w:div>
      </w:divsChild>
    </w:div>
    <w:div w:id="1474055036">
      <w:bodyDiv w:val="1"/>
      <w:marLeft w:val="0"/>
      <w:marRight w:val="0"/>
      <w:marTop w:val="0"/>
      <w:marBottom w:val="0"/>
      <w:divBdr>
        <w:top w:val="none" w:sz="0" w:space="0" w:color="auto"/>
        <w:left w:val="none" w:sz="0" w:space="0" w:color="auto"/>
        <w:bottom w:val="none" w:sz="0" w:space="0" w:color="auto"/>
        <w:right w:val="none" w:sz="0" w:space="0" w:color="auto"/>
      </w:divBdr>
    </w:div>
    <w:div w:id="1481770078">
      <w:bodyDiv w:val="1"/>
      <w:marLeft w:val="0"/>
      <w:marRight w:val="0"/>
      <w:marTop w:val="0"/>
      <w:marBottom w:val="0"/>
      <w:divBdr>
        <w:top w:val="none" w:sz="0" w:space="0" w:color="auto"/>
        <w:left w:val="none" w:sz="0" w:space="0" w:color="auto"/>
        <w:bottom w:val="none" w:sz="0" w:space="0" w:color="auto"/>
        <w:right w:val="none" w:sz="0" w:space="0" w:color="auto"/>
      </w:divBdr>
      <w:divsChild>
        <w:div w:id="72901908">
          <w:marLeft w:val="0"/>
          <w:marRight w:val="0"/>
          <w:marTop w:val="0"/>
          <w:marBottom w:val="0"/>
          <w:divBdr>
            <w:top w:val="none" w:sz="0" w:space="0" w:color="auto"/>
            <w:left w:val="none" w:sz="0" w:space="0" w:color="auto"/>
            <w:bottom w:val="none" w:sz="0" w:space="0" w:color="auto"/>
            <w:right w:val="none" w:sz="0" w:space="0" w:color="auto"/>
          </w:divBdr>
        </w:div>
        <w:div w:id="453837931">
          <w:marLeft w:val="0"/>
          <w:marRight w:val="0"/>
          <w:marTop w:val="0"/>
          <w:marBottom w:val="0"/>
          <w:divBdr>
            <w:top w:val="none" w:sz="0" w:space="0" w:color="auto"/>
            <w:left w:val="none" w:sz="0" w:space="0" w:color="auto"/>
            <w:bottom w:val="none" w:sz="0" w:space="0" w:color="auto"/>
            <w:right w:val="none" w:sz="0" w:space="0" w:color="auto"/>
          </w:divBdr>
        </w:div>
        <w:div w:id="1996302836">
          <w:marLeft w:val="0"/>
          <w:marRight w:val="0"/>
          <w:marTop w:val="0"/>
          <w:marBottom w:val="0"/>
          <w:divBdr>
            <w:top w:val="none" w:sz="0" w:space="0" w:color="auto"/>
            <w:left w:val="none" w:sz="0" w:space="0" w:color="auto"/>
            <w:bottom w:val="none" w:sz="0" w:space="0" w:color="auto"/>
            <w:right w:val="none" w:sz="0" w:space="0" w:color="auto"/>
          </w:divBdr>
        </w:div>
      </w:divsChild>
    </w:div>
    <w:div w:id="1485002340">
      <w:bodyDiv w:val="1"/>
      <w:marLeft w:val="0"/>
      <w:marRight w:val="0"/>
      <w:marTop w:val="0"/>
      <w:marBottom w:val="0"/>
      <w:divBdr>
        <w:top w:val="none" w:sz="0" w:space="0" w:color="auto"/>
        <w:left w:val="none" w:sz="0" w:space="0" w:color="auto"/>
        <w:bottom w:val="none" w:sz="0" w:space="0" w:color="auto"/>
        <w:right w:val="none" w:sz="0" w:space="0" w:color="auto"/>
      </w:divBdr>
      <w:divsChild>
        <w:div w:id="1070734574">
          <w:marLeft w:val="0"/>
          <w:marRight w:val="0"/>
          <w:marTop w:val="0"/>
          <w:marBottom w:val="0"/>
          <w:divBdr>
            <w:top w:val="none" w:sz="0" w:space="0" w:color="auto"/>
            <w:left w:val="none" w:sz="0" w:space="0" w:color="auto"/>
            <w:bottom w:val="none" w:sz="0" w:space="0" w:color="auto"/>
            <w:right w:val="none" w:sz="0" w:space="0" w:color="auto"/>
          </w:divBdr>
          <w:divsChild>
            <w:div w:id="570627956">
              <w:marLeft w:val="0"/>
              <w:marRight w:val="0"/>
              <w:marTop w:val="0"/>
              <w:marBottom w:val="0"/>
              <w:divBdr>
                <w:top w:val="none" w:sz="0" w:space="0" w:color="auto"/>
                <w:left w:val="none" w:sz="0" w:space="0" w:color="auto"/>
                <w:bottom w:val="none" w:sz="0" w:space="0" w:color="auto"/>
                <w:right w:val="none" w:sz="0" w:space="0" w:color="auto"/>
              </w:divBdr>
            </w:div>
            <w:div w:id="605967051">
              <w:marLeft w:val="0"/>
              <w:marRight w:val="0"/>
              <w:marTop w:val="0"/>
              <w:marBottom w:val="0"/>
              <w:divBdr>
                <w:top w:val="none" w:sz="0" w:space="0" w:color="auto"/>
                <w:left w:val="none" w:sz="0" w:space="0" w:color="auto"/>
                <w:bottom w:val="none" w:sz="0" w:space="0" w:color="auto"/>
                <w:right w:val="none" w:sz="0" w:space="0" w:color="auto"/>
              </w:divBdr>
            </w:div>
            <w:div w:id="1060401481">
              <w:marLeft w:val="0"/>
              <w:marRight w:val="0"/>
              <w:marTop w:val="0"/>
              <w:marBottom w:val="0"/>
              <w:divBdr>
                <w:top w:val="none" w:sz="0" w:space="0" w:color="auto"/>
                <w:left w:val="none" w:sz="0" w:space="0" w:color="auto"/>
                <w:bottom w:val="none" w:sz="0" w:space="0" w:color="auto"/>
                <w:right w:val="none" w:sz="0" w:space="0" w:color="auto"/>
              </w:divBdr>
            </w:div>
            <w:div w:id="1460804878">
              <w:marLeft w:val="0"/>
              <w:marRight w:val="0"/>
              <w:marTop w:val="0"/>
              <w:marBottom w:val="0"/>
              <w:divBdr>
                <w:top w:val="none" w:sz="0" w:space="0" w:color="auto"/>
                <w:left w:val="none" w:sz="0" w:space="0" w:color="auto"/>
                <w:bottom w:val="none" w:sz="0" w:space="0" w:color="auto"/>
                <w:right w:val="none" w:sz="0" w:space="0" w:color="auto"/>
              </w:divBdr>
            </w:div>
            <w:div w:id="1482039431">
              <w:marLeft w:val="0"/>
              <w:marRight w:val="0"/>
              <w:marTop w:val="0"/>
              <w:marBottom w:val="0"/>
              <w:divBdr>
                <w:top w:val="none" w:sz="0" w:space="0" w:color="auto"/>
                <w:left w:val="none" w:sz="0" w:space="0" w:color="auto"/>
                <w:bottom w:val="none" w:sz="0" w:space="0" w:color="auto"/>
                <w:right w:val="none" w:sz="0" w:space="0" w:color="auto"/>
              </w:divBdr>
            </w:div>
            <w:div w:id="21266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5163">
      <w:bodyDiv w:val="1"/>
      <w:marLeft w:val="0"/>
      <w:marRight w:val="0"/>
      <w:marTop w:val="0"/>
      <w:marBottom w:val="0"/>
      <w:divBdr>
        <w:top w:val="none" w:sz="0" w:space="0" w:color="auto"/>
        <w:left w:val="none" w:sz="0" w:space="0" w:color="auto"/>
        <w:bottom w:val="none" w:sz="0" w:space="0" w:color="auto"/>
        <w:right w:val="none" w:sz="0" w:space="0" w:color="auto"/>
      </w:divBdr>
      <w:divsChild>
        <w:div w:id="1575898757">
          <w:marLeft w:val="0"/>
          <w:marRight w:val="0"/>
          <w:marTop w:val="0"/>
          <w:marBottom w:val="0"/>
          <w:divBdr>
            <w:top w:val="none" w:sz="0" w:space="0" w:color="auto"/>
            <w:left w:val="none" w:sz="0" w:space="0" w:color="auto"/>
            <w:bottom w:val="none" w:sz="0" w:space="0" w:color="auto"/>
            <w:right w:val="none" w:sz="0" w:space="0" w:color="auto"/>
          </w:divBdr>
        </w:div>
      </w:divsChild>
    </w:div>
    <w:div w:id="1526871447">
      <w:bodyDiv w:val="1"/>
      <w:marLeft w:val="0"/>
      <w:marRight w:val="0"/>
      <w:marTop w:val="0"/>
      <w:marBottom w:val="0"/>
      <w:divBdr>
        <w:top w:val="none" w:sz="0" w:space="0" w:color="auto"/>
        <w:left w:val="none" w:sz="0" w:space="0" w:color="auto"/>
        <w:bottom w:val="none" w:sz="0" w:space="0" w:color="auto"/>
        <w:right w:val="none" w:sz="0" w:space="0" w:color="auto"/>
      </w:divBdr>
    </w:div>
    <w:div w:id="1601452617">
      <w:bodyDiv w:val="1"/>
      <w:marLeft w:val="0"/>
      <w:marRight w:val="0"/>
      <w:marTop w:val="0"/>
      <w:marBottom w:val="0"/>
      <w:divBdr>
        <w:top w:val="none" w:sz="0" w:space="0" w:color="auto"/>
        <w:left w:val="none" w:sz="0" w:space="0" w:color="auto"/>
        <w:bottom w:val="none" w:sz="0" w:space="0" w:color="auto"/>
        <w:right w:val="none" w:sz="0" w:space="0" w:color="auto"/>
      </w:divBdr>
      <w:divsChild>
        <w:div w:id="166209950">
          <w:marLeft w:val="0"/>
          <w:marRight w:val="0"/>
          <w:marTop w:val="0"/>
          <w:marBottom w:val="0"/>
          <w:divBdr>
            <w:top w:val="none" w:sz="0" w:space="0" w:color="auto"/>
            <w:left w:val="none" w:sz="0" w:space="0" w:color="auto"/>
            <w:bottom w:val="none" w:sz="0" w:space="0" w:color="auto"/>
            <w:right w:val="none" w:sz="0" w:space="0" w:color="auto"/>
          </w:divBdr>
        </w:div>
        <w:div w:id="232007034">
          <w:marLeft w:val="0"/>
          <w:marRight w:val="0"/>
          <w:marTop w:val="0"/>
          <w:marBottom w:val="0"/>
          <w:divBdr>
            <w:top w:val="none" w:sz="0" w:space="0" w:color="auto"/>
            <w:left w:val="none" w:sz="0" w:space="0" w:color="auto"/>
            <w:bottom w:val="none" w:sz="0" w:space="0" w:color="auto"/>
            <w:right w:val="none" w:sz="0" w:space="0" w:color="auto"/>
          </w:divBdr>
        </w:div>
        <w:div w:id="446896846">
          <w:marLeft w:val="0"/>
          <w:marRight w:val="0"/>
          <w:marTop w:val="0"/>
          <w:marBottom w:val="0"/>
          <w:divBdr>
            <w:top w:val="none" w:sz="0" w:space="0" w:color="auto"/>
            <w:left w:val="none" w:sz="0" w:space="0" w:color="auto"/>
            <w:bottom w:val="none" w:sz="0" w:space="0" w:color="auto"/>
            <w:right w:val="none" w:sz="0" w:space="0" w:color="auto"/>
          </w:divBdr>
        </w:div>
        <w:div w:id="461926146">
          <w:marLeft w:val="0"/>
          <w:marRight w:val="0"/>
          <w:marTop w:val="0"/>
          <w:marBottom w:val="0"/>
          <w:divBdr>
            <w:top w:val="none" w:sz="0" w:space="0" w:color="auto"/>
            <w:left w:val="none" w:sz="0" w:space="0" w:color="auto"/>
            <w:bottom w:val="none" w:sz="0" w:space="0" w:color="auto"/>
            <w:right w:val="none" w:sz="0" w:space="0" w:color="auto"/>
          </w:divBdr>
        </w:div>
        <w:div w:id="505676574">
          <w:marLeft w:val="0"/>
          <w:marRight w:val="0"/>
          <w:marTop w:val="0"/>
          <w:marBottom w:val="0"/>
          <w:divBdr>
            <w:top w:val="none" w:sz="0" w:space="0" w:color="auto"/>
            <w:left w:val="none" w:sz="0" w:space="0" w:color="auto"/>
            <w:bottom w:val="none" w:sz="0" w:space="0" w:color="auto"/>
            <w:right w:val="none" w:sz="0" w:space="0" w:color="auto"/>
          </w:divBdr>
        </w:div>
        <w:div w:id="526603823">
          <w:marLeft w:val="0"/>
          <w:marRight w:val="0"/>
          <w:marTop w:val="0"/>
          <w:marBottom w:val="0"/>
          <w:divBdr>
            <w:top w:val="none" w:sz="0" w:space="0" w:color="auto"/>
            <w:left w:val="none" w:sz="0" w:space="0" w:color="auto"/>
            <w:bottom w:val="none" w:sz="0" w:space="0" w:color="auto"/>
            <w:right w:val="none" w:sz="0" w:space="0" w:color="auto"/>
          </w:divBdr>
        </w:div>
        <w:div w:id="1193763262">
          <w:marLeft w:val="0"/>
          <w:marRight w:val="0"/>
          <w:marTop w:val="0"/>
          <w:marBottom w:val="0"/>
          <w:divBdr>
            <w:top w:val="none" w:sz="0" w:space="0" w:color="auto"/>
            <w:left w:val="none" w:sz="0" w:space="0" w:color="auto"/>
            <w:bottom w:val="none" w:sz="0" w:space="0" w:color="auto"/>
            <w:right w:val="none" w:sz="0" w:space="0" w:color="auto"/>
          </w:divBdr>
        </w:div>
        <w:div w:id="1296642660">
          <w:marLeft w:val="0"/>
          <w:marRight w:val="0"/>
          <w:marTop w:val="0"/>
          <w:marBottom w:val="0"/>
          <w:divBdr>
            <w:top w:val="none" w:sz="0" w:space="0" w:color="auto"/>
            <w:left w:val="none" w:sz="0" w:space="0" w:color="auto"/>
            <w:bottom w:val="none" w:sz="0" w:space="0" w:color="auto"/>
            <w:right w:val="none" w:sz="0" w:space="0" w:color="auto"/>
          </w:divBdr>
        </w:div>
        <w:div w:id="1323121945">
          <w:marLeft w:val="0"/>
          <w:marRight w:val="0"/>
          <w:marTop w:val="0"/>
          <w:marBottom w:val="0"/>
          <w:divBdr>
            <w:top w:val="none" w:sz="0" w:space="0" w:color="auto"/>
            <w:left w:val="none" w:sz="0" w:space="0" w:color="auto"/>
            <w:bottom w:val="none" w:sz="0" w:space="0" w:color="auto"/>
            <w:right w:val="none" w:sz="0" w:space="0" w:color="auto"/>
          </w:divBdr>
        </w:div>
        <w:div w:id="1381784655">
          <w:marLeft w:val="0"/>
          <w:marRight w:val="0"/>
          <w:marTop w:val="0"/>
          <w:marBottom w:val="0"/>
          <w:divBdr>
            <w:top w:val="none" w:sz="0" w:space="0" w:color="auto"/>
            <w:left w:val="none" w:sz="0" w:space="0" w:color="auto"/>
            <w:bottom w:val="none" w:sz="0" w:space="0" w:color="auto"/>
            <w:right w:val="none" w:sz="0" w:space="0" w:color="auto"/>
          </w:divBdr>
        </w:div>
        <w:div w:id="1508596348">
          <w:marLeft w:val="0"/>
          <w:marRight w:val="0"/>
          <w:marTop w:val="0"/>
          <w:marBottom w:val="0"/>
          <w:divBdr>
            <w:top w:val="none" w:sz="0" w:space="0" w:color="auto"/>
            <w:left w:val="none" w:sz="0" w:space="0" w:color="auto"/>
            <w:bottom w:val="none" w:sz="0" w:space="0" w:color="auto"/>
            <w:right w:val="none" w:sz="0" w:space="0" w:color="auto"/>
          </w:divBdr>
        </w:div>
        <w:div w:id="1552418716">
          <w:marLeft w:val="0"/>
          <w:marRight w:val="0"/>
          <w:marTop w:val="0"/>
          <w:marBottom w:val="0"/>
          <w:divBdr>
            <w:top w:val="none" w:sz="0" w:space="0" w:color="auto"/>
            <w:left w:val="none" w:sz="0" w:space="0" w:color="auto"/>
            <w:bottom w:val="none" w:sz="0" w:space="0" w:color="auto"/>
            <w:right w:val="none" w:sz="0" w:space="0" w:color="auto"/>
          </w:divBdr>
        </w:div>
        <w:div w:id="1677221136">
          <w:marLeft w:val="0"/>
          <w:marRight w:val="0"/>
          <w:marTop w:val="0"/>
          <w:marBottom w:val="0"/>
          <w:divBdr>
            <w:top w:val="none" w:sz="0" w:space="0" w:color="auto"/>
            <w:left w:val="none" w:sz="0" w:space="0" w:color="auto"/>
            <w:bottom w:val="none" w:sz="0" w:space="0" w:color="auto"/>
            <w:right w:val="none" w:sz="0" w:space="0" w:color="auto"/>
          </w:divBdr>
        </w:div>
        <w:div w:id="1755392989">
          <w:marLeft w:val="0"/>
          <w:marRight w:val="0"/>
          <w:marTop w:val="0"/>
          <w:marBottom w:val="0"/>
          <w:divBdr>
            <w:top w:val="none" w:sz="0" w:space="0" w:color="auto"/>
            <w:left w:val="none" w:sz="0" w:space="0" w:color="auto"/>
            <w:bottom w:val="none" w:sz="0" w:space="0" w:color="auto"/>
            <w:right w:val="none" w:sz="0" w:space="0" w:color="auto"/>
          </w:divBdr>
        </w:div>
        <w:div w:id="1774402330">
          <w:marLeft w:val="0"/>
          <w:marRight w:val="0"/>
          <w:marTop w:val="0"/>
          <w:marBottom w:val="0"/>
          <w:divBdr>
            <w:top w:val="none" w:sz="0" w:space="0" w:color="auto"/>
            <w:left w:val="none" w:sz="0" w:space="0" w:color="auto"/>
            <w:bottom w:val="none" w:sz="0" w:space="0" w:color="auto"/>
            <w:right w:val="none" w:sz="0" w:space="0" w:color="auto"/>
          </w:divBdr>
        </w:div>
        <w:div w:id="1790129131">
          <w:marLeft w:val="0"/>
          <w:marRight w:val="0"/>
          <w:marTop w:val="0"/>
          <w:marBottom w:val="0"/>
          <w:divBdr>
            <w:top w:val="none" w:sz="0" w:space="0" w:color="auto"/>
            <w:left w:val="none" w:sz="0" w:space="0" w:color="auto"/>
            <w:bottom w:val="none" w:sz="0" w:space="0" w:color="auto"/>
            <w:right w:val="none" w:sz="0" w:space="0" w:color="auto"/>
          </w:divBdr>
        </w:div>
        <w:div w:id="1925409153">
          <w:marLeft w:val="0"/>
          <w:marRight w:val="0"/>
          <w:marTop w:val="0"/>
          <w:marBottom w:val="0"/>
          <w:divBdr>
            <w:top w:val="none" w:sz="0" w:space="0" w:color="auto"/>
            <w:left w:val="none" w:sz="0" w:space="0" w:color="auto"/>
            <w:bottom w:val="none" w:sz="0" w:space="0" w:color="auto"/>
            <w:right w:val="none" w:sz="0" w:space="0" w:color="auto"/>
          </w:divBdr>
        </w:div>
        <w:div w:id="1948805411">
          <w:marLeft w:val="0"/>
          <w:marRight w:val="0"/>
          <w:marTop w:val="0"/>
          <w:marBottom w:val="0"/>
          <w:divBdr>
            <w:top w:val="none" w:sz="0" w:space="0" w:color="auto"/>
            <w:left w:val="none" w:sz="0" w:space="0" w:color="auto"/>
            <w:bottom w:val="none" w:sz="0" w:space="0" w:color="auto"/>
            <w:right w:val="none" w:sz="0" w:space="0" w:color="auto"/>
          </w:divBdr>
        </w:div>
      </w:divsChild>
    </w:div>
    <w:div w:id="1611358095">
      <w:bodyDiv w:val="1"/>
      <w:marLeft w:val="0"/>
      <w:marRight w:val="0"/>
      <w:marTop w:val="0"/>
      <w:marBottom w:val="0"/>
      <w:divBdr>
        <w:top w:val="none" w:sz="0" w:space="0" w:color="auto"/>
        <w:left w:val="none" w:sz="0" w:space="0" w:color="auto"/>
        <w:bottom w:val="none" w:sz="0" w:space="0" w:color="auto"/>
        <w:right w:val="none" w:sz="0" w:space="0" w:color="auto"/>
      </w:divBdr>
    </w:div>
    <w:div w:id="1676766797">
      <w:bodyDiv w:val="1"/>
      <w:marLeft w:val="0"/>
      <w:marRight w:val="0"/>
      <w:marTop w:val="0"/>
      <w:marBottom w:val="0"/>
      <w:divBdr>
        <w:top w:val="none" w:sz="0" w:space="0" w:color="auto"/>
        <w:left w:val="none" w:sz="0" w:space="0" w:color="auto"/>
        <w:bottom w:val="none" w:sz="0" w:space="0" w:color="auto"/>
        <w:right w:val="none" w:sz="0" w:space="0" w:color="auto"/>
      </w:divBdr>
      <w:divsChild>
        <w:div w:id="1569071893">
          <w:marLeft w:val="0"/>
          <w:marRight w:val="0"/>
          <w:marTop w:val="0"/>
          <w:marBottom w:val="0"/>
          <w:divBdr>
            <w:top w:val="none" w:sz="0" w:space="0" w:color="auto"/>
            <w:left w:val="none" w:sz="0" w:space="0" w:color="auto"/>
            <w:bottom w:val="none" w:sz="0" w:space="0" w:color="auto"/>
            <w:right w:val="none" w:sz="0" w:space="0" w:color="auto"/>
          </w:divBdr>
        </w:div>
      </w:divsChild>
    </w:div>
    <w:div w:id="1905413551">
      <w:bodyDiv w:val="1"/>
      <w:marLeft w:val="0"/>
      <w:marRight w:val="0"/>
      <w:marTop w:val="0"/>
      <w:marBottom w:val="0"/>
      <w:divBdr>
        <w:top w:val="none" w:sz="0" w:space="0" w:color="auto"/>
        <w:left w:val="none" w:sz="0" w:space="0" w:color="auto"/>
        <w:bottom w:val="none" w:sz="0" w:space="0" w:color="auto"/>
        <w:right w:val="none" w:sz="0" w:space="0" w:color="auto"/>
      </w:divBdr>
      <w:divsChild>
        <w:div w:id="421880932">
          <w:marLeft w:val="0"/>
          <w:marRight w:val="0"/>
          <w:marTop w:val="0"/>
          <w:marBottom w:val="0"/>
          <w:divBdr>
            <w:top w:val="none" w:sz="0" w:space="0" w:color="auto"/>
            <w:left w:val="none" w:sz="0" w:space="0" w:color="auto"/>
            <w:bottom w:val="none" w:sz="0" w:space="0" w:color="auto"/>
            <w:right w:val="none" w:sz="0" w:space="0" w:color="auto"/>
          </w:divBdr>
        </w:div>
      </w:divsChild>
    </w:div>
    <w:div w:id="1914924305">
      <w:bodyDiv w:val="1"/>
      <w:marLeft w:val="0"/>
      <w:marRight w:val="0"/>
      <w:marTop w:val="0"/>
      <w:marBottom w:val="0"/>
      <w:divBdr>
        <w:top w:val="none" w:sz="0" w:space="0" w:color="auto"/>
        <w:left w:val="none" w:sz="0" w:space="0" w:color="auto"/>
        <w:bottom w:val="none" w:sz="0" w:space="0" w:color="auto"/>
        <w:right w:val="none" w:sz="0" w:space="0" w:color="auto"/>
      </w:divBdr>
    </w:div>
    <w:div w:id="1925139794">
      <w:bodyDiv w:val="1"/>
      <w:marLeft w:val="0"/>
      <w:marRight w:val="0"/>
      <w:marTop w:val="0"/>
      <w:marBottom w:val="0"/>
      <w:divBdr>
        <w:top w:val="none" w:sz="0" w:space="0" w:color="auto"/>
        <w:left w:val="none" w:sz="0" w:space="0" w:color="auto"/>
        <w:bottom w:val="none" w:sz="0" w:space="0" w:color="auto"/>
        <w:right w:val="none" w:sz="0" w:space="0" w:color="auto"/>
      </w:divBdr>
      <w:divsChild>
        <w:div w:id="482427064">
          <w:marLeft w:val="0"/>
          <w:marRight w:val="0"/>
          <w:marTop w:val="0"/>
          <w:marBottom w:val="0"/>
          <w:divBdr>
            <w:top w:val="none" w:sz="0" w:space="0" w:color="auto"/>
            <w:left w:val="none" w:sz="0" w:space="0" w:color="auto"/>
            <w:bottom w:val="none" w:sz="0" w:space="0" w:color="auto"/>
            <w:right w:val="none" w:sz="0" w:space="0" w:color="auto"/>
          </w:divBdr>
        </w:div>
        <w:div w:id="578179041">
          <w:marLeft w:val="0"/>
          <w:marRight w:val="0"/>
          <w:marTop w:val="0"/>
          <w:marBottom w:val="0"/>
          <w:divBdr>
            <w:top w:val="none" w:sz="0" w:space="0" w:color="auto"/>
            <w:left w:val="none" w:sz="0" w:space="0" w:color="auto"/>
            <w:bottom w:val="none" w:sz="0" w:space="0" w:color="auto"/>
            <w:right w:val="none" w:sz="0" w:space="0" w:color="auto"/>
          </w:divBdr>
        </w:div>
        <w:div w:id="1399939425">
          <w:marLeft w:val="0"/>
          <w:marRight w:val="0"/>
          <w:marTop w:val="0"/>
          <w:marBottom w:val="0"/>
          <w:divBdr>
            <w:top w:val="none" w:sz="0" w:space="0" w:color="auto"/>
            <w:left w:val="none" w:sz="0" w:space="0" w:color="auto"/>
            <w:bottom w:val="none" w:sz="0" w:space="0" w:color="auto"/>
            <w:right w:val="none" w:sz="0" w:space="0" w:color="auto"/>
          </w:divBdr>
        </w:div>
        <w:div w:id="1552687994">
          <w:marLeft w:val="0"/>
          <w:marRight w:val="0"/>
          <w:marTop w:val="0"/>
          <w:marBottom w:val="0"/>
          <w:divBdr>
            <w:top w:val="none" w:sz="0" w:space="0" w:color="auto"/>
            <w:left w:val="none" w:sz="0" w:space="0" w:color="auto"/>
            <w:bottom w:val="none" w:sz="0" w:space="0" w:color="auto"/>
            <w:right w:val="none" w:sz="0" w:space="0" w:color="auto"/>
          </w:divBdr>
        </w:div>
        <w:div w:id="1923292875">
          <w:marLeft w:val="0"/>
          <w:marRight w:val="0"/>
          <w:marTop w:val="0"/>
          <w:marBottom w:val="0"/>
          <w:divBdr>
            <w:top w:val="none" w:sz="0" w:space="0" w:color="auto"/>
            <w:left w:val="none" w:sz="0" w:space="0" w:color="auto"/>
            <w:bottom w:val="none" w:sz="0" w:space="0" w:color="auto"/>
            <w:right w:val="none" w:sz="0" w:space="0" w:color="auto"/>
          </w:divBdr>
        </w:div>
      </w:divsChild>
    </w:div>
    <w:div w:id="2026321697">
      <w:bodyDiv w:val="1"/>
      <w:marLeft w:val="0"/>
      <w:marRight w:val="0"/>
      <w:marTop w:val="0"/>
      <w:marBottom w:val="0"/>
      <w:divBdr>
        <w:top w:val="none" w:sz="0" w:space="0" w:color="auto"/>
        <w:left w:val="none" w:sz="0" w:space="0" w:color="auto"/>
        <w:bottom w:val="none" w:sz="0" w:space="0" w:color="auto"/>
        <w:right w:val="none" w:sz="0" w:space="0" w:color="auto"/>
      </w:divBdr>
      <w:divsChild>
        <w:div w:id="1006446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08306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67101287">
      <w:bodyDiv w:val="1"/>
      <w:marLeft w:val="0"/>
      <w:marRight w:val="0"/>
      <w:marTop w:val="0"/>
      <w:marBottom w:val="0"/>
      <w:divBdr>
        <w:top w:val="none" w:sz="0" w:space="0" w:color="auto"/>
        <w:left w:val="none" w:sz="0" w:space="0" w:color="auto"/>
        <w:bottom w:val="none" w:sz="0" w:space="0" w:color="auto"/>
        <w:right w:val="none" w:sz="0" w:space="0" w:color="auto"/>
      </w:divBdr>
    </w:div>
    <w:div w:id="2071689795">
      <w:bodyDiv w:val="1"/>
      <w:marLeft w:val="0"/>
      <w:marRight w:val="0"/>
      <w:marTop w:val="0"/>
      <w:marBottom w:val="0"/>
      <w:divBdr>
        <w:top w:val="none" w:sz="0" w:space="0" w:color="auto"/>
        <w:left w:val="none" w:sz="0" w:space="0" w:color="auto"/>
        <w:bottom w:val="none" w:sz="0" w:space="0" w:color="auto"/>
        <w:right w:val="none" w:sz="0" w:space="0" w:color="auto"/>
      </w:divBdr>
    </w:div>
    <w:div w:id="20955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investors.rbs.com/common/alerts/RBS/default/logo.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2005 Year End – Q&amp;As</vt:lpstr>
    </vt:vector>
  </TitlesOfParts>
  <Company>Royal Bank of Scotland</Company>
  <LinksUpToDate>false</LinksUpToDate>
  <CharactersWithSpaces>15295</CharactersWithSpaces>
  <SharedDoc>false</SharedDoc>
  <HLinks>
    <vt:vector size="6" baseType="variant">
      <vt:variant>
        <vt:i4>3735585</vt:i4>
      </vt:variant>
      <vt:variant>
        <vt:i4>-1</vt:i4>
      </vt:variant>
      <vt:variant>
        <vt:i4>1026</vt:i4>
      </vt:variant>
      <vt:variant>
        <vt:i4>1</vt:i4>
      </vt:variant>
      <vt:variant>
        <vt:lpwstr>http://www.investors.rbs.com/common/alerts/RBS/default/logo.gif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Year End – Q&amp;As</dc:title>
  <dc:subject/>
  <dc:creator>Tatare</dc:creator>
  <cp:keywords/>
  <dc:description/>
  <cp:lastModifiedBy>lurvink</cp:lastModifiedBy>
  <cp:revision>2</cp:revision>
  <cp:lastPrinted>2010-03-26T07:58:00Z</cp:lastPrinted>
  <dcterms:created xsi:type="dcterms:W3CDTF">2010-03-26T07:58:00Z</dcterms:created>
  <dcterms:modified xsi:type="dcterms:W3CDTF">2010-03-26T07:58:00Z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-906805059</vt:i4>
  </property>
  <property fmtid="{D5CDD505-2E9C-101B-9397-08002B2CF9AE}" pid="4" name="_EmailEntryID">
    <vt:lpwstr>00000000A7DBD3EA42207E40938265B1182E8DF207000D91D3928BA7B9479E1CEACECE54EA9C00000002409F00000D91D3928BA7B9479E1CEACECE54EA9C00001434F2680000</vt:lpwstr>
  </property>
  <property fmtid="{D5CDD505-2E9C-101B-9397-08002B2CF9AE}" pid="5" name="ObjectID">
    <vt:lpwstr> </vt:lpwstr>
  </property>
  <property fmtid="{D5CDD505-2E9C-101B-9397-08002B2CF9AE}" pid="6" name="Document Number">
    <vt:lpwstr> </vt:lpwstr>
  </property>
  <property fmtid="{D5CDD505-2E9C-101B-9397-08002B2CF9AE}" pid="7" name="Version">
    <vt:lpwstr> </vt:lpwstr>
  </property>
  <property fmtid="{D5CDD505-2E9C-101B-9397-08002B2CF9AE}" pid="8" name="Last Modified">
    <vt:lpwstr> </vt:lpwstr>
  </property>
  <property fmtid="{D5CDD505-2E9C-101B-9397-08002B2CF9AE}" pid="9" name="Matter Number">
    <vt:lpwstr> </vt:lpwstr>
  </property>
  <property fmtid="{D5CDD505-2E9C-101B-9397-08002B2CF9AE}" pid="10" name="Client Code">
    <vt:lpwstr> </vt:lpwstr>
  </property>
  <property fmtid="{D5CDD505-2E9C-101B-9397-08002B2CF9AE}" pid="11" name="Mode">
    <vt:lpwstr>Export</vt:lpwstr>
  </property>
  <property fmtid="{D5CDD505-2E9C-101B-9397-08002B2CF9AE}" pid="12" name="DEDocumentLocation">
    <vt:lpwstr>H:\Documentum\Export\Copy Of Draft RNS_excnumbers.doc</vt:lpwstr>
  </property>
  <property fmtid="{D5CDD505-2E9C-101B-9397-08002B2CF9AE}" pid="13" name="_AdHocReviewCycleID">
    <vt:i4>217533299</vt:i4>
  </property>
  <property fmtid="{D5CDD505-2E9C-101B-9397-08002B2CF9AE}" pid="14" name="_EmailSubject">
    <vt:lpwstr>The Royal Bank of Scotland Group plc - Company Announcements</vt:lpwstr>
  </property>
  <property fmtid="{D5CDD505-2E9C-101B-9397-08002B2CF9AE}" pid="15" name="_AuthorEmail">
    <vt:lpwstr>Barbara.Wallace@rbs.co.uk</vt:lpwstr>
  </property>
  <property fmtid="{D5CDD505-2E9C-101B-9397-08002B2CF9AE}" pid="16" name="_AuthorEmailDisplayName">
    <vt:lpwstr>Wallace, Barbara (Group Secretariat)</vt:lpwstr>
  </property>
  <property fmtid="{D5CDD505-2E9C-101B-9397-08002B2CF9AE}" pid="17" name="_EmailStoreID0">
    <vt:lpwstr>0000000038A1BB1005E5101AA1BB08002B2A56C20000454D534D44422E444C4C00000000000000001B55FA20AA6611CD9BC800AA002FC45A0C00000041464D5645533031002F6F3D5354452F6F753D46697273742041646D696E6973747261746976652047726F75702F636E3D526563697069656E74732F636E3D4D656C646</vt:lpwstr>
  </property>
  <property fmtid="{D5CDD505-2E9C-101B-9397-08002B2CF9AE}" pid="18" name="_EmailStoreID1">
    <vt:lpwstr>56E20656E204465706F6E6572656E00</vt:lpwstr>
  </property>
  <property fmtid="{D5CDD505-2E9C-101B-9397-08002B2CF9AE}" pid="19" name="_ReviewingToolsShownOnce">
    <vt:lpwstr/>
  </property>
</Properties>
</file>