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331" w:rsidRDefault="00C52331" w:rsidP="00451E2D">
      <w:pPr>
        <w:rPr>
          <w:rFonts w:asciiTheme="majorHAnsi" w:hAnsiTheme="majorHAnsi" w:cstheme="majorHAnsi"/>
          <w:b/>
          <w:bCs/>
          <w:sz w:val="20"/>
          <w:szCs w:val="20"/>
        </w:rPr>
      </w:pPr>
      <w:bookmarkStart w:id="0" w:name="_GoBack"/>
      <w:bookmarkEnd w:id="0"/>
      <w:r w:rsidRPr="00DA7B54">
        <w:rPr>
          <w:rFonts w:asciiTheme="majorHAnsi" w:hAnsiTheme="majorHAnsi" w:cstheme="majorHAnsi"/>
          <w:b/>
          <w:bCs/>
          <w:sz w:val="20"/>
          <w:szCs w:val="20"/>
        </w:rPr>
        <w:t>26 March 2012</w:t>
      </w:r>
    </w:p>
    <w:p w:rsidR="00451E2D" w:rsidRPr="00DA7B54" w:rsidRDefault="00451E2D" w:rsidP="00451E2D">
      <w:pPr>
        <w:rPr>
          <w:rFonts w:asciiTheme="majorHAnsi" w:hAnsiTheme="majorHAnsi" w:cstheme="majorHAnsi"/>
          <w:b/>
          <w:bCs/>
          <w:sz w:val="20"/>
          <w:szCs w:val="20"/>
        </w:rPr>
      </w:pPr>
    </w:p>
    <w:p w:rsidR="00651CFA" w:rsidRDefault="005E6508" w:rsidP="00451E2D">
      <w:pPr>
        <w:pStyle w:val="Head"/>
        <w:spacing w:before="0" w:after="0" w:line="240" w:lineRule="auto"/>
        <w:rPr>
          <w:rFonts w:asciiTheme="majorHAnsi" w:hAnsiTheme="majorHAnsi" w:cstheme="majorHAnsi"/>
          <w:sz w:val="20"/>
          <w:szCs w:val="20"/>
        </w:rPr>
      </w:pPr>
      <w:r w:rsidRPr="00DA7B54">
        <w:rPr>
          <w:rFonts w:asciiTheme="majorHAnsi" w:hAnsiTheme="majorHAnsi" w:cstheme="majorHAnsi"/>
          <w:sz w:val="20"/>
          <w:szCs w:val="20"/>
        </w:rPr>
        <w:t>Further s</w:t>
      </w:r>
      <w:r w:rsidR="00C52331" w:rsidRPr="00DA7B54">
        <w:rPr>
          <w:rFonts w:asciiTheme="majorHAnsi" w:hAnsiTheme="majorHAnsi" w:cstheme="majorHAnsi"/>
          <w:sz w:val="20"/>
          <w:szCs w:val="20"/>
        </w:rPr>
        <w:t>tep in proposed transfers of a substantial part of the business activities of RBS N.V. to RBS plc: Dutch Scheme</w:t>
      </w:r>
    </w:p>
    <w:p w:rsidR="00F45255" w:rsidRDefault="00451E2D" w:rsidP="00451E2D">
      <w:pPr>
        <w:pStyle w:val="Body"/>
        <w:spacing w:after="0" w:line="240" w:lineRule="auto"/>
        <w:rPr>
          <w:rFonts w:asciiTheme="majorHAnsi" w:hAnsiTheme="majorHAnsi" w:cstheme="majorHAnsi"/>
          <w:sz w:val="20"/>
          <w:szCs w:val="20"/>
        </w:rPr>
      </w:pPr>
      <w:r>
        <w:rPr>
          <w:rFonts w:asciiTheme="majorHAnsi" w:hAnsiTheme="majorHAnsi" w:cstheme="majorHAnsi"/>
          <w:sz w:val="20"/>
          <w:szCs w:val="20"/>
        </w:rPr>
        <w:br/>
      </w:r>
      <w:r w:rsidR="00C52331" w:rsidRPr="00DA7B54">
        <w:rPr>
          <w:rFonts w:asciiTheme="majorHAnsi" w:hAnsiTheme="majorHAnsi" w:cstheme="majorHAnsi"/>
          <w:sz w:val="20"/>
          <w:szCs w:val="20"/>
        </w:rPr>
        <w:t>The Boards of The Royal Bank of Scotland Group plc (RBSG), The Royal Bank of Scotland plc (RBS plc), RBS Holdings N.V.</w:t>
      </w:r>
      <w:r w:rsidR="002E3B73" w:rsidRPr="002E3B73">
        <w:rPr>
          <w:rFonts w:asciiTheme="majorHAnsi" w:hAnsiTheme="majorHAnsi" w:cstheme="majorHAnsi"/>
          <w:sz w:val="20"/>
          <w:szCs w:val="20"/>
          <w:vertAlign w:val="superscript"/>
        </w:rPr>
        <w:t>1</w:t>
      </w:r>
      <w:r w:rsidR="00F10507" w:rsidRPr="00DA7B54">
        <w:rPr>
          <w:rFonts w:asciiTheme="majorHAnsi" w:hAnsiTheme="majorHAnsi" w:cstheme="majorHAnsi"/>
          <w:sz w:val="20"/>
          <w:szCs w:val="20"/>
        </w:rPr>
        <w:t>,</w:t>
      </w:r>
      <w:r w:rsidR="00C52331" w:rsidRPr="00DA7B54">
        <w:rPr>
          <w:rFonts w:asciiTheme="majorHAnsi" w:hAnsiTheme="majorHAnsi" w:cstheme="majorHAnsi"/>
          <w:sz w:val="20"/>
          <w:szCs w:val="20"/>
        </w:rPr>
        <w:t xml:space="preserve"> </w:t>
      </w:r>
      <w:r w:rsidR="00E612CA" w:rsidRPr="00DA7B54">
        <w:rPr>
          <w:rFonts w:asciiTheme="majorHAnsi" w:hAnsiTheme="majorHAnsi" w:cstheme="majorHAnsi"/>
          <w:sz w:val="20"/>
          <w:szCs w:val="20"/>
        </w:rPr>
        <w:t>The Royal Bank of Scotland N.V.</w:t>
      </w:r>
      <w:r w:rsidR="002E3B73" w:rsidRPr="002E3B73">
        <w:rPr>
          <w:rFonts w:asciiTheme="majorHAnsi" w:hAnsiTheme="majorHAnsi" w:cstheme="majorHAnsi"/>
          <w:sz w:val="20"/>
          <w:szCs w:val="20"/>
          <w:vertAlign w:val="superscript"/>
        </w:rPr>
        <w:t>2</w:t>
      </w:r>
      <w:r w:rsidR="00E612CA" w:rsidRPr="00DA7B54">
        <w:rPr>
          <w:rFonts w:asciiTheme="majorHAnsi" w:hAnsiTheme="majorHAnsi" w:cstheme="majorHAnsi"/>
          <w:sz w:val="20"/>
          <w:szCs w:val="20"/>
        </w:rPr>
        <w:t xml:space="preserve"> (RBS N.V.) </w:t>
      </w:r>
      <w:r w:rsidR="00F10507" w:rsidRPr="00DA7B54">
        <w:rPr>
          <w:rFonts w:asciiTheme="majorHAnsi" w:hAnsiTheme="majorHAnsi" w:cstheme="majorHAnsi"/>
          <w:sz w:val="20"/>
          <w:szCs w:val="20"/>
        </w:rPr>
        <w:t xml:space="preserve">and RBS II B.V. </w:t>
      </w:r>
      <w:r w:rsidR="00C52331" w:rsidRPr="00DA7B54">
        <w:rPr>
          <w:rFonts w:asciiTheme="majorHAnsi" w:hAnsiTheme="majorHAnsi" w:cstheme="majorHAnsi"/>
          <w:sz w:val="20"/>
          <w:szCs w:val="20"/>
        </w:rPr>
        <w:t xml:space="preserve">announce that (1) RBS N.V. </w:t>
      </w:r>
      <w:r w:rsidR="00F10507" w:rsidRPr="00DA7B54">
        <w:rPr>
          <w:rFonts w:asciiTheme="majorHAnsi" w:hAnsiTheme="majorHAnsi" w:cstheme="majorHAnsi"/>
          <w:sz w:val="20"/>
          <w:szCs w:val="20"/>
        </w:rPr>
        <w:t>(as the demerging company) and RBS II B.V. (as the acquiring company) have</w:t>
      </w:r>
      <w:r w:rsidR="00E612CA" w:rsidRPr="00DA7B54">
        <w:rPr>
          <w:rFonts w:asciiTheme="majorHAnsi" w:hAnsiTheme="majorHAnsi" w:cstheme="majorHAnsi"/>
          <w:sz w:val="20"/>
          <w:szCs w:val="20"/>
        </w:rPr>
        <w:t xml:space="preserve"> today filed </w:t>
      </w:r>
      <w:r w:rsidR="00C621BB" w:rsidRPr="00DA7B54">
        <w:rPr>
          <w:rFonts w:asciiTheme="majorHAnsi" w:hAnsiTheme="majorHAnsi" w:cstheme="majorHAnsi"/>
          <w:sz w:val="20"/>
          <w:szCs w:val="20"/>
        </w:rPr>
        <w:t>a proposal</w:t>
      </w:r>
      <w:r w:rsidR="00E612CA" w:rsidRPr="00DA7B54">
        <w:rPr>
          <w:rFonts w:asciiTheme="majorHAnsi" w:hAnsiTheme="majorHAnsi" w:cstheme="majorHAnsi"/>
          <w:sz w:val="20"/>
          <w:szCs w:val="20"/>
        </w:rPr>
        <w:t xml:space="preserve"> with the Dutch T</w:t>
      </w:r>
      <w:r w:rsidR="00C621BB" w:rsidRPr="00DA7B54">
        <w:rPr>
          <w:rFonts w:asciiTheme="majorHAnsi" w:hAnsiTheme="majorHAnsi" w:cstheme="majorHAnsi"/>
          <w:sz w:val="20"/>
          <w:szCs w:val="20"/>
        </w:rPr>
        <w:t>rade Register</w:t>
      </w:r>
      <w:r w:rsidR="00E612CA" w:rsidRPr="00DA7B54">
        <w:rPr>
          <w:rFonts w:asciiTheme="majorHAnsi" w:hAnsiTheme="majorHAnsi" w:cstheme="majorHAnsi"/>
          <w:sz w:val="20"/>
          <w:szCs w:val="20"/>
        </w:rPr>
        <w:t xml:space="preserve"> for a legal demerger</w:t>
      </w:r>
      <w:r w:rsidR="00C52331" w:rsidRPr="00DA7B54">
        <w:rPr>
          <w:rFonts w:asciiTheme="majorHAnsi" w:hAnsiTheme="majorHAnsi" w:cstheme="majorHAnsi"/>
          <w:sz w:val="20"/>
          <w:szCs w:val="20"/>
        </w:rPr>
        <w:t xml:space="preserve"> and (2)</w:t>
      </w:r>
      <w:r w:rsidR="00E612CA" w:rsidRPr="00DA7B54">
        <w:rPr>
          <w:rFonts w:asciiTheme="majorHAnsi" w:hAnsiTheme="majorHAnsi" w:cstheme="majorHAnsi"/>
          <w:sz w:val="20"/>
          <w:szCs w:val="20"/>
        </w:rPr>
        <w:t xml:space="preserve"> </w:t>
      </w:r>
      <w:r w:rsidR="00735230" w:rsidRPr="00DA7B54">
        <w:rPr>
          <w:rFonts w:asciiTheme="majorHAnsi" w:hAnsiTheme="majorHAnsi" w:cstheme="majorHAnsi"/>
          <w:sz w:val="20"/>
          <w:szCs w:val="20"/>
        </w:rPr>
        <w:t xml:space="preserve">following a preliminary hearing at the Court of Session in Scotland, </w:t>
      </w:r>
      <w:r w:rsidR="00E612CA" w:rsidRPr="00DA7B54">
        <w:rPr>
          <w:rFonts w:asciiTheme="majorHAnsi" w:hAnsiTheme="majorHAnsi" w:cstheme="majorHAnsi"/>
          <w:sz w:val="20"/>
          <w:szCs w:val="20"/>
        </w:rPr>
        <w:t xml:space="preserve">RBS plc and RBS II B.V. </w:t>
      </w:r>
      <w:r w:rsidR="00C621BB" w:rsidRPr="00DA7B54">
        <w:rPr>
          <w:rFonts w:asciiTheme="majorHAnsi" w:hAnsiTheme="majorHAnsi" w:cstheme="majorHAnsi"/>
          <w:sz w:val="20"/>
          <w:szCs w:val="20"/>
        </w:rPr>
        <w:t>have tod</w:t>
      </w:r>
      <w:r w:rsidR="005E6508" w:rsidRPr="00DA7B54">
        <w:rPr>
          <w:rFonts w:asciiTheme="majorHAnsi" w:hAnsiTheme="majorHAnsi" w:cstheme="majorHAnsi"/>
          <w:sz w:val="20"/>
          <w:szCs w:val="20"/>
        </w:rPr>
        <w:t xml:space="preserve">ay </w:t>
      </w:r>
      <w:r w:rsidR="00735230" w:rsidRPr="00DA7B54">
        <w:rPr>
          <w:rFonts w:asciiTheme="majorHAnsi" w:hAnsiTheme="majorHAnsi" w:cstheme="majorHAnsi"/>
          <w:sz w:val="20"/>
          <w:szCs w:val="20"/>
        </w:rPr>
        <w:t>made filing</w:t>
      </w:r>
      <w:r w:rsidR="00F10507" w:rsidRPr="00DA7B54">
        <w:rPr>
          <w:rFonts w:asciiTheme="majorHAnsi" w:hAnsiTheme="majorHAnsi" w:cstheme="majorHAnsi"/>
          <w:sz w:val="20"/>
          <w:szCs w:val="20"/>
        </w:rPr>
        <w:t>s</w:t>
      </w:r>
      <w:r w:rsidR="005E6508" w:rsidRPr="00DA7B54">
        <w:rPr>
          <w:rFonts w:asciiTheme="majorHAnsi" w:hAnsiTheme="majorHAnsi" w:cstheme="majorHAnsi"/>
          <w:sz w:val="20"/>
          <w:szCs w:val="20"/>
        </w:rPr>
        <w:t xml:space="preserve"> with </w:t>
      </w:r>
      <w:r w:rsidR="00C621BB" w:rsidRPr="00DA7B54">
        <w:rPr>
          <w:rFonts w:asciiTheme="majorHAnsi" w:hAnsiTheme="majorHAnsi" w:cstheme="majorHAnsi"/>
          <w:sz w:val="20"/>
          <w:szCs w:val="20"/>
        </w:rPr>
        <w:t>Companies House</w:t>
      </w:r>
      <w:r w:rsidR="005E6508" w:rsidRPr="00DA7B54">
        <w:rPr>
          <w:rFonts w:asciiTheme="majorHAnsi" w:hAnsiTheme="majorHAnsi" w:cstheme="majorHAnsi"/>
          <w:sz w:val="20"/>
          <w:szCs w:val="20"/>
        </w:rPr>
        <w:t xml:space="preserve"> in the UK</w:t>
      </w:r>
      <w:r w:rsidR="00F10507" w:rsidRPr="00DA7B54">
        <w:rPr>
          <w:rFonts w:asciiTheme="majorHAnsi" w:hAnsiTheme="majorHAnsi" w:cstheme="majorHAnsi"/>
          <w:sz w:val="20"/>
          <w:szCs w:val="20"/>
        </w:rPr>
        <w:t xml:space="preserve"> and the Dutch Trade Register respectively</w:t>
      </w:r>
      <w:r w:rsidR="00C621BB" w:rsidRPr="00DA7B54">
        <w:rPr>
          <w:rFonts w:asciiTheme="majorHAnsi" w:hAnsiTheme="majorHAnsi" w:cstheme="majorHAnsi"/>
          <w:sz w:val="20"/>
          <w:szCs w:val="20"/>
        </w:rPr>
        <w:t xml:space="preserve"> for a </w:t>
      </w:r>
      <w:r w:rsidR="00735230" w:rsidRPr="00DA7B54">
        <w:rPr>
          <w:rFonts w:asciiTheme="majorHAnsi" w:hAnsiTheme="majorHAnsi" w:cstheme="majorHAnsi"/>
          <w:sz w:val="20"/>
          <w:szCs w:val="20"/>
        </w:rPr>
        <w:t xml:space="preserve">proposed </w:t>
      </w:r>
      <w:r w:rsidR="00C621BB" w:rsidRPr="00DA7B54">
        <w:rPr>
          <w:rFonts w:asciiTheme="majorHAnsi" w:hAnsiTheme="majorHAnsi" w:cstheme="majorHAnsi"/>
          <w:sz w:val="20"/>
          <w:szCs w:val="20"/>
        </w:rPr>
        <w:t>cross</w:t>
      </w:r>
      <w:r w:rsidR="00C52331" w:rsidRPr="00DA7B54">
        <w:rPr>
          <w:rFonts w:asciiTheme="majorHAnsi" w:hAnsiTheme="majorHAnsi" w:cstheme="majorHAnsi"/>
          <w:sz w:val="20"/>
          <w:szCs w:val="20"/>
        </w:rPr>
        <w:t>-</w:t>
      </w:r>
      <w:r w:rsidR="00C621BB" w:rsidRPr="00DA7B54">
        <w:rPr>
          <w:rFonts w:asciiTheme="majorHAnsi" w:hAnsiTheme="majorHAnsi" w:cstheme="majorHAnsi"/>
          <w:sz w:val="20"/>
          <w:szCs w:val="20"/>
        </w:rPr>
        <w:t>border merger</w:t>
      </w:r>
      <w:r w:rsidR="00735230" w:rsidRPr="00DA7B54">
        <w:rPr>
          <w:rFonts w:asciiTheme="majorHAnsi" w:hAnsiTheme="majorHAnsi" w:cstheme="majorHAnsi"/>
          <w:sz w:val="20"/>
          <w:szCs w:val="20"/>
        </w:rPr>
        <w:t xml:space="preserve"> of RBS II B.V. into RBS plc</w:t>
      </w:r>
      <w:r w:rsidR="00C621BB" w:rsidRPr="00DA7B54">
        <w:rPr>
          <w:rFonts w:asciiTheme="majorHAnsi" w:hAnsiTheme="majorHAnsi" w:cstheme="majorHAnsi"/>
          <w:sz w:val="20"/>
          <w:szCs w:val="20"/>
        </w:rPr>
        <w:t xml:space="preserve"> (together with the proposal for the legal demerger, the “Proposals”). </w:t>
      </w:r>
    </w:p>
    <w:p w:rsidR="00F45255" w:rsidRDefault="00F45255" w:rsidP="00451E2D">
      <w:pPr>
        <w:pStyle w:val="Body"/>
        <w:spacing w:after="0" w:line="240" w:lineRule="auto"/>
        <w:rPr>
          <w:rFonts w:asciiTheme="majorHAnsi" w:hAnsiTheme="majorHAnsi" w:cstheme="majorHAnsi"/>
          <w:sz w:val="20"/>
          <w:szCs w:val="20"/>
        </w:rPr>
      </w:pPr>
    </w:p>
    <w:p w:rsidR="00367708" w:rsidRDefault="00C52331" w:rsidP="00451E2D">
      <w:pPr>
        <w:pStyle w:val="Body"/>
        <w:spacing w:after="0" w:line="240" w:lineRule="auto"/>
        <w:rPr>
          <w:rFonts w:asciiTheme="majorHAnsi" w:hAnsiTheme="majorHAnsi" w:cstheme="majorHAnsi"/>
          <w:sz w:val="20"/>
          <w:szCs w:val="20"/>
        </w:rPr>
      </w:pPr>
      <w:r w:rsidRPr="00DA7B54">
        <w:rPr>
          <w:rFonts w:asciiTheme="majorHAnsi" w:hAnsiTheme="majorHAnsi" w:cstheme="majorHAnsi"/>
          <w:sz w:val="20"/>
          <w:szCs w:val="20"/>
        </w:rPr>
        <w:t>Upon implementation of t</w:t>
      </w:r>
      <w:r w:rsidR="00C621BB" w:rsidRPr="00DA7B54">
        <w:rPr>
          <w:rFonts w:asciiTheme="majorHAnsi" w:hAnsiTheme="majorHAnsi" w:cstheme="majorHAnsi"/>
          <w:sz w:val="20"/>
          <w:szCs w:val="20"/>
        </w:rPr>
        <w:t>he Proposals</w:t>
      </w:r>
      <w:r w:rsidR="005E6508" w:rsidRPr="00DA7B54">
        <w:rPr>
          <w:rFonts w:asciiTheme="majorHAnsi" w:hAnsiTheme="majorHAnsi" w:cstheme="majorHAnsi"/>
          <w:sz w:val="20"/>
          <w:szCs w:val="20"/>
        </w:rPr>
        <w:t xml:space="preserve">, </w:t>
      </w:r>
      <w:r w:rsidR="00651CFA" w:rsidRPr="00DA7B54">
        <w:rPr>
          <w:rFonts w:asciiTheme="majorHAnsi" w:hAnsiTheme="majorHAnsi" w:cstheme="majorHAnsi"/>
          <w:sz w:val="20"/>
          <w:szCs w:val="20"/>
        </w:rPr>
        <w:t xml:space="preserve">a substantial part of the business </w:t>
      </w:r>
      <w:r w:rsidR="00FD2E55" w:rsidRPr="00DA7B54">
        <w:rPr>
          <w:rFonts w:asciiTheme="majorHAnsi" w:hAnsiTheme="majorHAnsi" w:cstheme="majorHAnsi"/>
          <w:sz w:val="20"/>
          <w:szCs w:val="20"/>
        </w:rPr>
        <w:t>conducted by</w:t>
      </w:r>
      <w:r w:rsidR="00651CFA" w:rsidRPr="00DA7B54">
        <w:rPr>
          <w:rFonts w:asciiTheme="majorHAnsi" w:hAnsiTheme="majorHAnsi" w:cstheme="majorHAnsi"/>
          <w:sz w:val="20"/>
          <w:szCs w:val="20"/>
        </w:rPr>
        <w:t xml:space="preserve"> RBS N.V.</w:t>
      </w:r>
      <w:r w:rsidR="001835E1" w:rsidRPr="00DA7B54">
        <w:rPr>
          <w:rFonts w:asciiTheme="majorHAnsi" w:hAnsiTheme="majorHAnsi" w:cstheme="majorHAnsi"/>
          <w:sz w:val="20"/>
          <w:szCs w:val="20"/>
        </w:rPr>
        <w:t xml:space="preserve"> </w:t>
      </w:r>
      <w:r w:rsidR="00FD2E55" w:rsidRPr="00DA7B54">
        <w:rPr>
          <w:rFonts w:asciiTheme="majorHAnsi" w:hAnsiTheme="majorHAnsi" w:cstheme="majorHAnsi"/>
          <w:sz w:val="20"/>
          <w:szCs w:val="20"/>
        </w:rPr>
        <w:t>in the Netherlands as</w:t>
      </w:r>
      <w:r w:rsidR="001835E1" w:rsidRPr="00DA7B54">
        <w:rPr>
          <w:rFonts w:asciiTheme="majorHAnsi" w:hAnsiTheme="majorHAnsi" w:cstheme="majorHAnsi"/>
          <w:sz w:val="20"/>
          <w:szCs w:val="20"/>
        </w:rPr>
        <w:t xml:space="preserve"> well as</w:t>
      </w:r>
      <w:r w:rsidR="00FD2E55" w:rsidRPr="00DA7B54">
        <w:rPr>
          <w:rFonts w:asciiTheme="majorHAnsi" w:hAnsiTheme="majorHAnsi" w:cstheme="majorHAnsi"/>
          <w:sz w:val="20"/>
          <w:szCs w:val="20"/>
        </w:rPr>
        <w:t xml:space="preserve"> in cer</w:t>
      </w:r>
      <w:r w:rsidR="00D003F2" w:rsidRPr="00DA7B54">
        <w:rPr>
          <w:rFonts w:asciiTheme="majorHAnsi" w:hAnsiTheme="majorHAnsi" w:cstheme="majorHAnsi"/>
          <w:sz w:val="20"/>
          <w:szCs w:val="20"/>
        </w:rPr>
        <w:t>tain EMEA</w:t>
      </w:r>
      <w:r w:rsidR="001F7474" w:rsidRPr="00DA7B54">
        <w:rPr>
          <w:rFonts w:asciiTheme="majorHAnsi" w:hAnsiTheme="majorHAnsi" w:cstheme="majorHAnsi"/>
          <w:sz w:val="20"/>
          <w:szCs w:val="20"/>
        </w:rPr>
        <w:t xml:space="preserve"> branches of RBS N.V.</w:t>
      </w:r>
      <w:r w:rsidR="002E3B73" w:rsidRPr="002E3B73">
        <w:rPr>
          <w:rFonts w:asciiTheme="majorHAnsi" w:hAnsiTheme="majorHAnsi" w:cstheme="majorHAnsi"/>
          <w:sz w:val="20"/>
          <w:szCs w:val="20"/>
          <w:vertAlign w:val="superscript"/>
        </w:rPr>
        <w:t>3</w:t>
      </w:r>
      <w:r w:rsidR="00651CFA" w:rsidRPr="00DA7B54">
        <w:rPr>
          <w:rFonts w:asciiTheme="majorHAnsi" w:hAnsiTheme="majorHAnsi" w:cstheme="majorHAnsi"/>
          <w:sz w:val="20"/>
          <w:szCs w:val="20"/>
        </w:rPr>
        <w:t xml:space="preserve"> (the </w:t>
      </w:r>
      <w:r w:rsidR="001835E1" w:rsidRPr="00DA7B54">
        <w:rPr>
          <w:rFonts w:asciiTheme="majorHAnsi" w:hAnsiTheme="majorHAnsi" w:cstheme="majorHAnsi"/>
          <w:sz w:val="20"/>
          <w:szCs w:val="20"/>
        </w:rPr>
        <w:t>“Transferring Businesses</w:t>
      </w:r>
      <w:r w:rsidR="00651CFA" w:rsidRPr="00DA7B54">
        <w:rPr>
          <w:rFonts w:asciiTheme="majorHAnsi" w:hAnsiTheme="majorHAnsi" w:cstheme="majorHAnsi"/>
          <w:sz w:val="20"/>
          <w:szCs w:val="20"/>
        </w:rPr>
        <w:t>”)</w:t>
      </w:r>
      <w:r w:rsidR="00292F93" w:rsidRPr="00DA7B54">
        <w:rPr>
          <w:rFonts w:asciiTheme="majorHAnsi" w:hAnsiTheme="majorHAnsi" w:cstheme="majorHAnsi"/>
          <w:sz w:val="20"/>
          <w:szCs w:val="20"/>
        </w:rPr>
        <w:t xml:space="preserve"> will be transferred to RBS plc</w:t>
      </w:r>
      <w:r w:rsidR="001B06B8" w:rsidRPr="00DA7B54">
        <w:rPr>
          <w:rFonts w:asciiTheme="majorHAnsi" w:hAnsiTheme="majorHAnsi" w:cstheme="majorHAnsi"/>
          <w:sz w:val="20"/>
          <w:szCs w:val="20"/>
        </w:rPr>
        <w:t xml:space="preserve">. </w:t>
      </w:r>
      <w:r w:rsidR="005E6508" w:rsidRPr="00DA7B54">
        <w:rPr>
          <w:rFonts w:asciiTheme="majorHAnsi" w:hAnsiTheme="majorHAnsi" w:cstheme="majorHAnsi"/>
          <w:sz w:val="20"/>
          <w:szCs w:val="20"/>
        </w:rPr>
        <w:t>The</w:t>
      </w:r>
      <w:r w:rsidR="001835E1" w:rsidRPr="00DA7B54">
        <w:rPr>
          <w:rFonts w:asciiTheme="majorHAnsi" w:hAnsiTheme="majorHAnsi" w:cstheme="majorHAnsi"/>
          <w:sz w:val="20"/>
          <w:szCs w:val="20"/>
        </w:rPr>
        <w:t xml:space="preserve"> </w:t>
      </w:r>
      <w:r w:rsidR="005E6508" w:rsidRPr="00DA7B54">
        <w:rPr>
          <w:rFonts w:asciiTheme="majorHAnsi" w:hAnsiTheme="majorHAnsi" w:cstheme="majorHAnsi"/>
          <w:sz w:val="20"/>
          <w:szCs w:val="20"/>
        </w:rPr>
        <w:t xml:space="preserve">Proposals will be implemented by the demerger of </w:t>
      </w:r>
      <w:r w:rsidR="001835E1" w:rsidRPr="00DA7B54">
        <w:rPr>
          <w:rFonts w:asciiTheme="majorHAnsi" w:hAnsiTheme="majorHAnsi" w:cstheme="majorHAnsi"/>
          <w:sz w:val="20"/>
          <w:szCs w:val="20"/>
        </w:rPr>
        <w:t xml:space="preserve">the Transferring Businesses into RBS II B.V. </w:t>
      </w:r>
      <w:r w:rsidR="00F45255">
        <w:rPr>
          <w:rFonts w:asciiTheme="majorHAnsi" w:hAnsiTheme="majorHAnsi" w:cstheme="majorHAnsi"/>
          <w:sz w:val="20"/>
          <w:szCs w:val="20"/>
        </w:rPr>
        <w:t>(</w:t>
      </w:r>
      <w:r w:rsidR="00F45255" w:rsidRPr="00DA7B54">
        <w:rPr>
          <w:rFonts w:asciiTheme="majorHAnsi" w:hAnsiTheme="majorHAnsi" w:cstheme="majorHAnsi"/>
          <w:sz w:val="20"/>
          <w:szCs w:val="20"/>
        </w:rPr>
        <w:t>a Dutch company licensed as a bank in The Netherlands that has been established specifically for the purposes of the Dutch Scheme</w:t>
      </w:r>
      <w:r w:rsidR="00F45255">
        <w:rPr>
          <w:rFonts w:asciiTheme="majorHAnsi" w:hAnsiTheme="majorHAnsi" w:cstheme="majorHAnsi"/>
          <w:sz w:val="20"/>
          <w:szCs w:val="20"/>
        </w:rPr>
        <w:t xml:space="preserve">) </w:t>
      </w:r>
      <w:r w:rsidR="005E6508" w:rsidRPr="00DA7B54">
        <w:rPr>
          <w:rFonts w:asciiTheme="majorHAnsi" w:hAnsiTheme="majorHAnsi" w:cstheme="majorHAnsi"/>
          <w:sz w:val="20"/>
          <w:szCs w:val="20"/>
        </w:rPr>
        <w:t>by</w:t>
      </w:r>
      <w:r w:rsidR="001835E1" w:rsidRPr="00DA7B54">
        <w:rPr>
          <w:rFonts w:asciiTheme="majorHAnsi" w:hAnsiTheme="majorHAnsi" w:cstheme="majorHAnsi"/>
          <w:sz w:val="20"/>
          <w:szCs w:val="20"/>
        </w:rPr>
        <w:t xml:space="preserve"> </w:t>
      </w:r>
      <w:r w:rsidR="005E6508" w:rsidRPr="00DA7B54">
        <w:rPr>
          <w:rFonts w:asciiTheme="majorHAnsi" w:hAnsiTheme="majorHAnsi" w:cstheme="majorHAnsi"/>
          <w:sz w:val="20"/>
          <w:szCs w:val="20"/>
        </w:rPr>
        <w:t xml:space="preserve">way of </w:t>
      </w:r>
      <w:r w:rsidR="001835E1" w:rsidRPr="00DA7B54">
        <w:rPr>
          <w:rFonts w:asciiTheme="majorHAnsi" w:hAnsiTheme="majorHAnsi" w:cstheme="majorHAnsi"/>
          <w:sz w:val="20"/>
          <w:szCs w:val="20"/>
        </w:rPr>
        <w:t xml:space="preserve">a Dutch statutory demerger </w:t>
      </w:r>
      <w:r w:rsidR="001F7474" w:rsidRPr="00DA7B54">
        <w:rPr>
          <w:rFonts w:asciiTheme="majorHAnsi" w:hAnsiTheme="majorHAnsi" w:cstheme="majorHAnsi"/>
          <w:sz w:val="20"/>
          <w:szCs w:val="20"/>
        </w:rPr>
        <w:t>(the “Demerger”)</w:t>
      </w:r>
      <w:r w:rsidR="005E6508" w:rsidRPr="00DA7B54">
        <w:rPr>
          <w:rFonts w:asciiTheme="majorHAnsi" w:hAnsiTheme="majorHAnsi" w:cstheme="majorHAnsi"/>
          <w:sz w:val="20"/>
          <w:szCs w:val="20"/>
        </w:rPr>
        <w:t>,</w:t>
      </w:r>
      <w:r w:rsidR="001F7474" w:rsidRPr="00DA7B54">
        <w:rPr>
          <w:rFonts w:asciiTheme="majorHAnsi" w:hAnsiTheme="majorHAnsi" w:cstheme="majorHAnsi"/>
          <w:sz w:val="20"/>
          <w:szCs w:val="20"/>
        </w:rPr>
        <w:t xml:space="preserve"> </w:t>
      </w:r>
      <w:r w:rsidR="00735230" w:rsidRPr="00DA7B54">
        <w:rPr>
          <w:rFonts w:asciiTheme="majorHAnsi" w:hAnsiTheme="majorHAnsi" w:cstheme="majorHAnsi"/>
          <w:sz w:val="20"/>
          <w:szCs w:val="20"/>
        </w:rPr>
        <w:t>followed by the merger</w:t>
      </w:r>
      <w:r w:rsidR="001835E1" w:rsidRPr="00DA7B54">
        <w:rPr>
          <w:rFonts w:asciiTheme="majorHAnsi" w:hAnsiTheme="majorHAnsi" w:cstheme="majorHAnsi"/>
          <w:sz w:val="20"/>
          <w:szCs w:val="20"/>
        </w:rPr>
        <w:t xml:space="preserve"> of RBS II B.V. </w:t>
      </w:r>
      <w:r w:rsidR="00735230" w:rsidRPr="00DA7B54">
        <w:rPr>
          <w:rFonts w:asciiTheme="majorHAnsi" w:hAnsiTheme="majorHAnsi" w:cstheme="majorHAnsi"/>
          <w:sz w:val="20"/>
          <w:szCs w:val="20"/>
        </w:rPr>
        <w:t>into</w:t>
      </w:r>
      <w:r w:rsidR="005E6508" w:rsidRPr="00DA7B54">
        <w:rPr>
          <w:rFonts w:asciiTheme="majorHAnsi" w:hAnsiTheme="majorHAnsi" w:cstheme="majorHAnsi"/>
          <w:sz w:val="20"/>
          <w:szCs w:val="20"/>
        </w:rPr>
        <w:t xml:space="preserve"> RBS plc through a cross-</w:t>
      </w:r>
      <w:r w:rsidR="001835E1" w:rsidRPr="00DA7B54">
        <w:rPr>
          <w:rFonts w:asciiTheme="majorHAnsi" w:hAnsiTheme="majorHAnsi" w:cstheme="majorHAnsi"/>
          <w:sz w:val="20"/>
          <w:szCs w:val="20"/>
        </w:rPr>
        <w:t>border merger (</w:t>
      </w:r>
      <w:r w:rsidR="008667D9" w:rsidRPr="00DA7B54">
        <w:rPr>
          <w:rFonts w:asciiTheme="majorHAnsi" w:hAnsiTheme="majorHAnsi" w:cstheme="majorHAnsi"/>
          <w:sz w:val="20"/>
          <w:szCs w:val="20"/>
        </w:rPr>
        <w:t>the “Merger” and</w:t>
      </w:r>
      <w:r w:rsidR="00EE278A" w:rsidRPr="00DA7B54">
        <w:rPr>
          <w:rFonts w:asciiTheme="majorHAnsi" w:hAnsiTheme="majorHAnsi" w:cstheme="majorHAnsi"/>
          <w:sz w:val="20"/>
          <w:szCs w:val="20"/>
        </w:rPr>
        <w:t>,</w:t>
      </w:r>
      <w:r w:rsidR="008667D9" w:rsidRPr="00DA7B54">
        <w:rPr>
          <w:rFonts w:asciiTheme="majorHAnsi" w:hAnsiTheme="majorHAnsi" w:cstheme="majorHAnsi"/>
          <w:sz w:val="20"/>
          <w:szCs w:val="20"/>
        </w:rPr>
        <w:t xml:space="preserve"> </w:t>
      </w:r>
      <w:r w:rsidR="001F7474" w:rsidRPr="00DA7B54">
        <w:rPr>
          <w:rFonts w:asciiTheme="majorHAnsi" w:hAnsiTheme="majorHAnsi" w:cstheme="majorHAnsi"/>
          <w:sz w:val="20"/>
          <w:szCs w:val="20"/>
        </w:rPr>
        <w:t>together with the D</w:t>
      </w:r>
      <w:r w:rsidR="001835E1" w:rsidRPr="00DA7B54">
        <w:rPr>
          <w:rFonts w:asciiTheme="majorHAnsi" w:hAnsiTheme="majorHAnsi" w:cstheme="majorHAnsi"/>
          <w:sz w:val="20"/>
          <w:szCs w:val="20"/>
        </w:rPr>
        <w:t>emerger</w:t>
      </w:r>
      <w:r w:rsidRPr="00DA7B54">
        <w:rPr>
          <w:rFonts w:asciiTheme="majorHAnsi" w:hAnsiTheme="majorHAnsi" w:cstheme="majorHAnsi"/>
          <w:sz w:val="20"/>
          <w:szCs w:val="20"/>
        </w:rPr>
        <w:t>,</w:t>
      </w:r>
      <w:r w:rsidR="001835E1" w:rsidRPr="00DA7B54">
        <w:rPr>
          <w:rFonts w:asciiTheme="majorHAnsi" w:hAnsiTheme="majorHAnsi" w:cstheme="majorHAnsi"/>
          <w:sz w:val="20"/>
          <w:szCs w:val="20"/>
        </w:rPr>
        <w:t xml:space="preserve"> the “Dutch Scheme”)</w:t>
      </w:r>
      <w:r w:rsidR="006E049E" w:rsidRPr="00DA7B54">
        <w:rPr>
          <w:rFonts w:asciiTheme="majorHAnsi" w:hAnsiTheme="majorHAnsi" w:cstheme="majorHAnsi"/>
          <w:sz w:val="20"/>
          <w:szCs w:val="20"/>
        </w:rPr>
        <w:t xml:space="preserve">. </w:t>
      </w:r>
      <w:r w:rsidR="00F45255" w:rsidRPr="00DA7B54">
        <w:rPr>
          <w:rFonts w:asciiTheme="majorHAnsi" w:hAnsiTheme="majorHAnsi" w:cstheme="majorHAnsi"/>
          <w:sz w:val="20"/>
          <w:szCs w:val="20"/>
        </w:rPr>
        <w:t>RBS plc and RBS N.V. have discussed the Dutch Scheme in detail with De Nederlandsche Bank and the Financial Services Authority.</w:t>
      </w:r>
    </w:p>
    <w:p w:rsidR="00E72F88" w:rsidRDefault="00E72F88" w:rsidP="00451E2D">
      <w:pPr>
        <w:pStyle w:val="Body"/>
        <w:spacing w:after="0" w:line="240" w:lineRule="auto"/>
        <w:rPr>
          <w:rFonts w:asciiTheme="majorHAnsi" w:hAnsiTheme="majorHAnsi" w:cstheme="majorHAnsi"/>
          <w:b/>
          <w:bCs/>
          <w:sz w:val="20"/>
          <w:szCs w:val="20"/>
        </w:rPr>
      </w:pPr>
    </w:p>
    <w:p w:rsidR="00451E2D" w:rsidRPr="00DA7B54" w:rsidRDefault="00D74BF7" w:rsidP="00451E2D">
      <w:pPr>
        <w:pStyle w:val="Body"/>
        <w:spacing w:after="0" w:line="240" w:lineRule="auto"/>
        <w:rPr>
          <w:rFonts w:asciiTheme="majorHAnsi" w:hAnsiTheme="majorHAnsi" w:cstheme="majorHAnsi"/>
          <w:b/>
          <w:bCs/>
          <w:sz w:val="20"/>
          <w:szCs w:val="20"/>
        </w:rPr>
      </w:pPr>
      <w:r w:rsidRPr="00DA7B54">
        <w:rPr>
          <w:rFonts w:asciiTheme="majorHAnsi" w:hAnsiTheme="majorHAnsi" w:cstheme="majorHAnsi"/>
          <w:sz w:val="20"/>
          <w:szCs w:val="20"/>
        </w:rPr>
        <w:t xml:space="preserve">Implementation of the </w:t>
      </w:r>
      <w:r w:rsidR="00735230" w:rsidRPr="00DA7B54">
        <w:rPr>
          <w:rFonts w:asciiTheme="majorHAnsi" w:hAnsiTheme="majorHAnsi" w:cstheme="majorHAnsi"/>
          <w:sz w:val="20"/>
          <w:szCs w:val="20"/>
        </w:rPr>
        <w:t>Dutch Scheme</w:t>
      </w:r>
      <w:r w:rsidRPr="00DA7B54">
        <w:rPr>
          <w:rFonts w:asciiTheme="majorHAnsi" w:hAnsiTheme="majorHAnsi" w:cstheme="majorHAnsi"/>
          <w:sz w:val="20"/>
          <w:szCs w:val="20"/>
        </w:rPr>
        <w:t xml:space="preserve"> is subject, amongst other matters, to </w:t>
      </w:r>
      <w:r w:rsidR="00E931E2" w:rsidRPr="00DA7B54">
        <w:rPr>
          <w:rFonts w:asciiTheme="majorHAnsi" w:hAnsiTheme="majorHAnsi" w:cstheme="majorHAnsi"/>
          <w:sz w:val="20"/>
          <w:szCs w:val="20"/>
        </w:rPr>
        <w:t>regulatory and court approvals</w:t>
      </w:r>
      <w:r w:rsidRPr="00DA7B54">
        <w:rPr>
          <w:rFonts w:asciiTheme="majorHAnsi" w:hAnsiTheme="majorHAnsi" w:cstheme="majorHAnsi"/>
          <w:sz w:val="20"/>
          <w:szCs w:val="20"/>
        </w:rPr>
        <w:t>.</w:t>
      </w:r>
      <w:r w:rsidR="00A65E93" w:rsidRPr="00DA7B54">
        <w:rPr>
          <w:rFonts w:asciiTheme="majorHAnsi" w:hAnsiTheme="majorHAnsi" w:cstheme="majorHAnsi"/>
          <w:sz w:val="20"/>
          <w:szCs w:val="20"/>
        </w:rPr>
        <w:t xml:space="preserve">  If granted, the regulatory approvals will be granted on the basis that the Demerger will not proceed unless the Merger is to proceed thereafter.  Subject to these matters, it is expected that the Dutch Scheme will take effect on 9 July 201</w:t>
      </w:r>
      <w:r w:rsidR="00EE278A" w:rsidRPr="00DA7B54">
        <w:rPr>
          <w:rFonts w:asciiTheme="majorHAnsi" w:hAnsiTheme="majorHAnsi" w:cstheme="majorHAnsi"/>
          <w:sz w:val="20"/>
          <w:szCs w:val="20"/>
        </w:rPr>
        <w:t>2</w:t>
      </w:r>
      <w:r w:rsidR="00A65E93" w:rsidRPr="00DA7B54">
        <w:rPr>
          <w:rFonts w:asciiTheme="majorHAnsi" w:hAnsiTheme="majorHAnsi" w:cstheme="majorHAnsi"/>
          <w:sz w:val="20"/>
          <w:szCs w:val="20"/>
        </w:rPr>
        <w:t>.</w:t>
      </w:r>
      <w:r w:rsidR="00A65E93" w:rsidRPr="00DA7B54">
        <w:rPr>
          <w:rFonts w:asciiTheme="majorHAnsi" w:hAnsiTheme="majorHAnsi" w:cstheme="majorHAnsi"/>
          <w:b/>
          <w:bCs/>
          <w:sz w:val="20"/>
          <w:szCs w:val="20"/>
        </w:rPr>
        <w:t xml:space="preserve"> </w:t>
      </w:r>
    </w:p>
    <w:p w:rsidR="00451E2D" w:rsidRPr="00DA7B54" w:rsidRDefault="00451E2D" w:rsidP="00451E2D">
      <w:pPr>
        <w:pStyle w:val="Body"/>
        <w:spacing w:after="0" w:line="240" w:lineRule="auto"/>
        <w:rPr>
          <w:rFonts w:asciiTheme="majorHAnsi" w:hAnsiTheme="majorHAnsi" w:cstheme="majorHAnsi"/>
          <w:sz w:val="20"/>
          <w:szCs w:val="20"/>
        </w:rPr>
      </w:pPr>
    </w:p>
    <w:p w:rsidR="00451E2D" w:rsidRPr="00DA7B54" w:rsidRDefault="00D97E08" w:rsidP="00451E2D">
      <w:pPr>
        <w:pStyle w:val="Body"/>
        <w:spacing w:after="0" w:line="240" w:lineRule="auto"/>
        <w:rPr>
          <w:rFonts w:asciiTheme="majorHAnsi" w:hAnsiTheme="majorHAnsi" w:cstheme="majorHAnsi"/>
          <w:sz w:val="20"/>
          <w:szCs w:val="20"/>
        </w:rPr>
      </w:pPr>
      <w:r w:rsidRPr="00DA7B54">
        <w:rPr>
          <w:rFonts w:asciiTheme="majorHAnsi" w:hAnsiTheme="majorHAnsi" w:cstheme="majorHAnsi"/>
          <w:sz w:val="20"/>
          <w:szCs w:val="20"/>
        </w:rPr>
        <w:t xml:space="preserve">The </w:t>
      </w:r>
      <w:r w:rsidR="00E931E2" w:rsidRPr="00DA7B54">
        <w:rPr>
          <w:rFonts w:asciiTheme="majorHAnsi" w:hAnsiTheme="majorHAnsi" w:cstheme="majorHAnsi"/>
          <w:sz w:val="20"/>
          <w:szCs w:val="20"/>
        </w:rPr>
        <w:t xml:space="preserve">detailed </w:t>
      </w:r>
      <w:r w:rsidRPr="00DA7B54">
        <w:rPr>
          <w:rFonts w:asciiTheme="majorHAnsi" w:hAnsiTheme="majorHAnsi" w:cstheme="majorHAnsi"/>
          <w:sz w:val="20"/>
          <w:szCs w:val="20"/>
        </w:rPr>
        <w:t>proposal</w:t>
      </w:r>
      <w:r w:rsidR="00E931E2" w:rsidRPr="00DA7B54">
        <w:rPr>
          <w:rFonts w:asciiTheme="majorHAnsi" w:hAnsiTheme="majorHAnsi" w:cstheme="majorHAnsi"/>
          <w:sz w:val="20"/>
          <w:szCs w:val="20"/>
        </w:rPr>
        <w:t>s</w:t>
      </w:r>
      <w:r w:rsidRPr="00DA7B54">
        <w:rPr>
          <w:rFonts w:asciiTheme="majorHAnsi" w:hAnsiTheme="majorHAnsi" w:cstheme="majorHAnsi"/>
          <w:sz w:val="20"/>
          <w:szCs w:val="20"/>
        </w:rPr>
        <w:t xml:space="preserve"> for the Demerger</w:t>
      </w:r>
      <w:r w:rsidR="00E931E2" w:rsidRPr="00DA7B54">
        <w:rPr>
          <w:rFonts w:asciiTheme="majorHAnsi" w:hAnsiTheme="majorHAnsi" w:cstheme="majorHAnsi"/>
          <w:sz w:val="20"/>
          <w:szCs w:val="20"/>
        </w:rPr>
        <w:t xml:space="preserve"> and the </w:t>
      </w:r>
      <w:r w:rsidR="002827D5" w:rsidRPr="00DA7B54">
        <w:rPr>
          <w:rFonts w:asciiTheme="majorHAnsi" w:hAnsiTheme="majorHAnsi" w:cstheme="majorHAnsi"/>
          <w:sz w:val="20"/>
          <w:szCs w:val="20"/>
        </w:rPr>
        <w:t>M</w:t>
      </w:r>
      <w:r w:rsidR="00E931E2" w:rsidRPr="00DA7B54">
        <w:rPr>
          <w:rFonts w:asciiTheme="majorHAnsi" w:hAnsiTheme="majorHAnsi" w:cstheme="majorHAnsi"/>
          <w:sz w:val="20"/>
          <w:szCs w:val="20"/>
        </w:rPr>
        <w:t>erger</w:t>
      </w:r>
      <w:r w:rsidRPr="00DA7B54">
        <w:rPr>
          <w:rFonts w:asciiTheme="majorHAnsi" w:hAnsiTheme="majorHAnsi" w:cstheme="majorHAnsi"/>
          <w:sz w:val="20"/>
          <w:szCs w:val="20"/>
        </w:rPr>
        <w:t xml:space="preserve"> </w:t>
      </w:r>
      <w:r w:rsidR="00E931E2" w:rsidRPr="00DA7B54">
        <w:rPr>
          <w:rFonts w:asciiTheme="majorHAnsi" w:hAnsiTheme="majorHAnsi" w:cstheme="majorHAnsi"/>
          <w:sz w:val="20"/>
          <w:szCs w:val="20"/>
        </w:rPr>
        <w:t>are</w:t>
      </w:r>
      <w:r w:rsidRPr="00DA7B54">
        <w:rPr>
          <w:rFonts w:asciiTheme="majorHAnsi" w:hAnsiTheme="majorHAnsi" w:cstheme="majorHAnsi"/>
          <w:sz w:val="20"/>
          <w:szCs w:val="20"/>
        </w:rPr>
        <w:t xml:space="preserve"> available for inspection at the Dutch Trade Register</w:t>
      </w:r>
      <w:r w:rsidR="00C428E0" w:rsidRPr="00DA7B54">
        <w:rPr>
          <w:rFonts w:asciiTheme="majorHAnsi" w:hAnsiTheme="majorHAnsi" w:cstheme="majorHAnsi"/>
          <w:sz w:val="20"/>
          <w:szCs w:val="20"/>
        </w:rPr>
        <w:t xml:space="preserve"> and can be viewed at </w:t>
      </w:r>
      <w:r w:rsidR="00F62A3C" w:rsidRPr="00DA7B54">
        <w:rPr>
          <w:rFonts w:asciiTheme="majorHAnsi" w:hAnsiTheme="majorHAnsi" w:cstheme="majorHAnsi"/>
          <w:i/>
          <w:iCs/>
          <w:sz w:val="20"/>
          <w:szCs w:val="20"/>
        </w:rPr>
        <w:t>http://www.investors.rbs.com/RBS_NV</w:t>
      </w:r>
      <w:r w:rsidR="006E049E" w:rsidRPr="00DA7B54">
        <w:rPr>
          <w:rFonts w:asciiTheme="majorHAnsi" w:hAnsiTheme="majorHAnsi" w:cstheme="majorHAnsi"/>
          <w:sz w:val="20"/>
          <w:szCs w:val="20"/>
        </w:rPr>
        <w:t>.</w:t>
      </w:r>
      <w:r w:rsidRPr="00DA7B54">
        <w:rPr>
          <w:rFonts w:asciiTheme="majorHAnsi" w:hAnsiTheme="majorHAnsi" w:cstheme="majorHAnsi"/>
          <w:sz w:val="20"/>
          <w:szCs w:val="20"/>
        </w:rPr>
        <w:t xml:space="preserve"> </w:t>
      </w:r>
    </w:p>
    <w:p w:rsidR="00451E2D" w:rsidRPr="00DA7B54" w:rsidRDefault="00451E2D" w:rsidP="00451E2D">
      <w:pPr>
        <w:pStyle w:val="Body1"/>
        <w:spacing w:after="0" w:line="240" w:lineRule="auto"/>
        <w:ind w:left="0"/>
        <w:rPr>
          <w:rFonts w:asciiTheme="majorHAnsi" w:hAnsiTheme="majorHAnsi" w:cstheme="majorHAnsi"/>
          <w:sz w:val="20"/>
          <w:szCs w:val="20"/>
        </w:rPr>
      </w:pPr>
    </w:p>
    <w:p w:rsidR="00AD15AE" w:rsidRDefault="00C52331" w:rsidP="00451E2D">
      <w:pPr>
        <w:pStyle w:val="Body"/>
        <w:spacing w:after="0" w:line="240" w:lineRule="auto"/>
        <w:rPr>
          <w:rFonts w:asciiTheme="majorHAnsi" w:hAnsiTheme="majorHAnsi" w:cstheme="majorHAnsi"/>
          <w:sz w:val="20"/>
          <w:szCs w:val="20"/>
        </w:rPr>
      </w:pPr>
      <w:r w:rsidRPr="00DA7B54">
        <w:rPr>
          <w:rFonts w:asciiTheme="majorHAnsi" w:hAnsiTheme="majorHAnsi" w:cstheme="majorHAnsi"/>
          <w:sz w:val="20"/>
          <w:szCs w:val="20"/>
        </w:rPr>
        <w:t xml:space="preserve">The Dutch Scheme </w:t>
      </w:r>
      <w:r w:rsidR="00E52CA9">
        <w:rPr>
          <w:rFonts w:asciiTheme="majorHAnsi" w:hAnsiTheme="majorHAnsi" w:cstheme="majorHAnsi"/>
          <w:sz w:val="20"/>
          <w:szCs w:val="20"/>
        </w:rPr>
        <w:t>(</w:t>
      </w:r>
      <w:r w:rsidRPr="00DA7B54">
        <w:rPr>
          <w:rFonts w:asciiTheme="majorHAnsi" w:hAnsiTheme="majorHAnsi" w:cstheme="majorHAnsi"/>
          <w:sz w:val="20"/>
          <w:szCs w:val="20"/>
        </w:rPr>
        <w:t>if implemented</w:t>
      </w:r>
      <w:r w:rsidR="00E52CA9">
        <w:rPr>
          <w:rFonts w:asciiTheme="majorHAnsi" w:hAnsiTheme="majorHAnsi" w:cstheme="majorHAnsi"/>
          <w:sz w:val="20"/>
          <w:szCs w:val="20"/>
        </w:rPr>
        <w:t>)</w:t>
      </w:r>
      <w:r w:rsidRPr="00DA7B54">
        <w:rPr>
          <w:rFonts w:asciiTheme="majorHAnsi" w:hAnsiTheme="majorHAnsi" w:cstheme="majorHAnsi"/>
          <w:sz w:val="20"/>
          <w:szCs w:val="20"/>
        </w:rPr>
        <w:t xml:space="preserve"> is a further step in relation to the proposed transfers of a substantial part of the business activities of RBS N.V. to RBS plc (the “Proposed Transfers”) announced on 19 April 2011 (</w:t>
      </w:r>
      <w:r w:rsidR="0019627C">
        <w:rPr>
          <w:rFonts w:asciiTheme="majorHAnsi" w:hAnsiTheme="majorHAnsi" w:cstheme="majorHAnsi"/>
          <w:sz w:val="20"/>
          <w:szCs w:val="20"/>
        </w:rPr>
        <w:t>see</w:t>
      </w:r>
      <w:r w:rsidR="006B4E64" w:rsidRPr="00DA7B54">
        <w:rPr>
          <w:rFonts w:asciiTheme="majorHAnsi" w:hAnsiTheme="majorHAnsi" w:cstheme="majorHAnsi"/>
          <w:sz w:val="20"/>
          <w:szCs w:val="20"/>
        </w:rPr>
        <w:t xml:space="preserve"> </w:t>
      </w:r>
      <w:hyperlink r:id="rId9" w:history="1">
        <w:r w:rsidRPr="00DA7B54">
          <w:rPr>
            <w:rFonts w:asciiTheme="majorHAnsi" w:hAnsiTheme="majorHAnsi" w:cstheme="majorHAnsi"/>
            <w:i/>
            <w:iCs/>
            <w:sz w:val="20"/>
            <w:szCs w:val="20"/>
          </w:rPr>
          <w:t>http://www.investors.rbs.com/RBS_NV</w:t>
        </w:r>
      </w:hyperlink>
      <w:r w:rsidRPr="00DA7B54">
        <w:rPr>
          <w:rFonts w:asciiTheme="majorHAnsi" w:hAnsiTheme="majorHAnsi" w:cstheme="majorHAnsi"/>
          <w:sz w:val="20"/>
          <w:szCs w:val="20"/>
        </w:rPr>
        <w:t xml:space="preserve">) and is consistent with </w:t>
      </w:r>
      <w:r w:rsidR="00C12DBA" w:rsidRPr="00DA7B54">
        <w:rPr>
          <w:rFonts w:asciiTheme="majorHAnsi" w:hAnsiTheme="majorHAnsi" w:cstheme="majorHAnsi"/>
          <w:sz w:val="20"/>
          <w:szCs w:val="20"/>
        </w:rPr>
        <w:t>RBSG</w:t>
      </w:r>
      <w:r w:rsidRPr="00DA7B54">
        <w:rPr>
          <w:rFonts w:asciiTheme="majorHAnsi" w:hAnsiTheme="majorHAnsi" w:cstheme="majorHAnsi"/>
          <w:sz w:val="20"/>
          <w:szCs w:val="20"/>
        </w:rPr>
        <w:t>’s efforts to simplify its structure, thereby reducing risk, cost and complexity. In addition, the Proposed Transfers are expected to result in a simplified management and reporting framework for the RBS Group across the multiple jurisdictions in which RBS plc and RBS N.V. operate.</w:t>
      </w:r>
      <w:r w:rsidR="00AD15AE" w:rsidRPr="00DA7B54">
        <w:rPr>
          <w:rFonts w:asciiTheme="majorHAnsi" w:hAnsiTheme="majorHAnsi" w:cstheme="majorHAnsi"/>
          <w:sz w:val="20"/>
          <w:szCs w:val="20"/>
        </w:rPr>
        <w:t xml:space="preserve"> </w:t>
      </w:r>
    </w:p>
    <w:p w:rsidR="00E72F88" w:rsidRDefault="00E72F88" w:rsidP="00451E2D">
      <w:pPr>
        <w:pStyle w:val="Body"/>
        <w:spacing w:after="0" w:line="240" w:lineRule="auto"/>
        <w:rPr>
          <w:rFonts w:asciiTheme="majorHAnsi" w:hAnsiTheme="majorHAnsi" w:cstheme="majorHAnsi"/>
          <w:sz w:val="20"/>
          <w:szCs w:val="20"/>
        </w:rPr>
      </w:pPr>
    </w:p>
    <w:p w:rsidR="00E72F88" w:rsidRDefault="00E72F88" w:rsidP="00451E2D">
      <w:pPr>
        <w:pStyle w:val="Body"/>
        <w:spacing w:after="0" w:line="240" w:lineRule="auto"/>
        <w:rPr>
          <w:rFonts w:asciiTheme="majorHAnsi" w:hAnsiTheme="majorHAnsi" w:cstheme="majorHAnsi"/>
          <w:sz w:val="20"/>
          <w:szCs w:val="20"/>
        </w:rPr>
      </w:pPr>
      <w:r w:rsidRPr="00E72F88">
        <w:rPr>
          <w:rFonts w:asciiTheme="majorHAnsi" w:hAnsiTheme="majorHAnsi" w:cstheme="majorHAnsi"/>
          <w:sz w:val="20"/>
          <w:szCs w:val="20"/>
        </w:rPr>
        <w:t>Clients will continue to deal, and conduct business, with their local RBS teams as at present.  Any action required in connection with the Dutch Scheme will be communicated in a timely way with a view to ensuring a smooth transition.</w:t>
      </w:r>
    </w:p>
    <w:p w:rsidR="00451E2D" w:rsidRPr="00DA7B54" w:rsidRDefault="00451E2D" w:rsidP="00451E2D">
      <w:pPr>
        <w:pStyle w:val="Body"/>
        <w:spacing w:after="0" w:line="240" w:lineRule="auto"/>
        <w:rPr>
          <w:rFonts w:asciiTheme="majorHAnsi" w:hAnsiTheme="majorHAnsi" w:cstheme="majorHAnsi"/>
          <w:sz w:val="20"/>
          <w:szCs w:val="20"/>
        </w:rPr>
      </w:pPr>
    </w:p>
    <w:p w:rsidR="00C54C85" w:rsidRDefault="00AD15AE" w:rsidP="00451E2D">
      <w:pPr>
        <w:pStyle w:val="Body"/>
        <w:spacing w:after="0" w:line="240" w:lineRule="auto"/>
        <w:rPr>
          <w:rFonts w:asciiTheme="majorHAnsi" w:hAnsiTheme="majorHAnsi" w:cstheme="majorHAnsi"/>
          <w:sz w:val="20"/>
          <w:szCs w:val="20"/>
        </w:rPr>
      </w:pPr>
      <w:r w:rsidRPr="00DA7B54">
        <w:rPr>
          <w:rFonts w:asciiTheme="majorHAnsi" w:hAnsiTheme="majorHAnsi" w:cstheme="majorHAnsi"/>
          <w:sz w:val="20"/>
          <w:szCs w:val="20"/>
        </w:rPr>
        <w:t>RBSG is committed to providing the necessary support to ensure that RBS N.V. continues to meet its commitments during and after the Proposed Transfers.</w:t>
      </w:r>
      <w:r w:rsidR="00FB1841" w:rsidRPr="00DA7B54">
        <w:rPr>
          <w:rFonts w:asciiTheme="majorHAnsi" w:hAnsiTheme="majorHAnsi" w:cstheme="majorHAnsi"/>
          <w:sz w:val="20"/>
          <w:szCs w:val="20"/>
        </w:rPr>
        <w:t xml:space="preserve"> </w:t>
      </w:r>
    </w:p>
    <w:p w:rsidR="00AD15AE" w:rsidRDefault="00AD15AE" w:rsidP="005C6F07">
      <w:pPr>
        <w:jc w:val="both"/>
        <w:rPr>
          <w:rFonts w:ascii="Arial" w:hAnsi="Arial" w:cs="Arial"/>
          <w:color w:val="0070C0"/>
          <w:sz w:val="20"/>
          <w:szCs w:val="20"/>
        </w:rPr>
      </w:pPr>
    </w:p>
    <w:p w:rsidR="0019627C" w:rsidRPr="0019627C" w:rsidRDefault="0019627C" w:rsidP="00451E2D">
      <w:pPr>
        <w:autoSpaceDE w:val="0"/>
        <w:autoSpaceDN w:val="0"/>
        <w:adjustRightInd w:val="0"/>
        <w:jc w:val="both"/>
        <w:rPr>
          <w:rFonts w:asciiTheme="majorHAnsi" w:hAnsiTheme="majorHAnsi" w:cstheme="majorHAnsi"/>
          <w:b/>
          <w:bCs/>
          <w:kern w:val="20"/>
          <w:sz w:val="20"/>
          <w:szCs w:val="20"/>
        </w:rPr>
      </w:pPr>
      <w:r w:rsidRPr="0019627C">
        <w:rPr>
          <w:rFonts w:asciiTheme="majorHAnsi" w:hAnsiTheme="majorHAnsi" w:cstheme="majorHAnsi"/>
          <w:b/>
          <w:bCs/>
          <w:kern w:val="20"/>
          <w:sz w:val="20"/>
          <w:szCs w:val="20"/>
        </w:rPr>
        <w:t>Pro forma financial information</w:t>
      </w:r>
    </w:p>
    <w:p w:rsidR="0019627C" w:rsidRDefault="0019627C" w:rsidP="00451E2D">
      <w:pPr>
        <w:autoSpaceDE w:val="0"/>
        <w:autoSpaceDN w:val="0"/>
        <w:adjustRightInd w:val="0"/>
        <w:jc w:val="both"/>
        <w:rPr>
          <w:rFonts w:asciiTheme="majorHAnsi" w:hAnsiTheme="majorHAnsi" w:cstheme="majorHAnsi"/>
          <w:kern w:val="20"/>
          <w:sz w:val="20"/>
          <w:szCs w:val="20"/>
        </w:rPr>
      </w:pPr>
    </w:p>
    <w:p w:rsidR="00896D6B" w:rsidRDefault="00896D6B" w:rsidP="00451E2D">
      <w:pPr>
        <w:autoSpaceDE w:val="0"/>
        <w:autoSpaceDN w:val="0"/>
        <w:adjustRightInd w:val="0"/>
        <w:jc w:val="both"/>
        <w:rPr>
          <w:rFonts w:asciiTheme="majorHAnsi" w:hAnsiTheme="majorHAnsi" w:cstheme="majorHAnsi"/>
          <w:kern w:val="20"/>
          <w:sz w:val="20"/>
          <w:szCs w:val="20"/>
        </w:rPr>
      </w:pPr>
      <w:r w:rsidRPr="00DA7B54">
        <w:rPr>
          <w:rFonts w:asciiTheme="majorHAnsi" w:hAnsiTheme="majorHAnsi" w:cstheme="majorHAnsi"/>
          <w:kern w:val="20"/>
          <w:sz w:val="20"/>
          <w:szCs w:val="20"/>
        </w:rPr>
        <w:t>Certain unaudited pro forma condensed consolidated financial information relating to RBS Holdings N.V. is set out in the Appendix to this announcement.</w:t>
      </w:r>
    </w:p>
    <w:p w:rsidR="004964CA" w:rsidRDefault="004964CA" w:rsidP="00451E2D">
      <w:pPr>
        <w:autoSpaceDE w:val="0"/>
        <w:autoSpaceDN w:val="0"/>
        <w:adjustRightInd w:val="0"/>
        <w:jc w:val="both"/>
        <w:rPr>
          <w:rFonts w:asciiTheme="majorHAnsi" w:hAnsiTheme="majorHAnsi" w:cstheme="majorHAnsi"/>
          <w:kern w:val="20"/>
          <w:sz w:val="20"/>
          <w:szCs w:val="20"/>
        </w:rPr>
      </w:pPr>
    </w:p>
    <w:p w:rsidR="004964CA" w:rsidRDefault="004964CA" w:rsidP="00451E2D">
      <w:pPr>
        <w:autoSpaceDE w:val="0"/>
        <w:autoSpaceDN w:val="0"/>
        <w:adjustRightInd w:val="0"/>
        <w:jc w:val="both"/>
        <w:rPr>
          <w:rFonts w:asciiTheme="majorHAnsi" w:hAnsiTheme="majorHAnsi" w:cstheme="majorHAnsi"/>
          <w:kern w:val="20"/>
          <w:sz w:val="20"/>
          <w:szCs w:val="20"/>
        </w:rPr>
      </w:pPr>
    </w:p>
    <w:p w:rsidR="00B70E14" w:rsidRDefault="00B70E14" w:rsidP="00451E2D">
      <w:pPr>
        <w:autoSpaceDE w:val="0"/>
        <w:autoSpaceDN w:val="0"/>
        <w:adjustRightInd w:val="0"/>
        <w:jc w:val="both"/>
        <w:rPr>
          <w:rFonts w:asciiTheme="majorHAnsi" w:hAnsiTheme="majorHAnsi" w:cstheme="majorHAnsi"/>
          <w:kern w:val="20"/>
          <w:sz w:val="20"/>
          <w:szCs w:val="20"/>
        </w:rPr>
      </w:pPr>
    </w:p>
    <w:p w:rsidR="00F45255" w:rsidRDefault="00F45255" w:rsidP="00451E2D">
      <w:pPr>
        <w:autoSpaceDE w:val="0"/>
        <w:autoSpaceDN w:val="0"/>
        <w:adjustRightInd w:val="0"/>
        <w:jc w:val="both"/>
        <w:rPr>
          <w:rFonts w:asciiTheme="majorHAnsi" w:hAnsiTheme="majorHAnsi" w:cstheme="majorHAnsi"/>
          <w:kern w:val="20"/>
          <w:sz w:val="20"/>
          <w:szCs w:val="20"/>
        </w:rPr>
      </w:pPr>
    </w:p>
    <w:p w:rsidR="004964CA" w:rsidRPr="00EF0930" w:rsidRDefault="004964CA" w:rsidP="004964CA">
      <w:pPr>
        <w:pBdr>
          <w:top w:val="single" w:sz="4" w:space="1" w:color="auto"/>
        </w:pBdr>
        <w:spacing w:after="60"/>
        <w:ind w:left="426" w:hanging="426"/>
        <w:rPr>
          <w:rFonts w:asciiTheme="majorHAnsi" w:hAnsiTheme="majorHAnsi" w:cstheme="majorHAnsi"/>
          <w:sz w:val="16"/>
          <w:szCs w:val="16"/>
        </w:rPr>
      </w:pPr>
      <w:r w:rsidRPr="00EF0930">
        <w:rPr>
          <w:rFonts w:asciiTheme="majorHAnsi" w:hAnsiTheme="majorHAnsi" w:cstheme="majorHAnsi"/>
          <w:sz w:val="16"/>
          <w:szCs w:val="16"/>
        </w:rPr>
        <w:t>1</w:t>
      </w:r>
      <w:r w:rsidRPr="00EF0930">
        <w:rPr>
          <w:rFonts w:asciiTheme="majorHAnsi" w:hAnsiTheme="majorHAnsi" w:cstheme="majorHAnsi"/>
          <w:sz w:val="16"/>
          <w:szCs w:val="16"/>
        </w:rPr>
        <w:tab/>
        <w:t>Formerly known as ABN AMRO Holding N.V.</w:t>
      </w:r>
    </w:p>
    <w:p w:rsidR="004964CA" w:rsidRPr="00EF0930" w:rsidRDefault="004964CA" w:rsidP="004964CA">
      <w:pPr>
        <w:spacing w:after="60"/>
        <w:ind w:left="426" w:hanging="426"/>
        <w:rPr>
          <w:rFonts w:asciiTheme="majorHAnsi" w:hAnsiTheme="majorHAnsi" w:cstheme="majorHAnsi"/>
          <w:sz w:val="16"/>
          <w:szCs w:val="16"/>
        </w:rPr>
      </w:pPr>
      <w:r w:rsidRPr="00EF0930">
        <w:rPr>
          <w:rFonts w:asciiTheme="majorHAnsi" w:hAnsiTheme="majorHAnsi" w:cstheme="majorHAnsi"/>
          <w:sz w:val="16"/>
          <w:szCs w:val="16"/>
        </w:rPr>
        <w:t>2</w:t>
      </w:r>
      <w:r w:rsidRPr="00EF0930">
        <w:rPr>
          <w:rFonts w:asciiTheme="majorHAnsi" w:hAnsiTheme="majorHAnsi" w:cstheme="majorHAnsi"/>
          <w:sz w:val="16"/>
          <w:szCs w:val="16"/>
        </w:rPr>
        <w:tab/>
        <w:t>Formerly known as ABN AMRO Bank N.V.</w:t>
      </w:r>
    </w:p>
    <w:p w:rsidR="004964CA" w:rsidRPr="00EF0930" w:rsidRDefault="004964CA" w:rsidP="004964CA">
      <w:pPr>
        <w:spacing w:after="60"/>
        <w:ind w:left="426" w:hanging="426"/>
        <w:rPr>
          <w:rFonts w:asciiTheme="majorHAnsi" w:hAnsiTheme="majorHAnsi" w:cstheme="majorHAnsi"/>
          <w:sz w:val="16"/>
          <w:szCs w:val="16"/>
        </w:rPr>
      </w:pPr>
      <w:r w:rsidRPr="00EF0930">
        <w:rPr>
          <w:rFonts w:asciiTheme="majorHAnsi" w:hAnsiTheme="majorHAnsi" w:cstheme="majorHAnsi"/>
          <w:sz w:val="16"/>
          <w:szCs w:val="16"/>
        </w:rPr>
        <w:t>3</w:t>
      </w:r>
      <w:r w:rsidRPr="00EF0930">
        <w:rPr>
          <w:rFonts w:asciiTheme="majorHAnsi" w:hAnsiTheme="majorHAnsi" w:cstheme="majorHAnsi"/>
          <w:sz w:val="16"/>
          <w:szCs w:val="16"/>
        </w:rPr>
        <w:tab/>
        <w:t xml:space="preserve">Located in Austria, Belgium, the Czech Republic, Denmark, France, Germany, Greece, Italy, Poland, </w:t>
      </w:r>
      <w:r>
        <w:rPr>
          <w:rFonts w:asciiTheme="majorHAnsi" w:hAnsiTheme="majorHAnsi" w:cstheme="majorHAnsi"/>
          <w:sz w:val="16"/>
          <w:szCs w:val="16"/>
        </w:rPr>
        <w:t>S</w:t>
      </w:r>
      <w:r w:rsidRPr="00EF0930">
        <w:rPr>
          <w:rFonts w:asciiTheme="majorHAnsi" w:hAnsiTheme="majorHAnsi" w:cstheme="majorHAnsi"/>
          <w:sz w:val="16"/>
          <w:szCs w:val="16"/>
        </w:rPr>
        <w:t>lovakia, Spain, Sweden, Switzerland and the United Kingdom</w:t>
      </w:r>
    </w:p>
    <w:p w:rsidR="00F45255" w:rsidRPr="0019627C" w:rsidRDefault="004964CA" w:rsidP="00F45255">
      <w:pPr>
        <w:autoSpaceDE w:val="0"/>
        <w:autoSpaceDN w:val="0"/>
        <w:adjustRightInd w:val="0"/>
        <w:jc w:val="both"/>
        <w:rPr>
          <w:rFonts w:asciiTheme="majorHAnsi" w:hAnsiTheme="majorHAnsi" w:cstheme="majorHAnsi"/>
          <w:b/>
          <w:bCs/>
          <w:kern w:val="20"/>
          <w:sz w:val="20"/>
          <w:szCs w:val="20"/>
        </w:rPr>
      </w:pPr>
      <w:r>
        <w:rPr>
          <w:rFonts w:asciiTheme="majorHAnsi" w:hAnsiTheme="majorHAnsi" w:cstheme="majorHAnsi"/>
          <w:b/>
          <w:bCs/>
          <w:kern w:val="20"/>
          <w:sz w:val="20"/>
          <w:szCs w:val="20"/>
        </w:rPr>
        <w:br w:type="column"/>
      </w:r>
      <w:r w:rsidR="00F45255" w:rsidRPr="0019627C">
        <w:rPr>
          <w:rFonts w:asciiTheme="majorHAnsi" w:hAnsiTheme="majorHAnsi" w:cstheme="majorHAnsi"/>
          <w:b/>
          <w:bCs/>
          <w:kern w:val="20"/>
          <w:sz w:val="20"/>
          <w:szCs w:val="20"/>
        </w:rPr>
        <w:lastRenderedPageBreak/>
        <w:t>403 Declaration</w:t>
      </w:r>
    </w:p>
    <w:p w:rsidR="00F45255" w:rsidRDefault="00F45255" w:rsidP="00451E2D">
      <w:pPr>
        <w:autoSpaceDE w:val="0"/>
        <w:autoSpaceDN w:val="0"/>
        <w:adjustRightInd w:val="0"/>
        <w:jc w:val="both"/>
        <w:rPr>
          <w:rFonts w:asciiTheme="majorHAnsi" w:hAnsiTheme="majorHAnsi" w:cstheme="majorHAnsi"/>
          <w:kern w:val="20"/>
          <w:sz w:val="20"/>
          <w:szCs w:val="20"/>
        </w:rPr>
      </w:pPr>
    </w:p>
    <w:p w:rsidR="00F45255" w:rsidDel="0019627C" w:rsidRDefault="00F45255" w:rsidP="00F45255">
      <w:pPr>
        <w:pStyle w:val="Body1"/>
        <w:spacing w:after="0" w:line="240" w:lineRule="auto"/>
        <w:ind w:left="0"/>
        <w:rPr>
          <w:rFonts w:asciiTheme="majorHAnsi" w:hAnsiTheme="majorHAnsi" w:cstheme="majorHAnsi"/>
          <w:sz w:val="20"/>
          <w:szCs w:val="20"/>
        </w:rPr>
      </w:pPr>
      <w:r w:rsidRPr="00DA7B54" w:rsidDel="0019627C">
        <w:rPr>
          <w:rFonts w:asciiTheme="majorHAnsi" w:hAnsiTheme="majorHAnsi" w:cstheme="majorHAnsi"/>
          <w:sz w:val="20"/>
          <w:szCs w:val="20"/>
        </w:rPr>
        <w:t>On 15 June 1998, RBS Holdings N.V. declared itself jointly and severally liable for the debts of RBS N.V. pursuant to Article 2:403 of the Dutch Civil Code (referred to as a “403 Declaration”). In connection with the Dutch Scheme, any liability of RBS Holdings N.V. under the 403 Declaration will, from the effective date of the Dutch Scheme, cease to apply in relation to any debt obligations of RBS N.V. which (1) transfer to RBS</w:t>
      </w:r>
      <w:r w:rsidR="00670B55">
        <w:rPr>
          <w:rFonts w:asciiTheme="majorHAnsi" w:hAnsiTheme="majorHAnsi" w:cstheme="majorHAnsi"/>
          <w:sz w:val="20"/>
          <w:szCs w:val="20"/>
        </w:rPr>
        <w:t xml:space="preserve"> plc</w:t>
      </w:r>
      <w:r w:rsidRPr="00DA7B54" w:rsidDel="0019627C">
        <w:rPr>
          <w:rFonts w:asciiTheme="majorHAnsi" w:hAnsiTheme="majorHAnsi" w:cstheme="majorHAnsi"/>
          <w:sz w:val="20"/>
          <w:szCs w:val="20"/>
        </w:rPr>
        <w:t xml:space="preserve"> as a result of the Dutch Scheme or (2) have otherwise transferred to RBS</w:t>
      </w:r>
      <w:r w:rsidR="00670B55">
        <w:rPr>
          <w:rFonts w:asciiTheme="majorHAnsi" w:hAnsiTheme="majorHAnsi" w:cstheme="majorHAnsi"/>
          <w:sz w:val="20"/>
          <w:szCs w:val="20"/>
        </w:rPr>
        <w:t xml:space="preserve"> plc</w:t>
      </w:r>
      <w:r w:rsidRPr="00DA7B54" w:rsidDel="0019627C">
        <w:rPr>
          <w:rFonts w:asciiTheme="majorHAnsi" w:hAnsiTheme="majorHAnsi" w:cstheme="majorHAnsi"/>
          <w:sz w:val="20"/>
          <w:szCs w:val="20"/>
        </w:rPr>
        <w:t xml:space="preserve"> prior to the effective date of the Dutch Scheme.</w:t>
      </w:r>
    </w:p>
    <w:p w:rsidR="001E084F" w:rsidRDefault="001E084F" w:rsidP="00451E2D">
      <w:pPr>
        <w:pStyle w:val="Body"/>
        <w:spacing w:after="0" w:line="240" w:lineRule="auto"/>
        <w:rPr>
          <w:rFonts w:asciiTheme="majorHAnsi" w:hAnsiTheme="majorHAnsi" w:cstheme="majorHAnsi"/>
          <w:b/>
          <w:bCs/>
          <w:sz w:val="20"/>
          <w:szCs w:val="20"/>
        </w:rPr>
      </w:pPr>
    </w:p>
    <w:p w:rsidR="00896D6B" w:rsidRDefault="00896D6B" w:rsidP="00451E2D">
      <w:pPr>
        <w:pStyle w:val="Body"/>
        <w:spacing w:after="0" w:line="240" w:lineRule="auto"/>
        <w:rPr>
          <w:rFonts w:asciiTheme="majorHAnsi" w:hAnsiTheme="majorHAnsi" w:cstheme="majorHAnsi"/>
          <w:b/>
          <w:bCs/>
          <w:sz w:val="20"/>
          <w:szCs w:val="20"/>
        </w:rPr>
      </w:pPr>
      <w:r w:rsidRPr="00DA7B54">
        <w:rPr>
          <w:rFonts w:asciiTheme="majorHAnsi" w:hAnsiTheme="majorHAnsi" w:cstheme="majorHAnsi"/>
          <w:b/>
          <w:bCs/>
          <w:sz w:val="20"/>
          <w:szCs w:val="20"/>
        </w:rPr>
        <w:t>Transferring Capital Markets Securities</w:t>
      </w:r>
    </w:p>
    <w:p w:rsidR="00451E2D" w:rsidRPr="00DA7B54" w:rsidRDefault="00451E2D" w:rsidP="00451E2D">
      <w:pPr>
        <w:pStyle w:val="Body"/>
        <w:spacing w:after="0" w:line="240" w:lineRule="auto"/>
        <w:rPr>
          <w:rFonts w:asciiTheme="majorHAnsi" w:hAnsiTheme="majorHAnsi" w:cstheme="majorHAnsi"/>
          <w:b/>
          <w:bCs/>
          <w:sz w:val="20"/>
          <w:szCs w:val="20"/>
        </w:rPr>
      </w:pPr>
    </w:p>
    <w:p w:rsidR="00D97E08" w:rsidRDefault="00C52331" w:rsidP="00451E2D">
      <w:pPr>
        <w:pStyle w:val="Body"/>
        <w:spacing w:after="0" w:line="240" w:lineRule="auto"/>
        <w:rPr>
          <w:rFonts w:asciiTheme="majorHAnsi" w:hAnsiTheme="majorHAnsi" w:cstheme="majorHAnsi"/>
          <w:sz w:val="20"/>
          <w:szCs w:val="20"/>
        </w:rPr>
      </w:pPr>
      <w:r w:rsidRPr="00DA7B54">
        <w:rPr>
          <w:rFonts w:asciiTheme="majorHAnsi" w:hAnsiTheme="majorHAnsi" w:cstheme="majorHAnsi"/>
          <w:sz w:val="20"/>
          <w:szCs w:val="20"/>
        </w:rPr>
        <w:t xml:space="preserve">As announced on </w:t>
      </w:r>
      <w:r w:rsidR="00831366">
        <w:rPr>
          <w:rFonts w:asciiTheme="majorHAnsi" w:hAnsiTheme="majorHAnsi" w:cstheme="majorHAnsi"/>
          <w:sz w:val="20"/>
          <w:szCs w:val="20"/>
        </w:rPr>
        <w:t>23</w:t>
      </w:r>
      <w:r w:rsidRPr="00DA7B54">
        <w:rPr>
          <w:rFonts w:asciiTheme="majorHAnsi" w:hAnsiTheme="majorHAnsi" w:cstheme="majorHAnsi"/>
          <w:sz w:val="20"/>
          <w:szCs w:val="20"/>
        </w:rPr>
        <w:t xml:space="preserve"> March 2012, the Dutch Scheme</w:t>
      </w:r>
      <w:r w:rsidR="00E300DD">
        <w:rPr>
          <w:rFonts w:asciiTheme="majorHAnsi" w:hAnsiTheme="majorHAnsi" w:cstheme="majorHAnsi"/>
          <w:sz w:val="20"/>
          <w:szCs w:val="20"/>
        </w:rPr>
        <w:t xml:space="preserve"> (if implemented)</w:t>
      </w:r>
      <w:r w:rsidRPr="00DA7B54">
        <w:rPr>
          <w:rFonts w:asciiTheme="majorHAnsi" w:hAnsiTheme="majorHAnsi" w:cstheme="majorHAnsi"/>
          <w:sz w:val="20"/>
          <w:szCs w:val="20"/>
        </w:rPr>
        <w:t xml:space="preserve"> will result in RBS plc becoming the issuer of certain securities issued by RBS N.V.</w:t>
      </w:r>
      <w:r w:rsidR="003C3A64" w:rsidRPr="00DA7B54">
        <w:rPr>
          <w:rFonts w:asciiTheme="majorHAnsi" w:hAnsiTheme="majorHAnsi" w:cstheme="majorHAnsi"/>
          <w:sz w:val="20"/>
          <w:szCs w:val="20"/>
        </w:rPr>
        <w:t xml:space="preserve">. </w:t>
      </w:r>
      <w:r w:rsidRPr="00DA7B54">
        <w:rPr>
          <w:rFonts w:asciiTheme="majorHAnsi" w:hAnsiTheme="majorHAnsi" w:cstheme="majorHAnsi"/>
          <w:sz w:val="20"/>
          <w:szCs w:val="20"/>
        </w:rPr>
        <w:t xml:space="preserve"> Details of securities issued by RBS N.V. </w:t>
      </w:r>
      <w:r w:rsidR="00E300DD">
        <w:rPr>
          <w:rFonts w:asciiTheme="majorHAnsi" w:hAnsiTheme="majorHAnsi" w:cstheme="majorHAnsi"/>
          <w:sz w:val="20"/>
          <w:szCs w:val="20"/>
        </w:rPr>
        <w:t>for</w:t>
      </w:r>
      <w:r w:rsidR="00D97E08" w:rsidRPr="00DA7B54">
        <w:rPr>
          <w:rFonts w:asciiTheme="majorHAnsi" w:hAnsiTheme="majorHAnsi" w:cstheme="majorHAnsi"/>
          <w:sz w:val="20"/>
          <w:szCs w:val="20"/>
        </w:rPr>
        <w:t xml:space="preserve"> which</w:t>
      </w:r>
      <w:r w:rsidRPr="00DA7B54">
        <w:rPr>
          <w:rFonts w:asciiTheme="majorHAnsi" w:hAnsiTheme="majorHAnsi" w:cstheme="majorHAnsi"/>
          <w:sz w:val="20"/>
          <w:szCs w:val="20"/>
        </w:rPr>
        <w:t xml:space="preserve"> RBS plc</w:t>
      </w:r>
      <w:r w:rsidR="00D97E08" w:rsidRPr="00DA7B54">
        <w:rPr>
          <w:rFonts w:asciiTheme="majorHAnsi" w:hAnsiTheme="majorHAnsi" w:cstheme="majorHAnsi"/>
          <w:sz w:val="20"/>
          <w:szCs w:val="20"/>
        </w:rPr>
        <w:t xml:space="preserve"> </w:t>
      </w:r>
      <w:r w:rsidR="00E300DD">
        <w:rPr>
          <w:rFonts w:asciiTheme="majorHAnsi" w:hAnsiTheme="majorHAnsi" w:cstheme="majorHAnsi"/>
          <w:sz w:val="20"/>
          <w:szCs w:val="20"/>
        </w:rPr>
        <w:t>is expected to</w:t>
      </w:r>
      <w:r w:rsidR="00D97E08" w:rsidRPr="00DA7B54">
        <w:rPr>
          <w:rFonts w:asciiTheme="majorHAnsi" w:hAnsiTheme="majorHAnsi" w:cstheme="majorHAnsi"/>
          <w:sz w:val="20"/>
          <w:szCs w:val="20"/>
        </w:rPr>
        <w:t xml:space="preserve"> become the issuer</w:t>
      </w:r>
      <w:r w:rsidRPr="00DA7B54">
        <w:rPr>
          <w:rFonts w:asciiTheme="majorHAnsi" w:hAnsiTheme="majorHAnsi" w:cstheme="majorHAnsi"/>
          <w:sz w:val="20"/>
          <w:szCs w:val="20"/>
        </w:rPr>
        <w:t xml:space="preserve"> (subject to the relevant securities not having been exercised, redeemed or repurchased and cancelled prior to the impl</w:t>
      </w:r>
      <w:r w:rsidR="00D97E08" w:rsidRPr="00DA7B54">
        <w:rPr>
          <w:rFonts w:asciiTheme="majorHAnsi" w:hAnsiTheme="majorHAnsi" w:cstheme="majorHAnsi"/>
          <w:sz w:val="20"/>
          <w:szCs w:val="20"/>
        </w:rPr>
        <w:t>ementation of the Dutch Scheme)</w:t>
      </w:r>
      <w:r w:rsidR="001E6A3B" w:rsidRPr="00DA7B54">
        <w:rPr>
          <w:rFonts w:asciiTheme="majorHAnsi" w:hAnsiTheme="majorHAnsi" w:cstheme="majorHAnsi"/>
          <w:sz w:val="20"/>
          <w:szCs w:val="20"/>
        </w:rPr>
        <w:t xml:space="preserve"> (“Transferring </w:t>
      </w:r>
      <w:r w:rsidR="00896D6B" w:rsidRPr="00DA7B54">
        <w:rPr>
          <w:rFonts w:asciiTheme="majorHAnsi" w:hAnsiTheme="majorHAnsi" w:cstheme="majorHAnsi"/>
          <w:sz w:val="20"/>
          <w:szCs w:val="20"/>
        </w:rPr>
        <w:t xml:space="preserve">Capital Markets </w:t>
      </w:r>
      <w:r w:rsidR="001E6A3B" w:rsidRPr="00DA7B54">
        <w:rPr>
          <w:rFonts w:asciiTheme="majorHAnsi" w:hAnsiTheme="majorHAnsi" w:cstheme="majorHAnsi"/>
          <w:sz w:val="20"/>
          <w:szCs w:val="20"/>
        </w:rPr>
        <w:t>Securities”)</w:t>
      </w:r>
      <w:r w:rsidRPr="00DA7B54">
        <w:rPr>
          <w:rFonts w:asciiTheme="majorHAnsi" w:hAnsiTheme="majorHAnsi" w:cstheme="majorHAnsi"/>
          <w:sz w:val="20"/>
          <w:szCs w:val="20"/>
        </w:rPr>
        <w:t xml:space="preserve"> can be viewed at </w:t>
      </w:r>
      <w:r w:rsidRPr="00DA7B54">
        <w:rPr>
          <w:rFonts w:asciiTheme="majorHAnsi" w:hAnsiTheme="majorHAnsi" w:cstheme="majorHAnsi"/>
          <w:i/>
          <w:iCs/>
          <w:sz w:val="20"/>
          <w:szCs w:val="20"/>
        </w:rPr>
        <w:t>http://www.investors.rbs.com/RBS_NV</w:t>
      </w:r>
      <w:r w:rsidRPr="00DA7B54">
        <w:rPr>
          <w:rFonts w:asciiTheme="majorHAnsi" w:hAnsiTheme="majorHAnsi" w:cstheme="majorHAnsi"/>
          <w:sz w:val="20"/>
          <w:szCs w:val="20"/>
        </w:rPr>
        <w:t xml:space="preserve">. </w:t>
      </w:r>
      <w:r w:rsidR="001E6A3B" w:rsidRPr="00DA7B54">
        <w:rPr>
          <w:rFonts w:asciiTheme="majorHAnsi" w:hAnsiTheme="majorHAnsi" w:cstheme="majorHAnsi"/>
          <w:sz w:val="20"/>
          <w:szCs w:val="20"/>
        </w:rPr>
        <w:t xml:space="preserve"> </w:t>
      </w:r>
      <w:r w:rsidR="00C428E0" w:rsidRPr="00DA7B54">
        <w:rPr>
          <w:rFonts w:asciiTheme="majorHAnsi" w:hAnsiTheme="majorHAnsi" w:cstheme="majorHAnsi"/>
          <w:sz w:val="20"/>
          <w:szCs w:val="20"/>
        </w:rPr>
        <w:t>Details of how guarantees granted by RBS N.V., and new issues of securities by RBS N.V., are expected to be treated in connection with the Dutch Scheme are also set out in th</w:t>
      </w:r>
      <w:r w:rsidR="00EE278A" w:rsidRPr="00DA7B54">
        <w:rPr>
          <w:rFonts w:asciiTheme="majorHAnsi" w:hAnsiTheme="majorHAnsi" w:cstheme="majorHAnsi"/>
          <w:sz w:val="20"/>
          <w:szCs w:val="20"/>
        </w:rPr>
        <w:t xml:space="preserve">e </w:t>
      </w:r>
      <w:r w:rsidR="00831366">
        <w:rPr>
          <w:rFonts w:asciiTheme="majorHAnsi" w:hAnsiTheme="majorHAnsi" w:cstheme="majorHAnsi"/>
          <w:sz w:val="20"/>
          <w:szCs w:val="20"/>
        </w:rPr>
        <w:t>23</w:t>
      </w:r>
      <w:r w:rsidR="00EE278A" w:rsidRPr="00DA7B54">
        <w:rPr>
          <w:rFonts w:asciiTheme="majorHAnsi" w:hAnsiTheme="majorHAnsi" w:cstheme="majorHAnsi"/>
          <w:sz w:val="20"/>
          <w:szCs w:val="20"/>
        </w:rPr>
        <w:t xml:space="preserve"> March 2012</w:t>
      </w:r>
      <w:r w:rsidR="00C428E0" w:rsidRPr="00DA7B54">
        <w:rPr>
          <w:rFonts w:asciiTheme="majorHAnsi" w:hAnsiTheme="majorHAnsi" w:cstheme="majorHAnsi"/>
          <w:sz w:val="20"/>
          <w:szCs w:val="20"/>
        </w:rPr>
        <w:t xml:space="preserve"> announcement.</w:t>
      </w:r>
    </w:p>
    <w:p w:rsidR="00451E2D" w:rsidRPr="00DA7B54" w:rsidRDefault="00451E2D" w:rsidP="00451E2D">
      <w:pPr>
        <w:pStyle w:val="Body"/>
        <w:spacing w:after="0" w:line="240" w:lineRule="auto"/>
        <w:rPr>
          <w:rFonts w:asciiTheme="majorHAnsi" w:hAnsiTheme="majorHAnsi" w:cstheme="majorHAnsi"/>
          <w:sz w:val="20"/>
          <w:szCs w:val="20"/>
        </w:rPr>
      </w:pPr>
    </w:p>
    <w:p w:rsidR="00AD15AE" w:rsidRDefault="00BA5173" w:rsidP="00451E2D">
      <w:pPr>
        <w:autoSpaceDE w:val="0"/>
        <w:autoSpaceDN w:val="0"/>
        <w:adjustRightInd w:val="0"/>
        <w:jc w:val="both"/>
        <w:rPr>
          <w:rFonts w:asciiTheme="majorHAnsi" w:hAnsiTheme="majorHAnsi" w:cstheme="majorHAnsi"/>
          <w:spacing w:val="4"/>
          <w:sz w:val="20"/>
          <w:szCs w:val="20"/>
        </w:rPr>
      </w:pPr>
      <w:r w:rsidRPr="00DA7B54">
        <w:rPr>
          <w:rFonts w:asciiTheme="majorHAnsi" w:hAnsiTheme="majorHAnsi" w:cstheme="majorHAnsi"/>
          <w:spacing w:val="4"/>
          <w:sz w:val="20"/>
          <w:szCs w:val="20"/>
        </w:rPr>
        <w:t>Upon</w:t>
      </w:r>
      <w:r w:rsidR="00981EAA" w:rsidRPr="00DA7B54">
        <w:rPr>
          <w:rFonts w:asciiTheme="majorHAnsi" w:hAnsiTheme="majorHAnsi" w:cstheme="majorHAnsi"/>
          <w:spacing w:val="4"/>
          <w:sz w:val="20"/>
          <w:szCs w:val="20"/>
        </w:rPr>
        <w:t xml:space="preserve"> the </w:t>
      </w:r>
      <w:r w:rsidR="001E6A3B" w:rsidRPr="00DA7B54">
        <w:rPr>
          <w:rFonts w:asciiTheme="majorHAnsi" w:hAnsiTheme="majorHAnsi" w:cstheme="majorHAnsi"/>
          <w:spacing w:val="4"/>
          <w:sz w:val="20"/>
          <w:szCs w:val="20"/>
        </w:rPr>
        <w:t>Dutch Scheme</w:t>
      </w:r>
      <w:r w:rsidRPr="00DA7B54">
        <w:rPr>
          <w:rFonts w:asciiTheme="majorHAnsi" w:hAnsiTheme="majorHAnsi" w:cstheme="majorHAnsi"/>
          <w:spacing w:val="4"/>
          <w:sz w:val="20"/>
          <w:szCs w:val="20"/>
        </w:rPr>
        <w:t xml:space="preserve"> becoming effective</w:t>
      </w:r>
      <w:r w:rsidR="00981EAA" w:rsidRPr="00DA7B54">
        <w:rPr>
          <w:rFonts w:asciiTheme="majorHAnsi" w:hAnsiTheme="majorHAnsi" w:cstheme="majorHAnsi"/>
          <w:spacing w:val="4"/>
          <w:sz w:val="20"/>
          <w:szCs w:val="20"/>
        </w:rPr>
        <w:t>,</w:t>
      </w:r>
      <w:r w:rsidR="006B4E64" w:rsidRPr="00DA7B54">
        <w:rPr>
          <w:rFonts w:asciiTheme="majorHAnsi" w:hAnsiTheme="majorHAnsi" w:cstheme="majorHAnsi"/>
          <w:spacing w:val="4"/>
          <w:sz w:val="20"/>
          <w:szCs w:val="20"/>
        </w:rPr>
        <w:t xml:space="preserve"> </w:t>
      </w:r>
      <w:r w:rsidR="00981EAA" w:rsidRPr="00DA7B54">
        <w:rPr>
          <w:rFonts w:asciiTheme="majorHAnsi" w:hAnsiTheme="majorHAnsi" w:cstheme="majorHAnsi"/>
          <w:spacing w:val="4"/>
          <w:sz w:val="20"/>
          <w:szCs w:val="20"/>
        </w:rPr>
        <w:t xml:space="preserve">RBS plc will give </w:t>
      </w:r>
      <w:r w:rsidR="0031599E" w:rsidRPr="00DA7B54">
        <w:rPr>
          <w:rFonts w:asciiTheme="majorHAnsi" w:hAnsiTheme="majorHAnsi" w:cstheme="majorHAnsi"/>
          <w:spacing w:val="4"/>
          <w:sz w:val="20"/>
          <w:szCs w:val="20"/>
        </w:rPr>
        <w:t xml:space="preserve">certain </w:t>
      </w:r>
      <w:r w:rsidR="00981EAA" w:rsidRPr="00DA7B54">
        <w:rPr>
          <w:rFonts w:asciiTheme="majorHAnsi" w:hAnsiTheme="majorHAnsi" w:cstheme="majorHAnsi"/>
          <w:spacing w:val="4"/>
          <w:sz w:val="20"/>
          <w:szCs w:val="20"/>
        </w:rPr>
        <w:t xml:space="preserve">undertakings in favour of </w:t>
      </w:r>
      <w:r w:rsidR="001E6A3B" w:rsidRPr="00DA7B54">
        <w:rPr>
          <w:rFonts w:asciiTheme="majorHAnsi" w:hAnsiTheme="majorHAnsi" w:cstheme="majorHAnsi"/>
          <w:spacing w:val="4"/>
          <w:sz w:val="20"/>
          <w:szCs w:val="20"/>
        </w:rPr>
        <w:t>persons</w:t>
      </w:r>
      <w:r w:rsidR="00512D72" w:rsidRPr="00DA7B54">
        <w:rPr>
          <w:rFonts w:asciiTheme="majorHAnsi" w:hAnsiTheme="majorHAnsi" w:cstheme="majorHAnsi"/>
          <w:spacing w:val="4"/>
          <w:sz w:val="20"/>
          <w:szCs w:val="20"/>
        </w:rPr>
        <w:t xml:space="preserve"> connected with the Transferring Business</w:t>
      </w:r>
      <w:r w:rsidR="005C6F07">
        <w:rPr>
          <w:rFonts w:asciiTheme="majorHAnsi" w:hAnsiTheme="majorHAnsi" w:cstheme="majorHAnsi"/>
          <w:spacing w:val="4"/>
          <w:sz w:val="20"/>
          <w:szCs w:val="20"/>
        </w:rPr>
        <w:t>es</w:t>
      </w:r>
      <w:r w:rsidR="00981EAA" w:rsidRPr="00DA7B54">
        <w:rPr>
          <w:rFonts w:asciiTheme="majorHAnsi" w:hAnsiTheme="majorHAnsi" w:cstheme="majorHAnsi"/>
          <w:spacing w:val="4"/>
          <w:sz w:val="20"/>
          <w:szCs w:val="20"/>
        </w:rPr>
        <w:t xml:space="preserve">, including holders </w:t>
      </w:r>
      <w:r w:rsidR="00E300DD">
        <w:rPr>
          <w:rFonts w:asciiTheme="majorHAnsi" w:hAnsiTheme="majorHAnsi" w:cstheme="majorHAnsi"/>
          <w:spacing w:val="4"/>
          <w:sz w:val="20"/>
          <w:szCs w:val="20"/>
        </w:rPr>
        <w:t xml:space="preserve">(from time to time) </w:t>
      </w:r>
      <w:r w:rsidR="00981EAA" w:rsidRPr="00DA7B54">
        <w:rPr>
          <w:rFonts w:asciiTheme="majorHAnsi" w:hAnsiTheme="majorHAnsi" w:cstheme="majorHAnsi"/>
          <w:spacing w:val="4"/>
          <w:sz w:val="20"/>
          <w:szCs w:val="20"/>
        </w:rPr>
        <w:t xml:space="preserve">of </w:t>
      </w:r>
      <w:r w:rsidR="001E6A3B" w:rsidRPr="00DA7B54">
        <w:rPr>
          <w:rFonts w:asciiTheme="majorHAnsi" w:hAnsiTheme="majorHAnsi" w:cstheme="majorHAnsi"/>
          <w:spacing w:val="4"/>
          <w:sz w:val="20"/>
          <w:szCs w:val="20"/>
        </w:rPr>
        <w:t>Transferring</w:t>
      </w:r>
      <w:r w:rsidR="00896D6B" w:rsidRPr="00DA7B54">
        <w:rPr>
          <w:rFonts w:asciiTheme="majorHAnsi" w:hAnsiTheme="majorHAnsi" w:cstheme="majorHAnsi"/>
          <w:spacing w:val="4"/>
          <w:sz w:val="20"/>
          <w:szCs w:val="20"/>
        </w:rPr>
        <w:t xml:space="preserve"> Capital Markets</w:t>
      </w:r>
      <w:r w:rsidR="001E6A3B" w:rsidRPr="00DA7B54">
        <w:rPr>
          <w:rFonts w:asciiTheme="majorHAnsi" w:hAnsiTheme="majorHAnsi" w:cstheme="majorHAnsi"/>
          <w:spacing w:val="4"/>
          <w:sz w:val="20"/>
          <w:szCs w:val="20"/>
        </w:rPr>
        <w:t xml:space="preserve"> Securities </w:t>
      </w:r>
      <w:r w:rsidR="00E300DD">
        <w:rPr>
          <w:rFonts w:asciiTheme="majorHAnsi" w:hAnsiTheme="majorHAnsi" w:cstheme="majorHAnsi"/>
          <w:spacing w:val="4"/>
          <w:sz w:val="20"/>
          <w:szCs w:val="20"/>
        </w:rPr>
        <w:t>(the “Holders”)</w:t>
      </w:r>
      <w:r w:rsidR="00981EAA" w:rsidRPr="00DA7B54">
        <w:rPr>
          <w:rFonts w:asciiTheme="majorHAnsi" w:hAnsiTheme="majorHAnsi" w:cstheme="majorHAnsi"/>
          <w:spacing w:val="4"/>
          <w:sz w:val="20"/>
          <w:szCs w:val="20"/>
        </w:rPr>
        <w:t xml:space="preserve">. </w:t>
      </w:r>
      <w:r w:rsidR="00E300DD">
        <w:rPr>
          <w:rFonts w:asciiTheme="majorHAnsi" w:hAnsiTheme="majorHAnsi" w:cstheme="majorHAnsi"/>
          <w:spacing w:val="4"/>
          <w:sz w:val="20"/>
          <w:szCs w:val="20"/>
        </w:rPr>
        <w:t xml:space="preserve">These undertakings are </w:t>
      </w:r>
      <w:r w:rsidR="00E300DD" w:rsidRPr="00DA7B54">
        <w:rPr>
          <w:rFonts w:asciiTheme="majorHAnsi" w:hAnsiTheme="majorHAnsi" w:cstheme="majorHAnsi"/>
          <w:spacing w:val="4"/>
          <w:sz w:val="20"/>
          <w:szCs w:val="20"/>
        </w:rPr>
        <w:t>set out in a Deed of Irrevocable Offer</w:t>
      </w:r>
      <w:r w:rsidR="00E300DD">
        <w:rPr>
          <w:rFonts w:asciiTheme="majorHAnsi" w:hAnsiTheme="majorHAnsi" w:cstheme="majorHAnsi"/>
          <w:spacing w:val="4"/>
          <w:sz w:val="20"/>
          <w:szCs w:val="20"/>
        </w:rPr>
        <w:t xml:space="preserve"> which will be executed by RBS plc shortly before the effective date for the Dutch Scheme. </w:t>
      </w:r>
      <w:r w:rsidR="00E300DD" w:rsidRPr="00DA7B54">
        <w:rPr>
          <w:rFonts w:asciiTheme="majorHAnsi" w:hAnsiTheme="majorHAnsi" w:cstheme="majorHAnsi"/>
          <w:spacing w:val="4"/>
          <w:sz w:val="20"/>
          <w:szCs w:val="20"/>
        </w:rPr>
        <w:t xml:space="preserve"> </w:t>
      </w:r>
      <w:r w:rsidRPr="00DA7B54">
        <w:rPr>
          <w:rFonts w:asciiTheme="majorHAnsi" w:hAnsiTheme="majorHAnsi" w:cstheme="majorHAnsi"/>
          <w:spacing w:val="4"/>
          <w:sz w:val="20"/>
          <w:szCs w:val="20"/>
        </w:rPr>
        <w:t xml:space="preserve">In summary, the undertakings </w:t>
      </w:r>
      <w:r w:rsidR="00E300DD">
        <w:rPr>
          <w:rFonts w:asciiTheme="majorHAnsi" w:hAnsiTheme="majorHAnsi" w:cstheme="majorHAnsi"/>
          <w:spacing w:val="4"/>
          <w:sz w:val="20"/>
          <w:szCs w:val="20"/>
        </w:rPr>
        <w:t xml:space="preserve">to be given in favour of the Holders </w:t>
      </w:r>
      <w:r w:rsidRPr="00DA7B54">
        <w:rPr>
          <w:rFonts w:asciiTheme="majorHAnsi" w:hAnsiTheme="majorHAnsi" w:cstheme="majorHAnsi"/>
          <w:spacing w:val="4"/>
          <w:sz w:val="20"/>
          <w:szCs w:val="20"/>
        </w:rPr>
        <w:t>are as follows</w:t>
      </w:r>
      <w:r w:rsidR="00C12DBA" w:rsidRPr="00DA7B54">
        <w:rPr>
          <w:rFonts w:asciiTheme="majorHAnsi" w:hAnsiTheme="majorHAnsi" w:cstheme="majorHAnsi"/>
          <w:spacing w:val="4"/>
          <w:sz w:val="20"/>
          <w:szCs w:val="20"/>
        </w:rPr>
        <w:t>:</w:t>
      </w:r>
    </w:p>
    <w:p w:rsidR="00451E2D" w:rsidRPr="00DA7B54" w:rsidRDefault="00451E2D" w:rsidP="00451E2D">
      <w:pPr>
        <w:autoSpaceDE w:val="0"/>
        <w:autoSpaceDN w:val="0"/>
        <w:adjustRightInd w:val="0"/>
        <w:jc w:val="both"/>
        <w:rPr>
          <w:rFonts w:asciiTheme="majorHAnsi" w:hAnsiTheme="majorHAnsi" w:cstheme="majorHAnsi"/>
          <w:spacing w:val="4"/>
          <w:sz w:val="20"/>
          <w:szCs w:val="20"/>
        </w:rPr>
      </w:pPr>
    </w:p>
    <w:p w:rsidR="00AD15AE" w:rsidRDefault="00AD15AE" w:rsidP="00E52CA9">
      <w:pPr>
        <w:autoSpaceDE w:val="0"/>
        <w:autoSpaceDN w:val="0"/>
        <w:adjustRightInd w:val="0"/>
        <w:ind w:left="675"/>
        <w:jc w:val="both"/>
        <w:rPr>
          <w:rFonts w:asciiTheme="majorHAnsi" w:hAnsiTheme="majorHAnsi" w:cstheme="majorHAnsi"/>
          <w:sz w:val="20"/>
          <w:szCs w:val="20"/>
          <w:lang w:bidi="hi-IN"/>
        </w:rPr>
      </w:pPr>
      <w:r w:rsidRPr="00DA7B54">
        <w:rPr>
          <w:rFonts w:asciiTheme="majorHAnsi" w:hAnsiTheme="majorHAnsi" w:cstheme="majorHAnsi"/>
          <w:i/>
          <w:iCs/>
          <w:sz w:val="20"/>
          <w:szCs w:val="20"/>
          <w:lang w:bidi="hi-IN"/>
        </w:rPr>
        <w:t xml:space="preserve">- References to </w:t>
      </w:r>
      <w:r w:rsidRPr="00DA7B54">
        <w:rPr>
          <w:rFonts w:asciiTheme="majorHAnsi" w:hAnsiTheme="majorHAnsi" w:cstheme="majorHAnsi"/>
          <w:i/>
          <w:iCs/>
          <w:sz w:val="20"/>
          <w:szCs w:val="20"/>
        </w:rPr>
        <w:t>“De Nederlandsche Bank” or “DNB”</w:t>
      </w:r>
      <w:r w:rsidRPr="00DA7B54">
        <w:rPr>
          <w:rFonts w:asciiTheme="majorHAnsi" w:hAnsiTheme="majorHAnsi" w:cstheme="majorHAnsi"/>
          <w:i/>
          <w:iCs/>
          <w:sz w:val="20"/>
          <w:szCs w:val="20"/>
          <w:lang w:bidi="hi-IN"/>
        </w:rPr>
        <w:t>:</w:t>
      </w:r>
      <w:r w:rsidRPr="00DA7B54">
        <w:rPr>
          <w:rFonts w:asciiTheme="majorHAnsi" w:hAnsiTheme="majorHAnsi" w:cstheme="majorHAnsi"/>
          <w:sz w:val="20"/>
          <w:szCs w:val="20"/>
          <w:lang w:bidi="hi-IN"/>
        </w:rPr>
        <w:t xml:space="preserve"> </w:t>
      </w:r>
      <w:r w:rsidR="00C12DBA" w:rsidRPr="00DA7B54">
        <w:rPr>
          <w:rFonts w:asciiTheme="majorHAnsi" w:hAnsiTheme="majorHAnsi" w:cstheme="majorHAnsi"/>
          <w:sz w:val="20"/>
          <w:szCs w:val="20"/>
          <w:lang w:bidi="hi-IN"/>
        </w:rPr>
        <w:t>R</w:t>
      </w:r>
      <w:r w:rsidR="00EE0F0C" w:rsidRPr="00DA7B54">
        <w:rPr>
          <w:rFonts w:asciiTheme="majorHAnsi" w:hAnsiTheme="majorHAnsi" w:cstheme="majorHAnsi"/>
          <w:sz w:val="20"/>
          <w:szCs w:val="20"/>
          <w:lang w:bidi="hi-IN"/>
        </w:rPr>
        <w:t>BS plc will construe</w:t>
      </w:r>
      <w:r w:rsidR="00FB1841" w:rsidRPr="00DA7B54">
        <w:rPr>
          <w:rFonts w:asciiTheme="majorHAnsi" w:hAnsiTheme="majorHAnsi" w:cstheme="majorHAnsi"/>
          <w:sz w:val="20"/>
          <w:szCs w:val="20"/>
          <w:lang w:bidi="hi-IN"/>
        </w:rPr>
        <w:t xml:space="preserve"> any</w:t>
      </w:r>
      <w:r w:rsidRPr="00DA7B54">
        <w:rPr>
          <w:rFonts w:asciiTheme="majorHAnsi" w:hAnsiTheme="majorHAnsi" w:cstheme="majorHAnsi"/>
          <w:sz w:val="20"/>
          <w:szCs w:val="20"/>
          <w:lang w:bidi="hi-IN"/>
        </w:rPr>
        <w:t xml:space="preserve"> refer</w:t>
      </w:r>
      <w:r w:rsidR="00FB1841" w:rsidRPr="00DA7B54">
        <w:rPr>
          <w:rFonts w:asciiTheme="majorHAnsi" w:hAnsiTheme="majorHAnsi" w:cstheme="majorHAnsi"/>
          <w:sz w:val="20"/>
          <w:szCs w:val="20"/>
          <w:lang w:bidi="hi-IN"/>
        </w:rPr>
        <w:t>ence</w:t>
      </w:r>
      <w:r w:rsidRPr="00DA7B54">
        <w:rPr>
          <w:rFonts w:asciiTheme="majorHAnsi" w:hAnsiTheme="majorHAnsi" w:cstheme="majorHAnsi"/>
          <w:sz w:val="20"/>
          <w:szCs w:val="20"/>
          <w:lang w:bidi="hi-IN"/>
        </w:rPr>
        <w:t xml:space="preserve"> to “</w:t>
      </w:r>
      <w:r w:rsidRPr="00DA7B54">
        <w:rPr>
          <w:rFonts w:asciiTheme="majorHAnsi" w:hAnsiTheme="majorHAnsi" w:cstheme="majorHAnsi"/>
          <w:sz w:val="20"/>
          <w:szCs w:val="20"/>
        </w:rPr>
        <w:t>De Nederlandsche Bank” or “DNB</w:t>
      </w:r>
      <w:r w:rsidRPr="00DA7B54">
        <w:rPr>
          <w:rFonts w:asciiTheme="majorHAnsi" w:hAnsiTheme="majorHAnsi" w:cstheme="majorHAnsi"/>
          <w:sz w:val="20"/>
          <w:szCs w:val="20"/>
          <w:lang w:bidi="hi-IN"/>
        </w:rPr>
        <w:t xml:space="preserve">”, to </w:t>
      </w:r>
      <w:r w:rsidR="00FB1841" w:rsidRPr="00DA7B54">
        <w:rPr>
          <w:rFonts w:asciiTheme="majorHAnsi" w:hAnsiTheme="majorHAnsi" w:cstheme="majorHAnsi"/>
          <w:sz w:val="20"/>
          <w:szCs w:val="20"/>
          <w:lang w:bidi="hi-IN"/>
        </w:rPr>
        <w:t>refer</w:t>
      </w:r>
      <w:r w:rsidRPr="00DA7B54">
        <w:rPr>
          <w:rFonts w:asciiTheme="majorHAnsi" w:hAnsiTheme="majorHAnsi" w:cstheme="majorHAnsi"/>
          <w:sz w:val="20"/>
          <w:szCs w:val="20"/>
          <w:lang w:bidi="hi-IN"/>
        </w:rPr>
        <w:t xml:space="preserve"> to the Financial Services Authority, subject to certain exceptions (see paragraph </w:t>
      </w:r>
      <w:r w:rsidR="0031599E" w:rsidRPr="00DA7B54">
        <w:rPr>
          <w:rFonts w:asciiTheme="majorHAnsi" w:hAnsiTheme="majorHAnsi" w:cstheme="majorHAnsi"/>
          <w:sz w:val="20"/>
          <w:szCs w:val="20"/>
          <w:lang w:bidi="hi-IN"/>
        </w:rPr>
        <w:t>2.1</w:t>
      </w:r>
      <w:r w:rsidRPr="00DA7B54">
        <w:rPr>
          <w:rFonts w:asciiTheme="majorHAnsi" w:hAnsiTheme="majorHAnsi" w:cstheme="majorHAnsi"/>
          <w:sz w:val="20"/>
          <w:szCs w:val="20"/>
          <w:lang w:bidi="hi-IN"/>
        </w:rPr>
        <w:t xml:space="preserve"> of the </w:t>
      </w:r>
      <w:r w:rsidR="00BA5173" w:rsidRPr="00DA7B54">
        <w:rPr>
          <w:rFonts w:asciiTheme="majorHAnsi" w:hAnsiTheme="majorHAnsi" w:cstheme="majorHAnsi"/>
          <w:spacing w:val="4"/>
          <w:sz w:val="20"/>
          <w:szCs w:val="20"/>
        </w:rPr>
        <w:t>Deed of Irrevocable Offer</w:t>
      </w:r>
      <w:r w:rsidRPr="00DA7B54">
        <w:rPr>
          <w:rFonts w:asciiTheme="majorHAnsi" w:hAnsiTheme="majorHAnsi" w:cstheme="majorHAnsi"/>
          <w:sz w:val="20"/>
          <w:szCs w:val="20"/>
          <w:lang w:bidi="hi-IN"/>
        </w:rPr>
        <w:t>)</w:t>
      </w:r>
      <w:r w:rsidR="004D7D89" w:rsidRPr="00DA7B54">
        <w:rPr>
          <w:rFonts w:asciiTheme="majorHAnsi" w:hAnsiTheme="majorHAnsi" w:cstheme="majorHAnsi"/>
          <w:sz w:val="20"/>
          <w:szCs w:val="20"/>
          <w:lang w:bidi="hi-IN"/>
        </w:rPr>
        <w:t>.</w:t>
      </w:r>
      <w:r w:rsidRPr="00DA7B54">
        <w:rPr>
          <w:rFonts w:asciiTheme="majorHAnsi" w:hAnsiTheme="majorHAnsi" w:cstheme="majorHAnsi"/>
          <w:sz w:val="20"/>
          <w:szCs w:val="20"/>
          <w:lang w:bidi="hi-IN"/>
        </w:rPr>
        <w:t xml:space="preserve"> </w:t>
      </w:r>
    </w:p>
    <w:p w:rsidR="00451E2D" w:rsidRPr="00DA7B54" w:rsidRDefault="00451E2D" w:rsidP="00E52CA9">
      <w:pPr>
        <w:autoSpaceDE w:val="0"/>
        <w:autoSpaceDN w:val="0"/>
        <w:adjustRightInd w:val="0"/>
        <w:ind w:left="675"/>
        <w:jc w:val="both"/>
        <w:rPr>
          <w:rFonts w:asciiTheme="majorHAnsi" w:hAnsiTheme="majorHAnsi" w:cstheme="majorHAnsi"/>
          <w:sz w:val="20"/>
          <w:szCs w:val="20"/>
          <w:lang w:bidi="hi-IN"/>
        </w:rPr>
      </w:pPr>
    </w:p>
    <w:p w:rsidR="00AD15AE" w:rsidRDefault="00AD15AE" w:rsidP="00E52CA9">
      <w:pPr>
        <w:autoSpaceDE w:val="0"/>
        <w:autoSpaceDN w:val="0"/>
        <w:adjustRightInd w:val="0"/>
        <w:ind w:left="675"/>
        <w:jc w:val="both"/>
        <w:rPr>
          <w:rFonts w:asciiTheme="majorHAnsi" w:hAnsiTheme="majorHAnsi" w:cstheme="majorHAnsi"/>
          <w:sz w:val="20"/>
          <w:szCs w:val="20"/>
          <w:lang w:bidi="hi-IN"/>
        </w:rPr>
      </w:pPr>
      <w:r w:rsidRPr="001915FF">
        <w:rPr>
          <w:rFonts w:asciiTheme="majorHAnsi" w:hAnsiTheme="majorHAnsi" w:cstheme="majorHAnsi"/>
          <w:sz w:val="20"/>
          <w:szCs w:val="20"/>
          <w:lang w:bidi="hi-IN"/>
        </w:rPr>
        <w:t xml:space="preserve">- </w:t>
      </w:r>
      <w:r w:rsidRPr="00DA7B54">
        <w:rPr>
          <w:rFonts w:asciiTheme="majorHAnsi" w:hAnsiTheme="majorHAnsi" w:cstheme="majorHAnsi"/>
          <w:i/>
          <w:iCs/>
          <w:sz w:val="20"/>
          <w:szCs w:val="20"/>
          <w:lang w:bidi="hi-IN"/>
        </w:rPr>
        <w:t>Dividend Amounts and Notional Dividend Amounts</w:t>
      </w:r>
      <w:r w:rsidRPr="00DA7B54">
        <w:rPr>
          <w:rFonts w:asciiTheme="majorHAnsi" w:hAnsiTheme="majorHAnsi" w:cstheme="majorHAnsi"/>
          <w:sz w:val="20"/>
          <w:szCs w:val="20"/>
          <w:lang w:bidi="hi-IN"/>
        </w:rPr>
        <w:t>: Where the terms and conditions of a Transferring Capital Markets Security</w:t>
      </w:r>
      <w:r w:rsidR="00896D6B" w:rsidRPr="00DA7B54">
        <w:rPr>
          <w:rFonts w:asciiTheme="majorHAnsi" w:hAnsiTheme="majorHAnsi" w:cstheme="majorHAnsi"/>
          <w:sz w:val="20"/>
          <w:szCs w:val="20"/>
          <w:lang w:bidi="hi-IN"/>
        </w:rPr>
        <w:t xml:space="preserve"> linked to underlying shares, a basket of shares or indices</w:t>
      </w:r>
      <w:r w:rsidR="0031599E" w:rsidRPr="00DA7B54">
        <w:rPr>
          <w:rFonts w:asciiTheme="majorHAnsi" w:hAnsiTheme="majorHAnsi" w:cstheme="majorHAnsi"/>
          <w:sz w:val="20"/>
          <w:szCs w:val="20"/>
          <w:lang w:bidi="hi-IN"/>
        </w:rPr>
        <w:t xml:space="preserve"> provide for</w:t>
      </w:r>
      <w:r w:rsidRPr="00DA7B54">
        <w:rPr>
          <w:rFonts w:asciiTheme="majorHAnsi" w:hAnsiTheme="majorHAnsi" w:cstheme="majorHAnsi"/>
          <w:sz w:val="20"/>
          <w:szCs w:val="20"/>
          <w:lang w:bidi="hi-IN"/>
        </w:rPr>
        <w:t xml:space="preserve"> (</w:t>
      </w:r>
      <w:r w:rsidR="00EE0F0C" w:rsidRPr="00DA7B54">
        <w:rPr>
          <w:rFonts w:asciiTheme="majorHAnsi" w:hAnsiTheme="majorHAnsi" w:cstheme="majorHAnsi"/>
          <w:sz w:val="20"/>
          <w:szCs w:val="20"/>
          <w:lang w:bidi="hi-IN"/>
        </w:rPr>
        <w:t>1</w:t>
      </w:r>
      <w:r w:rsidRPr="00DA7B54">
        <w:rPr>
          <w:rFonts w:asciiTheme="majorHAnsi" w:hAnsiTheme="majorHAnsi" w:cstheme="majorHAnsi"/>
          <w:sz w:val="20"/>
          <w:szCs w:val="20"/>
          <w:lang w:bidi="hi-IN"/>
        </w:rPr>
        <w:t>) RBS N.V. as issuer to pay a “Dividend Amount” to holders of such Transf</w:t>
      </w:r>
      <w:r w:rsidR="00BA5173" w:rsidRPr="00DA7B54">
        <w:rPr>
          <w:rFonts w:asciiTheme="majorHAnsi" w:hAnsiTheme="majorHAnsi" w:cstheme="majorHAnsi"/>
          <w:sz w:val="20"/>
          <w:szCs w:val="20"/>
          <w:lang w:bidi="hi-IN"/>
        </w:rPr>
        <w:t>erring Capital Markets Security</w:t>
      </w:r>
      <w:r w:rsidRPr="00DA7B54">
        <w:rPr>
          <w:rFonts w:asciiTheme="majorHAnsi" w:hAnsiTheme="majorHAnsi" w:cstheme="majorHAnsi"/>
          <w:sz w:val="20"/>
          <w:szCs w:val="20"/>
          <w:lang w:bidi="hi-IN"/>
        </w:rPr>
        <w:t xml:space="preserve"> or (</w:t>
      </w:r>
      <w:r w:rsidR="00EE0F0C" w:rsidRPr="00DA7B54">
        <w:rPr>
          <w:rFonts w:asciiTheme="majorHAnsi" w:hAnsiTheme="majorHAnsi" w:cstheme="majorHAnsi"/>
          <w:sz w:val="20"/>
          <w:szCs w:val="20"/>
          <w:lang w:bidi="hi-IN"/>
        </w:rPr>
        <w:t>2</w:t>
      </w:r>
      <w:r w:rsidRPr="00DA7B54">
        <w:rPr>
          <w:rFonts w:asciiTheme="majorHAnsi" w:hAnsiTheme="majorHAnsi" w:cstheme="majorHAnsi"/>
          <w:sz w:val="20"/>
          <w:szCs w:val="20"/>
          <w:lang w:bidi="hi-IN"/>
        </w:rPr>
        <w:t>) the amount payab</w:t>
      </w:r>
      <w:r w:rsidR="00BA5173" w:rsidRPr="00DA7B54">
        <w:rPr>
          <w:rFonts w:asciiTheme="majorHAnsi" w:hAnsiTheme="majorHAnsi" w:cstheme="majorHAnsi"/>
          <w:sz w:val="20"/>
          <w:szCs w:val="20"/>
          <w:lang w:bidi="hi-IN"/>
        </w:rPr>
        <w:t>le on maturity to be adjusted for</w:t>
      </w:r>
      <w:r w:rsidRPr="00DA7B54">
        <w:rPr>
          <w:rFonts w:asciiTheme="majorHAnsi" w:hAnsiTheme="majorHAnsi" w:cstheme="majorHAnsi"/>
          <w:sz w:val="20"/>
          <w:szCs w:val="20"/>
          <w:lang w:bidi="hi-IN"/>
        </w:rPr>
        <w:t xml:space="preserve"> a “Notional Dividend Amount”, and the amount of any such Dividend Amount or Notional Dividend Amount currently falls</w:t>
      </w:r>
      <w:r w:rsidR="00BA5173" w:rsidRPr="00DA7B54">
        <w:rPr>
          <w:rFonts w:asciiTheme="majorHAnsi" w:hAnsiTheme="majorHAnsi" w:cstheme="majorHAnsi"/>
          <w:sz w:val="20"/>
          <w:szCs w:val="20"/>
          <w:lang w:bidi="hi-IN"/>
        </w:rPr>
        <w:t>, under the relevant terms and conditions,</w:t>
      </w:r>
      <w:r w:rsidRPr="00DA7B54">
        <w:rPr>
          <w:rFonts w:asciiTheme="majorHAnsi" w:hAnsiTheme="majorHAnsi" w:cstheme="majorHAnsi"/>
          <w:sz w:val="20"/>
          <w:szCs w:val="20"/>
          <w:lang w:bidi="hi-IN"/>
        </w:rPr>
        <w:t xml:space="preserve"> to be calculated net of withholding tax at the rate provided for in the relevant Netherlands double tax treaty</w:t>
      </w:r>
      <w:bookmarkStart w:id="1" w:name="_Ref317609391"/>
      <w:r w:rsidRPr="00DA7B54">
        <w:rPr>
          <w:rFonts w:asciiTheme="majorHAnsi" w:hAnsiTheme="majorHAnsi" w:cstheme="majorHAnsi"/>
          <w:color w:val="000000"/>
          <w:sz w:val="20"/>
          <w:szCs w:val="20"/>
        </w:rPr>
        <w:t xml:space="preserve">, RBS plc will construe the terms and conditions so that any such Dividend Amount or Notional Dividend Amount will, going forward, be calculated net of withholding tax at the rate provided for under whichever of the relevant United Kingdom tax treaty or the relevant Netherlands tax treaty provides for the lower rate of withholding tax </w:t>
      </w:r>
      <w:bookmarkEnd w:id="1"/>
      <w:r w:rsidRPr="00DA7B54">
        <w:rPr>
          <w:rFonts w:asciiTheme="majorHAnsi" w:hAnsiTheme="majorHAnsi" w:cstheme="majorHAnsi"/>
          <w:sz w:val="20"/>
          <w:szCs w:val="20"/>
          <w:lang w:bidi="hi-IN"/>
        </w:rPr>
        <w:t xml:space="preserve">(see paragraph 2.3.1 of the </w:t>
      </w:r>
      <w:r w:rsidR="00BA5173" w:rsidRPr="00DA7B54">
        <w:rPr>
          <w:rFonts w:asciiTheme="majorHAnsi" w:hAnsiTheme="majorHAnsi" w:cstheme="majorHAnsi"/>
          <w:spacing w:val="4"/>
          <w:sz w:val="20"/>
          <w:szCs w:val="20"/>
        </w:rPr>
        <w:t>Deed of Irrevocable Offer</w:t>
      </w:r>
      <w:r w:rsidR="0031599E" w:rsidRPr="00DA7B54">
        <w:rPr>
          <w:rFonts w:asciiTheme="majorHAnsi" w:hAnsiTheme="majorHAnsi" w:cstheme="majorHAnsi"/>
          <w:sz w:val="20"/>
          <w:szCs w:val="20"/>
          <w:lang w:bidi="hi-IN"/>
        </w:rPr>
        <w:t>).</w:t>
      </w:r>
    </w:p>
    <w:p w:rsidR="00451E2D" w:rsidRPr="00DA7B54" w:rsidRDefault="00451E2D" w:rsidP="00E52CA9">
      <w:pPr>
        <w:autoSpaceDE w:val="0"/>
        <w:autoSpaceDN w:val="0"/>
        <w:adjustRightInd w:val="0"/>
        <w:ind w:left="675"/>
        <w:jc w:val="both"/>
        <w:rPr>
          <w:rFonts w:asciiTheme="majorHAnsi" w:hAnsiTheme="majorHAnsi" w:cstheme="majorHAnsi"/>
          <w:sz w:val="20"/>
          <w:szCs w:val="20"/>
          <w:lang w:bidi="hi-IN"/>
        </w:rPr>
      </w:pPr>
    </w:p>
    <w:p w:rsidR="00AD15AE" w:rsidRDefault="00AD15AE" w:rsidP="00E52CA9">
      <w:pPr>
        <w:autoSpaceDE w:val="0"/>
        <w:autoSpaceDN w:val="0"/>
        <w:adjustRightInd w:val="0"/>
        <w:ind w:left="675"/>
        <w:jc w:val="both"/>
        <w:rPr>
          <w:rFonts w:asciiTheme="majorHAnsi" w:hAnsiTheme="majorHAnsi" w:cstheme="majorHAnsi"/>
          <w:sz w:val="20"/>
          <w:szCs w:val="20"/>
          <w:lang w:bidi="hi-IN"/>
        </w:rPr>
      </w:pPr>
      <w:r w:rsidRPr="00DA7B54">
        <w:rPr>
          <w:rFonts w:asciiTheme="majorHAnsi" w:hAnsiTheme="majorHAnsi" w:cstheme="majorHAnsi"/>
          <w:i/>
          <w:iCs/>
          <w:sz w:val="20"/>
          <w:szCs w:val="20"/>
          <w:lang w:bidi="hi-IN"/>
        </w:rPr>
        <w:t xml:space="preserve">- </w:t>
      </w:r>
      <w:r w:rsidR="00896D6B" w:rsidRPr="00DA7B54">
        <w:rPr>
          <w:rFonts w:asciiTheme="majorHAnsi" w:hAnsiTheme="majorHAnsi" w:cstheme="majorHAnsi"/>
          <w:i/>
          <w:iCs/>
          <w:sz w:val="20"/>
          <w:szCs w:val="20"/>
          <w:lang w:bidi="hi-IN"/>
        </w:rPr>
        <w:t>Dutch w</w:t>
      </w:r>
      <w:r w:rsidRPr="00DA7B54">
        <w:rPr>
          <w:rFonts w:asciiTheme="majorHAnsi" w:hAnsiTheme="majorHAnsi" w:cstheme="majorHAnsi"/>
          <w:i/>
          <w:iCs/>
          <w:sz w:val="20"/>
          <w:szCs w:val="20"/>
          <w:lang w:bidi="hi-IN"/>
        </w:rPr>
        <w:t>ithholding tax</w:t>
      </w:r>
      <w:r w:rsidRPr="00DA7B54">
        <w:rPr>
          <w:rFonts w:asciiTheme="majorHAnsi" w:hAnsiTheme="majorHAnsi" w:cstheme="majorHAnsi"/>
          <w:sz w:val="20"/>
          <w:szCs w:val="20"/>
          <w:lang w:bidi="hi-IN"/>
        </w:rPr>
        <w:t xml:space="preserve">: Where the terms and conditions of a Transferring Capital Markets Security </w:t>
      </w:r>
      <w:r w:rsidRPr="00DA7B54">
        <w:rPr>
          <w:rFonts w:asciiTheme="majorHAnsi" w:hAnsiTheme="majorHAnsi" w:cstheme="majorHAnsi"/>
          <w:sz w:val="20"/>
          <w:szCs w:val="20"/>
        </w:rPr>
        <w:t>refer to any withholding or deduction for or on account of any Taxes (as defined in the Demerger proposal) of any description imposed or levied by or on behalf of The Netherlands (or any political subdivision or authority thereof or therein having power to tax), or</w:t>
      </w:r>
      <w:r w:rsidRPr="00DA7B54">
        <w:rPr>
          <w:rFonts w:asciiTheme="majorHAnsi" w:hAnsiTheme="majorHAnsi" w:cstheme="majorHAnsi"/>
          <w:sz w:val="20"/>
          <w:szCs w:val="20"/>
          <w:lang w:bidi="hi-IN"/>
        </w:rPr>
        <w:t xml:space="preserve"> </w:t>
      </w:r>
      <w:r w:rsidRPr="00DA7B54">
        <w:rPr>
          <w:rFonts w:asciiTheme="majorHAnsi" w:hAnsiTheme="majorHAnsi" w:cstheme="majorHAnsi"/>
          <w:sz w:val="20"/>
          <w:szCs w:val="20"/>
        </w:rPr>
        <w:t xml:space="preserve">make substantially similar provision, RBS plc will construe </w:t>
      </w:r>
      <w:r w:rsidRPr="00DA7B54">
        <w:rPr>
          <w:rFonts w:asciiTheme="majorHAnsi" w:hAnsiTheme="majorHAnsi" w:cstheme="majorHAnsi"/>
          <w:sz w:val="20"/>
          <w:szCs w:val="20"/>
          <w:lang w:bidi="hi-IN"/>
        </w:rPr>
        <w:t xml:space="preserve">references to “The Netherlands” in such provisions </w:t>
      </w:r>
      <w:r w:rsidR="00BA5173" w:rsidRPr="00DA7B54">
        <w:rPr>
          <w:rFonts w:asciiTheme="majorHAnsi" w:hAnsiTheme="majorHAnsi" w:cstheme="majorHAnsi"/>
          <w:sz w:val="20"/>
          <w:szCs w:val="20"/>
          <w:lang w:bidi="hi-IN"/>
        </w:rPr>
        <w:t xml:space="preserve">or in related provisions </w:t>
      </w:r>
      <w:r w:rsidRPr="00DA7B54">
        <w:rPr>
          <w:rFonts w:asciiTheme="majorHAnsi" w:hAnsiTheme="majorHAnsi" w:cstheme="majorHAnsi"/>
          <w:sz w:val="20"/>
          <w:szCs w:val="20"/>
          <w:lang w:bidi="hi-IN"/>
        </w:rPr>
        <w:t xml:space="preserve">to refer to “the United Kingdom” (see paragraph 2.3.2 of the </w:t>
      </w:r>
      <w:r w:rsidR="00BA5173" w:rsidRPr="00DA7B54">
        <w:rPr>
          <w:rFonts w:asciiTheme="majorHAnsi" w:hAnsiTheme="majorHAnsi" w:cstheme="majorHAnsi"/>
          <w:spacing w:val="4"/>
          <w:sz w:val="20"/>
          <w:szCs w:val="20"/>
        </w:rPr>
        <w:t>Deed of Irrevocable Offer</w:t>
      </w:r>
      <w:r w:rsidR="0031599E" w:rsidRPr="00DA7B54">
        <w:rPr>
          <w:rFonts w:asciiTheme="majorHAnsi" w:hAnsiTheme="majorHAnsi" w:cstheme="majorHAnsi"/>
          <w:sz w:val="20"/>
          <w:szCs w:val="20"/>
          <w:lang w:bidi="hi-IN"/>
        </w:rPr>
        <w:t>).</w:t>
      </w:r>
    </w:p>
    <w:p w:rsidR="00451E2D" w:rsidRPr="00DA7B54" w:rsidRDefault="00451E2D" w:rsidP="00E52CA9">
      <w:pPr>
        <w:autoSpaceDE w:val="0"/>
        <w:autoSpaceDN w:val="0"/>
        <w:adjustRightInd w:val="0"/>
        <w:ind w:left="675"/>
        <w:jc w:val="both"/>
        <w:rPr>
          <w:rFonts w:asciiTheme="majorHAnsi" w:hAnsiTheme="majorHAnsi" w:cstheme="majorHAnsi"/>
          <w:sz w:val="20"/>
          <w:szCs w:val="20"/>
          <w:lang w:bidi="hi-IN"/>
        </w:rPr>
      </w:pPr>
    </w:p>
    <w:p w:rsidR="00AD15AE" w:rsidRDefault="00AD15AE" w:rsidP="00E52CA9">
      <w:pPr>
        <w:autoSpaceDE w:val="0"/>
        <w:autoSpaceDN w:val="0"/>
        <w:adjustRightInd w:val="0"/>
        <w:ind w:left="675"/>
        <w:jc w:val="both"/>
        <w:rPr>
          <w:rFonts w:asciiTheme="majorHAnsi" w:hAnsiTheme="majorHAnsi" w:cstheme="majorHAnsi"/>
          <w:sz w:val="20"/>
          <w:szCs w:val="20"/>
          <w:lang w:bidi="hi-IN"/>
        </w:rPr>
      </w:pPr>
      <w:r w:rsidRPr="00DA7B54">
        <w:rPr>
          <w:rFonts w:asciiTheme="majorHAnsi" w:hAnsiTheme="majorHAnsi" w:cstheme="majorHAnsi"/>
          <w:i/>
          <w:iCs/>
          <w:sz w:val="20"/>
          <w:szCs w:val="20"/>
          <w:lang w:bidi="hi-IN"/>
        </w:rPr>
        <w:t>- Events of default</w:t>
      </w:r>
      <w:r w:rsidRPr="00DA7B54">
        <w:rPr>
          <w:rFonts w:asciiTheme="majorHAnsi" w:hAnsiTheme="majorHAnsi" w:cstheme="majorHAnsi"/>
          <w:sz w:val="20"/>
          <w:szCs w:val="20"/>
          <w:lang w:bidi="hi-IN"/>
        </w:rPr>
        <w:t xml:space="preserve">: Where the terms and conditions of a Transferring Capital Markets Security include an event of default referable to insolvency-related events that are specific to Dutch </w:t>
      </w:r>
      <w:r w:rsidR="00BA5173" w:rsidRPr="00DA7B54">
        <w:rPr>
          <w:rFonts w:asciiTheme="majorHAnsi" w:hAnsiTheme="majorHAnsi" w:cstheme="majorHAnsi"/>
          <w:sz w:val="20"/>
          <w:szCs w:val="20"/>
          <w:lang w:bidi="hi-IN"/>
        </w:rPr>
        <w:t>banks</w:t>
      </w:r>
      <w:r w:rsidRPr="00DA7B54">
        <w:rPr>
          <w:rFonts w:asciiTheme="majorHAnsi" w:hAnsiTheme="majorHAnsi" w:cstheme="majorHAnsi"/>
          <w:sz w:val="20"/>
          <w:szCs w:val="20"/>
          <w:lang w:bidi="hi-IN"/>
        </w:rPr>
        <w:t xml:space="preserve">, </w:t>
      </w:r>
      <w:r w:rsidR="00BA5173" w:rsidRPr="00DA7B54">
        <w:rPr>
          <w:rFonts w:asciiTheme="majorHAnsi" w:hAnsiTheme="majorHAnsi" w:cstheme="majorHAnsi"/>
          <w:sz w:val="20"/>
          <w:szCs w:val="20"/>
          <w:lang w:bidi="hi-IN"/>
        </w:rPr>
        <w:t xml:space="preserve">RBS will construe such references to include </w:t>
      </w:r>
      <w:r w:rsidRPr="00DA7B54">
        <w:rPr>
          <w:rFonts w:asciiTheme="majorHAnsi" w:hAnsiTheme="majorHAnsi" w:cstheme="majorHAnsi"/>
          <w:sz w:val="20"/>
          <w:szCs w:val="20"/>
          <w:lang w:bidi="hi-IN"/>
        </w:rPr>
        <w:t xml:space="preserve">the closest equivalent concepts in the United Kingdom (see paragraph 2.3.3 of the </w:t>
      </w:r>
      <w:r w:rsidR="00BA5173" w:rsidRPr="00DA7B54">
        <w:rPr>
          <w:rFonts w:asciiTheme="majorHAnsi" w:hAnsiTheme="majorHAnsi" w:cstheme="majorHAnsi"/>
          <w:spacing w:val="4"/>
          <w:sz w:val="20"/>
          <w:szCs w:val="20"/>
        </w:rPr>
        <w:t>Deed of Irrevocable Offer</w:t>
      </w:r>
      <w:r w:rsidRPr="00DA7B54">
        <w:rPr>
          <w:rFonts w:asciiTheme="majorHAnsi" w:hAnsiTheme="majorHAnsi" w:cstheme="majorHAnsi"/>
          <w:sz w:val="20"/>
          <w:szCs w:val="20"/>
          <w:lang w:bidi="hi-IN"/>
        </w:rPr>
        <w:t>).</w:t>
      </w:r>
    </w:p>
    <w:p w:rsidR="00451E2D" w:rsidRPr="00DA7B54" w:rsidRDefault="00451E2D" w:rsidP="00451E2D">
      <w:pPr>
        <w:autoSpaceDE w:val="0"/>
        <w:autoSpaceDN w:val="0"/>
        <w:adjustRightInd w:val="0"/>
        <w:jc w:val="both"/>
        <w:rPr>
          <w:rFonts w:asciiTheme="majorHAnsi" w:hAnsiTheme="majorHAnsi" w:cstheme="majorHAnsi"/>
          <w:spacing w:val="4"/>
          <w:sz w:val="20"/>
          <w:szCs w:val="20"/>
        </w:rPr>
      </w:pPr>
    </w:p>
    <w:p w:rsidR="00E52CA9" w:rsidRDefault="006B4E64" w:rsidP="00451E2D">
      <w:pPr>
        <w:autoSpaceDE w:val="0"/>
        <w:autoSpaceDN w:val="0"/>
        <w:adjustRightInd w:val="0"/>
        <w:jc w:val="both"/>
        <w:rPr>
          <w:rFonts w:asciiTheme="majorHAnsi" w:hAnsiTheme="majorHAnsi" w:cstheme="majorHAnsi"/>
          <w:i/>
          <w:iCs/>
          <w:sz w:val="20"/>
          <w:szCs w:val="20"/>
        </w:rPr>
      </w:pPr>
      <w:r w:rsidRPr="00DA7B54">
        <w:rPr>
          <w:rFonts w:asciiTheme="majorHAnsi" w:hAnsiTheme="majorHAnsi" w:cstheme="majorHAnsi"/>
          <w:sz w:val="20"/>
          <w:szCs w:val="20"/>
        </w:rPr>
        <w:t xml:space="preserve">The </w:t>
      </w:r>
      <w:r w:rsidR="00EC5DEA" w:rsidRPr="00DA7B54">
        <w:rPr>
          <w:rFonts w:asciiTheme="majorHAnsi" w:hAnsiTheme="majorHAnsi" w:cstheme="majorHAnsi"/>
          <w:spacing w:val="4"/>
          <w:sz w:val="20"/>
          <w:szCs w:val="20"/>
        </w:rPr>
        <w:t>Deed of Irrevocable Offer</w:t>
      </w:r>
      <w:r w:rsidRPr="00DA7B54">
        <w:rPr>
          <w:rFonts w:asciiTheme="majorHAnsi" w:hAnsiTheme="majorHAnsi" w:cstheme="majorHAnsi"/>
          <w:sz w:val="20"/>
          <w:szCs w:val="20"/>
        </w:rPr>
        <w:t>, in the form it will be executed by RBS plc prior to the effective date of the Dutch Scheme</w:t>
      </w:r>
      <w:r w:rsidR="00E52CA9">
        <w:rPr>
          <w:rFonts w:asciiTheme="majorHAnsi" w:hAnsiTheme="majorHAnsi" w:cstheme="majorHAnsi"/>
          <w:sz w:val="20"/>
          <w:szCs w:val="20"/>
        </w:rPr>
        <w:t>,</w:t>
      </w:r>
      <w:r w:rsidRPr="00DA7B54">
        <w:rPr>
          <w:rFonts w:asciiTheme="majorHAnsi" w:hAnsiTheme="majorHAnsi" w:cstheme="majorHAnsi"/>
          <w:sz w:val="20"/>
          <w:szCs w:val="20"/>
        </w:rPr>
        <w:t xml:space="preserve"> </w:t>
      </w:r>
      <w:r w:rsidR="001E6A3B" w:rsidRPr="00DA7B54">
        <w:rPr>
          <w:rFonts w:asciiTheme="majorHAnsi" w:hAnsiTheme="majorHAnsi" w:cstheme="majorHAnsi"/>
          <w:sz w:val="20"/>
          <w:szCs w:val="20"/>
        </w:rPr>
        <w:t xml:space="preserve">can be </w:t>
      </w:r>
      <w:r w:rsidR="001E6A3B" w:rsidRPr="00E300DD">
        <w:rPr>
          <w:rFonts w:asciiTheme="majorHAnsi" w:hAnsiTheme="majorHAnsi" w:cstheme="majorHAnsi"/>
          <w:sz w:val="20"/>
          <w:szCs w:val="20"/>
        </w:rPr>
        <w:t xml:space="preserve">viewed at </w:t>
      </w:r>
      <w:r w:rsidR="00E300DD" w:rsidRPr="00E300DD">
        <w:rPr>
          <w:rFonts w:asciiTheme="majorHAnsi" w:hAnsiTheme="majorHAnsi" w:cstheme="majorHAnsi"/>
          <w:i/>
          <w:iCs/>
          <w:sz w:val="20"/>
          <w:szCs w:val="20"/>
        </w:rPr>
        <w:t>http://www.investors.rbs.com/RBS_NV</w:t>
      </w:r>
      <w:r w:rsidRPr="00E300DD">
        <w:rPr>
          <w:rFonts w:asciiTheme="majorHAnsi" w:hAnsiTheme="majorHAnsi" w:cstheme="majorHAnsi"/>
          <w:i/>
          <w:iCs/>
          <w:sz w:val="20"/>
          <w:szCs w:val="20"/>
        </w:rPr>
        <w:t>.</w:t>
      </w:r>
      <w:r w:rsidR="00896D6B" w:rsidRPr="00DA7B54">
        <w:rPr>
          <w:rFonts w:asciiTheme="majorHAnsi" w:hAnsiTheme="majorHAnsi" w:cstheme="majorHAnsi"/>
          <w:i/>
          <w:iCs/>
          <w:sz w:val="20"/>
          <w:szCs w:val="20"/>
        </w:rPr>
        <w:t xml:space="preserve"> </w:t>
      </w:r>
    </w:p>
    <w:p w:rsidR="00E52CA9" w:rsidRDefault="00E52CA9" w:rsidP="00451E2D">
      <w:pPr>
        <w:autoSpaceDE w:val="0"/>
        <w:autoSpaceDN w:val="0"/>
        <w:adjustRightInd w:val="0"/>
        <w:jc w:val="both"/>
        <w:rPr>
          <w:rFonts w:asciiTheme="majorHAnsi" w:hAnsiTheme="majorHAnsi" w:cstheme="majorHAnsi"/>
          <w:i/>
          <w:iCs/>
          <w:sz w:val="20"/>
          <w:szCs w:val="20"/>
        </w:rPr>
      </w:pPr>
    </w:p>
    <w:p w:rsidR="004027EE" w:rsidRDefault="00896D6B" w:rsidP="00451E2D">
      <w:pPr>
        <w:autoSpaceDE w:val="0"/>
        <w:autoSpaceDN w:val="0"/>
        <w:adjustRightInd w:val="0"/>
        <w:jc w:val="both"/>
        <w:rPr>
          <w:rFonts w:asciiTheme="majorHAnsi" w:hAnsiTheme="majorHAnsi" w:cstheme="majorHAnsi"/>
          <w:spacing w:val="4"/>
          <w:sz w:val="20"/>
          <w:szCs w:val="20"/>
        </w:rPr>
      </w:pPr>
      <w:r w:rsidRPr="00DA7B54">
        <w:rPr>
          <w:rFonts w:asciiTheme="majorHAnsi" w:hAnsiTheme="majorHAnsi" w:cstheme="majorHAnsi"/>
          <w:spacing w:val="4"/>
          <w:sz w:val="20"/>
          <w:szCs w:val="20"/>
        </w:rPr>
        <w:t xml:space="preserve">The above sets out a summary only of certain provisions </w:t>
      </w:r>
      <w:r w:rsidR="00EC5DEA" w:rsidRPr="00DA7B54">
        <w:rPr>
          <w:rFonts w:asciiTheme="majorHAnsi" w:hAnsiTheme="majorHAnsi" w:cstheme="majorHAnsi"/>
          <w:spacing w:val="4"/>
          <w:sz w:val="20"/>
          <w:szCs w:val="20"/>
        </w:rPr>
        <w:t>of the Deed of Irrevocable Offer</w:t>
      </w:r>
      <w:r w:rsidRPr="00DA7B54">
        <w:rPr>
          <w:rFonts w:asciiTheme="majorHAnsi" w:hAnsiTheme="majorHAnsi" w:cstheme="majorHAnsi"/>
          <w:spacing w:val="4"/>
          <w:sz w:val="20"/>
          <w:szCs w:val="20"/>
        </w:rPr>
        <w:t xml:space="preserve"> and investors in the Transferring Capital Markets Securities</w:t>
      </w:r>
      <w:r w:rsidR="00BA5173" w:rsidRPr="00DA7B54">
        <w:rPr>
          <w:rFonts w:asciiTheme="majorHAnsi" w:hAnsiTheme="majorHAnsi" w:cstheme="majorHAnsi"/>
          <w:spacing w:val="4"/>
          <w:sz w:val="20"/>
          <w:szCs w:val="20"/>
        </w:rPr>
        <w:t xml:space="preserve"> and other interested persons</w:t>
      </w:r>
      <w:r w:rsidRPr="00DA7B54">
        <w:rPr>
          <w:rFonts w:asciiTheme="majorHAnsi" w:hAnsiTheme="majorHAnsi" w:cstheme="majorHAnsi"/>
          <w:spacing w:val="4"/>
          <w:sz w:val="20"/>
          <w:szCs w:val="20"/>
        </w:rPr>
        <w:t xml:space="preserve"> should refer to the </w:t>
      </w:r>
      <w:r w:rsidR="00BA5173" w:rsidRPr="00DA7B54">
        <w:rPr>
          <w:rFonts w:asciiTheme="majorHAnsi" w:hAnsiTheme="majorHAnsi" w:cstheme="majorHAnsi"/>
          <w:spacing w:val="4"/>
          <w:sz w:val="20"/>
          <w:szCs w:val="20"/>
        </w:rPr>
        <w:t xml:space="preserve">Deed of Irrevocable Offer </w:t>
      </w:r>
      <w:r w:rsidR="0031599E" w:rsidRPr="00DA7B54">
        <w:rPr>
          <w:rFonts w:asciiTheme="majorHAnsi" w:hAnsiTheme="majorHAnsi" w:cstheme="majorHAnsi"/>
          <w:spacing w:val="4"/>
          <w:sz w:val="20"/>
          <w:szCs w:val="20"/>
        </w:rPr>
        <w:t>for the full terms</w:t>
      </w:r>
      <w:r w:rsidRPr="00DA7B54">
        <w:rPr>
          <w:rFonts w:asciiTheme="majorHAnsi" w:hAnsiTheme="majorHAnsi" w:cstheme="majorHAnsi"/>
          <w:spacing w:val="4"/>
          <w:sz w:val="20"/>
          <w:szCs w:val="20"/>
        </w:rPr>
        <w:t>.</w:t>
      </w:r>
    </w:p>
    <w:p w:rsidR="00451E2D" w:rsidRPr="00DA7B54" w:rsidRDefault="00451E2D" w:rsidP="00451E2D">
      <w:pPr>
        <w:autoSpaceDE w:val="0"/>
        <w:autoSpaceDN w:val="0"/>
        <w:adjustRightInd w:val="0"/>
        <w:jc w:val="both"/>
        <w:rPr>
          <w:rFonts w:asciiTheme="majorHAnsi" w:hAnsiTheme="majorHAnsi" w:cstheme="majorHAnsi"/>
          <w:spacing w:val="4"/>
          <w:sz w:val="20"/>
          <w:szCs w:val="20"/>
        </w:rPr>
      </w:pPr>
    </w:p>
    <w:p w:rsidR="00651CFA" w:rsidRDefault="00651CFA" w:rsidP="00E72F88">
      <w:pPr>
        <w:pStyle w:val="Body"/>
        <w:spacing w:after="0" w:line="240" w:lineRule="auto"/>
        <w:rPr>
          <w:rFonts w:asciiTheme="majorHAnsi" w:hAnsiTheme="majorHAnsi" w:cstheme="majorHAnsi"/>
          <w:b/>
          <w:sz w:val="20"/>
          <w:szCs w:val="20"/>
        </w:rPr>
      </w:pPr>
      <w:r w:rsidRPr="00DA7B54">
        <w:rPr>
          <w:rFonts w:asciiTheme="majorHAnsi" w:hAnsiTheme="majorHAnsi" w:cstheme="majorHAnsi"/>
          <w:b/>
          <w:sz w:val="20"/>
          <w:szCs w:val="20"/>
        </w:rPr>
        <w:t>For Further Information Contact:</w:t>
      </w:r>
    </w:p>
    <w:p w:rsidR="00451E2D" w:rsidRPr="00DA7B54" w:rsidRDefault="00451E2D" w:rsidP="00E72F88">
      <w:pPr>
        <w:pStyle w:val="Body"/>
        <w:keepNext/>
        <w:spacing w:after="0" w:line="240" w:lineRule="auto"/>
        <w:rPr>
          <w:rFonts w:asciiTheme="majorHAnsi" w:hAnsiTheme="majorHAnsi" w:cstheme="majorHAnsi"/>
          <w:b/>
          <w:sz w:val="20"/>
          <w:szCs w:val="20"/>
        </w:rPr>
      </w:pPr>
    </w:p>
    <w:tbl>
      <w:tblPr>
        <w:tblW w:w="9735" w:type="dxa"/>
        <w:tblCellSpacing w:w="0" w:type="dxa"/>
        <w:tblCellMar>
          <w:left w:w="0" w:type="dxa"/>
          <w:right w:w="0" w:type="dxa"/>
        </w:tblCellMar>
        <w:tblLook w:val="0000" w:firstRow="0" w:lastRow="0" w:firstColumn="0" w:lastColumn="0" w:noHBand="0" w:noVBand="0"/>
      </w:tblPr>
      <w:tblGrid>
        <w:gridCol w:w="5103"/>
        <w:gridCol w:w="4632"/>
      </w:tblGrid>
      <w:tr w:rsidR="00651CFA" w:rsidRPr="00DA7B54" w:rsidTr="00822250">
        <w:trPr>
          <w:tblCellSpacing w:w="0" w:type="dxa"/>
        </w:trPr>
        <w:tc>
          <w:tcPr>
            <w:tcW w:w="4875" w:type="dxa"/>
          </w:tcPr>
          <w:p w:rsidR="00651CFA" w:rsidRDefault="00651CFA" w:rsidP="00E72F88">
            <w:pPr>
              <w:pStyle w:val="Body"/>
              <w:keepNext/>
              <w:spacing w:after="0" w:line="240" w:lineRule="auto"/>
              <w:rPr>
                <w:rStyle w:val="ch"/>
                <w:rFonts w:asciiTheme="majorHAnsi" w:hAnsiTheme="majorHAnsi" w:cstheme="majorHAnsi"/>
                <w:sz w:val="20"/>
                <w:szCs w:val="20"/>
              </w:rPr>
            </w:pPr>
            <w:r w:rsidRPr="00DA7B54">
              <w:rPr>
                <w:rStyle w:val="ch"/>
                <w:rFonts w:asciiTheme="majorHAnsi" w:hAnsiTheme="majorHAnsi" w:cstheme="majorHAnsi"/>
                <w:sz w:val="20"/>
                <w:szCs w:val="20"/>
              </w:rPr>
              <w:t>RBS Group Investor Relations</w:t>
            </w:r>
          </w:p>
          <w:p w:rsidR="00451E2D" w:rsidRPr="00DA7B54" w:rsidRDefault="00451E2D" w:rsidP="00451E2D">
            <w:pPr>
              <w:pStyle w:val="Body"/>
              <w:spacing w:after="0" w:line="240" w:lineRule="auto"/>
              <w:rPr>
                <w:rStyle w:val="ch"/>
                <w:rFonts w:asciiTheme="majorHAnsi" w:hAnsiTheme="majorHAnsi" w:cstheme="majorHAnsi"/>
                <w:sz w:val="20"/>
                <w:szCs w:val="20"/>
              </w:rPr>
            </w:pPr>
          </w:p>
          <w:p w:rsidR="00651CFA" w:rsidRDefault="00651CFA" w:rsidP="00451E2D">
            <w:pPr>
              <w:pStyle w:val="Body"/>
              <w:spacing w:after="0" w:line="240" w:lineRule="auto"/>
              <w:rPr>
                <w:rStyle w:val="ch"/>
                <w:rFonts w:asciiTheme="majorHAnsi" w:hAnsiTheme="majorHAnsi" w:cstheme="majorHAnsi"/>
                <w:sz w:val="20"/>
                <w:szCs w:val="20"/>
              </w:rPr>
            </w:pPr>
            <w:r w:rsidRPr="00DA7B54">
              <w:rPr>
                <w:rStyle w:val="ch"/>
                <w:rFonts w:asciiTheme="majorHAnsi" w:hAnsiTheme="majorHAnsi" w:cstheme="majorHAnsi"/>
                <w:sz w:val="20"/>
                <w:szCs w:val="20"/>
              </w:rPr>
              <w:t>Emete Hassan, Head of Debt Investor Relations</w:t>
            </w:r>
          </w:p>
          <w:p w:rsidR="00451E2D" w:rsidRPr="00DA7B54" w:rsidRDefault="00451E2D" w:rsidP="00451E2D">
            <w:pPr>
              <w:pStyle w:val="Body"/>
              <w:spacing w:after="0" w:line="240" w:lineRule="auto"/>
              <w:rPr>
                <w:rFonts w:asciiTheme="majorHAnsi" w:hAnsiTheme="majorHAnsi" w:cstheme="majorHAnsi"/>
                <w:sz w:val="20"/>
                <w:szCs w:val="20"/>
              </w:rPr>
            </w:pPr>
          </w:p>
          <w:p w:rsidR="00651CFA" w:rsidRPr="00DA7B54" w:rsidRDefault="00651CFA" w:rsidP="00451E2D">
            <w:pPr>
              <w:pStyle w:val="Body"/>
              <w:spacing w:after="0" w:line="240" w:lineRule="auto"/>
              <w:rPr>
                <w:rFonts w:asciiTheme="majorHAnsi" w:hAnsiTheme="majorHAnsi" w:cstheme="majorHAnsi"/>
                <w:sz w:val="20"/>
                <w:szCs w:val="20"/>
              </w:rPr>
            </w:pPr>
            <w:r w:rsidRPr="00DA7B54">
              <w:rPr>
                <w:rStyle w:val="iq"/>
                <w:rFonts w:asciiTheme="majorHAnsi" w:hAnsiTheme="majorHAnsi" w:cstheme="majorHAnsi"/>
                <w:sz w:val="20"/>
                <w:szCs w:val="20"/>
              </w:rPr>
              <w:t>+44 207 672 1758</w:t>
            </w:r>
          </w:p>
        </w:tc>
        <w:tc>
          <w:tcPr>
            <w:tcW w:w="4425" w:type="dxa"/>
          </w:tcPr>
          <w:p w:rsidR="00651CFA" w:rsidRDefault="00651CFA" w:rsidP="00451E2D">
            <w:pPr>
              <w:pStyle w:val="Body"/>
              <w:spacing w:after="0" w:line="240" w:lineRule="auto"/>
              <w:rPr>
                <w:rStyle w:val="cd"/>
                <w:rFonts w:asciiTheme="majorHAnsi" w:hAnsiTheme="majorHAnsi" w:cstheme="majorHAnsi"/>
                <w:sz w:val="20"/>
                <w:szCs w:val="20"/>
              </w:rPr>
            </w:pPr>
            <w:r w:rsidRPr="00DA7B54">
              <w:rPr>
                <w:rStyle w:val="cd"/>
                <w:rFonts w:asciiTheme="majorHAnsi" w:hAnsiTheme="majorHAnsi" w:cstheme="majorHAnsi"/>
                <w:sz w:val="20"/>
                <w:szCs w:val="20"/>
              </w:rPr>
              <w:t>RBS Group Media Relations</w:t>
            </w:r>
          </w:p>
          <w:p w:rsidR="00451E2D" w:rsidRPr="00DA7B54" w:rsidRDefault="00451E2D" w:rsidP="00451E2D">
            <w:pPr>
              <w:pStyle w:val="Body"/>
              <w:spacing w:after="0" w:line="240" w:lineRule="auto"/>
              <w:rPr>
                <w:rFonts w:asciiTheme="majorHAnsi" w:hAnsiTheme="majorHAnsi" w:cstheme="majorHAnsi"/>
                <w:sz w:val="20"/>
                <w:szCs w:val="20"/>
              </w:rPr>
            </w:pPr>
          </w:p>
          <w:p w:rsidR="00651CFA" w:rsidRDefault="00651CFA" w:rsidP="00451E2D">
            <w:pPr>
              <w:pStyle w:val="Body"/>
              <w:spacing w:after="0" w:line="240" w:lineRule="auto"/>
              <w:rPr>
                <w:rStyle w:val="ip"/>
                <w:rFonts w:asciiTheme="majorHAnsi" w:hAnsiTheme="majorHAnsi" w:cstheme="majorHAnsi"/>
                <w:sz w:val="20"/>
                <w:szCs w:val="20"/>
              </w:rPr>
            </w:pPr>
            <w:r w:rsidRPr="00DA7B54">
              <w:rPr>
                <w:rStyle w:val="ip"/>
                <w:rFonts w:asciiTheme="majorHAnsi" w:hAnsiTheme="majorHAnsi" w:cstheme="majorHAnsi"/>
                <w:sz w:val="20"/>
                <w:szCs w:val="20"/>
              </w:rPr>
              <w:t>Michael Strachan, Group Media Centre</w:t>
            </w:r>
          </w:p>
          <w:p w:rsidR="00451E2D" w:rsidRPr="00DA7B54" w:rsidRDefault="00451E2D" w:rsidP="00451E2D">
            <w:pPr>
              <w:pStyle w:val="Body"/>
              <w:spacing w:after="0" w:line="240" w:lineRule="auto"/>
              <w:rPr>
                <w:rStyle w:val="ip"/>
                <w:rFonts w:asciiTheme="majorHAnsi" w:hAnsiTheme="majorHAnsi" w:cstheme="majorHAnsi"/>
                <w:sz w:val="20"/>
                <w:szCs w:val="20"/>
              </w:rPr>
            </w:pPr>
          </w:p>
          <w:p w:rsidR="00651CFA" w:rsidRPr="00DA7B54" w:rsidRDefault="00651CFA" w:rsidP="00451E2D">
            <w:pPr>
              <w:pStyle w:val="Body"/>
              <w:spacing w:after="0" w:line="240" w:lineRule="auto"/>
              <w:rPr>
                <w:rFonts w:asciiTheme="majorHAnsi" w:hAnsiTheme="majorHAnsi" w:cstheme="majorHAnsi"/>
                <w:sz w:val="20"/>
                <w:szCs w:val="20"/>
              </w:rPr>
            </w:pPr>
            <w:r w:rsidRPr="00DA7B54">
              <w:rPr>
                <w:rStyle w:val="ip"/>
                <w:rFonts w:asciiTheme="majorHAnsi" w:hAnsiTheme="majorHAnsi" w:cstheme="majorHAnsi"/>
                <w:sz w:val="20"/>
                <w:szCs w:val="20"/>
              </w:rPr>
              <w:t>+44 131 523 4414</w:t>
            </w:r>
          </w:p>
        </w:tc>
      </w:tr>
    </w:tbl>
    <w:p w:rsidR="00E72F88" w:rsidRDefault="00E72F88" w:rsidP="00451E2D">
      <w:pPr>
        <w:pStyle w:val="Body"/>
        <w:keepNext/>
        <w:spacing w:after="0" w:line="240" w:lineRule="auto"/>
        <w:rPr>
          <w:rFonts w:asciiTheme="majorHAnsi" w:hAnsiTheme="majorHAnsi" w:cstheme="majorHAnsi"/>
          <w:b/>
          <w:bCs/>
          <w:i/>
          <w:sz w:val="20"/>
          <w:szCs w:val="20"/>
        </w:rPr>
      </w:pPr>
    </w:p>
    <w:p w:rsidR="00651CFA" w:rsidRDefault="00651CFA" w:rsidP="00451E2D">
      <w:pPr>
        <w:pStyle w:val="Body"/>
        <w:keepNext/>
        <w:spacing w:after="0" w:line="240" w:lineRule="auto"/>
        <w:rPr>
          <w:rFonts w:asciiTheme="majorHAnsi" w:hAnsiTheme="majorHAnsi" w:cstheme="majorHAnsi"/>
          <w:b/>
          <w:bCs/>
          <w:i/>
          <w:sz w:val="20"/>
          <w:szCs w:val="20"/>
        </w:rPr>
      </w:pPr>
      <w:r w:rsidRPr="00DA7B54">
        <w:rPr>
          <w:rFonts w:asciiTheme="majorHAnsi" w:hAnsiTheme="majorHAnsi" w:cstheme="majorHAnsi"/>
          <w:b/>
          <w:bCs/>
          <w:i/>
          <w:sz w:val="20"/>
          <w:szCs w:val="20"/>
        </w:rPr>
        <w:t>Disclaimer</w:t>
      </w:r>
    </w:p>
    <w:p w:rsidR="00451E2D" w:rsidRPr="00DA7B54" w:rsidRDefault="00451E2D" w:rsidP="00451E2D">
      <w:pPr>
        <w:pStyle w:val="Body"/>
        <w:keepNext/>
        <w:spacing w:after="0" w:line="240" w:lineRule="auto"/>
        <w:rPr>
          <w:rFonts w:asciiTheme="majorHAnsi" w:hAnsiTheme="majorHAnsi" w:cstheme="majorHAnsi"/>
          <w:b/>
          <w:bCs/>
          <w:i/>
          <w:sz w:val="20"/>
          <w:szCs w:val="20"/>
        </w:rPr>
      </w:pPr>
    </w:p>
    <w:p w:rsidR="005E6508" w:rsidRDefault="005E6508" w:rsidP="00451E2D">
      <w:pPr>
        <w:pStyle w:val="Body"/>
        <w:spacing w:after="0" w:line="240" w:lineRule="auto"/>
        <w:rPr>
          <w:rFonts w:asciiTheme="majorHAnsi" w:hAnsiTheme="majorHAnsi" w:cstheme="majorHAnsi"/>
          <w:bCs/>
          <w:i/>
          <w:sz w:val="20"/>
          <w:szCs w:val="20"/>
        </w:rPr>
      </w:pPr>
      <w:r w:rsidRPr="00DA7B54">
        <w:rPr>
          <w:rFonts w:asciiTheme="majorHAnsi" w:hAnsiTheme="majorHAnsi" w:cstheme="majorHAnsi"/>
          <w:bCs/>
          <w:i/>
          <w:sz w:val="20"/>
          <w:szCs w:val="20"/>
        </w:rPr>
        <w:t>No person should place any reliance on the information referred to in this announcement concerning securities or guarantees in respect of which RBS plc is or is not expected to become the issuer or the guarantor or any other details of the Dutch Scheme, in connection with making an investment decision or for any other purpose and should be aware that changes to the current proposals (including, without limitation, to the eventual manner in which RBS plc may become the issuer of such securities, the timing pursuant to which RBS plc may become the issuer of such securities or any other details of the Dutch Scheme</w:t>
      </w:r>
      <w:r w:rsidR="00FD5A3B" w:rsidRPr="00DA7B54">
        <w:rPr>
          <w:rFonts w:asciiTheme="majorHAnsi" w:hAnsiTheme="majorHAnsi" w:cstheme="majorHAnsi"/>
          <w:i/>
          <w:sz w:val="20"/>
          <w:szCs w:val="20"/>
        </w:rPr>
        <w:t xml:space="preserve"> as set out above or to the plans for the guarantees of the Guaranteed Securities</w:t>
      </w:r>
      <w:r w:rsidRPr="00DA7B54">
        <w:rPr>
          <w:rFonts w:asciiTheme="majorHAnsi" w:hAnsiTheme="majorHAnsi" w:cstheme="majorHAnsi"/>
          <w:bCs/>
          <w:i/>
          <w:sz w:val="20"/>
          <w:szCs w:val="20"/>
        </w:rPr>
        <w:t>) may be made if required, or if determined by RBS N.V. or RBS plc (in their absolute discretion) to be desirable for commercial or other reasons. Accordingly, nothing in this announcement should be taken as (or is) a representation as to the details of the Dutch Scheme or that RBS plc will or will not become the issuer or guarantor of any of the RBS N.V. securities or guarantees, whether in the manner described in this announcement, in accordance with the timing set out in this announcement, or at all. Investors should refer to http://www.investors.rbs.com/RBS_NV for information on the Dutch Scheme (such information being up-to-date as at the date there indicated). For the avoidance of doubt, this announcement has been prepared and circulated solely for information purposes and does not constitute an offer to any person. If you are in any doubt as to whether there is any tax or other impact on you as a result of the Dutch Scheme, please discuss such matters with your advisers.</w:t>
      </w:r>
    </w:p>
    <w:p w:rsidR="00451E2D" w:rsidRPr="00DA7B54" w:rsidRDefault="00451E2D" w:rsidP="00451E2D">
      <w:pPr>
        <w:pStyle w:val="Body"/>
        <w:spacing w:after="0" w:line="240" w:lineRule="auto"/>
        <w:rPr>
          <w:rFonts w:asciiTheme="majorHAnsi" w:hAnsiTheme="majorHAnsi" w:cstheme="majorHAnsi"/>
          <w:bCs/>
          <w:i/>
          <w:sz w:val="20"/>
          <w:szCs w:val="20"/>
        </w:rPr>
      </w:pPr>
    </w:p>
    <w:p w:rsidR="00651CFA" w:rsidRDefault="00651CFA" w:rsidP="00451E2D">
      <w:pPr>
        <w:pStyle w:val="Body"/>
        <w:spacing w:after="0" w:line="240" w:lineRule="auto"/>
        <w:rPr>
          <w:rFonts w:asciiTheme="majorHAnsi" w:hAnsiTheme="majorHAnsi" w:cstheme="majorHAnsi"/>
          <w:b/>
          <w:bCs/>
          <w:i/>
          <w:sz w:val="20"/>
          <w:szCs w:val="20"/>
        </w:rPr>
      </w:pPr>
      <w:r w:rsidRPr="00DA7B54">
        <w:rPr>
          <w:rFonts w:asciiTheme="majorHAnsi" w:hAnsiTheme="majorHAnsi" w:cstheme="majorHAnsi"/>
          <w:b/>
          <w:bCs/>
          <w:i/>
          <w:sz w:val="20"/>
          <w:szCs w:val="20"/>
        </w:rPr>
        <w:t>Cautionary Statement</w:t>
      </w:r>
      <w:r w:rsidR="00BC7FDD" w:rsidRPr="00DA7B54">
        <w:rPr>
          <w:rFonts w:asciiTheme="majorHAnsi" w:hAnsiTheme="majorHAnsi" w:cstheme="majorHAnsi"/>
          <w:b/>
          <w:bCs/>
          <w:i/>
          <w:sz w:val="20"/>
          <w:szCs w:val="20"/>
        </w:rPr>
        <w:t xml:space="preserve"> </w:t>
      </w:r>
    </w:p>
    <w:p w:rsidR="00451E2D" w:rsidRPr="00DA7B54" w:rsidRDefault="00451E2D" w:rsidP="00451E2D">
      <w:pPr>
        <w:pStyle w:val="Body"/>
        <w:spacing w:after="0" w:line="240" w:lineRule="auto"/>
        <w:rPr>
          <w:rFonts w:asciiTheme="majorHAnsi" w:hAnsiTheme="majorHAnsi" w:cstheme="majorHAnsi"/>
          <w:b/>
          <w:bCs/>
          <w:i/>
          <w:sz w:val="20"/>
          <w:szCs w:val="20"/>
        </w:rPr>
      </w:pPr>
    </w:p>
    <w:p w:rsidR="00651CFA" w:rsidRDefault="00651CFA" w:rsidP="00451E2D">
      <w:pPr>
        <w:pStyle w:val="Body"/>
        <w:spacing w:after="0" w:line="240" w:lineRule="auto"/>
        <w:rPr>
          <w:rFonts w:asciiTheme="majorHAnsi" w:hAnsiTheme="majorHAnsi" w:cstheme="majorHAnsi"/>
          <w:i/>
          <w:sz w:val="20"/>
          <w:szCs w:val="20"/>
        </w:rPr>
      </w:pPr>
      <w:r w:rsidRPr="00DA7B54">
        <w:rPr>
          <w:rFonts w:asciiTheme="majorHAnsi" w:hAnsiTheme="majorHAnsi" w:cstheme="majorHAnsi"/>
          <w:i/>
          <w:sz w:val="20"/>
          <w:szCs w:val="20"/>
        </w:rPr>
        <w:t>Certain statements found in this document may constitute “forward-looking statements” as defined in the U.S. Private Securities Litigation Reform Act of 1995. Such “forward-looking statements” reflect management’s current views with respect to certain future events and financial performance and include any statement that does not directly relate to any historical or current fact. Words such as “anticipate,” “believe,” “expect,” “estimate,” “forecast,” “intend,” “plan,” “project” and similar expressions which indicate future events and trends may identify “forward-looking statements”. In particular, this document includes forward-looking statements relating, but not limited, to the Proposed Transfers. Such statements are based on current plans, estimates and projections and are subject to various risks, uncertainties and other factors that could cause actual results to differ materially from those projected or implied in the “forward-looking statements”. Certain “forward-looking statements” are based upon current assumptions of future events which may not prove to be accurate. Other factors that could cause actual results to differ materially from those estimated by the forward-looking statements contained in this document include, but are not limited to: the ability to complete restructurings on a timely basis; regulatory or legal changes (including those requiring any restructuring of the operations of RBSG, RBS plc, RBS Holdings N.V.</w:t>
      </w:r>
      <w:r w:rsidR="00E6170B" w:rsidRPr="00DA7B54">
        <w:rPr>
          <w:rFonts w:asciiTheme="majorHAnsi" w:hAnsiTheme="majorHAnsi" w:cstheme="majorHAnsi"/>
          <w:i/>
          <w:sz w:val="20"/>
          <w:szCs w:val="20"/>
        </w:rPr>
        <w:t>,</w:t>
      </w:r>
      <w:r w:rsidRPr="00DA7B54">
        <w:rPr>
          <w:rFonts w:asciiTheme="majorHAnsi" w:hAnsiTheme="majorHAnsi" w:cstheme="majorHAnsi"/>
          <w:i/>
          <w:sz w:val="20"/>
          <w:szCs w:val="20"/>
        </w:rPr>
        <w:t xml:space="preserve"> RBS N.V.</w:t>
      </w:r>
      <w:r w:rsidR="00E6170B" w:rsidRPr="00DA7B54">
        <w:rPr>
          <w:rFonts w:asciiTheme="majorHAnsi" w:hAnsiTheme="majorHAnsi" w:cstheme="majorHAnsi"/>
          <w:i/>
          <w:sz w:val="20"/>
          <w:szCs w:val="20"/>
        </w:rPr>
        <w:t xml:space="preserve"> or RBS II B.V.</w:t>
      </w:r>
      <w:r w:rsidRPr="00DA7B54">
        <w:rPr>
          <w:rFonts w:asciiTheme="majorHAnsi" w:hAnsiTheme="majorHAnsi" w:cstheme="majorHAnsi"/>
          <w:i/>
          <w:sz w:val="20"/>
          <w:szCs w:val="20"/>
        </w:rPr>
        <w:t>) in the United Kingdom, the Netherlands, the United States and other countries in which these entities operate;</w:t>
      </w:r>
      <w:r w:rsidRPr="00DA7B54">
        <w:rPr>
          <w:rFonts w:asciiTheme="majorHAnsi" w:hAnsiTheme="majorHAnsi" w:cstheme="majorHAnsi"/>
          <w:sz w:val="20"/>
          <w:szCs w:val="20"/>
        </w:rPr>
        <w:t xml:space="preserve"> </w:t>
      </w:r>
      <w:r w:rsidRPr="00DA7B54">
        <w:rPr>
          <w:rFonts w:asciiTheme="majorHAnsi" w:hAnsiTheme="majorHAnsi" w:cstheme="majorHAnsi"/>
          <w:i/>
          <w:sz w:val="20"/>
          <w:szCs w:val="20"/>
        </w:rPr>
        <w:t>changes in UK and foreign laws, regulations, accounting standards and taxes, including changes in regulatory capital regulations and liquidity requirements; and the success of RBSG, RBS plc, RBS Holdings N.V.</w:t>
      </w:r>
      <w:r w:rsidR="00E6170B" w:rsidRPr="00DA7B54">
        <w:rPr>
          <w:rFonts w:asciiTheme="majorHAnsi" w:hAnsiTheme="majorHAnsi" w:cstheme="majorHAnsi"/>
          <w:i/>
          <w:sz w:val="20"/>
          <w:szCs w:val="20"/>
        </w:rPr>
        <w:t>,</w:t>
      </w:r>
      <w:r w:rsidRPr="00DA7B54">
        <w:rPr>
          <w:rFonts w:asciiTheme="majorHAnsi" w:hAnsiTheme="majorHAnsi" w:cstheme="majorHAnsi"/>
          <w:i/>
          <w:sz w:val="20"/>
          <w:szCs w:val="20"/>
        </w:rPr>
        <w:t xml:space="preserve"> RBS N.V.</w:t>
      </w:r>
      <w:r w:rsidR="00E6170B" w:rsidRPr="00DA7B54">
        <w:rPr>
          <w:rFonts w:asciiTheme="majorHAnsi" w:hAnsiTheme="majorHAnsi" w:cstheme="majorHAnsi"/>
          <w:i/>
          <w:sz w:val="20"/>
          <w:szCs w:val="20"/>
        </w:rPr>
        <w:t xml:space="preserve"> or RBS II B.V.</w:t>
      </w:r>
      <w:r w:rsidRPr="00DA7B54">
        <w:rPr>
          <w:rFonts w:asciiTheme="majorHAnsi" w:hAnsiTheme="majorHAnsi" w:cstheme="majorHAnsi"/>
          <w:i/>
          <w:sz w:val="20"/>
          <w:szCs w:val="20"/>
        </w:rPr>
        <w:t xml:space="preserve"> in managing the risks involved in the foregoing. </w:t>
      </w:r>
    </w:p>
    <w:p w:rsidR="00451E2D" w:rsidRPr="00DA7B54" w:rsidRDefault="00451E2D" w:rsidP="00451E2D">
      <w:pPr>
        <w:pStyle w:val="Body"/>
        <w:spacing w:after="0" w:line="240" w:lineRule="auto"/>
        <w:rPr>
          <w:rFonts w:asciiTheme="majorHAnsi" w:hAnsiTheme="majorHAnsi" w:cstheme="majorHAnsi"/>
          <w:i/>
          <w:sz w:val="20"/>
          <w:szCs w:val="20"/>
        </w:rPr>
      </w:pPr>
    </w:p>
    <w:p w:rsidR="00651CFA" w:rsidRDefault="00651CFA" w:rsidP="00451E2D">
      <w:pPr>
        <w:pStyle w:val="Body"/>
        <w:spacing w:after="0" w:line="240" w:lineRule="auto"/>
        <w:rPr>
          <w:rFonts w:asciiTheme="majorHAnsi" w:hAnsiTheme="majorHAnsi" w:cstheme="majorHAnsi"/>
          <w:i/>
          <w:sz w:val="20"/>
          <w:szCs w:val="20"/>
        </w:rPr>
      </w:pPr>
      <w:r w:rsidRPr="00DA7B54">
        <w:rPr>
          <w:rFonts w:asciiTheme="majorHAnsi" w:hAnsiTheme="majorHAnsi" w:cstheme="majorHAnsi"/>
          <w:i/>
          <w:sz w:val="20"/>
          <w:szCs w:val="20"/>
        </w:rPr>
        <w:t xml:space="preserve">Undue reliance should not be placed on “forward-looking statements” as such statements speak only as of the date of this document. </w:t>
      </w:r>
      <w:r w:rsidR="00451E2D">
        <w:rPr>
          <w:rFonts w:asciiTheme="majorHAnsi" w:hAnsiTheme="majorHAnsi" w:cstheme="majorHAnsi"/>
          <w:i/>
          <w:sz w:val="20"/>
          <w:szCs w:val="20"/>
        </w:rPr>
        <w:t>None of</w:t>
      </w:r>
      <w:r w:rsidRPr="00DA7B54">
        <w:rPr>
          <w:rFonts w:asciiTheme="majorHAnsi" w:hAnsiTheme="majorHAnsi" w:cstheme="majorHAnsi"/>
          <w:i/>
          <w:sz w:val="20"/>
          <w:szCs w:val="20"/>
        </w:rPr>
        <w:t xml:space="preserve"> RBSG, RBS plc, RBS Holdings N.V.</w:t>
      </w:r>
      <w:r w:rsidR="00E6170B" w:rsidRPr="00DA7B54">
        <w:rPr>
          <w:rFonts w:asciiTheme="majorHAnsi" w:hAnsiTheme="majorHAnsi" w:cstheme="majorHAnsi"/>
          <w:i/>
          <w:sz w:val="20"/>
          <w:szCs w:val="20"/>
        </w:rPr>
        <w:t>,</w:t>
      </w:r>
      <w:r w:rsidRPr="00DA7B54">
        <w:rPr>
          <w:rFonts w:asciiTheme="majorHAnsi" w:hAnsiTheme="majorHAnsi" w:cstheme="majorHAnsi"/>
          <w:i/>
          <w:sz w:val="20"/>
          <w:szCs w:val="20"/>
        </w:rPr>
        <w:t xml:space="preserve"> RBS N.V.</w:t>
      </w:r>
      <w:r w:rsidR="00E6170B" w:rsidRPr="00DA7B54">
        <w:rPr>
          <w:rFonts w:asciiTheme="majorHAnsi" w:hAnsiTheme="majorHAnsi" w:cstheme="majorHAnsi"/>
          <w:i/>
          <w:sz w:val="20"/>
          <w:szCs w:val="20"/>
        </w:rPr>
        <w:t xml:space="preserve"> nor RBS II B.V. </w:t>
      </w:r>
      <w:r w:rsidRPr="00DA7B54">
        <w:rPr>
          <w:rFonts w:asciiTheme="majorHAnsi" w:hAnsiTheme="majorHAnsi" w:cstheme="majorHAnsi"/>
          <w:i/>
          <w:sz w:val="20"/>
          <w:szCs w:val="20"/>
        </w:rPr>
        <w:t xml:space="preserve"> undertake to update any forward-looking statement contained herein to reflect events or circumstances after the date hereof or to reflect the occurrence of unanticipated events. </w:t>
      </w:r>
    </w:p>
    <w:p w:rsidR="00451E2D" w:rsidRPr="00DA7B54" w:rsidRDefault="00451E2D" w:rsidP="00451E2D">
      <w:pPr>
        <w:pStyle w:val="Body"/>
        <w:spacing w:after="0" w:line="240" w:lineRule="auto"/>
        <w:rPr>
          <w:rFonts w:asciiTheme="majorHAnsi" w:hAnsiTheme="majorHAnsi" w:cstheme="majorHAnsi"/>
          <w:i/>
          <w:sz w:val="20"/>
          <w:szCs w:val="20"/>
        </w:rPr>
      </w:pPr>
    </w:p>
    <w:p w:rsidR="00651CFA" w:rsidRPr="00DA7B54" w:rsidRDefault="00651CFA" w:rsidP="00451E2D">
      <w:pPr>
        <w:pStyle w:val="Body"/>
        <w:spacing w:after="0" w:line="240" w:lineRule="auto"/>
        <w:rPr>
          <w:rFonts w:asciiTheme="majorHAnsi" w:hAnsiTheme="majorHAnsi" w:cstheme="majorHAnsi"/>
          <w:i/>
          <w:sz w:val="20"/>
          <w:szCs w:val="20"/>
        </w:rPr>
      </w:pPr>
      <w:r w:rsidRPr="00DA7B54">
        <w:rPr>
          <w:rFonts w:asciiTheme="majorHAnsi" w:hAnsiTheme="majorHAnsi" w:cstheme="majorHAnsi"/>
          <w:i/>
          <w:sz w:val="20"/>
          <w:szCs w:val="20"/>
        </w:rPr>
        <w:t>The information, statements and opinions contained in this document do not constitute a public offer under any applicable legislation or an offer to sell or solicitation of any offer to buy any securities or financial instruments or any advice or recommendation with respect to such securities or other financial instruments.</w:t>
      </w:r>
    </w:p>
    <w:p w:rsidR="00896D6B" w:rsidRDefault="005C6F07" w:rsidP="00451E2D">
      <w:pPr>
        <w:pBdr>
          <w:top w:val="single" w:sz="4" w:space="1" w:color="auto"/>
        </w:pBdr>
        <w:autoSpaceDE w:val="0"/>
        <w:autoSpaceDN w:val="0"/>
        <w:adjustRightInd w:val="0"/>
        <w:jc w:val="both"/>
        <w:rPr>
          <w:rFonts w:asciiTheme="majorHAnsi" w:hAnsiTheme="majorHAnsi" w:cstheme="majorHAnsi"/>
          <w:b/>
          <w:bCs/>
          <w:iCs/>
          <w:kern w:val="20"/>
          <w:sz w:val="20"/>
          <w:szCs w:val="20"/>
        </w:rPr>
      </w:pPr>
      <w:r>
        <w:rPr>
          <w:rFonts w:asciiTheme="majorHAnsi" w:hAnsiTheme="majorHAnsi" w:cstheme="majorHAnsi"/>
          <w:b/>
          <w:bCs/>
          <w:iCs/>
          <w:kern w:val="20"/>
          <w:sz w:val="20"/>
          <w:szCs w:val="20"/>
        </w:rPr>
        <w:br w:type="column"/>
      </w:r>
      <w:r w:rsidR="00896D6B" w:rsidRPr="00DA7B54">
        <w:rPr>
          <w:rFonts w:asciiTheme="majorHAnsi" w:hAnsiTheme="majorHAnsi" w:cstheme="majorHAnsi"/>
          <w:b/>
          <w:bCs/>
          <w:iCs/>
          <w:kern w:val="20"/>
          <w:sz w:val="20"/>
          <w:szCs w:val="20"/>
        </w:rPr>
        <w:t>Appendix</w:t>
      </w:r>
    </w:p>
    <w:p w:rsidR="00896D6B" w:rsidRPr="00DA7B54" w:rsidRDefault="00896D6B" w:rsidP="00451E2D">
      <w:pPr>
        <w:autoSpaceDE w:val="0"/>
        <w:autoSpaceDN w:val="0"/>
        <w:adjustRightInd w:val="0"/>
        <w:jc w:val="both"/>
        <w:rPr>
          <w:rFonts w:asciiTheme="majorHAnsi" w:hAnsiTheme="majorHAnsi" w:cstheme="majorHAnsi"/>
          <w:b/>
          <w:bCs/>
          <w:iCs/>
          <w:kern w:val="20"/>
          <w:sz w:val="20"/>
          <w:szCs w:val="20"/>
        </w:rPr>
      </w:pPr>
    </w:p>
    <w:p w:rsidR="00896D6B" w:rsidRDefault="00896D6B" w:rsidP="00451E2D">
      <w:pPr>
        <w:autoSpaceDE w:val="0"/>
        <w:autoSpaceDN w:val="0"/>
        <w:adjustRightInd w:val="0"/>
        <w:jc w:val="both"/>
        <w:rPr>
          <w:rFonts w:asciiTheme="majorHAnsi" w:hAnsiTheme="majorHAnsi" w:cstheme="majorHAnsi"/>
          <w:b/>
          <w:bCs/>
          <w:iCs/>
          <w:kern w:val="20"/>
          <w:sz w:val="20"/>
          <w:szCs w:val="20"/>
        </w:rPr>
      </w:pPr>
      <w:r w:rsidRPr="00DA7B54">
        <w:rPr>
          <w:rFonts w:asciiTheme="majorHAnsi" w:hAnsiTheme="majorHAnsi" w:cstheme="majorHAnsi"/>
          <w:b/>
          <w:bCs/>
          <w:iCs/>
          <w:kern w:val="20"/>
          <w:sz w:val="20"/>
          <w:szCs w:val="20"/>
        </w:rPr>
        <w:t xml:space="preserve">Unaudited pro forma condensed consolidated financial information relating to </w:t>
      </w:r>
      <w:r w:rsidR="00B70E14">
        <w:rPr>
          <w:rFonts w:asciiTheme="majorHAnsi" w:hAnsiTheme="majorHAnsi" w:cstheme="majorHAnsi"/>
          <w:b/>
          <w:bCs/>
          <w:iCs/>
          <w:kern w:val="20"/>
          <w:sz w:val="20"/>
          <w:szCs w:val="20"/>
        </w:rPr>
        <w:t>RBSH Group</w:t>
      </w:r>
    </w:p>
    <w:p w:rsidR="00D96D32" w:rsidRDefault="00D96D32" w:rsidP="00D96D32">
      <w:pPr>
        <w:autoSpaceDE w:val="0"/>
        <w:autoSpaceDN w:val="0"/>
        <w:adjustRightInd w:val="0"/>
        <w:jc w:val="both"/>
        <w:rPr>
          <w:rFonts w:asciiTheme="majorHAnsi" w:hAnsiTheme="majorHAnsi" w:cstheme="majorHAnsi"/>
          <w:b/>
          <w:bCs/>
          <w:iCs/>
          <w:kern w:val="20"/>
          <w:sz w:val="20"/>
          <w:szCs w:val="20"/>
        </w:rPr>
      </w:pPr>
    </w:p>
    <w:p w:rsidR="00D96D32" w:rsidRDefault="00D96D32" w:rsidP="00D96D32">
      <w:pPr>
        <w:pStyle w:val="SubHead"/>
        <w:spacing w:before="0" w:after="0" w:line="240" w:lineRule="auto"/>
        <w:outlineLvl w:val="1"/>
        <w:rPr>
          <w:rFonts w:asciiTheme="majorHAnsi" w:hAnsiTheme="majorHAnsi" w:cstheme="majorHAnsi"/>
          <w:b w:val="0"/>
          <w:sz w:val="20"/>
          <w:szCs w:val="20"/>
        </w:rPr>
      </w:pPr>
      <w:r w:rsidRPr="00D96D32">
        <w:rPr>
          <w:rFonts w:asciiTheme="majorHAnsi" w:hAnsiTheme="majorHAnsi" w:cstheme="majorHAnsi"/>
          <w:b w:val="0"/>
          <w:sz w:val="20"/>
          <w:szCs w:val="20"/>
        </w:rPr>
        <w:t xml:space="preserve">On 19 April 2011, RBS Holdings announced its intention to transfer a substantial part of the business activities of RBS N.V. to RBS plc. The Proposed Transfers collectively constitute a probable material disposition of the business activities of RBS N.V. Historical financial information on a pro forma basis is provided to give the investors a better understanding of what the results of operations and the financial position of RBS N.V. might have looked like had the transfers to RBS plc already occurred in respect of the unaudited pro forma condensed consolidated balance sheet as at 31 December 2011 and in respect of the unaudited pro forma condensed consolidated statement of income for the year ended 31 December 2011. The Proposed Transfers are expected to be implemented on a phased basis over a period ending 31 December 2013. The first stage of the Proposed Transfers was completed in the last quarter of 2011. </w:t>
      </w:r>
    </w:p>
    <w:p w:rsidR="00D96D32" w:rsidRDefault="00D96D32" w:rsidP="00D96D32">
      <w:pPr>
        <w:pStyle w:val="SubHead"/>
        <w:spacing w:before="0" w:after="0" w:line="240" w:lineRule="auto"/>
        <w:outlineLvl w:val="1"/>
        <w:rPr>
          <w:rFonts w:asciiTheme="majorHAnsi" w:hAnsiTheme="majorHAnsi" w:cstheme="majorHAnsi"/>
          <w:b w:val="0"/>
          <w:sz w:val="20"/>
          <w:szCs w:val="20"/>
        </w:rPr>
      </w:pPr>
    </w:p>
    <w:p w:rsidR="00D96D32" w:rsidRPr="00D96D32" w:rsidRDefault="00D96D32" w:rsidP="00D96D32">
      <w:pPr>
        <w:pStyle w:val="SubHead"/>
        <w:spacing w:before="0" w:after="0" w:line="240" w:lineRule="auto"/>
        <w:outlineLvl w:val="1"/>
        <w:rPr>
          <w:rFonts w:asciiTheme="majorHAnsi" w:hAnsiTheme="majorHAnsi" w:cstheme="majorHAnsi"/>
          <w:b w:val="0"/>
          <w:sz w:val="20"/>
          <w:szCs w:val="20"/>
        </w:rPr>
      </w:pPr>
      <w:r w:rsidRPr="00D96D32">
        <w:rPr>
          <w:rFonts w:asciiTheme="majorHAnsi" w:hAnsiTheme="majorHAnsi" w:cstheme="majorHAnsi"/>
          <w:b w:val="0"/>
          <w:sz w:val="20"/>
          <w:szCs w:val="20"/>
        </w:rPr>
        <w:t xml:space="preserve">The pro forma financial information has been prepared for illustrative purposes only on the basis of estimates and assumptions about which assets and liabilities will be transferred. These assumptions are preliminary and subject to ongoing analysis with respect to which specific assets and liabilities will in fact be transferred and which will be retained in RBS N.V. The pro forma information addresses a hypothetical situation and does not represent the actual position or the results of </w:t>
      </w:r>
      <w:r w:rsidRPr="00D96D32">
        <w:rPr>
          <w:rFonts w:asciiTheme="majorHAnsi" w:hAnsiTheme="majorHAnsi" w:cstheme="majorHAnsi"/>
          <w:b w:val="0"/>
          <w:bCs/>
          <w:sz w:val="20"/>
          <w:szCs w:val="20"/>
        </w:rPr>
        <w:t xml:space="preserve">RBS Holdings N.V. and its consolidated subsidiaries </w:t>
      </w:r>
      <w:r w:rsidRPr="00D96D32">
        <w:rPr>
          <w:rFonts w:asciiTheme="majorHAnsi" w:hAnsiTheme="majorHAnsi" w:cstheme="majorHAnsi"/>
          <w:b w:val="0"/>
          <w:sz w:val="20"/>
          <w:szCs w:val="20"/>
        </w:rPr>
        <w:t>(the “RBSH Group”) nor is it necessarily indicative of the results of operations or financial position that may, or may be expected to, be achieved in the future.</w:t>
      </w:r>
    </w:p>
    <w:p w:rsidR="00D96D32" w:rsidRDefault="00D96D32" w:rsidP="00D96D32">
      <w:pPr>
        <w:pStyle w:val="SubHead"/>
        <w:spacing w:before="0" w:after="0" w:line="240" w:lineRule="auto"/>
        <w:outlineLvl w:val="1"/>
        <w:rPr>
          <w:rFonts w:asciiTheme="majorHAnsi" w:hAnsiTheme="majorHAnsi" w:cstheme="majorHAnsi"/>
          <w:b w:val="0"/>
          <w:sz w:val="20"/>
          <w:szCs w:val="20"/>
        </w:rPr>
      </w:pPr>
    </w:p>
    <w:p w:rsidR="00D96D32" w:rsidRPr="00D96D32" w:rsidRDefault="00D96D32" w:rsidP="00D96D32">
      <w:pPr>
        <w:pStyle w:val="SubHead"/>
        <w:spacing w:before="0" w:after="0" w:line="240" w:lineRule="auto"/>
        <w:outlineLvl w:val="1"/>
        <w:rPr>
          <w:rFonts w:asciiTheme="majorHAnsi" w:hAnsiTheme="majorHAnsi" w:cstheme="majorHAnsi"/>
          <w:b w:val="0"/>
          <w:sz w:val="20"/>
          <w:szCs w:val="20"/>
        </w:rPr>
      </w:pPr>
      <w:r w:rsidRPr="00D96D32">
        <w:rPr>
          <w:rFonts w:asciiTheme="majorHAnsi" w:hAnsiTheme="majorHAnsi" w:cstheme="majorHAnsi"/>
          <w:b w:val="0"/>
          <w:sz w:val="20"/>
          <w:szCs w:val="20"/>
        </w:rPr>
        <w:t xml:space="preserve">The pro forma financial information includes the following condensed consolidated pro forma information for RBSH Group (i) a pro forma condensed consolidated balance sheet as at 31 December 2011, (ii) a pro forma condensed consolidated statement of income for the year ended 31 December 2011 and (iii) </w:t>
      </w:r>
      <w:r w:rsidR="00A6614B">
        <w:rPr>
          <w:rFonts w:asciiTheme="majorHAnsi" w:hAnsiTheme="majorHAnsi" w:cstheme="majorHAnsi"/>
          <w:b w:val="0"/>
          <w:sz w:val="20"/>
          <w:szCs w:val="20"/>
        </w:rPr>
        <w:t>n</w:t>
      </w:r>
      <w:r w:rsidRPr="00D96D32">
        <w:rPr>
          <w:rFonts w:asciiTheme="majorHAnsi" w:hAnsiTheme="majorHAnsi" w:cstheme="majorHAnsi"/>
          <w:b w:val="0"/>
          <w:sz w:val="20"/>
          <w:szCs w:val="20"/>
        </w:rPr>
        <w:t xml:space="preserve">otes to the pro forma financial information. </w:t>
      </w:r>
    </w:p>
    <w:p w:rsidR="00D96D32" w:rsidRDefault="00D96D32" w:rsidP="00D96D32">
      <w:pPr>
        <w:pStyle w:val="SubHead"/>
        <w:spacing w:before="0" w:after="0" w:line="240" w:lineRule="auto"/>
        <w:rPr>
          <w:rFonts w:asciiTheme="majorHAnsi" w:hAnsiTheme="majorHAnsi" w:cstheme="majorHAnsi"/>
          <w:b w:val="0"/>
          <w:sz w:val="20"/>
          <w:szCs w:val="20"/>
        </w:rPr>
      </w:pPr>
    </w:p>
    <w:p w:rsidR="00D96D32" w:rsidRPr="00D96D32" w:rsidRDefault="00D96D32" w:rsidP="00D96D32">
      <w:pPr>
        <w:pStyle w:val="SubHead"/>
        <w:spacing w:before="0" w:after="0" w:line="240" w:lineRule="auto"/>
        <w:rPr>
          <w:rFonts w:asciiTheme="majorHAnsi" w:hAnsiTheme="majorHAnsi" w:cstheme="majorHAnsi"/>
          <w:b w:val="0"/>
          <w:sz w:val="20"/>
          <w:szCs w:val="20"/>
        </w:rPr>
      </w:pPr>
      <w:r w:rsidRPr="00D96D32">
        <w:rPr>
          <w:rFonts w:asciiTheme="majorHAnsi" w:hAnsiTheme="majorHAnsi" w:cstheme="majorHAnsi"/>
          <w:b w:val="0"/>
          <w:sz w:val="20"/>
          <w:szCs w:val="20"/>
        </w:rPr>
        <w:t xml:space="preserve">As at </w:t>
      </w:r>
      <w:r w:rsidR="00A6614B">
        <w:rPr>
          <w:rFonts w:asciiTheme="majorHAnsi" w:hAnsiTheme="majorHAnsi" w:cstheme="majorHAnsi"/>
          <w:b w:val="0"/>
          <w:sz w:val="20"/>
          <w:szCs w:val="20"/>
        </w:rPr>
        <w:t>23 March 2012</w:t>
      </w:r>
      <w:r w:rsidRPr="00D96D32">
        <w:rPr>
          <w:rFonts w:asciiTheme="majorHAnsi" w:hAnsiTheme="majorHAnsi" w:cstheme="majorHAnsi"/>
          <w:b w:val="0"/>
          <w:sz w:val="20"/>
          <w:szCs w:val="20"/>
        </w:rPr>
        <w:t xml:space="preserve">, </w:t>
      </w:r>
      <w:r w:rsidR="00A6614B">
        <w:rPr>
          <w:rFonts w:asciiTheme="majorHAnsi" w:hAnsiTheme="majorHAnsi" w:cstheme="majorHAnsi"/>
          <w:b w:val="0"/>
          <w:sz w:val="20"/>
          <w:szCs w:val="20"/>
        </w:rPr>
        <w:t>M</w:t>
      </w:r>
      <w:r w:rsidRPr="00D96D32">
        <w:rPr>
          <w:rFonts w:asciiTheme="majorHAnsi" w:hAnsiTheme="majorHAnsi" w:cstheme="majorHAnsi"/>
          <w:b w:val="0"/>
          <w:sz w:val="20"/>
          <w:szCs w:val="20"/>
        </w:rPr>
        <w:t>anagement of RBSH Group is not aware of any matters that could impact the results and financial position as presented in the pro forma financial information.</w:t>
      </w:r>
    </w:p>
    <w:p w:rsidR="00D96D32" w:rsidRPr="00D96D32" w:rsidRDefault="00D96D32" w:rsidP="00D96D32">
      <w:pPr>
        <w:pStyle w:val="SubHead"/>
        <w:spacing w:before="175" w:after="120"/>
        <w:outlineLvl w:val="1"/>
        <w:rPr>
          <w:rFonts w:asciiTheme="majorHAnsi" w:hAnsiTheme="majorHAnsi" w:cstheme="majorHAnsi"/>
          <w:sz w:val="20"/>
          <w:szCs w:val="20"/>
        </w:rPr>
      </w:pPr>
      <w:r w:rsidRPr="00D96D32">
        <w:rPr>
          <w:rFonts w:asciiTheme="majorHAnsi" w:hAnsiTheme="majorHAnsi" w:cstheme="majorHAnsi"/>
          <w:sz w:val="20"/>
          <w:szCs w:val="20"/>
        </w:rPr>
        <w:br w:type="page"/>
        <w:t xml:space="preserve">Unaudited pro forma </w:t>
      </w:r>
      <w:r w:rsidR="00CC260B">
        <w:rPr>
          <w:rFonts w:asciiTheme="majorHAnsi" w:hAnsiTheme="majorHAnsi" w:cstheme="majorHAnsi"/>
          <w:sz w:val="20"/>
          <w:szCs w:val="20"/>
        </w:rPr>
        <w:t>c</w:t>
      </w:r>
      <w:r w:rsidRPr="00D96D32">
        <w:rPr>
          <w:rFonts w:asciiTheme="majorHAnsi" w:hAnsiTheme="majorHAnsi" w:cstheme="majorHAnsi"/>
          <w:sz w:val="20"/>
          <w:szCs w:val="20"/>
        </w:rPr>
        <w:t xml:space="preserve">ondensed </w:t>
      </w:r>
      <w:r w:rsidR="00CC260B">
        <w:rPr>
          <w:rFonts w:asciiTheme="majorHAnsi" w:hAnsiTheme="majorHAnsi" w:cstheme="majorHAnsi"/>
          <w:sz w:val="20"/>
          <w:szCs w:val="20"/>
        </w:rPr>
        <w:t>c</w:t>
      </w:r>
      <w:r w:rsidRPr="00D96D32">
        <w:rPr>
          <w:rFonts w:asciiTheme="majorHAnsi" w:hAnsiTheme="majorHAnsi" w:cstheme="majorHAnsi"/>
          <w:sz w:val="20"/>
          <w:szCs w:val="20"/>
        </w:rPr>
        <w:t xml:space="preserve">onsolidated </w:t>
      </w:r>
      <w:r w:rsidR="00CC260B">
        <w:rPr>
          <w:rFonts w:asciiTheme="majorHAnsi" w:hAnsiTheme="majorHAnsi" w:cstheme="majorHAnsi"/>
          <w:sz w:val="20"/>
          <w:szCs w:val="20"/>
        </w:rPr>
        <w:t>balance sheet</w:t>
      </w:r>
      <w:r>
        <w:rPr>
          <w:rFonts w:asciiTheme="majorHAnsi" w:hAnsiTheme="majorHAnsi" w:cstheme="majorHAnsi"/>
          <w:sz w:val="20"/>
          <w:szCs w:val="20"/>
        </w:rPr>
        <w:t xml:space="preserve"> as at 31 </w:t>
      </w:r>
      <w:r w:rsidRPr="00D96D32">
        <w:rPr>
          <w:rFonts w:asciiTheme="majorHAnsi" w:hAnsiTheme="majorHAnsi" w:cstheme="majorHAnsi"/>
          <w:sz w:val="20"/>
          <w:szCs w:val="20"/>
        </w:rPr>
        <w:t>December 2011</w:t>
      </w:r>
    </w:p>
    <w:tbl>
      <w:tblPr>
        <w:tblW w:w="9049" w:type="dxa"/>
        <w:tblLayout w:type="fixed"/>
        <w:tblCellMar>
          <w:left w:w="0" w:type="dxa"/>
          <w:right w:w="0" w:type="dxa"/>
        </w:tblCellMar>
        <w:tblLook w:val="0000" w:firstRow="0" w:lastRow="0" w:firstColumn="0" w:lastColumn="0" w:noHBand="0" w:noVBand="0"/>
      </w:tblPr>
      <w:tblGrid>
        <w:gridCol w:w="4574"/>
        <w:gridCol w:w="284"/>
        <w:gridCol w:w="1132"/>
        <w:gridCol w:w="284"/>
        <w:gridCol w:w="1132"/>
        <w:gridCol w:w="284"/>
        <w:gridCol w:w="1132"/>
        <w:gridCol w:w="227"/>
      </w:tblGrid>
      <w:tr w:rsidR="00D96D32" w:rsidRPr="00D96D32" w:rsidTr="00670B12">
        <w:trPr>
          <w:trHeight w:val="828"/>
          <w:tblHeader/>
        </w:trPr>
        <w:tc>
          <w:tcPr>
            <w:tcW w:w="4574" w:type="dxa"/>
          </w:tcPr>
          <w:p w:rsidR="00D96D32" w:rsidRPr="00D96D32" w:rsidRDefault="00D96D32" w:rsidP="00670B12">
            <w:pPr>
              <w:pStyle w:val="CellHead"/>
              <w:tabs>
                <w:tab w:val="left" w:leader="dot" w:pos="6307"/>
              </w:tabs>
              <w:rPr>
                <w:rFonts w:asciiTheme="majorHAnsi" w:hAnsiTheme="majorHAnsi" w:cstheme="majorHAnsi"/>
                <w:sz w:val="20"/>
                <w:szCs w:val="20"/>
              </w:rPr>
            </w:pPr>
          </w:p>
        </w:tc>
        <w:tc>
          <w:tcPr>
            <w:tcW w:w="284" w:type="dxa"/>
            <w:vAlign w:val="bottom"/>
          </w:tcPr>
          <w:p w:rsidR="00D96D32" w:rsidRPr="00D96D32" w:rsidRDefault="00D96D32" w:rsidP="00670B12">
            <w:pPr>
              <w:pStyle w:val="CellRowSpacer"/>
              <w:rPr>
                <w:rFonts w:asciiTheme="majorHAnsi" w:hAnsiTheme="majorHAnsi" w:cstheme="majorHAnsi"/>
                <w:sz w:val="20"/>
              </w:rPr>
            </w:pPr>
          </w:p>
        </w:tc>
        <w:tc>
          <w:tcPr>
            <w:tcW w:w="1132" w:type="dxa"/>
            <w:tcBorders>
              <w:bottom w:val="single" w:sz="4" w:space="0" w:color="auto"/>
            </w:tcBorders>
            <w:vAlign w:val="bottom"/>
          </w:tcPr>
          <w:p w:rsidR="00D96D32" w:rsidRPr="00D96D32" w:rsidRDefault="00D96D32" w:rsidP="00826DC5">
            <w:pPr>
              <w:pStyle w:val="CellHead"/>
              <w:jc w:val="right"/>
              <w:rPr>
                <w:rFonts w:asciiTheme="majorHAnsi" w:hAnsiTheme="majorHAnsi" w:cstheme="majorHAnsi"/>
                <w:sz w:val="20"/>
                <w:szCs w:val="20"/>
              </w:rPr>
            </w:pPr>
            <w:r w:rsidRPr="00D96D32">
              <w:rPr>
                <w:rFonts w:asciiTheme="majorHAnsi" w:hAnsiTheme="majorHAnsi" w:cstheme="majorHAnsi"/>
                <w:sz w:val="20"/>
                <w:szCs w:val="20"/>
              </w:rPr>
              <w:t>RBS</w:t>
            </w:r>
            <w:r w:rsidR="00CC260B">
              <w:rPr>
                <w:rFonts w:asciiTheme="majorHAnsi" w:hAnsiTheme="majorHAnsi" w:cstheme="majorHAnsi"/>
                <w:sz w:val="20"/>
                <w:szCs w:val="20"/>
              </w:rPr>
              <w:t>H Group</w:t>
            </w:r>
            <w:r w:rsidRPr="00D96D32">
              <w:rPr>
                <w:rFonts w:asciiTheme="majorHAnsi" w:hAnsiTheme="majorHAnsi" w:cstheme="majorHAnsi"/>
                <w:sz w:val="20"/>
                <w:szCs w:val="20"/>
                <w:vertAlign w:val="superscript"/>
              </w:rPr>
              <w:t>(1)</w:t>
            </w:r>
          </w:p>
        </w:tc>
        <w:tc>
          <w:tcPr>
            <w:tcW w:w="284" w:type="dxa"/>
            <w:vAlign w:val="bottom"/>
          </w:tcPr>
          <w:p w:rsidR="00D96D32" w:rsidRPr="00D96D32" w:rsidRDefault="00D96D32" w:rsidP="00670B12">
            <w:pPr>
              <w:pStyle w:val="CellRowSpacer"/>
              <w:rPr>
                <w:rFonts w:asciiTheme="majorHAnsi" w:hAnsiTheme="majorHAnsi" w:cstheme="majorHAnsi"/>
                <w:sz w:val="20"/>
              </w:rPr>
            </w:pPr>
          </w:p>
        </w:tc>
        <w:tc>
          <w:tcPr>
            <w:tcW w:w="1132" w:type="dxa"/>
            <w:tcBorders>
              <w:bottom w:val="single" w:sz="4" w:space="0" w:color="auto"/>
            </w:tcBorders>
            <w:vAlign w:val="bottom"/>
          </w:tcPr>
          <w:p w:rsidR="00D96D32" w:rsidRPr="00D96D32" w:rsidRDefault="00D96D32" w:rsidP="00670B12">
            <w:pPr>
              <w:pStyle w:val="CellHead"/>
              <w:jc w:val="right"/>
              <w:rPr>
                <w:rFonts w:asciiTheme="majorHAnsi" w:hAnsiTheme="majorHAnsi" w:cstheme="majorHAnsi"/>
                <w:sz w:val="20"/>
                <w:szCs w:val="20"/>
              </w:rPr>
            </w:pPr>
            <w:r w:rsidRPr="00D96D32">
              <w:rPr>
                <w:rFonts w:asciiTheme="majorHAnsi" w:hAnsiTheme="majorHAnsi" w:cstheme="majorHAnsi"/>
                <w:sz w:val="20"/>
                <w:szCs w:val="20"/>
              </w:rPr>
              <w:t>Proposed Transfers</w:t>
            </w:r>
            <w:r w:rsidRPr="00D96D32">
              <w:rPr>
                <w:rFonts w:asciiTheme="majorHAnsi" w:hAnsiTheme="majorHAnsi" w:cstheme="majorHAnsi"/>
                <w:sz w:val="20"/>
                <w:szCs w:val="20"/>
                <w:vertAlign w:val="superscript"/>
              </w:rPr>
              <w:t>(2)</w:t>
            </w:r>
          </w:p>
        </w:tc>
        <w:tc>
          <w:tcPr>
            <w:tcW w:w="284" w:type="dxa"/>
            <w:vAlign w:val="bottom"/>
          </w:tcPr>
          <w:p w:rsidR="00D96D32" w:rsidRPr="00D96D32" w:rsidRDefault="00D96D32" w:rsidP="00670B12">
            <w:pPr>
              <w:pStyle w:val="CellRowSpacer"/>
              <w:rPr>
                <w:rFonts w:asciiTheme="majorHAnsi" w:hAnsiTheme="majorHAnsi" w:cstheme="majorHAnsi"/>
                <w:sz w:val="20"/>
              </w:rPr>
            </w:pPr>
          </w:p>
        </w:tc>
        <w:tc>
          <w:tcPr>
            <w:tcW w:w="1132" w:type="dxa"/>
            <w:tcBorders>
              <w:bottom w:val="single" w:sz="4" w:space="0" w:color="auto"/>
            </w:tcBorders>
            <w:vAlign w:val="bottom"/>
          </w:tcPr>
          <w:p w:rsidR="00D96D32" w:rsidRPr="00D96D32" w:rsidRDefault="00D96D32" w:rsidP="00CC260B">
            <w:pPr>
              <w:pStyle w:val="CellHead"/>
              <w:jc w:val="right"/>
              <w:rPr>
                <w:rFonts w:asciiTheme="majorHAnsi" w:hAnsiTheme="majorHAnsi" w:cstheme="majorHAnsi"/>
                <w:sz w:val="20"/>
                <w:szCs w:val="20"/>
              </w:rPr>
            </w:pPr>
            <w:r w:rsidRPr="00D96D32">
              <w:rPr>
                <w:rFonts w:asciiTheme="majorHAnsi" w:hAnsiTheme="majorHAnsi" w:cstheme="majorHAnsi"/>
                <w:sz w:val="20"/>
                <w:szCs w:val="20"/>
              </w:rPr>
              <w:t xml:space="preserve">Pro Forma </w:t>
            </w:r>
            <w:r w:rsidR="00CC260B">
              <w:rPr>
                <w:rFonts w:asciiTheme="majorHAnsi" w:hAnsiTheme="majorHAnsi" w:cstheme="majorHAnsi"/>
                <w:sz w:val="20"/>
                <w:szCs w:val="20"/>
              </w:rPr>
              <w:t>t</w:t>
            </w:r>
            <w:r w:rsidRPr="00D96D32">
              <w:rPr>
                <w:rFonts w:asciiTheme="majorHAnsi" w:hAnsiTheme="majorHAnsi" w:cstheme="majorHAnsi"/>
                <w:sz w:val="20"/>
                <w:szCs w:val="20"/>
              </w:rPr>
              <w:t>otal</w:t>
            </w:r>
            <w:r w:rsidRPr="00D96D32">
              <w:rPr>
                <w:rFonts w:asciiTheme="majorHAnsi" w:hAnsiTheme="majorHAnsi" w:cstheme="majorHAnsi"/>
                <w:sz w:val="20"/>
                <w:szCs w:val="20"/>
                <w:vertAlign w:val="superscript"/>
              </w:rPr>
              <w:t>(3)(4)</w:t>
            </w:r>
          </w:p>
        </w:tc>
        <w:tc>
          <w:tcPr>
            <w:tcW w:w="227" w:type="dxa"/>
            <w:vAlign w:val="bottom"/>
          </w:tcPr>
          <w:p w:rsidR="00D96D32" w:rsidRPr="00D96D32" w:rsidRDefault="00D96D32" w:rsidP="00670B12">
            <w:pPr>
              <w:pStyle w:val="CellRowSpacer"/>
              <w:rPr>
                <w:rFonts w:asciiTheme="majorHAnsi" w:hAnsiTheme="majorHAnsi" w:cstheme="majorHAnsi"/>
                <w:sz w:val="20"/>
              </w:rPr>
            </w:pPr>
          </w:p>
        </w:tc>
      </w:tr>
      <w:tr w:rsidR="00D96D32" w:rsidRPr="00670B12" w:rsidTr="00670B12">
        <w:trPr>
          <w:trHeight w:val="314"/>
        </w:trPr>
        <w:tc>
          <w:tcPr>
            <w:tcW w:w="4574" w:type="dxa"/>
            <w:vAlign w:val="bottom"/>
          </w:tcPr>
          <w:p w:rsidR="00D96D32" w:rsidRPr="00670B12" w:rsidRDefault="00D96D32" w:rsidP="00670B12">
            <w:pPr>
              <w:pStyle w:val="CellBody"/>
              <w:tabs>
                <w:tab w:val="left" w:leader="dot" w:pos="5007"/>
              </w:tabs>
              <w:rPr>
                <w:rFonts w:asciiTheme="majorHAnsi" w:hAnsiTheme="majorHAnsi" w:cstheme="majorHAnsi"/>
                <w:b/>
                <w:sz w:val="20"/>
              </w:rPr>
            </w:pPr>
          </w:p>
        </w:tc>
        <w:tc>
          <w:tcPr>
            <w:tcW w:w="284" w:type="dxa"/>
            <w:vAlign w:val="bottom"/>
          </w:tcPr>
          <w:p w:rsidR="00D96D32" w:rsidRPr="00670B12" w:rsidRDefault="00D96D32" w:rsidP="00670B12">
            <w:pPr>
              <w:pStyle w:val="CellRowSpacer"/>
              <w:rPr>
                <w:rFonts w:asciiTheme="majorHAnsi" w:hAnsiTheme="majorHAnsi" w:cstheme="majorHAnsi"/>
                <w:sz w:val="20"/>
              </w:rPr>
            </w:pPr>
          </w:p>
        </w:tc>
        <w:tc>
          <w:tcPr>
            <w:tcW w:w="1132" w:type="dxa"/>
            <w:vAlign w:val="bottom"/>
          </w:tcPr>
          <w:p w:rsidR="00D96D32" w:rsidRPr="00670B12" w:rsidRDefault="00D96D32" w:rsidP="005675EA">
            <w:pPr>
              <w:pStyle w:val="Cell-Headitalic"/>
              <w:ind w:right="100"/>
              <w:jc w:val="right"/>
              <w:rPr>
                <w:rFonts w:asciiTheme="majorHAnsi" w:hAnsiTheme="majorHAnsi" w:cstheme="majorHAnsi"/>
                <w:i w:val="0"/>
                <w:sz w:val="20"/>
              </w:rPr>
            </w:pPr>
            <w:r w:rsidRPr="00670B12">
              <w:rPr>
                <w:rFonts w:asciiTheme="majorHAnsi" w:hAnsiTheme="majorHAnsi" w:cstheme="majorHAnsi"/>
                <w:i w:val="0"/>
                <w:sz w:val="20"/>
              </w:rPr>
              <w:t>€m</w:t>
            </w:r>
          </w:p>
        </w:tc>
        <w:tc>
          <w:tcPr>
            <w:tcW w:w="284" w:type="dxa"/>
            <w:vAlign w:val="bottom"/>
          </w:tcPr>
          <w:p w:rsidR="00D96D32" w:rsidRPr="00670B12" w:rsidRDefault="00D96D32" w:rsidP="00670B12">
            <w:pPr>
              <w:pStyle w:val="CellRowSpacer"/>
              <w:jc w:val="right"/>
              <w:rPr>
                <w:rFonts w:asciiTheme="majorHAnsi" w:hAnsiTheme="majorHAnsi" w:cstheme="majorHAnsi"/>
                <w:sz w:val="20"/>
              </w:rPr>
            </w:pPr>
          </w:p>
        </w:tc>
        <w:tc>
          <w:tcPr>
            <w:tcW w:w="1132" w:type="dxa"/>
            <w:vAlign w:val="bottom"/>
          </w:tcPr>
          <w:p w:rsidR="00D96D32" w:rsidRPr="00670B12" w:rsidRDefault="00D96D32" w:rsidP="005675EA">
            <w:pPr>
              <w:pStyle w:val="Cell-Headitalic"/>
              <w:ind w:right="100"/>
              <w:jc w:val="right"/>
              <w:rPr>
                <w:rFonts w:asciiTheme="majorHAnsi" w:hAnsiTheme="majorHAnsi" w:cstheme="majorHAnsi"/>
                <w:i w:val="0"/>
                <w:sz w:val="20"/>
              </w:rPr>
            </w:pPr>
            <w:r w:rsidRPr="00670B12">
              <w:rPr>
                <w:rFonts w:asciiTheme="majorHAnsi" w:hAnsiTheme="majorHAnsi" w:cstheme="majorHAnsi"/>
                <w:i w:val="0"/>
                <w:sz w:val="20"/>
              </w:rPr>
              <w:t>€m</w:t>
            </w:r>
          </w:p>
        </w:tc>
        <w:tc>
          <w:tcPr>
            <w:tcW w:w="284" w:type="dxa"/>
            <w:vAlign w:val="bottom"/>
          </w:tcPr>
          <w:p w:rsidR="00D96D32" w:rsidRPr="00670B12" w:rsidRDefault="00D96D32" w:rsidP="00670B12">
            <w:pPr>
              <w:pStyle w:val="CellRowSpacer"/>
              <w:jc w:val="right"/>
              <w:rPr>
                <w:rFonts w:asciiTheme="majorHAnsi" w:hAnsiTheme="majorHAnsi" w:cstheme="majorHAnsi"/>
                <w:sz w:val="20"/>
              </w:rPr>
            </w:pPr>
          </w:p>
        </w:tc>
        <w:tc>
          <w:tcPr>
            <w:tcW w:w="1132" w:type="dxa"/>
            <w:vAlign w:val="bottom"/>
          </w:tcPr>
          <w:p w:rsidR="00D96D32" w:rsidRPr="00670B12" w:rsidRDefault="00D96D32" w:rsidP="005675EA">
            <w:pPr>
              <w:pStyle w:val="Cell-Headitalic"/>
              <w:ind w:right="100"/>
              <w:jc w:val="right"/>
              <w:rPr>
                <w:rFonts w:asciiTheme="majorHAnsi" w:hAnsiTheme="majorHAnsi" w:cstheme="majorHAnsi"/>
                <w:i w:val="0"/>
                <w:sz w:val="20"/>
              </w:rPr>
            </w:pPr>
            <w:r w:rsidRPr="00670B12">
              <w:rPr>
                <w:rFonts w:asciiTheme="majorHAnsi" w:hAnsiTheme="majorHAnsi" w:cstheme="majorHAnsi"/>
                <w:i w:val="0"/>
                <w:sz w:val="20"/>
              </w:rPr>
              <w:t>€m</w:t>
            </w:r>
          </w:p>
        </w:tc>
        <w:tc>
          <w:tcPr>
            <w:tcW w:w="227" w:type="dxa"/>
            <w:vAlign w:val="bottom"/>
          </w:tcPr>
          <w:p w:rsidR="00D96D32" w:rsidRPr="00670B12" w:rsidRDefault="00D96D32" w:rsidP="00670B12">
            <w:pPr>
              <w:pStyle w:val="CellRowSpacer"/>
              <w:rPr>
                <w:rFonts w:asciiTheme="majorHAnsi" w:hAnsiTheme="majorHAnsi" w:cstheme="majorHAnsi"/>
                <w:sz w:val="20"/>
              </w:rPr>
            </w:pPr>
          </w:p>
        </w:tc>
      </w:tr>
      <w:tr w:rsidR="00D96D32" w:rsidRPr="00D96D32" w:rsidTr="00670B12">
        <w:tc>
          <w:tcPr>
            <w:tcW w:w="4574" w:type="dxa"/>
            <w:vAlign w:val="bottom"/>
          </w:tcPr>
          <w:p w:rsidR="00D96D32" w:rsidRPr="00D96D32" w:rsidRDefault="00D96D32" w:rsidP="00670B12">
            <w:pPr>
              <w:pStyle w:val="CellBody"/>
              <w:tabs>
                <w:tab w:val="left" w:leader="dot" w:pos="5007"/>
              </w:tabs>
              <w:spacing w:beforeLines="40" w:before="96" w:after="0" w:line="240" w:lineRule="auto"/>
              <w:rPr>
                <w:rFonts w:asciiTheme="majorHAnsi" w:hAnsiTheme="majorHAnsi" w:cstheme="majorHAnsi"/>
                <w:b/>
                <w:sz w:val="20"/>
              </w:rPr>
            </w:pPr>
            <w:r w:rsidRPr="00D96D32">
              <w:rPr>
                <w:rFonts w:asciiTheme="majorHAnsi" w:hAnsiTheme="majorHAnsi" w:cstheme="majorHAnsi"/>
                <w:b/>
                <w:sz w:val="20"/>
              </w:rPr>
              <w:t>Assets</w:t>
            </w:r>
          </w:p>
        </w:tc>
        <w:tc>
          <w:tcPr>
            <w:tcW w:w="284"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c>
          <w:tcPr>
            <w:tcW w:w="1132" w:type="dxa"/>
            <w:vAlign w:val="bottom"/>
          </w:tcPr>
          <w:p w:rsidR="00D96D32" w:rsidRPr="00D96D32" w:rsidRDefault="00D96D32" w:rsidP="00670B12">
            <w:pPr>
              <w:pStyle w:val="CellBody"/>
              <w:spacing w:beforeLines="40" w:before="96" w:after="0" w:line="240" w:lineRule="auto"/>
              <w:jc w:val="right"/>
              <w:rPr>
                <w:rFonts w:asciiTheme="majorHAnsi" w:hAnsiTheme="majorHAnsi" w:cstheme="majorHAnsi"/>
                <w:sz w:val="20"/>
              </w:rPr>
            </w:pPr>
          </w:p>
        </w:tc>
        <w:tc>
          <w:tcPr>
            <w:tcW w:w="284"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c>
          <w:tcPr>
            <w:tcW w:w="1132" w:type="dxa"/>
            <w:vAlign w:val="bottom"/>
          </w:tcPr>
          <w:p w:rsidR="00D96D32" w:rsidRPr="00D96D32" w:rsidRDefault="00D96D32" w:rsidP="00670B12">
            <w:pPr>
              <w:pStyle w:val="CellBody"/>
              <w:spacing w:beforeLines="40" w:before="96" w:after="0" w:line="240" w:lineRule="auto"/>
              <w:jc w:val="right"/>
              <w:rPr>
                <w:rFonts w:asciiTheme="majorHAnsi" w:hAnsiTheme="majorHAnsi" w:cstheme="majorHAnsi"/>
                <w:sz w:val="20"/>
              </w:rPr>
            </w:pPr>
          </w:p>
        </w:tc>
        <w:tc>
          <w:tcPr>
            <w:tcW w:w="284"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c>
          <w:tcPr>
            <w:tcW w:w="1132" w:type="dxa"/>
            <w:vAlign w:val="bottom"/>
          </w:tcPr>
          <w:p w:rsidR="00D96D32" w:rsidRPr="00D96D32" w:rsidRDefault="00D96D32" w:rsidP="00670B12">
            <w:pPr>
              <w:pStyle w:val="CellBody"/>
              <w:spacing w:beforeLines="40" w:before="96" w:after="0" w:line="240" w:lineRule="auto"/>
              <w:jc w:val="right"/>
              <w:rPr>
                <w:rFonts w:asciiTheme="majorHAnsi" w:hAnsiTheme="majorHAnsi" w:cstheme="majorHAnsi"/>
                <w:sz w:val="20"/>
              </w:rPr>
            </w:pPr>
          </w:p>
        </w:tc>
        <w:tc>
          <w:tcPr>
            <w:tcW w:w="227"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r>
      <w:tr w:rsidR="00D96D32" w:rsidRPr="00D96D32" w:rsidTr="00670B12">
        <w:tc>
          <w:tcPr>
            <w:tcW w:w="4574" w:type="dxa"/>
            <w:vAlign w:val="bottom"/>
          </w:tcPr>
          <w:p w:rsidR="00D96D32" w:rsidRPr="00D96D32" w:rsidRDefault="00D96D32" w:rsidP="00670B12">
            <w:pPr>
              <w:pStyle w:val="CellBody"/>
              <w:tabs>
                <w:tab w:val="left" w:leader="dot" w:pos="5007"/>
              </w:tabs>
              <w:spacing w:beforeLines="40" w:before="96" w:after="0" w:line="240" w:lineRule="auto"/>
              <w:rPr>
                <w:rFonts w:asciiTheme="majorHAnsi" w:hAnsiTheme="majorHAnsi" w:cstheme="majorHAnsi"/>
                <w:sz w:val="20"/>
              </w:rPr>
            </w:pPr>
            <w:r w:rsidRPr="00D96D32">
              <w:rPr>
                <w:rFonts w:asciiTheme="majorHAnsi" w:hAnsiTheme="majorHAnsi" w:cstheme="majorHAnsi"/>
                <w:sz w:val="20"/>
              </w:rPr>
              <w:t>Cash and balances at central banks</w:t>
            </w:r>
            <w:r w:rsidRPr="00D96D32">
              <w:rPr>
                <w:rFonts w:asciiTheme="majorHAnsi" w:hAnsiTheme="majorHAnsi" w:cstheme="majorHAnsi"/>
                <w:sz w:val="20"/>
              </w:rPr>
              <w:tab/>
            </w:r>
          </w:p>
        </w:tc>
        <w:tc>
          <w:tcPr>
            <w:tcW w:w="284"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c>
          <w:tcPr>
            <w:tcW w:w="1132" w:type="dxa"/>
            <w:vAlign w:val="bottom"/>
          </w:tcPr>
          <w:p w:rsidR="00D96D32" w:rsidRPr="00D96D32" w:rsidRDefault="00D96D32" w:rsidP="00670B12">
            <w:pPr>
              <w:pStyle w:val="StyleArial75pt"/>
              <w:jc w:val="right"/>
              <w:rPr>
                <w:rFonts w:asciiTheme="majorHAnsi" w:hAnsiTheme="majorHAnsi" w:cstheme="majorHAnsi"/>
                <w:sz w:val="20"/>
                <w:szCs w:val="20"/>
              </w:rPr>
            </w:pPr>
            <w:r w:rsidRPr="00D96D32">
              <w:rPr>
                <w:rFonts w:asciiTheme="majorHAnsi" w:hAnsiTheme="majorHAnsi" w:cstheme="majorHAnsi"/>
                <w:sz w:val="20"/>
                <w:szCs w:val="20"/>
              </w:rPr>
              <w:t xml:space="preserve">12,609 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vAlign w:val="bottom"/>
          </w:tcPr>
          <w:p w:rsidR="00D96D32" w:rsidRPr="00D96D32" w:rsidRDefault="00D96D32" w:rsidP="00724CF6">
            <w:pPr>
              <w:pStyle w:val="StyleArial75pt"/>
              <w:jc w:val="right"/>
              <w:rPr>
                <w:rFonts w:asciiTheme="majorHAnsi" w:hAnsiTheme="majorHAnsi" w:cstheme="majorHAnsi"/>
                <w:sz w:val="20"/>
                <w:szCs w:val="20"/>
              </w:rPr>
            </w:pPr>
            <w:r w:rsidRPr="00D96D32">
              <w:rPr>
                <w:rFonts w:asciiTheme="majorHAnsi" w:hAnsiTheme="majorHAnsi" w:cstheme="majorHAnsi"/>
                <w:sz w:val="20"/>
                <w:szCs w:val="20"/>
              </w:rPr>
              <w:t>8,623 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vAlign w:val="bottom"/>
          </w:tcPr>
          <w:p w:rsidR="00D96D32" w:rsidRPr="00D96D32" w:rsidRDefault="00D96D32" w:rsidP="00670B12">
            <w:pPr>
              <w:pStyle w:val="StyleArial75pt"/>
              <w:jc w:val="right"/>
              <w:rPr>
                <w:rFonts w:asciiTheme="majorHAnsi" w:hAnsiTheme="majorHAnsi" w:cstheme="majorHAnsi"/>
                <w:sz w:val="20"/>
                <w:szCs w:val="20"/>
              </w:rPr>
            </w:pPr>
            <w:r w:rsidRPr="00D96D32">
              <w:rPr>
                <w:rFonts w:asciiTheme="majorHAnsi" w:hAnsiTheme="majorHAnsi" w:cstheme="majorHAnsi"/>
                <w:sz w:val="20"/>
                <w:szCs w:val="20"/>
              </w:rPr>
              <w:t>3,986 </w:t>
            </w:r>
          </w:p>
        </w:tc>
        <w:tc>
          <w:tcPr>
            <w:tcW w:w="227"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r>
      <w:tr w:rsidR="00D96D32" w:rsidRPr="00D96D32" w:rsidTr="00670B12">
        <w:tc>
          <w:tcPr>
            <w:tcW w:w="4574" w:type="dxa"/>
            <w:vAlign w:val="bottom"/>
          </w:tcPr>
          <w:p w:rsidR="00D96D32" w:rsidRPr="00D96D32" w:rsidRDefault="00D96D32" w:rsidP="00670B12">
            <w:pPr>
              <w:pStyle w:val="CellBody"/>
              <w:tabs>
                <w:tab w:val="left" w:leader="dot" w:pos="5007"/>
              </w:tabs>
              <w:spacing w:beforeLines="40" w:before="96" w:after="0" w:line="240" w:lineRule="auto"/>
              <w:rPr>
                <w:rFonts w:asciiTheme="majorHAnsi" w:hAnsiTheme="majorHAnsi" w:cstheme="majorHAnsi"/>
                <w:sz w:val="20"/>
              </w:rPr>
            </w:pPr>
            <w:r w:rsidRPr="00D96D32">
              <w:rPr>
                <w:rFonts w:asciiTheme="majorHAnsi" w:hAnsiTheme="majorHAnsi" w:cstheme="majorHAnsi"/>
                <w:sz w:val="20"/>
              </w:rPr>
              <w:t>Loans and advances to banks</w:t>
            </w:r>
            <w:r w:rsidRPr="00D96D32">
              <w:rPr>
                <w:rFonts w:asciiTheme="majorHAnsi" w:hAnsiTheme="majorHAnsi" w:cstheme="majorHAnsi"/>
                <w:sz w:val="20"/>
              </w:rPr>
              <w:tab/>
            </w:r>
          </w:p>
        </w:tc>
        <w:tc>
          <w:tcPr>
            <w:tcW w:w="284"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c>
          <w:tcPr>
            <w:tcW w:w="1132" w:type="dxa"/>
            <w:vAlign w:val="bottom"/>
          </w:tcPr>
          <w:p w:rsidR="00D96D32" w:rsidRPr="00D96D32" w:rsidRDefault="00D96D32" w:rsidP="00670B12">
            <w:pPr>
              <w:pStyle w:val="StyleArial75pt"/>
              <w:jc w:val="right"/>
              <w:rPr>
                <w:rFonts w:asciiTheme="majorHAnsi" w:hAnsiTheme="majorHAnsi" w:cstheme="majorHAnsi"/>
                <w:sz w:val="20"/>
                <w:szCs w:val="20"/>
              </w:rPr>
            </w:pPr>
            <w:r w:rsidRPr="00D96D32">
              <w:rPr>
                <w:rFonts w:asciiTheme="majorHAnsi" w:hAnsiTheme="majorHAnsi" w:cstheme="majorHAnsi"/>
                <w:sz w:val="20"/>
                <w:szCs w:val="20"/>
              </w:rPr>
              <w:t>27,053 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vAlign w:val="bottom"/>
          </w:tcPr>
          <w:p w:rsidR="00D96D32" w:rsidRPr="00D96D32" w:rsidRDefault="00D96D32" w:rsidP="00724CF6">
            <w:pPr>
              <w:pStyle w:val="StyleArial75pt"/>
              <w:jc w:val="right"/>
              <w:rPr>
                <w:rFonts w:asciiTheme="majorHAnsi" w:hAnsiTheme="majorHAnsi" w:cstheme="majorHAnsi"/>
                <w:sz w:val="20"/>
                <w:szCs w:val="20"/>
              </w:rPr>
            </w:pPr>
            <w:r w:rsidRPr="00D96D32">
              <w:rPr>
                <w:rFonts w:asciiTheme="majorHAnsi" w:hAnsiTheme="majorHAnsi" w:cstheme="majorHAnsi"/>
                <w:sz w:val="20"/>
                <w:szCs w:val="20"/>
              </w:rPr>
              <w:t>21,3</w:t>
            </w:r>
            <w:r w:rsidR="00367708">
              <w:rPr>
                <w:rFonts w:asciiTheme="majorHAnsi" w:hAnsiTheme="majorHAnsi" w:cstheme="majorHAnsi"/>
                <w:sz w:val="20"/>
                <w:szCs w:val="20"/>
              </w:rPr>
              <w:t>54</w:t>
            </w:r>
            <w:r w:rsidRPr="00D96D32">
              <w:rPr>
                <w:rFonts w:asciiTheme="majorHAnsi" w:hAnsiTheme="majorHAnsi" w:cstheme="majorHAnsi"/>
                <w:sz w:val="20"/>
                <w:szCs w:val="20"/>
              </w:rPr>
              <w:t>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vAlign w:val="bottom"/>
          </w:tcPr>
          <w:p w:rsidR="00D96D32" w:rsidRPr="00D96D32" w:rsidRDefault="00D96D32" w:rsidP="00670B12">
            <w:pPr>
              <w:pStyle w:val="StyleArial75pt"/>
              <w:jc w:val="right"/>
              <w:rPr>
                <w:rFonts w:asciiTheme="majorHAnsi" w:hAnsiTheme="majorHAnsi" w:cstheme="majorHAnsi"/>
                <w:sz w:val="20"/>
                <w:szCs w:val="20"/>
              </w:rPr>
            </w:pPr>
            <w:r w:rsidRPr="00D96D32">
              <w:rPr>
                <w:rFonts w:asciiTheme="majorHAnsi" w:hAnsiTheme="majorHAnsi" w:cstheme="majorHAnsi"/>
                <w:sz w:val="20"/>
                <w:szCs w:val="20"/>
              </w:rPr>
              <w:t>5,</w:t>
            </w:r>
            <w:r w:rsidR="00367708">
              <w:rPr>
                <w:rFonts w:asciiTheme="majorHAnsi" w:hAnsiTheme="majorHAnsi" w:cstheme="majorHAnsi"/>
                <w:sz w:val="20"/>
                <w:szCs w:val="20"/>
              </w:rPr>
              <w:t>699</w:t>
            </w:r>
            <w:r w:rsidRPr="00D96D32">
              <w:rPr>
                <w:rFonts w:asciiTheme="majorHAnsi" w:hAnsiTheme="majorHAnsi" w:cstheme="majorHAnsi"/>
                <w:sz w:val="20"/>
                <w:szCs w:val="20"/>
              </w:rPr>
              <w:t> </w:t>
            </w:r>
          </w:p>
        </w:tc>
        <w:tc>
          <w:tcPr>
            <w:tcW w:w="227"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r>
      <w:tr w:rsidR="00D96D32" w:rsidRPr="00D96D32" w:rsidTr="00670B12">
        <w:tc>
          <w:tcPr>
            <w:tcW w:w="4574" w:type="dxa"/>
            <w:vAlign w:val="bottom"/>
          </w:tcPr>
          <w:p w:rsidR="00D96D32" w:rsidRPr="00D96D32" w:rsidRDefault="00D96D32" w:rsidP="00670B12">
            <w:pPr>
              <w:pStyle w:val="CellBody"/>
              <w:tabs>
                <w:tab w:val="left" w:leader="dot" w:pos="5007"/>
              </w:tabs>
              <w:spacing w:beforeLines="40" w:before="96" w:after="0" w:line="240" w:lineRule="auto"/>
              <w:rPr>
                <w:rFonts w:asciiTheme="majorHAnsi" w:hAnsiTheme="majorHAnsi" w:cstheme="majorHAnsi"/>
                <w:sz w:val="20"/>
              </w:rPr>
            </w:pPr>
            <w:r w:rsidRPr="00D96D32">
              <w:rPr>
                <w:rFonts w:asciiTheme="majorHAnsi" w:hAnsiTheme="majorHAnsi" w:cstheme="majorHAnsi"/>
                <w:sz w:val="20"/>
              </w:rPr>
              <w:t>Loans and advances to customers</w:t>
            </w:r>
            <w:r w:rsidRPr="00D96D32">
              <w:rPr>
                <w:rFonts w:asciiTheme="majorHAnsi" w:hAnsiTheme="majorHAnsi" w:cstheme="majorHAnsi"/>
                <w:sz w:val="20"/>
              </w:rPr>
              <w:tab/>
            </w:r>
          </w:p>
        </w:tc>
        <w:tc>
          <w:tcPr>
            <w:tcW w:w="284"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c>
          <w:tcPr>
            <w:tcW w:w="1132" w:type="dxa"/>
            <w:vAlign w:val="bottom"/>
          </w:tcPr>
          <w:p w:rsidR="00D96D32" w:rsidRPr="00D96D32" w:rsidRDefault="00D96D32" w:rsidP="00670B12">
            <w:pPr>
              <w:pStyle w:val="StyleArial75pt"/>
              <w:jc w:val="right"/>
              <w:rPr>
                <w:rFonts w:asciiTheme="majorHAnsi" w:hAnsiTheme="majorHAnsi" w:cstheme="majorHAnsi"/>
                <w:sz w:val="20"/>
                <w:szCs w:val="20"/>
              </w:rPr>
            </w:pPr>
            <w:r w:rsidRPr="00D96D32">
              <w:rPr>
                <w:rFonts w:asciiTheme="majorHAnsi" w:hAnsiTheme="majorHAnsi" w:cstheme="majorHAnsi"/>
                <w:sz w:val="20"/>
                <w:szCs w:val="20"/>
              </w:rPr>
              <w:t>29,578 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vAlign w:val="bottom"/>
          </w:tcPr>
          <w:p w:rsidR="00D96D32" w:rsidRPr="00D96D32" w:rsidRDefault="00D96D32" w:rsidP="00724CF6">
            <w:pPr>
              <w:pStyle w:val="StyleArial75pt"/>
              <w:jc w:val="right"/>
              <w:rPr>
                <w:rFonts w:asciiTheme="majorHAnsi" w:hAnsiTheme="majorHAnsi" w:cstheme="majorHAnsi"/>
                <w:sz w:val="20"/>
                <w:szCs w:val="20"/>
              </w:rPr>
            </w:pPr>
            <w:r w:rsidRPr="00D96D32">
              <w:rPr>
                <w:rFonts w:asciiTheme="majorHAnsi" w:hAnsiTheme="majorHAnsi" w:cstheme="majorHAnsi"/>
                <w:sz w:val="20"/>
                <w:szCs w:val="20"/>
              </w:rPr>
              <w:t>26,</w:t>
            </w:r>
            <w:r w:rsidR="00367708">
              <w:rPr>
                <w:rFonts w:asciiTheme="majorHAnsi" w:hAnsiTheme="majorHAnsi" w:cstheme="majorHAnsi"/>
                <w:sz w:val="20"/>
                <w:szCs w:val="20"/>
              </w:rPr>
              <w:t>756</w:t>
            </w:r>
            <w:r w:rsidRPr="00D96D32">
              <w:rPr>
                <w:rFonts w:asciiTheme="majorHAnsi" w:hAnsiTheme="majorHAnsi" w:cstheme="majorHAnsi"/>
                <w:sz w:val="20"/>
                <w:szCs w:val="20"/>
              </w:rPr>
              <w:t>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vAlign w:val="bottom"/>
          </w:tcPr>
          <w:p w:rsidR="00D96D32" w:rsidRPr="00D96D32" w:rsidRDefault="00D96D32" w:rsidP="00670B12">
            <w:pPr>
              <w:pStyle w:val="StyleArial75pt"/>
              <w:jc w:val="right"/>
              <w:rPr>
                <w:rFonts w:asciiTheme="majorHAnsi" w:hAnsiTheme="majorHAnsi" w:cstheme="majorHAnsi"/>
                <w:sz w:val="20"/>
                <w:szCs w:val="20"/>
              </w:rPr>
            </w:pPr>
            <w:r w:rsidRPr="00D96D32">
              <w:rPr>
                <w:rFonts w:asciiTheme="majorHAnsi" w:hAnsiTheme="majorHAnsi" w:cstheme="majorHAnsi"/>
                <w:sz w:val="20"/>
                <w:szCs w:val="20"/>
              </w:rPr>
              <w:t>2,</w:t>
            </w:r>
            <w:r w:rsidR="00367708">
              <w:rPr>
                <w:rFonts w:asciiTheme="majorHAnsi" w:hAnsiTheme="majorHAnsi" w:cstheme="majorHAnsi"/>
                <w:sz w:val="20"/>
                <w:szCs w:val="20"/>
              </w:rPr>
              <w:t>822</w:t>
            </w:r>
            <w:r w:rsidRPr="00D96D32">
              <w:rPr>
                <w:rFonts w:asciiTheme="majorHAnsi" w:hAnsiTheme="majorHAnsi" w:cstheme="majorHAnsi"/>
                <w:sz w:val="20"/>
                <w:szCs w:val="20"/>
              </w:rPr>
              <w:t> </w:t>
            </w:r>
          </w:p>
        </w:tc>
        <w:tc>
          <w:tcPr>
            <w:tcW w:w="227"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r>
      <w:tr w:rsidR="00D96D32" w:rsidRPr="00D96D32" w:rsidTr="00670B12">
        <w:tc>
          <w:tcPr>
            <w:tcW w:w="4574" w:type="dxa"/>
            <w:vAlign w:val="bottom"/>
          </w:tcPr>
          <w:p w:rsidR="00D96D32" w:rsidRPr="00D96D32" w:rsidRDefault="00D96D32" w:rsidP="00670B12">
            <w:pPr>
              <w:pStyle w:val="CellBody"/>
              <w:tabs>
                <w:tab w:val="left" w:leader="dot" w:pos="5007"/>
              </w:tabs>
              <w:spacing w:beforeLines="40" w:before="96" w:after="0" w:line="240" w:lineRule="auto"/>
              <w:rPr>
                <w:rFonts w:asciiTheme="majorHAnsi" w:hAnsiTheme="majorHAnsi" w:cstheme="majorHAnsi"/>
                <w:sz w:val="20"/>
              </w:rPr>
            </w:pPr>
            <w:r w:rsidRPr="00D96D32">
              <w:rPr>
                <w:rFonts w:asciiTheme="majorHAnsi" w:hAnsiTheme="majorHAnsi" w:cstheme="majorHAnsi"/>
                <w:sz w:val="20"/>
              </w:rPr>
              <w:t>Debt securities</w:t>
            </w:r>
            <w:r w:rsidRPr="00D96D32">
              <w:rPr>
                <w:rFonts w:asciiTheme="majorHAnsi" w:hAnsiTheme="majorHAnsi" w:cstheme="majorHAnsi"/>
                <w:sz w:val="20"/>
              </w:rPr>
              <w:tab/>
            </w:r>
          </w:p>
        </w:tc>
        <w:tc>
          <w:tcPr>
            <w:tcW w:w="284"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c>
          <w:tcPr>
            <w:tcW w:w="1132" w:type="dxa"/>
            <w:vAlign w:val="bottom"/>
          </w:tcPr>
          <w:p w:rsidR="00D96D32" w:rsidRPr="00D96D32" w:rsidRDefault="00D96D32" w:rsidP="00670B12">
            <w:pPr>
              <w:pStyle w:val="StyleArial75pt"/>
              <w:jc w:val="right"/>
              <w:rPr>
                <w:rFonts w:asciiTheme="majorHAnsi" w:hAnsiTheme="majorHAnsi" w:cstheme="majorHAnsi"/>
                <w:sz w:val="20"/>
                <w:szCs w:val="20"/>
              </w:rPr>
            </w:pPr>
            <w:r w:rsidRPr="00D96D32">
              <w:rPr>
                <w:rFonts w:asciiTheme="majorHAnsi" w:hAnsiTheme="majorHAnsi" w:cstheme="majorHAnsi"/>
                <w:sz w:val="20"/>
                <w:szCs w:val="20"/>
              </w:rPr>
              <w:t>39,645 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vAlign w:val="bottom"/>
          </w:tcPr>
          <w:p w:rsidR="00D96D32" w:rsidRPr="00D96D32" w:rsidRDefault="00094791" w:rsidP="00724CF6">
            <w:pPr>
              <w:pStyle w:val="StyleArial75pt"/>
              <w:jc w:val="right"/>
              <w:rPr>
                <w:rFonts w:asciiTheme="majorHAnsi" w:hAnsiTheme="majorHAnsi" w:cstheme="majorHAnsi"/>
                <w:sz w:val="20"/>
                <w:szCs w:val="20"/>
              </w:rPr>
            </w:pPr>
            <w:r>
              <w:rPr>
                <w:rFonts w:asciiTheme="majorHAnsi" w:hAnsiTheme="majorHAnsi" w:cstheme="majorHAnsi"/>
                <w:sz w:val="20"/>
                <w:szCs w:val="20"/>
              </w:rPr>
              <w:t>19,822</w:t>
            </w:r>
            <w:r w:rsidR="00D96D32" w:rsidRPr="00D96D32">
              <w:rPr>
                <w:rFonts w:asciiTheme="majorHAnsi" w:hAnsiTheme="majorHAnsi" w:cstheme="majorHAnsi"/>
                <w:sz w:val="20"/>
                <w:szCs w:val="20"/>
              </w:rPr>
              <w:t>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vAlign w:val="bottom"/>
          </w:tcPr>
          <w:p w:rsidR="00D96D32" w:rsidRPr="00D96D32" w:rsidRDefault="00094791" w:rsidP="00094791">
            <w:pPr>
              <w:pStyle w:val="StyleArial75pt"/>
              <w:jc w:val="right"/>
              <w:rPr>
                <w:rFonts w:asciiTheme="majorHAnsi" w:hAnsiTheme="majorHAnsi" w:cstheme="majorHAnsi"/>
                <w:sz w:val="20"/>
                <w:szCs w:val="20"/>
              </w:rPr>
            </w:pPr>
            <w:r>
              <w:rPr>
                <w:rFonts w:asciiTheme="majorHAnsi" w:hAnsiTheme="majorHAnsi" w:cstheme="majorHAnsi"/>
                <w:sz w:val="20"/>
                <w:szCs w:val="20"/>
              </w:rPr>
              <w:t>19,823</w:t>
            </w:r>
            <w:r w:rsidR="00D96D32" w:rsidRPr="00D96D32">
              <w:rPr>
                <w:rFonts w:asciiTheme="majorHAnsi" w:hAnsiTheme="majorHAnsi" w:cstheme="majorHAnsi"/>
                <w:sz w:val="20"/>
                <w:szCs w:val="20"/>
              </w:rPr>
              <w:t> </w:t>
            </w:r>
          </w:p>
        </w:tc>
        <w:tc>
          <w:tcPr>
            <w:tcW w:w="227"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r>
      <w:tr w:rsidR="00D96D32" w:rsidRPr="00D96D32" w:rsidTr="00670B12">
        <w:tc>
          <w:tcPr>
            <w:tcW w:w="4574" w:type="dxa"/>
            <w:vAlign w:val="bottom"/>
          </w:tcPr>
          <w:p w:rsidR="00D96D32" w:rsidRPr="00D96D32" w:rsidRDefault="00D96D32" w:rsidP="00670B12">
            <w:pPr>
              <w:pStyle w:val="CellBody"/>
              <w:tabs>
                <w:tab w:val="left" w:leader="dot" w:pos="5007"/>
              </w:tabs>
              <w:spacing w:beforeLines="40" w:before="96" w:after="0" w:line="240" w:lineRule="auto"/>
              <w:rPr>
                <w:rFonts w:asciiTheme="majorHAnsi" w:hAnsiTheme="majorHAnsi" w:cstheme="majorHAnsi"/>
                <w:sz w:val="20"/>
              </w:rPr>
            </w:pPr>
            <w:r w:rsidRPr="00D96D32">
              <w:rPr>
                <w:rFonts w:asciiTheme="majorHAnsi" w:hAnsiTheme="majorHAnsi" w:cstheme="majorHAnsi"/>
                <w:sz w:val="20"/>
              </w:rPr>
              <w:t>Equity shares</w:t>
            </w:r>
            <w:r w:rsidRPr="00D96D32">
              <w:rPr>
                <w:rFonts w:asciiTheme="majorHAnsi" w:hAnsiTheme="majorHAnsi" w:cstheme="majorHAnsi"/>
                <w:sz w:val="20"/>
              </w:rPr>
              <w:tab/>
            </w:r>
          </w:p>
        </w:tc>
        <w:tc>
          <w:tcPr>
            <w:tcW w:w="284"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c>
          <w:tcPr>
            <w:tcW w:w="1132" w:type="dxa"/>
            <w:vAlign w:val="bottom"/>
          </w:tcPr>
          <w:p w:rsidR="00D96D32" w:rsidRPr="00D96D32" w:rsidRDefault="00D96D32" w:rsidP="00670B12">
            <w:pPr>
              <w:pStyle w:val="StyleArial75pt"/>
              <w:jc w:val="right"/>
              <w:rPr>
                <w:rFonts w:asciiTheme="majorHAnsi" w:hAnsiTheme="majorHAnsi" w:cstheme="majorHAnsi"/>
                <w:sz w:val="20"/>
                <w:szCs w:val="20"/>
              </w:rPr>
            </w:pPr>
            <w:r w:rsidRPr="00D96D32">
              <w:rPr>
                <w:rFonts w:asciiTheme="majorHAnsi" w:hAnsiTheme="majorHAnsi" w:cstheme="majorHAnsi"/>
                <w:sz w:val="20"/>
                <w:szCs w:val="20"/>
              </w:rPr>
              <w:t>3,093 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vAlign w:val="bottom"/>
          </w:tcPr>
          <w:p w:rsidR="00D96D32" w:rsidRPr="00D96D32" w:rsidRDefault="00D96D32" w:rsidP="00724CF6">
            <w:pPr>
              <w:pStyle w:val="StyleArial75pt"/>
              <w:jc w:val="right"/>
              <w:rPr>
                <w:rFonts w:asciiTheme="majorHAnsi" w:hAnsiTheme="majorHAnsi" w:cstheme="majorHAnsi"/>
                <w:sz w:val="20"/>
                <w:szCs w:val="20"/>
              </w:rPr>
            </w:pPr>
            <w:r w:rsidRPr="00D96D32">
              <w:rPr>
                <w:rFonts w:asciiTheme="majorHAnsi" w:hAnsiTheme="majorHAnsi" w:cstheme="majorHAnsi"/>
                <w:sz w:val="20"/>
                <w:szCs w:val="20"/>
              </w:rPr>
              <w:t>2,</w:t>
            </w:r>
            <w:r w:rsidR="00367708">
              <w:rPr>
                <w:rFonts w:asciiTheme="majorHAnsi" w:hAnsiTheme="majorHAnsi" w:cstheme="majorHAnsi"/>
                <w:sz w:val="20"/>
                <w:szCs w:val="20"/>
              </w:rPr>
              <w:t>619</w:t>
            </w:r>
            <w:r w:rsidRPr="00D96D32">
              <w:rPr>
                <w:rFonts w:asciiTheme="majorHAnsi" w:hAnsiTheme="majorHAnsi" w:cstheme="majorHAnsi"/>
                <w:sz w:val="20"/>
                <w:szCs w:val="20"/>
              </w:rPr>
              <w:t>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vAlign w:val="bottom"/>
          </w:tcPr>
          <w:p w:rsidR="00D96D32" w:rsidRPr="00D96D32" w:rsidRDefault="00367708" w:rsidP="00670B12">
            <w:pPr>
              <w:pStyle w:val="StyleArial75pt"/>
              <w:jc w:val="right"/>
              <w:rPr>
                <w:rFonts w:asciiTheme="majorHAnsi" w:hAnsiTheme="majorHAnsi" w:cstheme="majorHAnsi"/>
                <w:sz w:val="20"/>
                <w:szCs w:val="20"/>
              </w:rPr>
            </w:pPr>
            <w:r>
              <w:rPr>
                <w:rFonts w:asciiTheme="majorHAnsi" w:hAnsiTheme="majorHAnsi" w:cstheme="majorHAnsi"/>
                <w:sz w:val="20"/>
                <w:szCs w:val="20"/>
              </w:rPr>
              <w:t>474</w:t>
            </w:r>
            <w:r w:rsidR="00D96D32" w:rsidRPr="00D96D32">
              <w:rPr>
                <w:rFonts w:asciiTheme="majorHAnsi" w:hAnsiTheme="majorHAnsi" w:cstheme="majorHAnsi"/>
                <w:sz w:val="20"/>
                <w:szCs w:val="20"/>
              </w:rPr>
              <w:t> </w:t>
            </w:r>
          </w:p>
        </w:tc>
        <w:tc>
          <w:tcPr>
            <w:tcW w:w="227"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r>
      <w:tr w:rsidR="00D96D32" w:rsidRPr="00D96D32" w:rsidTr="00670B12">
        <w:tc>
          <w:tcPr>
            <w:tcW w:w="4574" w:type="dxa"/>
            <w:vAlign w:val="bottom"/>
          </w:tcPr>
          <w:p w:rsidR="00D96D32" w:rsidRPr="00D96D32" w:rsidRDefault="00D96D32" w:rsidP="00670B12">
            <w:pPr>
              <w:pStyle w:val="CellBody"/>
              <w:tabs>
                <w:tab w:val="left" w:leader="dot" w:pos="5007"/>
              </w:tabs>
              <w:spacing w:beforeLines="40" w:before="96" w:after="0" w:line="240" w:lineRule="auto"/>
              <w:rPr>
                <w:rFonts w:asciiTheme="majorHAnsi" w:hAnsiTheme="majorHAnsi" w:cstheme="majorHAnsi"/>
                <w:sz w:val="20"/>
              </w:rPr>
            </w:pPr>
            <w:r w:rsidRPr="00D96D32">
              <w:rPr>
                <w:rFonts w:asciiTheme="majorHAnsi" w:hAnsiTheme="majorHAnsi" w:cstheme="majorHAnsi"/>
                <w:sz w:val="20"/>
              </w:rPr>
              <w:t>Settlement balances</w:t>
            </w:r>
            <w:r w:rsidRPr="00D96D32">
              <w:rPr>
                <w:rFonts w:asciiTheme="majorHAnsi" w:hAnsiTheme="majorHAnsi" w:cstheme="majorHAnsi"/>
                <w:sz w:val="20"/>
              </w:rPr>
              <w:tab/>
            </w:r>
          </w:p>
        </w:tc>
        <w:tc>
          <w:tcPr>
            <w:tcW w:w="284"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c>
          <w:tcPr>
            <w:tcW w:w="1132" w:type="dxa"/>
            <w:vAlign w:val="bottom"/>
          </w:tcPr>
          <w:p w:rsidR="00D96D32" w:rsidRPr="00D96D32" w:rsidRDefault="00D96D32" w:rsidP="00670B12">
            <w:pPr>
              <w:pStyle w:val="StyleArial75pt"/>
              <w:jc w:val="right"/>
              <w:rPr>
                <w:rFonts w:asciiTheme="majorHAnsi" w:hAnsiTheme="majorHAnsi" w:cstheme="majorHAnsi"/>
                <w:sz w:val="20"/>
                <w:szCs w:val="20"/>
              </w:rPr>
            </w:pPr>
            <w:r w:rsidRPr="00D96D32">
              <w:rPr>
                <w:rFonts w:asciiTheme="majorHAnsi" w:hAnsiTheme="majorHAnsi" w:cstheme="majorHAnsi"/>
                <w:sz w:val="20"/>
                <w:szCs w:val="20"/>
              </w:rPr>
              <w:t>2,608 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vAlign w:val="bottom"/>
          </w:tcPr>
          <w:p w:rsidR="00D96D32" w:rsidRPr="00D96D32" w:rsidRDefault="00D96D32" w:rsidP="00724CF6">
            <w:pPr>
              <w:pStyle w:val="StyleArial75pt"/>
              <w:jc w:val="right"/>
              <w:rPr>
                <w:rFonts w:asciiTheme="majorHAnsi" w:hAnsiTheme="majorHAnsi" w:cstheme="majorHAnsi"/>
                <w:sz w:val="20"/>
                <w:szCs w:val="20"/>
              </w:rPr>
            </w:pPr>
            <w:r w:rsidRPr="00D96D32">
              <w:rPr>
                <w:rFonts w:asciiTheme="majorHAnsi" w:hAnsiTheme="majorHAnsi" w:cstheme="majorHAnsi"/>
                <w:sz w:val="20"/>
                <w:szCs w:val="20"/>
              </w:rPr>
              <w:t>2,243 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vAlign w:val="bottom"/>
          </w:tcPr>
          <w:p w:rsidR="00D96D32" w:rsidRPr="00D96D32" w:rsidRDefault="00D96D32" w:rsidP="00670B12">
            <w:pPr>
              <w:pStyle w:val="StyleArial75pt"/>
              <w:jc w:val="right"/>
              <w:rPr>
                <w:rFonts w:asciiTheme="majorHAnsi" w:hAnsiTheme="majorHAnsi" w:cstheme="majorHAnsi"/>
                <w:sz w:val="20"/>
                <w:szCs w:val="20"/>
              </w:rPr>
            </w:pPr>
            <w:r w:rsidRPr="00D96D32">
              <w:rPr>
                <w:rFonts w:asciiTheme="majorHAnsi" w:hAnsiTheme="majorHAnsi" w:cstheme="majorHAnsi"/>
                <w:sz w:val="20"/>
                <w:szCs w:val="20"/>
              </w:rPr>
              <w:t>365 </w:t>
            </w:r>
          </w:p>
        </w:tc>
        <w:tc>
          <w:tcPr>
            <w:tcW w:w="227"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r>
      <w:tr w:rsidR="00D96D32" w:rsidRPr="00D96D32" w:rsidTr="00670B12">
        <w:tc>
          <w:tcPr>
            <w:tcW w:w="4574" w:type="dxa"/>
            <w:vAlign w:val="bottom"/>
          </w:tcPr>
          <w:p w:rsidR="00D96D32" w:rsidRPr="00D96D32" w:rsidRDefault="00D96D32" w:rsidP="00670B12">
            <w:pPr>
              <w:pStyle w:val="CellBody"/>
              <w:tabs>
                <w:tab w:val="left" w:leader="dot" w:pos="5007"/>
              </w:tabs>
              <w:spacing w:beforeLines="40" w:before="96" w:after="0" w:line="240" w:lineRule="auto"/>
              <w:rPr>
                <w:rFonts w:asciiTheme="majorHAnsi" w:hAnsiTheme="majorHAnsi" w:cstheme="majorHAnsi"/>
                <w:sz w:val="20"/>
              </w:rPr>
            </w:pPr>
            <w:r w:rsidRPr="00D96D32">
              <w:rPr>
                <w:rFonts w:asciiTheme="majorHAnsi" w:hAnsiTheme="majorHAnsi" w:cstheme="majorHAnsi"/>
                <w:sz w:val="20"/>
              </w:rPr>
              <w:t>Derivatives</w:t>
            </w:r>
            <w:r w:rsidRPr="00D96D32">
              <w:rPr>
                <w:rFonts w:asciiTheme="majorHAnsi" w:hAnsiTheme="majorHAnsi" w:cstheme="majorHAnsi"/>
                <w:sz w:val="20"/>
              </w:rPr>
              <w:tab/>
            </w:r>
          </w:p>
        </w:tc>
        <w:tc>
          <w:tcPr>
            <w:tcW w:w="284"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c>
          <w:tcPr>
            <w:tcW w:w="1132" w:type="dxa"/>
            <w:vAlign w:val="bottom"/>
          </w:tcPr>
          <w:p w:rsidR="00D96D32" w:rsidRPr="00D96D32" w:rsidRDefault="00D96D32" w:rsidP="00670B12">
            <w:pPr>
              <w:pStyle w:val="StyleArial75pt"/>
              <w:jc w:val="right"/>
              <w:rPr>
                <w:rFonts w:asciiTheme="majorHAnsi" w:hAnsiTheme="majorHAnsi" w:cstheme="majorHAnsi"/>
                <w:sz w:val="20"/>
                <w:szCs w:val="20"/>
              </w:rPr>
            </w:pPr>
            <w:r w:rsidRPr="00D96D32">
              <w:rPr>
                <w:rFonts w:asciiTheme="majorHAnsi" w:hAnsiTheme="majorHAnsi" w:cstheme="majorHAnsi"/>
                <w:sz w:val="20"/>
                <w:szCs w:val="20"/>
              </w:rPr>
              <w:t>19,138 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vAlign w:val="bottom"/>
          </w:tcPr>
          <w:p w:rsidR="00D96D32" w:rsidRPr="00D96D32" w:rsidRDefault="00D96D32" w:rsidP="00724CF6">
            <w:pPr>
              <w:pStyle w:val="StyleArial75pt"/>
              <w:jc w:val="right"/>
              <w:rPr>
                <w:rFonts w:asciiTheme="majorHAnsi" w:hAnsiTheme="majorHAnsi" w:cstheme="majorHAnsi"/>
                <w:sz w:val="20"/>
                <w:szCs w:val="20"/>
              </w:rPr>
            </w:pPr>
            <w:r w:rsidRPr="00D96D32">
              <w:rPr>
                <w:rFonts w:asciiTheme="majorHAnsi" w:hAnsiTheme="majorHAnsi" w:cstheme="majorHAnsi"/>
                <w:sz w:val="20"/>
                <w:szCs w:val="20"/>
              </w:rPr>
              <w:t>15,</w:t>
            </w:r>
            <w:r w:rsidR="00367708">
              <w:rPr>
                <w:rFonts w:asciiTheme="majorHAnsi" w:hAnsiTheme="majorHAnsi" w:cstheme="majorHAnsi"/>
                <w:sz w:val="20"/>
                <w:szCs w:val="20"/>
              </w:rPr>
              <w:t>674</w:t>
            </w:r>
            <w:r w:rsidRPr="00D96D32">
              <w:rPr>
                <w:rFonts w:asciiTheme="majorHAnsi" w:hAnsiTheme="majorHAnsi" w:cstheme="majorHAnsi"/>
                <w:sz w:val="20"/>
                <w:szCs w:val="20"/>
              </w:rPr>
              <w:t>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vAlign w:val="bottom"/>
          </w:tcPr>
          <w:p w:rsidR="00D96D32" w:rsidRPr="00D96D32" w:rsidRDefault="00D96D32" w:rsidP="00670B12">
            <w:pPr>
              <w:pStyle w:val="StyleArial75pt"/>
              <w:jc w:val="right"/>
              <w:rPr>
                <w:rFonts w:asciiTheme="majorHAnsi" w:hAnsiTheme="majorHAnsi" w:cstheme="majorHAnsi"/>
                <w:sz w:val="20"/>
                <w:szCs w:val="20"/>
              </w:rPr>
            </w:pPr>
            <w:r w:rsidRPr="00D96D32">
              <w:rPr>
                <w:rFonts w:asciiTheme="majorHAnsi" w:hAnsiTheme="majorHAnsi" w:cstheme="majorHAnsi"/>
                <w:sz w:val="20"/>
                <w:szCs w:val="20"/>
              </w:rPr>
              <w:t>3,</w:t>
            </w:r>
            <w:r w:rsidR="00367708">
              <w:rPr>
                <w:rFonts w:asciiTheme="majorHAnsi" w:hAnsiTheme="majorHAnsi" w:cstheme="majorHAnsi"/>
                <w:sz w:val="20"/>
                <w:szCs w:val="20"/>
              </w:rPr>
              <w:t>464</w:t>
            </w:r>
            <w:r w:rsidRPr="00D96D32">
              <w:rPr>
                <w:rFonts w:asciiTheme="majorHAnsi" w:hAnsiTheme="majorHAnsi" w:cstheme="majorHAnsi"/>
                <w:sz w:val="20"/>
                <w:szCs w:val="20"/>
              </w:rPr>
              <w:t> </w:t>
            </w:r>
          </w:p>
        </w:tc>
        <w:tc>
          <w:tcPr>
            <w:tcW w:w="227"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r>
      <w:tr w:rsidR="00D96D32" w:rsidRPr="00D96D32" w:rsidTr="00670B12">
        <w:tc>
          <w:tcPr>
            <w:tcW w:w="4574" w:type="dxa"/>
            <w:vAlign w:val="bottom"/>
          </w:tcPr>
          <w:p w:rsidR="00D96D32" w:rsidRPr="00D96D32" w:rsidRDefault="00D96D32" w:rsidP="00670B12">
            <w:pPr>
              <w:pStyle w:val="CellBody"/>
              <w:tabs>
                <w:tab w:val="left" w:leader="dot" w:pos="5007"/>
              </w:tabs>
              <w:spacing w:beforeLines="40" w:before="96" w:after="0" w:line="240" w:lineRule="auto"/>
              <w:rPr>
                <w:rFonts w:asciiTheme="majorHAnsi" w:hAnsiTheme="majorHAnsi" w:cstheme="majorHAnsi"/>
                <w:sz w:val="20"/>
              </w:rPr>
            </w:pPr>
            <w:r w:rsidRPr="00D96D32">
              <w:rPr>
                <w:rFonts w:asciiTheme="majorHAnsi" w:hAnsiTheme="majorHAnsi" w:cstheme="majorHAnsi"/>
                <w:sz w:val="20"/>
              </w:rPr>
              <w:t>Other assets</w:t>
            </w:r>
            <w:r w:rsidRPr="00D96D32">
              <w:rPr>
                <w:rFonts w:asciiTheme="majorHAnsi" w:hAnsiTheme="majorHAnsi" w:cstheme="majorHAnsi"/>
                <w:sz w:val="20"/>
              </w:rPr>
              <w:tab/>
            </w:r>
          </w:p>
        </w:tc>
        <w:tc>
          <w:tcPr>
            <w:tcW w:w="284"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c>
          <w:tcPr>
            <w:tcW w:w="1132" w:type="dxa"/>
            <w:tcBorders>
              <w:bottom w:val="single" w:sz="4" w:space="0" w:color="auto"/>
            </w:tcBorders>
            <w:vAlign w:val="bottom"/>
          </w:tcPr>
          <w:p w:rsidR="00D96D32" w:rsidRPr="00D96D32" w:rsidRDefault="00D96D32" w:rsidP="00670B12">
            <w:pPr>
              <w:pStyle w:val="StyleArial75pt"/>
              <w:jc w:val="right"/>
              <w:rPr>
                <w:rFonts w:asciiTheme="majorHAnsi" w:hAnsiTheme="majorHAnsi" w:cstheme="majorHAnsi"/>
                <w:sz w:val="20"/>
                <w:szCs w:val="20"/>
              </w:rPr>
            </w:pPr>
            <w:r w:rsidRPr="00D96D32">
              <w:rPr>
                <w:rFonts w:asciiTheme="majorHAnsi" w:hAnsiTheme="majorHAnsi" w:cstheme="majorHAnsi"/>
                <w:sz w:val="20"/>
                <w:szCs w:val="20"/>
              </w:rPr>
              <w:t>12,948 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tcBorders>
              <w:bottom w:val="single" w:sz="4" w:space="0" w:color="auto"/>
            </w:tcBorders>
            <w:vAlign w:val="bottom"/>
          </w:tcPr>
          <w:p w:rsidR="00D96D32" w:rsidRPr="00D96D32" w:rsidRDefault="00D96D32" w:rsidP="00724CF6">
            <w:pPr>
              <w:pStyle w:val="StyleArial75pt"/>
              <w:jc w:val="right"/>
              <w:rPr>
                <w:rFonts w:asciiTheme="majorHAnsi" w:hAnsiTheme="majorHAnsi" w:cstheme="majorHAnsi"/>
                <w:sz w:val="20"/>
                <w:szCs w:val="20"/>
              </w:rPr>
            </w:pPr>
            <w:r w:rsidRPr="00D96D32">
              <w:rPr>
                <w:rFonts w:asciiTheme="majorHAnsi" w:hAnsiTheme="majorHAnsi" w:cstheme="majorHAnsi"/>
                <w:sz w:val="20"/>
                <w:szCs w:val="20"/>
              </w:rPr>
              <w:t>10,</w:t>
            </w:r>
            <w:r w:rsidR="00367708">
              <w:rPr>
                <w:rFonts w:asciiTheme="majorHAnsi" w:hAnsiTheme="majorHAnsi" w:cstheme="majorHAnsi"/>
                <w:sz w:val="20"/>
                <w:szCs w:val="20"/>
              </w:rPr>
              <w:t>127</w:t>
            </w:r>
            <w:r w:rsidRPr="00D96D32">
              <w:rPr>
                <w:rFonts w:asciiTheme="majorHAnsi" w:hAnsiTheme="majorHAnsi" w:cstheme="majorHAnsi"/>
                <w:sz w:val="20"/>
                <w:szCs w:val="20"/>
              </w:rPr>
              <w:t>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tcBorders>
              <w:bottom w:val="single" w:sz="4" w:space="0" w:color="auto"/>
            </w:tcBorders>
            <w:vAlign w:val="bottom"/>
          </w:tcPr>
          <w:p w:rsidR="00D96D32" w:rsidRPr="00D96D32" w:rsidRDefault="00D96D32" w:rsidP="00670B12">
            <w:pPr>
              <w:pStyle w:val="StyleArial75pt"/>
              <w:jc w:val="right"/>
              <w:rPr>
                <w:rFonts w:asciiTheme="majorHAnsi" w:hAnsiTheme="majorHAnsi" w:cstheme="majorHAnsi"/>
                <w:sz w:val="20"/>
                <w:szCs w:val="20"/>
              </w:rPr>
            </w:pPr>
            <w:r w:rsidRPr="00D96D32">
              <w:rPr>
                <w:rFonts w:asciiTheme="majorHAnsi" w:hAnsiTheme="majorHAnsi" w:cstheme="majorHAnsi"/>
                <w:sz w:val="20"/>
                <w:szCs w:val="20"/>
              </w:rPr>
              <w:t>2,</w:t>
            </w:r>
            <w:r w:rsidR="00367708">
              <w:rPr>
                <w:rFonts w:asciiTheme="majorHAnsi" w:hAnsiTheme="majorHAnsi" w:cstheme="majorHAnsi"/>
                <w:sz w:val="20"/>
                <w:szCs w:val="20"/>
              </w:rPr>
              <w:t>821</w:t>
            </w:r>
            <w:r w:rsidRPr="00D96D32">
              <w:rPr>
                <w:rFonts w:asciiTheme="majorHAnsi" w:hAnsiTheme="majorHAnsi" w:cstheme="majorHAnsi"/>
                <w:sz w:val="20"/>
                <w:szCs w:val="20"/>
              </w:rPr>
              <w:t> </w:t>
            </w:r>
          </w:p>
        </w:tc>
        <w:tc>
          <w:tcPr>
            <w:tcW w:w="227"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r>
      <w:tr w:rsidR="00D96D32" w:rsidRPr="00D96D32" w:rsidTr="00670B12">
        <w:tc>
          <w:tcPr>
            <w:tcW w:w="4574" w:type="dxa"/>
            <w:vAlign w:val="bottom"/>
          </w:tcPr>
          <w:p w:rsidR="00D96D32" w:rsidRPr="00D96D32" w:rsidRDefault="00D96D32" w:rsidP="00670B12">
            <w:pPr>
              <w:pStyle w:val="CellBody"/>
              <w:tabs>
                <w:tab w:val="left" w:leader="dot" w:pos="5007"/>
              </w:tabs>
              <w:spacing w:beforeLines="40" w:before="96" w:after="0" w:line="240" w:lineRule="auto"/>
              <w:rPr>
                <w:rFonts w:asciiTheme="majorHAnsi" w:hAnsiTheme="majorHAnsi" w:cstheme="majorHAnsi"/>
                <w:b/>
                <w:sz w:val="20"/>
              </w:rPr>
            </w:pPr>
            <w:r w:rsidRPr="00D96D32">
              <w:rPr>
                <w:rFonts w:asciiTheme="majorHAnsi" w:hAnsiTheme="majorHAnsi" w:cstheme="majorHAnsi"/>
                <w:b/>
                <w:sz w:val="20"/>
              </w:rPr>
              <w:t>Total assets</w:t>
            </w:r>
            <w:r w:rsidRPr="00D96D32">
              <w:rPr>
                <w:rFonts w:asciiTheme="majorHAnsi" w:hAnsiTheme="majorHAnsi" w:cstheme="majorHAnsi"/>
                <w:sz w:val="20"/>
              </w:rPr>
              <w:tab/>
            </w:r>
          </w:p>
        </w:tc>
        <w:tc>
          <w:tcPr>
            <w:tcW w:w="284"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c>
          <w:tcPr>
            <w:tcW w:w="1132" w:type="dxa"/>
            <w:tcBorders>
              <w:top w:val="single" w:sz="4" w:space="0" w:color="auto"/>
              <w:bottom w:val="single" w:sz="4" w:space="0" w:color="auto"/>
            </w:tcBorders>
            <w:vAlign w:val="bottom"/>
          </w:tcPr>
          <w:p w:rsidR="00D96D32" w:rsidRPr="00D96D32" w:rsidRDefault="00D96D32" w:rsidP="00670B12">
            <w:pPr>
              <w:pStyle w:val="StyleArial75pt"/>
              <w:jc w:val="right"/>
              <w:rPr>
                <w:rFonts w:asciiTheme="majorHAnsi" w:hAnsiTheme="majorHAnsi" w:cstheme="majorHAnsi"/>
                <w:sz w:val="20"/>
                <w:szCs w:val="20"/>
              </w:rPr>
            </w:pPr>
            <w:r w:rsidRPr="00D96D32">
              <w:rPr>
                <w:rFonts w:asciiTheme="majorHAnsi" w:hAnsiTheme="majorHAnsi" w:cstheme="majorHAnsi"/>
                <w:sz w:val="20"/>
                <w:szCs w:val="20"/>
              </w:rPr>
              <w:t>146,672 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b/>
                <w:bCs/>
                <w:sz w:val="20"/>
              </w:rPr>
            </w:pPr>
          </w:p>
        </w:tc>
        <w:tc>
          <w:tcPr>
            <w:tcW w:w="1132" w:type="dxa"/>
            <w:tcBorders>
              <w:top w:val="single" w:sz="4" w:space="0" w:color="auto"/>
              <w:bottom w:val="single" w:sz="4" w:space="0" w:color="auto"/>
            </w:tcBorders>
            <w:vAlign w:val="bottom"/>
          </w:tcPr>
          <w:p w:rsidR="00D96D32" w:rsidRPr="00D96D32" w:rsidRDefault="00094791" w:rsidP="00724CF6">
            <w:pPr>
              <w:pStyle w:val="StyleArial75pt"/>
              <w:jc w:val="right"/>
              <w:rPr>
                <w:rFonts w:asciiTheme="majorHAnsi" w:hAnsiTheme="majorHAnsi" w:cstheme="majorHAnsi"/>
                <w:sz w:val="20"/>
                <w:szCs w:val="20"/>
              </w:rPr>
            </w:pPr>
            <w:r>
              <w:rPr>
                <w:rFonts w:asciiTheme="majorHAnsi" w:hAnsiTheme="majorHAnsi" w:cstheme="majorHAnsi"/>
                <w:sz w:val="20"/>
                <w:szCs w:val="20"/>
              </w:rPr>
              <w:t>107,218</w:t>
            </w:r>
            <w:r w:rsidR="00D96D32" w:rsidRPr="00D96D32">
              <w:rPr>
                <w:rFonts w:asciiTheme="majorHAnsi" w:hAnsiTheme="majorHAnsi" w:cstheme="majorHAnsi"/>
                <w:sz w:val="20"/>
                <w:szCs w:val="20"/>
              </w:rPr>
              <w:t>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b/>
                <w:bCs/>
                <w:sz w:val="20"/>
              </w:rPr>
            </w:pPr>
          </w:p>
        </w:tc>
        <w:tc>
          <w:tcPr>
            <w:tcW w:w="1132" w:type="dxa"/>
            <w:tcBorders>
              <w:top w:val="single" w:sz="4" w:space="0" w:color="auto"/>
              <w:bottom w:val="single" w:sz="4" w:space="0" w:color="auto"/>
            </w:tcBorders>
            <w:vAlign w:val="bottom"/>
          </w:tcPr>
          <w:p w:rsidR="00D96D32" w:rsidRPr="00D96D32" w:rsidRDefault="00094791" w:rsidP="00094791">
            <w:pPr>
              <w:pStyle w:val="StyleArial75pt"/>
              <w:jc w:val="right"/>
              <w:rPr>
                <w:rFonts w:asciiTheme="majorHAnsi" w:hAnsiTheme="majorHAnsi" w:cstheme="majorHAnsi"/>
                <w:sz w:val="20"/>
                <w:szCs w:val="20"/>
              </w:rPr>
            </w:pPr>
            <w:r>
              <w:rPr>
                <w:rFonts w:asciiTheme="majorHAnsi" w:hAnsiTheme="majorHAnsi" w:cstheme="majorHAnsi"/>
                <w:sz w:val="20"/>
                <w:szCs w:val="20"/>
              </w:rPr>
              <w:t>39,454</w:t>
            </w:r>
            <w:r w:rsidR="00D96D32" w:rsidRPr="00D96D32">
              <w:rPr>
                <w:rFonts w:asciiTheme="majorHAnsi" w:hAnsiTheme="majorHAnsi" w:cstheme="majorHAnsi"/>
                <w:sz w:val="20"/>
                <w:szCs w:val="20"/>
              </w:rPr>
              <w:t> </w:t>
            </w:r>
          </w:p>
        </w:tc>
        <w:tc>
          <w:tcPr>
            <w:tcW w:w="227"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r>
      <w:tr w:rsidR="00D96D32" w:rsidRPr="00D96D32" w:rsidTr="00670B12">
        <w:tc>
          <w:tcPr>
            <w:tcW w:w="4574" w:type="dxa"/>
            <w:vAlign w:val="bottom"/>
          </w:tcPr>
          <w:p w:rsidR="00D96D32" w:rsidRPr="00D96D32" w:rsidRDefault="00D96D32" w:rsidP="00670B12">
            <w:pPr>
              <w:pStyle w:val="CellBody"/>
              <w:tabs>
                <w:tab w:val="left" w:leader="dot" w:pos="5007"/>
              </w:tabs>
              <w:spacing w:beforeLines="40" w:before="96" w:after="0" w:line="240" w:lineRule="auto"/>
              <w:rPr>
                <w:rFonts w:asciiTheme="majorHAnsi" w:hAnsiTheme="majorHAnsi" w:cstheme="majorHAnsi"/>
                <w:b/>
                <w:sz w:val="20"/>
              </w:rPr>
            </w:pPr>
            <w:r w:rsidRPr="00D96D32">
              <w:rPr>
                <w:rFonts w:asciiTheme="majorHAnsi" w:hAnsiTheme="majorHAnsi" w:cstheme="majorHAnsi"/>
                <w:b/>
                <w:sz w:val="20"/>
              </w:rPr>
              <w:t>Liabilities</w:t>
            </w:r>
          </w:p>
        </w:tc>
        <w:tc>
          <w:tcPr>
            <w:tcW w:w="284"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c>
          <w:tcPr>
            <w:tcW w:w="1132" w:type="dxa"/>
            <w:tcBorders>
              <w:top w:val="single" w:sz="4" w:space="0" w:color="auto"/>
            </w:tcBorders>
            <w:vAlign w:val="bottom"/>
          </w:tcPr>
          <w:p w:rsidR="00D96D32" w:rsidRPr="00D96D32" w:rsidRDefault="00D96D32" w:rsidP="00670B12">
            <w:pPr>
              <w:pStyle w:val="CellBody"/>
              <w:spacing w:beforeLines="40" w:before="96" w:after="0" w:line="240" w:lineRule="auto"/>
              <w:jc w:val="right"/>
              <w:rPr>
                <w:rFonts w:asciiTheme="majorHAnsi" w:hAnsiTheme="majorHAnsi" w:cstheme="majorHAnsi"/>
                <w:sz w:val="20"/>
              </w:rPr>
            </w:pP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tcBorders>
              <w:top w:val="single" w:sz="4" w:space="0" w:color="auto"/>
            </w:tcBorders>
            <w:vAlign w:val="bottom"/>
          </w:tcPr>
          <w:p w:rsidR="00D96D32" w:rsidRPr="00D96D32" w:rsidRDefault="00D96D32" w:rsidP="00724CF6">
            <w:pPr>
              <w:pStyle w:val="CellBody"/>
              <w:spacing w:beforeLines="40" w:before="96" w:after="0" w:line="240" w:lineRule="auto"/>
              <w:jc w:val="right"/>
              <w:rPr>
                <w:rFonts w:asciiTheme="majorHAnsi" w:hAnsiTheme="majorHAnsi" w:cstheme="majorHAnsi"/>
                <w:sz w:val="20"/>
              </w:rPr>
            </w:pP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tcBorders>
              <w:top w:val="single" w:sz="4" w:space="0" w:color="auto"/>
            </w:tcBorders>
            <w:vAlign w:val="bottom"/>
          </w:tcPr>
          <w:p w:rsidR="00D96D32" w:rsidRPr="00D96D32" w:rsidRDefault="00D96D32" w:rsidP="00670B12">
            <w:pPr>
              <w:pStyle w:val="CellBody"/>
              <w:spacing w:beforeLines="40" w:before="96" w:after="0" w:line="240" w:lineRule="auto"/>
              <w:jc w:val="right"/>
              <w:rPr>
                <w:rFonts w:asciiTheme="majorHAnsi" w:hAnsiTheme="majorHAnsi" w:cstheme="majorHAnsi"/>
                <w:sz w:val="20"/>
              </w:rPr>
            </w:pPr>
          </w:p>
        </w:tc>
        <w:tc>
          <w:tcPr>
            <w:tcW w:w="227"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r>
      <w:tr w:rsidR="00D96D32" w:rsidRPr="00D96D32" w:rsidTr="00670B12">
        <w:tc>
          <w:tcPr>
            <w:tcW w:w="4574" w:type="dxa"/>
            <w:vAlign w:val="bottom"/>
          </w:tcPr>
          <w:p w:rsidR="00D96D32" w:rsidRPr="00D96D32" w:rsidRDefault="00D96D32" w:rsidP="00670B12">
            <w:pPr>
              <w:pStyle w:val="CellBody"/>
              <w:tabs>
                <w:tab w:val="left" w:leader="dot" w:pos="5007"/>
              </w:tabs>
              <w:spacing w:beforeLines="40" w:before="96" w:after="0" w:line="240" w:lineRule="auto"/>
              <w:rPr>
                <w:rFonts w:asciiTheme="majorHAnsi" w:hAnsiTheme="majorHAnsi" w:cstheme="majorHAnsi"/>
                <w:sz w:val="20"/>
              </w:rPr>
            </w:pPr>
            <w:r w:rsidRPr="00D96D32">
              <w:rPr>
                <w:rFonts w:asciiTheme="majorHAnsi" w:hAnsiTheme="majorHAnsi" w:cstheme="majorHAnsi"/>
                <w:sz w:val="20"/>
              </w:rPr>
              <w:t>Deposits by banks</w:t>
            </w:r>
            <w:r w:rsidRPr="00D96D32">
              <w:rPr>
                <w:rFonts w:asciiTheme="majorHAnsi" w:hAnsiTheme="majorHAnsi" w:cstheme="majorHAnsi"/>
                <w:sz w:val="20"/>
              </w:rPr>
              <w:tab/>
            </w:r>
          </w:p>
        </w:tc>
        <w:tc>
          <w:tcPr>
            <w:tcW w:w="284"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c>
          <w:tcPr>
            <w:tcW w:w="1132" w:type="dxa"/>
            <w:vAlign w:val="bottom"/>
          </w:tcPr>
          <w:p w:rsidR="00D96D32" w:rsidRPr="00D96D32" w:rsidRDefault="00D96D32" w:rsidP="00670B12">
            <w:pPr>
              <w:pStyle w:val="StyleArial75pt"/>
              <w:jc w:val="right"/>
              <w:rPr>
                <w:rFonts w:asciiTheme="majorHAnsi" w:hAnsiTheme="majorHAnsi" w:cstheme="majorHAnsi"/>
                <w:sz w:val="20"/>
                <w:szCs w:val="20"/>
              </w:rPr>
            </w:pPr>
            <w:r w:rsidRPr="00D96D32">
              <w:rPr>
                <w:rFonts w:asciiTheme="majorHAnsi" w:hAnsiTheme="majorHAnsi" w:cstheme="majorHAnsi"/>
                <w:sz w:val="20"/>
                <w:szCs w:val="20"/>
              </w:rPr>
              <w:t>46,</w:t>
            </w:r>
            <w:r w:rsidR="00367708">
              <w:rPr>
                <w:rFonts w:asciiTheme="majorHAnsi" w:hAnsiTheme="majorHAnsi" w:cstheme="majorHAnsi"/>
                <w:sz w:val="20"/>
                <w:szCs w:val="20"/>
              </w:rPr>
              <w:t>520</w:t>
            </w:r>
            <w:r w:rsidRPr="00D96D32">
              <w:rPr>
                <w:rFonts w:asciiTheme="majorHAnsi" w:hAnsiTheme="majorHAnsi" w:cstheme="majorHAnsi"/>
                <w:sz w:val="20"/>
                <w:szCs w:val="20"/>
              </w:rPr>
              <w:t>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vAlign w:val="bottom"/>
          </w:tcPr>
          <w:p w:rsidR="00D96D32" w:rsidRPr="00D96D32" w:rsidRDefault="00094791" w:rsidP="00724CF6">
            <w:pPr>
              <w:pStyle w:val="StyleArial75pt"/>
              <w:jc w:val="right"/>
              <w:rPr>
                <w:rFonts w:asciiTheme="majorHAnsi" w:hAnsiTheme="majorHAnsi" w:cstheme="majorHAnsi"/>
                <w:sz w:val="20"/>
                <w:szCs w:val="20"/>
              </w:rPr>
            </w:pPr>
            <w:r>
              <w:rPr>
                <w:rFonts w:asciiTheme="majorHAnsi" w:hAnsiTheme="majorHAnsi" w:cstheme="majorHAnsi"/>
                <w:sz w:val="20"/>
                <w:szCs w:val="20"/>
              </w:rPr>
              <w:t>24,810</w:t>
            </w:r>
            <w:r w:rsidR="00D96D32" w:rsidRPr="00D96D32">
              <w:rPr>
                <w:rFonts w:asciiTheme="majorHAnsi" w:hAnsiTheme="majorHAnsi" w:cstheme="majorHAnsi"/>
                <w:sz w:val="20"/>
                <w:szCs w:val="20"/>
              </w:rPr>
              <w:t>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vAlign w:val="bottom"/>
          </w:tcPr>
          <w:p w:rsidR="00D96D32" w:rsidRPr="00D96D32" w:rsidRDefault="00094791" w:rsidP="00094791">
            <w:pPr>
              <w:pStyle w:val="StyleArial75pt"/>
              <w:jc w:val="right"/>
              <w:rPr>
                <w:rFonts w:asciiTheme="majorHAnsi" w:hAnsiTheme="majorHAnsi" w:cstheme="majorHAnsi"/>
                <w:sz w:val="20"/>
                <w:szCs w:val="20"/>
              </w:rPr>
            </w:pPr>
            <w:r>
              <w:rPr>
                <w:rFonts w:asciiTheme="majorHAnsi" w:hAnsiTheme="majorHAnsi" w:cstheme="majorHAnsi"/>
                <w:sz w:val="20"/>
                <w:szCs w:val="20"/>
              </w:rPr>
              <w:t>21,710</w:t>
            </w:r>
            <w:r w:rsidR="00D96D32" w:rsidRPr="00D96D32">
              <w:rPr>
                <w:rFonts w:asciiTheme="majorHAnsi" w:hAnsiTheme="majorHAnsi" w:cstheme="majorHAnsi"/>
                <w:sz w:val="20"/>
                <w:szCs w:val="20"/>
              </w:rPr>
              <w:t> </w:t>
            </w:r>
          </w:p>
        </w:tc>
        <w:tc>
          <w:tcPr>
            <w:tcW w:w="227"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r>
      <w:tr w:rsidR="00D96D32" w:rsidRPr="00D96D32" w:rsidTr="00670B12">
        <w:tc>
          <w:tcPr>
            <w:tcW w:w="4574" w:type="dxa"/>
            <w:vAlign w:val="bottom"/>
          </w:tcPr>
          <w:p w:rsidR="00D96D32" w:rsidRPr="00D96D32" w:rsidRDefault="00D96D32" w:rsidP="00670B12">
            <w:pPr>
              <w:pStyle w:val="CellBody"/>
              <w:tabs>
                <w:tab w:val="left" w:leader="dot" w:pos="5007"/>
              </w:tabs>
              <w:spacing w:beforeLines="40" w:before="96" w:after="0" w:line="240" w:lineRule="auto"/>
              <w:rPr>
                <w:rFonts w:asciiTheme="majorHAnsi" w:hAnsiTheme="majorHAnsi" w:cstheme="majorHAnsi"/>
                <w:sz w:val="20"/>
              </w:rPr>
            </w:pPr>
            <w:r w:rsidRPr="00D96D32">
              <w:rPr>
                <w:rFonts w:asciiTheme="majorHAnsi" w:hAnsiTheme="majorHAnsi" w:cstheme="majorHAnsi"/>
                <w:sz w:val="20"/>
              </w:rPr>
              <w:t>Customer accounts</w:t>
            </w:r>
            <w:r w:rsidRPr="00D96D32">
              <w:rPr>
                <w:rFonts w:asciiTheme="majorHAnsi" w:hAnsiTheme="majorHAnsi" w:cstheme="majorHAnsi"/>
                <w:sz w:val="20"/>
              </w:rPr>
              <w:tab/>
            </w:r>
          </w:p>
        </w:tc>
        <w:tc>
          <w:tcPr>
            <w:tcW w:w="284"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c>
          <w:tcPr>
            <w:tcW w:w="1132" w:type="dxa"/>
            <w:vAlign w:val="bottom"/>
          </w:tcPr>
          <w:p w:rsidR="00D96D32" w:rsidRPr="00D96D32" w:rsidRDefault="00D96D32" w:rsidP="00670B12">
            <w:pPr>
              <w:pStyle w:val="StyleArial75pt"/>
              <w:jc w:val="right"/>
              <w:rPr>
                <w:rFonts w:asciiTheme="majorHAnsi" w:hAnsiTheme="majorHAnsi" w:cstheme="majorHAnsi"/>
                <w:sz w:val="20"/>
                <w:szCs w:val="20"/>
              </w:rPr>
            </w:pPr>
            <w:r w:rsidRPr="00D96D32">
              <w:rPr>
                <w:rFonts w:asciiTheme="majorHAnsi" w:hAnsiTheme="majorHAnsi" w:cstheme="majorHAnsi"/>
                <w:sz w:val="20"/>
                <w:szCs w:val="20"/>
              </w:rPr>
              <w:t>39,601 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vAlign w:val="bottom"/>
          </w:tcPr>
          <w:p w:rsidR="00D96D32" w:rsidRPr="00D96D32" w:rsidRDefault="00D96D32" w:rsidP="00724CF6">
            <w:pPr>
              <w:pStyle w:val="StyleArial75pt"/>
              <w:jc w:val="right"/>
              <w:rPr>
                <w:rFonts w:asciiTheme="majorHAnsi" w:hAnsiTheme="majorHAnsi" w:cstheme="majorHAnsi"/>
                <w:sz w:val="20"/>
                <w:szCs w:val="20"/>
              </w:rPr>
            </w:pPr>
            <w:r w:rsidRPr="00D96D32">
              <w:rPr>
                <w:rFonts w:asciiTheme="majorHAnsi" w:hAnsiTheme="majorHAnsi" w:cstheme="majorHAnsi"/>
                <w:sz w:val="20"/>
                <w:szCs w:val="20"/>
              </w:rPr>
              <w:t>38,</w:t>
            </w:r>
            <w:r w:rsidR="00367708">
              <w:rPr>
                <w:rFonts w:asciiTheme="majorHAnsi" w:hAnsiTheme="majorHAnsi" w:cstheme="majorHAnsi"/>
                <w:sz w:val="20"/>
                <w:szCs w:val="20"/>
              </w:rPr>
              <w:t>655</w:t>
            </w:r>
            <w:r w:rsidRPr="00D96D32">
              <w:rPr>
                <w:rFonts w:asciiTheme="majorHAnsi" w:hAnsiTheme="majorHAnsi" w:cstheme="majorHAnsi"/>
                <w:sz w:val="20"/>
                <w:szCs w:val="20"/>
              </w:rPr>
              <w:t>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vAlign w:val="bottom"/>
          </w:tcPr>
          <w:p w:rsidR="00D96D32" w:rsidRPr="00D96D32" w:rsidRDefault="00367708" w:rsidP="005675EA">
            <w:pPr>
              <w:pStyle w:val="StyleArial75pt"/>
              <w:tabs>
                <w:tab w:val="left" w:pos="674"/>
              </w:tabs>
              <w:ind w:right="100"/>
              <w:jc w:val="right"/>
              <w:rPr>
                <w:rFonts w:asciiTheme="majorHAnsi" w:hAnsiTheme="majorHAnsi" w:cstheme="majorHAnsi"/>
                <w:sz w:val="20"/>
                <w:szCs w:val="20"/>
              </w:rPr>
            </w:pPr>
            <w:r>
              <w:rPr>
                <w:rFonts w:asciiTheme="majorHAnsi" w:hAnsiTheme="majorHAnsi" w:cstheme="majorHAnsi"/>
                <w:sz w:val="20"/>
                <w:szCs w:val="20"/>
              </w:rPr>
              <w:t>946</w:t>
            </w:r>
          </w:p>
        </w:tc>
        <w:tc>
          <w:tcPr>
            <w:tcW w:w="227" w:type="dxa"/>
            <w:vAlign w:val="bottom"/>
          </w:tcPr>
          <w:p w:rsidR="00D96D32" w:rsidRPr="00D96D32" w:rsidRDefault="00094791" w:rsidP="00670B12">
            <w:pPr>
              <w:pStyle w:val="CellRowSpacer"/>
              <w:spacing w:beforeLines="40" w:before="96" w:after="0" w:line="240" w:lineRule="auto"/>
              <w:rPr>
                <w:rFonts w:asciiTheme="majorHAnsi" w:hAnsiTheme="majorHAnsi" w:cstheme="majorHAnsi"/>
                <w:sz w:val="20"/>
              </w:rPr>
            </w:pPr>
            <w:r>
              <w:rPr>
                <w:rFonts w:asciiTheme="majorHAnsi" w:hAnsiTheme="majorHAnsi" w:cstheme="majorHAnsi"/>
                <w:sz w:val="20"/>
              </w:rPr>
              <w:t xml:space="preserve"> </w:t>
            </w:r>
          </w:p>
        </w:tc>
      </w:tr>
      <w:tr w:rsidR="00D96D32" w:rsidRPr="00D96D32" w:rsidTr="00670B12">
        <w:tc>
          <w:tcPr>
            <w:tcW w:w="4574" w:type="dxa"/>
            <w:vAlign w:val="bottom"/>
          </w:tcPr>
          <w:p w:rsidR="00D96D32" w:rsidRPr="00D96D32" w:rsidRDefault="00D96D32" w:rsidP="00670B12">
            <w:pPr>
              <w:pStyle w:val="CellBody"/>
              <w:tabs>
                <w:tab w:val="left" w:leader="dot" w:pos="5007"/>
              </w:tabs>
              <w:spacing w:beforeLines="40" w:before="96" w:after="0" w:line="240" w:lineRule="auto"/>
              <w:rPr>
                <w:rFonts w:asciiTheme="majorHAnsi" w:hAnsiTheme="majorHAnsi" w:cstheme="majorHAnsi"/>
                <w:sz w:val="20"/>
              </w:rPr>
            </w:pPr>
            <w:r w:rsidRPr="00D96D32">
              <w:rPr>
                <w:rFonts w:asciiTheme="majorHAnsi" w:hAnsiTheme="majorHAnsi" w:cstheme="majorHAnsi"/>
                <w:sz w:val="20"/>
              </w:rPr>
              <w:t>Debt securities in issue</w:t>
            </w:r>
            <w:r w:rsidRPr="00D96D32">
              <w:rPr>
                <w:rFonts w:asciiTheme="majorHAnsi" w:hAnsiTheme="majorHAnsi" w:cstheme="majorHAnsi"/>
                <w:sz w:val="20"/>
              </w:rPr>
              <w:tab/>
            </w:r>
          </w:p>
        </w:tc>
        <w:tc>
          <w:tcPr>
            <w:tcW w:w="284"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c>
          <w:tcPr>
            <w:tcW w:w="1132" w:type="dxa"/>
            <w:vAlign w:val="bottom"/>
          </w:tcPr>
          <w:p w:rsidR="00D96D32" w:rsidRPr="00D96D32" w:rsidRDefault="00D96D32" w:rsidP="00670B12">
            <w:pPr>
              <w:pStyle w:val="StyleArial75pt"/>
              <w:jc w:val="right"/>
              <w:rPr>
                <w:rFonts w:asciiTheme="majorHAnsi" w:hAnsiTheme="majorHAnsi" w:cstheme="majorHAnsi"/>
                <w:sz w:val="20"/>
                <w:szCs w:val="20"/>
              </w:rPr>
            </w:pPr>
            <w:r w:rsidRPr="00D96D32">
              <w:rPr>
                <w:rFonts w:asciiTheme="majorHAnsi" w:hAnsiTheme="majorHAnsi" w:cstheme="majorHAnsi"/>
                <w:sz w:val="20"/>
                <w:szCs w:val="20"/>
              </w:rPr>
              <w:t>17,714 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vAlign w:val="bottom"/>
          </w:tcPr>
          <w:p w:rsidR="00D96D32" w:rsidRPr="00D96D32" w:rsidRDefault="005675EA" w:rsidP="005675EA">
            <w:pPr>
              <w:pStyle w:val="StyleArial75pt"/>
              <w:ind w:right="100"/>
              <w:jc w:val="right"/>
              <w:rPr>
                <w:rFonts w:asciiTheme="majorHAnsi" w:hAnsiTheme="majorHAnsi" w:cstheme="majorHAnsi"/>
                <w:sz w:val="20"/>
                <w:szCs w:val="20"/>
              </w:rPr>
            </w:pPr>
            <w:r>
              <w:rPr>
                <w:rFonts w:asciiTheme="majorHAnsi" w:hAnsiTheme="majorHAnsi" w:cstheme="majorHAnsi"/>
                <w:sz w:val="20"/>
                <w:szCs w:val="20"/>
              </w:rPr>
              <w:t>13,318</w:t>
            </w:r>
          </w:p>
        </w:tc>
        <w:tc>
          <w:tcPr>
            <w:tcW w:w="284" w:type="dxa"/>
            <w:vAlign w:val="bottom"/>
          </w:tcPr>
          <w:p w:rsidR="00D96D32" w:rsidRPr="00D96D32" w:rsidRDefault="00094791" w:rsidP="00670B12">
            <w:pPr>
              <w:pStyle w:val="CellRowSpacer"/>
              <w:spacing w:beforeLines="40" w:before="96" w:after="0" w:line="240" w:lineRule="auto"/>
              <w:jc w:val="right"/>
              <w:rPr>
                <w:rFonts w:asciiTheme="majorHAnsi" w:hAnsiTheme="majorHAnsi" w:cstheme="majorHAnsi"/>
                <w:sz w:val="20"/>
              </w:rPr>
            </w:pPr>
            <w:r>
              <w:rPr>
                <w:rFonts w:asciiTheme="majorHAnsi" w:hAnsiTheme="majorHAnsi" w:cstheme="majorHAnsi"/>
                <w:sz w:val="20"/>
              </w:rPr>
              <w:t xml:space="preserve"> </w:t>
            </w:r>
          </w:p>
        </w:tc>
        <w:tc>
          <w:tcPr>
            <w:tcW w:w="1132" w:type="dxa"/>
            <w:vAlign w:val="bottom"/>
          </w:tcPr>
          <w:p w:rsidR="00D96D32" w:rsidRPr="00D96D32" w:rsidRDefault="00367708" w:rsidP="005675EA">
            <w:pPr>
              <w:pStyle w:val="StyleArial75pt"/>
              <w:ind w:right="100"/>
              <w:jc w:val="right"/>
              <w:rPr>
                <w:rFonts w:asciiTheme="majorHAnsi" w:hAnsiTheme="majorHAnsi" w:cstheme="majorHAnsi"/>
                <w:sz w:val="20"/>
                <w:szCs w:val="20"/>
              </w:rPr>
            </w:pPr>
            <w:r>
              <w:rPr>
                <w:rFonts w:asciiTheme="majorHAnsi" w:hAnsiTheme="majorHAnsi" w:cstheme="majorHAnsi"/>
                <w:sz w:val="20"/>
                <w:szCs w:val="20"/>
              </w:rPr>
              <w:t>4,396</w:t>
            </w:r>
          </w:p>
        </w:tc>
        <w:tc>
          <w:tcPr>
            <w:tcW w:w="227" w:type="dxa"/>
            <w:vAlign w:val="bottom"/>
          </w:tcPr>
          <w:p w:rsidR="00D96D32" w:rsidRPr="00D96D32" w:rsidRDefault="00094791" w:rsidP="00670B12">
            <w:pPr>
              <w:pStyle w:val="CellRowSpacer"/>
              <w:spacing w:beforeLines="40" w:before="96" w:after="0" w:line="240" w:lineRule="auto"/>
              <w:rPr>
                <w:rFonts w:asciiTheme="majorHAnsi" w:hAnsiTheme="majorHAnsi" w:cstheme="majorHAnsi"/>
                <w:sz w:val="20"/>
              </w:rPr>
            </w:pPr>
            <w:r>
              <w:rPr>
                <w:rFonts w:asciiTheme="majorHAnsi" w:hAnsiTheme="majorHAnsi" w:cstheme="majorHAnsi"/>
                <w:sz w:val="20"/>
              </w:rPr>
              <w:t xml:space="preserve"> </w:t>
            </w:r>
          </w:p>
        </w:tc>
      </w:tr>
      <w:tr w:rsidR="00D96D32" w:rsidRPr="00D96D32" w:rsidTr="00670B12">
        <w:tc>
          <w:tcPr>
            <w:tcW w:w="4574" w:type="dxa"/>
            <w:vAlign w:val="bottom"/>
          </w:tcPr>
          <w:p w:rsidR="00D96D32" w:rsidRPr="00D96D32" w:rsidRDefault="00D96D32" w:rsidP="00670B12">
            <w:pPr>
              <w:pStyle w:val="CellBody"/>
              <w:tabs>
                <w:tab w:val="left" w:leader="dot" w:pos="5007"/>
              </w:tabs>
              <w:spacing w:beforeLines="40" w:before="96" w:after="0" w:line="240" w:lineRule="auto"/>
              <w:rPr>
                <w:rFonts w:asciiTheme="majorHAnsi" w:hAnsiTheme="majorHAnsi" w:cstheme="majorHAnsi"/>
                <w:sz w:val="20"/>
              </w:rPr>
            </w:pPr>
            <w:r w:rsidRPr="00D96D32">
              <w:rPr>
                <w:rFonts w:asciiTheme="majorHAnsi" w:hAnsiTheme="majorHAnsi" w:cstheme="majorHAnsi"/>
                <w:sz w:val="20"/>
              </w:rPr>
              <w:t>Settlement balances and short positions</w:t>
            </w:r>
            <w:r w:rsidRPr="00D96D32">
              <w:rPr>
                <w:rFonts w:asciiTheme="majorHAnsi" w:hAnsiTheme="majorHAnsi" w:cstheme="majorHAnsi"/>
                <w:sz w:val="20"/>
              </w:rPr>
              <w:tab/>
            </w:r>
          </w:p>
        </w:tc>
        <w:tc>
          <w:tcPr>
            <w:tcW w:w="284"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c>
          <w:tcPr>
            <w:tcW w:w="1132" w:type="dxa"/>
            <w:vAlign w:val="bottom"/>
          </w:tcPr>
          <w:p w:rsidR="00D96D32" w:rsidRPr="00D96D32" w:rsidRDefault="00D96D32" w:rsidP="00670B12">
            <w:pPr>
              <w:pStyle w:val="StyleArial75pt"/>
              <w:jc w:val="right"/>
              <w:rPr>
                <w:rFonts w:asciiTheme="majorHAnsi" w:hAnsiTheme="majorHAnsi" w:cstheme="majorHAnsi"/>
                <w:sz w:val="20"/>
                <w:szCs w:val="20"/>
              </w:rPr>
            </w:pPr>
            <w:r w:rsidRPr="00D96D32">
              <w:rPr>
                <w:rFonts w:asciiTheme="majorHAnsi" w:hAnsiTheme="majorHAnsi" w:cstheme="majorHAnsi"/>
                <w:sz w:val="20"/>
                <w:szCs w:val="20"/>
              </w:rPr>
              <w:t>3,409 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vAlign w:val="bottom"/>
          </w:tcPr>
          <w:p w:rsidR="00D96D32" w:rsidRPr="00D96D32" w:rsidRDefault="00D96D32" w:rsidP="00724CF6">
            <w:pPr>
              <w:pStyle w:val="StyleArial75pt"/>
              <w:jc w:val="right"/>
              <w:rPr>
                <w:rFonts w:asciiTheme="majorHAnsi" w:hAnsiTheme="majorHAnsi" w:cstheme="majorHAnsi"/>
                <w:sz w:val="20"/>
                <w:szCs w:val="20"/>
              </w:rPr>
            </w:pPr>
            <w:r w:rsidRPr="00D96D32">
              <w:rPr>
                <w:rFonts w:asciiTheme="majorHAnsi" w:hAnsiTheme="majorHAnsi" w:cstheme="majorHAnsi"/>
                <w:sz w:val="20"/>
                <w:szCs w:val="20"/>
              </w:rPr>
              <w:t>2,</w:t>
            </w:r>
            <w:r w:rsidR="00367708">
              <w:rPr>
                <w:rFonts w:asciiTheme="majorHAnsi" w:hAnsiTheme="majorHAnsi" w:cstheme="majorHAnsi"/>
                <w:sz w:val="20"/>
                <w:szCs w:val="20"/>
              </w:rPr>
              <w:t>367</w:t>
            </w:r>
            <w:r w:rsidRPr="00D96D32">
              <w:rPr>
                <w:rFonts w:asciiTheme="majorHAnsi" w:hAnsiTheme="majorHAnsi" w:cstheme="majorHAnsi"/>
                <w:sz w:val="20"/>
                <w:szCs w:val="20"/>
              </w:rPr>
              <w:t>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vAlign w:val="bottom"/>
          </w:tcPr>
          <w:p w:rsidR="00D96D32" w:rsidRPr="00D96D32" w:rsidRDefault="00D96D32" w:rsidP="00670B12">
            <w:pPr>
              <w:pStyle w:val="StyleArial75pt"/>
              <w:jc w:val="right"/>
              <w:rPr>
                <w:rFonts w:asciiTheme="majorHAnsi" w:hAnsiTheme="majorHAnsi" w:cstheme="majorHAnsi"/>
                <w:sz w:val="20"/>
                <w:szCs w:val="20"/>
              </w:rPr>
            </w:pPr>
            <w:r w:rsidRPr="00D96D32">
              <w:rPr>
                <w:rFonts w:asciiTheme="majorHAnsi" w:hAnsiTheme="majorHAnsi" w:cstheme="majorHAnsi"/>
                <w:sz w:val="20"/>
                <w:szCs w:val="20"/>
              </w:rPr>
              <w:t>1,04</w:t>
            </w:r>
            <w:r w:rsidR="00367708">
              <w:rPr>
                <w:rFonts w:asciiTheme="majorHAnsi" w:hAnsiTheme="majorHAnsi" w:cstheme="majorHAnsi"/>
                <w:sz w:val="20"/>
                <w:szCs w:val="20"/>
              </w:rPr>
              <w:t>2</w:t>
            </w:r>
            <w:r w:rsidRPr="00D96D32">
              <w:rPr>
                <w:rFonts w:asciiTheme="majorHAnsi" w:hAnsiTheme="majorHAnsi" w:cstheme="majorHAnsi"/>
                <w:sz w:val="20"/>
                <w:szCs w:val="20"/>
              </w:rPr>
              <w:t> </w:t>
            </w:r>
          </w:p>
        </w:tc>
        <w:tc>
          <w:tcPr>
            <w:tcW w:w="227"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r>
      <w:tr w:rsidR="00D96D32" w:rsidRPr="00D96D32" w:rsidTr="00670B12">
        <w:tc>
          <w:tcPr>
            <w:tcW w:w="4574" w:type="dxa"/>
            <w:vAlign w:val="bottom"/>
          </w:tcPr>
          <w:p w:rsidR="00D96D32" w:rsidRPr="00D96D32" w:rsidRDefault="00D96D32" w:rsidP="00670B12">
            <w:pPr>
              <w:pStyle w:val="CellBody"/>
              <w:tabs>
                <w:tab w:val="left" w:leader="dot" w:pos="5007"/>
              </w:tabs>
              <w:spacing w:beforeLines="40" w:before="96" w:after="0" w:line="240" w:lineRule="auto"/>
              <w:rPr>
                <w:rFonts w:asciiTheme="majorHAnsi" w:hAnsiTheme="majorHAnsi" w:cstheme="majorHAnsi"/>
                <w:sz w:val="20"/>
              </w:rPr>
            </w:pPr>
            <w:r w:rsidRPr="00D96D32">
              <w:rPr>
                <w:rFonts w:asciiTheme="majorHAnsi" w:hAnsiTheme="majorHAnsi" w:cstheme="majorHAnsi"/>
                <w:sz w:val="20"/>
              </w:rPr>
              <w:t>Derivatives</w:t>
            </w:r>
            <w:r w:rsidRPr="00D96D32">
              <w:rPr>
                <w:rFonts w:asciiTheme="majorHAnsi" w:hAnsiTheme="majorHAnsi" w:cstheme="majorHAnsi"/>
                <w:sz w:val="20"/>
              </w:rPr>
              <w:tab/>
            </w:r>
          </w:p>
        </w:tc>
        <w:tc>
          <w:tcPr>
            <w:tcW w:w="284"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c>
          <w:tcPr>
            <w:tcW w:w="1132" w:type="dxa"/>
            <w:vAlign w:val="bottom"/>
          </w:tcPr>
          <w:p w:rsidR="00D96D32" w:rsidRPr="00D96D32" w:rsidRDefault="00D96D32" w:rsidP="00670B12">
            <w:pPr>
              <w:pStyle w:val="StyleArial75pt"/>
              <w:jc w:val="right"/>
              <w:rPr>
                <w:rFonts w:asciiTheme="majorHAnsi" w:hAnsiTheme="majorHAnsi" w:cstheme="majorHAnsi"/>
                <w:sz w:val="20"/>
                <w:szCs w:val="20"/>
              </w:rPr>
            </w:pPr>
            <w:r w:rsidRPr="00D96D32">
              <w:rPr>
                <w:rFonts w:asciiTheme="majorHAnsi" w:hAnsiTheme="majorHAnsi" w:cstheme="majorHAnsi"/>
                <w:sz w:val="20"/>
                <w:szCs w:val="20"/>
              </w:rPr>
              <w:t>19,868 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vAlign w:val="bottom"/>
          </w:tcPr>
          <w:p w:rsidR="00D96D32" w:rsidRPr="00D96D32" w:rsidRDefault="00E72F88" w:rsidP="005675EA">
            <w:pPr>
              <w:pStyle w:val="StyleArial75pt"/>
              <w:ind w:right="100"/>
              <w:jc w:val="right"/>
              <w:rPr>
                <w:rFonts w:asciiTheme="majorHAnsi" w:hAnsiTheme="majorHAnsi" w:cstheme="majorHAnsi"/>
                <w:sz w:val="20"/>
                <w:szCs w:val="20"/>
              </w:rPr>
            </w:pPr>
            <w:r>
              <w:rPr>
                <w:rFonts w:asciiTheme="majorHAnsi" w:hAnsiTheme="majorHAnsi" w:cstheme="majorHAnsi"/>
                <w:sz w:val="20"/>
                <w:szCs w:val="20"/>
              </w:rPr>
              <w:t>15,948</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vAlign w:val="bottom"/>
          </w:tcPr>
          <w:p w:rsidR="00D96D32" w:rsidRPr="00D96D32" w:rsidRDefault="00D96D32" w:rsidP="00670B12">
            <w:pPr>
              <w:pStyle w:val="StyleArial75pt"/>
              <w:jc w:val="right"/>
              <w:rPr>
                <w:rFonts w:asciiTheme="majorHAnsi" w:hAnsiTheme="majorHAnsi" w:cstheme="majorHAnsi"/>
                <w:sz w:val="20"/>
                <w:szCs w:val="20"/>
              </w:rPr>
            </w:pPr>
            <w:r w:rsidRPr="00D96D32">
              <w:rPr>
                <w:rFonts w:asciiTheme="majorHAnsi" w:hAnsiTheme="majorHAnsi" w:cstheme="majorHAnsi"/>
                <w:sz w:val="20"/>
                <w:szCs w:val="20"/>
              </w:rPr>
              <w:t>3,</w:t>
            </w:r>
            <w:r w:rsidR="00367708">
              <w:rPr>
                <w:rFonts w:asciiTheme="majorHAnsi" w:hAnsiTheme="majorHAnsi" w:cstheme="majorHAnsi"/>
                <w:sz w:val="20"/>
                <w:szCs w:val="20"/>
              </w:rPr>
              <w:t>920</w:t>
            </w:r>
            <w:r w:rsidRPr="00D96D32">
              <w:rPr>
                <w:rFonts w:asciiTheme="majorHAnsi" w:hAnsiTheme="majorHAnsi" w:cstheme="majorHAnsi"/>
                <w:sz w:val="20"/>
                <w:szCs w:val="20"/>
              </w:rPr>
              <w:t> </w:t>
            </w:r>
          </w:p>
        </w:tc>
        <w:tc>
          <w:tcPr>
            <w:tcW w:w="227"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r>
      <w:tr w:rsidR="00D96D32" w:rsidRPr="00D96D32" w:rsidTr="00670B12">
        <w:tc>
          <w:tcPr>
            <w:tcW w:w="4574" w:type="dxa"/>
            <w:vAlign w:val="bottom"/>
          </w:tcPr>
          <w:p w:rsidR="00D96D32" w:rsidRPr="00D96D32" w:rsidRDefault="00D96D32" w:rsidP="00670B12">
            <w:pPr>
              <w:pStyle w:val="CellBody"/>
              <w:tabs>
                <w:tab w:val="left" w:leader="dot" w:pos="5007"/>
              </w:tabs>
              <w:spacing w:beforeLines="40" w:before="96" w:after="0" w:line="240" w:lineRule="auto"/>
              <w:rPr>
                <w:rFonts w:asciiTheme="majorHAnsi" w:hAnsiTheme="majorHAnsi" w:cstheme="majorHAnsi"/>
                <w:sz w:val="20"/>
              </w:rPr>
            </w:pPr>
            <w:r w:rsidRPr="00D96D32">
              <w:rPr>
                <w:rFonts w:asciiTheme="majorHAnsi" w:hAnsiTheme="majorHAnsi" w:cstheme="majorHAnsi"/>
                <w:sz w:val="20"/>
              </w:rPr>
              <w:t>Other liabilities</w:t>
            </w:r>
            <w:r w:rsidRPr="00D96D32">
              <w:rPr>
                <w:rFonts w:asciiTheme="majorHAnsi" w:hAnsiTheme="majorHAnsi" w:cstheme="majorHAnsi"/>
                <w:sz w:val="20"/>
              </w:rPr>
              <w:tab/>
            </w:r>
          </w:p>
        </w:tc>
        <w:tc>
          <w:tcPr>
            <w:tcW w:w="284"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c>
          <w:tcPr>
            <w:tcW w:w="1132" w:type="dxa"/>
            <w:tcBorders>
              <w:bottom w:val="single" w:sz="4" w:space="0" w:color="auto"/>
            </w:tcBorders>
            <w:vAlign w:val="bottom"/>
          </w:tcPr>
          <w:p w:rsidR="00D96D32" w:rsidRPr="00D96D32" w:rsidRDefault="00D96D32" w:rsidP="00670B12">
            <w:pPr>
              <w:pStyle w:val="StyleArial75pt"/>
              <w:jc w:val="right"/>
              <w:rPr>
                <w:rFonts w:asciiTheme="majorHAnsi" w:hAnsiTheme="majorHAnsi" w:cstheme="majorHAnsi"/>
                <w:sz w:val="20"/>
                <w:szCs w:val="20"/>
              </w:rPr>
            </w:pPr>
            <w:r w:rsidRPr="00D96D32">
              <w:rPr>
                <w:rFonts w:asciiTheme="majorHAnsi" w:hAnsiTheme="majorHAnsi" w:cstheme="majorHAnsi"/>
                <w:sz w:val="20"/>
                <w:szCs w:val="20"/>
              </w:rPr>
              <w:t>16,</w:t>
            </w:r>
            <w:r w:rsidR="00367708">
              <w:rPr>
                <w:rFonts w:asciiTheme="majorHAnsi" w:hAnsiTheme="majorHAnsi" w:cstheme="majorHAnsi"/>
                <w:sz w:val="20"/>
                <w:szCs w:val="20"/>
              </w:rPr>
              <w:t>221</w:t>
            </w:r>
            <w:r w:rsidRPr="00D96D32">
              <w:rPr>
                <w:rFonts w:asciiTheme="majorHAnsi" w:hAnsiTheme="majorHAnsi" w:cstheme="majorHAnsi"/>
                <w:sz w:val="20"/>
                <w:szCs w:val="20"/>
              </w:rPr>
              <w:t>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tcBorders>
              <w:bottom w:val="single" w:sz="4" w:space="0" w:color="auto"/>
            </w:tcBorders>
            <w:vAlign w:val="bottom"/>
          </w:tcPr>
          <w:p w:rsidR="00D96D32" w:rsidRPr="00D96D32" w:rsidRDefault="00D96D32" w:rsidP="00724CF6">
            <w:pPr>
              <w:pStyle w:val="StyleArial75pt"/>
              <w:jc w:val="right"/>
              <w:rPr>
                <w:rFonts w:asciiTheme="majorHAnsi" w:hAnsiTheme="majorHAnsi" w:cstheme="majorHAnsi"/>
                <w:sz w:val="20"/>
                <w:szCs w:val="20"/>
              </w:rPr>
            </w:pPr>
            <w:r w:rsidRPr="00D96D32">
              <w:rPr>
                <w:rFonts w:asciiTheme="majorHAnsi" w:hAnsiTheme="majorHAnsi" w:cstheme="majorHAnsi"/>
                <w:sz w:val="20"/>
                <w:szCs w:val="20"/>
              </w:rPr>
              <w:t>10,17</w:t>
            </w:r>
            <w:r w:rsidR="00367708">
              <w:rPr>
                <w:rFonts w:asciiTheme="majorHAnsi" w:hAnsiTheme="majorHAnsi" w:cstheme="majorHAnsi"/>
                <w:sz w:val="20"/>
                <w:szCs w:val="20"/>
              </w:rPr>
              <w:t>9</w:t>
            </w:r>
            <w:r w:rsidRPr="00D96D32">
              <w:rPr>
                <w:rFonts w:asciiTheme="majorHAnsi" w:hAnsiTheme="majorHAnsi" w:cstheme="majorHAnsi"/>
                <w:sz w:val="20"/>
                <w:szCs w:val="20"/>
              </w:rPr>
              <w:t>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tcBorders>
              <w:bottom w:val="single" w:sz="4" w:space="0" w:color="auto"/>
            </w:tcBorders>
            <w:vAlign w:val="bottom"/>
          </w:tcPr>
          <w:p w:rsidR="00D96D32" w:rsidRPr="00D96D32" w:rsidRDefault="00D96D32" w:rsidP="00670B12">
            <w:pPr>
              <w:pStyle w:val="StyleArial75pt"/>
              <w:jc w:val="right"/>
              <w:rPr>
                <w:rFonts w:asciiTheme="majorHAnsi" w:hAnsiTheme="majorHAnsi" w:cstheme="majorHAnsi"/>
                <w:sz w:val="20"/>
                <w:szCs w:val="20"/>
              </w:rPr>
            </w:pPr>
            <w:r w:rsidRPr="00D96D32">
              <w:rPr>
                <w:rFonts w:asciiTheme="majorHAnsi" w:hAnsiTheme="majorHAnsi" w:cstheme="majorHAnsi"/>
                <w:sz w:val="20"/>
                <w:szCs w:val="20"/>
              </w:rPr>
              <w:t>6,</w:t>
            </w:r>
            <w:r w:rsidR="00367708">
              <w:rPr>
                <w:rFonts w:asciiTheme="majorHAnsi" w:hAnsiTheme="majorHAnsi" w:cstheme="majorHAnsi"/>
                <w:sz w:val="20"/>
                <w:szCs w:val="20"/>
              </w:rPr>
              <w:t>042</w:t>
            </w:r>
            <w:r w:rsidRPr="00D96D32">
              <w:rPr>
                <w:rFonts w:asciiTheme="majorHAnsi" w:hAnsiTheme="majorHAnsi" w:cstheme="majorHAnsi"/>
                <w:sz w:val="20"/>
                <w:szCs w:val="20"/>
              </w:rPr>
              <w:t> </w:t>
            </w:r>
          </w:p>
        </w:tc>
        <w:tc>
          <w:tcPr>
            <w:tcW w:w="227"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r>
      <w:tr w:rsidR="00D96D32" w:rsidRPr="00D96D32" w:rsidTr="00670B12">
        <w:tc>
          <w:tcPr>
            <w:tcW w:w="4574" w:type="dxa"/>
            <w:vAlign w:val="bottom"/>
          </w:tcPr>
          <w:p w:rsidR="00D96D32" w:rsidRPr="00D96D32" w:rsidRDefault="00D96D32" w:rsidP="00670B12">
            <w:pPr>
              <w:pStyle w:val="CellBody"/>
              <w:tabs>
                <w:tab w:val="left" w:leader="dot" w:pos="5007"/>
              </w:tabs>
              <w:spacing w:beforeLines="40" w:before="96" w:after="0" w:line="240" w:lineRule="auto"/>
              <w:rPr>
                <w:rFonts w:asciiTheme="majorHAnsi" w:hAnsiTheme="majorHAnsi" w:cstheme="majorHAnsi"/>
                <w:b/>
                <w:sz w:val="20"/>
              </w:rPr>
            </w:pPr>
            <w:r w:rsidRPr="00D96D32">
              <w:rPr>
                <w:rFonts w:asciiTheme="majorHAnsi" w:hAnsiTheme="majorHAnsi" w:cstheme="majorHAnsi"/>
                <w:b/>
                <w:sz w:val="20"/>
              </w:rPr>
              <w:t>Total liabilities</w:t>
            </w:r>
            <w:r w:rsidRPr="00D96D32">
              <w:rPr>
                <w:rFonts w:asciiTheme="majorHAnsi" w:hAnsiTheme="majorHAnsi" w:cstheme="majorHAnsi"/>
                <w:sz w:val="20"/>
              </w:rPr>
              <w:tab/>
            </w:r>
          </w:p>
        </w:tc>
        <w:tc>
          <w:tcPr>
            <w:tcW w:w="284"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c>
          <w:tcPr>
            <w:tcW w:w="1132" w:type="dxa"/>
            <w:tcBorders>
              <w:top w:val="single" w:sz="4" w:space="0" w:color="auto"/>
              <w:bottom w:val="single" w:sz="4" w:space="0" w:color="auto"/>
            </w:tcBorders>
            <w:vAlign w:val="bottom"/>
          </w:tcPr>
          <w:p w:rsidR="00D96D32" w:rsidRPr="00D96D32" w:rsidRDefault="00D96D32" w:rsidP="00670B12">
            <w:pPr>
              <w:pStyle w:val="StyleArial75pt"/>
              <w:jc w:val="right"/>
              <w:rPr>
                <w:rFonts w:asciiTheme="majorHAnsi" w:hAnsiTheme="majorHAnsi" w:cstheme="majorHAnsi"/>
                <w:sz w:val="20"/>
                <w:szCs w:val="20"/>
              </w:rPr>
            </w:pPr>
            <w:r w:rsidRPr="00D96D32">
              <w:rPr>
                <w:rFonts w:asciiTheme="majorHAnsi" w:hAnsiTheme="majorHAnsi" w:cstheme="majorHAnsi"/>
                <w:sz w:val="20"/>
                <w:szCs w:val="20"/>
              </w:rPr>
              <w:t>143,333 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b/>
                <w:bCs/>
                <w:sz w:val="20"/>
              </w:rPr>
            </w:pPr>
          </w:p>
        </w:tc>
        <w:tc>
          <w:tcPr>
            <w:tcW w:w="1132" w:type="dxa"/>
            <w:tcBorders>
              <w:top w:val="single" w:sz="4" w:space="0" w:color="auto"/>
              <w:bottom w:val="single" w:sz="4" w:space="0" w:color="auto"/>
            </w:tcBorders>
            <w:vAlign w:val="bottom"/>
          </w:tcPr>
          <w:p w:rsidR="00D96D32" w:rsidRPr="00D96D32" w:rsidRDefault="009234AE" w:rsidP="00724CF6">
            <w:pPr>
              <w:pStyle w:val="StyleArial75pt"/>
              <w:jc w:val="right"/>
              <w:rPr>
                <w:rFonts w:asciiTheme="majorHAnsi" w:hAnsiTheme="majorHAnsi" w:cstheme="majorHAnsi"/>
                <w:sz w:val="20"/>
                <w:szCs w:val="20"/>
              </w:rPr>
            </w:pPr>
            <w:r>
              <w:rPr>
                <w:rFonts w:asciiTheme="majorHAnsi" w:hAnsiTheme="majorHAnsi" w:cstheme="majorHAnsi"/>
                <w:sz w:val="20"/>
                <w:szCs w:val="20"/>
              </w:rPr>
              <w:t xml:space="preserve"> 105,277</w:t>
            </w:r>
            <w:r w:rsidR="00D96D32" w:rsidRPr="00D96D32">
              <w:rPr>
                <w:rFonts w:asciiTheme="majorHAnsi" w:hAnsiTheme="majorHAnsi" w:cstheme="majorHAnsi"/>
                <w:sz w:val="20"/>
                <w:szCs w:val="20"/>
              </w:rPr>
              <w:t>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b/>
                <w:bCs/>
                <w:sz w:val="20"/>
              </w:rPr>
            </w:pPr>
          </w:p>
        </w:tc>
        <w:tc>
          <w:tcPr>
            <w:tcW w:w="1132" w:type="dxa"/>
            <w:tcBorders>
              <w:top w:val="single" w:sz="4" w:space="0" w:color="auto"/>
              <w:bottom w:val="single" w:sz="4" w:space="0" w:color="auto"/>
            </w:tcBorders>
            <w:vAlign w:val="bottom"/>
          </w:tcPr>
          <w:p w:rsidR="00D96D32" w:rsidRPr="00D96D32" w:rsidRDefault="009234AE" w:rsidP="009234AE">
            <w:pPr>
              <w:pStyle w:val="StyleArial75pt"/>
              <w:jc w:val="right"/>
              <w:rPr>
                <w:rFonts w:asciiTheme="majorHAnsi" w:hAnsiTheme="majorHAnsi" w:cstheme="majorHAnsi"/>
                <w:sz w:val="20"/>
                <w:szCs w:val="20"/>
              </w:rPr>
            </w:pPr>
            <w:r>
              <w:rPr>
                <w:rFonts w:asciiTheme="majorHAnsi" w:hAnsiTheme="majorHAnsi" w:cstheme="majorHAnsi"/>
                <w:sz w:val="20"/>
                <w:szCs w:val="20"/>
              </w:rPr>
              <w:t xml:space="preserve"> 38,056</w:t>
            </w:r>
            <w:r w:rsidR="00D96D32" w:rsidRPr="00D96D32">
              <w:rPr>
                <w:rFonts w:asciiTheme="majorHAnsi" w:hAnsiTheme="majorHAnsi" w:cstheme="majorHAnsi"/>
                <w:sz w:val="20"/>
                <w:szCs w:val="20"/>
              </w:rPr>
              <w:t> </w:t>
            </w:r>
          </w:p>
        </w:tc>
        <w:tc>
          <w:tcPr>
            <w:tcW w:w="227"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r>
      <w:tr w:rsidR="00D96D32" w:rsidRPr="00D96D32" w:rsidTr="00670B12">
        <w:tc>
          <w:tcPr>
            <w:tcW w:w="4574" w:type="dxa"/>
            <w:vAlign w:val="bottom"/>
          </w:tcPr>
          <w:p w:rsidR="00D96D32" w:rsidRPr="00D96D32" w:rsidRDefault="00D96D32" w:rsidP="00670B12">
            <w:pPr>
              <w:pStyle w:val="CellBody"/>
              <w:tabs>
                <w:tab w:val="left" w:leader="dot" w:pos="5007"/>
              </w:tabs>
              <w:spacing w:beforeLines="40" w:before="96" w:after="0" w:line="240" w:lineRule="auto"/>
              <w:rPr>
                <w:rFonts w:asciiTheme="majorHAnsi" w:hAnsiTheme="majorHAnsi" w:cstheme="majorHAnsi"/>
                <w:b/>
                <w:sz w:val="20"/>
              </w:rPr>
            </w:pPr>
            <w:r w:rsidRPr="00D96D32">
              <w:rPr>
                <w:rFonts w:asciiTheme="majorHAnsi" w:hAnsiTheme="majorHAnsi" w:cstheme="majorHAnsi"/>
                <w:b/>
                <w:sz w:val="20"/>
              </w:rPr>
              <w:t>Equity</w:t>
            </w:r>
          </w:p>
        </w:tc>
        <w:tc>
          <w:tcPr>
            <w:tcW w:w="284"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c>
          <w:tcPr>
            <w:tcW w:w="1132" w:type="dxa"/>
            <w:tcBorders>
              <w:top w:val="single" w:sz="4" w:space="0" w:color="auto"/>
            </w:tcBorders>
            <w:vAlign w:val="bottom"/>
          </w:tcPr>
          <w:p w:rsidR="00D96D32" w:rsidRPr="00D96D32" w:rsidRDefault="00D96D32" w:rsidP="00670B12">
            <w:pPr>
              <w:pStyle w:val="CellBody"/>
              <w:spacing w:beforeLines="40" w:before="96" w:after="0" w:line="240" w:lineRule="auto"/>
              <w:jc w:val="right"/>
              <w:rPr>
                <w:rFonts w:asciiTheme="majorHAnsi" w:hAnsiTheme="majorHAnsi" w:cstheme="majorHAnsi"/>
                <w:sz w:val="20"/>
              </w:rPr>
            </w:pP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tcBorders>
              <w:top w:val="single" w:sz="4" w:space="0" w:color="auto"/>
            </w:tcBorders>
            <w:vAlign w:val="bottom"/>
          </w:tcPr>
          <w:p w:rsidR="00D96D32" w:rsidRPr="00D96D32" w:rsidRDefault="00D96D32" w:rsidP="00670B12">
            <w:pPr>
              <w:pStyle w:val="CellBody"/>
              <w:spacing w:beforeLines="40" w:before="96" w:after="0" w:line="240" w:lineRule="auto"/>
              <w:jc w:val="right"/>
              <w:rPr>
                <w:rFonts w:asciiTheme="majorHAnsi" w:hAnsiTheme="majorHAnsi" w:cstheme="majorHAnsi"/>
                <w:sz w:val="20"/>
              </w:rPr>
            </w:pP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tcBorders>
              <w:top w:val="single" w:sz="4" w:space="0" w:color="auto"/>
            </w:tcBorders>
            <w:vAlign w:val="bottom"/>
          </w:tcPr>
          <w:p w:rsidR="00D96D32" w:rsidRPr="00D96D32" w:rsidRDefault="00D96D32" w:rsidP="00670B12">
            <w:pPr>
              <w:pStyle w:val="CellBody"/>
              <w:spacing w:beforeLines="40" w:before="96" w:after="0" w:line="240" w:lineRule="auto"/>
              <w:jc w:val="right"/>
              <w:rPr>
                <w:rFonts w:asciiTheme="majorHAnsi" w:hAnsiTheme="majorHAnsi" w:cstheme="majorHAnsi"/>
                <w:sz w:val="20"/>
              </w:rPr>
            </w:pPr>
          </w:p>
        </w:tc>
        <w:tc>
          <w:tcPr>
            <w:tcW w:w="227"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r>
      <w:tr w:rsidR="00D96D32" w:rsidRPr="00D96D32" w:rsidTr="00670B12">
        <w:tc>
          <w:tcPr>
            <w:tcW w:w="4574" w:type="dxa"/>
            <w:vAlign w:val="bottom"/>
          </w:tcPr>
          <w:p w:rsidR="00D96D32" w:rsidRPr="00D96D32" w:rsidRDefault="00D96D32" w:rsidP="00670B12">
            <w:pPr>
              <w:pStyle w:val="CellBody"/>
              <w:tabs>
                <w:tab w:val="left" w:leader="dot" w:pos="5007"/>
              </w:tabs>
              <w:spacing w:beforeLines="40" w:before="96" w:after="0" w:line="240" w:lineRule="auto"/>
              <w:rPr>
                <w:rFonts w:asciiTheme="majorHAnsi" w:hAnsiTheme="majorHAnsi" w:cstheme="majorHAnsi"/>
                <w:sz w:val="20"/>
              </w:rPr>
            </w:pPr>
            <w:r w:rsidRPr="00D96D32">
              <w:rPr>
                <w:rFonts w:asciiTheme="majorHAnsi" w:hAnsiTheme="majorHAnsi" w:cstheme="majorHAnsi"/>
                <w:sz w:val="20"/>
              </w:rPr>
              <w:t>Non-controlling interests</w:t>
            </w:r>
            <w:r w:rsidRPr="00D96D32">
              <w:rPr>
                <w:rFonts w:asciiTheme="majorHAnsi" w:hAnsiTheme="majorHAnsi" w:cstheme="majorHAnsi"/>
                <w:sz w:val="20"/>
              </w:rPr>
              <w:tab/>
            </w:r>
          </w:p>
        </w:tc>
        <w:tc>
          <w:tcPr>
            <w:tcW w:w="284"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c>
          <w:tcPr>
            <w:tcW w:w="1132" w:type="dxa"/>
            <w:vAlign w:val="bottom"/>
          </w:tcPr>
          <w:p w:rsidR="00D96D32" w:rsidRPr="00D96D32" w:rsidRDefault="00D96D32" w:rsidP="00670B12">
            <w:pPr>
              <w:pStyle w:val="StyleArial75pt"/>
              <w:jc w:val="right"/>
              <w:rPr>
                <w:rFonts w:asciiTheme="majorHAnsi" w:hAnsiTheme="majorHAnsi" w:cstheme="majorHAnsi"/>
                <w:sz w:val="20"/>
                <w:szCs w:val="20"/>
              </w:rPr>
            </w:pPr>
            <w:r w:rsidRPr="00D96D32">
              <w:rPr>
                <w:rFonts w:asciiTheme="majorHAnsi" w:hAnsiTheme="majorHAnsi" w:cstheme="majorHAnsi"/>
                <w:sz w:val="20"/>
                <w:szCs w:val="20"/>
              </w:rPr>
              <w:t>21 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vAlign w:val="bottom"/>
          </w:tcPr>
          <w:p w:rsidR="00D96D32" w:rsidRPr="00D96D32" w:rsidRDefault="00D96D32" w:rsidP="00670B12">
            <w:pPr>
              <w:pStyle w:val="StyleArial75pt"/>
              <w:jc w:val="right"/>
              <w:rPr>
                <w:rFonts w:asciiTheme="majorHAnsi" w:hAnsiTheme="majorHAnsi" w:cstheme="majorHAnsi"/>
                <w:sz w:val="20"/>
                <w:szCs w:val="20"/>
              </w:rPr>
            </w:pPr>
            <w:r w:rsidRPr="00D96D32">
              <w:rPr>
                <w:rFonts w:asciiTheme="majorHAnsi" w:hAnsiTheme="majorHAnsi" w:cstheme="majorHAnsi"/>
                <w:sz w:val="20"/>
                <w:szCs w:val="20"/>
              </w:rPr>
              <w:t>20 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vAlign w:val="bottom"/>
          </w:tcPr>
          <w:p w:rsidR="00D96D32" w:rsidRPr="00D96D32" w:rsidRDefault="00D96D32" w:rsidP="00670B12">
            <w:pPr>
              <w:pStyle w:val="StyleArial75pt"/>
              <w:jc w:val="right"/>
              <w:rPr>
                <w:rFonts w:asciiTheme="majorHAnsi" w:hAnsiTheme="majorHAnsi" w:cstheme="majorHAnsi"/>
                <w:sz w:val="20"/>
                <w:szCs w:val="20"/>
              </w:rPr>
            </w:pPr>
            <w:r w:rsidRPr="00D96D32">
              <w:rPr>
                <w:rFonts w:asciiTheme="majorHAnsi" w:hAnsiTheme="majorHAnsi" w:cstheme="majorHAnsi"/>
                <w:sz w:val="20"/>
                <w:szCs w:val="20"/>
              </w:rPr>
              <w:t>1 </w:t>
            </w:r>
          </w:p>
        </w:tc>
        <w:tc>
          <w:tcPr>
            <w:tcW w:w="227"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r>
      <w:tr w:rsidR="00D96D32" w:rsidRPr="00D96D32" w:rsidTr="00670B12">
        <w:tc>
          <w:tcPr>
            <w:tcW w:w="4574" w:type="dxa"/>
            <w:vAlign w:val="bottom"/>
          </w:tcPr>
          <w:p w:rsidR="00D96D32" w:rsidRPr="00D96D32" w:rsidRDefault="00CC260B" w:rsidP="00CC260B">
            <w:pPr>
              <w:pStyle w:val="CellBody"/>
              <w:tabs>
                <w:tab w:val="left" w:leader="dot" w:pos="5007"/>
              </w:tabs>
              <w:spacing w:beforeLines="40" w:before="96" w:after="0" w:line="240" w:lineRule="auto"/>
              <w:rPr>
                <w:rFonts w:asciiTheme="majorHAnsi" w:hAnsiTheme="majorHAnsi" w:cstheme="majorHAnsi"/>
                <w:sz w:val="20"/>
              </w:rPr>
            </w:pPr>
            <w:r>
              <w:rPr>
                <w:rFonts w:asciiTheme="majorHAnsi" w:hAnsiTheme="majorHAnsi" w:cstheme="majorHAnsi"/>
                <w:sz w:val="20"/>
              </w:rPr>
              <w:t>Controlling interests</w:t>
            </w:r>
            <w:r w:rsidR="00D96D32" w:rsidRPr="00D96D32">
              <w:rPr>
                <w:rFonts w:asciiTheme="majorHAnsi" w:hAnsiTheme="majorHAnsi" w:cstheme="majorHAnsi"/>
                <w:sz w:val="20"/>
              </w:rPr>
              <w:tab/>
            </w:r>
          </w:p>
        </w:tc>
        <w:tc>
          <w:tcPr>
            <w:tcW w:w="284"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c>
          <w:tcPr>
            <w:tcW w:w="1132" w:type="dxa"/>
            <w:tcBorders>
              <w:bottom w:val="single" w:sz="4" w:space="0" w:color="auto"/>
            </w:tcBorders>
            <w:vAlign w:val="bottom"/>
          </w:tcPr>
          <w:p w:rsidR="00D96D32" w:rsidRPr="00D96D32" w:rsidRDefault="00D96D32" w:rsidP="00670B12">
            <w:pPr>
              <w:pStyle w:val="StyleArial75pt"/>
              <w:jc w:val="right"/>
              <w:rPr>
                <w:rFonts w:asciiTheme="majorHAnsi" w:hAnsiTheme="majorHAnsi" w:cstheme="majorHAnsi"/>
                <w:sz w:val="20"/>
                <w:szCs w:val="20"/>
              </w:rPr>
            </w:pPr>
            <w:r w:rsidRPr="00D96D32">
              <w:rPr>
                <w:rFonts w:asciiTheme="majorHAnsi" w:hAnsiTheme="majorHAnsi" w:cstheme="majorHAnsi"/>
                <w:sz w:val="20"/>
                <w:szCs w:val="20"/>
              </w:rPr>
              <w:t>3,318 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tcBorders>
              <w:bottom w:val="single" w:sz="4" w:space="0" w:color="auto"/>
            </w:tcBorders>
            <w:vAlign w:val="bottom"/>
          </w:tcPr>
          <w:p w:rsidR="00D96D32" w:rsidRPr="00D96D32" w:rsidRDefault="00D96D32" w:rsidP="00670B12">
            <w:pPr>
              <w:pStyle w:val="StyleArial75pt"/>
              <w:jc w:val="right"/>
              <w:rPr>
                <w:rFonts w:asciiTheme="majorHAnsi" w:hAnsiTheme="majorHAnsi" w:cstheme="majorHAnsi"/>
                <w:sz w:val="20"/>
                <w:szCs w:val="20"/>
              </w:rPr>
            </w:pPr>
            <w:r w:rsidRPr="00D96D32">
              <w:rPr>
                <w:rFonts w:asciiTheme="majorHAnsi" w:hAnsiTheme="majorHAnsi" w:cstheme="majorHAnsi"/>
                <w:sz w:val="20"/>
                <w:szCs w:val="20"/>
              </w:rPr>
              <w:t>1,</w:t>
            </w:r>
            <w:r w:rsidR="00367708">
              <w:rPr>
                <w:rFonts w:asciiTheme="majorHAnsi" w:hAnsiTheme="majorHAnsi" w:cstheme="majorHAnsi"/>
                <w:sz w:val="20"/>
                <w:szCs w:val="20"/>
              </w:rPr>
              <w:t>921</w:t>
            </w:r>
            <w:r w:rsidRPr="00D96D32">
              <w:rPr>
                <w:rFonts w:asciiTheme="majorHAnsi" w:hAnsiTheme="majorHAnsi" w:cstheme="majorHAnsi"/>
                <w:sz w:val="20"/>
                <w:szCs w:val="20"/>
              </w:rPr>
              <w:t>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tcBorders>
              <w:bottom w:val="single" w:sz="4" w:space="0" w:color="auto"/>
            </w:tcBorders>
            <w:vAlign w:val="bottom"/>
          </w:tcPr>
          <w:p w:rsidR="00D96D32" w:rsidRPr="00D96D32" w:rsidRDefault="00D96D32" w:rsidP="00670B12">
            <w:pPr>
              <w:pStyle w:val="StyleArial75pt"/>
              <w:jc w:val="right"/>
              <w:rPr>
                <w:rFonts w:asciiTheme="majorHAnsi" w:hAnsiTheme="majorHAnsi" w:cstheme="majorHAnsi"/>
                <w:sz w:val="20"/>
                <w:szCs w:val="20"/>
              </w:rPr>
            </w:pPr>
            <w:r w:rsidRPr="00D96D32">
              <w:rPr>
                <w:rFonts w:asciiTheme="majorHAnsi" w:hAnsiTheme="majorHAnsi" w:cstheme="majorHAnsi"/>
                <w:sz w:val="20"/>
                <w:szCs w:val="20"/>
              </w:rPr>
              <w:t>1,</w:t>
            </w:r>
            <w:r w:rsidR="00367708">
              <w:rPr>
                <w:rFonts w:asciiTheme="majorHAnsi" w:hAnsiTheme="majorHAnsi" w:cstheme="majorHAnsi"/>
                <w:sz w:val="20"/>
                <w:szCs w:val="20"/>
              </w:rPr>
              <w:t>397</w:t>
            </w:r>
            <w:r w:rsidRPr="00D96D32">
              <w:rPr>
                <w:rFonts w:asciiTheme="majorHAnsi" w:hAnsiTheme="majorHAnsi" w:cstheme="majorHAnsi"/>
                <w:sz w:val="20"/>
                <w:szCs w:val="20"/>
              </w:rPr>
              <w:t> </w:t>
            </w:r>
          </w:p>
        </w:tc>
        <w:tc>
          <w:tcPr>
            <w:tcW w:w="227"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r>
      <w:tr w:rsidR="00D96D32" w:rsidRPr="00D96D32" w:rsidTr="00670B12">
        <w:tc>
          <w:tcPr>
            <w:tcW w:w="4574" w:type="dxa"/>
            <w:vAlign w:val="bottom"/>
          </w:tcPr>
          <w:p w:rsidR="00D96D32" w:rsidRPr="00D96D32" w:rsidRDefault="00D96D32" w:rsidP="00670B12">
            <w:pPr>
              <w:pStyle w:val="CellBody"/>
              <w:tabs>
                <w:tab w:val="left" w:leader="dot" w:pos="5007"/>
              </w:tabs>
              <w:spacing w:beforeLines="40" w:before="96" w:after="0" w:line="240" w:lineRule="auto"/>
              <w:rPr>
                <w:rFonts w:asciiTheme="majorHAnsi" w:hAnsiTheme="majorHAnsi" w:cstheme="majorHAnsi"/>
                <w:b/>
                <w:sz w:val="20"/>
              </w:rPr>
            </w:pPr>
            <w:r w:rsidRPr="00D96D32">
              <w:rPr>
                <w:rFonts w:asciiTheme="majorHAnsi" w:hAnsiTheme="majorHAnsi" w:cstheme="majorHAnsi"/>
                <w:b/>
                <w:sz w:val="20"/>
              </w:rPr>
              <w:t>Total equity</w:t>
            </w:r>
            <w:r w:rsidRPr="00D96D32">
              <w:rPr>
                <w:rFonts w:asciiTheme="majorHAnsi" w:hAnsiTheme="majorHAnsi" w:cstheme="majorHAnsi"/>
                <w:sz w:val="20"/>
              </w:rPr>
              <w:tab/>
            </w:r>
          </w:p>
        </w:tc>
        <w:tc>
          <w:tcPr>
            <w:tcW w:w="284"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c>
          <w:tcPr>
            <w:tcW w:w="1132" w:type="dxa"/>
            <w:tcBorders>
              <w:top w:val="single" w:sz="4" w:space="0" w:color="auto"/>
              <w:bottom w:val="single" w:sz="4" w:space="0" w:color="auto"/>
            </w:tcBorders>
            <w:vAlign w:val="bottom"/>
          </w:tcPr>
          <w:p w:rsidR="00D96D32" w:rsidRPr="00D96D32" w:rsidRDefault="00D96D32" w:rsidP="00670B12">
            <w:pPr>
              <w:pStyle w:val="StyleArial75pt"/>
              <w:jc w:val="right"/>
              <w:rPr>
                <w:rFonts w:asciiTheme="majorHAnsi" w:hAnsiTheme="majorHAnsi" w:cstheme="majorHAnsi"/>
                <w:sz w:val="20"/>
                <w:szCs w:val="20"/>
              </w:rPr>
            </w:pPr>
            <w:r w:rsidRPr="00D96D32">
              <w:rPr>
                <w:rFonts w:asciiTheme="majorHAnsi" w:hAnsiTheme="majorHAnsi" w:cstheme="majorHAnsi"/>
                <w:sz w:val="20"/>
                <w:szCs w:val="20"/>
              </w:rPr>
              <w:t>3,339 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b/>
                <w:bCs/>
                <w:sz w:val="20"/>
              </w:rPr>
            </w:pPr>
          </w:p>
        </w:tc>
        <w:tc>
          <w:tcPr>
            <w:tcW w:w="1132" w:type="dxa"/>
            <w:tcBorders>
              <w:top w:val="single" w:sz="4" w:space="0" w:color="auto"/>
              <w:bottom w:val="single" w:sz="4" w:space="0" w:color="auto"/>
            </w:tcBorders>
            <w:vAlign w:val="bottom"/>
          </w:tcPr>
          <w:p w:rsidR="00D96D32" w:rsidRPr="00D96D32" w:rsidRDefault="00D96D32" w:rsidP="00670B12">
            <w:pPr>
              <w:pStyle w:val="StyleArial75pt"/>
              <w:jc w:val="right"/>
              <w:rPr>
                <w:rFonts w:asciiTheme="majorHAnsi" w:hAnsiTheme="majorHAnsi" w:cstheme="majorHAnsi"/>
                <w:sz w:val="20"/>
                <w:szCs w:val="20"/>
              </w:rPr>
            </w:pPr>
            <w:r w:rsidRPr="00D96D32">
              <w:rPr>
                <w:rFonts w:asciiTheme="majorHAnsi" w:hAnsiTheme="majorHAnsi" w:cstheme="majorHAnsi"/>
                <w:sz w:val="20"/>
                <w:szCs w:val="20"/>
              </w:rPr>
              <w:t>1,</w:t>
            </w:r>
            <w:r w:rsidR="00367708">
              <w:rPr>
                <w:rFonts w:asciiTheme="majorHAnsi" w:hAnsiTheme="majorHAnsi" w:cstheme="majorHAnsi"/>
                <w:sz w:val="20"/>
                <w:szCs w:val="20"/>
              </w:rPr>
              <w:t>941</w:t>
            </w:r>
            <w:r w:rsidRPr="00D96D32">
              <w:rPr>
                <w:rFonts w:asciiTheme="majorHAnsi" w:hAnsiTheme="majorHAnsi" w:cstheme="majorHAnsi"/>
                <w:sz w:val="20"/>
                <w:szCs w:val="20"/>
              </w:rPr>
              <w:t>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b/>
                <w:bCs/>
                <w:sz w:val="20"/>
              </w:rPr>
            </w:pPr>
          </w:p>
        </w:tc>
        <w:tc>
          <w:tcPr>
            <w:tcW w:w="1132" w:type="dxa"/>
            <w:tcBorders>
              <w:top w:val="single" w:sz="4" w:space="0" w:color="auto"/>
              <w:bottom w:val="single" w:sz="4" w:space="0" w:color="auto"/>
            </w:tcBorders>
            <w:vAlign w:val="bottom"/>
          </w:tcPr>
          <w:p w:rsidR="00D96D32" w:rsidRPr="00D96D32" w:rsidRDefault="00D96D32" w:rsidP="00670B12">
            <w:pPr>
              <w:pStyle w:val="StyleArial75pt"/>
              <w:jc w:val="right"/>
              <w:rPr>
                <w:rFonts w:asciiTheme="majorHAnsi" w:hAnsiTheme="majorHAnsi" w:cstheme="majorHAnsi"/>
                <w:sz w:val="20"/>
                <w:szCs w:val="20"/>
              </w:rPr>
            </w:pPr>
            <w:r w:rsidRPr="00D96D32">
              <w:rPr>
                <w:rFonts w:asciiTheme="majorHAnsi" w:hAnsiTheme="majorHAnsi" w:cstheme="majorHAnsi"/>
                <w:sz w:val="20"/>
                <w:szCs w:val="20"/>
              </w:rPr>
              <w:t>1,</w:t>
            </w:r>
            <w:r w:rsidR="00367708">
              <w:rPr>
                <w:rFonts w:asciiTheme="majorHAnsi" w:hAnsiTheme="majorHAnsi" w:cstheme="majorHAnsi"/>
                <w:sz w:val="20"/>
                <w:szCs w:val="20"/>
              </w:rPr>
              <w:t>398</w:t>
            </w:r>
            <w:r w:rsidRPr="00D96D32">
              <w:rPr>
                <w:rFonts w:asciiTheme="majorHAnsi" w:hAnsiTheme="majorHAnsi" w:cstheme="majorHAnsi"/>
                <w:sz w:val="20"/>
                <w:szCs w:val="20"/>
              </w:rPr>
              <w:t> </w:t>
            </w:r>
          </w:p>
        </w:tc>
        <w:tc>
          <w:tcPr>
            <w:tcW w:w="227"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r>
      <w:tr w:rsidR="00D96D32" w:rsidRPr="00D96D32" w:rsidTr="00670B12">
        <w:tc>
          <w:tcPr>
            <w:tcW w:w="4574" w:type="dxa"/>
            <w:vAlign w:val="bottom"/>
          </w:tcPr>
          <w:p w:rsidR="00D96D32" w:rsidRPr="00D96D32" w:rsidRDefault="00D96D32" w:rsidP="00670B12">
            <w:pPr>
              <w:pStyle w:val="CellBody"/>
              <w:tabs>
                <w:tab w:val="left" w:leader="dot" w:pos="5007"/>
              </w:tabs>
              <w:spacing w:beforeLines="40" w:before="96" w:after="0" w:line="240" w:lineRule="auto"/>
              <w:rPr>
                <w:rFonts w:asciiTheme="majorHAnsi" w:hAnsiTheme="majorHAnsi" w:cstheme="majorHAnsi"/>
                <w:b/>
                <w:sz w:val="20"/>
              </w:rPr>
            </w:pPr>
            <w:r w:rsidRPr="00D96D32">
              <w:rPr>
                <w:rFonts w:asciiTheme="majorHAnsi" w:hAnsiTheme="majorHAnsi" w:cstheme="majorHAnsi"/>
                <w:b/>
                <w:sz w:val="20"/>
              </w:rPr>
              <w:t>Total equity and liabilities</w:t>
            </w:r>
            <w:r w:rsidRPr="00D96D32">
              <w:rPr>
                <w:rFonts w:asciiTheme="majorHAnsi" w:hAnsiTheme="majorHAnsi" w:cstheme="majorHAnsi"/>
                <w:sz w:val="20"/>
              </w:rPr>
              <w:tab/>
            </w:r>
          </w:p>
        </w:tc>
        <w:tc>
          <w:tcPr>
            <w:tcW w:w="284"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c>
          <w:tcPr>
            <w:tcW w:w="1132" w:type="dxa"/>
            <w:tcBorders>
              <w:top w:val="single" w:sz="4" w:space="0" w:color="auto"/>
              <w:bottom w:val="double" w:sz="4" w:space="0" w:color="auto"/>
            </w:tcBorders>
            <w:vAlign w:val="bottom"/>
          </w:tcPr>
          <w:p w:rsidR="00D96D32" w:rsidRPr="00D96D32" w:rsidRDefault="00D96D32" w:rsidP="00670B12">
            <w:pPr>
              <w:pStyle w:val="CellBody"/>
              <w:spacing w:beforeLines="40" w:before="96" w:after="0" w:line="240" w:lineRule="auto"/>
              <w:jc w:val="right"/>
              <w:rPr>
                <w:rFonts w:asciiTheme="majorHAnsi" w:hAnsiTheme="majorHAnsi" w:cstheme="majorHAnsi"/>
                <w:b/>
                <w:bCs/>
                <w:sz w:val="20"/>
              </w:rPr>
            </w:pPr>
            <w:r w:rsidRPr="00D96D32">
              <w:rPr>
                <w:rFonts w:asciiTheme="majorHAnsi" w:hAnsiTheme="majorHAnsi" w:cstheme="majorHAnsi"/>
                <w:sz w:val="20"/>
              </w:rPr>
              <w:t>146,672 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b/>
                <w:bCs/>
                <w:sz w:val="20"/>
              </w:rPr>
            </w:pPr>
          </w:p>
        </w:tc>
        <w:tc>
          <w:tcPr>
            <w:tcW w:w="1132" w:type="dxa"/>
            <w:tcBorders>
              <w:top w:val="single" w:sz="4" w:space="0" w:color="auto"/>
              <w:bottom w:val="double" w:sz="4" w:space="0" w:color="auto"/>
            </w:tcBorders>
            <w:vAlign w:val="bottom"/>
          </w:tcPr>
          <w:p w:rsidR="00D96D32" w:rsidRPr="00D96D32" w:rsidRDefault="009234AE" w:rsidP="009234AE">
            <w:pPr>
              <w:pStyle w:val="CellBody"/>
              <w:spacing w:beforeLines="40" w:before="96" w:after="0" w:line="240" w:lineRule="auto"/>
              <w:jc w:val="right"/>
              <w:rPr>
                <w:rFonts w:asciiTheme="majorHAnsi" w:hAnsiTheme="majorHAnsi" w:cstheme="majorHAnsi"/>
                <w:b/>
                <w:bCs/>
                <w:sz w:val="20"/>
              </w:rPr>
            </w:pPr>
            <w:r>
              <w:rPr>
                <w:rFonts w:asciiTheme="majorHAnsi" w:hAnsiTheme="majorHAnsi" w:cstheme="majorHAnsi"/>
                <w:sz w:val="20"/>
              </w:rPr>
              <w:t xml:space="preserve"> 107,218</w:t>
            </w:r>
            <w:r w:rsidR="00D96D32" w:rsidRPr="00D96D32">
              <w:rPr>
                <w:rFonts w:asciiTheme="majorHAnsi" w:hAnsiTheme="majorHAnsi" w:cstheme="majorHAnsi"/>
                <w:sz w:val="20"/>
              </w:rPr>
              <w:t>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b/>
                <w:bCs/>
                <w:sz w:val="20"/>
              </w:rPr>
            </w:pPr>
          </w:p>
        </w:tc>
        <w:tc>
          <w:tcPr>
            <w:tcW w:w="1132" w:type="dxa"/>
            <w:tcBorders>
              <w:top w:val="single" w:sz="4" w:space="0" w:color="auto"/>
              <w:bottom w:val="double" w:sz="4" w:space="0" w:color="auto"/>
            </w:tcBorders>
            <w:vAlign w:val="bottom"/>
          </w:tcPr>
          <w:p w:rsidR="00D96D32" w:rsidRPr="00D96D32" w:rsidRDefault="009234AE" w:rsidP="009234AE">
            <w:pPr>
              <w:pStyle w:val="CellBody"/>
              <w:spacing w:beforeLines="40" w:before="96" w:after="0" w:line="240" w:lineRule="auto"/>
              <w:jc w:val="right"/>
              <w:rPr>
                <w:rFonts w:asciiTheme="majorHAnsi" w:hAnsiTheme="majorHAnsi" w:cstheme="majorHAnsi"/>
                <w:b/>
                <w:bCs/>
                <w:sz w:val="20"/>
              </w:rPr>
            </w:pPr>
            <w:r>
              <w:rPr>
                <w:rFonts w:asciiTheme="majorHAnsi" w:hAnsiTheme="majorHAnsi" w:cstheme="majorHAnsi"/>
                <w:sz w:val="20"/>
              </w:rPr>
              <w:t xml:space="preserve"> 39,454</w:t>
            </w:r>
          </w:p>
        </w:tc>
        <w:tc>
          <w:tcPr>
            <w:tcW w:w="227"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r>
    </w:tbl>
    <w:p w:rsidR="00D96D32" w:rsidRPr="00D96D32" w:rsidRDefault="00D96D32" w:rsidP="00D96D32">
      <w:pPr>
        <w:pStyle w:val="Body"/>
        <w:rPr>
          <w:rFonts w:asciiTheme="majorHAnsi" w:hAnsiTheme="majorHAnsi" w:cstheme="majorHAnsi"/>
          <w:sz w:val="20"/>
          <w:szCs w:val="20"/>
        </w:rPr>
      </w:pPr>
    </w:p>
    <w:tbl>
      <w:tblPr>
        <w:tblW w:w="9356" w:type="dxa"/>
        <w:tblInd w:w="108" w:type="dxa"/>
        <w:tblLayout w:type="fixed"/>
        <w:tblLook w:val="0000" w:firstRow="0" w:lastRow="0" w:firstColumn="0" w:lastColumn="0" w:noHBand="0" w:noVBand="0"/>
      </w:tblPr>
      <w:tblGrid>
        <w:gridCol w:w="1757"/>
        <w:gridCol w:w="7599"/>
      </w:tblGrid>
      <w:tr w:rsidR="00D96D32" w:rsidRPr="00D96D32" w:rsidTr="00670B12">
        <w:trPr>
          <w:trHeight w:val="134"/>
        </w:trPr>
        <w:tc>
          <w:tcPr>
            <w:tcW w:w="1757" w:type="dxa"/>
            <w:tcBorders>
              <w:top w:val="single" w:sz="4" w:space="0" w:color="auto"/>
            </w:tcBorders>
            <w:vAlign w:val="bottom"/>
          </w:tcPr>
          <w:p w:rsidR="00D96D32" w:rsidRPr="00D96D32" w:rsidRDefault="00D96D32" w:rsidP="00D96D32">
            <w:pPr>
              <w:pStyle w:val="NoteBody"/>
              <w:spacing w:line="240" w:lineRule="auto"/>
              <w:rPr>
                <w:rFonts w:asciiTheme="majorHAnsi" w:hAnsiTheme="majorHAnsi" w:cstheme="majorHAnsi"/>
                <w:sz w:val="20"/>
              </w:rPr>
            </w:pPr>
            <w:r w:rsidRPr="00D96D32">
              <w:rPr>
                <w:rFonts w:asciiTheme="majorHAnsi" w:hAnsiTheme="majorHAnsi" w:cstheme="majorHAnsi"/>
                <w:sz w:val="20"/>
              </w:rPr>
              <w:t>Notes:</w:t>
            </w:r>
          </w:p>
        </w:tc>
        <w:tc>
          <w:tcPr>
            <w:tcW w:w="7599" w:type="dxa"/>
            <w:vAlign w:val="bottom"/>
          </w:tcPr>
          <w:p w:rsidR="00D96D32" w:rsidRPr="00D96D32" w:rsidRDefault="00D96D32" w:rsidP="00670B12">
            <w:pPr>
              <w:pStyle w:val="Body"/>
              <w:spacing w:before="40" w:after="40"/>
              <w:rPr>
                <w:rFonts w:asciiTheme="majorHAnsi" w:hAnsiTheme="majorHAnsi" w:cstheme="majorHAnsi"/>
                <w:sz w:val="20"/>
                <w:szCs w:val="20"/>
              </w:rPr>
            </w:pPr>
          </w:p>
        </w:tc>
      </w:tr>
      <w:tr w:rsidR="00D96D32" w:rsidRPr="00D96D32" w:rsidTr="00670B12">
        <w:trPr>
          <w:cantSplit/>
        </w:trPr>
        <w:tc>
          <w:tcPr>
            <w:tcW w:w="9356" w:type="dxa"/>
            <w:gridSpan w:val="2"/>
            <w:vAlign w:val="bottom"/>
          </w:tcPr>
          <w:p w:rsidR="00D96D32" w:rsidRPr="00D96D32" w:rsidRDefault="00D96D32" w:rsidP="00724CF6">
            <w:pPr>
              <w:pStyle w:val="Note"/>
              <w:spacing w:line="240" w:lineRule="auto"/>
              <w:rPr>
                <w:rFonts w:asciiTheme="majorHAnsi" w:hAnsiTheme="majorHAnsi" w:cstheme="majorHAnsi"/>
                <w:sz w:val="20"/>
              </w:rPr>
            </w:pPr>
            <w:r w:rsidRPr="00D96D32">
              <w:rPr>
                <w:rFonts w:asciiTheme="majorHAnsi" w:hAnsiTheme="majorHAnsi" w:cstheme="majorHAnsi"/>
                <w:sz w:val="20"/>
              </w:rPr>
              <w:t>This financial information for RBSH Group as at 31 December 2011 has been extracted from audited financial information contained within the Annual Report and Accounts of RBS Holdings N.V. published on 23 March 2012.</w:t>
            </w:r>
          </w:p>
        </w:tc>
      </w:tr>
      <w:tr w:rsidR="00D96D32" w:rsidRPr="00D96D32" w:rsidTr="00670B12">
        <w:trPr>
          <w:cantSplit/>
        </w:trPr>
        <w:tc>
          <w:tcPr>
            <w:tcW w:w="9356" w:type="dxa"/>
            <w:gridSpan w:val="2"/>
            <w:vAlign w:val="bottom"/>
          </w:tcPr>
          <w:p w:rsidR="00D96D32" w:rsidRDefault="00D96D32" w:rsidP="00D96D32">
            <w:pPr>
              <w:pStyle w:val="Note"/>
              <w:spacing w:line="240" w:lineRule="auto"/>
              <w:rPr>
                <w:rFonts w:asciiTheme="majorHAnsi" w:hAnsiTheme="majorHAnsi" w:cstheme="majorHAnsi"/>
                <w:sz w:val="20"/>
              </w:rPr>
            </w:pPr>
            <w:r w:rsidRPr="00D96D32">
              <w:rPr>
                <w:rFonts w:asciiTheme="majorHAnsi" w:hAnsiTheme="majorHAnsi" w:cstheme="majorHAnsi"/>
                <w:sz w:val="20"/>
              </w:rPr>
              <w:t xml:space="preserve">This represents the value of the assets, liabilities and equity as at 31 December 2011 proposed to be transferred to RBS plc over the period up until 31 December 2013. See ‘Notes to pro forma financial information relating to </w:t>
            </w:r>
            <w:r w:rsidR="00A6614B">
              <w:rPr>
                <w:rFonts w:asciiTheme="majorHAnsi" w:hAnsiTheme="majorHAnsi" w:cstheme="majorHAnsi"/>
                <w:sz w:val="20"/>
              </w:rPr>
              <w:t>RBSH Group</w:t>
            </w:r>
            <w:r w:rsidR="00670B55">
              <w:rPr>
                <w:rFonts w:asciiTheme="majorHAnsi" w:hAnsiTheme="majorHAnsi" w:cstheme="majorHAnsi"/>
                <w:sz w:val="20"/>
              </w:rPr>
              <w:t>’</w:t>
            </w:r>
            <w:r w:rsidRPr="00D96D32">
              <w:rPr>
                <w:rFonts w:asciiTheme="majorHAnsi" w:hAnsiTheme="majorHAnsi" w:cstheme="majorHAnsi"/>
                <w:sz w:val="20"/>
              </w:rPr>
              <w:t xml:space="preserve"> for further information. Approximately </w:t>
            </w:r>
            <w:r w:rsidR="00E72F88">
              <w:rPr>
                <w:rFonts w:asciiTheme="majorHAnsi" w:hAnsiTheme="majorHAnsi" w:cstheme="majorHAnsi"/>
                <w:sz w:val="20"/>
              </w:rPr>
              <w:t>sixty per cent.</w:t>
            </w:r>
            <w:r w:rsidRPr="00D96D32">
              <w:rPr>
                <w:rFonts w:asciiTheme="majorHAnsi" w:hAnsiTheme="majorHAnsi" w:cstheme="majorHAnsi"/>
                <w:sz w:val="20"/>
              </w:rPr>
              <w:t xml:space="preserve"> of the equity </w:t>
            </w:r>
            <w:r w:rsidR="00CC260B">
              <w:rPr>
                <w:rFonts w:asciiTheme="majorHAnsi" w:hAnsiTheme="majorHAnsi" w:cstheme="majorHAnsi"/>
                <w:sz w:val="20"/>
              </w:rPr>
              <w:t>included in the Proposed Transfers is in conjunction with the Netherlands and EMEA activities</w:t>
            </w:r>
            <w:r w:rsidRPr="00D96D32">
              <w:rPr>
                <w:rFonts w:asciiTheme="majorHAnsi" w:hAnsiTheme="majorHAnsi" w:cstheme="majorHAnsi"/>
                <w:sz w:val="20"/>
              </w:rPr>
              <w:t xml:space="preserve"> to be transferred to RBS plc in 2012</w:t>
            </w:r>
            <w:r w:rsidR="00CC260B">
              <w:rPr>
                <w:rFonts w:asciiTheme="majorHAnsi" w:hAnsiTheme="majorHAnsi" w:cstheme="majorHAnsi"/>
                <w:sz w:val="20"/>
              </w:rPr>
              <w:t xml:space="preserve">, refer to Note 19 </w:t>
            </w:r>
            <w:r w:rsidR="005675EA">
              <w:rPr>
                <w:rFonts w:asciiTheme="majorHAnsi" w:hAnsiTheme="majorHAnsi" w:cstheme="majorHAnsi"/>
                <w:sz w:val="20"/>
              </w:rPr>
              <w:t xml:space="preserve">of </w:t>
            </w:r>
            <w:r w:rsidR="005675EA" w:rsidRPr="00D96D32">
              <w:rPr>
                <w:rFonts w:asciiTheme="majorHAnsi" w:hAnsiTheme="majorHAnsi" w:cstheme="majorHAnsi"/>
                <w:sz w:val="20"/>
              </w:rPr>
              <w:t>the Annual Report and Accounts of RBS Holdings N.V. published on 23 March 2012</w:t>
            </w:r>
            <w:r w:rsidRPr="00D96D32">
              <w:rPr>
                <w:rFonts w:asciiTheme="majorHAnsi" w:hAnsiTheme="majorHAnsi" w:cstheme="majorHAnsi"/>
                <w:sz w:val="20"/>
              </w:rPr>
              <w:t>.</w:t>
            </w:r>
          </w:p>
          <w:p w:rsidR="00D96D32" w:rsidRDefault="00D96D32" w:rsidP="00D96D32">
            <w:pPr>
              <w:pStyle w:val="Note"/>
              <w:spacing w:line="240" w:lineRule="auto"/>
              <w:rPr>
                <w:rFonts w:asciiTheme="majorHAnsi" w:hAnsiTheme="majorHAnsi" w:cstheme="majorHAnsi"/>
                <w:sz w:val="20"/>
              </w:rPr>
            </w:pPr>
            <w:r w:rsidRPr="00D96D32">
              <w:rPr>
                <w:rFonts w:asciiTheme="majorHAnsi" w:hAnsiTheme="majorHAnsi" w:cstheme="majorHAnsi"/>
                <w:sz w:val="20"/>
              </w:rPr>
              <w:t>This represents the value of the assets, liabilities and equity as at 31 December 2011 assuming the Proposed Transfers had occurred at that date.</w:t>
            </w:r>
          </w:p>
          <w:p w:rsidR="00D96D32" w:rsidRPr="00D96D32" w:rsidRDefault="00D96D32" w:rsidP="00D96D32">
            <w:pPr>
              <w:pStyle w:val="Note"/>
              <w:spacing w:line="240" w:lineRule="auto"/>
              <w:rPr>
                <w:rFonts w:asciiTheme="majorHAnsi" w:hAnsiTheme="majorHAnsi" w:cstheme="majorHAnsi"/>
                <w:sz w:val="20"/>
              </w:rPr>
            </w:pPr>
            <w:r w:rsidRPr="00D96D32">
              <w:rPr>
                <w:rFonts w:asciiTheme="majorHAnsi" w:hAnsiTheme="majorHAnsi" w:cstheme="majorHAnsi"/>
                <w:sz w:val="20"/>
              </w:rPr>
              <w:t>As part of the Proposed Transfers it is assumed that all intercompany transactions are settled and that the retained business is refinanced according to its funding needs.</w:t>
            </w:r>
          </w:p>
        </w:tc>
      </w:tr>
    </w:tbl>
    <w:p w:rsidR="00D96D32" w:rsidRPr="00D96D32" w:rsidRDefault="00CC260B" w:rsidP="00D96D32">
      <w:pPr>
        <w:pStyle w:val="SubHead"/>
        <w:rPr>
          <w:rFonts w:asciiTheme="majorHAnsi" w:hAnsiTheme="majorHAnsi" w:cstheme="majorHAnsi"/>
          <w:sz w:val="20"/>
          <w:szCs w:val="20"/>
        </w:rPr>
      </w:pPr>
      <w:r>
        <w:rPr>
          <w:rFonts w:asciiTheme="majorHAnsi" w:hAnsiTheme="majorHAnsi" w:cstheme="majorHAnsi"/>
          <w:sz w:val="20"/>
          <w:szCs w:val="20"/>
        </w:rPr>
        <w:br w:type="column"/>
      </w:r>
      <w:r w:rsidR="00D96D32" w:rsidRPr="00D96D32">
        <w:rPr>
          <w:rFonts w:asciiTheme="majorHAnsi" w:hAnsiTheme="majorHAnsi" w:cstheme="majorHAnsi"/>
          <w:sz w:val="20"/>
          <w:szCs w:val="20"/>
        </w:rPr>
        <w:t xml:space="preserve">Unaudited pro forma </w:t>
      </w:r>
      <w:r w:rsidR="005675EA">
        <w:rPr>
          <w:rFonts w:asciiTheme="majorHAnsi" w:hAnsiTheme="majorHAnsi" w:cstheme="majorHAnsi"/>
          <w:sz w:val="20"/>
          <w:szCs w:val="20"/>
        </w:rPr>
        <w:t>c</w:t>
      </w:r>
      <w:r w:rsidR="00D96D32" w:rsidRPr="00D96D32">
        <w:rPr>
          <w:rFonts w:asciiTheme="majorHAnsi" w:hAnsiTheme="majorHAnsi" w:cstheme="majorHAnsi"/>
          <w:sz w:val="20"/>
          <w:szCs w:val="20"/>
        </w:rPr>
        <w:t xml:space="preserve">ondensed </w:t>
      </w:r>
      <w:r w:rsidR="005675EA">
        <w:rPr>
          <w:rFonts w:asciiTheme="majorHAnsi" w:hAnsiTheme="majorHAnsi" w:cstheme="majorHAnsi"/>
          <w:sz w:val="20"/>
          <w:szCs w:val="20"/>
        </w:rPr>
        <w:t>c</w:t>
      </w:r>
      <w:r w:rsidR="00D96D32" w:rsidRPr="00D96D32">
        <w:rPr>
          <w:rFonts w:asciiTheme="majorHAnsi" w:hAnsiTheme="majorHAnsi" w:cstheme="majorHAnsi"/>
          <w:sz w:val="20"/>
          <w:szCs w:val="20"/>
        </w:rPr>
        <w:t xml:space="preserve">onsolidated </w:t>
      </w:r>
      <w:r w:rsidR="005675EA">
        <w:rPr>
          <w:rFonts w:asciiTheme="majorHAnsi" w:hAnsiTheme="majorHAnsi" w:cstheme="majorHAnsi"/>
          <w:sz w:val="20"/>
          <w:szCs w:val="20"/>
        </w:rPr>
        <w:t>s</w:t>
      </w:r>
      <w:r w:rsidR="00D96D32">
        <w:rPr>
          <w:rFonts w:asciiTheme="majorHAnsi" w:hAnsiTheme="majorHAnsi" w:cstheme="majorHAnsi"/>
          <w:sz w:val="20"/>
          <w:szCs w:val="20"/>
        </w:rPr>
        <w:t>tatement</w:t>
      </w:r>
      <w:r w:rsidR="005675EA">
        <w:rPr>
          <w:rFonts w:asciiTheme="majorHAnsi" w:hAnsiTheme="majorHAnsi" w:cstheme="majorHAnsi"/>
          <w:sz w:val="20"/>
          <w:szCs w:val="20"/>
        </w:rPr>
        <w:t xml:space="preserve"> of income</w:t>
      </w:r>
      <w:r w:rsidR="00D96D32">
        <w:rPr>
          <w:rFonts w:asciiTheme="majorHAnsi" w:hAnsiTheme="majorHAnsi" w:cstheme="majorHAnsi"/>
          <w:sz w:val="20"/>
          <w:szCs w:val="20"/>
        </w:rPr>
        <w:t xml:space="preserve"> for the year ended 31 </w:t>
      </w:r>
      <w:r w:rsidR="00D96D32" w:rsidRPr="00D96D32">
        <w:rPr>
          <w:rFonts w:asciiTheme="majorHAnsi" w:hAnsiTheme="majorHAnsi" w:cstheme="majorHAnsi"/>
          <w:sz w:val="20"/>
          <w:szCs w:val="20"/>
        </w:rPr>
        <w:t>December 201</w:t>
      </w:r>
      <w:r w:rsidR="005778C1">
        <w:rPr>
          <w:rFonts w:asciiTheme="majorHAnsi" w:hAnsiTheme="majorHAnsi" w:cstheme="majorHAnsi"/>
          <w:sz w:val="20"/>
          <w:szCs w:val="20"/>
        </w:rPr>
        <w:t>1</w:t>
      </w:r>
    </w:p>
    <w:tbl>
      <w:tblPr>
        <w:tblW w:w="9049" w:type="dxa"/>
        <w:tblInd w:w="434" w:type="dxa"/>
        <w:tblLayout w:type="fixed"/>
        <w:tblCellMar>
          <w:left w:w="0" w:type="dxa"/>
          <w:right w:w="0" w:type="dxa"/>
        </w:tblCellMar>
        <w:tblLook w:val="0000" w:firstRow="0" w:lastRow="0" w:firstColumn="0" w:lastColumn="0" w:noHBand="0" w:noVBand="0"/>
      </w:tblPr>
      <w:tblGrid>
        <w:gridCol w:w="4574"/>
        <w:gridCol w:w="284"/>
        <w:gridCol w:w="1132"/>
        <w:gridCol w:w="284"/>
        <w:gridCol w:w="1132"/>
        <w:gridCol w:w="284"/>
        <w:gridCol w:w="1132"/>
        <w:gridCol w:w="227"/>
      </w:tblGrid>
      <w:tr w:rsidR="00D96D32" w:rsidRPr="00D96D32" w:rsidTr="00670B12">
        <w:trPr>
          <w:tblHeader/>
        </w:trPr>
        <w:tc>
          <w:tcPr>
            <w:tcW w:w="4574" w:type="dxa"/>
            <w:vAlign w:val="bottom"/>
          </w:tcPr>
          <w:p w:rsidR="00D96D32" w:rsidRPr="00D96D32" w:rsidRDefault="00D96D32" w:rsidP="00670B12">
            <w:pPr>
              <w:pStyle w:val="CellHead"/>
              <w:tabs>
                <w:tab w:val="left" w:leader="dot" w:pos="6307"/>
              </w:tabs>
              <w:rPr>
                <w:rFonts w:asciiTheme="majorHAnsi" w:hAnsiTheme="majorHAnsi" w:cstheme="majorHAnsi"/>
                <w:sz w:val="20"/>
                <w:szCs w:val="20"/>
              </w:rPr>
            </w:pPr>
          </w:p>
        </w:tc>
        <w:tc>
          <w:tcPr>
            <w:tcW w:w="284" w:type="dxa"/>
            <w:vAlign w:val="bottom"/>
          </w:tcPr>
          <w:p w:rsidR="00D96D32" w:rsidRPr="00D96D32" w:rsidRDefault="00D96D32" w:rsidP="00670B12">
            <w:pPr>
              <w:pStyle w:val="CellRowSpacer"/>
              <w:rPr>
                <w:rFonts w:asciiTheme="majorHAnsi" w:hAnsiTheme="majorHAnsi" w:cstheme="majorHAnsi"/>
                <w:sz w:val="20"/>
              </w:rPr>
            </w:pPr>
          </w:p>
        </w:tc>
        <w:tc>
          <w:tcPr>
            <w:tcW w:w="1132" w:type="dxa"/>
            <w:tcBorders>
              <w:bottom w:val="single" w:sz="4" w:space="0" w:color="auto"/>
            </w:tcBorders>
            <w:vAlign w:val="bottom"/>
          </w:tcPr>
          <w:p w:rsidR="00D96D32" w:rsidRPr="00D96D32" w:rsidRDefault="00D96D32" w:rsidP="005675EA">
            <w:pPr>
              <w:pStyle w:val="CellHead"/>
              <w:jc w:val="right"/>
              <w:rPr>
                <w:rFonts w:asciiTheme="majorHAnsi" w:hAnsiTheme="majorHAnsi" w:cstheme="majorHAnsi"/>
                <w:sz w:val="20"/>
                <w:szCs w:val="20"/>
              </w:rPr>
            </w:pPr>
            <w:r w:rsidRPr="00D96D32">
              <w:rPr>
                <w:rFonts w:asciiTheme="majorHAnsi" w:hAnsiTheme="majorHAnsi" w:cstheme="majorHAnsi"/>
                <w:sz w:val="20"/>
                <w:szCs w:val="20"/>
              </w:rPr>
              <w:t>RBS</w:t>
            </w:r>
            <w:r w:rsidR="00B70E14">
              <w:rPr>
                <w:rFonts w:asciiTheme="majorHAnsi" w:hAnsiTheme="majorHAnsi" w:cstheme="majorHAnsi"/>
                <w:sz w:val="20"/>
                <w:szCs w:val="20"/>
              </w:rPr>
              <w:t>H</w:t>
            </w:r>
            <w:r w:rsidR="005675EA">
              <w:rPr>
                <w:rFonts w:asciiTheme="majorHAnsi" w:hAnsiTheme="majorHAnsi" w:cstheme="majorHAnsi"/>
                <w:sz w:val="20"/>
                <w:szCs w:val="20"/>
              </w:rPr>
              <w:t xml:space="preserve"> Group</w:t>
            </w:r>
            <w:r w:rsidRPr="00D96D32">
              <w:rPr>
                <w:rFonts w:asciiTheme="majorHAnsi" w:hAnsiTheme="majorHAnsi" w:cstheme="majorHAnsi"/>
                <w:sz w:val="20"/>
                <w:szCs w:val="20"/>
                <w:vertAlign w:val="superscript"/>
              </w:rPr>
              <w:t>(1)</w:t>
            </w:r>
          </w:p>
        </w:tc>
        <w:tc>
          <w:tcPr>
            <w:tcW w:w="284" w:type="dxa"/>
            <w:vAlign w:val="bottom"/>
          </w:tcPr>
          <w:p w:rsidR="00D96D32" w:rsidRPr="00D96D32" w:rsidRDefault="00D96D32" w:rsidP="00670B12">
            <w:pPr>
              <w:pStyle w:val="CellRowSpacer"/>
              <w:jc w:val="right"/>
              <w:rPr>
                <w:rFonts w:asciiTheme="majorHAnsi" w:hAnsiTheme="majorHAnsi" w:cstheme="majorHAnsi"/>
                <w:sz w:val="20"/>
              </w:rPr>
            </w:pPr>
          </w:p>
        </w:tc>
        <w:tc>
          <w:tcPr>
            <w:tcW w:w="1132" w:type="dxa"/>
            <w:tcBorders>
              <w:bottom w:val="single" w:sz="4" w:space="0" w:color="auto"/>
            </w:tcBorders>
            <w:vAlign w:val="bottom"/>
          </w:tcPr>
          <w:p w:rsidR="00D96D32" w:rsidRPr="00D96D32" w:rsidRDefault="00D96D32" w:rsidP="00670B12">
            <w:pPr>
              <w:pStyle w:val="CellHead"/>
              <w:jc w:val="right"/>
              <w:rPr>
                <w:rFonts w:asciiTheme="majorHAnsi" w:hAnsiTheme="majorHAnsi" w:cstheme="majorHAnsi"/>
                <w:sz w:val="20"/>
                <w:szCs w:val="20"/>
              </w:rPr>
            </w:pPr>
            <w:r w:rsidRPr="00D96D32">
              <w:rPr>
                <w:rFonts w:asciiTheme="majorHAnsi" w:hAnsiTheme="majorHAnsi" w:cstheme="majorHAnsi"/>
                <w:sz w:val="20"/>
                <w:szCs w:val="20"/>
              </w:rPr>
              <w:t>Proposed Transfers</w:t>
            </w:r>
            <w:r w:rsidRPr="00D96D32">
              <w:rPr>
                <w:rFonts w:asciiTheme="majorHAnsi" w:hAnsiTheme="majorHAnsi" w:cstheme="majorHAnsi"/>
                <w:sz w:val="20"/>
                <w:szCs w:val="20"/>
                <w:vertAlign w:val="superscript"/>
              </w:rPr>
              <w:t>(2)</w:t>
            </w:r>
          </w:p>
        </w:tc>
        <w:tc>
          <w:tcPr>
            <w:tcW w:w="284" w:type="dxa"/>
            <w:vAlign w:val="bottom"/>
          </w:tcPr>
          <w:p w:rsidR="00D96D32" w:rsidRPr="00D96D32" w:rsidRDefault="00D96D32" w:rsidP="00670B12">
            <w:pPr>
              <w:pStyle w:val="CellRowSpacer"/>
              <w:jc w:val="right"/>
              <w:rPr>
                <w:rFonts w:asciiTheme="majorHAnsi" w:hAnsiTheme="majorHAnsi" w:cstheme="majorHAnsi"/>
                <w:sz w:val="20"/>
              </w:rPr>
            </w:pPr>
          </w:p>
        </w:tc>
        <w:tc>
          <w:tcPr>
            <w:tcW w:w="1132" w:type="dxa"/>
            <w:tcBorders>
              <w:bottom w:val="single" w:sz="4" w:space="0" w:color="auto"/>
            </w:tcBorders>
            <w:vAlign w:val="bottom"/>
          </w:tcPr>
          <w:p w:rsidR="00D96D32" w:rsidRPr="00D96D32" w:rsidRDefault="00D96D32" w:rsidP="00B70E14">
            <w:pPr>
              <w:pStyle w:val="CellHead"/>
              <w:jc w:val="right"/>
              <w:rPr>
                <w:rFonts w:asciiTheme="majorHAnsi" w:hAnsiTheme="majorHAnsi" w:cstheme="majorHAnsi"/>
                <w:sz w:val="20"/>
                <w:szCs w:val="20"/>
              </w:rPr>
            </w:pPr>
            <w:r w:rsidRPr="00D96D32">
              <w:rPr>
                <w:rFonts w:asciiTheme="majorHAnsi" w:hAnsiTheme="majorHAnsi" w:cstheme="majorHAnsi"/>
                <w:sz w:val="20"/>
                <w:szCs w:val="20"/>
              </w:rPr>
              <w:t xml:space="preserve">Pro Forma </w:t>
            </w:r>
            <w:r w:rsidR="00B70E14">
              <w:rPr>
                <w:rFonts w:asciiTheme="majorHAnsi" w:hAnsiTheme="majorHAnsi" w:cstheme="majorHAnsi"/>
                <w:sz w:val="20"/>
                <w:szCs w:val="20"/>
              </w:rPr>
              <w:t>t</w:t>
            </w:r>
            <w:r w:rsidRPr="00D96D32">
              <w:rPr>
                <w:rFonts w:asciiTheme="majorHAnsi" w:hAnsiTheme="majorHAnsi" w:cstheme="majorHAnsi"/>
                <w:sz w:val="20"/>
                <w:szCs w:val="20"/>
              </w:rPr>
              <w:t>otal</w:t>
            </w:r>
            <w:r w:rsidRPr="00D96D32">
              <w:rPr>
                <w:rFonts w:asciiTheme="majorHAnsi" w:hAnsiTheme="majorHAnsi" w:cstheme="majorHAnsi"/>
                <w:sz w:val="20"/>
                <w:szCs w:val="20"/>
                <w:vertAlign w:val="superscript"/>
              </w:rPr>
              <w:t>(3)</w:t>
            </w:r>
          </w:p>
        </w:tc>
        <w:tc>
          <w:tcPr>
            <w:tcW w:w="227" w:type="dxa"/>
            <w:vAlign w:val="bottom"/>
          </w:tcPr>
          <w:p w:rsidR="00D96D32" w:rsidRPr="00D96D32" w:rsidRDefault="00D96D32" w:rsidP="00670B12">
            <w:pPr>
              <w:pStyle w:val="CellRowSpacer"/>
              <w:rPr>
                <w:rFonts w:asciiTheme="majorHAnsi" w:hAnsiTheme="majorHAnsi" w:cstheme="majorHAnsi"/>
                <w:sz w:val="20"/>
              </w:rPr>
            </w:pPr>
          </w:p>
        </w:tc>
      </w:tr>
      <w:tr w:rsidR="00D96D32" w:rsidRPr="00D96D32" w:rsidTr="00670B12">
        <w:tc>
          <w:tcPr>
            <w:tcW w:w="4574" w:type="dxa"/>
            <w:vAlign w:val="bottom"/>
          </w:tcPr>
          <w:p w:rsidR="00D96D32" w:rsidRPr="00D96D32" w:rsidRDefault="00D96D32" w:rsidP="00670B12">
            <w:pPr>
              <w:pStyle w:val="CellBody"/>
              <w:tabs>
                <w:tab w:val="left" w:leader="dot" w:pos="5007"/>
              </w:tabs>
              <w:rPr>
                <w:rFonts w:asciiTheme="majorHAnsi" w:hAnsiTheme="majorHAnsi" w:cstheme="majorHAnsi"/>
                <w:b/>
                <w:sz w:val="20"/>
              </w:rPr>
            </w:pPr>
          </w:p>
        </w:tc>
        <w:tc>
          <w:tcPr>
            <w:tcW w:w="284" w:type="dxa"/>
            <w:vAlign w:val="bottom"/>
          </w:tcPr>
          <w:p w:rsidR="00D96D32" w:rsidRPr="00D96D32" w:rsidRDefault="00D96D32" w:rsidP="00670B12">
            <w:pPr>
              <w:pStyle w:val="CellRowSpacer"/>
              <w:rPr>
                <w:rFonts w:asciiTheme="majorHAnsi" w:hAnsiTheme="majorHAnsi" w:cstheme="majorHAnsi"/>
                <w:sz w:val="20"/>
              </w:rPr>
            </w:pPr>
          </w:p>
        </w:tc>
        <w:tc>
          <w:tcPr>
            <w:tcW w:w="1132" w:type="dxa"/>
            <w:vAlign w:val="bottom"/>
          </w:tcPr>
          <w:p w:rsidR="00D96D32" w:rsidRPr="00D96D32" w:rsidRDefault="00D96D32" w:rsidP="00B70E14">
            <w:pPr>
              <w:pStyle w:val="Cell-Headitalic"/>
              <w:ind w:right="100"/>
              <w:jc w:val="right"/>
              <w:rPr>
                <w:rFonts w:asciiTheme="majorHAnsi" w:hAnsiTheme="majorHAnsi" w:cstheme="majorHAnsi"/>
                <w:sz w:val="20"/>
              </w:rPr>
            </w:pPr>
            <w:r w:rsidRPr="00D96D32">
              <w:rPr>
                <w:rFonts w:asciiTheme="majorHAnsi" w:hAnsiTheme="majorHAnsi" w:cstheme="majorHAnsi"/>
                <w:i w:val="0"/>
                <w:sz w:val="20"/>
              </w:rPr>
              <w:t>€m</w:t>
            </w:r>
          </w:p>
        </w:tc>
        <w:tc>
          <w:tcPr>
            <w:tcW w:w="284" w:type="dxa"/>
            <w:vAlign w:val="bottom"/>
          </w:tcPr>
          <w:p w:rsidR="00D96D32" w:rsidRPr="00D96D32" w:rsidRDefault="00D96D32" w:rsidP="00670B12">
            <w:pPr>
              <w:pStyle w:val="CellRowSpacer"/>
              <w:rPr>
                <w:rFonts w:asciiTheme="majorHAnsi" w:hAnsiTheme="majorHAnsi" w:cstheme="majorHAnsi"/>
                <w:b/>
                <w:bCs/>
                <w:sz w:val="20"/>
              </w:rPr>
            </w:pPr>
          </w:p>
        </w:tc>
        <w:tc>
          <w:tcPr>
            <w:tcW w:w="1132" w:type="dxa"/>
            <w:vAlign w:val="bottom"/>
          </w:tcPr>
          <w:p w:rsidR="00D96D32" w:rsidRPr="00D96D32" w:rsidRDefault="00D96D32" w:rsidP="00B70E14">
            <w:pPr>
              <w:pStyle w:val="Cell-Headitalic"/>
              <w:ind w:right="100"/>
              <w:jc w:val="right"/>
              <w:rPr>
                <w:rFonts w:asciiTheme="majorHAnsi" w:hAnsiTheme="majorHAnsi" w:cstheme="majorHAnsi"/>
                <w:sz w:val="20"/>
              </w:rPr>
            </w:pPr>
            <w:r w:rsidRPr="00D96D32">
              <w:rPr>
                <w:rFonts w:asciiTheme="majorHAnsi" w:hAnsiTheme="majorHAnsi" w:cstheme="majorHAnsi"/>
                <w:i w:val="0"/>
                <w:sz w:val="20"/>
              </w:rPr>
              <w:t>€m</w:t>
            </w:r>
          </w:p>
        </w:tc>
        <w:tc>
          <w:tcPr>
            <w:tcW w:w="284" w:type="dxa"/>
            <w:vAlign w:val="bottom"/>
          </w:tcPr>
          <w:p w:rsidR="00D96D32" w:rsidRPr="00D96D32" w:rsidRDefault="00D96D32" w:rsidP="00670B12">
            <w:pPr>
              <w:pStyle w:val="CellRowSpacer"/>
              <w:jc w:val="right"/>
              <w:rPr>
                <w:rFonts w:asciiTheme="majorHAnsi" w:hAnsiTheme="majorHAnsi" w:cstheme="majorHAnsi"/>
                <w:b/>
                <w:bCs/>
                <w:sz w:val="20"/>
              </w:rPr>
            </w:pPr>
          </w:p>
        </w:tc>
        <w:tc>
          <w:tcPr>
            <w:tcW w:w="1132" w:type="dxa"/>
            <w:vAlign w:val="bottom"/>
          </w:tcPr>
          <w:p w:rsidR="00D96D32" w:rsidRPr="00D96D32" w:rsidRDefault="00D96D32" w:rsidP="00B70E14">
            <w:pPr>
              <w:pStyle w:val="Cell-Headitalic"/>
              <w:ind w:right="100"/>
              <w:jc w:val="right"/>
              <w:rPr>
                <w:rFonts w:asciiTheme="majorHAnsi" w:hAnsiTheme="majorHAnsi" w:cstheme="majorHAnsi"/>
                <w:sz w:val="20"/>
              </w:rPr>
            </w:pPr>
            <w:r w:rsidRPr="00D96D32">
              <w:rPr>
                <w:rFonts w:asciiTheme="majorHAnsi" w:hAnsiTheme="majorHAnsi" w:cstheme="majorHAnsi"/>
                <w:i w:val="0"/>
                <w:sz w:val="20"/>
              </w:rPr>
              <w:t>€m</w:t>
            </w:r>
          </w:p>
        </w:tc>
        <w:tc>
          <w:tcPr>
            <w:tcW w:w="227" w:type="dxa"/>
            <w:vAlign w:val="bottom"/>
          </w:tcPr>
          <w:p w:rsidR="00D96D32" w:rsidRPr="00D96D32" w:rsidRDefault="00D96D32" w:rsidP="00670B12">
            <w:pPr>
              <w:pStyle w:val="CellRowSpacer"/>
              <w:rPr>
                <w:rFonts w:asciiTheme="majorHAnsi" w:hAnsiTheme="majorHAnsi" w:cstheme="majorHAnsi"/>
                <w:sz w:val="20"/>
              </w:rPr>
            </w:pPr>
          </w:p>
        </w:tc>
      </w:tr>
      <w:tr w:rsidR="00D96D32" w:rsidRPr="00D96D32" w:rsidTr="00670B12">
        <w:tc>
          <w:tcPr>
            <w:tcW w:w="4574" w:type="dxa"/>
            <w:vAlign w:val="bottom"/>
          </w:tcPr>
          <w:p w:rsidR="00D96D32" w:rsidRPr="00D96D32" w:rsidRDefault="00D96D32" w:rsidP="00670B12">
            <w:pPr>
              <w:pStyle w:val="CellBody"/>
              <w:tabs>
                <w:tab w:val="left" w:leader="dot" w:pos="5007"/>
              </w:tabs>
              <w:spacing w:beforeLines="40" w:before="96" w:after="0" w:line="240" w:lineRule="auto"/>
              <w:rPr>
                <w:rFonts w:asciiTheme="majorHAnsi" w:hAnsiTheme="majorHAnsi" w:cstheme="majorHAnsi"/>
                <w:b/>
                <w:sz w:val="20"/>
              </w:rPr>
            </w:pPr>
            <w:r w:rsidRPr="00D96D32">
              <w:rPr>
                <w:rFonts w:asciiTheme="majorHAnsi" w:hAnsiTheme="majorHAnsi" w:cstheme="majorHAnsi"/>
                <w:b/>
                <w:sz w:val="20"/>
              </w:rPr>
              <w:t>Net interest income</w:t>
            </w:r>
            <w:r w:rsidRPr="00D96D32">
              <w:rPr>
                <w:rFonts w:asciiTheme="majorHAnsi" w:hAnsiTheme="majorHAnsi" w:cstheme="majorHAnsi"/>
                <w:sz w:val="20"/>
              </w:rPr>
              <w:tab/>
            </w:r>
          </w:p>
        </w:tc>
        <w:tc>
          <w:tcPr>
            <w:tcW w:w="284"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c>
          <w:tcPr>
            <w:tcW w:w="1132" w:type="dxa"/>
            <w:vAlign w:val="bottom"/>
          </w:tcPr>
          <w:p w:rsidR="00D96D32" w:rsidRPr="00D96D32" w:rsidRDefault="00D96D32" w:rsidP="00670B12">
            <w:pPr>
              <w:pStyle w:val="Tablecontentsblackright"/>
              <w:rPr>
                <w:rFonts w:asciiTheme="majorHAnsi" w:hAnsiTheme="majorHAnsi" w:cstheme="majorHAnsi"/>
                <w:sz w:val="20"/>
                <w:szCs w:val="20"/>
              </w:rPr>
            </w:pPr>
            <w:r w:rsidRPr="00D96D32">
              <w:rPr>
                <w:rFonts w:asciiTheme="majorHAnsi" w:hAnsiTheme="majorHAnsi" w:cstheme="majorHAnsi"/>
                <w:sz w:val="20"/>
                <w:szCs w:val="20"/>
              </w:rPr>
              <w:t>688</w:t>
            </w:r>
            <w:r w:rsidR="00E72F88">
              <w:rPr>
                <w:rFonts w:asciiTheme="majorHAnsi" w:hAnsiTheme="majorHAnsi" w:cstheme="majorHAnsi"/>
                <w:sz w:val="20"/>
                <w:szCs w:val="20"/>
              </w:rPr>
              <w:t xml:space="preserve"> </w:t>
            </w:r>
            <w:r w:rsidRPr="00D96D32">
              <w:rPr>
                <w:rFonts w:asciiTheme="majorHAnsi" w:hAnsiTheme="majorHAnsi" w:cstheme="majorHAnsi"/>
                <w:sz w:val="20"/>
                <w:szCs w:val="20"/>
              </w:rPr>
              <w:t>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b/>
                <w:bCs/>
                <w:sz w:val="20"/>
              </w:rPr>
            </w:pPr>
          </w:p>
        </w:tc>
        <w:tc>
          <w:tcPr>
            <w:tcW w:w="1132" w:type="dxa"/>
            <w:vAlign w:val="bottom"/>
          </w:tcPr>
          <w:p w:rsidR="00D96D32" w:rsidRPr="00D96D32" w:rsidRDefault="00367708" w:rsidP="00E72F88">
            <w:pPr>
              <w:pStyle w:val="Tablecontentsblackright"/>
              <w:rPr>
                <w:rFonts w:asciiTheme="majorHAnsi" w:hAnsiTheme="majorHAnsi" w:cstheme="majorHAnsi"/>
                <w:sz w:val="20"/>
                <w:szCs w:val="20"/>
              </w:rPr>
            </w:pPr>
            <w:r>
              <w:rPr>
                <w:rFonts w:asciiTheme="majorHAnsi" w:hAnsiTheme="majorHAnsi" w:cstheme="majorHAnsi"/>
                <w:sz w:val="20"/>
                <w:szCs w:val="20"/>
              </w:rPr>
              <w:t>682</w:t>
            </w:r>
            <w:r w:rsidR="00E72F88">
              <w:rPr>
                <w:rFonts w:asciiTheme="majorHAnsi" w:hAnsiTheme="majorHAnsi" w:cstheme="majorHAnsi"/>
                <w:sz w:val="20"/>
                <w:szCs w:val="20"/>
              </w:rPr>
              <w:t xml:space="preserve"> </w:t>
            </w:r>
            <w:r w:rsidR="00D96D32" w:rsidRPr="00D96D32">
              <w:rPr>
                <w:rFonts w:asciiTheme="majorHAnsi" w:hAnsiTheme="majorHAnsi" w:cstheme="majorHAnsi"/>
                <w:sz w:val="20"/>
                <w:szCs w:val="20"/>
              </w:rPr>
              <w:t>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b/>
                <w:bCs/>
                <w:sz w:val="20"/>
              </w:rPr>
            </w:pPr>
          </w:p>
        </w:tc>
        <w:tc>
          <w:tcPr>
            <w:tcW w:w="1132" w:type="dxa"/>
            <w:vAlign w:val="bottom"/>
          </w:tcPr>
          <w:p w:rsidR="00D96D32" w:rsidRPr="00D96D32" w:rsidRDefault="00367708" w:rsidP="005778C1">
            <w:pPr>
              <w:pStyle w:val="Tablecontentsblackright"/>
              <w:rPr>
                <w:rFonts w:asciiTheme="majorHAnsi" w:hAnsiTheme="majorHAnsi" w:cstheme="majorHAnsi"/>
                <w:sz w:val="20"/>
                <w:szCs w:val="20"/>
              </w:rPr>
            </w:pPr>
            <w:r>
              <w:rPr>
                <w:rFonts w:asciiTheme="majorHAnsi" w:hAnsiTheme="majorHAnsi" w:cstheme="majorHAnsi"/>
                <w:sz w:val="20"/>
                <w:szCs w:val="20"/>
              </w:rPr>
              <w:t>6</w:t>
            </w:r>
            <w:r w:rsidR="00D96D32" w:rsidRPr="00D96D32">
              <w:rPr>
                <w:rFonts w:asciiTheme="majorHAnsi" w:hAnsiTheme="majorHAnsi" w:cstheme="majorHAnsi"/>
                <w:sz w:val="20"/>
                <w:szCs w:val="20"/>
              </w:rPr>
              <w:t xml:space="preserve">  </w:t>
            </w:r>
          </w:p>
        </w:tc>
        <w:tc>
          <w:tcPr>
            <w:tcW w:w="227"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r>
      <w:tr w:rsidR="00D96D32" w:rsidRPr="00D96D32" w:rsidTr="00670B12">
        <w:tc>
          <w:tcPr>
            <w:tcW w:w="4574" w:type="dxa"/>
            <w:vAlign w:val="bottom"/>
          </w:tcPr>
          <w:p w:rsidR="00D96D32" w:rsidRPr="00D96D32" w:rsidRDefault="00D96D32" w:rsidP="00670B12">
            <w:pPr>
              <w:pStyle w:val="CellBody"/>
              <w:tabs>
                <w:tab w:val="left" w:leader="dot" w:pos="5007"/>
              </w:tabs>
              <w:spacing w:beforeLines="40" w:before="96" w:after="0" w:line="240" w:lineRule="auto"/>
              <w:rPr>
                <w:rFonts w:asciiTheme="majorHAnsi" w:hAnsiTheme="majorHAnsi" w:cstheme="majorHAnsi"/>
                <w:sz w:val="20"/>
              </w:rPr>
            </w:pPr>
            <w:r w:rsidRPr="00D96D32">
              <w:rPr>
                <w:rFonts w:asciiTheme="majorHAnsi" w:hAnsiTheme="majorHAnsi" w:cstheme="majorHAnsi"/>
                <w:sz w:val="20"/>
              </w:rPr>
              <w:t>Fees and commissions receivable</w:t>
            </w:r>
            <w:r w:rsidRPr="00D96D32">
              <w:rPr>
                <w:rFonts w:asciiTheme="majorHAnsi" w:hAnsiTheme="majorHAnsi" w:cstheme="majorHAnsi"/>
                <w:sz w:val="20"/>
              </w:rPr>
              <w:tab/>
            </w:r>
          </w:p>
        </w:tc>
        <w:tc>
          <w:tcPr>
            <w:tcW w:w="284"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c>
          <w:tcPr>
            <w:tcW w:w="1132" w:type="dxa"/>
            <w:vAlign w:val="bottom"/>
          </w:tcPr>
          <w:p w:rsidR="00D96D32" w:rsidRPr="00D96D32" w:rsidRDefault="00D96D32" w:rsidP="00670B12">
            <w:pPr>
              <w:pStyle w:val="Tablecontentsblackright"/>
              <w:rPr>
                <w:rFonts w:asciiTheme="majorHAnsi" w:hAnsiTheme="majorHAnsi" w:cstheme="majorHAnsi"/>
                <w:sz w:val="20"/>
                <w:szCs w:val="20"/>
              </w:rPr>
            </w:pPr>
            <w:r w:rsidRPr="00D96D32">
              <w:rPr>
                <w:rFonts w:asciiTheme="majorHAnsi" w:hAnsiTheme="majorHAnsi" w:cstheme="majorHAnsi"/>
                <w:sz w:val="20"/>
                <w:szCs w:val="20"/>
              </w:rPr>
              <w:t>1,039</w:t>
            </w:r>
            <w:r w:rsidR="00E72F88">
              <w:rPr>
                <w:rFonts w:asciiTheme="majorHAnsi" w:hAnsiTheme="majorHAnsi" w:cstheme="majorHAnsi"/>
                <w:sz w:val="20"/>
                <w:szCs w:val="20"/>
              </w:rPr>
              <w:t xml:space="preserve"> </w:t>
            </w:r>
            <w:r w:rsidRPr="00D96D32">
              <w:rPr>
                <w:rFonts w:asciiTheme="majorHAnsi" w:hAnsiTheme="majorHAnsi" w:cstheme="majorHAnsi"/>
                <w:sz w:val="20"/>
                <w:szCs w:val="20"/>
              </w:rPr>
              <w:t xml:space="preserve">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vAlign w:val="bottom"/>
          </w:tcPr>
          <w:p w:rsidR="00D96D32" w:rsidRPr="00D96D32" w:rsidRDefault="00367708" w:rsidP="005778C1">
            <w:pPr>
              <w:pStyle w:val="Tablecontentsblackright"/>
              <w:rPr>
                <w:rFonts w:asciiTheme="majorHAnsi" w:hAnsiTheme="majorHAnsi" w:cstheme="majorHAnsi"/>
                <w:sz w:val="20"/>
                <w:szCs w:val="20"/>
              </w:rPr>
            </w:pPr>
            <w:r>
              <w:rPr>
                <w:rFonts w:asciiTheme="majorHAnsi" w:hAnsiTheme="majorHAnsi" w:cstheme="majorHAnsi"/>
                <w:sz w:val="20"/>
                <w:szCs w:val="20"/>
              </w:rPr>
              <w:t>934</w:t>
            </w:r>
            <w:r w:rsidR="00E72F88">
              <w:rPr>
                <w:rFonts w:asciiTheme="majorHAnsi" w:hAnsiTheme="majorHAnsi" w:cstheme="majorHAnsi"/>
                <w:sz w:val="20"/>
                <w:szCs w:val="20"/>
              </w:rPr>
              <w:t xml:space="preserve"> </w:t>
            </w:r>
            <w:r w:rsidR="00D96D32" w:rsidRPr="00D96D32">
              <w:rPr>
                <w:rFonts w:asciiTheme="majorHAnsi" w:hAnsiTheme="majorHAnsi" w:cstheme="majorHAnsi"/>
                <w:sz w:val="20"/>
                <w:szCs w:val="20"/>
              </w:rPr>
              <w:t>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vAlign w:val="bottom"/>
          </w:tcPr>
          <w:p w:rsidR="00D96D32" w:rsidRPr="00D96D32" w:rsidRDefault="005778C1" w:rsidP="005778C1">
            <w:pPr>
              <w:pStyle w:val="Tablecontentsblackright"/>
              <w:rPr>
                <w:rFonts w:asciiTheme="majorHAnsi" w:hAnsiTheme="majorHAnsi" w:cstheme="majorHAnsi"/>
                <w:sz w:val="20"/>
                <w:szCs w:val="20"/>
              </w:rPr>
            </w:pPr>
            <w:r>
              <w:rPr>
                <w:rFonts w:asciiTheme="majorHAnsi" w:hAnsiTheme="majorHAnsi" w:cstheme="majorHAnsi"/>
                <w:sz w:val="20"/>
                <w:szCs w:val="20"/>
              </w:rPr>
              <w:t>10</w:t>
            </w:r>
            <w:r w:rsidR="00367708">
              <w:rPr>
                <w:rFonts w:asciiTheme="majorHAnsi" w:hAnsiTheme="majorHAnsi" w:cstheme="majorHAnsi"/>
                <w:sz w:val="20"/>
                <w:szCs w:val="20"/>
              </w:rPr>
              <w:t>5</w:t>
            </w:r>
            <w:r w:rsidR="00D96D32" w:rsidRPr="00D96D32">
              <w:rPr>
                <w:rFonts w:asciiTheme="majorHAnsi" w:hAnsiTheme="majorHAnsi" w:cstheme="majorHAnsi"/>
                <w:sz w:val="20"/>
                <w:szCs w:val="20"/>
              </w:rPr>
              <w:t xml:space="preserve">  </w:t>
            </w:r>
          </w:p>
        </w:tc>
        <w:tc>
          <w:tcPr>
            <w:tcW w:w="227"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r>
      <w:tr w:rsidR="00D96D32" w:rsidRPr="00D96D32" w:rsidTr="00670B12">
        <w:tc>
          <w:tcPr>
            <w:tcW w:w="4574" w:type="dxa"/>
            <w:vAlign w:val="bottom"/>
          </w:tcPr>
          <w:p w:rsidR="00D96D32" w:rsidRPr="00D96D32" w:rsidRDefault="00D96D32" w:rsidP="00670B12">
            <w:pPr>
              <w:pStyle w:val="CellBody"/>
              <w:tabs>
                <w:tab w:val="left" w:leader="dot" w:pos="5007"/>
              </w:tabs>
              <w:spacing w:beforeLines="40" w:before="96" w:after="0" w:line="240" w:lineRule="auto"/>
              <w:rPr>
                <w:rFonts w:asciiTheme="majorHAnsi" w:hAnsiTheme="majorHAnsi" w:cstheme="majorHAnsi"/>
                <w:sz w:val="20"/>
              </w:rPr>
            </w:pPr>
            <w:r w:rsidRPr="00D96D32">
              <w:rPr>
                <w:rFonts w:asciiTheme="majorHAnsi" w:hAnsiTheme="majorHAnsi" w:cstheme="majorHAnsi"/>
                <w:sz w:val="20"/>
              </w:rPr>
              <w:t>Fees and commissions payable</w:t>
            </w:r>
            <w:r w:rsidRPr="00D96D32">
              <w:rPr>
                <w:rFonts w:asciiTheme="majorHAnsi" w:hAnsiTheme="majorHAnsi" w:cstheme="majorHAnsi"/>
                <w:sz w:val="20"/>
              </w:rPr>
              <w:tab/>
            </w:r>
          </w:p>
        </w:tc>
        <w:tc>
          <w:tcPr>
            <w:tcW w:w="284"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c>
          <w:tcPr>
            <w:tcW w:w="1132" w:type="dxa"/>
            <w:vAlign w:val="bottom"/>
          </w:tcPr>
          <w:p w:rsidR="00D96D32" w:rsidRPr="00D96D32" w:rsidRDefault="00D96D32" w:rsidP="00670B12">
            <w:pPr>
              <w:pStyle w:val="Tablecontentsblackright"/>
              <w:rPr>
                <w:rFonts w:asciiTheme="majorHAnsi" w:hAnsiTheme="majorHAnsi" w:cstheme="majorHAnsi"/>
                <w:sz w:val="20"/>
                <w:szCs w:val="20"/>
              </w:rPr>
            </w:pPr>
            <w:r w:rsidRPr="00D96D32">
              <w:rPr>
                <w:rFonts w:asciiTheme="majorHAnsi" w:hAnsiTheme="majorHAnsi" w:cstheme="majorHAnsi"/>
                <w:sz w:val="20"/>
                <w:szCs w:val="20"/>
              </w:rPr>
              <w:t xml:space="preserve">(367)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vAlign w:val="bottom"/>
          </w:tcPr>
          <w:p w:rsidR="00D96D32" w:rsidRPr="00D96D32" w:rsidRDefault="005778C1" w:rsidP="005778C1">
            <w:pPr>
              <w:pStyle w:val="Tablecontentsblackright"/>
              <w:rPr>
                <w:rFonts w:asciiTheme="majorHAnsi" w:hAnsiTheme="majorHAnsi" w:cstheme="majorHAnsi"/>
                <w:sz w:val="20"/>
                <w:szCs w:val="20"/>
              </w:rPr>
            </w:pPr>
            <w:r>
              <w:rPr>
                <w:rFonts w:asciiTheme="majorHAnsi" w:hAnsiTheme="majorHAnsi" w:cstheme="majorHAnsi"/>
                <w:sz w:val="20"/>
                <w:szCs w:val="20"/>
              </w:rPr>
              <w:t>(260)</w:t>
            </w:r>
            <w:r w:rsidR="00D96D32" w:rsidRPr="00D96D32">
              <w:rPr>
                <w:rFonts w:asciiTheme="majorHAnsi" w:hAnsiTheme="majorHAnsi" w:cstheme="majorHAnsi"/>
                <w:sz w:val="20"/>
                <w:szCs w:val="20"/>
              </w:rPr>
              <w:t>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vAlign w:val="bottom"/>
          </w:tcPr>
          <w:p w:rsidR="00D96D32" w:rsidRPr="00D96D32" w:rsidRDefault="005778C1" w:rsidP="005778C1">
            <w:pPr>
              <w:pStyle w:val="Tablecontentsblackright"/>
              <w:rPr>
                <w:rFonts w:asciiTheme="majorHAnsi" w:hAnsiTheme="majorHAnsi" w:cstheme="majorHAnsi"/>
                <w:sz w:val="20"/>
                <w:szCs w:val="20"/>
              </w:rPr>
            </w:pPr>
            <w:r>
              <w:rPr>
                <w:rFonts w:asciiTheme="majorHAnsi" w:hAnsiTheme="majorHAnsi" w:cstheme="majorHAnsi"/>
                <w:sz w:val="20"/>
                <w:szCs w:val="20"/>
              </w:rPr>
              <w:t>(107)</w:t>
            </w:r>
            <w:r w:rsidR="00D96D32" w:rsidRPr="00D96D32">
              <w:rPr>
                <w:rFonts w:asciiTheme="majorHAnsi" w:hAnsiTheme="majorHAnsi" w:cstheme="majorHAnsi"/>
                <w:sz w:val="20"/>
                <w:szCs w:val="20"/>
              </w:rPr>
              <w:t> </w:t>
            </w:r>
          </w:p>
        </w:tc>
        <w:tc>
          <w:tcPr>
            <w:tcW w:w="227"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r>
      <w:tr w:rsidR="00D96D32" w:rsidRPr="00D96D32" w:rsidTr="00670B12">
        <w:tc>
          <w:tcPr>
            <w:tcW w:w="4574" w:type="dxa"/>
            <w:vAlign w:val="bottom"/>
          </w:tcPr>
          <w:p w:rsidR="00D96D32" w:rsidRPr="00D96D32" w:rsidRDefault="00D96D32" w:rsidP="00670B12">
            <w:pPr>
              <w:pStyle w:val="CellBody"/>
              <w:tabs>
                <w:tab w:val="left" w:leader="dot" w:pos="5007"/>
              </w:tabs>
              <w:spacing w:beforeLines="40" w:before="96" w:after="0" w:line="240" w:lineRule="auto"/>
              <w:rPr>
                <w:rFonts w:asciiTheme="majorHAnsi" w:hAnsiTheme="majorHAnsi" w:cstheme="majorHAnsi"/>
                <w:sz w:val="20"/>
              </w:rPr>
            </w:pPr>
            <w:r w:rsidRPr="00D96D32">
              <w:rPr>
                <w:rFonts w:asciiTheme="majorHAnsi" w:hAnsiTheme="majorHAnsi" w:cstheme="majorHAnsi"/>
                <w:sz w:val="20"/>
              </w:rPr>
              <w:t>Income from trading activities</w:t>
            </w:r>
            <w:r w:rsidRPr="00D96D32">
              <w:rPr>
                <w:rFonts w:asciiTheme="majorHAnsi" w:hAnsiTheme="majorHAnsi" w:cstheme="majorHAnsi"/>
                <w:sz w:val="20"/>
              </w:rPr>
              <w:tab/>
            </w:r>
          </w:p>
        </w:tc>
        <w:tc>
          <w:tcPr>
            <w:tcW w:w="284"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c>
          <w:tcPr>
            <w:tcW w:w="1132" w:type="dxa"/>
            <w:vAlign w:val="bottom"/>
          </w:tcPr>
          <w:p w:rsidR="00D96D32" w:rsidRPr="00D96D32" w:rsidRDefault="00D96D32" w:rsidP="00E72F88">
            <w:pPr>
              <w:pStyle w:val="Tablecontentsblackright"/>
              <w:rPr>
                <w:rFonts w:asciiTheme="majorHAnsi" w:hAnsiTheme="majorHAnsi" w:cstheme="majorHAnsi"/>
                <w:sz w:val="20"/>
                <w:szCs w:val="20"/>
              </w:rPr>
            </w:pPr>
            <w:r w:rsidRPr="00D96D32">
              <w:rPr>
                <w:rFonts w:asciiTheme="majorHAnsi" w:hAnsiTheme="majorHAnsi" w:cstheme="majorHAnsi"/>
                <w:sz w:val="20"/>
                <w:szCs w:val="20"/>
              </w:rPr>
              <w:t>646</w:t>
            </w:r>
            <w:r w:rsidR="00E72F88">
              <w:rPr>
                <w:rFonts w:asciiTheme="majorHAnsi" w:hAnsiTheme="majorHAnsi" w:cstheme="majorHAnsi"/>
                <w:sz w:val="20"/>
                <w:szCs w:val="20"/>
              </w:rPr>
              <w:t xml:space="preserve"> </w:t>
            </w:r>
            <w:r w:rsidRPr="00D96D32">
              <w:rPr>
                <w:rFonts w:asciiTheme="majorHAnsi" w:hAnsiTheme="majorHAnsi" w:cstheme="majorHAnsi"/>
                <w:sz w:val="20"/>
                <w:szCs w:val="20"/>
              </w:rPr>
              <w:t>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vAlign w:val="bottom"/>
          </w:tcPr>
          <w:p w:rsidR="00D96D32" w:rsidRPr="00D96D32" w:rsidRDefault="005778C1" w:rsidP="005778C1">
            <w:pPr>
              <w:pStyle w:val="Tablecontentsblackright"/>
              <w:rPr>
                <w:rFonts w:asciiTheme="majorHAnsi" w:hAnsiTheme="majorHAnsi" w:cstheme="majorHAnsi"/>
                <w:sz w:val="20"/>
                <w:szCs w:val="20"/>
              </w:rPr>
            </w:pPr>
            <w:r>
              <w:rPr>
                <w:rFonts w:asciiTheme="majorHAnsi" w:hAnsiTheme="majorHAnsi" w:cstheme="majorHAnsi"/>
                <w:sz w:val="20"/>
                <w:szCs w:val="20"/>
              </w:rPr>
              <w:t>738</w:t>
            </w:r>
            <w:r w:rsidR="00E72F88">
              <w:rPr>
                <w:rFonts w:asciiTheme="majorHAnsi" w:hAnsiTheme="majorHAnsi" w:cstheme="majorHAnsi"/>
                <w:sz w:val="20"/>
                <w:szCs w:val="20"/>
              </w:rPr>
              <w:t xml:space="preserve"> </w:t>
            </w:r>
            <w:r w:rsidR="00D96D32" w:rsidRPr="00D96D32">
              <w:rPr>
                <w:rFonts w:asciiTheme="majorHAnsi" w:hAnsiTheme="majorHAnsi" w:cstheme="majorHAnsi"/>
                <w:sz w:val="20"/>
                <w:szCs w:val="20"/>
              </w:rPr>
              <w:t>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vAlign w:val="bottom"/>
          </w:tcPr>
          <w:p w:rsidR="00D96D32" w:rsidRPr="00D96D32" w:rsidRDefault="005778C1" w:rsidP="005778C1">
            <w:pPr>
              <w:pStyle w:val="Tablecontentsblackright"/>
              <w:rPr>
                <w:rFonts w:asciiTheme="majorHAnsi" w:hAnsiTheme="majorHAnsi" w:cstheme="majorHAnsi"/>
                <w:sz w:val="20"/>
                <w:szCs w:val="20"/>
              </w:rPr>
            </w:pPr>
            <w:r>
              <w:rPr>
                <w:rFonts w:asciiTheme="majorHAnsi" w:hAnsiTheme="majorHAnsi" w:cstheme="majorHAnsi"/>
                <w:sz w:val="20"/>
                <w:szCs w:val="20"/>
              </w:rPr>
              <w:t>(92)</w:t>
            </w:r>
            <w:r w:rsidR="00D96D32" w:rsidRPr="00D96D32">
              <w:rPr>
                <w:rFonts w:asciiTheme="majorHAnsi" w:hAnsiTheme="majorHAnsi" w:cstheme="majorHAnsi"/>
                <w:sz w:val="20"/>
                <w:szCs w:val="20"/>
              </w:rPr>
              <w:t xml:space="preserve">  </w:t>
            </w:r>
          </w:p>
        </w:tc>
        <w:tc>
          <w:tcPr>
            <w:tcW w:w="227"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r>
      <w:tr w:rsidR="00D96D32" w:rsidRPr="00D96D32" w:rsidTr="005778C1">
        <w:tc>
          <w:tcPr>
            <w:tcW w:w="4574" w:type="dxa"/>
            <w:vAlign w:val="bottom"/>
          </w:tcPr>
          <w:p w:rsidR="00D96D32" w:rsidRPr="00D96D32" w:rsidRDefault="00D96D32" w:rsidP="005675EA">
            <w:pPr>
              <w:pStyle w:val="CellBody"/>
              <w:tabs>
                <w:tab w:val="left" w:leader="dot" w:pos="5007"/>
              </w:tabs>
              <w:spacing w:beforeLines="40" w:before="96" w:after="0" w:line="240" w:lineRule="auto"/>
              <w:rPr>
                <w:rFonts w:asciiTheme="majorHAnsi" w:hAnsiTheme="majorHAnsi" w:cstheme="majorHAnsi"/>
                <w:sz w:val="20"/>
              </w:rPr>
            </w:pPr>
            <w:r w:rsidRPr="00D96D32">
              <w:rPr>
                <w:rFonts w:asciiTheme="majorHAnsi" w:hAnsiTheme="majorHAnsi" w:cstheme="majorHAnsi"/>
                <w:sz w:val="20"/>
              </w:rPr>
              <w:t>Other operating income</w:t>
            </w:r>
            <w:r w:rsidRPr="00D96D32">
              <w:rPr>
                <w:rFonts w:asciiTheme="majorHAnsi" w:hAnsiTheme="majorHAnsi" w:cstheme="majorHAnsi"/>
                <w:sz w:val="20"/>
              </w:rPr>
              <w:tab/>
            </w:r>
          </w:p>
        </w:tc>
        <w:tc>
          <w:tcPr>
            <w:tcW w:w="284"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c>
          <w:tcPr>
            <w:tcW w:w="1132" w:type="dxa"/>
            <w:tcBorders>
              <w:bottom w:val="single" w:sz="4" w:space="0" w:color="auto"/>
            </w:tcBorders>
            <w:vAlign w:val="bottom"/>
          </w:tcPr>
          <w:p w:rsidR="00D96D32" w:rsidRPr="00D96D32" w:rsidRDefault="00D96D32" w:rsidP="00E72F88">
            <w:pPr>
              <w:pStyle w:val="Tablecontentsblackright"/>
              <w:rPr>
                <w:rFonts w:asciiTheme="majorHAnsi" w:hAnsiTheme="majorHAnsi" w:cstheme="majorHAnsi"/>
                <w:sz w:val="20"/>
                <w:szCs w:val="20"/>
              </w:rPr>
            </w:pPr>
            <w:r w:rsidRPr="00D96D32">
              <w:rPr>
                <w:rFonts w:asciiTheme="majorHAnsi" w:hAnsiTheme="majorHAnsi" w:cstheme="majorHAnsi"/>
                <w:sz w:val="20"/>
                <w:szCs w:val="20"/>
              </w:rPr>
              <w:t>1,923</w:t>
            </w:r>
            <w:r w:rsidR="00E72F88">
              <w:rPr>
                <w:rFonts w:asciiTheme="majorHAnsi" w:hAnsiTheme="majorHAnsi" w:cstheme="majorHAnsi"/>
                <w:sz w:val="20"/>
                <w:szCs w:val="20"/>
              </w:rPr>
              <w:t xml:space="preserve"> </w:t>
            </w:r>
            <w:r w:rsidRPr="00D96D32">
              <w:rPr>
                <w:rFonts w:asciiTheme="majorHAnsi" w:hAnsiTheme="majorHAnsi" w:cstheme="majorHAnsi"/>
                <w:sz w:val="20"/>
                <w:szCs w:val="20"/>
              </w:rPr>
              <w:t>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tcBorders>
              <w:bottom w:val="single" w:sz="4" w:space="0" w:color="auto"/>
            </w:tcBorders>
            <w:vAlign w:val="bottom"/>
          </w:tcPr>
          <w:p w:rsidR="00D96D32" w:rsidRPr="00D96D32" w:rsidRDefault="005778C1" w:rsidP="005778C1">
            <w:pPr>
              <w:pStyle w:val="Tablecontentsblackright"/>
              <w:rPr>
                <w:rFonts w:asciiTheme="majorHAnsi" w:hAnsiTheme="majorHAnsi" w:cstheme="majorHAnsi"/>
                <w:sz w:val="20"/>
                <w:szCs w:val="20"/>
              </w:rPr>
            </w:pPr>
            <w:r>
              <w:rPr>
                <w:rFonts w:asciiTheme="majorHAnsi" w:hAnsiTheme="majorHAnsi" w:cstheme="majorHAnsi"/>
                <w:sz w:val="20"/>
                <w:szCs w:val="20"/>
              </w:rPr>
              <w:t>888</w:t>
            </w:r>
            <w:r w:rsidR="00E72F88">
              <w:rPr>
                <w:rFonts w:asciiTheme="majorHAnsi" w:hAnsiTheme="majorHAnsi" w:cstheme="majorHAnsi"/>
                <w:sz w:val="20"/>
                <w:szCs w:val="20"/>
              </w:rPr>
              <w:t xml:space="preserve"> </w:t>
            </w:r>
            <w:r w:rsidR="00D96D32" w:rsidRPr="00D96D32">
              <w:rPr>
                <w:rFonts w:asciiTheme="majorHAnsi" w:hAnsiTheme="majorHAnsi" w:cstheme="majorHAnsi"/>
                <w:sz w:val="20"/>
                <w:szCs w:val="20"/>
              </w:rPr>
              <w:t>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tcBorders>
              <w:bottom w:val="single" w:sz="4" w:space="0" w:color="auto"/>
            </w:tcBorders>
            <w:vAlign w:val="bottom"/>
          </w:tcPr>
          <w:p w:rsidR="00D96D32" w:rsidRPr="00D96D32" w:rsidRDefault="005778C1" w:rsidP="005778C1">
            <w:pPr>
              <w:pStyle w:val="Tablecontentsblackright"/>
              <w:rPr>
                <w:rFonts w:asciiTheme="majorHAnsi" w:hAnsiTheme="majorHAnsi" w:cstheme="majorHAnsi"/>
                <w:sz w:val="20"/>
                <w:szCs w:val="20"/>
              </w:rPr>
            </w:pPr>
            <w:r>
              <w:rPr>
                <w:rFonts w:asciiTheme="majorHAnsi" w:hAnsiTheme="majorHAnsi" w:cstheme="majorHAnsi"/>
                <w:sz w:val="20"/>
                <w:szCs w:val="20"/>
              </w:rPr>
              <w:t>1,035</w:t>
            </w:r>
            <w:r w:rsidR="00D96D32" w:rsidRPr="00D96D32">
              <w:rPr>
                <w:rFonts w:asciiTheme="majorHAnsi" w:hAnsiTheme="majorHAnsi" w:cstheme="majorHAnsi"/>
                <w:sz w:val="20"/>
                <w:szCs w:val="20"/>
              </w:rPr>
              <w:t xml:space="preserve">  </w:t>
            </w:r>
          </w:p>
        </w:tc>
        <w:tc>
          <w:tcPr>
            <w:tcW w:w="227"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r>
      <w:tr w:rsidR="00D96D32" w:rsidRPr="00D96D32" w:rsidTr="005778C1">
        <w:tc>
          <w:tcPr>
            <w:tcW w:w="4574" w:type="dxa"/>
            <w:vAlign w:val="bottom"/>
          </w:tcPr>
          <w:p w:rsidR="00D96D32" w:rsidRPr="00D96D32" w:rsidRDefault="00D96D32" w:rsidP="00670B12">
            <w:pPr>
              <w:pStyle w:val="CellBody"/>
              <w:tabs>
                <w:tab w:val="left" w:leader="dot" w:pos="5007"/>
              </w:tabs>
              <w:spacing w:beforeLines="40" w:before="96" w:after="0" w:line="240" w:lineRule="auto"/>
              <w:rPr>
                <w:rFonts w:asciiTheme="majorHAnsi" w:hAnsiTheme="majorHAnsi" w:cstheme="majorHAnsi"/>
                <w:b/>
                <w:sz w:val="20"/>
              </w:rPr>
            </w:pPr>
            <w:r w:rsidRPr="00D96D32">
              <w:rPr>
                <w:rFonts w:asciiTheme="majorHAnsi" w:hAnsiTheme="majorHAnsi" w:cstheme="majorHAnsi"/>
                <w:b/>
                <w:sz w:val="20"/>
              </w:rPr>
              <w:t>Non-interest income</w:t>
            </w:r>
            <w:r w:rsidRPr="00D96D32">
              <w:rPr>
                <w:rFonts w:asciiTheme="majorHAnsi" w:hAnsiTheme="majorHAnsi" w:cstheme="majorHAnsi"/>
                <w:sz w:val="20"/>
              </w:rPr>
              <w:tab/>
            </w:r>
          </w:p>
        </w:tc>
        <w:tc>
          <w:tcPr>
            <w:tcW w:w="284"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c>
          <w:tcPr>
            <w:tcW w:w="1132" w:type="dxa"/>
            <w:tcBorders>
              <w:top w:val="single" w:sz="4" w:space="0" w:color="auto"/>
              <w:bottom w:val="single" w:sz="4" w:space="0" w:color="auto"/>
            </w:tcBorders>
            <w:vAlign w:val="bottom"/>
          </w:tcPr>
          <w:p w:rsidR="00D96D32" w:rsidRPr="00D96D32" w:rsidRDefault="00D96D32" w:rsidP="00E72F88">
            <w:pPr>
              <w:pStyle w:val="Tablecontentsblackright"/>
              <w:rPr>
                <w:rFonts w:asciiTheme="majorHAnsi" w:hAnsiTheme="majorHAnsi" w:cstheme="majorHAnsi"/>
                <w:sz w:val="20"/>
                <w:szCs w:val="20"/>
              </w:rPr>
            </w:pPr>
            <w:r w:rsidRPr="00D96D32">
              <w:rPr>
                <w:rFonts w:asciiTheme="majorHAnsi" w:hAnsiTheme="majorHAnsi" w:cstheme="majorHAnsi"/>
                <w:sz w:val="20"/>
                <w:szCs w:val="20"/>
              </w:rPr>
              <w:t>3,241</w:t>
            </w:r>
            <w:r w:rsidR="00E72F88">
              <w:rPr>
                <w:rFonts w:asciiTheme="majorHAnsi" w:hAnsiTheme="majorHAnsi" w:cstheme="majorHAnsi"/>
                <w:sz w:val="20"/>
                <w:szCs w:val="20"/>
              </w:rPr>
              <w:t xml:space="preserve"> </w:t>
            </w:r>
            <w:r w:rsidRPr="00D96D32">
              <w:rPr>
                <w:rFonts w:asciiTheme="majorHAnsi" w:hAnsiTheme="majorHAnsi" w:cstheme="majorHAnsi"/>
                <w:sz w:val="20"/>
                <w:szCs w:val="20"/>
              </w:rPr>
              <w:t>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b/>
                <w:bCs/>
                <w:sz w:val="20"/>
              </w:rPr>
            </w:pPr>
          </w:p>
        </w:tc>
        <w:tc>
          <w:tcPr>
            <w:tcW w:w="1132" w:type="dxa"/>
            <w:tcBorders>
              <w:top w:val="single" w:sz="4" w:space="0" w:color="auto"/>
              <w:bottom w:val="single" w:sz="4" w:space="0" w:color="auto"/>
            </w:tcBorders>
            <w:vAlign w:val="bottom"/>
          </w:tcPr>
          <w:p w:rsidR="00D96D32" w:rsidRPr="00D96D32" w:rsidRDefault="005778C1" w:rsidP="005778C1">
            <w:pPr>
              <w:pStyle w:val="Tablecontentsblackright"/>
              <w:rPr>
                <w:rFonts w:asciiTheme="majorHAnsi" w:hAnsiTheme="majorHAnsi" w:cstheme="majorHAnsi"/>
                <w:sz w:val="20"/>
                <w:szCs w:val="20"/>
              </w:rPr>
            </w:pPr>
            <w:r>
              <w:rPr>
                <w:rFonts w:asciiTheme="majorHAnsi" w:hAnsiTheme="majorHAnsi" w:cstheme="majorHAnsi"/>
                <w:sz w:val="20"/>
                <w:szCs w:val="20"/>
              </w:rPr>
              <w:t>2,</w:t>
            </w:r>
            <w:r w:rsidR="00367708">
              <w:rPr>
                <w:rFonts w:asciiTheme="majorHAnsi" w:hAnsiTheme="majorHAnsi" w:cstheme="majorHAnsi"/>
                <w:sz w:val="20"/>
                <w:szCs w:val="20"/>
              </w:rPr>
              <w:t>300</w:t>
            </w:r>
            <w:r w:rsidR="00E72F88">
              <w:rPr>
                <w:rFonts w:asciiTheme="majorHAnsi" w:hAnsiTheme="majorHAnsi" w:cstheme="majorHAnsi"/>
                <w:sz w:val="20"/>
                <w:szCs w:val="20"/>
              </w:rPr>
              <w:t xml:space="preserve"> </w:t>
            </w:r>
            <w:r w:rsidR="00D96D32" w:rsidRPr="00D96D32">
              <w:rPr>
                <w:rFonts w:asciiTheme="majorHAnsi" w:hAnsiTheme="majorHAnsi" w:cstheme="majorHAnsi"/>
                <w:sz w:val="20"/>
                <w:szCs w:val="20"/>
              </w:rPr>
              <w:t>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b/>
                <w:bCs/>
                <w:sz w:val="20"/>
              </w:rPr>
            </w:pPr>
          </w:p>
        </w:tc>
        <w:tc>
          <w:tcPr>
            <w:tcW w:w="1132" w:type="dxa"/>
            <w:tcBorders>
              <w:top w:val="single" w:sz="4" w:space="0" w:color="auto"/>
              <w:bottom w:val="single" w:sz="4" w:space="0" w:color="auto"/>
            </w:tcBorders>
            <w:vAlign w:val="bottom"/>
          </w:tcPr>
          <w:p w:rsidR="00D96D32" w:rsidRPr="00D96D32" w:rsidRDefault="005778C1" w:rsidP="005778C1">
            <w:pPr>
              <w:pStyle w:val="Tablecontentsblackright"/>
              <w:rPr>
                <w:rFonts w:asciiTheme="majorHAnsi" w:hAnsiTheme="majorHAnsi" w:cstheme="majorHAnsi"/>
                <w:sz w:val="20"/>
                <w:szCs w:val="20"/>
              </w:rPr>
            </w:pPr>
            <w:r>
              <w:rPr>
                <w:rFonts w:asciiTheme="majorHAnsi" w:hAnsiTheme="majorHAnsi" w:cstheme="majorHAnsi"/>
                <w:sz w:val="20"/>
                <w:szCs w:val="20"/>
              </w:rPr>
              <w:t>94</w:t>
            </w:r>
            <w:r w:rsidR="00367708">
              <w:rPr>
                <w:rFonts w:asciiTheme="majorHAnsi" w:hAnsiTheme="majorHAnsi" w:cstheme="majorHAnsi"/>
                <w:sz w:val="20"/>
                <w:szCs w:val="20"/>
              </w:rPr>
              <w:t>1</w:t>
            </w:r>
            <w:r w:rsidR="00D96D32" w:rsidRPr="00D96D32">
              <w:rPr>
                <w:rFonts w:asciiTheme="majorHAnsi" w:hAnsiTheme="majorHAnsi" w:cstheme="majorHAnsi"/>
                <w:sz w:val="20"/>
                <w:szCs w:val="20"/>
              </w:rPr>
              <w:t xml:space="preserve">  </w:t>
            </w:r>
          </w:p>
        </w:tc>
        <w:tc>
          <w:tcPr>
            <w:tcW w:w="227"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r>
      <w:tr w:rsidR="00D96D32" w:rsidRPr="00D96D32" w:rsidTr="00670B12">
        <w:tc>
          <w:tcPr>
            <w:tcW w:w="4574" w:type="dxa"/>
            <w:vAlign w:val="bottom"/>
          </w:tcPr>
          <w:p w:rsidR="00D96D32" w:rsidRPr="00D96D32" w:rsidRDefault="00D96D32" w:rsidP="00670B12">
            <w:pPr>
              <w:pStyle w:val="CellBody"/>
              <w:tabs>
                <w:tab w:val="left" w:leader="dot" w:pos="5007"/>
              </w:tabs>
              <w:spacing w:beforeLines="40" w:before="96" w:after="0" w:line="240" w:lineRule="auto"/>
              <w:rPr>
                <w:rFonts w:asciiTheme="majorHAnsi" w:hAnsiTheme="majorHAnsi" w:cstheme="majorHAnsi"/>
                <w:b/>
                <w:sz w:val="20"/>
              </w:rPr>
            </w:pPr>
            <w:r w:rsidRPr="00D96D32">
              <w:rPr>
                <w:rFonts w:asciiTheme="majorHAnsi" w:hAnsiTheme="majorHAnsi" w:cstheme="majorHAnsi"/>
                <w:b/>
                <w:sz w:val="20"/>
              </w:rPr>
              <w:t>Total income</w:t>
            </w:r>
            <w:r w:rsidRPr="00D96D32">
              <w:rPr>
                <w:rFonts w:asciiTheme="majorHAnsi" w:hAnsiTheme="majorHAnsi" w:cstheme="majorHAnsi"/>
                <w:sz w:val="20"/>
              </w:rPr>
              <w:tab/>
            </w:r>
          </w:p>
        </w:tc>
        <w:tc>
          <w:tcPr>
            <w:tcW w:w="284"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b/>
                <w:sz w:val="20"/>
              </w:rPr>
            </w:pPr>
          </w:p>
        </w:tc>
        <w:tc>
          <w:tcPr>
            <w:tcW w:w="1132" w:type="dxa"/>
            <w:tcBorders>
              <w:top w:val="single" w:sz="4" w:space="0" w:color="auto"/>
              <w:bottom w:val="single" w:sz="4" w:space="0" w:color="auto"/>
            </w:tcBorders>
            <w:vAlign w:val="bottom"/>
          </w:tcPr>
          <w:p w:rsidR="00D96D32" w:rsidRPr="00D96D32" w:rsidRDefault="00D96D32" w:rsidP="00E72F88">
            <w:pPr>
              <w:pStyle w:val="Tablecontentsblackright"/>
              <w:rPr>
                <w:rFonts w:asciiTheme="majorHAnsi" w:hAnsiTheme="majorHAnsi" w:cstheme="majorHAnsi"/>
                <w:sz w:val="20"/>
                <w:szCs w:val="20"/>
              </w:rPr>
            </w:pPr>
            <w:r w:rsidRPr="00D96D32">
              <w:rPr>
                <w:rFonts w:asciiTheme="majorHAnsi" w:hAnsiTheme="majorHAnsi" w:cstheme="majorHAnsi"/>
                <w:sz w:val="20"/>
                <w:szCs w:val="20"/>
              </w:rPr>
              <w:t>3,929</w:t>
            </w:r>
            <w:r w:rsidR="00E72F88">
              <w:rPr>
                <w:rFonts w:asciiTheme="majorHAnsi" w:hAnsiTheme="majorHAnsi" w:cstheme="majorHAnsi"/>
                <w:sz w:val="20"/>
                <w:szCs w:val="20"/>
              </w:rPr>
              <w:t xml:space="preserve"> </w:t>
            </w:r>
            <w:r w:rsidRPr="00D96D32">
              <w:rPr>
                <w:rFonts w:asciiTheme="majorHAnsi" w:hAnsiTheme="majorHAnsi" w:cstheme="majorHAnsi"/>
                <w:sz w:val="20"/>
                <w:szCs w:val="20"/>
              </w:rPr>
              <w:t>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b/>
                <w:sz w:val="20"/>
              </w:rPr>
            </w:pPr>
          </w:p>
        </w:tc>
        <w:tc>
          <w:tcPr>
            <w:tcW w:w="1132" w:type="dxa"/>
            <w:tcBorders>
              <w:top w:val="single" w:sz="4" w:space="0" w:color="auto"/>
              <w:bottom w:val="single" w:sz="4" w:space="0" w:color="auto"/>
            </w:tcBorders>
            <w:vAlign w:val="bottom"/>
          </w:tcPr>
          <w:p w:rsidR="00D96D32" w:rsidRPr="00D96D32" w:rsidRDefault="005778C1" w:rsidP="005778C1">
            <w:pPr>
              <w:pStyle w:val="Tablecontentsblackright"/>
              <w:rPr>
                <w:rFonts w:asciiTheme="majorHAnsi" w:hAnsiTheme="majorHAnsi" w:cstheme="majorHAnsi"/>
                <w:sz w:val="20"/>
                <w:szCs w:val="20"/>
              </w:rPr>
            </w:pPr>
            <w:r>
              <w:rPr>
                <w:rFonts w:asciiTheme="majorHAnsi" w:hAnsiTheme="majorHAnsi" w:cstheme="majorHAnsi"/>
                <w:sz w:val="20"/>
                <w:szCs w:val="20"/>
              </w:rPr>
              <w:t>2,</w:t>
            </w:r>
            <w:r w:rsidR="00367708">
              <w:rPr>
                <w:rFonts w:asciiTheme="majorHAnsi" w:hAnsiTheme="majorHAnsi" w:cstheme="majorHAnsi"/>
                <w:sz w:val="20"/>
                <w:szCs w:val="20"/>
              </w:rPr>
              <w:t>982</w:t>
            </w:r>
            <w:r w:rsidR="00E72F88">
              <w:rPr>
                <w:rFonts w:asciiTheme="majorHAnsi" w:hAnsiTheme="majorHAnsi" w:cstheme="majorHAnsi"/>
                <w:sz w:val="20"/>
                <w:szCs w:val="20"/>
              </w:rPr>
              <w:t xml:space="preserve"> </w:t>
            </w:r>
            <w:r w:rsidR="00D96D32" w:rsidRPr="00D96D32">
              <w:rPr>
                <w:rFonts w:asciiTheme="majorHAnsi" w:hAnsiTheme="majorHAnsi" w:cstheme="majorHAnsi"/>
                <w:sz w:val="20"/>
                <w:szCs w:val="20"/>
              </w:rPr>
              <w:t>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b/>
                <w:sz w:val="20"/>
              </w:rPr>
            </w:pPr>
          </w:p>
        </w:tc>
        <w:tc>
          <w:tcPr>
            <w:tcW w:w="1132" w:type="dxa"/>
            <w:tcBorders>
              <w:top w:val="single" w:sz="4" w:space="0" w:color="auto"/>
              <w:bottom w:val="single" w:sz="4" w:space="0" w:color="auto"/>
            </w:tcBorders>
            <w:vAlign w:val="bottom"/>
          </w:tcPr>
          <w:p w:rsidR="00D96D32" w:rsidRPr="00D96D32" w:rsidRDefault="00367708" w:rsidP="005778C1">
            <w:pPr>
              <w:pStyle w:val="Tablecontentsblackright"/>
              <w:rPr>
                <w:rFonts w:asciiTheme="majorHAnsi" w:hAnsiTheme="majorHAnsi" w:cstheme="majorHAnsi"/>
                <w:sz w:val="20"/>
                <w:szCs w:val="20"/>
              </w:rPr>
            </w:pPr>
            <w:r>
              <w:rPr>
                <w:rFonts w:asciiTheme="majorHAnsi" w:hAnsiTheme="majorHAnsi" w:cstheme="majorHAnsi"/>
                <w:sz w:val="20"/>
                <w:szCs w:val="20"/>
              </w:rPr>
              <w:t>947</w:t>
            </w:r>
            <w:r w:rsidR="00D96D32" w:rsidRPr="00D96D32">
              <w:rPr>
                <w:rFonts w:asciiTheme="majorHAnsi" w:hAnsiTheme="majorHAnsi" w:cstheme="majorHAnsi"/>
                <w:sz w:val="20"/>
                <w:szCs w:val="20"/>
              </w:rPr>
              <w:t xml:space="preserve">  </w:t>
            </w:r>
          </w:p>
        </w:tc>
        <w:tc>
          <w:tcPr>
            <w:tcW w:w="227"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b/>
                <w:sz w:val="20"/>
              </w:rPr>
            </w:pPr>
          </w:p>
        </w:tc>
      </w:tr>
      <w:tr w:rsidR="00D96D32" w:rsidRPr="00D96D32" w:rsidTr="00670B12">
        <w:tc>
          <w:tcPr>
            <w:tcW w:w="4574" w:type="dxa"/>
            <w:vAlign w:val="bottom"/>
          </w:tcPr>
          <w:p w:rsidR="00D96D32" w:rsidRPr="00D96D32" w:rsidRDefault="00D96D32" w:rsidP="00670B12">
            <w:pPr>
              <w:pStyle w:val="CellBody"/>
              <w:tabs>
                <w:tab w:val="left" w:leader="dot" w:pos="5007"/>
              </w:tabs>
              <w:spacing w:beforeLines="40" w:before="96" w:after="0" w:line="240" w:lineRule="auto"/>
              <w:rPr>
                <w:rFonts w:asciiTheme="majorHAnsi" w:hAnsiTheme="majorHAnsi" w:cstheme="majorHAnsi"/>
                <w:sz w:val="20"/>
              </w:rPr>
            </w:pPr>
            <w:r w:rsidRPr="00D96D32">
              <w:rPr>
                <w:rFonts w:asciiTheme="majorHAnsi" w:hAnsiTheme="majorHAnsi" w:cstheme="majorHAnsi"/>
                <w:sz w:val="20"/>
              </w:rPr>
              <w:t>Operating expenses</w:t>
            </w:r>
            <w:r w:rsidRPr="00D96D32">
              <w:rPr>
                <w:rFonts w:asciiTheme="majorHAnsi" w:hAnsiTheme="majorHAnsi" w:cstheme="majorHAnsi"/>
                <w:sz w:val="20"/>
              </w:rPr>
              <w:tab/>
            </w:r>
          </w:p>
        </w:tc>
        <w:tc>
          <w:tcPr>
            <w:tcW w:w="284"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c>
          <w:tcPr>
            <w:tcW w:w="1132" w:type="dxa"/>
            <w:tcBorders>
              <w:top w:val="single" w:sz="4" w:space="0" w:color="auto"/>
            </w:tcBorders>
            <w:vAlign w:val="bottom"/>
          </w:tcPr>
          <w:p w:rsidR="00D96D32" w:rsidRPr="00D96D32" w:rsidRDefault="00D96D32" w:rsidP="00670B12">
            <w:pPr>
              <w:pStyle w:val="Tablecontentsblackright"/>
              <w:rPr>
                <w:rFonts w:asciiTheme="majorHAnsi" w:hAnsiTheme="majorHAnsi" w:cstheme="majorHAnsi"/>
                <w:sz w:val="20"/>
                <w:szCs w:val="20"/>
              </w:rPr>
            </w:pPr>
            <w:r w:rsidRPr="00D96D32">
              <w:rPr>
                <w:rFonts w:asciiTheme="majorHAnsi" w:hAnsiTheme="majorHAnsi" w:cstheme="majorHAnsi"/>
                <w:sz w:val="20"/>
                <w:szCs w:val="20"/>
              </w:rPr>
              <w:t>(2,427)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bCs/>
                <w:sz w:val="20"/>
              </w:rPr>
            </w:pPr>
          </w:p>
        </w:tc>
        <w:tc>
          <w:tcPr>
            <w:tcW w:w="1132" w:type="dxa"/>
            <w:tcBorders>
              <w:top w:val="single" w:sz="4" w:space="0" w:color="auto"/>
            </w:tcBorders>
            <w:vAlign w:val="bottom"/>
          </w:tcPr>
          <w:p w:rsidR="00D96D32" w:rsidRPr="00D96D32" w:rsidRDefault="005778C1" w:rsidP="005778C1">
            <w:pPr>
              <w:pStyle w:val="Tablecontentsblackright"/>
              <w:rPr>
                <w:rFonts w:asciiTheme="majorHAnsi" w:hAnsiTheme="majorHAnsi" w:cstheme="majorHAnsi"/>
                <w:sz w:val="20"/>
                <w:szCs w:val="20"/>
              </w:rPr>
            </w:pPr>
            <w:r>
              <w:rPr>
                <w:rFonts w:asciiTheme="majorHAnsi" w:hAnsiTheme="majorHAnsi" w:cstheme="majorHAnsi"/>
                <w:sz w:val="20"/>
                <w:szCs w:val="20"/>
              </w:rPr>
              <w:t xml:space="preserve"> (2,08</w:t>
            </w:r>
            <w:r w:rsidR="00367708">
              <w:rPr>
                <w:rFonts w:asciiTheme="majorHAnsi" w:hAnsiTheme="majorHAnsi" w:cstheme="majorHAnsi"/>
                <w:sz w:val="20"/>
                <w:szCs w:val="20"/>
              </w:rPr>
              <w:t>8</w:t>
            </w:r>
            <w:r>
              <w:rPr>
                <w:rFonts w:asciiTheme="majorHAnsi" w:hAnsiTheme="majorHAnsi" w:cstheme="majorHAnsi"/>
                <w:sz w:val="20"/>
                <w:szCs w:val="20"/>
              </w:rPr>
              <w:t>)</w:t>
            </w:r>
            <w:r w:rsidR="00D96D32" w:rsidRPr="00D96D32">
              <w:rPr>
                <w:rFonts w:asciiTheme="majorHAnsi" w:hAnsiTheme="majorHAnsi" w:cstheme="majorHAnsi"/>
                <w:sz w:val="20"/>
                <w:szCs w:val="20"/>
              </w:rPr>
              <w:t>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bCs/>
                <w:sz w:val="20"/>
              </w:rPr>
            </w:pPr>
          </w:p>
        </w:tc>
        <w:tc>
          <w:tcPr>
            <w:tcW w:w="1132" w:type="dxa"/>
            <w:tcBorders>
              <w:top w:val="single" w:sz="4" w:space="0" w:color="auto"/>
            </w:tcBorders>
            <w:vAlign w:val="bottom"/>
          </w:tcPr>
          <w:p w:rsidR="00D96D32" w:rsidRPr="00D96D32" w:rsidRDefault="005778C1" w:rsidP="005778C1">
            <w:pPr>
              <w:pStyle w:val="Tablecontentsblackright"/>
              <w:rPr>
                <w:rFonts w:asciiTheme="majorHAnsi" w:hAnsiTheme="majorHAnsi" w:cstheme="majorHAnsi"/>
                <w:sz w:val="20"/>
                <w:szCs w:val="20"/>
              </w:rPr>
            </w:pPr>
            <w:r>
              <w:rPr>
                <w:rFonts w:asciiTheme="majorHAnsi" w:hAnsiTheme="majorHAnsi" w:cstheme="majorHAnsi"/>
                <w:sz w:val="20"/>
                <w:szCs w:val="20"/>
              </w:rPr>
              <w:t>(</w:t>
            </w:r>
            <w:r w:rsidR="00367708">
              <w:rPr>
                <w:rFonts w:asciiTheme="majorHAnsi" w:hAnsiTheme="majorHAnsi" w:cstheme="majorHAnsi"/>
                <w:sz w:val="20"/>
                <w:szCs w:val="20"/>
              </w:rPr>
              <w:t>339</w:t>
            </w:r>
            <w:r>
              <w:rPr>
                <w:rFonts w:asciiTheme="majorHAnsi" w:hAnsiTheme="majorHAnsi" w:cstheme="majorHAnsi"/>
                <w:sz w:val="20"/>
                <w:szCs w:val="20"/>
              </w:rPr>
              <w:t>)</w:t>
            </w:r>
            <w:r w:rsidR="00D96D32" w:rsidRPr="00D96D32">
              <w:rPr>
                <w:rFonts w:asciiTheme="majorHAnsi" w:hAnsiTheme="majorHAnsi" w:cstheme="majorHAnsi"/>
                <w:sz w:val="20"/>
                <w:szCs w:val="20"/>
              </w:rPr>
              <w:t> </w:t>
            </w:r>
          </w:p>
        </w:tc>
        <w:tc>
          <w:tcPr>
            <w:tcW w:w="227"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r>
      <w:tr w:rsidR="00D96D32" w:rsidRPr="00D96D32" w:rsidTr="00670B12">
        <w:tc>
          <w:tcPr>
            <w:tcW w:w="4574" w:type="dxa"/>
            <w:vAlign w:val="bottom"/>
          </w:tcPr>
          <w:p w:rsidR="00D96D32" w:rsidRPr="00D96D32" w:rsidRDefault="00D96D32" w:rsidP="00670B12">
            <w:pPr>
              <w:pStyle w:val="CellBody"/>
              <w:tabs>
                <w:tab w:val="left" w:leader="dot" w:pos="5007"/>
              </w:tabs>
              <w:spacing w:beforeLines="40" w:before="96" w:after="0" w:line="240" w:lineRule="auto"/>
              <w:ind w:left="113" w:hanging="113"/>
              <w:rPr>
                <w:rFonts w:asciiTheme="majorHAnsi" w:hAnsiTheme="majorHAnsi" w:cstheme="majorHAnsi"/>
                <w:b/>
                <w:sz w:val="20"/>
              </w:rPr>
            </w:pPr>
            <w:r w:rsidRPr="00D96D32">
              <w:rPr>
                <w:rFonts w:asciiTheme="majorHAnsi" w:hAnsiTheme="majorHAnsi" w:cstheme="majorHAnsi"/>
                <w:b/>
                <w:sz w:val="20"/>
              </w:rPr>
              <w:t>Profit before impairment losses</w:t>
            </w:r>
            <w:r w:rsidRPr="00D96D32">
              <w:rPr>
                <w:rFonts w:asciiTheme="majorHAnsi" w:hAnsiTheme="majorHAnsi" w:cstheme="majorHAnsi"/>
                <w:sz w:val="20"/>
              </w:rPr>
              <w:tab/>
            </w:r>
          </w:p>
        </w:tc>
        <w:tc>
          <w:tcPr>
            <w:tcW w:w="284"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b/>
                <w:sz w:val="20"/>
              </w:rPr>
            </w:pPr>
          </w:p>
        </w:tc>
        <w:tc>
          <w:tcPr>
            <w:tcW w:w="1132" w:type="dxa"/>
            <w:tcBorders>
              <w:bottom w:val="single" w:sz="4" w:space="0" w:color="auto"/>
            </w:tcBorders>
            <w:vAlign w:val="bottom"/>
          </w:tcPr>
          <w:p w:rsidR="00D96D32" w:rsidRPr="00D96D32" w:rsidRDefault="00D96D32" w:rsidP="00E72F88">
            <w:pPr>
              <w:pStyle w:val="Tablecontentsblackright"/>
              <w:rPr>
                <w:rFonts w:asciiTheme="majorHAnsi" w:hAnsiTheme="majorHAnsi" w:cstheme="majorHAnsi"/>
                <w:sz w:val="20"/>
                <w:szCs w:val="20"/>
              </w:rPr>
            </w:pPr>
            <w:r w:rsidRPr="00D96D32">
              <w:rPr>
                <w:rFonts w:asciiTheme="majorHAnsi" w:hAnsiTheme="majorHAnsi" w:cstheme="majorHAnsi"/>
                <w:sz w:val="20"/>
                <w:szCs w:val="20"/>
              </w:rPr>
              <w:t>1,502</w:t>
            </w:r>
            <w:r w:rsidR="00E72F88">
              <w:rPr>
                <w:rFonts w:asciiTheme="majorHAnsi" w:hAnsiTheme="majorHAnsi" w:cstheme="majorHAnsi"/>
                <w:sz w:val="20"/>
                <w:szCs w:val="20"/>
              </w:rPr>
              <w:t xml:space="preserve"> </w:t>
            </w:r>
            <w:r w:rsidRPr="00D96D32">
              <w:rPr>
                <w:rFonts w:asciiTheme="majorHAnsi" w:hAnsiTheme="majorHAnsi" w:cstheme="majorHAnsi"/>
                <w:sz w:val="20"/>
                <w:szCs w:val="20"/>
              </w:rPr>
              <w:t>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b/>
                <w:sz w:val="20"/>
              </w:rPr>
            </w:pPr>
          </w:p>
        </w:tc>
        <w:tc>
          <w:tcPr>
            <w:tcW w:w="1132" w:type="dxa"/>
            <w:tcBorders>
              <w:bottom w:val="single" w:sz="4" w:space="0" w:color="auto"/>
            </w:tcBorders>
            <w:vAlign w:val="bottom"/>
          </w:tcPr>
          <w:p w:rsidR="00D96D32" w:rsidRPr="00D96D32" w:rsidRDefault="00367708" w:rsidP="005778C1">
            <w:pPr>
              <w:pStyle w:val="Tablecontentsblackright"/>
              <w:rPr>
                <w:rFonts w:asciiTheme="majorHAnsi" w:hAnsiTheme="majorHAnsi" w:cstheme="majorHAnsi"/>
                <w:sz w:val="20"/>
                <w:szCs w:val="20"/>
              </w:rPr>
            </w:pPr>
            <w:r>
              <w:rPr>
                <w:rFonts w:asciiTheme="majorHAnsi" w:hAnsiTheme="majorHAnsi" w:cstheme="majorHAnsi"/>
                <w:sz w:val="20"/>
                <w:szCs w:val="20"/>
              </w:rPr>
              <w:t>894</w:t>
            </w:r>
            <w:r w:rsidR="00E72F88">
              <w:rPr>
                <w:rFonts w:asciiTheme="majorHAnsi" w:hAnsiTheme="majorHAnsi" w:cstheme="majorHAnsi"/>
                <w:sz w:val="20"/>
                <w:szCs w:val="20"/>
              </w:rPr>
              <w:t xml:space="preserve"> </w:t>
            </w:r>
            <w:r w:rsidR="00D96D32" w:rsidRPr="00D96D32">
              <w:rPr>
                <w:rFonts w:asciiTheme="majorHAnsi" w:hAnsiTheme="majorHAnsi" w:cstheme="majorHAnsi"/>
                <w:sz w:val="20"/>
                <w:szCs w:val="20"/>
              </w:rPr>
              <w:t>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b/>
                <w:sz w:val="20"/>
              </w:rPr>
            </w:pPr>
          </w:p>
        </w:tc>
        <w:tc>
          <w:tcPr>
            <w:tcW w:w="1132" w:type="dxa"/>
            <w:tcBorders>
              <w:bottom w:val="single" w:sz="4" w:space="0" w:color="auto"/>
            </w:tcBorders>
            <w:vAlign w:val="bottom"/>
          </w:tcPr>
          <w:p w:rsidR="00D96D32" w:rsidRPr="00D96D32" w:rsidRDefault="005778C1" w:rsidP="005778C1">
            <w:pPr>
              <w:pStyle w:val="Tablecontentsblackright"/>
              <w:rPr>
                <w:rFonts w:asciiTheme="majorHAnsi" w:hAnsiTheme="majorHAnsi" w:cstheme="majorHAnsi"/>
                <w:sz w:val="20"/>
                <w:szCs w:val="20"/>
              </w:rPr>
            </w:pPr>
            <w:r>
              <w:rPr>
                <w:rFonts w:asciiTheme="majorHAnsi" w:hAnsiTheme="majorHAnsi" w:cstheme="majorHAnsi"/>
                <w:sz w:val="20"/>
                <w:szCs w:val="20"/>
              </w:rPr>
              <w:t>60</w:t>
            </w:r>
            <w:r w:rsidR="00367708">
              <w:rPr>
                <w:rFonts w:asciiTheme="majorHAnsi" w:hAnsiTheme="majorHAnsi" w:cstheme="majorHAnsi"/>
                <w:sz w:val="20"/>
                <w:szCs w:val="20"/>
              </w:rPr>
              <w:t>8</w:t>
            </w:r>
            <w:r w:rsidR="00D96D32" w:rsidRPr="00D96D32">
              <w:rPr>
                <w:rFonts w:asciiTheme="majorHAnsi" w:hAnsiTheme="majorHAnsi" w:cstheme="majorHAnsi"/>
                <w:sz w:val="20"/>
                <w:szCs w:val="20"/>
              </w:rPr>
              <w:t>  </w:t>
            </w:r>
          </w:p>
        </w:tc>
        <w:tc>
          <w:tcPr>
            <w:tcW w:w="227"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b/>
                <w:sz w:val="20"/>
              </w:rPr>
            </w:pPr>
          </w:p>
        </w:tc>
      </w:tr>
      <w:tr w:rsidR="00D96D32" w:rsidRPr="00D96D32" w:rsidTr="00670B12">
        <w:tc>
          <w:tcPr>
            <w:tcW w:w="4574" w:type="dxa"/>
            <w:vAlign w:val="bottom"/>
          </w:tcPr>
          <w:p w:rsidR="00D96D32" w:rsidRPr="00D96D32" w:rsidRDefault="00D96D32" w:rsidP="00670B12">
            <w:pPr>
              <w:pStyle w:val="CellBody"/>
              <w:tabs>
                <w:tab w:val="left" w:leader="dot" w:pos="5007"/>
              </w:tabs>
              <w:spacing w:beforeLines="40" w:before="96" w:after="0" w:line="240" w:lineRule="auto"/>
              <w:rPr>
                <w:rFonts w:asciiTheme="majorHAnsi" w:hAnsiTheme="majorHAnsi" w:cstheme="majorHAnsi"/>
                <w:sz w:val="20"/>
              </w:rPr>
            </w:pPr>
            <w:r w:rsidRPr="00D96D32">
              <w:rPr>
                <w:rFonts w:asciiTheme="majorHAnsi" w:hAnsiTheme="majorHAnsi" w:cstheme="majorHAnsi"/>
                <w:sz w:val="20"/>
              </w:rPr>
              <w:t>Impairment losses</w:t>
            </w:r>
            <w:r w:rsidRPr="00D96D32">
              <w:rPr>
                <w:rFonts w:asciiTheme="majorHAnsi" w:hAnsiTheme="majorHAnsi" w:cstheme="majorHAnsi"/>
                <w:sz w:val="20"/>
              </w:rPr>
              <w:tab/>
            </w:r>
          </w:p>
        </w:tc>
        <w:tc>
          <w:tcPr>
            <w:tcW w:w="284"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c>
          <w:tcPr>
            <w:tcW w:w="1132" w:type="dxa"/>
            <w:tcBorders>
              <w:top w:val="single" w:sz="4" w:space="0" w:color="auto"/>
            </w:tcBorders>
            <w:vAlign w:val="bottom"/>
          </w:tcPr>
          <w:p w:rsidR="00D96D32" w:rsidRPr="00D96D32" w:rsidRDefault="00D96D32" w:rsidP="00670B12">
            <w:pPr>
              <w:pStyle w:val="Tablecontentsblackright"/>
              <w:rPr>
                <w:rFonts w:asciiTheme="majorHAnsi" w:hAnsiTheme="majorHAnsi" w:cstheme="majorHAnsi"/>
                <w:sz w:val="20"/>
                <w:szCs w:val="20"/>
              </w:rPr>
            </w:pPr>
            <w:r w:rsidRPr="00D96D32">
              <w:rPr>
                <w:rFonts w:asciiTheme="majorHAnsi" w:hAnsiTheme="majorHAnsi" w:cstheme="majorHAnsi"/>
                <w:sz w:val="20"/>
                <w:szCs w:val="20"/>
              </w:rPr>
              <w:t>(1,765)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tcBorders>
              <w:top w:val="single" w:sz="4" w:space="0" w:color="auto"/>
            </w:tcBorders>
            <w:vAlign w:val="bottom"/>
          </w:tcPr>
          <w:p w:rsidR="00D96D32" w:rsidRPr="00D96D32" w:rsidRDefault="005778C1" w:rsidP="005778C1">
            <w:pPr>
              <w:pStyle w:val="Tablecontentsblackright"/>
              <w:rPr>
                <w:rFonts w:asciiTheme="majorHAnsi" w:hAnsiTheme="majorHAnsi" w:cstheme="majorHAnsi"/>
                <w:sz w:val="20"/>
                <w:szCs w:val="20"/>
              </w:rPr>
            </w:pPr>
            <w:r>
              <w:rPr>
                <w:rFonts w:asciiTheme="majorHAnsi" w:hAnsiTheme="majorHAnsi" w:cstheme="majorHAnsi"/>
                <w:sz w:val="20"/>
                <w:szCs w:val="20"/>
              </w:rPr>
              <w:t>(276)</w:t>
            </w:r>
            <w:r w:rsidR="00D96D32" w:rsidRPr="00D96D32">
              <w:rPr>
                <w:rFonts w:asciiTheme="majorHAnsi" w:hAnsiTheme="majorHAnsi" w:cstheme="majorHAnsi"/>
                <w:sz w:val="20"/>
                <w:szCs w:val="20"/>
              </w:rPr>
              <w:t>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tcBorders>
              <w:top w:val="single" w:sz="4" w:space="0" w:color="auto"/>
            </w:tcBorders>
            <w:vAlign w:val="bottom"/>
          </w:tcPr>
          <w:p w:rsidR="00D96D32" w:rsidRPr="00D96D32" w:rsidRDefault="005778C1" w:rsidP="005778C1">
            <w:pPr>
              <w:pStyle w:val="Tablecontentsblackright"/>
              <w:rPr>
                <w:rFonts w:asciiTheme="majorHAnsi" w:hAnsiTheme="majorHAnsi" w:cstheme="majorHAnsi"/>
                <w:sz w:val="20"/>
                <w:szCs w:val="20"/>
              </w:rPr>
            </w:pPr>
            <w:r>
              <w:rPr>
                <w:rFonts w:asciiTheme="majorHAnsi" w:hAnsiTheme="majorHAnsi" w:cstheme="majorHAnsi"/>
                <w:sz w:val="20"/>
                <w:szCs w:val="20"/>
              </w:rPr>
              <w:t xml:space="preserve"> </w:t>
            </w:r>
            <w:r w:rsidR="00367708">
              <w:rPr>
                <w:rFonts w:asciiTheme="majorHAnsi" w:hAnsiTheme="majorHAnsi" w:cstheme="majorHAnsi"/>
                <w:sz w:val="20"/>
                <w:szCs w:val="20"/>
              </w:rPr>
              <w:t>(</w:t>
            </w:r>
            <w:r>
              <w:rPr>
                <w:rFonts w:asciiTheme="majorHAnsi" w:hAnsiTheme="majorHAnsi" w:cstheme="majorHAnsi"/>
                <w:sz w:val="20"/>
                <w:szCs w:val="20"/>
              </w:rPr>
              <w:t>1,489</w:t>
            </w:r>
            <w:r w:rsidR="00367708">
              <w:rPr>
                <w:rFonts w:asciiTheme="majorHAnsi" w:hAnsiTheme="majorHAnsi" w:cstheme="majorHAnsi"/>
                <w:sz w:val="20"/>
                <w:szCs w:val="20"/>
              </w:rPr>
              <w:t>)</w:t>
            </w:r>
            <w:r w:rsidR="00D96D32" w:rsidRPr="00D96D32">
              <w:rPr>
                <w:rFonts w:asciiTheme="majorHAnsi" w:hAnsiTheme="majorHAnsi" w:cstheme="majorHAnsi"/>
                <w:sz w:val="20"/>
                <w:szCs w:val="20"/>
              </w:rPr>
              <w:t> </w:t>
            </w:r>
          </w:p>
        </w:tc>
        <w:tc>
          <w:tcPr>
            <w:tcW w:w="227"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r>
      <w:tr w:rsidR="00D96D32" w:rsidRPr="00D96D32" w:rsidTr="00670B12">
        <w:tc>
          <w:tcPr>
            <w:tcW w:w="4574" w:type="dxa"/>
            <w:vAlign w:val="bottom"/>
          </w:tcPr>
          <w:p w:rsidR="00D96D32" w:rsidRPr="00D96D32" w:rsidRDefault="00D96D32" w:rsidP="00670B12">
            <w:pPr>
              <w:pStyle w:val="CellBody"/>
              <w:tabs>
                <w:tab w:val="left" w:leader="dot" w:pos="5007"/>
              </w:tabs>
              <w:spacing w:beforeLines="40" w:before="96" w:after="0" w:line="240" w:lineRule="auto"/>
              <w:rPr>
                <w:rFonts w:asciiTheme="majorHAnsi" w:hAnsiTheme="majorHAnsi" w:cstheme="majorHAnsi"/>
                <w:b/>
                <w:sz w:val="20"/>
              </w:rPr>
            </w:pPr>
            <w:r w:rsidRPr="00D96D32">
              <w:rPr>
                <w:rFonts w:asciiTheme="majorHAnsi" w:hAnsiTheme="majorHAnsi" w:cstheme="majorHAnsi"/>
                <w:b/>
                <w:sz w:val="20"/>
              </w:rPr>
              <w:t>Operating profit before tax</w:t>
            </w:r>
            <w:r w:rsidRPr="00D96D32">
              <w:rPr>
                <w:rFonts w:asciiTheme="majorHAnsi" w:hAnsiTheme="majorHAnsi" w:cstheme="majorHAnsi"/>
                <w:sz w:val="20"/>
              </w:rPr>
              <w:tab/>
            </w:r>
          </w:p>
        </w:tc>
        <w:tc>
          <w:tcPr>
            <w:tcW w:w="284"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c>
          <w:tcPr>
            <w:tcW w:w="1132" w:type="dxa"/>
            <w:tcBorders>
              <w:bottom w:val="single" w:sz="4" w:space="0" w:color="auto"/>
            </w:tcBorders>
            <w:vAlign w:val="bottom"/>
          </w:tcPr>
          <w:p w:rsidR="00D96D32" w:rsidRPr="00D96D32" w:rsidRDefault="00D96D32" w:rsidP="00670B12">
            <w:pPr>
              <w:pStyle w:val="Tablecontentsblackright"/>
              <w:rPr>
                <w:rFonts w:asciiTheme="majorHAnsi" w:hAnsiTheme="majorHAnsi" w:cstheme="majorHAnsi"/>
                <w:sz w:val="20"/>
                <w:szCs w:val="20"/>
              </w:rPr>
            </w:pPr>
            <w:r w:rsidRPr="00D96D32">
              <w:rPr>
                <w:rFonts w:asciiTheme="majorHAnsi" w:hAnsiTheme="majorHAnsi" w:cstheme="majorHAnsi"/>
                <w:sz w:val="20"/>
                <w:szCs w:val="20"/>
              </w:rPr>
              <w:t>(263)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b/>
                <w:bCs/>
                <w:sz w:val="20"/>
              </w:rPr>
            </w:pPr>
          </w:p>
        </w:tc>
        <w:tc>
          <w:tcPr>
            <w:tcW w:w="1132" w:type="dxa"/>
            <w:tcBorders>
              <w:bottom w:val="single" w:sz="4" w:space="0" w:color="auto"/>
            </w:tcBorders>
            <w:vAlign w:val="bottom"/>
          </w:tcPr>
          <w:p w:rsidR="00D96D32" w:rsidRPr="00D96D32" w:rsidRDefault="005778C1" w:rsidP="005778C1">
            <w:pPr>
              <w:pStyle w:val="Tablecontentsblackright"/>
              <w:rPr>
                <w:rFonts w:asciiTheme="majorHAnsi" w:hAnsiTheme="majorHAnsi" w:cstheme="majorHAnsi"/>
                <w:sz w:val="20"/>
                <w:szCs w:val="20"/>
              </w:rPr>
            </w:pPr>
            <w:r>
              <w:rPr>
                <w:rFonts w:asciiTheme="majorHAnsi" w:hAnsiTheme="majorHAnsi" w:cstheme="majorHAnsi"/>
                <w:sz w:val="20"/>
                <w:szCs w:val="20"/>
              </w:rPr>
              <w:t>61</w:t>
            </w:r>
            <w:r w:rsidR="00367708">
              <w:rPr>
                <w:rFonts w:asciiTheme="majorHAnsi" w:hAnsiTheme="majorHAnsi" w:cstheme="majorHAnsi"/>
                <w:sz w:val="20"/>
                <w:szCs w:val="20"/>
              </w:rPr>
              <w:t>8</w:t>
            </w:r>
            <w:r w:rsidR="00D96D32" w:rsidRPr="00D96D32">
              <w:rPr>
                <w:rFonts w:asciiTheme="majorHAnsi" w:hAnsiTheme="majorHAnsi" w:cstheme="majorHAnsi"/>
                <w:sz w:val="20"/>
                <w:szCs w:val="20"/>
              </w:rPr>
              <w:t>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b/>
                <w:bCs/>
                <w:sz w:val="20"/>
              </w:rPr>
            </w:pPr>
          </w:p>
        </w:tc>
        <w:tc>
          <w:tcPr>
            <w:tcW w:w="1132" w:type="dxa"/>
            <w:tcBorders>
              <w:bottom w:val="single" w:sz="4" w:space="0" w:color="auto"/>
            </w:tcBorders>
            <w:vAlign w:val="bottom"/>
          </w:tcPr>
          <w:p w:rsidR="00D96D32" w:rsidRPr="00D96D32" w:rsidRDefault="005778C1" w:rsidP="005778C1">
            <w:pPr>
              <w:pStyle w:val="Tablecontentsblackright"/>
              <w:rPr>
                <w:rFonts w:asciiTheme="majorHAnsi" w:hAnsiTheme="majorHAnsi" w:cstheme="majorHAnsi"/>
                <w:sz w:val="20"/>
                <w:szCs w:val="20"/>
              </w:rPr>
            </w:pPr>
            <w:r>
              <w:rPr>
                <w:rFonts w:asciiTheme="majorHAnsi" w:hAnsiTheme="majorHAnsi" w:cstheme="majorHAnsi"/>
                <w:sz w:val="20"/>
                <w:szCs w:val="20"/>
              </w:rPr>
              <w:t xml:space="preserve"> (</w:t>
            </w:r>
            <w:r w:rsidR="00367708">
              <w:rPr>
                <w:rFonts w:asciiTheme="majorHAnsi" w:hAnsiTheme="majorHAnsi" w:cstheme="majorHAnsi"/>
                <w:sz w:val="20"/>
                <w:szCs w:val="20"/>
              </w:rPr>
              <w:t>881</w:t>
            </w:r>
            <w:r>
              <w:rPr>
                <w:rFonts w:asciiTheme="majorHAnsi" w:hAnsiTheme="majorHAnsi" w:cstheme="majorHAnsi"/>
                <w:sz w:val="20"/>
                <w:szCs w:val="20"/>
              </w:rPr>
              <w:t>)</w:t>
            </w:r>
            <w:r w:rsidR="00D96D32" w:rsidRPr="00D96D32">
              <w:rPr>
                <w:rFonts w:asciiTheme="majorHAnsi" w:hAnsiTheme="majorHAnsi" w:cstheme="majorHAnsi"/>
                <w:sz w:val="20"/>
                <w:szCs w:val="20"/>
              </w:rPr>
              <w:t> </w:t>
            </w:r>
          </w:p>
        </w:tc>
        <w:tc>
          <w:tcPr>
            <w:tcW w:w="227"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b/>
                <w:bCs/>
                <w:sz w:val="20"/>
              </w:rPr>
            </w:pPr>
          </w:p>
        </w:tc>
      </w:tr>
      <w:tr w:rsidR="00D96D32" w:rsidRPr="00D96D32" w:rsidTr="00670B12">
        <w:tc>
          <w:tcPr>
            <w:tcW w:w="4574" w:type="dxa"/>
            <w:vAlign w:val="bottom"/>
          </w:tcPr>
          <w:p w:rsidR="00D96D32" w:rsidRPr="00D96D32" w:rsidRDefault="00D96D32" w:rsidP="00670B12">
            <w:pPr>
              <w:pStyle w:val="CellBody"/>
              <w:tabs>
                <w:tab w:val="left" w:leader="dot" w:pos="5007"/>
              </w:tabs>
              <w:spacing w:beforeLines="40" w:before="96" w:after="0" w:line="240" w:lineRule="auto"/>
              <w:rPr>
                <w:rFonts w:asciiTheme="majorHAnsi" w:hAnsiTheme="majorHAnsi" w:cstheme="majorHAnsi"/>
                <w:sz w:val="20"/>
              </w:rPr>
            </w:pPr>
            <w:r w:rsidRPr="00D96D32">
              <w:rPr>
                <w:rFonts w:asciiTheme="majorHAnsi" w:hAnsiTheme="majorHAnsi" w:cstheme="majorHAnsi"/>
                <w:sz w:val="20"/>
              </w:rPr>
              <w:t>Tax (charge)/credit</w:t>
            </w:r>
            <w:r w:rsidRPr="00D96D32">
              <w:rPr>
                <w:rFonts w:asciiTheme="majorHAnsi" w:hAnsiTheme="majorHAnsi" w:cstheme="majorHAnsi"/>
                <w:sz w:val="20"/>
              </w:rPr>
              <w:tab/>
            </w:r>
          </w:p>
        </w:tc>
        <w:tc>
          <w:tcPr>
            <w:tcW w:w="284"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c>
          <w:tcPr>
            <w:tcW w:w="1132" w:type="dxa"/>
            <w:tcBorders>
              <w:top w:val="single" w:sz="4" w:space="0" w:color="auto"/>
            </w:tcBorders>
            <w:vAlign w:val="bottom"/>
          </w:tcPr>
          <w:p w:rsidR="00D96D32" w:rsidRPr="00D96D32" w:rsidRDefault="00D96D32" w:rsidP="00670B12">
            <w:pPr>
              <w:pStyle w:val="Tablecontentsblackright"/>
              <w:rPr>
                <w:rFonts w:asciiTheme="majorHAnsi" w:hAnsiTheme="majorHAnsi" w:cstheme="majorHAnsi"/>
                <w:sz w:val="20"/>
                <w:szCs w:val="20"/>
              </w:rPr>
            </w:pPr>
            <w:r w:rsidRPr="00D96D32">
              <w:rPr>
                <w:rFonts w:asciiTheme="majorHAnsi" w:hAnsiTheme="majorHAnsi" w:cstheme="majorHAnsi"/>
                <w:sz w:val="20"/>
                <w:szCs w:val="20"/>
              </w:rPr>
              <w:t>(433)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tcBorders>
              <w:top w:val="single" w:sz="4" w:space="0" w:color="auto"/>
            </w:tcBorders>
            <w:vAlign w:val="bottom"/>
          </w:tcPr>
          <w:p w:rsidR="00D96D32" w:rsidRPr="00D96D32" w:rsidRDefault="005778C1" w:rsidP="005778C1">
            <w:pPr>
              <w:pStyle w:val="Tablecontentsblackright"/>
              <w:rPr>
                <w:rFonts w:asciiTheme="majorHAnsi" w:hAnsiTheme="majorHAnsi" w:cstheme="majorHAnsi"/>
                <w:sz w:val="20"/>
                <w:szCs w:val="20"/>
              </w:rPr>
            </w:pPr>
            <w:r>
              <w:rPr>
                <w:rFonts w:asciiTheme="majorHAnsi" w:hAnsiTheme="majorHAnsi" w:cstheme="majorHAnsi"/>
                <w:sz w:val="20"/>
                <w:szCs w:val="20"/>
              </w:rPr>
              <w:t>(</w:t>
            </w:r>
            <w:r w:rsidR="00367708">
              <w:rPr>
                <w:rFonts w:asciiTheme="majorHAnsi" w:hAnsiTheme="majorHAnsi" w:cstheme="majorHAnsi"/>
                <w:sz w:val="20"/>
                <w:szCs w:val="20"/>
              </w:rPr>
              <w:t>603</w:t>
            </w:r>
            <w:r>
              <w:rPr>
                <w:rFonts w:asciiTheme="majorHAnsi" w:hAnsiTheme="majorHAnsi" w:cstheme="majorHAnsi"/>
                <w:sz w:val="20"/>
                <w:szCs w:val="20"/>
              </w:rPr>
              <w:t>)</w:t>
            </w:r>
            <w:r w:rsidR="00D96D32" w:rsidRPr="00D96D32">
              <w:rPr>
                <w:rFonts w:asciiTheme="majorHAnsi" w:hAnsiTheme="majorHAnsi" w:cstheme="majorHAnsi"/>
                <w:sz w:val="20"/>
                <w:szCs w:val="20"/>
              </w:rPr>
              <w:t>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tcBorders>
              <w:top w:val="single" w:sz="4" w:space="0" w:color="auto"/>
            </w:tcBorders>
            <w:vAlign w:val="bottom"/>
          </w:tcPr>
          <w:p w:rsidR="00D96D32" w:rsidRPr="00D96D32" w:rsidRDefault="00367708" w:rsidP="005778C1">
            <w:pPr>
              <w:pStyle w:val="Tablecontentsblackright"/>
              <w:rPr>
                <w:rFonts w:asciiTheme="majorHAnsi" w:hAnsiTheme="majorHAnsi" w:cstheme="majorHAnsi"/>
                <w:sz w:val="20"/>
                <w:szCs w:val="20"/>
              </w:rPr>
            </w:pPr>
            <w:r>
              <w:rPr>
                <w:rFonts w:asciiTheme="majorHAnsi" w:hAnsiTheme="majorHAnsi" w:cstheme="majorHAnsi"/>
                <w:sz w:val="20"/>
                <w:szCs w:val="20"/>
              </w:rPr>
              <w:t>170</w:t>
            </w:r>
            <w:r w:rsidR="00D96D32" w:rsidRPr="00D96D32">
              <w:rPr>
                <w:rFonts w:asciiTheme="majorHAnsi" w:hAnsiTheme="majorHAnsi" w:cstheme="majorHAnsi"/>
                <w:sz w:val="20"/>
                <w:szCs w:val="20"/>
              </w:rPr>
              <w:t xml:space="preserve">  </w:t>
            </w:r>
          </w:p>
        </w:tc>
        <w:tc>
          <w:tcPr>
            <w:tcW w:w="227"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r>
      <w:tr w:rsidR="00D96D32" w:rsidRPr="00D96D32" w:rsidTr="00670B12">
        <w:tc>
          <w:tcPr>
            <w:tcW w:w="4574" w:type="dxa"/>
            <w:vAlign w:val="bottom"/>
          </w:tcPr>
          <w:p w:rsidR="00D96D32" w:rsidRPr="00D96D32" w:rsidRDefault="00D96D32" w:rsidP="00670B12">
            <w:pPr>
              <w:pStyle w:val="CellBody"/>
              <w:tabs>
                <w:tab w:val="left" w:leader="dot" w:pos="5007"/>
              </w:tabs>
              <w:spacing w:beforeLines="40" w:before="96" w:after="0" w:line="240" w:lineRule="auto"/>
              <w:rPr>
                <w:rFonts w:asciiTheme="majorHAnsi" w:hAnsiTheme="majorHAnsi" w:cstheme="majorHAnsi"/>
                <w:b/>
                <w:sz w:val="20"/>
              </w:rPr>
            </w:pPr>
            <w:r w:rsidRPr="00D96D32">
              <w:rPr>
                <w:rFonts w:asciiTheme="majorHAnsi" w:hAnsiTheme="majorHAnsi" w:cstheme="majorHAnsi"/>
                <w:b/>
                <w:sz w:val="20"/>
              </w:rPr>
              <w:t>Profit for the year from continuing operations</w:t>
            </w:r>
            <w:r w:rsidRPr="00D96D32">
              <w:rPr>
                <w:rFonts w:asciiTheme="majorHAnsi" w:hAnsiTheme="majorHAnsi" w:cstheme="majorHAnsi"/>
                <w:sz w:val="20"/>
              </w:rPr>
              <w:tab/>
            </w:r>
          </w:p>
        </w:tc>
        <w:tc>
          <w:tcPr>
            <w:tcW w:w="284"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c>
          <w:tcPr>
            <w:tcW w:w="1132" w:type="dxa"/>
            <w:tcBorders>
              <w:bottom w:val="double" w:sz="4" w:space="0" w:color="auto"/>
            </w:tcBorders>
            <w:vAlign w:val="bottom"/>
          </w:tcPr>
          <w:p w:rsidR="00D96D32" w:rsidRPr="00D96D32" w:rsidRDefault="00D96D32" w:rsidP="00670B12">
            <w:pPr>
              <w:pStyle w:val="Tablecontentsblackright"/>
              <w:rPr>
                <w:rFonts w:asciiTheme="majorHAnsi" w:hAnsiTheme="majorHAnsi" w:cstheme="majorHAnsi"/>
                <w:sz w:val="20"/>
                <w:szCs w:val="20"/>
              </w:rPr>
            </w:pPr>
            <w:r w:rsidRPr="00D96D32">
              <w:rPr>
                <w:rFonts w:asciiTheme="majorHAnsi" w:hAnsiTheme="majorHAnsi" w:cstheme="majorHAnsi"/>
                <w:sz w:val="20"/>
                <w:szCs w:val="20"/>
              </w:rPr>
              <w:t>(696)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b/>
                <w:bCs/>
                <w:sz w:val="20"/>
              </w:rPr>
            </w:pPr>
          </w:p>
        </w:tc>
        <w:tc>
          <w:tcPr>
            <w:tcW w:w="1132" w:type="dxa"/>
            <w:tcBorders>
              <w:bottom w:val="double" w:sz="4" w:space="0" w:color="auto"/>
            </w:tcBorders>
            <w:vAlign w:val="bottom"/>
          </w:tcPr>
          <w:p w:rsidR="00D96D32" w:rsidRPr="00D96D32" w:rsidRDefault="00367708" w:rsidP="005778C1">
            <w:pPr>
              <w:pStyle w:val="Tablecontentsblackright"/>
              <w:rPr>
                <w:rFonts w:asciiTheme="majorHAnsi" w:hAnsiTheme="majorHAnsi" w:cstheme="majorHAnsi"/>
                <w:sz w:val="20"/>
                <w:szCs w:val="20"/>
              </w:rPr>
            </w:pPr>
            <w:r>
              <w:rPr>
                <w:rFonts w:asciiTheme="majorHAnsi" w:hAnsiTheme="majorHAnsi" w:cstheme="majorHAnsi"/>
                <w:sz w:val="20"/>
                <w:szCs w:val="20"/>
              </w:rPr>
              <w:t>15</w:t>
            </w:r>
            <w:r w:rsidR="00D96D32" w:rsidRPr="00D96D32">
              <w:rPr>
                <w:rFonts w:asciiTheme="majorHAnsi" w:hAnsiTheme="majorHAnsi" w:cstheme="majorHAnsi"/>
                <w:sz w:val="20"/>
                <w:szCs w:val="20"/>
              </w:rPr>
              <w:t>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b/>
                <w:bCs/>
                <w:sz w:val="20"/>
              </w:rPr>
            </w:pPr>
          </w:p>
        </w:tc>
        <w:tc>
          <w:tcPr>
            <w:tcW w:w="1132" w:type="dxa"/>
            <w:tcBorders>
              <w:bottom w:val="double" w:sz="4" w:space="0" w:color="auto"/>
            </w:tcBorders>
            <w:vAlign w:val="bottom"/>
          </w:tcPr>
          <w:p w:rsidR="00D96D32" w:rsidRPr="00D96D32" w:rsidRDefault="005778C1" w:rsidP="005778C1">
            <w:pPr>
              <w:pStyle w:val="Tablecontentsblackright"/>
              <w:rPr>
                <w:rFonts w:asciiTheme="majorHAnsi" w:hAnsiTheme="majorHAnsi" w:cstheme="majorHAnsi"/>
                <w:sz w:val="20"/>
                <w:szCs w:val="20"/>
              </w:rPr>
            </w:pPr>
            <w:r>
              <w:rPr>
                <w:rFonts w:asciiTheme="majorHAnsi" w:hAnsiTheme="majorHAnsi" w:cstheme="majorHAnsi"/>
                <w:sz w:val="20"/>
                <w:szCs w:val="20"/>
              </w:rPr>
              <w:t xml:space="preserve"> (</w:t>
            </w:r>
            <w:r w:rsidR="00367708">
              <w:rPr>
                <w:rFonts w:asciiTheme="majorHAnsi" w:hAnsiTheme="majorHAnsi" w:cstheme="majorHAnsi"/>
                <w:sz w:val="20"/>
                <w:szCs w:val="20"/>
              </w:rPr>
              <w:t>711</w:t>
            </w:r>
            <w:r>
              <w:rPr>
                <w:rFonts w:asciiTheme="majorHAnsi" w:hAnsiTheme="majorHAnsi" w:cstheme="majorHAnsi"/>
                <w:sz w:val="20"/>
                <w:szCs w:val="20"/>
              </w:rPr>
              <w:t>)</w:t>
            </w:r>
            <w:r w:rsidR="00D96D32" w:rsidRPr="00D96D32">
              <w:rPr>
                <w:rFonts w:asciiTheme="majorHAnsi" w:hAnsiTheme="majorHAnsi" w:cstheme="majorHAnsi"/>
                <w:sz w:val="20"/>
                <w:szCs w:val="20"/>
              </w:rPr>
              <w:t> </w:t>
            </w:r>
          </w:p>
        </w:tc>
        <w:tc>
          <w:tcPr>
            <w:tcW w:w="227"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b/>
                <w:bCs/>
                <w:sz w:val="20"/>
              </w:rPr>
            </w:pPr>
          </w:p>
        </w:tc>
      </w:tr>
      <w:tr w:rsidR="00D96D32" w:rsidRPr="00D96D32" w:rsidTr="00670B12">
        <w:tc>
          <w:tcPr>
            <w:tcW w:w="4574" w:type="dxa"/>
            <w:vAlign w:val="bottom"/>
          </w:tcPr>
          <w:p w:rsidR="00D96D32" w:rsidRPr="00D96D32" w:rsidRDefault="00D96D32" w:rsidP="00670B12">
            <w:pPr>
              <w:pStyle w:val="CellBody"/>
              <w:tabs>
                <w:tab w:val="left" w:leader="dot" w:pos="5007"/>
              </w:tabs>
              <w:spacing w:beforeLines="40" w:before="96" w:after="0" w:line="240" w:lineRule="auto"/>
              <w:rPr>
                <w:rFonts w:asciiTheme="majorHAnsi" w:hAnsiTheme="majorHAnsi" w:cstheme="majorHAnsi"/>
                <w:i/>
                <w:sz w:val="20"/>
              </w:rPr>
            </w:pPr>
            <w:r w:rsidRPr="00D96D32">
              <w:rPr>
                <w:rFonts w:asciiTheme="majorHAnsi" w:hAnsiTheme="majorHAnsi" w:cstheme="majorHAnsi"/>
                <w:i/>
                <w:sz w:val="20"/>
              </w:rPr>
              <w:t>Attributable to:</w:t>
            </w:r>
          </w:p>
        </w:tc>
        <w:tc>
          <w:tcPr>
            <w:tcW w:w="284"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c>
          <w:tcPr>
            <w:tcW w:w="1132" w:type="dxa"/>
            <w:tcBorders>
              <w:top w:val="double" w:sz="4" w:space="0" w:color="auto"/>
            </w:tcBorders>
            <w:vAlign w:val="bottom"/>
          </w:tcPr>
          <w:p w:rsidR="00D96D32" w:rsidRPr="00D96D32" w:rsidRDefault="00D96D32" w:rsidP="00670B12">
            <w:pPr>
              <w:pStyle w:val="CellBody"/>
              <w:spacing w:beforeLines="40" w:before="96" w:after="0" w:line="240" w:lineRule="auto"/>
              <w:jc w:val="right"/>
              <w:rPr>
                <w:rFonts w:asciiTheme="majorHAnsi" w:hAnsiTheme="majorHAnsi" w:cstheme="majorHAnsi"/>
                <w:sz w:val="20"/>
              </w:rPr>
            </w:pP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tcBorders>
              <w:top w:val="double" w:sz="4" w:space="0" w:color="auto"/>
            </w:tcBorders>
            <w:vAlign w:val="bottom"/>
          </w:tcPr>
          <w:p w:rsidR="00D96D32" w:rsidRPr="00D96D32" w:rsidRDefault="00D96D32" w:rsidP="00670B12">
            <w:pPr>
              <w:pStyle w:val="CellBody"/>
              <w:spacing w:beforeLines="40" w:before="96" w:after="0" w:line="240" w:lineRule="auto"/>
              <w:jc w:val="right"/>
              <w:rPr>
                <w:rFonts w:asciiTheme="majorHAnsi" w:hAnsiTheme="majorHAnsi" w:cstheme="majorHAnsi"/>
                <w:b/>
                <w:bCs/>
                <w:sz w:val="20"/>
              </w:rPr>
            </w:pP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tcBorders>
              <w:top w:val="double" w:sz="4" w:space="0" w:color="auto"/>
            </w:tcBorders>
            <w:vAlign w:val="bottom"/>
          </w:tcPr>
          <w:p w:rsidR="00D96D32" w:rsidRPr="00D96D32" w:rsidRDefault="00D96D32" w:rsidP="00670B12">
            <w:pPr>
              <w:pStyle w:val="CellBody"/>
              <w:spacing w:beforeLines="40" w:before="96" w:after="0" w:line="240" w:lineRule="auto"/>
              <w:jc w:val="right"/>
              <w:rPr>
                <w:rFonts w:asciiTheme="majorHAnsi" w:hAnsiTheme="majorHAnsi" w:cstheme="majorHAnsi"/>
                <w:bCs/>
                <w:sz w:val="20"/>
              </w:rPr>
            </w:pPr>
          </w:p>
        </w:tc>
        <w:tc>
          <w:tcPr>
            <w:tcW w:w="227"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r>
      <w:tr w:rsidR="00D96D32" w:rsidRPr="00D96D32" w:rsidTr="00670B12">
        <w:tc>
          <w:tcPr>
            <w:tcW w:w="4574" w:type="dxa"/>
            <w:vAlign w:val="bottom"/>
          </w:tcPr>
          <w:p w:rsidR="00D96D32" w:rsidRPr="00D96D32" w:rsidRDefault="00D96D32" w:rsidP="00670B12">
            <w:pPr>
              <w:pStyle w:val="CellBody"/>
              <w:tabs>
                <w:tab w:val="left" w:leader="dot" w:pos="5007"/>
              </w:tabs>
              <w:spacing w:beforeLines="40" w:before="96" w:after="0" w:line="240" w:lineRule="auto"/>
              <w:rPr>
                <w:rFonts w:asciiTheme="majorHAnsi" w:hAnsiTheme="majorHAnsi" w:cstheme="majorHAnsi"/>
                <w:sz w:val="20"/>
              </w:rPr>
            </w:pPr>
            <w:r w:rsidRPr="00D96D32">
              <w:rPr>
                <w:rFonts w:asciiTheme="majorHAnsi" w:hAnsiTheme="majorHAnsi" w:cstheme="majorHAnsi"/>
                <w:sz w:val="20"/>
              </w:rPr>
              <w:t>Non-controlling interests</w:t>
            </w:r>
            <w:r w:rsidRPr="00D96D32">
              <w:rPr>
                <w:rFonts w:asciiTheme="majorHAnsi" w:hAnsiTheme="majorHAnsi" w:cstheme="majorHAnsi"/>
                <w:sz w:val="20"/>
              </w:rPr>
              <w:tab/>
            </w:r>
          </w:p>
        </w:tc>
        <w:tc>
          <w:tcPr>
            <w:tcW w:w="284"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c>
          <w:tcPr>
            <w:tcW w:w="1132" w:type="dxa"/>
            <w:vAlign w:val="bottom"/>
          </w:tcPr>
          <w:p w:rsidR="00D96D32" w:rsidRPr="00D96D32" w:rsidRDefault="00D96D32" w:rsidP="00E72F88">
            <w:pPr>
              <w:pStyle w:val="Tablecontentsblackright"/>
              <w:rPr>
                <w:rFonts w:asciiTheme="majorHAnsi" w:hAnsiTheme="majorHAnsi" w:cstheme="majorHAnsi"/>
                <w:sz w:val="20"/>
                <w:szCs w:val="20"/>
              </w:rPr>
            </w:pPr>
            <w:r w:rsidRPr="00D96D32">
              <w:rPr>
                <w:rFonts w:asciiTheme="majorHAnsi" w:hAnsiTheme="majorHAnsi" w:cstheme="majorHAnsi"/>
                <w:sz w:val="20"/>
                <w:szCs w:val="20"/>
              </w:rPr>
              <w:t>-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vAlign w:val="bottom"/>
          </w:tcPr>
          <w:p w:rsidR="00D96D32" w:rsidRPr="00D96D32" w:rsidRDefault="00D96D32" w:rsidP="00E72F88">
            <w:pPr>
              <w:pStyle w:val="Tablecontentsblackright"/>
              <w:rPr>
                <w:rFonts w:asciiTheme="majorHAnsi" w:hAnsiTheme="majorHAnsi" w:cstheme="majorHAnsi"/>
                <w:sz w:val="20"/>
                <w:szCs w:val="20"/>
              </w:rPr>
            </w:pPr>
            <w:r w:rsidRPr="00D96D32">
              <w:rPr>
                <w:rFonts w:asciiTheme="majorHAnsi" w:hAnsiTheme="majorHAnsi" w:cstheme="majorHAnsi"/>
                <w:sz w:val="20"/>
                <w:szCs w:val="20"/>
              </w:rPr>
              <w:t>-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vAlign w:val="bottom"/>
          </w:tcPr>
          <w:p w:rsidR="00D96D32" w:rsidRPr="00D96D32" w:rsidRDefault="00D96D32" w:rsidP="00670B12">
            <w:pPr>
              <w:pStyle w:val="Tablecontentsblackright"/>
              <w:rPr>
                <w:rFonts w:asciiTheme="majorHAnsi" w:hAnsiTheme="majorHAnsi" w:cstheme="majorHAnsi"/>
                <w:sz w:val="20"/>
                <w:szCs w:val="20"/>
              </w:rPr>
            </w:pPr>
            <w:r w:rsidRPr="00D96D32">
              <w:rPr>
                <w:rFonts w:asciiTheme="majorHAnsi" w:hAnsiTheme="majorHAnsi" w:cstheme="majorHAnsi"/>
                <w:sz w:val="20"/>
                <w:szCs w:val="20"/>
              </w:rPr>
              <w:t>-  </w:t>
            </w:r>
          </w:p>
        </w:tc>
        <w:tc>
          <w:tcPr>
            <w:tcW w:w="227"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r>
      <w:tr w:rsidR="00D96D32" w:rsidRPr="00D96D32" w:rsidTr="00670B12">
        <w:tc>
          <w:tcPr>
            <w:tcW w:w="4574" w:type="dxa"/>
            <w:vAlign w:val="bottom"/>
          </w:tcPr>
          <w:p w:rsidR="00D96D32" w:rsidRPr="00D96D32" w:rsidRDefault="005675EA" w:rsidP="005675EA">
            <w:pPr>
              <w:pStyle w:val="CellBody"/>
              <w:tabs>
                <w:tab w:val="left" w:leader="dot" w:pos="5007"/>
              </w:tabs>
              <w:spacing w:beforeLines="40" w:before="96" w:after="0" w:line="240" w:lineRule="auto"/>
              <w:rPr>
                <w:rFonts w:asciiTheme="majorHAnsi" w:hAnsiTheme="majorHAnsi" w:cstheme="majorHAnsi"/>
                <w:sz w:val="20"/>
              </w:rPr>
            </w:pPr>
            <w:r>
              <w:rPr>
                <w:rFonts w:asciiTheme="majorHAnsi" w:hAnsiTheme="majorHAnsi" w:cstheme="majorHAnsi"/>
                <w:sz w:val="20"/>
              </w:rPr>
              <w:t>Controlling interests</w:t>
            </w:r>
            <w:r w:rsidR="00D96D32" w:rsidRPr="00D96D32">
              <w:rPr>
                <w:rFonts w:asciiTheme="majorHAnsi" w:hAnsiTheme="majorHAnsi" w:cstheme="majorHAnsi"/>
                <w:sz w:val="20"/>
              </w:rPr>
              <w:tab/>
            </w:r>
          </w:p>
        </w:tc>
        <w:tc>
          <w:tcPr>
            <w:tcW w:w="284"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c>
          <w:tcPr>
            <w:tcW w:w="1132" w:type="dxa"/>
            <w:vAlign w:val="bottom"/>
          </w:tcPr>
          <w:p w:rsidR="00D96D32" w:rsidRPr="00D96D32" w:rsidRDefault="00D96D32" w:rsidP="00670B12">
            <w:pPr>
              <w:pStyle w:val="Tablecontentsblackright"/>
              <w:rPr>
                <w:rFonts w:asciiTheme="majorHAnsi" w:hAnsiTheme="majorHAnsi" w:cstheme="majorHAnsi"/>
                <w:sz w:val="20"/>
                <w:szCs w:val="20"/>
              </w:rPr>
            </w:pPr>
            <w:r w:rsidRPr="00D96D32">
              <w:rPr>
                <w:rFonts w:asciiTheme="majorHAnsi" w:hAnsiTheme="majorHAnsi" w:cstheme="majorHAnsi"/>
                <w:sz w:val="20"/>
                <w:szCs w:val="20"/>
              </w:rPr>
              <w:t>(696)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vAlign w:val="bottom"/>
          </w:tcPr>
          <w:p w:rsidR="00D96D32" w:rsidRPr="00D96D32" w:rsidRDefault="00367708" w:rsidP="005778C1">
            <w:pPr>
              <w:pStyle w:val="Tablecontentsblackright"/>
              <w:rPr>
                <w:rFonts w:asciiTheme="majorHAnsi" w:hAnsiTheme="majorHAnsi" w:cstheme="majorHAnsi"/>
                <w:sz w:val="20"/>
                <w:szCs w:val="20"/>
              </w:rPr>
            </w:pPr>
            <w:r>
              <w:rPr>
                <w:rFonts w:asciiTheme="majorHAnsi" w:hAnsiTheme="majorHAnsi" w:cstheme="majorHAnsi"/>
                <w:sz w:val="20"/>
                <w:szCs w:val="20"/>
              </w:rPr>
              <w:t>15</w:t>
            </w:r>
            <w:r w:rsidR="00D96D32" w:rsidRPr="00D96D32">
              <w:rPr>
                <w:rFonts w:asciiTheme="majorHAnsi" w:hAnsiTheme="majorHAnsi" w:cstheme="majorHAnsi"/>
                <w:sz w:val="20"/>
                <w:szCs w:val="20"/>
              </w:rPr>
              <w:t> </w:t>
            </w:r>
          </w:p>
        </w:tc>
        <w:tc>
          <w:tcPr>
            <w:tcW w:w="284" w:type="dxa"/>
            <w:vAlign w:val="bottom"/>
          </w:tcPr>
          <w:p w:rsidR="00D96D32" w:rsidRPr="00D96D32" w:rsidRDefault="00D96D32" w:rsidP="00670B12">
            <w:pPr>
              <w:pStyle w:val="CellRowSpacer"/>
              <w:spacing w:beforeLines="40" w:before="96" w:after="0" w:line="240" w:lineRule="auto"/>
              <w:jc w:val="right"/>
              <w:rPr>
                <w:rFonts w:asciiTheme="majorHAnsi" w:hAnsiTheme="majorHAnsi" w:cstheme="majorHAnsi"/>
                <w:sz w:val="20"/>
              </w:rPr>
            </w:pPr>
          </w:p>
        </w:tc>
        <w:tc>
          <w:tcPr>
            <w:tcW w:w="1132" w:type="dxa"/>
            <w:vAlign w:val="bottom"/>
          </w:tcPr>
          <w:p w:rsidR="00D96D32" w:rsidRPr="00D96D32" w:rsidRDefault="00367708" w:rsidP="005778C1">
            <w:pPr>
              <w:pStyle w:val="Tablecontentsblackright"/>
              <w:rPr>
                <w:rFonts w:asciiTheme="majorHAnsi" w:hAnsiTheme="majorHAnsi" w:cstheme="majorHAnsi"/>
                <w:sz w:val="20"/>
                <w:szCs w:val="20"/>
              </w:rPr>
            </w:pPr>
            <w:r>
              <w:rPr>
                <w:rFonts w:asciiTheme="majorHAnsi" w:hAnsiTheme="majorHAnsi" w:cstheme="majorHAnsi"/>
                <w:sz w:val="20"/>
                <w:szCs w:val="20"/>
              </w:rPr>
              <w:t>(711)</w:t>
            </w:r>
          </w:p>
        </w:tc>
        <w:tc>
          <w:tcPr>
            <w:tcW w:w="227" w:type="dxa"/>
            <w:vAlign w:val="bottom"/>
          </w:tcPr>
          <w:p w:rsidR="00D96D32" w:rsidRPr="00D96D32" w:rsidRDefault="00D96D32" w:rsidP="00670B12">
            <w:pPr>
              <w:pStyle w:val="CellRowSpacer"/>
              <w:spacing w:beforeLines="40" w:before="96" w:after="0" w:line="240" w:lineRule="auto"/>
              <w:rPr>
                <w:rFonts w:asciiTheme="majorHAnsi" w:hAnsiTheme="majorHAnsi" w:cstheme="majorHAnsi"/>
                <w:sz w:val="20"/>
              </w:rPr>
            </w:pPr>
          </w:p>
        </w:tc>
      </w:tr>
    </w:tbl>
    <w:p w:rsidR="00D96D32" w:rsidRPr="00D96D32" w:rsidRDefault="00D96D32" w:rsidP="00D96D32">
      <w:pPr>
        <w:pStyle w:val="Body"/>
        <w:rPr>
          <w:rFonts w:asciiTheme="majorHAnsi" w:hAnsiTheme="majorHAnsi" w:cstheme="majorHAnsi"/>
          <w:sz w:val="20"/>
          <w:szCs w:val="20"/>
        </w:rPr>
      </w:pPr>
    </w:p>
    <w:tbl>
      <w:tblPr>
        <w:tblW w:w="0" w:type="auto"/>
        <w:tblInd w:w="425" w:type="dxa"/>
        <w:tblLayout w:type="fixed"/>
        <w:tblLook w:val="0000" w:firstRow="0" w:lastRow="0" w:firstColumn="0" w:lastColumn="0" w:noHBand="0" w:noVBand="0"/>
      </w:tblPr>
      <w:tblGrid>
        <w:gridCol w:w="1440"/>
        <w:gridCol w:w="7599"/>
      </w:tblGrid>
      <w:tr w:rsidR="00D96D32" w:rsidRPr="00D96D32" w:rsidTr="00670B12">
        <w:tc>
          <w:tcPr>
            <w:tcW w:w="1440" w:type="dxa"/>
            <w:tcBorders>
              <w:top w:val="single" w:sz="4" w:space="0" w:color="auto"/>
            </w:tcBorders>
            <w:vAlign w:val="bottom"/>
          </w:tcPr>
          <w:p w:rsidR="00D96D32" w:rsidRPr="00D96D32" w:rsidRDefault="00D96D32" w:rsidP="00D96D32">
            <w:pPr>
              <w:pStyle w:val="NoteBody"/>
              <w:spacing w:line="240" w:lineRule="auto"/>
              <w:rPr>
                <w:rFonts w:asciiTheme="majorHAnsi" w:hAnsiTheme="majorHAnsi" w:cstheme="majorHAnsi"/>
                <w:sz w:val="20"/>
              </w:rPr>
            </w:pPr>
            <w:r w:rsidRPr="00D96D32">
              <w:rPr>
                <w:rFonts w:asciiTheme="majorHAnsi" w:hAnsiTheme="majorHAnsi" w:cstheme="majorHAnsi"/>
                <w:sz w:val="20"/>
              </w:rPr>
              <w:t>Notes:</w:t>
            </w:r>
          </w:p>
        </w:tc>
        <w:tc>
          <w:tcPr>
            <w:tcW w:w="7599" w:type="dxa"/>
            <w:vAlign w:val="bottom"/>
          </w:tcPr>
          <w:p w:rsidR="00D96D32" w:rsidRPr="00D96D32" w:rsidRDefault="00D96D32" w:rsidP="00670B12">
            <w:pPr>
              <w:pStyle w:val="Body"/>
              <w:spacing w:before="40" w:after="40"/>
              <w:rPr>
                <w:rFonts w:asciiTheme="majorHAnsi" w:hAnsiTheme="majorHAnsi" w:cstheme="majorHAnsi"/>
                <w:sz w:val="20"/>
                <w:szCs w:val="20"/>
              </w:rPr>
            </w:pPr>
          </w:p>
        </w:tc>
      </w:tr>
      <w:tr w:rsidR="00D96D32" w:rsidRPr="00D96D32" w:rsidTr="00670B12">
        <w:trPr>
          <w:cantSplit/>
        </w:trPr>
        <w:tc>
          <w:tcPr>
            <w:tcW w:w="9039" w:type="dxa"/>
            <w:gridSpan w:val="2"/>
            <w:vAlign w:val="bottom"/>
          </w:tcPr>
          <w:p w:rsidR="00D96D32" w:rsidRPr="00D96D32" w:rsidRDefault="00D96D32" w:rsidP="00207739">
            <w:pPr>
              <w:pStyle w:val="Note"/>
              <w:numPr>
                <w:ilvl w:val="0"/>
                <w:numId w:val="51"/>
              </w:numPr>
              <w:spacing w:line="240" w:lineRule="auto"/>
              <w:rPr>
                <w:rFonts w:asciiTheme="majorHAnsi" w:hAnsiTheme="majorHAnsi" w:cstheme="majorHAnsi"/>
                <w:sz w:val="20"/>
              </w:rPr>
            </w:pPr>
            <w:r w:rsidRPr="00D96D32">
              <w:rPr>
                <w:rFonts w:asciiTheme="majorHAnsi" w:hAnsiTheme="majorHAnsi" w:cstheme="majorHAnsi"/>
                <w:sz w:val="20"/>
              </w:rPr>
              <w:t>This financial information for RBSH Group has been extracted from audited financial information contained within the Annual Report and Accounts of RBS Holdings N.V. published on 23 March 2012.</w:t>
            </w:r>
          </w:p>
        </w:tc>
      </w:tr>
      <w:tr w:rsidR="00D96D32" w:rsidRPr="00D96D32" w:rsidTr="00670B12">
        <w:trPr>
          <w:cantSplit/>
        </w:trPr>
        <w:tc>
          <w:tcPr>
            <w:tcW w:w="9039" w:type="dxa"/>
            <w:gridSpan w:val="2"/>
            <w:vAlign w:val="bottom"/>
          </w:tcPr>
          <w:p w:rsidR="00D96D32" w:rsidRPr="00D96D32" w:rsidRDefault="00D96D32" w:rsidP="00207739">
            <w:pPr>
              <w:pStyle w:val="Note"/>
              <w:numPr>
                <w:ilvl w:val="0"/>
                <w:numId w:val="51"/>
              </w:numPr>
              <w:spacing w:line="240" w:lineRule="auto"/>
              <w:rPr>
                <w:rFonts w:asciiTheme="majorHAnsi" w:hAnsiTheme="majorHAnsi" w:cstheme="majorHAnsi"/>
                <w:sz w:val="20"/>
              </w:rPr>
            </w:pPr>
            <w:r w:rsidRPr="00D96D32">
              <w:rPr>
                <w:rFonts w:asciiTheme="majorHAnsi" w:hAnsiTheme="majorHAnsi" w:cstheme="majorHAnsi"/>
                <w:sz w:val="20"/>
              </w:rPr>
              <w:t xml:space="preserve">This represents the income and expenses relating to the Proposed Transfers for the year ended 31 December 2011. See ‘Notes to pro forma financial information relating to </w:t>
            </w:r>
            <w:r w:rsidR="005675EA">
              <w:rPr>
                <w:rFonts w:asciiTheme="majorHAnsi" w:hAnsiTheme="majorHAnsi" w:cstheme="majorHAnsi"/>
                <w:sz w:val="20"/>
              </w:rPr>
              <w:t>RBSH Group</w:t>
            </w:r>
            <w:r w:rsidR="00670B12">
              <w:rPr>
                <w:rFonts w:asciiTheme="majorHAnsi" w:hAnsiTheme="majorHAnsi" w:cstheme="majorHAnsi"/>
                <w:sz w:val="20"/>
              </w:rPr>
              <w:t>’</w:t>
            </w:r>
            <w:r w:rsidRPr="00D96D32">
              <w:rPr>
                <w:rFonts w:asciiTheme="majorHAnsi" w:hAnsiTheme="majorHAnsi" w:cstheme="majorHAnsi"/>
                <w:sz w:val="20"/>
              </w:rPr>
              <w:t xml:space="preserve"> for further information.</w:t>
            </w:r>
          </w:p>
        </w:tc>
      </w:tr>
      <w:tr w:rsidR="00D96D32" w:rsidRPr="00D96D32" w:rsidTr="00670B12">
        <w:trPr>
          <w:cantSplit/>
        </w:trPr>
        <w:tc>
          <w:tcPr>
            <w:tcW w:w="9039" w:type="dxa"/>
            <w:gridSpan w:val="2"/>
            <w:vAlign w:val="bottom"/>
          </w:tcPr>
          <w:p w:rsidR="00D96D32" w:rsidRPr="00D96D32" w:rsidRDefault="00D96D32" w:rsidP="00D96D32">
            <w:pPr>
              <w:pStyle w:val="Note"/>
              <w:numPr>
                <w:ilvl w:val="0"/>
                <w:numId w:val="51"/>
              </w:numPr>
              <w:spacing w:line="240" w:lineRule="auto"/>
              <w:rPr>
                <w:rFonts w:asciiTheme="majorHAnsi" w:hAnsiTheme="majorHAnsi" w:cstheme="majorHAnsi"/>
                <w:sz w:val="20"/>
              </w:rPr>
            </w:pPr>
            <w:r w:rsidRPr="00D96D32">
              <w:rPr>
                <w:rFonts w:asciiTheme="majorHAnsi" w:hAnsiTheme="majorHAnsi" w:cstheme="majorHAnsi"/>
                <w:sz w:val="20"/>
              </w:rPr>
              <w:t>This represents the income and expenses for the year ended 31 December 2011 assuming the Proposed Transfers had occurred on 1 January 2011.</w:t>
            </w:r>
          </w:p>
        </w:tc>
      </w:tr>
    </w:tbl>
    <w:p w:rsidR="00D96D32" w:rsidRPr="00D96D32" w:rsidRDefault="00D96D32" w:rsidP="00D96D32">
      <w:pPr>
        <w:pStyle w:val="Body"/>
        <w:rPr>
          <w:rFonts w:asciiTheme="majorHAnsi" w:hAnsiTheme="majorHAnsi" w:cstheme="majorHAnsi"/>
          <w:sz w:val="20"/>
          <w:szCs w:val="20"/>
        </w:rPr>
      </w:pPr>
    </w:p>
    <w:p w:rsidR="00D96D32" w:rsidRPr="00D96D32" w:rsidRDefault="00D96D32" w:rsidP="00D96D32">
      <w:pPr>
        <w:pStyle w:val="Head"/>
        <w:rPr>
          <w:rFonts w:asciiTheme="majorHAnsi" w:hAnsiTheme="majorHAnsi" w:cstheme="majorHAnsi"/>
          <w:sz w:val="20"/>
          <w:szCs w:val="20"/>
        </w:rPr>
      </w:pPr>
      <w:r w:rsidRPr="00D96D32">
        <w:rPr>
          <w:rFonts w:asciiTheme="majorHAnsi" w:hAnsiTheme="majorHAnsi" w:cstheme="majorHAnsi"/>
          <w:sz w:val="20"/>
          <w:szCs w:val="20"/>
        </w:rPr>
        <w:br w:type="page"/>
        <w:t xml:space="preserve">Notes to pro forma financial information relating to </w:t>
      </w:r>
      <w:r w:rsidR="00207739">
        <w:rPr>
          <w:rFonts w:asciiTheme="majorHAnsi" w:hAnsiTheme="majorHAnsi" w:cstheme="majorHAnsi"/>
          <w:sz w:val="20"/>
          <w:szCs w:val="20"/>
        </w:rPr>
        <w:t>RBSH Group</w:t>
      </w:r>
    </w:p>
    <w:p w:rsidR="00D96D32" w:rsidRPr="00D96D32" w:rsidRDefault="00D96D32" w:rsidP="00D96D32">
      <w:pPr>
        <w:pStyle w:val="Level1"/>
        <w:numPr>
          <w:ilvl w:val="0"/>
          <w:numId w:val="53"/>
        </w:numPr>
        <w:rPr>
          <w:rFonts w:asciiTheme="majorHAnsi" w:hAnsiTheme="majorHAnsi" w:cstheme="majorHAnsi"/>
          <w:sz w:val="20"/>
          <w:szCs w:val="20"/>
        </w:rPr>
      </w:pPr>
      <w:r w:rsidRPr="00D96D32">
        <w:rPr>
          <w:rFonts w:asciiTheme="majorHAnsi" w:hAnsiTheme="majorHAnsi" w:cstheme="majorHAnsi"/>
          <w:sz w:val="20"/>
          <w:szCs w:val="20"/>
        </w:rPr>
        <w:t>Basis of preparation</w:t>
      </w:r>
    </w:p>
    <w:p w:rsidR="00D96D32" w:rsidRDefault="00D96D32" w:rsidP="00D96D32">
      <w:pPr>
        <w:pStyle w:val="Body"/>
        <w:spacing w:before="40" w:after="40" w:line="240" w:lineRule="auto"/>
        <w:ind w:left="426"/>
        <w:rPr>
          <w:rFonts w:asciiTheme="majorHAnsi" w:hAnsiTheme="majorHAnsi" w:cstheme="majorHAnsi"/>
          <w:sz w:val="20"/>
          <w:szCs w:val="20"/>
        </w:rPr>
      </w:pPr>
      <w:r w:rsidRPr="00D96D32">
        <w:rPr>
          <w:rFonts w:asciiTheme="majorHAnsi" w:hAnsiTheme="majorHAnsi" w:cstheme="majorHAnsi"/>
          <w:sz w:val="20"/>
          <w:szCs w:val="20"/>
        </w:rPr>
        <w:t xml:space="preserve">The pro forma financial information for RBSH Group as at 31 December 2011 and for the year ended 31 December 2011 has been derived from audited financial information for the year ended 31 December 2011 contained within the Annual Report and Accounts of RBS Holdings N.V. published on 23 March 2012 and does not reflect subsequent events.  </w:t>
      </w:r>
    </w:p>
    <w:p w:rsidR="00D96D32" w:rsidRPr="00D96D32" w:rsidRDefault="00D96D32" w:rsidP="00D96D32">
      <w:pPr>
        <w:pStyle w:val="Body"/>
        <w:spacing w:before="40" w:after="40" w:line="240" w:lineRule="auto"/>
        <w:ind w:left="426"/>
        <w:rPr>
          <w:rFonts w:asciiTheme="majorHAnsi" w:hAnsiTheme="majorHAnsi" w:cstheme="majorHAnsi"/>
          <w:sz w:val="20"/>
          <w:szCs w:val="20"/>
        </w:rPr>
      </w:pPr>
    </w:p>
    <w:p w:rsidR="00D96D32" w:rsidRDefault="00D96D32" w:rsidP="00D96D32">
      <w:pPr>
        <w:pStyle w:val="Body"/>
        <w:spacing w:before="40" w:after="40" w:line="240" w:lineRule="auto"/>
        <w:ind w:left="426"/>
        <w:rPr>
          <w:rFonts w:asciiTheme="majorHAnsi" w:hAnsiTheme="majorHAnsi" w:cstheme="majorHAnsi"/>
          <w:sz w:val="20"/>
          <w:szCs w:val="20"/>
        </w:rPr>
      </w:pPr>
      <w:r w:rsidRPr="00D96D32">
        <w:rPr>
          <w:rFonts w:asciiTheme="majorHAnsi" w:hAnsiTheme="majorHAnsi" w:cstheme="majorHAnsi"/>
          <w:sz w:val="20"/>
          <w:szCs w:val="20"/>
        </w:rPr>
        <w:t>The pro forma financial information has been prepared on the following basis:</w:t>
      </w:r>
    </w:p>
    <w:p w:rsidR="00D96D32" w:rsidRPr="00D96D32" w:rsidRDefault="00D96D32" w:rsidP="00D96D32">
      <w:pPr>
        <w:pStyle w:val="Body"/>
        <w:spacing w:before="40" w:after="40" w:line="240" w:lineRule="auto"/>
        <w:rPr>
          <w:rFonts w:asciiTheme="majorHAnsi" w:hAnsiTheme="majorHAnsi" w:cstheme="majorHAnsi"/>
          <w:sz w:val="20"/>
          <w:szCs w:val="20"/>
        </w:rPr>
      </w:pPr>
    </w:p>
    <w:p w:rsidR="00D96D32" w:rsidRDefault="00D96D32" w:rsidP="00D96D32">
      <w:pPr>
        <w:pStyle w:val="Body"/>
        <w:numPr>
          <w:ilvl w:val="0"/>
          <w:numId w:val="52"/>
        </w:numPr>
        <w:spacing w:before="40" w:after="40" w:line="240" w:lineRule="auto"/>
        <w:rPr>
          <w:rFonts w:asciiTheme="majorHAnsi" w:hAnsiTheme="majorHAnsi" w:cstheme="majorHAnsi"/>
          <w:sz w:val="20"/>
          <w:szCs w:val="20"/>
        </w:rPr>
      </w:pPr>
      <w:r w:rsidRPr="00D96D32">
        <w:rPr>
          <w:rFonts w:asciiTheme="majorHAnsi" w:hAnsiTheme="majorHAnsi" w:cstheme="majorHAnsi"/>
          <w:sz w:val="20"/>
          <w:szCs w:val="20"/>
        </w:rPr>
        <w:t xml:space="preserve">The pro forma financial information has been prepared </w:t>
      </w:r>
      <w:r w:rsidR="00207739">
        <w:rPr>
          <w:rFonts w:asciiTheme="majorHAnsi" w:hAnsiTheme="majorHAnsi" w:cstheme="majorHAnsi"/>
          <w:sz w:val="20"/>
          <w:szCs w:val="20"/>
        </w:rPr>
        <w:t xml:space="preserve">in accordance with Article 11 of Regulation S-X, </w:t>
      </w:r>
      <w:r w:rsidRPr="00D96D32">
        <w:rPr>
          <w:rFonts w:asciiTheme="majorHAnsi" w:hAnsiTheme="majorHAnsi" w:cstheme="majorHAnsi"/>
          <w:sz w:val="20"/>
          <w:szCs w:val="20"/>
        </w:rPr>
        <w:t>on the basis of management’s best estimate of the relevant assets and liabilities of RBS N.V. that will be transferred to RBS plc.</w:t>
      </w:r>
    </w:p>
    <w:p w:rsidR="00D96D32" w:rsidRPr="00D96D32" w:rsidRDefault="00D96D32" w:rsidP="00D96D32">
      <w:pPr>
        <w:pStyle w:val="Body"/>
        <w:spacing w:before="40" w:after="40" w:line="240" w:lineRule="auto"/>
        <w:ind w:left="830"/>
        <w:rPr>
          <w:rFonts w:asciiTheme="majorHAnsi" w:hAnsiTheme="majorHAnsi" w:cstheme="majorHAnsi"/>
          <w:sz w:val="20"/>
          <w:szCs w:val="20"/>
        </w:rPr>
      </w:pPr>
    </w:p>
    <w:p w:rsidR="00D96D32" w:rsidRDefault="00D96D32" w:rsidP="00D96D32">
      <w:pPr>
        <w:pStyle w:val="Body"/>
        <w:numPr>
          <w:ilvl w:val="0"/>
          <w:numId w:val="52"/>
        </w:numPr>
        <w:spacing w:before="40" w:after="40" w:line="240" w:lineRule="auto"/>
        <w:rPr>
          <w:rFonts w:asciiTheme="majorHAnsi" w:hAnsiTheme="majorHAnsi" w:cstheme="majorHAnsi"/>
          <w:sz w:val="20"/>
          <w:szCs w:val="20"/>
        </w:rPr>
      </w:pPr>
      <w:r w:rsidRPr="00D96D32">
        <w:rPr>
          <w:rFonts w:asciiTheme="majorHAnsi" w:hAnsiTheme="majorHAnsi" w:cstheme="majorHAnsi"/>
          <w:sz w:val="20"/>
          <w:szCs w:val="20"/>
        </w:rPr>
        <w:t>In the preparation of the pro forma financial information, the same recognition and measurement principles were applied as in the preparation of the audited financial information for the full year ended 31 December 2011 in accordance with International Financial Reporting Standards (“IFRS”) as issued by the International Accounting Standards Board and adopted by the European Union.</w:t>
      </w:r>
    </w:p>
    <w:p w:rsidR="00D96D32" w:rsidRPr="00D96D32" w:rsidRDefault="00D96D32" w:rsidP="00D96D32">
      <w:pPr>
        <w:pStyle w:val="Body"/>
        <w:spacing w:before="40" w:after="40" w:line="240" w:lineRule="auto"/>
        <w:ind w:left="830"/>
        <w:rPr>
          <w:rFonts w:asciiTheme="majorHAnsi" w:hAnsiTheme="majorHAnsi" w:cstheme="majorHAnsi"/>
          <w:sz w:val="20"/>
          <w:szCs w:val="20"/>
        </w:rPr>
      </w:pPr>
    </w:p>
    <w:p w:rsidR="00D96D32" w:rsidRDefault="00D96D32" w:rsidP="00D96D32">
      <w:pPr>
        <w:pStyle w:val="Body"/>
        <w:numPr>
          <w:ilvl w:val="0"/>
          <w:numId w:val="52"/>
        </w:numPr>
        <w:spacing w:before="40" w:after="40" w:line="240" w:lineRule="auto"/>
        <w:rPr>
          <w:rFonts w:asciiTheme="majorHAnsi" w:hAnsiTheme="majorHAnsi" w:cstheme="majorHAnsi"/>
          <w:sz w:val="20"/>
          <w:szCs w:val="20"/>
        </w:rPr>
      </w:pPr>
      <w:r w:rsidRPr="00D96D32">
        <w:rPr>
          <w:rFonts w:asciiTheme="majorHAnsi" w:hAnsiTheme="majorHAnsi" w:cstheme="majorHAnsi"/>
          <w:sz w:val="20"/>
          <w:szCs w:val="20"/>
        </w:rPr>
        <w:t xml:space="preserve">The pro forma condensed consolidated balance sheet of RBSH </w:t>
      </w:r>
      <w:r>
        <w:rPr>
          <w:rFonts w:asciiTheme="majorHAnsi" w:hAnsiTheme="majorHAnsi" w:cstheme="majorHAnsi"/>
          <w:sz w:val="20"/>
          <w:szCs w:val="20"/>
        </w:rPr>
        <w:t>Group as at 31 </w:t>
      </w:r>
      <w:r w:rsidRPr="00D96D32">
        <w:rPr>
          <w:rFonts w:asciiTheme="majorHAnsi" w:hAnsiTheme="majorHAnsi" w:cstheme="majorHAnsi"/>
          <w:sz w:val="20"/>
          <w:szCs w:val="20"/>
        </w:rPr>
        <w:t>December 2011 is presented to show the effect of the Proposed Transfers as if the Proposed Transfers had occurred on 31 December 2011.</w:t>
      </w:r>
    </w:p>
    <w:p w:rsidR="00D96D32" w:rsidRPr="00D96D32" w:rsidRDefault="00D96D32" w:rsidP="00D96D32">
      <w:pPr>
        <w:pStyle w:val="Body"/>
        <w:spacing w:before="40" w:after="40" w:line="240" w:lineRule="auto"/>
        <w:ind w:left="830"/>
        <w:rPr>
          <w:rFonts w:asciiTheme="majorHAnsi" w:hAnsiTheme="majorHAnsi" w:cstheme="majorHAnsi"/>
          <w:sz w:val="20"/>
          <w:szCs w:val="20"/>
        </w:rPr>
      </w:pPr>
    </w:p>
    <w:p w:rsidR="00D96D32" w:rsidRDefault="00D96D32" w:rsidP="00D96D32">
      <w:pPr>
        <w:pStyle w:val="Body"/>
        <w:numPr>
          <w:ilvl w:val="0"/>
          <w:numId w:val="52"/>
        </w:numPr>
        <w:spacing w:before="40" w:after="40" w:line="240" w:lineRule="auto"/>
        <w:rPr>
          <w:rFonts w:asciiTheme="majorHAnsi" w:hAnsiTheme="majorHAnsi" w:cstheme="majorHAnsi"/>
          <w:sz w:val="20"/>
          <w:szCs w:val="20"/>
        </w:rPr>
      </w:pPr>
      <w:r w:rsidRPr="00D96D32">
        <w:rPr>
          <w:rFonts w:asciiTheme="majorHAnsi" w:hAnsiTheme="majorHAnsi" w:cstheme="majorHAnsi"/>
          <w:sz w:val="20"/>
          <w:szCs w:val="20"/>
        </w:rPr>
        <w:t xml:space="preserve">The pro forma condensed consolidated statement of income of RBSH Group for the year ended 31 December 2011 is presented to show the effect of the Proposed Transfers as if the Proposed Transfers had occurred on 1 January 2011.  </w:t>
      </w:r>
    </w:p>
    <w:p w:rsidR="00D96D32" w:rsidRPr="00D96D32" w:rsidRDefault="00D96D32" w:rsidP="00D96D32">
      <w:pPr>
        <w:pStyle w:val="Body"/>
        <w:spacing w:before="40" w:after="40" w:line="240" w:lineRule="auto"/>
        <w:ind w:left="830"/>
        <w:rPr>
          <w:rFonts w:asciiTheme="majorHAnsi" w:hAnsiTheme="majorHAnsi" w:cstheme="majorHAnsi"/>
          <w:sz w:val="20"/>
          <w:szCs w:val="20"/>
        </w:rPr>
      </w:pPr>
    </w:p>
    <w:p w:rsidR="00D96D32" w:rsidRDefault="00D96D32" w:rsidP="00D96D32">
      <w:pPr>
        <w:pStyle w:val="Body"/>
        <w:numPr>
          <w:ilvl w:val="0"/>
          <w:numId w:val="52"/>
        </w:numPr>
        <w:spacing w:before="40" w:after="40" w:line="240" w:lineRule="auto"/>
        <w:rPr>
          <w:rFonts w:asciiTheme="majorHAnsi" w:hAnsiTheme="majorHAnsi" w:cstheme="majorHAnsi"/>
          <w:sz w:val="20"/>
          <w:szCs w:val="20"/>
        </w:rPr>
      </w:pPr>
      <w:r w:rsidRPr="00D96D32">
        <w:rPr>
          <w:rFonts w:asciiTheme="majorHAnsi" w:hAnsiTheme="majorHAnsi" w:cstheme="majorHAnsi"/>
          <w:sz w:val="20"/>
          <w:szCs w:val="20"/>
        </w:rPr>
        <w:t>Assets and liabilities to be transferred are presented based on their carrying values determined under IFRS. The allocation of equity was assessed on a global basis to reflect the expected level of capital support required by the transferring and retained businesses. Pre-existing intra-group funding within RBSH Group was treated as settled upon transfer with new funding allocated as needed to reflect the financing needs of the transferring and retained businesses. Certain modifications were applied where, in the opinion of management, material profit and loss items could be allocated more reliably on an individual basis.</w:t>
      </w:r>
    </w:p>
    <w:p w:rsidR="00D96D32" w:rsidRPr="00D96D32" w:rsidRDefault="00D96D32" w:rsidP="00D96D32">
      <w:pPr>
        <w:pStyle w:val="Body"/>
        <w:spacing w:before="40" w:after="40" w:line="240" w:lineRule="auto"/>
        <w:ind w:left="830"/>
        <w:rPr>
          <w:rFonts w:asciiTheme="majorHAnsi" w:hAnsiTheme="majorHAnsi" w:cstheme="majorHAnsi"/>
          <w:sz w:val="20"/>
          <w:szCs w:val="20"/>
        </w:rPr>
      </w:pPr>
    </w:p>
    <w:p w:rsidR="00D96D32" w:rsidRDefault="00D96D32" w:rsidP="00D96D32">
      <w:pPr>
        <w:pStyle w:val="Body"/>
        <w:numPr>
          <w:ilvl w:val="0"/>
          <w:numId w:val="52"/>
        </w:numPr>
        <w:spacing w:before="40" w:after="40" w:line="240" w:lineRule="auto"/>
        <w:rPr>
          <w:rFonts w:asciiTheme="majorHAnsi" w:hAnsiTheme="majorHAnsi" w:cstheme="majorHAnsi"/>
          <w:sz w:val="20"/>
          <w:szCs w:val="20"/>
        </w:rPr>
      </w:pPr>
      <w:r w:rsidRPr="00D96D32">
        <w:rPr>
          <w:rFonts w:asciiTheme="majorHAnsi" w:hAnsiTheme="majorHAnsi" w:cstheme="majorHAnsi"/>
          <w:sz w:val="20"/>
          <w:szCs w:val="20"/>
        </w:rPr>
        <w:t xml:space="preserve">There are no material non-recurring charges or credits (and related tax effects) expected to result directly from the Proposed Transfers, other than the recycling of equity reserves arising from the transaction which are excluded. </w:t>
      </w:r>
    </w:p>
    <w:p w:rsidR="00D96D32" w:rsidRPr="00D96D32" w:rsidRDefault="00D96D32" w:rsidP="00D96D32">
      <w:pPr>
        <w:pStyle w:val="Body"/>
        <w:spacing w:before="40" w:after="40" w:line="240" w:lineRule="auto"/>
        <w:ind w:left="830"/>
        <w:rPr>
          <w:rFonts w:asciiTheme="majorHAnsi" w:hAnsiTheme="majorHAnsi" w:cstheme="majorHAnsi"/>
          <w:sz w:val="20"/>
          <w:szCs w:val="20"/>
        </w:rPr>
      </w:pPr>
    </w:p>
    <w:p w:rsidR="00D96D32" w:rsidRPr="00D96D32" w:rsidRDefault="00D96D32" w:rsidP="00D96D32">
      <w:pPr>
        <w:pStyle w:val="Body"/>
        <w:numPr>
          <w:ilvl w:val="0"/>
          <w:numId w:val="52"/>
        </w:numPr>
        <w:spacing w:before="40" w:after="40" w:line="240" w:lineRule="auto"/>
        <w:rPr>
          <w:rFonts w:asciiTheme="majorHAnsi" w:hAnsiTheme="majorHAnsi" w:cstheme="majorHAnsi"/>
          <w:sz w:val="20"/>
          <w:szCs w:val="20"/>
        </w:rPr>
      </w:pPr>
      <w:r w:rsidRPr="00D96D32">
        <w:rPr>
          <w:rFonts w:asciiTheme="majorHAnsi" w:hAnsiTheme="majorHAnsi" w:cstheme="majorHAnsi"/>
          <w:sz w:val="20"/>
          <w:szCs w:val="20"/>
        </w:rPr>
        <w:t>The Proposed Transfers are subject, amongst other matters, to regulatory and other approvals, further tax and other analysis in respect of the assets and liabilities to be transferred and employee consultation procedures, any of which may significantly change the pro forma information from that presented.</w:t>
      </w:r>
    </w:p>
    <w:p w:rsidR="00D96D32" w:rsidRPr="00D96D32" w:rsidRDefault="00D96D32" w:rsidP="00D96D32">
      <w:pPr>
        <w:pStyle w:val="Body"/>
        <w:numPr>
          <w:ilvl w:val="0"/>
          <w:numId w:val="52"/>
        </w:numPr>
        <w:rPr>
          <w:rFonts w:asciiTheme="majorHAnsi" w:hAnsiTheme="majorHAnsi" w:cstheme="majorHAnsi"/>
          <w:sz w:val="20"/>
          <w:szCs w:val="20"/>
        </w:rPr>
        <w:sectPr w:rsidR="00D96D32" w:rsidRPr="00D96D32" w:rsidSect="009B7010">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7" w:h="16839" w:code="9"/>
          <w:pgMar w:top="1440" w:right="1588" w:bottom="1701" w:left="1588" w:header="766" w:footer="482" w:gutter="0"/>
          <w:pgNumType w:start="1"/>
          <w:cols w:space="708"/>
          <w:titlePg/>
          <w:docGrid w:linePitch="360"/>
        </w:sectPr>
      </w:pPr>
    </w:p>
    <w:p w:rsidR="00D96D32" w:rsidRPr="00D96D32" w:rsidRDefault="00D96D32" w:rsidP="00D96D32">
      <w:pPr>
        <w:pStyle w:val="Level1"/>
        <w:numPr>
          <w:ilvl w:val="0"/>
          <w:numId w:val="53"/>
        </w:numPr>
        <w:rPr>
          <w:rFonts w:asciiTheme="majorHAnsi" w:hAnsiTheme="majorHAnsi" w:cstheme="majorHAnsi"/>
          <w:sz w:val="20"/>
          <w:szCs w:val="20"/>
        </w:rPr>
      </w:pPr>
      <w:r w:rsidRPr="00D96D32">
        <w:rPr>
          <w:rFonts w:asciiTheme="majorHAnsi" w:hAnsiTheme="majorHAnsi" w:cstheme="majorHAnsi"/>
          <w:sz w:val="20"/>
          <w:szCs w:val="20"/>
        </w:rPr>
        <w:t>Businesses to be transferred as part of the Proposed Transfers</w:t>
      </w:r>
    </w:p>
    <w:p w:rsidR="00D96D32" w:rsidRPr="00D96D32" w:rsidRDefault="00D96D32" w:rsidP="00D96D32">
      <w:pPr>
        <w:pStyle w:val="Body"/>
        <w:spacing w:after="0" w:line="240" w:lineRule="auto"/>
        <w:ind w:left="425"/>
        <w:rPr>
          <w:rFonts w:asciiTheme="majorHAnsi" w:hAnsiTheme="majorHAnsi" w:cstheme="majorHAnsi"/>
          <w:sz w:val="20"/>
          <w:szCs w:val="20"/>
        </w:rPr>
      </w:pPr>
      <w:r w:rsidRPr="00D96D32">
        <w:rPr>
          <w:rFonts w:asciiTheme="majorHAnsi" w:hAnsiTheme="majorHAnsi" w:cstheme="majorHAnsi"/>
          <w:sz w:val="20"/>
          <w:szCs w:val="20"/>
        </w:rPr>
        <w:t xml:space="preserve">RBS N.V.’s businesses include the following product areas: Equities &amp; Structured Retail Products, Emerging Markets, Lending, Global Transaction Services (GTS), and Short Term Markets &amp; Financing (STMF). The Proposed Transfers include a number of subsidiary companies and specific product portfolios together with associated hedging. RBS N.V. also currently holds directly and indirectly certain other assets which are owned by RBSG jointly with the Dutch State and Santander (the ”Consortium Shared Assets”); these are part of the retained businesses. </w:t>
      </w:r>
    </w:p>
    <w:p w:rsidR="00D96D32" w:rsidRDefault="00D96D32" w:rsidP="00D96D32">
      <w:pPr>
        <w:pStyle w:val="Body"/>
        <w:spacing w:after="0" w:line="240" w:lineRule="auto"/>
        <w:ind w:left="425"/>
        <w:rPr>
          <w:rFonts w:asciiTheme="majorHAnsi" w:hAnsiTheme="majorHAnsi" w:cstheme="majorHAnsi"/>
          <w:sz w:val="20"/>
          <w:szCs w:val="20"/>
        </w:rPr>
      </w:pPr>
    </w:p>
    <w:p w:rsidR="00D96D32" w:rsidRPr="00D96D32" w:rsidRDefault="00D96D32" w:rsidP="00D96D32">
      <w:pPr>
        <w:pStyle w:val="Body"/>
        <w:spacing w:after="0" w:line="240" w:lineRule="auto"/>
        <w:ind w:left="425"/>
        <w:rPr>
          <w:rFonts w:asciiTheme="majorHAnsi" w:hAnsiTheme="majorHAnsi" w:cstheme="majorHAnsi"/>
          <w:sz w:val="20"/>
          <w:szCs w:val="20"/>
        </w:rPr>
      </w:pPr>
      <w:r w:rsidRPr="00D96D32">
        <w:rPr>
          <w:rFonts w:asciiTheme="majorHAnsi" w:hAnsiTheme="majorHAnsi" w:cstheme="majorHAnsi"/>
          <w:sz w:val="20"/>
          <w:szCs w:val="20"/>
        </w:rPr>
        <w:t xml:space="preserve">It is expected that the Proposed Transfers will be implemented on a phased basis over a period ending 31 December 2013. A large part of the Proposed Transfers (including the transfers of certain securities issued by RBS N.V.) is expected to have taken place by the end of 2012. This will be subject, amongst other matters, to regulatory and other approvals, further tax and other analysis in respect of the assets and liabilities to be transferred and employee consultation procedures. </w:t>
      </w:r>
    </w:p>
    <w:p w:rsidR="00D96D32" w:rsidRDefault="00D96D32" w:rsidP="00D96D32">
      <w:pPr>
        <w:pStyle w:val="Body"/>
        <w:spacing w:after="0" w:line="240" w:lineRule="auto"/>
        <w:ind w:left="425"/>
        <w:rPr>
          <w:rFonts w:asciiTheme="majorHAnsi" w:hAnsiTheme="majorHAnsi" w:cstheme="majorHAnsi"/>
          <w:sz w:val="20"/>
          <w:szCs w:val="20"/>
        </w:rPr>
      </w:pPr>
    </w:p>
    <w:p w:rsidR="00D96D32" w:rsidRPr="00D96D32" w:rsidRDefault="00D96D32" w:rsidP="00D96D32">
      <w:pPr>
        <w:pStyle w:val="Body"/>
        <w:spacing w:after="0" w:line="240" w:lineRule="auto"/>
        <w:ind w:left="425"/>
        <w:rPr>
          <w:rFonts w:asciiTheme="majorHAnsi" w:hAnsiTheme="majorHAnsi" w:cstheme="majorHAnsi"/>
          <w:sz w:val="20"/>
          <w:szCs w:val="20"/>
        </w:rPr>
      </w:pPr>
      <w:r w:rsidRPr="00D96D32">
        <w:rPr>
          <w:rFonts w:asciiTheme="majorHAnsi" w:hAnsiTheme="majorHAnsi" w:cstheme="majorHAnsi"/>
          <w:sz w:val="20"/>
          <w:szCs w:val="20"/>
        </w:rPr>
        <w:t>It is not certain whether such transfers (or any of them) will be effected at the value used for the pro forma financial information. No person should place any reliance on the pro forma financial information in connection with making an investment decision or for any other purpose and should be aware that changes to the current proposals (including, without limitation, to the assets and liabilities to be transferred or retained, the eventual manner in which such assets and liabilities are proposed to be transferred and to the timing pursuant to which they are proposed to be transferred) may be made if required, or if determined by RBS N.V. or RBS plc (in their absolute discretion) to be desirable for commercial or other reasons. Accordingly, nothing in this pro forma financial information should be taken as (or is) a representation that any of the assets and liabilities referred to will be transferred or retained, whether in a manner consistent with the figures contained in this pro forma financial information, in accordance with the timing set out above, or at all. For the avoidance of doubt, this pro forma financial information has been prepared and circulated solely for information purposes and does not constitute an offer to any person.</w:t>
      </w:r>
    </w:p>
    <w:p w:rsidR="00D96D32" w:rsidRPr="00D96D32" w:rsidRDefault="00D96D32" w:rsidP="00D96D32">
      <w:pPr>
        <w:pStyle w:val="Level1"/>
        <w:numPr>
          <w:ilvl w:val="0"/>
          <w:numId w:val="53"/>
        </w:numPr>
        <w:rPr>
          <w:rFonts w:asciiTheme="majorHAnsi" w:hAnsiTheme="majorHAnsi" w:cstheme="majorHAnsi"/>
          <w:sz w:val="20"/>
          <w:szCs w:val="20"/>
        </w:rPr>
      </w:pPr>
      <w:r w:rsidRPr="00D96D32">
        <w:rPr>
          <w:rFonts w:asciiTheme="majorHAnsi" w:hAnsiTheme="majorHAnsi" w:cstheme="majorHAnsi"/>
          <w:sz w:val="20"/>
          <w:szCs w:val="20"/>
        </w:rPr>
        <w:t xml:space="preserve">Overview of </w:t>
      </w:r>
      <w:r w:rsidR="00207739">
        <w:rPr>
          <w:rFonts w:asciiTheme="majorHAnsi" w:hAnsiTheme="majorHAnsi" w:cstheme="majorHAnsi"/>
          <w:sz w:val="20"/>
          <w:szCs w:val="20"/>
        </w:rPr>
        <w:t>RBSH Group</w:t>
      </w:r>
      <w:r w:rsidRPr="00D96D32">
        <w:rPr>
          <w:rFonts w:asciiTheme="majorHAnsi" w:hAnsiTheme="majorHAnsi" w:cstheme="majorHAnsi"/>
          <w:sz w:val="20"/>
          <w:szCs w:val="20"/>
        </w:rPr>
        <w:t xml:space="preserve"> after the Proposed Transfers</w:t>
      </w:r>
    </w:p>
    <w:p w:rsidR="00D96D32" w:rsidRPr="00D96D32" w:rsidRDefault="00D96D32" w:rsidP="00D96D32">
      <w:pPr>
        <w:pStyle w:val="Body"/>
        <w:spacing w:after="0" w:line="240" w:lineRule="auto"/>
        <w:ind w:left="426"/>
        <w:rPr>
          <w:rFonts w:asciiTheme="majorHAnsi" w:hAnsiTheme="majorHAnsi" w:cstheme="majorHAnsi"/>
          <w:sz w:val="20"/>
          <w:szCs w:val="20"/>
        </w:rPr>
      </w:pPr>
      <w:r w:rsidRPr="00D96D32">
        <w:rPr>
          <w:rFonts w:asciiTheme="majorHAnsi" w:hAnsiTheme="majorHAnsi" w:cstheme="majorHAnsi"/>
          <w:sz w:val="20"/>
          <w:szCs w:val="20"/>
        </w:rPr>
        <w:t xml:space="preserve">For legal, tax and other reasons, there are expected to be certain operations, assets and liabilities in RBS N.V. which will not be transferred to RBS plc. </w:t>
      </w:r>
      <w:r w:rsidR="008A4C26" w:rsidRPr="00D96D32">
        <w:rPr>
          <w:rFonts w:asciiTheme="majorHAnsi" w:hAnsiTheme="majorHAnsi" w:cstheme="majorHAnsi"/>
          <w:sz w:val="20"/>
          <w:szCs w:val="20"/>
        </w:rPr>
        <w:t xml:space="preserve">RBSG is committed to providing the necessary support to ensure that RBS N.V. continues to meet its commitments during and after the Proposed Transfers. </w:t>
      </w:r>
      <w:r w:rsidRPr="00D96D32">
        <w:rPr>
          <w:rFonts w:asciiTheme="majorHAnsi" w:hAnsiTheme="majorHAnsi" w:cstheme="majorHAnsi"/>
          <w:sz w:val="20"/>
          <w:szCs w:val="20"/>
        </w:rPr>
        <w:t>Following completion of the Proposed Transfers, RBS N.V. will continue to be supervised and regulated by De Nederlandsche Bank.</w:t>
      </w:r>
    </w:p>
    <w:p w:rsidR="00D96D32" w:rsidRPr="005E5167" w:rsidRDefault="00D96D32" w:rsidP="00D96D32">
      <w:pPr>
        <w:rPr>
          <w:rFonts w:eastAsia="PMingLiU"/>
          <w:kern w:val="20"/>
          <w:lang w:eastAsia="zh-TW"/>
        </w:rPr>
      </w:pPr>
    </w:p>
    <w:p w:rsidR="00D96D32" w:rsidRPr="00DA7B54" w:rsidRDefault="00D96D32" w:rsidP="00451E2D">
      <w:pPr>
        <w:autoSpaceDE w:val="0"/>
        <w:autoSpaceDN w:val="0"/>
        <w:adjustRightInd w:val="0"/>
        <w:jc w:val="both"/>
        <w:rPr>
          <w:rFonts w:asciiTheme="majorHAnsi" w:hAnsiTheme="majorHAnsi" w:cstheme="majorHAnsi"/>
          <w:b/>
          <w:bCs/>
          <w:iCs/>
          <w:kern w:val="20"/>
          <w:sz w:val="20"/>
          <w:szCs w:val="20"/>
        </w:rPr>
      </w:pPr>
    </w:p>
    <w:sectPr w:rsidR="00D96D32" w:rsidRPr="00DA7B54" w:rsidSect="002F4701">
      <w:headerReference w:type="even" r:id="rId16"/>
      <w:headerReference w:type="default" r:id="rId17"/>
      <w:footerReference w:type="even" r:id="rId18"/>
      <w:footerReference w:type="default" r:id="rId19"/>
      <w:headerReference w:type="first" r:id="rId20"/>
      <w:footerReference w:type="first" r:id="rId21"/>
      <w:pgSz w:w="11907" w:h="16839" w:code="9"/>
      <w:pgMar w:top="1440" w:right="1440" w:bottom="1440" w:left="1440" w:header="720" w:footer="516"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E14" w:rsidRDefault="00B70E14">
      <w:r>
        <w:separator/>
      </w:r>
    </w:p>
  </w:endnote>
  <w:endnote w:type="continuationSeparator" w:id="0">
    <w:p w:rsidR="00B70E14" w:rsidRDefault="00B7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7E6" w:rsidRDefault="002F57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E14" w:rsidRPr="009B7010" w:rsidRDefault="00B70E14" w:rsidP="009B7010">
    <w:pPr>
      <w:pStyle w:val="Footer"/>
      <w:jc w:val="center"/>
    </w:pPr>
    <w:r>
      <w:rPr>
        <w:rStyle w:val="PageNumber"/>
        <w:kern w:val="17"/>
      </w:rPr>
      <w:fldChar w:fldCharType="begin"/>
    </w:r>
    <w:r>
      <w:rPr>
        <w:rStyle w:val="PageNumber"/>
        <w:kern w:val="17"/>
      </w:rPr>
      <w:instrText xml:space="preserve"> PAGE </w:instrText>
    </w:r>
    <w:r>
      <w:rPr>
        <w:rStyle w:val="PageNumber"/>
        <w:kern w:val="17"/>
      </w:rPr>
      <w:fldChar w:fldCharType="separate"/>
    </w:r>
    <w:r w:rsidR="002F57E6">
      <w:rPr>
        <w:rStyle w:val="PageNumber"/>
        <w:noProof/>
        <w:kern w:val="17"/>
      </w:rPr>
      <w:t>3</w:t>
    </w:r>
    <w:r>
      <w:rPr>
        <w:rStyle w:val="PageNumber"/>
        <w:kern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7E6" w:rsidRDefault="002F57E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E14" w:rsidRDefault="00B70E1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E14" w:rsidRDefault="00B70E14">
    <w:pPr>
      <w:pStyle w:val="DocExCode"/>
    </w:pPr>
  </w:p>
  <w:p w:rsidR="00B70E14" w:rsidRDefault="00B70E14">
    <w:pPr>
      <w:pStyle w:val="DocExCode"/>
      <w:jc w:val="center"/>
    </w:pPr>
    <w:r>
      <w:rPr>
        <w:rStyle w:val="PageNumber"/>
        <w:kern w:val="17"/>
      </w:rPr>
      <w:fldChar w:fldCharType="begin"/>
    </w:r>
    <w:r>
      <w:rPr>
        <w:rStyle w:val="PageNumber"/>
        <w:kern w:val="17"/>
      </w:rPr>
      <w:instrText xml:space="preserve"> PAGE </w:instrText>
    </w:r>
    <w:r>
      <w:rPr>
        <w:rStyle w:val="PageNumber"/>
        <w:kern w:val="17"/>
      </w:rPr>
      <w:fldChar w:fldCharType="separate"/>
    </w:r>
    <w:r w:rsidR="002F57E6">
      <w:rPr>
        <w:rStyle w:val="PageNumber"/>
        <w:noProof/>
        <w:kern w:val="17"/>
      </w:rPr>
      <w:t>3</w:t>
    </w:r>
    <w:r>
      <w:rPr>
        <w:rStyle w:val="PageNumber"/>
        <w:kern w:val="17"/>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E14" w:rsidRDefault="00B70E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E14" w:rsidRDefault="00B70E14">
      <w:r>
        <w:separator/>
      </w:r>
    </w:p>
  </w:footnote>
  <w:footnote w:type="continuationSeparator" w:id="0">
    <w:p w:rsidR="00B70E14" w:rsidRDefault="00B70E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7E6" w:rsidRDefault="002F57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7E6" w:rsidRDefault="002F57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7E6" w:rsidRDefault="002F57E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E14" w:rsidRDefault="00B70E1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E14" w:rsidRDefault="00B70E1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E14" w:rsidRDefault="00B70E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nsid w:val="147923C2"/>
    <w:multiLevelType w:val="hybridMultilevel"/>
    <w:tmpl w:val="F5401DAC"/>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7">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4">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6">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8">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19">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3">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24">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29">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1">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08B7E63"/>
    <w:multiLevelType w:val="singleLevel"/>
    <w:tmpl w:val="1B9E0494"/>
    <w:lvl w:ilvl="0">
      <w:start w:val="1"/>
      <w:numFmt w:val="decimal"/>
      <w:pStyle w:val="Note"/>
      <w:lvlText w:val="(%1)"/>
      <w:lvlJc w:val="left"/>
      <w:pPr>
        <w:tabs>
          <w:tab w:val="num" w:pos="425"/>
        </w:tabs>
        <w:ind w:left="425" w:hanging="425"/>
      </w:pPr>
      <w:rPr>
        <w:rFonts w:cs="Times New Roman"/>
      </w:rPr>
    </w:lvl>
  </w:abstractNum>
  <w:abstractNum w:abstractNumId="33">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4">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35">
    <w:nsid w:val="66884AEE"/>
    <w:multiLevelType w:val="hybridMultilevel"/>
    <w:tmpl w:val="2D3A75E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6">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8">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1">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2">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3">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4">
    <w:nsid w:val="79FA3CEE"/>
    <w:multiLevelType w:val="hybridMultilevel"/>
    <w:tmpl w:val="72220AE4"/>
    <w:lvl w:ilvl="0" w:tplc="04090001">
      <w:start w:val="1"/>
      <w:numFmt w:val="bullet"/>
      <w:lvlText w:val=""/>
      <w:lvlJc w:val="left"/>
      <w:pPr>
        <w:tabs>
          <w:tab w:val="num" w:pos="830"/>
        </w:tabs>
        <w:ind w:left="830" w:hanging="360"/>
      </w:pPr>
      <w:rPr>
        <w:rFonts w:ascii="Symbol" w:hAnsi="Symbol" w:hint="default"/>
      </w:rPr>
    </w:lvl>
    <w:lvl w:ilvl="1" w:tplc="0409000F">
      <w:start w:val="1"/>
      <w:numFmt w:val="decimal"/>
      <w:lvlText w:val="%2."/>
      <w:lvlJc w:val="left"/>
      <w:pPr>
        <w:tabs>
          <w:tab w:val="num" w:pos="1865"/>
        </w:tabs>
        <w:ind w:left="1865" w:hanging="360"/>
      </w:pPr>
      <w:rPr>
        <w:rFonts w:cs="Times New Roman"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45">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7D351FAE"/>
    <w:multiLevelType w:val="multilevel"/>
    <w:tmpl w:val="D976319A"/>
    <w:lvl w:ilvl="0">
      <w:start w:val="1"/>
      <w:numFmt w:val="bullet"/>
      <w:lvlRestart w:val="0"/>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7"/>
  </w:num>
  <w:num w:numId="2">
    <w:abstractNumId w:val="1"/>
  </w:num>
  <w:num w:numId="3">
    <w:abstractNumId w:val="31"/>
  </w:num>
  <w:num w:numId="4">
    <w:abstractNumId w:val="15"/>
  </w:num>
  <w:num w:numId="5">
    <w:abstractNumId w:val="23"/>
  </w:num>
  <w:num w:numId="6">
    <w:abstractNumId w:val="41"/>
  </w:num>
  <w:num w:numId="7">
    <w:abstractNumId w:val="15"/>
  </w:num>
  <w:num w:numId="8">
    <w:abstractNumId w:val="6"/>
  </w:num>
  <w:num w:numId="9">
    <w:abstractNumId w:val="22"/>
  </w:num>
  <w:num w:numId="10">
    <w:abstractNumId w:val="18"/>
  </w:num>
  <w:num w:numId="11">
    <w:abstractNumId w:val="7"/>
  </w:num>
  <w:num w:numId="12">
    <w:abstractNumId w:val="14"/>
  </w:num>
  <w:num w:numId="13">
    <w:abstractNumId w:val="12"/>
  </w:num>
  <w:num w:numId="14">
    <w:abstractNumId w:val="29"/>
  </w:num>
  <w:num w:numId="15">
    <w:abstractNumId w:val="45"/>
  </w:num>
  <w:num w:numId="16">
    <w:abstractNumId w:val="8"/>
  </w:num>
  <w:num w:numId="17">
    <w:abstractNumId w:val="19"/>
  </w:num>
  <w:num w:numId="18">
    <w:abstractNumId w:val="26"/>
  </w:num>
  <w:num w:numId="19">
    <w:abstractNumId w:val="21"/>
  </w:num>
  <w:num w:numId="20">
    <w:abstractNumId w:val="25"/>
  </w:num>
  <w:num w:numId="21">
    <w:abstractNumId w:val="24"/>
  </w:num>
  <w:num w:numId="22">
    <w:abstractNumId w:val="9"/>
  </w:num>
  <w:num w:numId="23">
    <w:abstractNumId w:val="38"/>
  </w:num>
  <w:num w:numId="24">
    <w:abstractNumId w:val="37"/>
  </w:num>
  <w:num w:numId="25">
    <w:abstractNumId w:val="47"/>
  </w:num>
  <w:num w:numId="26">
    <w:abstractNumId w:val="1"/>
  </w:num>
  <w:num w:numId="27">
    <w:abstractNumId w:val="31"/>
  </w:num>
  <w:num w:numId="28">
    <w:abstractNumId w:val="30"/>
  </w:num>
  <w:num w:numId="29">
    <w:abstractNumId w:val="43"/>
  </w:num>
  <w:num w:numId="30">
    <w:abstractNumId w:val="33"/>
  </w:num>
  <w:num w:numId="31">
    <w:abstractNumId w:val="28"/>
  </w:num>
  <w:num w:numId="32">
    <w:abstractNumId w:val="42"/>
  </w:num>
  <w:num w:numId="33">
    <w:abstractNumId w:val="40"/>
  </w:num>
  <w:num w:numId="34">
    <w:abstractNumId w:val="3"/>
  </w:num>
  <w:num w:numId="35">
    <w:abstractNumId w:val="17"/>
  </w:num>
  <w:num w:numId="36">
    <w:abstractNumId w:val="4"/>
  </w:num>
  <w:num w:numId="37">
    <w:abstractNumId w:val="13"/>
  </w:num>
  <w:num w:numId="38">
    <w:abstractNumId w:val="2"/>
  </w:num>
  <w:num w:numId="39">
    <w:abstractNumId w:val="34"/>
  </w:num>
  <w:num w:numId="40">
    <w:abstractNumId w:val="0"/>
  </w:num>
  <w:num w:numId="41">
    <w:abstractNumId w:val="16"/>
  </w:num>
  <w:num w:numId="42">
    <w:abstractNumId w:val="36"/>
  </w:num>
  <w:num w:numId="43">
    <w:abstractNumId w:val="11"/>
  </w:num>
  <w:num w:numId="44">
    <w:abstractNumId w:val="20"/>
  </w:num>
  <w:num w:numId="45">
    <w:abstractNumId w:val="39"/>
  </w:num>
  <w:num w:numId="46">
    <w:abstractNumId w:val="10"/>
  </w:num>
  <w:num w:numId="47">
    <w:abstractNumId w:val="27"/>
  </w:num>
  <w:num w:numId="48">
    <w:abstractNumId w:val="5"/>
  </w:num>
  <w:num w:numId="49">
    <w:abstractNumId w:val="46"/>
  </w:num>
  <w:num w:numId="50">
    <w:abstractNumId w:val="32"/>
  </w:num>
  <w:num w:numId="51">
    <w:abstractNumId w:val="32"/>
    <w:lvlOverride w:ilvl="0">
      <w:startOverride w:val="1"/>
    </w:lvlOverride>
  </w:num>
  <w:num w:numId="52">
    <w:abstractNumId w:val="44"/>
  </w:num>
  <w:num w:numId="53">
    <w:abstractNumId w:val="3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675"/>
  <w:noPunctuationKerning/>
  <w:characterSpacingControl w:val="doNotCompress"/>
  <w:hdrShapeDefaults>
    <o:shapedefaults v:ext="edit" spidmax="18433"/>
  </w:hdrShapeDefaults>
  <w:footnotePr>
    <w:pos w:val="beneathText"/>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CFA"/>
    <w:rsid w:val="0000080D"/>
    <w:rsid w:val="00003A07"/>
    <w:rsid w:val="00006062"/>
    <w:rsid w:val="000079AF"/>
    <w:rsid w:val="00010E3E"/>
    <w:rsid w:val="00015D3B"/>
    <w:rsid w:val="00022235"/>
    <w:rsid w:val="000235EF"/>
    <w:rsid w:val="00050E42"/>
    <w:rsid w:val="00053619"/>
    <w:rsid w:val="00062275"/>
    <w:rsid w:val="00074212"/>
    <w:rsid w:val="00076150"/>
    <w:rsid w:val="00087DA3"/>
    <w:rsid w:val="00094791"/>
    <w:rsid w:val="0009597B"/>
    <w:rsid w:val="00097071"/>
    <w:rsid w:val="000C1A5F"/>
    <w:rsid w:val="000C3159"/>
    <w:rsid w:val="000D00CE"/>
    <w:rsid w:val="000D5311"/>
    <w:rsid w:val="000E6686"/>
    <w:rsid w:val="000E6F20"/>
    <w:rsid w:val="001105B4"/>
    <w:rsid w:val="00113FB8"/>
    <w:rsid w:val="00115418"/>
    <w:rsid w:val="00126212"/>
    <w:rsid w:val="00133276"/>
    <w:rsid w:val="0014232F"/>
    <w:rsid w:val="00151148"/>
    <w:rsid w:val="00152B30"/>
    <w:rsid w:val="00152BE7"/>
    <w:rsid w:val="001536B4"/>
    <w:rsid w:val="00171A07"/>
    <w:rsid w:val="00173861"/>
    <w:rsid w:val="001821C5"/>
    <w:rsid w:val="001835E1"/>
    <w:rsid w:val="001915FF"/>
    <w:rsid w:val="001951FA"/>
    <w:rsid w:val="00195EFD"/>
    <w:rsid w:val="0019627C"/>
    <w:rsid w:val="001965A1"/>
    <w:rsid w:val="001A73B2"/>
    <w:rsid w:val="001B06B8"/>
    <w:rsid w:val="001B200B"/>
    <w:rsid w:val="001B2790"/>
    <w:rsid w:val="001B524C"/>
    <w:rsid w:val="001D064B"/>
    <w:rsid w:val="001D1274"/>
    <w:rsid w:val="001D51E4"/>
    <w:rsid w:val="001E084F"/>
    <w:rsid w:val="001E3599"/>
    <w:rsid w:val="001E53DD"/>
    <w:rsid w:val="001E6836"/>
    <w:rsid w:val="001E6A3B"/>
    <w:rsid w:val="001F0493"/>
    <w:rsid w:val="001F7474"/>
    <w:rsid w:val="002057C4"/>
    <w:rsid w:val="00207739"/>
    <w:rsid w:val="00216A2A"/>
    <w:rsid w:val="0022411E"/>
    <w:rsid w:val="002325EF"/>
    <w:rsid w:val="00234185"/>
    <w:rsid w:val="00240DCC"/>
    <w:rsid w:val="00241E6D"/>
    <w:rsid w:val="00247F62"/>
    <w:rsid w:val="00254158"/>
    <w:rsid w:val="00267E9D"/>
    <w:rsid w:val="00270F57"/>
    <w:rsid w:val="002710EE"/>
    <w:rsid w:val="002827D5"/>
    <w:rsid w:val="00292BF7"/>
    <w:rsid w:val="00292F93"/>
    <w:rsid w:val="00295D97"/>
    <w:rsid w:val="00296248"/>
    <w:rsid w:val="002A4A4B"/>
    <w:rsid w:val="002B14C6"/>
    <w:rsid w:val="002B45B9"/>
    <w:rsid w:val="002C0E5B"/>
    <w:rsid w:val="002D0650"/>
    <w:rsid w:val="002D1DAD"/>
    <w:rsid w:val="002D3BE7"/>
    <w:rsid w:val="002E1DA0"/>
    <w:rsid w:val="002E3B73"/>
    <w:rsid w:val="002F1D8B"/>
    <w:rsid w:val="002F4701"/>
    <w:rsid w:val="002F53DE"/>
    <w:rsid w:val="002F57E6"/>
    <w:rsid w:val="002F599A"/>
    <w:rsid w:val="0031059C"/>
    <w:rsid w:val="003138B0"/>
    <w:rsid w:val="0031599E"/>
    <w:rsid w:val="003200C7"/>
    <w:rsid w:val="00321305"/>
    <w:rsid w:val="00321A88"/>
    <w:rsid w:val="003366E3"/>
    <w:rsid w:val="003416EA"/>
    <w:rsid w:val="003421C6"/>
    <w:rsid w:val="00353A4C"/>
    <w:rsid w:val="00362B05"/>
    <w:rsid w:val="00367708"/>
    <w:rsid w:val="003731B7"/>
    <w:rsid w:val="00375DA2"/>
    <w:rsid w:val="003817F1"/>
    <w:rsid w:val="003A015F"/>
    <w:rsid w:val="003A6552"/>
    <w:rsid w:val="003B098D"/>
    <w:rsid w:val="003C39B4"/>
    <w:rsid w:val="003C3A64"/>
    <w:rsid w:val="003C3C0C"/>
    <w:rsid w:val="003C5624"/>
    <w:rsid w:val="003C685B"/>
    <w:rsid w:val="003C73D0"/>
    <w:rsid w:val="003D0802"/>
    <w:rsid w:val="003D6404"/>
    <w:rsid w:val="003D6A51"/>
    <w:rsid w:val="003E7E2E"/>
    <w:rsid w:val="003F2EE7"/>
    <w:rsid w:val="003F5078"/>
    <w:rsid w:val="004027EE"/>
    <w:rsid w:val="00405378"/>
    <w:rsid w:val="00407325"/>
    <w:rsid w:val="00411838"/>
    <w:rsid w:val="00422334"/>
    <w:rsid w:val="00434624"/>
    <w:rsid w:val="00434F0C"/>
    <w:rsid w:val="00434F8E"/>
    <w:rsid w:val="00440282"/>
    <w:rsid w:val="00441E33"/>
    <w:rsid w:val="004435BD"/>
    <w:rsid w:val="00451E2D"/>
    <w:rsid w:val="00454491"/>
    <w:rsid w:val="00460E12"/>
    <w:rsid w:val="004622DC"/>
    <w:rsid w:val="00480C17"/>
    <w:rsid w:val="00481C1D"/>
    <w:rsid w:val="00482CE3"/>
    <w:rsid w:val="00482EFB"/>
    <w:rsid w:val="004964CA"/>
    <w:rsid w:val="004A199B"/>
    <w:rsid w:val="004B2EB1"/>
    <w:rsid w:val="004B3FD3"/>
    <w:rsid w:val="004B6D8F"/>
    <w:rsid w:val="004C4BE4"/>
    <w:rsid w:val="004D732D"/>
    <w:rsid w:val="004D7D89"/>
    <w:rsid w:val="004E2B1A"/>
    <w:rsid w:val="004E3B7F"/>
    <w:rsid w:val="004E4DD1"/>
    <w:rsid w:val="004E538C"/>
    <w:rsid w:val="004E6F58"/>
    <w:rsid w:val="004F666C"/>
    <w:rsid w:val="005015E9"/>
    <w:rsid w:val="005026C2"/>
    <w:rsid w:val="0050468F"/>
    <w:rsid w:val="00510FB5"/>
    <w:rsid w:val="00512D72"/>
    <w:rsid w:val="0051530E"/>
    <w:rsid w:val="00520C74"/>
    <w:rsid w:val="00524A7D"/>
    <w:rsid w:val="0052648F"/>
    <w:rsid w:val="005274DE"/>
    <w:rsid w:val="005278B5"/>
    <w:rsid w:val="00532A10"/>
    <w:rsid w:val="005339CD"/>
    <w:rsid w:val="00536B9E"/>
    <w:rsid w:val="00543720"/>
    <w:rsid w:val="005466B9"/>
    <w:rsid w:val="005612DF"/>
    <w:rsid w:val="005675EA"/>
    <w:rsid w:val="00567C29"/>
    <w:rsid w:val="005733A9"/>
    <w:rsid w:val="00574131"/>
    <w:rsid w:val="005778C1"/>
    <w:rsid w:val="00581584"/>
    <w:rsid w:val="00590D96"/>
    <w:rsid w:val="005A0B43"/>
    <w:rsid w:val="005A4CB6"/>
    <w:rsid w:val="005A4CCB"/>
    <w:rsid w:val="005A4ECE"/>
    <w:rsid w:val="005B136E"/>
    <w:rsid w:val="005B3D48"/>
    <w:rsid w:val="005B4294"/>
    <w:rsid w:val="005B7049"/>
    <w:rsid w:val="005C0117"/>
    <w:rsid w:val="005C6F07"/>
    <w:rsid w:val="005D6A31"/>
    <w:rsid w:val="005D7121"/>
    <w:rsid w:val="005E0338"/>
    <w:rsid w:val="005E06AD"/>
    <w:rsid w:val="005E2072"/>
    <w:rsid w:val="005E421B"/>
    <w:rsid w:val="005E6508"/>
    <w:rsid w:val="005E74A7"/>
    <w:rsid w:val="00600BE5"/>
    <w:rsid w:val="0060145E"/>
    <w:rsid w:val="006017A9"/>
    <w:rsid w:val="00601E8D"/>
    <w:rsid w:val="006030EA"/>
    <w:rsid w:val="006070B5"/>
    <w:rsid w:val="00615E9B"/>
    <w:rsid w:val="00615FF8"/>
    <w:rsid w:val="00616D18"/>
    <w:rsid w:val="006172D0"/>
    <w:rsid w:val="00623ED5"/>
    <w:rsid w:val="00635F9D"/>
    <w:rsid w:val="00637DFF"/>
    <w:rsid w:val="00642B39"/>
    <w:rsid w:val="00646222"/>
    <w:rsid w:val="00650485"/>
    <w:rsid w:val="006519F7"/>
    <w:rsid w:val="00651CFA"/>
    <w:rsid w:val="006614D1"/>
    <w:rsid w:val="00670B12"/>
    <w:rsid w:val="00670B55"/>
    <w:rsid w:val="006733F1"/>
    <w:rsid w:val="00674B5F"/>
    <w:rsid w:val="0068120A"/>
    <w:rsid w:val="00683C8B"/>
    <w:rsid w:val="00686035"/>
    <w:rsid w:val="00687D21"/>
    <w:rsid w:val="006931E0"/>
    <w:rsid w:val="00694DB1"/>
    <w:rsid w:val="006B4E64"/>
    <w:rsid w:val="006B4F59"/>
    <w:rsid w:val="006C412F"/>
    <w:rsid w:val="006E049E"/>
    <w:rsid w:val="006E1B56"/>
    <w:rsid w:val="006F3709"/>
    <w:rsid w:val="006F7658"/>
    <w:rsid w:val="006F7B7E"/>
    <w:rsid w:val="00703F98"/>
    <w:rsid w:val="00706CAD"/>
    <w:rsid w:val="007106F9"/>
    <w:rsid w:val="0071231A"/>
    <w:rsid w:val="00717F4E"/>
    <w:rsid w:val="00721B2A"/>
    <w:rsid w:val="00724241"/>
    <w:rsid w:val="00724CF6"/>
    <w:rsid w:val="00735230"/>
    <w:rsid w:val="00740E16"/>
    <w:rsid w:val="00744EFB"/>
    <w:rsid w:val="00750BE5"/>
    <w:rsid w:val="007513DF"/>
    <w:rsid w:val="00766FA7"/>
    <w:rsid w:val="00791FEE"/>
    <w:rsid w:val="00796003"/>
    <w:rsid w:val="00796846"/>
    <w:rsid w:val="007A2284"/>
    <w:rsid w:val="007A3C7C"/>
    <w:rsid w:val="007A55B6"/>
    <w:rsid w:val="007A7647"/>
    <w:rsid w:val="007B56AF"/>
    <w:rsid w:val="007B5EF5"/>
    <w:rsid w:val="007C2245"/>
    <w:rsid w:val="007C2A67"/>
    <w:rsid w:val="007C4DE1"/>
    <w:rsid w:val="007C50D8"/>
    <w:rsid w:val="007C6A79"/>
    <w:rsid w:val="007C76FF"/>
    <w:rsid w:val="007D267D"/>
    <w:rsid w:val="007D7676"/>
    <w:rsid w:val="007E1C10"/>
    <w:rsid w:val="007E6B7A"/>
    <w:rsid w:val="007E73CB"/>
    <w:rsid w:val="007F39EE"/>
    <w:rsid w:val="008003EA"/>
    <w:rsid w:val="008019A6"/>
    <w:rsid w:val="00806A5C"/>
    <w:rsid w:val="008107D2"/>
    <w:rsid w:val="008147A5"/>
    <w:rsid w:val="0082205B"/>
    <w:rsid w:val="00822250"/>
    <w:rsid w:val="00824BB9"/>
    <w:rsid w:val="00826DC5"/>
    <w:rsid w:val="008301A4"/>
    <w:rsid w:val="00831366"/>
    <w:rsid w:val="008324C4"/>
    <w:rsid w:val="00833DA0"/>
    <w:rsid w:val="008353DC"/>
    <w:rsid w:val="00843527"/>
    <w:rsid w:val="00863758"/>
    <w:rsid w:val="008667D9"/>
    <w:rsid w:val="00867641"/>
    <w:rsid w:val="00873A92"/>
    <w:rsid w:val="008803AA"/>
    <w:rsid w:val="00883DE4"/>
    <w:rsid w:val="00885062"/>
    <w:rsid w:val="00887FCD"/>
    <w:rsid w:val="0089286B"/>
    <w:rsid w:val="00893825"/>
    <w:rsid w:val="00896D6B"/>
    <w:rsid w:val="008A40EE"/>
    <w:rsid w:val="008A4C26"/>
    <w:rsid w:val="008A51D1"/>
    <w:rsid w:val="008A659C"/>
    <w:rsid w:val="008B03C3"/>
    <w:rsid w:val="008B2D5D"/>
    <w:rsid w:val="008B33A2"/>
    <w:rsid w:val="008C75EB"/>
    <w:rsid w:val="008D048C"/>
    <w:rsid w:val="008D12D8"/>
    <w:rsid w:val="008F0218"/>
    <w:rsid w:val="00902872"/>
    <w:rsid w:val="009234AE"/>
    <w:rsid w:val="009242C0"/>
    <w:rsid w:val="00932DA7"/>
    <w:rsid w:val="00952C38"/>
    <w:rsid w:val="009752E9"/>
    <w:rsid w:val="009775C8"/>
    <w:rsid w:val="00981EAA"/>
    <w:rsid w:val="00982120"/>
    <w:rsid w:val="00987696"/>
    <w:rsid w:val="009A4647"/>
    <w:rsid w:val="009A4CEF"/>
    <w:rsid w:val="009A6D42"/>
    <w:rsid w:val="009B220C"/>
    <w:rsid w:val="009B7010"/>
    <w:rsid w:val="009D14D7"/>
    <w:rsid w:val="009D2F8E"/>
    <w:rsid w:val="009D3554"/>
    <w:rsid w:val="009D3579"/>
    <w:rsid w:val="009E0FED"/>
    <w:rsid w:val="009E656A"/>
    <w:rsid w:val="009F01F5"/>
    <w:rsid w:val="009F4D84"/>
    <w:rsid w:val="009F52C8"/>
    <w:rsid w:val="00A121B3"/>
    <w:rsid w:val="00A141AE"/>
    <w:rsid w:val="00A22B83"/>
    <w:rsid w:val="00A325C7"/>
    <w:rsid w:val="00A3670D"/>
    <w:rsid w:val="00A47741"/>
    <w:rsid w:val="00A51C40"/>
    <w:rsid w:val="00A51E41"/>
    <w:rsid w:val="00A600EC"/>
    <w:rsid w:val="00A60E4F"/>
    <w:rsid w:val="00A65DAC"/>
    <w:rsid w:val="00A65E93"/>
    <w:rsid w:val="00A6614B"/>
    <w:rsid w:val="00A66E14"/>
    <w:rsid w:val="00A779A1"/>
    <w:rsid w:val="00A828DD"/>
    <w:rsid w:val="00A82967"/>
    <w:rsid w:val="00A86541"/>
    <w:rsid w:val="00A875B4"/>
    <w:rsid w:val="00A90AC8"/>
    <w:rsid w:val="00A962E3"/>
    <w:rsid w:val="00AA3E1E"/>
    <w:rsid w:val="00AA4E1F"/>
    <w:rsid w:val="00AB366D"/>
    <w:rsid w:val="00AB5030"/>
    <w:rsid w:val="00AB6BE4"/>
    <w:rsid w:val="00AC37F8"/>
    <w:rsid w:val="00AD15AE"/>
    <w:rsid w:val="00AD5FCC"/>
    <w:rsid w:val="00AE06D5"/>
    <w:rsid w:val="00AE15A1"/>
    <w:rsid w:val="00AE2D93"/>
    <w:rsid w:val="00AE487F"/>
    <w:rsid w:val="00AE6FB5"/>
    <w:rsid w:val="00B045C9"/>
    <w:rsid w:val="00B06369"/>
    <w:rsid w:val="00B12C07"/>
    <w:rsid w:val="00B163D1"/>
    <w:rsid w:val="00B30980"/>
    <w:rsid w:val="00B3340F"/>
    <w:rsid w:val="00B33848"/>
    <w:rsid w:val="00B33B60"/>
    <w:rsid w:val="00B46A1F"/>
    <w:rsid w:val="00B51CDF"/>
    <w:rsid w:val="00B632A5"/>
    <w:rsid w:val="00B70E14"/>
    <w:rsid w:val="00B74F09"/>
    <w:rsid w:val="00B752CE"/>
    <w:rsid w:val="00B84C8D"/>
    <w:rsid w:val="00B87C40"/>
    <w:rsid w:val="00B87EA1"/>
    <w:rsid w:val="00B90F06"/>
    <w:rsid w:val="00B960BA"/>
    <w:rsid w:val="00B97E55"/>
    <w:rsid w:val="00BA0012"/>
    <w:rsid w:val="00BA44F0"/>
    <w:rsid w:val="00BA5173"/>
    <w:rsid w:val="00BB5225"/>
    <w:rsid w:val="00BC3B5B"/>
    <w:rsid w:val="00BC43B4"/>
    <w:rsid w:val="00BC4C4C"/>
    <w:rsid w:val="00BC7FDD"/>
    <w:rsid w:val="00BD4806"/>
    <w:rsid w:val="00BD55AC"/>
    <w:rsid w:val="00BD617A"/>
    <w:rsid w:val="00BD6CBE"/>
    <w:rsid w:val="00BD7138"/>
    <w:rsid w:val="00BE234D"/>
    <w:rsid w:val="00BF25BE"/>
    <w:rsid w:val="00BF6739"/>
    <w:rsid w:val="00C0013A"/>
    <w:rsid w:val="00C00FB2"/>
    <w:rsid w:val="00C017A8"/>
    <w:rsid w:val="00C10BB6"/>
    <w:rsid w:val="00C12DBA"/>
    <w:rsid w:val="00C15B20"/>
    <w:rsid w:val="00C244F1"/>
    <w:rsid w:val="00C27663"/>
    <w:rsid w:val="00C33CD6"/>
    <w:rsid w:val="00C37DBF"/>
    <w:rsid w:val="00C428E0"/>
    <w:rsid w:val="00C5073A"/>
    <w:rsid w:val="00C51796"/>
    <w:rsid w:val="00C52331"/>
    <w:rsid w:val="00C54C85"/>
    <w:rsid w:val="00C556E6"/>
    <w:rsid w:val="00C56C14"/>
    <w:rsid w:val="00C621BB"/>
    <w:rsid w:val="00C63A54"/>
    <w:rsid w:val="00C77A29"/>
    <w:rsid w:val="00C80B12"/>
    <w:rsid w:val="00C81A43"/>
    <w:rsid w:val="00C82EB5"/>
    <w:rsid w:val="00C8302F"/>
    <w:rsid w:val="00C854BF"/>
    <w:rsid w:val="00C9550B"/>
    <w:rsid w:val="00CA0C13"/>
    <w:rsid w:val="00CC260B"/>
    <w:rsid w:val="00CD71B5"/>
    <w:rsid w:val="00CE13A1"/>
    <w:rsid w:val="00CE1FEE"/>
    <w:rsid w:val="00CE3523"/>
    <w:rsid w:val="00CF37CB"/>
    <w:rsid w:val="00D003F2"/>
    <w:rsid w:val="00D047CE"/>
    <w:rsid w:val="00D05BA7"/>
    <w:rsid w:val="00D070A0"/>
    <w:rsid w:val="00D22156"/>
    <w:rsid w:val="00D25168"/>
    <w:rsid w:val="00D45333"/>
    <w:rsid w:val="00D60C45"/>
    <w:rsid w:val="00D652DD"/>
    <w:rsid w:val="00D67159"/>
    <w:rsid w:val="00D74BF7"/>
    <w:rsid w:val="00D75C65"/>
    <w:rsid w:val="00D96D32"/>
    <w:rsid w:val="00D97E08"/>
    <w:rsid w:val="00DA53C8"/>
    <w:rsid w:val="00DA7B54"/>
    <w:rsid w:val="00DC18FB"/>
    <w:rsid w:val="00DC5282"/>
    <w:rsid w:val="00DC6630"/>
    <w:rsid w:val="00DD3F06"/>
    <w:rsid w:val="00DD4698"/>
    <w:rsid w:val="00DD5F98"/>
    <w:rsid w:val="00DE2F39"/>
    <w:rsid w:val="00DE6194"/>
    <w:rsid w:val="00DE67C0"/>
    <w:rsid w:val="00DE726D"/>
    <w:rsid w:val="00E0264E"/>
    <w:rsid w:val="00E0346A"/>
    <w:rsid w:val="00E0377F"/>
    <w:rsid w:val="00E118C5"/>
    <w:rsid w:val="00E12011"/>
    <w:rsid w:val="00E221AD"/>
    <w:rsid w:val="00E248BF"/>
    <w:rsid w:val="00E25309"/>
    <w:rsid w:val="00E300DD"/>
    <w:rsid w:val="00E32D53"/>
    <w:rsid w:val="00E34455"/>
    <w:rsid w:val="00E41987"/>
    <w:rsid w:val="00E43268"/>
    <w:rsid w:val="00E466C2"/>
    <w:rsid w:val="00E47DF5"/>
    <w:rsid w:val="00E5155C"/>
    <w:rsid w:val="00E52CA9"/>
    <w:rsid w:val="00E612CA"/>
    <w:rsid w:val="00E6170B"/>
    <w:rsid w:val="00E65C36"/>
    <w:rsid w:val="00E72F88"/>
    <w:rsid w:val="00E74D37"/>
    <w:rsid w:val="00E75E9F"/>
    <w:rsid w:val="00E8083A"/>
    <w:rsid w:val="00E867E3"/>
    <w:rsid w:val="00E931E2"/>
    <w:rsid w:val="00E949EC"/>
    <w:rsid w:val="00EA1326"/>
    <w:rsid w:val="00EA446B"/>
    <w:rsid w:val="00EB114E"/>
    <w:rsid w:val="00EC0D79"/>
    <w:rsid w:val="00EC1F06"/>
    <w:rsid w:val="00EC5DEA"/>
    <w:rsid w:val="00ED045D"/>
    <w:rsid w:val="00ED1CBA"/>
    <w:rsid w:val="00ED515C"/>
    <w:rsid w:val="00EE0F0C"/>
    <w:rsid w:val="00EE278A"/>
    <w:rsid w:val="00EE778F"/>
    <w:rsid w:val="00EF0930"/>
    <w:rsid w:val="00EF0AFB"/>
    <w:rsid w:val="00EF2040"/>
    <w:rsid w:val="00EF5437"/>
    <w:rsid w:val="00F02A78"/>
    <w:rsid w:val="00F0384E"/>
    <w:rsid w:val="00F10507"/>
    <w:rsid w:val="00F2618A"/>
    <w:rsid w:val="00F348AF"/>
    <w:rsid w:val="00F40AD3"/>
    <w:rsid w:val="00F41205"/>
    <w:rsid w:val="00F45255"/>
    <w:rsid w:val="00F456B3"/>
    <w:rsid w:val="00F504A9"/>
    <w:rsid w:val="00F569B6"/>
    <w:rsid w:val="00F60953"/>
    <w:rsid w:val="00F62A3C"/>
    <w:rsid w:val="00F645DC"/>
    <w:rsid w:val="00F70FC1"/>
    <w:rsid w:val="00F75917"/>
    <w:rsid w:val="00F80D53"/>
    <w:rsid w:val="00F8296A"/>
    <w:rsid w:val="00F90AAB"/>
    <w:rsid w:val="00F90E6D"/>
    <w:rsid w:val="00F92DEA"/>
    <w:rsid w:val="00F9462B"/>
    <w:rsid w:val="00FA11F2"/>
    <w:rsid w:val="00FA2ACD"/>
    <w:rsid w:val="00FA5630"/>
    <w:rsid w:val="00FA6BEB"/>
    <w:rsid w:val="00FB1841"/>
    <w:rsid w:val="00FB48B3"/>
    <w:rsid w:val="00FC11A8"/>
    <w:rsid w:val="00FC4994"/>
    <w:rsid w:val="00FD2E55"/>
    <w:rsid w:val="00FD4883"/>
    <w:rsid w:val="00FD5A3B"/>
    <w:rsid w:val="00FE30D7"/>
    <w:rsid w:val="00FF1FF1"/>
    <w:rsid w:val="00FF36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51CFA"/>
    <w:rPr>
      <w:rFonts w:eastAsia="MS Mincho"/>
      <w:sz w:val="24"/>
      <w:szCs w:val="24"/>
      <w:lang w:eastAsia="ja-JP"/>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link w:val="Heading3Char"/>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rsid w:val="00097071"/>
    <w:pPr>
      <w:spacing w:before="280" w:after="140" w:line="290" w:lineRule="auto"/>
    </w:pPr>
    <w:rPr>
      <w:kern w:val="20"/>
    </w:rPr>
  </w:style>
  <w:style w:type="paragraph" w:customStyle="1" w:styleId="Body">
    <w:name w:val="Body"/>
    <w:basedOn w:val="Normal"/>
    <w:link w:val="BodyChar"/>
    <w:uiPriority w:val="99"/>
    <w:rsid w:val="00097071"/>
    <w:pPr>
      <w:spacing w:after="140" w:line="290" w:lineRule="auto"/>
      <w:jc w:val="both"/>
    </w:pPr>
    <w:rPr>
      <w:kern w:val="20"/>
    </w:rPr>
  </w:style>
  <w:style w:type="paragraph" w:customStyle="1" w:styleId="Body1">
    <w:name w:val="Body 1"/>
    <w:basedOn w:val="Normal"/>
    <w:link w:val="Body1Char"/>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link w:val="Level1Char"/>
    <w:uiPriority w:val="99"/>
    <w:rsid w:val="00097071"/>
    <w:pPr>
      <w:keepNext/>
      <w:numPr>
        <w:numId w:val="24"/>
      </w:numPr>
      <w:spacing w:before="280" w:after="140" w:line="290" w:lineRule="auto"/>
      <w:jc w:val="both"/>
      <w:outlineLvl w:val="0"/>
    </w:pPr>
    <w:rPr>
      <w:b/>
      <w:bCs/>
      <w:kern w:val="20"/>
      <w:sz w:val="22"/>
      <w:szCs w:val="32"/>
    </w:rPr>
  </w:style>
  <w:style w:type="paragraph" w:customStyle="1" w:styleId="Level2">
    <w:name w:val="Level 2"/>
    <w:basedOn w:val="Normal"/>
    <w:uiPriority w:val="99"/>
    <w:rsid w:val="00097071"/>
    <w:pPr>
      <w:numPr>
        <w:ilvl w:val="1"/>
        <w:numId w:val="24"/>
      </w:numPr>
      <w:spacing w:after="140" w:line="290" w:lineRule="auto"/>
      <w:jc w:val="both"/>
    </w:pPr>
    <w:rPr>
      <w:kern w:val="20"/>
      <w:szCs w:val="28"/>
    </w:rPr>
  </w:style>
  <w:style w:type="paragraph" w:customStyle="1" w:styleId="Level3">
    <w:name w:val="Level 3"/>
    <w:basedOn w:val="Normal"/>
    <w:uiPriority w:val="99"/>
    <w:rsid w:val="00097071"/>
    <w:pPr>
      <w:numPr>
        <w:ilvl w:val="2"/>
        <w:numId w:val="24"/>
      </w:numPr>
      <w:spacing w:after="140" w:line="290" w:lineRule="auto"/>
      <w:jc w:val="both"/>
    </w:pPr>
    <w:rPr>
      <w:kern w:val="20"/>
      <w:szCs w:val="28"/>
    </w:rPr>
  </w:style>
  <w:style w:type="paragraph" w:customStyle="1" w:styleId="Level4">
    <w:name w:val="Level 4"/>
    <w:basedOn w:val="Normal"/>
    <w:rsid w:val="00097071"/>
    <w:pPr>
      <w:numPr>
        <w:ilvl w:val="3"/>
        <w:numId w:val="24"/>
      </w:numPr>
      <w:spacing w:after="140" w:line="290" w:lineRule="auto"/>
      <w:jc w:val="both"/>
    </w:pPr>
    <w:rPr>
      <w:kern w:val="20"/>
    </w:rPr>
  </w:style>
  <w:style w:type="paragraph" w:customStyle="1" w:styleId="Level5">
    <w:name w:val="Level 5"/>
    <w:basedOn w:val="Normal"/>
    <w:rsid w:val="00097071"/>
    <w:pPr>
      <w:numPr>
        <w:ilvl w:val="4"/>
        <w:numId w:val="24"/>
      </w:numPr>
      <w:spacing w:after="140" w:line="290" w:lineRule="auto"/>
      <w:jc w:val="both"/>
    </w:pPr>
    <w:rPr>
      <w:kern w:val="20"/>
    </w:rPr>
  </w:style>
  <w:style w:type="paragraph" w:customStyle="1" w:styleId="Level6">
    <w:name w:val="Level 6"/>
    <w:basedOn w:val="Normal"/>
    <w:rsid w:val="00097071"/>
    <w:pPr>
      <w:numPr>
        <w:ilvl w:val="5"/>
        <w:numId w:val="24"/>
      </w:numPr>
      <w:spacing w:after="140" w:line="290" w:lineRule="auto"/>
      <w:jc w:val="both"/>
    </w:pPr>
    <w:rPr>
      <w:kern w:val="20"/>
    </w:rPr>
  </w:style>
  <w:style w:type="paragraph" w:customStyle="1" w:styleId="Parties">
    <w:name w:val="Parties"/>
    <w:basedOn w:val="Normal"/>
    <w:rsid w:val="00097071"/>
    <w:pPr>
      <w:numPr>
        <w:numId w:val="26"/>
      </w:numPr>
      <w:spacing w:after="140" w:line="290" w:lineRule="auto"/>
      <w:jc w:val="both"/>
    </w:pPr>
    <w:rPr>
      <w:kern w:val="20"/>
    </w:rPr>
  </w:style>
  <w:style w:type="paragraph" w:customStyle="1" w:styleId="Recitals">
    <w:name w:val="Recitals"/>
    <w:basedOn w:val="Normal"/>
    <w:rsid w:val="00097071"/>
    <w:pPr>
      <w:numPr>
        <w:numId w:val="27"/>
      </w:numPr>
      <w:spacing w:after="140" w:line="290" w:lineRule="auto"/>
      <w:jc w:val="both"/>
    </w:pPr>
    <w:rPr>
      <w:kern w:val="20"/>
    </w:rPr>
  </w:style>
  <w:style w:type="paragraph" w:customStyle="1" w:styleId="alpha1">
    <w:name w:val="alpha 1"/>
    <w:basedOn w:val="Normal"/>
    <w:rsid w:val="00097071"/>
    <w:pPr>
      <w:numPr>
        <w:numId w:val="5"/>
      </w:numPr>
      <w:spacing w:after="140" w:line="290" w:lineRule="auto"/>
      <w:jc w:val="both"/>
    </w:pPr>
    <w:rPr>
      <w:kern w:val="20"/>
      <w:szCs w:val="20"/>
    </w:rPr>
  </w:style>
  <w:style w:type="paragraph" w:customStyle="1" w:styleId="alpha2">
    <w:name w:val="alpha 2"/>
    <w:basedOn w:val="Normal"/>
    <w:rsid w:val="00097071"/>
    <w:pPr>
      <w:numPr>
        <w:numId w:val="6"/>
      </w:numPr>
      <w:spacing w:after="140" w:line="290" w:lineRule="auto"/>
      <w:jc w:val="both"/>
    </w:pPr>
    <w:rPr>
      <w:kern w:val="20"/>
      <w:szCs w:val="20"/>
    </w:rPr>
  </w:style>
  <w:style w:type="paragraph" w:customStyle="1" w:styleId="alpha3">
    <w:name w:val="alpha 3"/>
    <w:basedOn w:val="Normal"/>
    <w:rsid w:val="00097071"/>
    <w:pPr>
      <w:numPr>
        <w:numId w:val="7"/>
      </w:numPr>
      <w:spacing w:after="140" w:line="290" w:lineRule="auto"/>
      <w:jc w:val="both"/>
    </w:pPr>
    <w:rPr>
      <w:kern w:val="20"/>
      <w:szCs w:val="20"/>
    </w:rPr>
  </w:style>
  <w:style w:type="paragraph" w:customStyle="1" w:styleId="alpha4">
    <w:name w:val="alpha 4"/>
    <w:basedOn w:val="Normal"/>
    <w:rsid w:val="00097071"/>
    <w:pPr>
      <w:numPr>
        <w:numId w:val="8"/>
      </w:numPr>
      <w:spacing w:after="140" w:line="290" w:lineRule="auto"/>
      <w:jc w:val="both"/>
    </w:pPr>
    <w:rPr>
      <w:kern w:val="20"/>
      <w:szCs w:val="20"/>
    </w:rPr>
  </w:style>
  <w:style w:type="paragraph" w:customStyle="1" w:styleId="alpha5">
    <w:name w:val="alpha 5"/>
    <w:basedOn w:val="Normal"/>
    <w:rsid w:val="00097071"/>
    <w:pPr>
      <w:numPr>
        <w:numId w:val="9"/>
      </w:numPr>
      <w:spacing w:after="140" w:line="290" w:lineRule="auto"/>
      <w:jc w:val="both"/>
    </w:pPr>
    <w:rPr>
      <w:kern w:val="20"/>
      <w:szCs w:val="20"/>
    </w:rPr>
  </w:style>
  <w:style w:type="paragraph" w:customStyle="1" w:styleId="alpha6">
    <w:name w:val="alpha 6"/>
    <w:basedOn w:val="Normal"/>
    <w:rsid w:val="00097071"/>
    <w:pPr>
      <w:numPr>
        <w:numId w:val="10"/>
      </w:numPr>
      <w:spacing w:after="140" w:line="290" w:lineRule="auto"/>
      <w:jc w:val="both"/>
    </w:pPr>
    <w:rPr>
      <w:kern w:val="20"/>
      <w:szCs w:val="20"/>
    </w:rPr>
  </w:style>
  <w:style w:type="paragraph" w:customStyle="1" w:styleId="bullet1">
    <w:name w:val="bullet 1"/>
    <w:basedOn w:val="Normal"/>
    <w:rsid w:val="00097071"/>
    <w:pPr>
      <w:numPr>
        <w:numId w:val="11"/>
      </w:numPr>
      <w:spacing w:after="140" w:line="290" w:lineRule="auto"/>
      <w:jc w:val="both"/>
    </w:pPr>
    <w:rPr>
      <w:kern w:val="20"/>
    </w:rPr>
  </w:style>
  <w:style w:type="paragraph" w:customStyle="1" w:styleId="bullet2">
    <w:name w:val="bullet 2"/>
    <w:basedOn w:val="Normal"/>
    <w:rsid w:val="00097071"/>
    <w:pPr>
      <w:numPr>
        <w:numId w:val="12"/>
      </w:numPr>
      <w:spacing w:after="140" w:line="290" w:lineRule="auto"/>
      <w:jc w:val="both"/>
    </w:pPr>
    <w:rPr>
      <w:kern w:val="20"/>
    </w:rPr>
  </w:style>
  <w:style w:type="paragraph" w:customStyle="1" w:styleId="bullet3">
    <w:name w:val="bullet 3"/>
    <w:basedOn w:val="Normal"/>
    <w:rsid w:val="00097071"/>
    <w:pPr>
      <w:numPr>
        <w:numId w:val="13"/>
      </w:numPr>
      <w:spacing w:after="140" w:line="290" w:lineRule="auto"/>
      <w:jc w:val="both"/>
    </w:pPr>
    <w:rPr>
      <w:kern w:val="20"/>
    </w:rPr>
  </w:style>
  <w:style w:type="paragraph" w:customStyle="1" w:styleId="bullet4">
    <w:name w:val="bullet 4"/>
    <w:basedOn w:val="Normal"/>
    <w:rsid w:val="00097071"/>
    <w:pPr>
      <w:numPr>
        <w:numId w:val="14"/>
      </w:numPr>
      <w:spacing w:after="140" w:line="290" w:lineRule="auto"/>
      <w:jc w:val="both"/>
    </w:pPr>
    <w:rPr>
      <w:kern w:val="20"/>
    </w:rPr>
  </w:style>
  <w:style w:type="paragraph" w:customStyle="1" w:styleId="bullet5">
    <w:name w:val="bullet 5"/>
    <w:basedOn w:val="Normal"/>
    <w:rsid w:val="00097071"/>
    <w:pPr>
      <w:numPr>
        <w:numId w:val="15"/>
      </w:numPr>
      <w:spacing w:after="140" w:line="290" w:lineRule="auto"/>
      <w:jc w:val="both"/>
    </w:pPr>
    <w:rPr>
      <w:kern w:val="20"/>
    </w:rPr>
  </w:style>
  <w:style w:type="paragraph" w:customStyle="1" w:styleId="bullet6">
    <w:name w:val="bullet 6"/>
    <w:basedOn w:val="Normal"/>
    <w:rsid w:val="00097071"/>
    <w:pPr>
      <w:numPr>
        <w:numId w:val="16"/>
      </w:numPr>
      <w:spacing w:after="140" w:line="290" w:lineRule="auto"/>
      <w:jc w:val="both"/>
    </w:pPr>
    <w:rPr>
      <w:kern w:val="20"/>
    </w:rPr>
  </w:style>
  <w:style w:type="paragraph" w:customStyle="1" w:styleId="roman1">
    <w:name w:val="roman 1"/>
    <w:basedOn w:val="Normal"/>
    <w:rsid w:val="00097071"/>
    <w:pPr>
      <w:numPr>
        <w:numId w:val="28"/>
      </w:numPr>
      <w:spacing w:after="140" w:line="290" w:lineRule="auto"/>
      <w:jc w:val="both"/>
    </w:pPr>
    <w:rPr>
      <w:kern w:val="20"/>
      <w:szCs w:val="20"/>
    </w:rPr>
  </w:style>
  <w:style w:type="paragraph" w:customStyle="1" w:styleId="roman2">
    <w:name w:val="roman 2"/>
    <w:basedOn w:val="Normal"/>
    <w:rsid w:val="00097071"/>
    <w:pPr>
      <w:numPr>
        <w:numId w:val="29"/>
      </w:numPr>
      <w:spacing w:after="140" w:line="290" w:lineRule="auto"/>
      <w:jc w:val="both"/>
    </w:pPr>
    <w:rPr>
      <w:kern w:val="20"/>
      <w:szCs w:val="20"/>
    </w:rPr>
  </w:style>
  <w:style w:type="paragraph" w:customStyle="1" w:styleId="roman3">
    <w:name w:val="roman 3"/>
    <w:basedOn w:val="Normal"/>
    <w:rsid w:val="00097071"/>
    <w:pPr>
      <w:numPr>
        <w:numId w:val="30"/>
      </w:numPr>
      <w:spacing w:after="140" w:line="290" w:lineRule="auto"/>
      <w:jc w:val="both"/>
    </w:pPr>
    <w:rPr>
      <w:kern w:val="20"/>
      <w:szCs w:val="20"/>
    </w:rPr>
  </w:style>
  <w:style w:type="paragraph" w:customStyle="1" w:styleId="roman4">
    <w:name w:val="roman 4"/>
    <w:basedOn w:val="Normal"/>
    <w:rsid w:val="00097071"/>
    <w:pPr>
      <w:numPr>
        <w:numId w:val="31"/>
      </w:numPr>
      <w:spacing w:after="140" w:line="290" w:lineRule="auto"/>
      <w:jc w:val="both"/>
    </w:pPr>
    <w:rPr>
      <w:kern w:val="20"/>
      <w:szCs w:val="20"/>
    </w:rPr>
  </w:style>
  <w:style w:type="paragraph" w:customStyle="1" w:styleId="roman5">
    <w:name w:val="roman 5"/>
    <w:basedOn w:val="Normal"/>
    <w:rsid w:val="00097071"/>
    <w:pPr>
      <w:numPr>
        <w:numId w:val="32"/>
      </w:numPr>
      <w:spacing w:after="140" w:line="290" w:lineRule="auto"/>
      <w:jc w:val="both"/>
    </w:pPr>
    <w:rPr>
      <w:kern w:val="20"/>
      <w:szCs w:val="20"/>
    </w:rPr>
  </w:style>
  <w:style w:type="paragraph" w:customStyle="1" w:styleId="roman6">
    <w:name w:val="roman 6"/>
    <w:basedOn w:val="Normal"/>
    <w:rsid w:val="00097071"/>
    <w:pPr>
      <w:numPr>
        <w:numId w:val="33"/>
      </w:numPr>
      <w:spacing w:after="140" w:line="290" w:lineRule="auto"/>
      <w:jc w:val="both"/>
    </w:pPr>
    <w:rPr>
      <w:kern w:val="20"/>
      <w:szCs w:val="20"/>
    </w:rPr>
  </w:style>
  <w:style w:type="paragraph" w:customStyle="1" w:styleId="CellHead">
    <w:name w:val="CellHead"/>
    <w:basedOn w:val="Normal"/>
    <w:uiPriority w:val="99"/>
    <w:rsid w:val="00097071"/>
    <w:pPr>
      <w:keepNext/>
      <w:spacing w:before="60" w:after="60" w:line="259" w:lineRule="auto"/>
    </w:pPr>
    <w:rPr>
      <w:b/>
      <w:kern w:val="20"/>
    </w:rPr>
  </w:style>
  <w:style w:type="paragraph" w:styleId="CommentText">
    <w:name w:val="annotation text"/>
    <w:basedOn w:val="Normal"/>
    <w:rsid w:val="00097071"/>
    <w:rPr>
      <w:szCs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link w:val="SubHeadChar"/>
    <w:uiPriority w:val="99"/>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097071"/>
    <w:pPr>
      <w:numPr>
        <w:numId w:val="34"/>
      </w:numPr>
      <w:spacing w:after="140" w:line="290" w:lineRule="auto"/>
      <w:jc w:val="both"/>
    </w:pPr>
    <w:rPr>
      <w:kern w:val="20"/>
    </w:rPr>
  </w:style>
  <w:style w:type="paragraph" w:customStyle="1" w:styleId="Schedule2">
    <w:name w:val="Schedule 2"/>
    <w:basedOn w:val="Normal"/>
    <w:rsid w:val="00097071"/>
    <w:pPr>
      <w:numPr>
        <w:ilvl w:val="1"/>
        <w:numId w:val="34"/>
      </w:numPr>
      <w:spacing w:after="140" w:line="290" w:lineRule="auto"/>
      <w:jc w:val="both"/>
    </w:pPr>
    <w:rPr>
      <w:kern w:val="20"/>
    </w:rPr>
  </w:style>
  <w:style w:type="paragraph" w:customStyle="1" w:styleId="Schedule3">
    <w:name w:val="Schedule 3"/>
    <w:basedOn w:val="Normal"/>
    <w:rsid w:val="00097071"/>
    <w:pPr>
      <w:numPr>
        <w:ilvl w:val="2"/>
        <w:numId w:val="34"/>
      </w:numPr>
      <w:spacing w:after="140" w:line="290" w:lineRule="auto"/>
      <w:jc w:val="both"/>
    </w:pPr>
    <w:rPr>
      <w:kern w:val="20"/>
    </w:rPr>
  </w:style>
  <w:style w:type="paragraph" w:customStyle="1" w:styleId="Schedule4">
    <w:name w:val="Schedule 4"/>
    <w:basedOn w:val="Normal"/>
    <w:rsid w:val="00097071"/>
    <w:pPr>
      <w:numPr>
        <w:ilvl w:val="3"/>
        <w:numId w:val="34"/>
      </w:numPr>
      <w:spacing w:after="140" w:line="290" w:lineRule="auto"/>
      <w:jc w:val="both"/>
    </w:pPr>
    <w:rPr>
      <w:kern w:val="20"/>
    </w:rPr>
  </w:style>
  <w:style w:type="paragraph" w:customStyle="1" w:styleId="Schedule5">
    <w:name w:val="Schedule 5"/>
    <w:basedOn w:val="Normal"/>
    <w:rsid w:val="00097071"/>
    <w:pPr>
      <w:numPr>
        <w:ilvl w:val="4"/>
        <w:numId w:val="34"/>
      </w:numPr>
      <w:spacing w:after="140" w:line="290" w:lineRule="auto"/>
      <w:jc w:val="both"/>
    </w:pPr>
    <w:rPr>
      <w:kern w:val="20"/>
    </w:rPr>
  </w:style>
  <w:style w:type="paragraph" w:customStyle="1" w:styleId="Schedule6">
    <w:name w:val="Schedule 6"/>
    <w:basedOn w:val="Normal"/>
    <w:rsid w:val="00097071"/>
    <w:pPr>
      <w:numPr>
        <w:ilvl w:val="5"/>
        <w:numId w:val="34"/>
      </w:numPr>
      <w:spacing w:after="140" w:line="290" w:lineRule="auto"/>
      <w:jc w:val="both"/>
    </w:pPr>
    <w:rPr>
      <w:kern w:val="20"/>
    </w:rPr>
  </w:style>
  <w:style w:type="paragraph" w:customStyle="1" w:styleId="TCLevel1">
    <w:name w:val="T+C Level 1"/>
    <w:basedOn w:val="Normal"/>
    <w:next w:val="TCLevel2"/>
    <w:rsid w:val="00097071"/>
    <w:pPr>
      <w:keepNext/>
      <w:numPr>
        <w:numId w:val="35"/>
      </w:numPr>
      <w:spacing w:before="140" w:line="290" w:lineRule="auto"/>
      <w:jc w:val="both"/>
      <w:outlineLvl w:val="0"/>
    </w:pPr>
    <w:rPr>
      <w:b/>
      <w:kern w:val="20"/>
    </w:rPr>
  </w:style>
  <w:style w:type="paragraph" w:customStyle="1" w:styleId="TCLevel2">
    <w:name w:val="T+C Level 2"/>
    <w:basedOn w:val="Normal"/>
    <w:rsid w:val="00097071"/>
    <w:pPr>
      <w:numPr>
        <w:ilvl w:val="1"/>
        <w:numId w:val="35"/>
      </w:numPr>
      <w:spacing w:after="140" w:line="290" w:lineRule="auto"/>
      <w:jc w:val="both"/>
      <w:outlineLvl w:val="1"/>
    </w:pPr>
    <w:rPr>
      <w:kern w:val="20"/>
    </w:rPr>
  </w:style>
  <w:style w:type="paragraph" w:customStyle="1" w:styleId="TCLevel3">
    <w:name w:val="T+C Level 3"/>
    <w:basedOn w:val="Normal"/>
    <w:rsid w:val="00097071"/>
    <w:pPr>
      <w:numPr>
        <w:ilvl w:val="2"/>
        <w:numId w:val="35"/>
      </w:numPr>
      <w:spacing w:after="140" w:line="290" w:lineRule="auto"/>
      <w:jc w:val="both"/>
      <w:outlineLvl w:val="2"/>
    </w:pPr>
    <w:rPr>
      <w:kern w:val="20"/>
    </w:rPr>
  </w:style>
  <w:style w:type="paragraph" w:customStyle="1" w:styleId="TCLevel4">
    <w:name w:val="T+C Level 4"/>
    <w:basedOn w:val="Normal"/>
    <w:rsid w:val="00097071"/>
    <w:pPr>
      <w:numPr>
        <w:ilvl w:val="3"/>
        <w:numId w:val="35"/>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uiPriority w:val="99"/>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Footer">
    <w:name w:val="footer"/>
    <w:basedOn w:val="Normal"/>
    <w:link w:val="FooterChar"/>
    <w:uiPriority w:val="99"/>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link w:val="HeaderChar"/>
    <w:uiPriority w:val="99"/>
    <w:rsid w:val="00097071"/>
    <w:pPr>
      <w:tabs>
        <w:tab w:val="center" w:pos="4366"/>
        <w:tab w:val="right" w:pos="8732"/>
      </w:tabs>
    </w:pPr>
    <w:rPr>
      <w:kern w:val="20"/>
    </w:rPr>
  </w:style>
  <w:style w:type="paragraph" w:customStyle="1" w:styleId="Level7">
    <w:name w:val="Level 7"/>
    <w:basedOn w:val="Normal"/>
    <w:uiPriority w:val="99"/>
    <w:rsid w:val="00097071"/>
    <w:pPr>
      <w:numPr>
        <w:ilvl w:val="6"/>
        <w:numId w:val="24"/>
      </w:numPr>
      <w:spacing w:after="140" w:line="290" w:lineRule="auto"/>
      <w:jc w:val="both"/>
      <w:outlineLvl w:val="6"/>
    </w:pPr>
    <w:rPr>
      <w:kern w:val="20"/>
    </w:rPr>
  </w:style>
  <w:style w:type="paragraph" w:customStyle="1" w:styleId="Level8">
    <w:name w:val="Level 8"/>
    <w:basedOn w:val="Normal"/>
    <w:uiPriority w:val="99"/>
    <w:rsid w:val="00097071"/>
    <w:pPr>
      <w:numPr>
        <w:ilvl w:val="7"/>
        <w:numId w:val="24"/>
      </w:numPr>
      <w:spacing w:after="140" w:line="290" w:lineRule="auto"/>
      <w:jc w:val="both"/>
      <w:outlineLvl w:val="7"/>
    </w:pPr>
    <w:rPr>
      <w:kern w:val="20"/>
    </w:rPr>
  </w:style>
  <w:style w:type="paragraph" w:customStyle="1" w:styleId="Level9">
    <w:name w:val="Level 9"/>
    <w:basedOn w:val="Normal"/>
    <w:uiPriority w:val="99"/>
    <w:rsid w:val="00097071"/>
    <w:pPr>
      <w:numPr>
        <w:ilvl w:val="8"/>
        <w:numId w:val="24"/>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6"/>
      </w:numPr>
      <w:spacing w:before="60" w:after="60" w:line="290" w:lineRule="auto"/>
      <w:outlineLvl w:val="0"/>
    </w:pPr>
    <w:rPr>
      <w:kern w:val="20"/>
    </w:rPr>
  </w:style>
  <w:style w:type="paragraph" w:customStyle="1" w:styleId="Table2">
    <w:name w:val="Table 2"/>
    <w:basedOn w:val="Normal"/>
    <w:rsid w:val="00097071"/>
    <w:pPr>
      <w:numPr>
        <w:ilvl w:val="1"/>
        <w:numId w:val="36"/>
      </w:numPr>
      <w:spacing w:before="60" w:after="60" w:line="290" w:lineRule="auto"/>
      <w:outlineLvl w:val="1"/>
    </w:pPr>
    <w:rPr>
      <w:kern w:val="20"/>
    </w:rPr>
  </w:style>
  <w:style w:type="paragraph" w:customStyle="1" w:styleId="Table3">
    <w:name w:val="Table 3"/>
    <w:basedOn w:val="Normal"/>
    <w:rsid w:val="00097071"/>
    <w:pPr>
      <w:numPr>
        <w:ilvl w:val="2"/>
        <w:numId w:val="36"/>
      </w:numPr>
      <w:spacing w:before="60" w:after="60" w:line="290" w:lineRule="auto"/>
      <w:outlineLvl w:val="2"/>
    </w:pPr>
    <w:rPr>
      <w:kern w:val="20"/>
    </w:rPr>
  </w:style>
  <w:style w:type="paragraph" w:customStyle="1" w:styleId="Table4">
    <w:name w:val="Table 4"/>
    <w:basedOn w:val="Normal"/>
    <w:rsid w:val="00097071"/>
    <w:pPr>
      <w:numPr>
        <w:ilvl w:val="3"/>
        <w:numId w:val="36"/>
      </w:numPr>
      <w:spacing w:before="60" w:after="60" w:line="290" w:lineRule="auto"/>
      <w:outlineLvl w:val="3"/>
    </w:pPr>
    <w:rPr>
      <w:kern w:val="20"/>
    </w:rPr>
  </w:style>
  <w:style w:type="paragraph" w:customStyle="1" w:styleId="Table5">
    <w:name w:val="Table 5"/>
    <w:basedOn w:val="Normal"/>
    <w:rsid w:val="00097071"/>
    <w:pPr>
      <w:numPr>
        <w:ilvl w:val="4"/>
        <w:numId w:val="36"/>
      </w:numPr>
      <w:spacing w:before="60" w:after="60" w:line="290" w:lineRule="auto"/>
      <w:outlineLvl w:val="4"/>
    </w:pPr>
    <w:rPr>
      <w:kern w:val="20"/>
    </w:rPr>
  </w:style>
  <w:style w:type="paragraph" w:customStyle="1" w:styleId="Table6">
    <w:name w:val="Table 6"/>
    <w:basedOn w:val="Normal"/>
    <w:rsid w:val="00097071"/>
    <w:pPr>
      <w:numPr>
        <w:ilvl w:val="5"/>
        <w:numId w:val="36"/>
      </w:numPr>
      <w:spacing w:before="60" w:after="60" w:line="290" w:lineRule="auto"/>
      <w:outlineLvl w:val="5"/>
    </w:pPr>
    <w:rPr>
      <w:kern w:val="20"/>
    </w:rPr>
  </w:style>
  <w:style w:type="paragraph" w:customStyle="1" w:styleId="Tablealpha">
    <w:name w:val="Table alpha"/>
    <w:basedOn w:val="CellBody"/>
    <w:rsid w:val="00097071"/>
    <w:pPr>
      <w:numPr>
        <w:numId w:val="37"/>
      </w:numPr>
    </w:pPr>
  </w:style>
  <w:style w:type="paragraph" w:customStyle="1" w:styleId="Tablebullet">
    <w:name w:val="Table bullet"/>
    <w:basedOn w:val="Normal"/>
    <w:rsid w:val="00097071"/>
    <w:pPr>
      <w:numPr>
        <w:numId w:val="38"/>
      </w:numPr>
      <w:spacing w:before="60" w:after="60" w:line="290" w:lineRule="auto"/>
    </w:pPr>
    <w:rPr>
      <w:kern w:val="20"/>
    </w:rPr>
  </w:style>
  <w:style w:type="paragraph" w:customStyle="1" w:styleId="Tableroman">
    <w:name w:val="Table roman"/>
    <w:basedOn w:val="CellBody"/>
    <w:rsid w:val="00097071"/>
    <w:pPr>
      <w:numPr>
        <w:numId w:val="39"/>
      </w:numPr>
    </w:pPr>
  </w:style>
  <w:style w:type="paragraph" w:styleId="TOC2">
    <w:name w:val="toc 2"/>
    <w:basedOn w:val="Normal"/>
    <w:next w:val="Body"/>
    <w:rsid w:val="00097071"/>
    <w:pPr>
      <w:spacing w:before="280" w:after="140" w:line="290" w:lineRule="auto"/>
    </w:pPr>
    <w:rPr>
      <w:kern w:val="20"/>
    </w:rPr>
  </w:style>
  <w:style w:type="paragraph" w:styleId="TOC3">
    <w:name w:val="toc 3"/>
    <w:basedOn w:val="Normal"/>
    <w:next w:val="Body"/>
    <w:rsid w:val="00097071"/>
    <w:pPr>
      <w:spacing w:before="280" w:after="140" w:line="290" w:lineRule="auto"/>
      <w:ind w:left="680"/>
    </w:pPr>
    <w:rPr>
      <w:kern w:val="20"/>
    </w:rPr>
  </w:style>
  <w:style w:type="paragraph" w:styleId="TOC4">
    <w:name w:val="toc 4"/>
    <w:basedOn w:val="Normal"/>
    <w:next w:val="Body"/>
    <w:rsid w:val="00097071"/>
    <w:pPr>
      <w:spacing w:before="280" w:after="140" w:line="290" w:lineRule="auto"/>
      <w:ind w:left="680"/>
    </w:pPr>
    <w:rPr>
      <w:kern w:val="20"/>
    </w:rPr>
  </w:style>
  <w:style w:type="paragraph" w:styleId="TOC5">
    <w:name w:val="toc 5"/>
    <w:basedOn w:val="Normal"/>
    <w:next w:val="Body"/>
    <w:rsid w:val="00097071"/>
  </w:style>
  <w:style w:type="paragraph" w:styleId="TOC6">
    <w:name w:val="toc 6"/>
    <w:basedOn w:val="Normal"/>
    <w:next w:val="Body"/>
    <w:rsid w:val="00097071"/>
  </w:style>
  <w:style w:type="paragraph" w:styleId="TOC7">
    <w:name w:val="toc 7"/>
    <w:basedOn w:val="Normal"/>
    <w:next w:val="Body"/>
    <w:rsid w:val="00097071"/>
  </w:style>
  <w:style w:type="paragraph" w:styleId="TOC8">
    <w:name w:val="toc 8"/>
    <w:basedOn w:val="Normal"/>
    <w:next w:val="Body"/>
    <w:rsid w:val="00097071"/>
  </w:style>
  <w:style w:type="paragraph" w:styleId="TOC9">
    <w:name w:val="toc 9"/>
    <w:basedOn w:val="Normal"/>
    <w:next w:val="Body"/>
    <w:rsid w:val="00097071"/>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097071"/>
    <w:rPr>
      <w:szCs w:val="20"/>
    </w:rPr>
  </w:style>
  <w:style w:type="paragraph" w:customStyle="1" w:styleId="Head">
    <w:name w:val="Head"/>
    <w:basedOn w:val="Normal"/>
    <w:next w:val="Body"/>
    <w:uiPriority w:val="99"/>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uiPriority w:val="99"/>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uiPriority w:val="99"/>
    <w:rsid w:val="00097071"/>
    <w:pPr>
      <w:numPr>
        <w:numId w:val="40"/>
      </w:numPr>
      <w:spacing w:after="140" w:line="290" w:lineRule="auto"/>
      <w:jc w:val="both"/>
    </w:pPr>
    <w:rPr>
      <w:kern w:val="20"/>
    </w:rPr>
  </w:style>
  <w:style w:type="paragraph" w:customStyle="1" w:styleId="UCAlpha2">
    <w:name w:val="UCAlpha 2"/>
    <w:basedOn w:val="Normal"/>
    <w:rsid w:val="00097071"/>
    <w:pPr>
      <w:numPr>
        <w:numId w:val="41"/>
      </w:numPr>
      <w:spacing w:after="140" w:line="290" w:lineRule="auto"/>
      <w:jc w:val="both"/>
    </w:pPr>
    <w:rPr>
      <w:kern w:val="20"/>
    </w:rPr>
  </w:style>
  <w:style w:type="paragraph" w:customStyle="1" w:styleId="UCAlpha3">
    <w:name w:val="UCAlpha 3"/>
    <w:basedOn w:val="Normal"/>
    <w:rsid w:val="00097071"/>
    <w:pPr>
      <w:numPr>
        <w:numId w:val="42"/>
      </w:numPr>
      <w:spacing w:after="140" w:line="290" w:lineRule="auto"/>
      <w:jc w:val="both"/>
    </w:pPr>
    <w:rPr>
      <w:kern w:val="20"/>
    </w:rPr>
  </w:style>
  <w:style w:type="paragraph" w:customStyle="1" w:styleId="UCAlpha4">
    <w:name w:val="UCAlpha 4"/>
    <w:basedOn w:val="Normal"/>
    <w:rsid w:val="00097071"/>
    <w:pPr>
      <w:numPr>
        <w:numId w:val="43"/>
      </w:numPr>
      <w:spacing w:after="140" w:line="290" w:lineRule="auto"/>
      <w:jc w:val="both"/>
    </w:pPr>
    <w:rPr>
      <w:kern w:val="20"/>
    </w:rPr>
  </w:style>
  <w:style w:type="paragraph" w:customStyle="1" w:styleId="UCAlpha5">
    <w:name w:val="UCAlpha 5"/>
    <w:basedOn w:val="Normal"/>
    <w:uiPriority w:val="99"/>
    <w:rsid w:val="00097071"/>
    <w:pPr>
      <w:numPr>
        <w:numId w:val="44"/>
      </w:numPr>
      <w:spacing w:after="140" w:line="290" w:lineRule="auto"/>
      <w:jc w:val="both"/>
    </w:pPr>
    <w:rPr>
      <w:kern w:val="20"/>
    </w:rPr>
  </w:style>
  <w:style w:type="paragraph" w:customStyle="1" w:styleId="UCAlpha6">
    <w:name w:val="UCAlpha 6"/>
    <w:basedOn w:val="Normal"/>
    <w:rsid w:val="00097071"/>
    <w:pPr>
      <w:numPr>
        <w:numId w:val="45"/>
      </w:numPr>
      <w:spacing w:after="140" w:line="290" w:lineRule="auto"/>
      <w:jc w:val="both"/>
    </w:pPr>
    <w:rPr>
      <w:kern w:val="20"/>
    </w:rPr>
  </w:style>
  <w:style w:type="paragraph" w:customStyle="1" w:styleId="UCRoman1">
    <w:name w:val="UCRoman 1"/>
    <w:basedOn w:val="Normal"/>
    <w:uiPriority w:val="99"/>
    <w:rsid w:val="00097071"/>
    <w:pPr>
      <w:numPr>
        <w:numId w:val="46"/>
      </w:numPr>
      <w:spacing w:after="140" w:line="290" w:lineRule="auto"/>
      <w:jc w:val="both"/>
    </w:pPr>
    <w:rPr>
      <w:kern w:val="20"/>
    </w:rPr>
  </w:style>
  <w:style w:type="paragraph" w:customStyle="1" w:styleId="UCRoman2">
    <w:name w:val="UCRoman 2"/>
    <w:basedOn w:val="Normal"/>
    <w:rsid w:val="00097071"/>
    <w:pPr>
      <w:numPr>
        <w:numId w:val="47"/>
      </w:numPr>
      <w:spacing w:after="140" w:line="290" w:lineRule="auto"/>
      <w:jc w:val="both"/>
    </w:pPr>
    <w:rPr>
      <w:kern w:val="20"/>
    </w:rPr>
  </w:style>
  <w:style w:type="paragraph" w:customStyle="1" w:styleId="doublealpha">
    <w:name w:val="double alpha"/>
    <w:basedOn w:val="Normal"/>
    <w:rsid w:val="00097071"/>
    <w:pPr>
      <w:numPr>
        <w:numId w:val="23"/>
      </w:numPr>
      <w:spacing w:after="140" w:line="290" w:lineRule="auto"/>
      <w:jc w:val="both"/>
    </w:pPr>
    <w:rPr>
      <w:kern w:val="20"/>
    </w:rPr>
  </w:style>
  <w:style w:type="paragraph" w:customStyle="1" w:styleId="ListNumbers">
    <w:name w:val="List Numbers"/>
    <w:basedOn w:val="Normal"/>
    <w:rsid w:val="00097071"/>
    <w:pPr>
      <w:numPr>
        <w:numId w:val="25"/>
      </w:numPr>
      <w:spacing w:after="140" w:line="290" w:lineRule="auto"/>
      <w:jc w:val="both"/>
      <w:outlineLvl w:val="0"/>
    </w:pPr>
    <w:rPr>
      <w:kern w:val="20"/>
    </w:rPr>
  </w:style>
  <w:style w:type="paragraph" w:customStyle="1" w:styleId="dashbullet1">
    <w:name w:val="dash bullet 1"/>
    <w:basedOn w:val="Normal"/>
    <w:rsid w:val="00097071"/>
    <w:pPr>
      <w:numPr>
        <w:numId w:val="17"/>
      </w:numPr>
      <w:spacing w:after="140" w:line="290" w:lineRule="auto"/>
      <w:jc w:val="both"/>
    </w:pPr>
    <w:rPr>
      <w:kern w:val="20"/>
    </w:rPr>
  </w:style>
  <w:style w:type="paragraph" w:customStyle="1" w:styleId="dashbullet2">
    <w:name w:val="dash bullet 2"/>
    <w:basedOn w:val="Normal"/>
    <w:uiPriority w:val="99"/>
    <w:rsid w:val="00097071"/>
    <w:pPr>
      <w:numPr>
        <w:numId w:val="18"/>
      </w:numPr>
      <w:spacing w:after="140" w:line="290" w:lineRule="auto"/>
      <w:jc w:val="both"/>
    </w:pPr>
    <w:rPr>
      <w:kern w:val="20"/>
    </w:rPr>
  </w:style>
  <w:style w:type="paragraph" w:customStyle="1" w:styleId="dashbullet3">
    <w:name w:val="dash bullet 3"/>
    <w:basedOn w:val="Normal"/>
    <w:rsid w:val="00097071"/>
    <w:pPr>
      <w:numPr>
        <w:numId w:val="19"/>
      </w:numPr>
      <w:spacing w:after="140" w:line="290" w:lineRule="auto"/>
      <w:jc w:val="both"/>
    </w:pPr>
    <w:rPr>
      <w:kern w:val="20"/>
    </w:rPr>
  </w:style>
  <w:style w:type="paragraph" w:customStyle="1" w:styleId="dashbullet4">
    <w:name w:val="dash bullet 4"/>
    <w:basedOn w:val="Normal"/>
    <w:rsid w:val="00097071"/>
    <w:pPr>
      <w:numPr>
        <w:numId w:val="20"/>
      </w:numPr>
      <w:spacing w:after="140" w:line="290" w:lineRule="auto"/>
      <w:jc w:val="both"/>
    </w:pPr>
    <w:rPr>
      <w:kern w:val="20"/>
    </w:rPr>
  </w:style>
  <w:style w:type="paragraph" w:customStyle="1" w:styleId="dashbullet5">
    <w:name w:val="dash bullet 5"/>
    <w:basedOn w:val="Normal"/>
    <w:rsid w:val="00097071"/>
    <w:pPr>
      <w:numPr>
        <w:numId w:val="21"/>
      </w:numPr>
      <w:spacing w:after="140" w:line="290" w:lineRule="auto"/>
      <w:jc w:val="both"/>
    </w:pPr>
    <w:rPr>
      <w:kern w:val="20"/>
    </w:rPr>
  </w:style>
  <w:style w:type="paragraph" w:customStyle="1" w:styleId="dashbullet6">
    <w:name w:val="dash bullet 6"/>
    <w:basedOn w:val="Normal"/>
    <w:rsid w:val="00097071"/>
    <w:pPr>
      <w:numPr>
        <w:numId w:val="22"/>
      </w:numPr>
      <w:spacing w:after="140" w:line="290" w:lineRule="auto"/>
      <w:jc w:val="both"/>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pPr>
    <w:rPr>
      <w:kern w:val="16"/>
      <w:sz w:val="16"/>
    </w:rPr>
  </w:style>
  <w:style w:type="character" w:customStyle="1" w:styleId="zTokyoLogoCaption2">
    <w:name w:val="zTokyoLogoCaption2"/>
    <w:rsid w:val="00097071"/>
    <w:rPr>
      <w:rFonts w:ascii="MS Mincho" w:eastAsia="MS Mincho"/>
      <w:noProof/>
      <w:sz w:val="16"/>
    </w:rPr>
  </w:style>
  <w:style w:type="character" w:styleId="Emphasis">
    <w:name w:val="Emphasis"/>
    <w:basedOn w:val="DefaultParagraphFont"/>
    <w:uiPriority w:val="20"/>
    <w:qFormat/>
    <w:rsid w:val="00651CFA"/>
    <w:rPr>
      <w:i/>
      <w:iCs/>
    </w:rPr>
  </w:style>
  <w:style w:type="paragraph" w:customStyle="1" w:styleId="StyleArial8pt">
    <w:name w:val="Style Arial 8 pt"/>
    <w:link w:val="StyleArial8ptCharChar"/>
    <w:autoRedefine/>
    <w:rsid w:val="00651CFA"/>
    <w:pPr>
      <w:tabs>
        <w:tab w:val="left" w:pos="0"/>
      </w:tabs>
      <w:spacing w:line="220" w:lineRule="exact"/>
      <w:ind w:right="-43"/>
    </w:pPr>
    <w:rPr>
      <w:rFonts w:ascii="Arial" w:eastAsia="Arial Unicode MS" w:hAnsi="Arial" w:cs="Arial"/>
      <w:sz w:val="16"/>
      <w:szCs w:val="16"/>
      <w:lang w:eastAsia="zh-CN"/>
    </w:rPr>
  </w:style>
  <w:style w:type="character" w:customStyle="1" w:styleId="StyleArial8ptCharChar">
    <w:name w:val="Style Arial 8 pt Char Char"/>
    <w:basedOn w:val="DefaultParagraphFont"/>
    <w:link w:val="StyleArial8pt"/>
    <w:locked/>
    <w:rsid w:val="00651CFA"/>
    <w:rPr>
      <w:rFonts w:ascii="Arial" w:eastAsia="Arial Unicode MS" w:hAnsi="Arial" w:cs="Arial"/>
      <w:sz w:val="16"/>
      <w:szCs w:val="16"/>
      <w:lang w:eastAsia="zh-CN"/>
    </w:rPr>
  </w:style>
  <w:style w:type="character" w:customStyle="1" w:styleId="Heading3Char">
    <w:name w:val="Heading 3 Char"/>
    <w:basedOn w:val="DefaultParagraphFont"/>
    <w:link w:val="Heading3"/>
    <w:locked/>
    <w:rsid w:val="00651CFA"/>
    <w:rPr>
      <w:rFonts w:ascii="Arial" w:hAnsi="Arial" w:cs="Arial"/>
      <w:bCs/>
      <w:szCs w:val="26"/>
    </w:rPr>
  </w:style>
  <w:style w:type="character" w:customStyle="1" w:styleId="Char4">
    <w:name w:val="Char4"/>
    <w:basedOn w:val="DefaultParagraphFont"/>
    <w:locked/>
    <w:rsid w:val="00651CFA"/>
    <w:rPr>
      <w:rFonts w:ascii="Arial" w:eastAsia="SimSun" w:hAnsi="Arial" w:cs="Arial"/>
      <w:noProof/>
      <w:color w:val="003366"/>
      <w:sz w:val="26"/>
      <w:szCs w:val="26"/>
      <w:lang w:val="en-GB" w:eastAsia="en-GB" w:bidi="ar-SA"/>
    </w:rPr>
  </w:style>
  <w:style w:type="paragraph" w:customStyle="1" w:styleId="kc">
    <w:name w:val="kc"/>
    <w:basedOn w:val="Normal"/>
    <w:rsid w:val="00651CFA"/>
    <w:pPr>
      <w:spacing w:before="100" w:beforeAutospacing="1" w:after="100" w:afterAutospacing="1"/>
    </w:pPr>
    <w:rPr>
      <w:lang w:val="en-US" w:eastAsia="zh-CN"/>
    </w:rPr>
  </w:style>
  <w:style w:type="character" w:customStyle="1" w:styleId="ch">
    <w:name w:val="ch"/>
    <w:basedOn w:val="DefaultParagraphFont"/>
    <w:rsid w:val="00651CFA"/>
  </w:style>
  <w:style w:type="paragraph" w:customStyle="1" w:styleId="kd">
    <w:name w:val="kd"/>
    <w:basedOn w:val="Normal"/>
    <w:rsid w:val="00651CFA"/>
    <w:pPr>
      <w:spacing w:before="100" w:beforeAutospacing="1" w:after="100" w:afterAutospacing="1"/>
    </w:pPr>
    <w:rPr>
      <w:lang w:val="en-US" w:eastAsia="zh-CN"/>
    </w:rPr>
  </w:style>
  <w:style w:type="character" w:customStyle="1" w:styleId="iq">
    <w:name w:val="iq"/>
    <w:basedOn w:val="DefaultParagraphFont"/>
    <w:rsid w:val="00651CFA"/>
  </w:style>
  <w:style w:type="paragraph" w:customStyle="1" w:styleId="jj">
    <w:name w:val="jj"/>
    <w:basedOn w:val="Normal"/>
    <w:rsid w:val="00651CFA"/>
    <w:pPr>
      <w:spacing w:before="100" w:beforeAutospacing="1" w:after="100" w:afterAutospacing="1"/>
    </w:pPr>
    <w:rPr>
      <w:lang w:val="en-US" w:eastAsia="zh-CN"/>
    </w:rPr>
  </w:style>
  <w:style w:type="character" w:customStyle="1" w:styleId="cd">
    <w:name w:val="cd"/>
    <w:basedOn w:val="DefaultParagraphFont"/>
    <w:rsid w:val="00651CFA"/>
  </w:style>
  <w:style w:type="paragraph" w:customStyle="1" w:styleId="a">
    <w:name w:val="a"/>
    <w:basedOn w:val="Normal"/>
    <w:rsid w:val="00651CFA"/>
    <w:pPr>
      <w:spacing w:before="100" w:beforeAutospacing="1" w:after="100" w:afterAutospacing="1"/>
    </w:pPr>
    <w:rPr>
      <w:lang w:val="en-US" w:eastAsia="zh-CN"/>
    </w:rPr>
  </w:style>
  <w:style w:type="character" w:customStyle="1" w:styleId="ip">
    <w:name w:val="ip"/>
    <w:basedOn w:val="DefaultParagraphFont"/>
    <w:rsid w:val="00651CFA"/>
  </w:style>
  <w:style w:type="character" w:customStyle="1" w:styleId="st1">
    <w:name w:val="st1"/>
    <w:basedOn w:val="DefaultParagraphFont"/>
    <w:rsid w:val="004027EE"/>
  </w:style>
  <w:style w:type="paragraph" w:customStyle="1" w:styleId="Default">
    <w:name w:val="Default"/>
    <w:rsid w:val="004027EE"/>
    <w:pPr>
      <w:autoSpaceDE w:val="0"/>
      <w:autoSpaceDN w:val="0"/>
      <w:adjustRightInd w:val="0"/>
    </w:pPr>
    <w:rPr>
      <w:rFonts w:ascii="Arial" w:hAnsi="Arial" w:cs="Arial"/>
      <w:color w:val="000000"/>
      <w:sz w:val="24"/>
      <w:szCs w:val="24"/>
      <w:lang w:bidi="hi-IN"/>
    </w:rPr>
  </w:style>
  <w:style w:type="character" w:customStyle="1" w:styleId="Body1Char">
    <w:name w:val="Body 1 Char"/>
    <w:link w:val="Body1"/>
    <w:rsid w:val="00BA5173"/>
    <w:rPr>
      <w:rFonts w:eastAsia="MS Mincho"/>
      <w:kern w:val="20"/>
      <w:sz w:val="24"/>
      <w:szCs w:val="24"/>
      <w:lang w:eastAsia="ja-JP"/>
    </w:rPr>
  </w:style>
  <w:style w:type="character" w:styleId="Strong">
    <w:name w:val="Strong"/>
    <w:uiPriority w:val="22"/>
    <w:qFormat/>
    <w:rsid w:val="00867641"/>
    <w:rPr>
      <w:b/>
      <w:bCs/>
    </w:rPr>
  </w:style>
  <w:style w:type="table" w:styleId="TableGrid">
    <w:name w:val="Table Grid"/>
    <w:basedOn w:val="TableNormal"/>
    <w:rsid w:val="00867641"/>
    <w:rPr>
      <w:rFonts w:eastAsia="MS Mincho"/>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Char">
    <w:name w:val="Body Char"/>
    <w:link w:val="Body"/>
    <w:uiPriority w:val="99"/>
    <w:locked/>
    <w:rsid w:val="00D96D32"/>
    <w:rPr>
      <w:rFonts w:eastAsia="MS Mincho"/>
      <w:kern w:val="20"/>
      <w:sz w:val="24"/>
      <w:szCs w:val="24"/>
      <w:lang w:eastAsia="ja-JP"/>
    </w:rPr>
  </w:style>
  <w:style w:type="character" w:customStyle="1" w:styleId="SubHeadChar">
    <w:name w:val="SubHead Char"/>
    <w:link w:val="SubHead"/>
    <w:uiPriority w:val="99"/>
    <w:locked/>
    <w:rsid w:val="00D96D32"/>
    <w:rPr>
      <w:rFonts w:eastAsia="MS Mincho"/>
      <w:b/>
      <w:kern w:val="21"/>
      <w:sz w:val="21"/>
      <w:szCs w:val="24"/>
      <w:lang w:eastAsia="ja-JP"/>
    </w:rPr>
  </w:style>
  <w:style w:type="character" w:customStyle="1" w:styleId="FooterChar">
    <w:name w:val="Footer Char"/>
    <w:basedOn w:val="DefaultParagraphFont"/>
    <w:link w:val="Footer"/>
    <w:uiPriority w:val="99"/>
    <w:locked/>
    <w:rsid w:val="00D96D32"/>
    <w:rPr>
      <w:rFonts w:eastAsia="MS Mincho"/>
      <w:kern w:val="16"/>
      <w:sz w:val="16"/>
      <w:szCs w:val="24"/>
      <w:lang w:eastAsia="ja-JP"/>
    </w:rPr>
  </w:style>
  <w:style w:type="character" w:customStyle="1" w:styleId="HeaderChar">
    <w:name w:val="Header Char"/>
    <w:basedOn w:val="DefaultParagraphFont"/>
    <w:link w:val="Header"/>
    <w:uiPriority w:val="99"/>
    <w:locked/>
    <w:rsid w:val="00D96D32"/>
    <w:rPr>
      <w:rFonts w:eastAsia="MS Mincho"/>
      <w:kern w:val="20"/>
      <w:sz w:val="24"/>
      <w:szCs w:val="24"/>
      <w:lang w:eastAsia="ja-JP"/>
    </w:rPr>
  </w:style>
  <w:style w:type="paragraph" w:customStyle="1" w:styleId="Cell-Headitalic">
    <w:name w:val="Cell-Headitalic"/>
    <w:basedOn w:val="CellHead"/>
    <w:uiPriority w:val="99"/>
    <w:rsid w:val="00D96D32"/>
    <w:pPr>
      <w:spacing w:before="40" w:after="120" w:line="290" w:lineRule="auto"/>
      <w:jc w:val="center"/>
    </w:pPr>
    <w:rPr>
      <w:rFonts w:ascii="Arial" w:eastAsia="Times New Roman" w:hAnsi="Arial" w:cs="Arial"/>
      <w:b w:val="0"/>
      <w:i/>
      <w:sz w:val="19"/>
      <w:szCs w:val="20"/>
      <w:lang w:eastAsia="en-US"/>
    </w:rPr>
  </w:style>
  <w:style w:type="paragraph" w:customStyle="1" w:styleId="CellRowSpacer">
    <w:name w:val="CellRowSpacer"/>
    <w:basedOn w:val="Normal"/>
    <w:uiPriority w:val="99"/>
    <w:rsid w:val="00D96D32"/>
    <w:pPr>
      <w:spacing w:before="40" w:after="40" w:line="290" w:lineRule="auto"/>
    </w:pPr>
    <w:rPr>
      <w:rFonts w:ascii="Arial" w:eastAsia="Times New Roman" w:hAnsi="Arial" w:cs="Arial"/>
      <w:kern w:val="20"/>
      <w:sz w:val="19"/>
      <w:szCs w:val="20"/>
      <w:lang w:eastAsia="en-US"/>
    </w:rPr>
  </w:style>
  <w:style w:type="paragraph" w:customStyle="1" w:styleId="Note">
    <w:name w:val="Note"/>
    <w:basedOn w:val="Normal"/>
    <w:uiPriority w:val="99"/>
    <w:rsid w:val="00D96D32"/>
    <w:pPr>
      <w:numPr>
        <w:numId w:val="50"/>
      </w:numPr>
      <w:spacing w:before="40" w:after="40" w:line="290" w:lineRule="auto"/>
      <w:jc w:val="both"/>
    </w:pPr>
    <w:rPr>
      <w:rFonts w:ascii="Arial" w:eastAsia="Times New Roman" w:hAnsi="Arial" w:cs="Arial"/>
      <w:kern w:val="20"/>
      <w:sz w:val="17"/>
      <w:szCs w:val="20"/>
      <w:lang w:eastAsia="en-US"/>
    </w:rPr>
  </w:style>
  <w:style w:type="character" w:customStyle="1" w:styleId="Level1Char">
    <w:name w:val="Level 1 Char"/>
    <w:link w:val="Level1"/>
    <w:uiPriority w:val="99"/>
    <w:locked/>
    <w:rsid w:val="00D96D32"/>
    <w:rPr>
      <w:rFonts w:eastAsia="MS Mincho"/>
      <w:b/>
      <w:bCs/>
      <w:kern w:val="20"/>
      <w:sz w:val="22"/>
      <w:szCs w:val="32"/>
      <w:lang w:eastAsia="ja-JP"/>
    </w:rPr>
  </w:style>
  <w:style w:type="paragraph" w:customStyle="1" w:styleId="NoteBody">
    <w:name w:val="NoteBody"/>
    <w:basedOn w:val="Body"/>
    <w:uiPriority w:val="99"/>
    <w:rsid w:val="00D96D32"/>
    <w:pPr>
      <w:spacing w:before="40" w:after="40"/>
    </w:pPr>
    <w:rPr>
      <w:rFonts w:eastAsia="Times New Roman"/>
      <w:sz w:val="18"/>
      <w:szCs w:val="20"/>
      <w:lang w:eastAsia="en-US"/>
    </w:rPr>
  </w:style>
  <w:style w:type="paragraph" w:customStyle="1" w:styleId="StyleArial75pt">
    <w:name w:val="Style Arial 7.5 pt"/>
    <w:link w:val="StyleArial75ptChar"/>
    <w:autoRedefine/>
    <w:uiPriority w:val="99"/>
    <w:rsid w:val="00D96D32"/>
    <w:pPr>
      <w:spacing w:line="180" w:lineRule="exact"/>
    </w:pPr>
    <w:rPr>
      <w:rFonts w:ascii="Arial" w:eastAsia="SimSun" w:hAnsi="Arial"/>
      <w:sz w:val="16"/>
      <w:szCs w:val="16"/>
      <w:lang w:eastAsia="ja-JP"/>
    </w:rPr>
  </w:style>
  <w:style w:type="character" w:customStyle="1" w:styleId="StyleArial75ptChar">
    <w:name w:val="Style Arial 7.5 pt Char"/>
    <w:basedOn w:val="DefaultParagraphFont"/>
    <w:link w:val="StyleArial75pt"/>
    <w:uiPriority w:val="99"/>
    <w:locked/>
    <w:rsid w:val="00D96D32"/>
    <w:rPr>
      <w:rFonts w:ascii="Arial" w:eastAsia="SimSun" w:hAnsi="Arial"/>
      <w:sz w:val="16"/>
      <w:szCs w:val="16"/>
      <w:lang w:eastAsia="ja-JP"/>
    </w:rPr>
  </w:style>
  <w:style w:type="paragraph" w:customStyle="1" w:styleId="Tablecontentsblackright">
    <w:name w:val="Table contents black right"/>
    <w:autoRedefine/>
    <w:uiPriority w:val="99"/>
    <w:rsid w:val="00D96D32"/>
    <w:pPr>
      <w:jc w:val="right"/>
    </w:pPr>
    <w:rPr>
      <w:rFonts w:ascii="Arial" w:eastAsia="SimSun" w:hAnsi="Arial"/>
      <w:sz w:val="16"/>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51CFA"/>
    <w:rPr>
      <w:rFonts w:eastAsia="MS Mincho"/>
      <w:sz w:val="24"/>
      <w:szCs w:val="24"/>
      <w:lang w:eastAsia="ja-JP"/>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link w:val="Heading3Char"/>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rsid w:val="00097071"/>
    <w:pPr>
      <w:spacing w:before="280" w:after="140" w:line="290" w:lineRule="auto"/>
    </w:pPr>
    <w:rPr>
      <w:kern w:val="20"/>
    </w:rPr>
  </w:style>
  <w:style w:type="paragraph" w:customStyle="1" w:styleId="Body">
    <w:name w:val="Body"/>
    <w:basedOn w:val="Normal"/>
    <w:link w:val="BodyChar"/>
    <w:uiPriority w:val="99"/>
    <w:rsid w:val="00097071"/>
    <w:pPr>
      <w:spacing w:after="140" w:line="290" w:lineRule="auto"/>
      <w:jc w:val="both"/>
    </w:pPr>
    <w:rPr>
      <w:kern w:val="20"/>
    </w:rPr>
  </w:style>
  <w:style w:type="paragraph" w:customStyle="1" w:styleId="Body1">
    <w:name w:val="Body 1"/>
    <w:basedOn w:val="Normal"/>
    <w:link w:val="Body1Char"/>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link w:val="Level1Char"/>
    <w:uiPriority w:val="99"/>
    <w:rsid w:val="00097071"/>
    <w:pPr>
      <w:keepNext/>
      <w:numPr>
        <w:numId w:val="24"/>
      </w:numPr>
      <w:spacing w:before="280" w:after="140" w:line="290" w:lineRule="auto"/>
      <w:jc w:val="both"/>
      <w:outlineLvl w:val="0"/>
    </w:pPr>
    <w:rPr>
      <w:b/>
      <w:bCs/>
      <w:kern w:val="20"/>
      <w:sz w:val="22"/>
      <w:szCs w:val="32"/>
    </w:rPr>
  </w:style>
  <w:style w:type="paragraph" w:customStyle="1" w:styleId="Level2">
    <w:name w:val="Level 2"/>
    <w:basedOn w:val="Normal"/>
    <w:uiPriority w:val="99"/>
    <w:rsid w:val="00097071"/>
    <w:pPr>
      <w:numPr>
        <w:ilvl w:val="1"/>
        <w:numId w:val="24"/>
      </w:numPr>
      <w:spacing w:after="140" w:line="290" w:lineRule="auto"/>
      <w:jc w:val="both"/>
    </w:pPr>
    <w:rPr>
      <w:kern w:val="20"/>
      <w:szCs w:val="28"/>
    </w:rPr>
  </w:style>
  <w:style w:type="paragraph" w:customStyle="1" w:styleId="Level3">
    <w:name w:val="Level 3"/>
    <w:basedOn w:val="Normal"/>
    <w:uiPriority w:val="99"/>
    <w:rsid w:val="00097071"/>
    <w:pPr>
      <w:numPr>
        <w:ilvl w:val="2"/>
        <w:numId w:val="24"/>
      </w:numPr>
      <w:spacing w:after="140" w:line="290" w:lineRule="auto"/>
      <w:jc w:val="both"/>
    </w:pPr>
    <w:rPr>
      <w:kern w:val="20"/>
      <w:szCs w:val="28"/>
    </w:rPr>
  </w:style>
  <w:style w:type="paragraph" w:customStyle="1" w:styleId="Level4">
    <w:name w:val="Level 4"/>
    <w:basedOn w:val="Normal"/>
    <w:rsid w:val="00097071"/>
    <w:pPr>
      <w:numPr>
        <w:ilvl w:val="3"/>
        <w:numId w:val="24"/>
      </w:numPr>
      <w:spacing w:after="140" w:line="290" w:lineRule="auto"/>
      <w:jc w:val="both"/>
    </w:pPr>
    <w:rPr>
      <w:kern w:val="20"/>
    </w:rPr>
  </w:style>
  <w:style w:type="paragraph" w:customStyle="1" w:styleId="Level5">
    <w:name w:val="Level 5"/>
    <w:basedOn w:val="Normal"/>
    <w:rsid w:val="00097071"/>
    <w:pPr>
      <w:numPr>
        <w:ilvl w:val="4"/>
        <w:numId w:val="24"/>
      </w:numPr>
      <w:spacing w:after="140" w:line="290" w:lineRule="auto"/>
      <w:jc w:val="both"/>
    </w:pPr>
    <w:rPr>
      <w:kern w:val="20"/>
    </w:rPr>
  </w:style>
  <w:style w:type="paragraph" w:customStyle="1" w:styleId="Level6">
    <w:name w:val="Level 6"/>
    <w:basedOn w:val="Normal"/>
    <w:rsid w:val="00097071"/>
    <w:pPr>
      <w:numPr>
        <w:ilvl w:val="5"/>
        <w:numId w:val="24"/>
      </w:numPr>
      <w:spacing w:after="140" w:line="290" w:lineRule="auto"/>
      <w:jc w:val="both"/>
    </w:pPr>
    <w:rPr>
      <w:kern w:val="20"/>
    </w:rPr>
  </w:style>
  <w:style w:type="paragraph" w:customStyle="1" w:styleId="Parties">
    <w:name w:val="Parties"/>
    <w:basedOn w:val="Normal"/>
    <w:rsid w:val="00097071"/>
    <w:pPr>
      <w:numPr>
        <w:numId w:val="26"/>
      </w:numPr>
      <w:spacing w:after="140" w:line="290" w:lineRule="auto"/>
      <w:jc w:val="both"/>
    </w:pPr>
    <w:rPr>
      <w:kern w:val="20"/>
    </w:rPr>
  </w:style>
  <w:style w:type="paragraph" w:customStyle="1" w:styleId="Recitals">
    <w:name w:val="Recitals"/>
    <w:basedOn w:val="Normal"/>
    <w:rsid w:val="00097071"/>
    <w:pPr>
      <w:numPr>
        <w:numId w:val="27"/>
      </w:numPr>
      <w:spacing w:after="140" w:line="290" w:lineRule="auto"/>
      <w:jc w:val="both"/>
    </w:pPr>
    <w:rPr>
      <w:kern w:val="20"/>
    </w:rPr>
  </w:style>
  <w:style w:type="paragraph" w:customStyle="1" w:styleId="alpha1">
    <w:name w:val="alpha 1"/>
    <w:basedOn w:val="Normal"/>
    <w:rsid w:val="00097071"/>
    <w:pPr>
      <w:numPr>
        <w:numId w:val="5"/>
      </w:numPr>
      <w:spacing w:after="140" w:line="290" w:lineRule="auto"/>
      <w:jc w:val="both"/>
    </w:pPr>
    <w:rPr>
      <w:kern w:val="20"/>
      <w:szCs w:val="20"/>
    </w:rPr>
  </w:style>
  <w:style w:type="paragraph" w:customStyle="1" w:styleId="alpha2">
    <w:name w:val="alpha 2"/>
    <w:basedOn w:val="Normal"/>
    <w:rsid w:val="00097071"/>
    <w:pPr>
      <w:numPr>
        <w:numId w:val="6"/>
      </w:numPr>
      <w:spacing w:after="140" w:line="290" w:lineRule="auto"/>
      <w:jc w:val="both"/>
    </w:pPr>
    <w:rPr>
      <w:kern w:val="20"/>
      <w:szCs w:val="20"/>
    </w:rPr>
  </w:style>
  <w:style w:type="paragraph" w:customStyle="1" w:styleId="alpha3">
    <w:name w:val="alpha 3"/>
    <w:basedOn w:val="Normal"/>
    <w:rsid w:val="00097071"/>
    <w:pPr>
      <w:numPr>
        <w:numId w:val="7"/>
      </w:numPr>
      <w:spacing w:after="140" w:line="290" w:lineRule="auto"/>
      <w:jc w:val="both"/>
    </w:pPr>
    <w:rPr>
      <w:kern w:val="20"/>
      <w:szCs w:val="20"/>
    </w:rPr>
  </w:style>
  <w:style w:type="paragraph" w:customStyle="1" w:styleId="alpha4">
    <w:name w:val="alpha 4"/>
    <w:basedOn w:val="Normal"/>
    <w:rsid w:val="00097071"/>
    <w:pPr>
      <w:numPr>
        <w:numId w:val="8"/>
      </w:numPr>
      <w:spacing w:after="140" w:line="290" w:lineRule="auto"/>
      <w:jc w:val="both"/>
    </w:pPr>
    <w:rPr>
      <w:kern w:val="20"/>
      <w:szCs w:val="20"/>
    </w:rPr>
  </w:style>
  <w:style w:type="paragraph" w:customStyle="1" w:styleId="alpha5">
    <w:name w:val="alpha 5"/>
    <w:basedOn w:val="Normal"/>
    <w:rsid w:val="00097071"/>
    <w:pPr>
      <w:numPr>
        <w:numId w:val="9"/>
      </w:numPr>
      <w:spacing w:after="140" w:line="290" w:lineRule="auto"/>
      <w:jc w:val="both"/>
    </w:pPr>
    <w:rPr>
      <w:kern w:val="20"/>
      <w:szCs w:val="20"/>
    </w:rPr>
  </w:style>
  <w:style w:type="paragraph" w:customStyle="1" w:styleId="alpha6">
    <w:name w:val="alpha 6"/>
    <w:basedOn w:val="Normal"/>
    <w:rsid w:val="00097071"/>
    <w:pPr>
      <w:numPr>
        <w:numId w:val="10"/>
      </w:numPr>
      <w:spacing w:after="140" w:line="290" w:lineRule="auto"/>
      <w:jc w:val="both"/>
    </w:pPr>
    <w:rPr>
      <w:kern w:val="20"/>
      <w:szCs w:val="20"/>
    </w:rPr>
  </w:style>
  <w:style w:type="paragraph" w:customStyle="1" w:styleId="bullet1">
    <w:name w:val="bullet 1"/>
    <w:basedOn w:val="Normal"/>
    <w:rsid w:val="00097071"/>
    <w:pPr>
      <w:numPr>
        <w:numId w:val="11"/>
      </w:numPr>
      <w:spacing w:after="140" w:line="290" w:lineRule="auto"/>
      <w:jc w:val="both"/>
    </w:pPr>
    <w:rPr>
      <w:kern w:val="20"/>
    </w:rPr>
  </w:style>
  <w:style w:type="paragraph" w:customStyle="1" w:styleId="bullet2">
    <w:name w:val="bullet 2"/>
    <w:basedOn w:val="Normal"/>
    <w:rsid w:val="00097071"/>
    <w:pPr>
      <w:numPr>
        <w:numId w:val="12"/>
      </w:numPr>
      <w:spacing w:after="140" w:line="290" w:lineRule="auto"/>
      <w:jc w:val="both"/>
    </w:pPr>
    <w:rPr>
      <w:kern w:val="20"/>
    </w:rPr>
  </w:style>
  <w:style w:type="paragraph" w:customStyle="1" w:styleId="bullet3">
    <w:name w:val="bullet 3"/>
    <w:basedOn w:val="Normal"/>
    <w:rsid w:val="00097071"/>
    <w:pPr>
      <w:numPr>
        <w:numId w:val="13"/>
      </w:numPr>
      <w:spacing w:after="140" w:line="290" w:lineRule="auto"/>
      <w:jc w:val="both"/>
    </w:pPr>
    <w:rPr>
      <w:kern w:val="20"/>
    </w:rPr>
  </w:style>
  <w:style w:type="paragraph" w:customStyle="1" w:styleId="bullet4">
    <w:name w:val="bullet 4"/>
    <w:basedOn w:val="Normal"/>
    <w:rsid w:val="00097071"/>
    <w:pPr>
      <w:numPr>
        <w:numId w:val="14"/>
      </w:numPr>
      <w:spacing w:after="140" w:line="290" w:lineRule="auto"/>
      <w:jc w:val="both"/>
    </w:pPr>
    <w:rPr>
      <w:kern w:val="20"/>
    </w:rPr>
  </w:style>
  <w:style w:type="paragraph" w:customStyle="1" w:styleId="bullet5">
    <w:name w:val="bullet 5"/>
    <w:basedOn w:val="Normal"/>
    <w:rsid w:val="00097071"/>
    <w:pPr>
      <w:numPr>
        <w:numId w:val="15"/>
      </w:numPr>
      <w:spacing w:after="140" w:line="290" w:lineRule="auto"/>
      <w:jc w:val="both"/>
    </w:pPr>
    <w:rPr>
      <w:kern w:val="20"/>
    </w:rPr>
  </w:style>
  <w:style w:type="paragraph" w:customStyle="1" w:styleId="bullet6">
    <w:name w:val="bullet 6"/>
    <w:basedOn w:val="Normal"/>
    <w:rsid w:val="00097071"/>
    <w:pPr>
      <w:numPr>
        <w:numId w:val="16"/>
      </w:numPr>
      <w:spacing w:after="140" w:line="290" w:lineRule="auto"/>
      <w:jc w:val="both"/>
    </w:pPr>
    <w:rPr>
      <w:kern w:val="20"/>
    </w:rPr>
  </w:style>
  <w:style w:type="paragraph" w:customStyle="1" w:styleId="roman1">
    <w:name w:val="roman 1"/>
    <w:basedOn w:val="Normal"/>
    <w:rsid w:val="00097071"/>
    <w:pPr>
      <w:numPr>
        <w:numId w:val="28"/>
      </w:numPr>
      <w:spacing w:after="140" w:line="290" w:lineRule="auto"/>
      <w:jc w:val="both"/>
    </w:pPr>
    <w:rPr>
      <w:kern w:val="20"/>
      <w:szCs w:val="20"/>
    </w:rPr>
  </w:style>
  <w:style w:type="paragraph" w:customStyle="1" w:styleId="roman2">
    <w:name w:val="roman 2"/>
    <w:basedOn w:val="Normal"/>
    <w:rsid w:val="00097071"/>
    <w:pPr>
      <w:numPr>
        <w:numId w:val="29"/>
      </w:numPr>
      <w:spacing w:after="140" w:line="290" w:lineRule="auto"/>
      <w:jc w:val="both"/>
    </w:pPr>
    <w:rPr>
      <w:kern w:val="20"/>
      <w:szCs w:val="20"/>
    </w:rPr>
  </w:style>
  <w:style w:type="paragraph" w:customStyle="1" w:styleId="roman3">
    <w:name w:val="roman 3"/>
    <w:basedOn w:val="Normal"/>
    <w:rsid w:val="00097071"/>
    <w:pPr>
      <w:numPr>
        <w:numId w:val="30"/>
      </w:numPr>
      <w:spacing w:after="140" w:line="290" w:lineRule="auto"/>
      <w:jc w:val="both"/>
    </w:pPr>
    <w:rPr>
      <w:kern w:val="20"/>
      <w:szCs w:val="20"/>
    </w:rPr>
  </w:style>
  <w:style w:type="paragraph" w:customStyle="1" w:styleId="roman4">
    <w:name w:val="roman 4"/>
    <w:basedOn w:val="Normal"/>
    <w:rsid w:val="00097071"/>
    <w:pPr>
      <w:numPr>
        <w:numId w:val="31"/>
      </w:numPr>
      <w:spacing w:after="140" w:line="290" w:lineRule="auto"/>
      <w:jc w:val="both"/>
    </w:pPr>
    <w:rPr>
      <w:kern w:val="20"/>
      <w:szCs w:val="20"/>
    </w:rPr>
  </w:style>
  <w:style w:type="paragraph" w:customStyle="1" w:styleId="roman5">
    <w:name w:val="roman 5"/>
    <w:basedOn w:val="Normal"/>
    <w:rsid w:val="00097071"/>
    <w:pPr>
      <w:numPr>
        <w:numId w:val="32"/>
      </w:numPr>
      <w:spacing w:after="140" w:line="290" w:lineRule="auto"/>
      <w:jc w:val="both"/>
    </w:pPr>
    <w:rPr>
      <w:kern w:val="20"/>
      <w:szCs w:val="20"/>
    </w:rPr>
  </w:style>
  <w:style w:type="paragraph" w:customStyle="1" w:styleId="roman6">
    <w:name w:val="roman 6"/>
    <w:basedOn w:val="Normal"/>
    <w:rsid w:val="00097071"/>
    <w:pPr>
      <w:numPr>
        <w:numId w:val="33"/>
      </w:numPr>
      <w:spacing w:after="140" w:line="290" w:lineRule="auto"/>
      <w:jc w:val="both"/>
    </w:pPr>
    <w:rPr>
      <w:kern w:val="20"/>
      <w:szCs w:val="20"/>
    </w:rPr>
  </w:style>
  <w:style w:type="paragraph" w:customStyle="1" w:styleId="CellHead">
    <w:name w:val="CellHead"/>
    <w:basedOn w:val="Normal"/>
    <w:uiPriority w:val="99"/>
    <w:rsid w:val="00097071"/>
    <w:pPr>
      <w:keepNext/>
      <w:spacing w:before="60" w:after="60" w:line="259" w:lineRule="auto"/>
    </w:pPr>
    <w:rPr>
      <w:b/>
      <w:kern w:val="20"/>
    </w:rPr>
  </w:style>
  <w:style w:type="paragraph" w:styleId="CommentText">
    <w:name w:val="annotation text"/>
    <w:basedOn w:val="Normal"/>
    <w:rsid w:val="00097071"/>
    <w:rPr>
      <w:szCs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link w:val="SubHeadChar"/>
    <w:uiPriority w:val="99"/>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097071"/>
    <w:pPr>
      <w:numPr>
        <w:numId w:val="34"/>
      </w:numPr>
      <w:spacing w:after="140" w:line="290" w:lineRule="auto"/>
      <w:jc w:val="both"/>
    </w:pPr>
    <w:rPr>
      <w:kern w:val="20"/>
    </w:rPr>
  </w:style>
  <w:style w:type="paragraph" w:customStyle="1" w:styleId="Schedule2">
    <w:name w:val="Schedule 2"/>
    <w:basedOn w:val="Normal"/>
    <w:rsid w:val="00097071"/>
    <w:pPr>
      <w:numPr>
        <w:ilvl w:val="1"/>
        <w:numId w:val="34"/>
      </w:numPr>
      <w:spacing w:after="140" w:line="290" w:lineRule="auto"/>
      <w:jc w:val="both"/>
    </w:pPr>
    <w:rPr>
      <w:kern w:val="20"/>
    </w:rPr>
  </w:style>
  <w:style w:type="paragraph" w:customStyle="1" w:styleId="Schedule3">
    <w:name w:val="Schedule 3"/>
    <w:basedOn w:val="Normal"/>
    <w:rsid w:val="00097071"/>
    <w:pPr>
      <w:numPr>
        <w:ilvl w:val="2"/>
        <w:numId w:val="34"/>
      </w:numPr>
      <w:spacing w:after="140" w:line="290" w:lineRule="auto"/>
      <w:jc w:val="both"/>
    </w:pPr>
    <w:rPr>
      <w:kern w:val="20"/>
    </w:rPr>
  </w:style>
  <w:style w:type="paragraph" w:customStyle="1" w:styleId="Schedule4">
    <w:name w:val="Schedule 4"/>
    <w:basedOn w:val="Normal"/>
    <w:rsid w:val="00097071"/>
    <w:pPr>
      <w:numPr>
        <w:ilvl w:val="3"/>
        <w:numId w:val="34"/>
      </w:numPr>
      <w:spacing w:after="140" w:line="290" w:lineRule="auto"/>
      <w:jc w:val="both"/>
    </w:pPr>
    <w:rPr>
      <w:kern w:val="20"/>
    </w:rPr>
  </w:style>
  <w:style w:type="paragraph" w:customStyle="1" w:styleId="Schedule5">
    <w:name w:val="Schedule 5"/>
    <w:basedOn w:val="Normal"/>
    <w:rsid w:val="00097071"/>
    <w:pPr>
      <w:numPr>
        <w:ilvl w:val="4"/>
        <w:numId w:val="34"/>
      </w:numPr>
      <w:spacing w:after="140" w:line="290" w:lineRule="auto"/>
      <w:jc w:val="both"/>
    </w:pPr>
    <w:rPr>
      <w:kern w:val="20"/>
    </w:rPr>
  </w:style>
  <w:style w:type="paragraph" w:customStyle="1" w:styleId="Schedule6">
    <w:name w:val="Schedule 6"/>
    <w:basedOn w:val="Normal"/>
    <w:rsid w:val="00097071"/>
    <w:pPr>
      <w:numPr>
        <w:ilvl w:val="5"/>
        <w:numId w:val="34"/>
      </w:numPr>
      <w:spacing w:after="140" w:line="290" w:lineRule="auto"/>
      <w:jc w:val="both"/>
    </w:pPr>
    <w:rPr>
      <w:kern w:val="20"/>
    </w:rPr>
  </w:style>
  <w:style w:type="paragraph" w:customStyle="1" w:styleId="TCLevel1">
    <w:name w:val="T+C Level 1"/>
    <w:basedOn w:val="Normal"/>
    <w:next w:val="TCLevel2"/>
    <w:rsid w:val="00097071"/>
    <w:pPr>
      <w:keepNext/>
      <w:numPr>
        <w:numId w:val="35"/>
      </w:numPr>
      <w:spacing w:before="140" w:line="290" w:lineRule="auto"/>
      <w:jc w:val="both"/>
      <w:outlineLvl w:val="0"/>
    </w:pPr>
    <w:rPr>
      <w:b/>
      <w:kern w:val="20"/>
    </w:rPr>
  </w:style>
  <w:style w:type="paragraph" w:customStyle="1" w:styleId="TCLevel2">
    <w:name w:val="T+C Level 2"/>
    <w:basedOn w:val="Normal"/>
    <w:rsid w:val="00097071"/>
    <w:pPr>
      <w:numPr>
        <w:ilvl w:val="1"/>
        <w:numId w:val="35"/>
      </w:numPr>
      <w:spacing w:after="140" w:line="290" w:lineRule="auto"/>
      <w:jc w:val="both"/>
      <w:outlineLvl w:val="1"/>
    </w:pPr>
    <w:rPr>
      <w:kern w:val="20"/>
    </w:rPr>
  </w:style>
  <w:style w:type="paragraph" w:customStyle="1" w:styleId="TCLevel3">
    <w:name w:val="T+C Level 3"/>
    <w:basedOn w:val="Normal"/>
    <w:rsid w:val="00097071"/>
    <w:pPr>
      <w:numPr>
        <w:ilvl w:val="2"/>
        <w:numId w:val="35"/>
      </w:numPr>
      <w:spacing w:after="140" w:line="290" w:lineRule="auto"/>
      <w:jc w:val="both"/>
      <w:outlineLvl w:val="2"/>
    </w:pPr>
    <w:rPr>
      <w:kern w:val="20"/>
    </w:rPr>
  </w:style>
  <w:style w:type="paragraph" w:customStyle="1" w:styleId="TCLevel4">
    <w:name w:val="T+C Level 4"/>
    <w:basedOn w:val="Normal"/>
    <w:rsid w:val="00097071"/>
    <w:pPr>
      <w:numPr>
        <w:ilvl w:val="3"/>
        <w:numId w:val="35"/>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uiPriority w:val="99"/>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Footer">
    <w:name w:val="footer"/>
    <w:basedOn w:val="Normal"/>
    <w:link w:val="FooterChar"/>
    <w:uiPriority w:val="99"/>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link w:val="HeaderChar"/>
    <w:uiPriority w:val="99"/>
    <w:rsid w:val="00097071"/>
    <w:pPr>
      <w:tabs>
        <w:tab w:val="center" w:pos="4366"/>
        <w:tab w:val="right" w:pos="8732"/>
      </w:tabs>
    </w:pPr>
    <w:rPr>
      <w:kern w:val="20"/>
    </w:rPr>
  </w:style>
  <w:style w:type="paragraph" w:customStyle="1" w:styleId="Level7">
    <w:name w:val="Level 7"/>
    <w:basedOn w:val="Normal"/>
    <w:uiPriority w:val="99"/>
    <w:rsid w:val="00097071"/>
    <w:pPr>
      <w:numPr>
        <w:ilvl w:val="6"/>
        <w:numId w:val="24"/>
      </w:numPr>
      <w:spacing w:after="140" w:line="290" w:lineRule="auto"/>
      <w:jc w:val="both"/>
      <w:outlineLvl w:val="6"/>
    </w:pPr>
    <w:rPr>
      <w:kern w:val="20"/>
    </w:rPr>
  </w:style>
  <w:style w:type="paragraph" w:customStyle="1" w:styleId="Level8">
    <w:name w:val="Level 8"/>
    <w:basedOn w:val="Normal"/>
    <w:uiPriority w:val="99"/>
    <w:rsid w:val="00097071"/>
    <w:pPr>
      <w:numPr>
        <w:ilvl w:val="7"/>
        <w:numId w:val="24"/>
      </w:numPr>
      <w:spacing w:after="140" w:line="290" w:lineRule="auto"/>
      <w:jc w:val="both"/>
      <w:outlineLvl w:val="7"/>
    </w:pPr>
    <w:rPr>
      <w:kern w:val="20"/>
    </w:rPr>
  </w:style>
  <w:style w:type="paragraph" w:customStyle="1" w:styleId="Level9">
    <w:name w:val="Level 9"/>
    <w:basedOn w:val="Normal"/>
    <w:uiPriority w:val="99"/>
    <w:rsid w:val="00097071"/>
    <w:pPr>
      <w:numPr>
        <w:ilvl w:val="8"/>
        <w:numId w:val="24"/>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6"/>
      </w:numPr>
      <w:spacing w:before="60" w:after="60" w:line="290" w:lineRule="auto"/>
      <w:outlineLvl w:val="0"/>
    </w:pPr>
    <w:rPr>
      <w:kern w:val="20"/>
    </w:rPr>
  </w:style>
  <w:style w:type="paragraph" w:customStyle="1" w:styleId="Table2">
    <w:name w:val="Table 2"/>
    <w:basedOn w:val="Normal"/>
    <w:rsid w:val="00097071"/>
    <w:pPr>
      <w:numPr>
        <w:ilvl w:val="1"/>
        <w:numId w:val="36"/>
      </w:numPr>
      <w:spacing w:before="60" w:after="60" w:line="290" w:lineRule="auto"/>
      <w:outlineLvl w:val="1"/>
    </w:pPr>
    <w:rPr>
      <w:kern w:val="20"/>
    </w:rPr>
  </w:style>
  <w:style w:type="paragraph" w:customStyle="1" w:styleId="Table3">
    <w:name w:val="Table 3"/>
    <w:basedOn w:val="Normal"/>
    <w:rsid w:val="00097071"/>
    <w:pPr>
      <w:numPr>
        <w:ilvl w:val="2"/>
        <w:numId w:val="36"/>
      </w:numPr>
      <w:spacing w:before="60" w:after="60" w:line="290" w:lineRule="auto"/>
      <w:outlineLvl w:val="2"/>
    </w:pPr>
    <w:rPr>
      <w:kern w:val="20"/>
    </w:rPr>
  </w:style>
  <w:style w:type="paragraph" w:customStyle="1" w:styleId="Table4">
    <w:name w:val="Table 4"/>
    <w:basedOn w:val="Normal"/>
    <w:rsid w:val="00097071"/>
    <w:pPr>
      <w:numPr>
        <w:ilvl w:val="3"/>
        <w:numId w:val="36"/>
      </w:numPr>
      <w:spacing w:before="60" w:after="60" w:line="290" w:lineRule="auto"/>
      <w:outlineLvl w:val="3"/>
    </w:pPr>
    <w:rPr>
      <w:kern w:val="20"/>
    </w:rPr>
  </w:style>
  <w:style w:type="paragraph" w:customStyle="1" w:styleId="Table5">
    <w:name w:val="Table 5"/>
    <w:basedOn w:val="Normal"/>
    <w:rsid w:val="00097071"/>
    <w:pPr>
      <w:numPr>
        <w:ilvl w:val="4"/>
        <w:numId w:val="36"/>
      </w:numPr>
      <w:spacing w:before="60" w:after="60" w:line="290" w:lineRule="auto"/>
      <w:outlineLvl w:val="4"/>
    </w:pPr>
    <w:rPr>
      <w:kern w:val="20"/>
    </w:rPr>
  </w:style>
  <w:style w:type="paragraph" w:customStyle="1" w:styleId="Table6">
    <w:name w:val="Table 6"/>
    <w:basedOn w:val="Normal"/>
    <w:rsid w:val="00097071"/>
    <w:pPr>
      <w:numPr>
        <w:ilvl w:val="5"/>
        <w:numId w:val="36"/>
      </w:numPr>
      <w:spacing w:before="60" w:after="60" w:line="290" w:lineRule="auto"/>
      <w:outlineLvl w:val="5"/>
    </w:pPr>
    <w:rPr>
      <w:kern w:val="20"/>
    </w:rPr>
  </w:style>
  <w:style w:type="paragraph" w:customStyle="1" w:styleId="Tablealpha">
    <w:name w:val="Table alpha"/>
    <w:basedOn w:val="CellBody"/>
    <w:rsid w:val="00097071"/>
    <w:pPr>
      <w:numPr>
        <w:numId w:val="37"/>
      </w:numPr>
    </w:pPr>
  </w:style>
  <w:style w:type="paragraph" w:customStyle="1" w:styleId="Tablebullet">
    <w:name w:val="Table bullet"/>
    <w:basedOn w:val="Normal"/>
    <w:rsid w:val="00097071"/>
    <w:pPr>
      <w:numPr>
        <w:numId w:val="38"/>
      </w:numPr>
      <w:spacing w:before="60" w:after="60" w:line="290" w:lineRule="auto"/>
    </w:pPr>
    <w:rPr>
      <w:kern w:val="20"/>
    </w:rPr>
  </w:style>
  <w:style w:type="paragraph" w:customStyle="1" w:styleId="Tableroman">
    <w:name w:val="Table roman"/>
    <w:basedOn w:val="CellBody"/>
    <w:rsid w:val="00097071"/>
    <w:pPr>
      <w:numPr>
        <w:numId w:val="39"/>
      </w:numPr>
    </w:pPr>
  </w:style>
  <w:style w:type="paragraph" w:styleId="TOC2">
    <w:name w:val="toc 2"/>
    <w:basedOn w:val="Normal"/>
    <w:next w:val="Body"/>
    <w:rsid w:val="00097071"/>
    <w:pPr>
      <w:spacing w:before="280" w:after="140" w:line="290" w:lineRule="auto"/>
    </w:pPr>
    <w:rPr>
      <w:kern w:val="20"/>
    </w:rPr>
  </w:style>
  <w:style w:type="paragraph" w:styleId="TOC3">
    <w:name w:val="toc 3"/>
    <w:basedOn w:val="Normal"/>
    <w:next w:val="Body"/>
    <w:rsid w:val="00097071"/>
    <w:pPr>
      <w:spacing w:before="280" w:after="140" w:line="290" w:lineRule="auto"/>
      <w:ind w:left="680"/>
    </w:pPr>
    <w:rPr>
      <w:kern w:val="20"/>
    </w:rPr>
  </w:style>
  <w:style w:type="paragraph" w:styleId="TOC4">
    <w:name w:val="toc 4"/>
    <w:basedOn w:val="Normal"/>
    <w:next w:val="Body"/>
    <w:rsid w:val="00097071"/>
    <w:pPr>
      <w:spacing w:before="280" w:after="140" w:line="290" w:lineRule="auto"/>
      <w:ind w:left="680"/>
    </w:pPr>
    <w:rPr>
      <w:kern w:val="20"/>
    </w:rPr>
  </w:style>
  <w:style w:type="paragraph" w:styleId="TOC5">
    <w:name w:val="toc 5"/>
    <w:basedOn w:val="Normal"/>
    <w:next w:val="Body"/>
    <w:rsid w:val="00097071"/>
  </w:style>
  <w:style w:type="paragraph" w:styleId="TOC6">
    <w:name w:val="toc 6"/>
    <w:basedOn w:val="Normal"/>
    <w:next w:val="Body"/>
    <w:rsid w:val="00097071"/>
  </w:style>
  <w:style w:type="paragraph" w:styleId="TOC7">
    <w:name w:val="toc 7"/>
    <w:basedOn w:val="Normal"/>
    <w:next w:val="Body"/>
    <w:rsid w:val="00097071"/>
  </w:style>
  <w:style w:type="paragraph" w:styleId="TOC8">
    <w:name w:val="toc 8"/>
    <w:basedOn w:val="Normal"/>
    <w:next w:val="Body"/>
    <w:rsid w:val="00097071"/>
  </w:style>
  <w:style w:type="paragraph" w:styleId="TOC9">
    <w:name w:val="toc 9"/>
    <w:basedOn w:val="Normal"/>
    <w:next w:val="Body"/>
    <w:rsid w:val="00097071"/>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097071"/>
    <w:rPr>
      <w:szCs w:val="20"/>
    </w:rPr>
  </w:style>
  <w:style w:type="paragraph" w:customStyle="1" w:styleId="Head">
    <w:name w:val="Head"/>
    <w:basedOn w:val="Normal"/>
    <w:next w:val="Body"/>
    <w:uiPriority w:val="99"/>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uiPriority w:val="99"/>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uiPriority w:val="99"/>
    <w:rsid w:val="00097071"/>
    <w:pPr>
      <w:numPr>
        <w:numId w:val="40"/>
      </w:numPr>
      <w:spacing w:after="140" w:line="290" w:lineRule="auto"/>
      <w:jc w:val="both"/>
    </w:pPr>
    <w:rPr>
      <w:kern w:val="20"/>
    </w:rPr>
  </w:style>
  <w:style w:type="paragraph" w:customStyle="1" w:styleId="UCAlpha2">
    <w:name w:val="UCAlpha 2"/>
    <w:basedOn w:val="Normal"/>
    <w:rsid w:val="00097071"/>
    <w:pPr>
      <w:numPr>
        <w:numId w:val="41"/>
      </w:numPr>
      <w:spacing w:after="140" w:line="290" w:lineRule="auto"/>
      <w:jc w:val="both"/>
    </w:pPr>
    <w:rPr>
      <w:kern w:val="20"/>
    </w:rPr>
  </w:style>
  <w:style w:type="paragraph" w:customStyle="1" w:styleId="UCAlpha3">
    <w:name w:val="UCAlpha 3"/>
    <w:basedOn w:val="Normal"/>
    <w:rsid w:val="00097071"/>
    <w:pPr>
      <w:numPr>
        <w:numId w:val="42"/>
      </w:numPr>
      <w:spacing w:after="140" w:line="290" w:lineRule="auto"/>
      <w:jc w:val="both"/>
    </w:pPr>
    <w:rPr>
      <w:kern w:val="20"/>
    </w:rPr>
  </w:style>
  <w:style w:type="paragraph" w:customStyle="1" w:styleId="UCAlpha4">
    <w:name w:val="UCAlpha 4"/>
    <w:basedOn w:val="Normal"/>
    <w:rsid w:val="00097071"/>
    <w:pPr>
      <w:numPr>
        <w:numId w:val="43"/>
      </w:numPr>
      <w:spacing w:after="140" w:line="290" w:lineRule="auto"/>
      <w:jc w:val="both"/>
    </w:pPr>
    <w:rPr>
      <w:kern w:val="20"/>
    </w:rPr>
  </w:style>
  <w:style w:type="paragraph" w:customStyle="1" w:styleId="UCAlpha5">
    <w:name w:val="UCAlpha 5"/>
    <w:basedOn w:val="Normal"/>
    <w:uiPriority w:val="99"/>
    <w:rsid w:val="00097071"/>
    <w:pPr>
      <w:numPr>
        <w:numId w:val="44"/>
      </w:numPr>
      <w:spacing w:after="140" w:line="290" w:lineRule="auto"/>
      <w:jc w:val="both"/>
    </w:pPr>
    <w:rPr>
      <w:kern w:val="20"/>
    </w:rPr>
  </w:style>
  <w:style w:type="paragraph" w:customStyle="1" w:styleId="UCAlpha6">
    <w:name w:val="UCAlpha 6"/>
    <w:basedOn w:val="Normal"/>
    <w:rsid w:val="00097071"/>
    <w:pPr>
      <w:numPr>
        <w:numId w:val="45"/>
      </w:numPr>
      <w:spacing w:after="140" w:line="290" w:lineRule="auto"/>
      <w:jc w:val="both"/>
    </w:pPr>
    <w:rPr>
      <w:kern w:val="20"/>
    </w:rPr>
  </w:style>
  <w:style w:type="paragraph" w:customStyle="1" w:styleId="UCRoman1">
    <w:name w:val="UCRoman 1"/>
    <w:basedOn w:val="Normal"/>
    <w:uiPriority w:val="99"/>
    <w:rsid w:val="00097071"/>
    <w:pPr>
      <w:numPr>
        <w:numId w:val="46"/>
      </w:numPr>
      <w:spacing w:after="140" w:line="290" w:lineRule="auto"/>
      <w:jc w:val="both"/>
    </w:pPr>
    <w:rPr>
      <w:kern w:val="20"/>
    </w:rPr>
  </w:style>
  <w:style w:type="paragraph" w:customStyle="1" w:styleId="UCRoman2">
    <w:name w:val="UCRoman 2"/>
    <w:basedOn w:val="Normal"/>
    <w:rsid w:val="00097071"/>
    <w:pPr>
      <w:numPr>
        <w:numId w:val="47"/>
      </w:numPr>
      <w:spacing w:after="140" w:line="290" w:lineRule="auto"/>
      <w:jc w:val="both"/>
    </w:pPr>
    <w:rPr>
      <w:kern w:val="20"/>
    </w:rPr>
  </w:style>
  <w:style w:type="paragraph" w:customStyle="1" w:styleId="doublealpha">
    <w:name w:val="double alpha"/>
    <w:basedOn w:val="Normal"/>
    <w:rsid w:val="00097071"/>
    <w:pPr>
      <w:numPr>
        <w:numId w:val="23"/>
      </w:numPr>
      <w:spacing w:after="140" w:line="290" w:lineRule="auto"/>
      <w:jc w:val="both"/>
    </w:pPr>
    <w:rPr>
      <w:kern w:val="20"/>
    </w:rPr>
  </w:style>
  <w:style w:type="paragraph" w:customStyle="1" w:styleId="ListNumbers">
    <w:name w:val="List Numbers"/>
    <w:basedOn w:val="Normal"/>
    <w:rsid w:val="00097071"/>
    <w:pPr>
      <w:numPr>
        <w:numId w:val="25"/>
      </w:numPr>
      <w:spacing w:after="140" w:line="290" w:lineRule="auto"/>
      <w:jc w:val="both"/>
      <w:outlineLvl w:val="0"/>
    </w:pPr>
    <w:rPr>
      <w:kern w:val="20"/>
    </w:rPr>
  </w:style>
  <w:style w:type="paragraph" w:customStyle="1" w:styleId="dashbullet1">
    <w:name w:val="dash bullet 1"/>
    <w:basedOn w:val="Normal"/>
    <w:rsid w:val="00097071"/>
    <w:pPr>
      <w:numPr>
        <w:numId w:val="17"/>
      </w:numPr>
      <w:spacing w:after="140" w:line="290" w:lineRule="auto"/>
      <w:jc w:val="both"/>
    </w:pPr>
    <w:rPr>
      <w:kern w:val="20"/>
    </w:rPr>
  </w:style>
  <w:style w:type="paragraph" w:customStyle="1" w:styleId="dashbullet2">
    <w:name w:val="dash bullet 2"/>
    <w:basedOn w:val="Normal"/>
    <w:uiPriority w:val="99"/>
    <w:rsid w:val="00097071"/>
    <w:pPr>
      <w:numPr>
        <w:numId w:val="18"/>
      </w:numPr>
      <w:spacing w:after="140" w:line="290" w:lineRule="auto"/>
      <w:jc w:val="both"/>
    </w:pPr>
    <w:rPr>
      <w:kern w:val="20"/>
    </w:rPr>
  </w:style>
  <w:style w:type="paragraph" w:customStyle="1" w:styleId="dashbullet3">
    <w:name w:val="dash bullet 3"/>
    <w:basedOn w:val="Normal"/>
    <w:rsid w:val="00097071"/>
    <w:pPr>
      <w:numPr>
        <w:numId w:val="19"/>
      </w:numPr>
      <w:spacing w:after="140" w:line="290" w:lineRule="auto"/>
      <w:jc w:val="both"/>
    </w:pPr>
    <w:rPr>
      <w:kern w:val="20"/>
    </w:rPr>
  </w:style>
  <w:style w:type="paragraph" w:customStyle="1" w:styleId="dashbullet4">
    <w:name w:val="dash bullet 4"/>
    <w:basedOn w:val="Normal"/>
    <w:rsid w:val="00097071"/>
    <w:pPr>
      <w:numPr>
        <w:numId w:val="20"/>
      </w:numPr>
      <w:spacing w:after="140" w:line="290" w:lineRule="auto"/>
      <w:jc w:val="both"/>
    </w:pPr>
    <w:rPr>
      <w:kern w:val="20"/>
    </w:rPr>
  </w:style>
  <w:style w:type="paragraph" w:customStyle="1" w:styleId="dashbullet5">
    <w:name w:val="dash bullet 5"/>
    <w:basedOn w:val="Normal"/>
    <w:rsid w:val="00097071"/>
    <w:pPr>
      <w:numPr>
        <w:numId w:val="21"/>
      </w:numPr>
      <w:spacing w:after="140" w:line="290" w:lineRule="auto"/>
      <w:jc w:val="both"/>
    </w:pPr>
    <w:rPr>
      <w:kern w:val="20"/>
    </w:rPr>
  </w:style>
  <w:style w:type="paragraph" w:customStyle="1" w:styleId="dashbullet6">
    <w:name w:val="dash bullet 6"/>
    <w:basedOn w:val="Normal"/>
    <w:rsid w:val="00097071"/>
    <w:pPr>
      <w:numPr>
        <w:numId w:val="22"/>
      </w:numPr>
      <w:spacing w:after="140" w:line="290" w:lineRule="auto"/>
      <w:jc w:val="both"/>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pPr>
    <w:rPr>
      <w:kern w:val="16"/>
      <w:sz w:val="16"/>
    </w:rPr>
  </w:style>
  <w:style w:type="character" w:customStyle="1" w:styleId="zTokyoLogoCaption2">
    <w:name w:val="zTokyoLogoCaption2"/>
    <w:rsid w:val="00097071"/>
    <w:rPr>
      <w:rFonts w:ascii="MS Mincho" w:eastAsia="MS Mincho"/>
      <w:noProof/>
      <w:sz w:val="16"/>
    </w:rPr>
  </w:style>
  <w:style w:type="character" w:styleId="Emphasis">
    <w:name w:val="Emphasis"/>
    <w:basedOn w:val="DefaultParagraphFont"/>
    <w:uiPriority w:val="20"/>
    <w:qFormat/>
    <w:rsid w:val="00651CFA"/>
    <w:rPr>
      <w:i/>
      <w:iCs/>
    </w:rPr>
  </w:style>
  <w:style w:type="paragraph" w:customStyle="1" w:styleId="StyleArial8pt">
    <w:name w:val="Style Arial 8 pt"/>
    <w:link w:val="StyleArial8ptCharChar"/>
    <w:autoRedefine/>
    <w:rsid w:val="00651CFA"/>
    <w:pPr>
      <w:tabs>
        <w:tab w:val="left" w:pos="0"/>
      </w:tabs>
      <w:spacing w:line="220" w:lineRule="exact"/>
      <w:ind w:right="-43"/>
    </w:pPr>
    <w:rPr>
      <w:rFonts w:ascii="Arial" w:eastAsia="Arial Unicode MS" w:hAnsi="Arial" w:cs="Arial"/>
      <w:sz w:val="16"/>
      <w:szCs w:val="16"/>
      <w:lang w:eastAsia="zh-CN"/>
    </w:rPr>
  </w:style>
  <w:style w:type="character" w:customStyle="1" w:styleId="StyleArial8ptCharChar">
    <w:name w:val="Style Arial 8 pt Char Char"/>
    <w:basedOn w:val="DefaultParagraphFont"/>
    <w:link w:val="StyleArial8pt"/>
    <w:locked/>
    <w:rsid w:val="00651CFA"/>
    <w:rPr>
      <w:rFonts w:ascii="Arial" w:eastAsia="Arial Unicode MS" w:hAnsi="Arial" w:cs="Arial"/>
      <w:sz w:val="16"/>
      <w:szCs w:val="16"/>
      <w:lang w:eastAsia="zh-CN"/>
    </w:rPr>
  </w:style>
  <w:style w:type="character" w:customStyle="1" w:styleId="Heading3Char">
    <w:name w:val="Heading 3 Char"/>
    <w:basedOn w:val="DefaultParagraphFont"/>
    <w:link w:val="Heading3"/>
    <w:locked/>
    <w:rsid w:val="00651CFA"/>
    <w:rPr>
      <w:rFonts w:ascii="Arial" w:hAnsi="Arial" w:cs="Arial"/>
      <w:bCs/>
      <w:szCs w:val="26"/>
    </w:rPr>
  </w:style>
  <w:style w:type="character" w:customStyle="1" w:styleId="Char4">
    <w:name w:val="Char4"/>
    <w:basedOn w:val="DefaultParagraphFont"/>
    <w:locked/>
    <w:rsid w:val="00651CFA"/>
    <w:rPr>
      <w:rFonts w:ascii="Arial" w:eastAsia="SimSun" w:hAnsi="Arial" w:cs="Arial"/>
      <w:noProof/>
      <w:color w:val="003366"/>
      <w:sz w:val="26"/>
      <w:szCs w:val="26"/>
      <w:lang w:val="en-GB" w:eastAsia="en-GB" w:bidi="ar-SA"/>
    </w:rPr>
  </w:style>
  <w:style w:type="paragraph" w:customStyle="1" w:styleId="kc">
    <w:name w:val="kc"/>
    <w:basedOn w:val="Normal"/>
    <w:rsid w:val="00651CFA"/>
    <w:pPr>
      <w:spacing w:before="100" w:beforeAutospacing="1" w:after="100" w:afterAutospacing="1"/>
    </w:pPr>
    <w:rPr>
      <w:lang w:val="en-US" w:eastAsia="zh-CN"/>
    </w:rPr>
  </w:style>
  <w:style w:type="character" w:customStyle="1" w:styleId="ch">
    <w:name w:val="ch"/>
    <w:basedOn w:val="DefaultParagraphFont"/>
    <w:rsid w:val="00651CFA"/>
  </w:style>
  <w:style w:type="paragraph" w:customStyle="1" w:styleId="kd">
    <w:name w:val="kd"/>
    <w:basedOn w:val="Normal"/>
    <w:rsid w:val="00651CFA"/>
    <w:pPr>
      <w:spacing w:before="100" w:beforeAutospacing="1" w:after="100" w:afterAutospacing="1"/>
    </w:pPr>
    <w:rPr>
      <w:lang w:val="en-US" w:eastAsia="zh-CN"/>
    </w:rPr>
  </w:style>
  <w:style w:type="character" w:customStyle="1" w:styleId="iq">
    <w:name w:val="iq"/>
    <w:basedOn w:val="DefaultParagraphFont"/>
    <w:rsid w:val="00651CFA"/>
  </w:style>
  <w:style w:type="paragraph" w:customStyle="1" w:styleId="jj">
    <w:name w:val="jj"/>
    <w:basedOn w:val="Normal"/>
    <w:rsid w:val="00651CFA"/>
    <w:pPr>
      <w:spacing w:before="100" w:beforeAutospacing="1" w:after="100" w:afterAutospacing="1"/>
    </w:pPr>
    <w:rPr>
      <w:lang w:val="en-US" w:eastAsia="zh-CN"/>
    </w:rPr>
  </w:style>
  <w:style w:type="character" w:customStyle="1" w:styleId="cd">
    <w:name w:val="cd"/>
    <w:basedOn w:val="DefaultParagraphFont"/>
    <w:rsid w:val="00651CFA"/>
  </w:style>
  <w:style w:type="paragraph" w:customStyle="1" w:styleId="a">
    <w:name w:val="a"/>
    <w:basedOn w:val="Normal"/>
    <w:rsid w:val="00651CFA"/>
    <w:pPr>
      <w:spacing w:before="100" w:beforeAutospacing="1" w:after="100" w:afterAutospacing="1"/>
    </w:pPr>
    <w:rPr>
      <w:lang w:val="en-US" w:eastAsia="zh-CN"/>
    </w:rPr>
  </w:style>
  <w:style w:type="character" w:customStyle="1" w:styleId="ip">
    <w:name w:val="ip"/>
    <w:basedOn w:val="DefaultParagraphFont"/>
    <w:rsid w:val="00651CFA"/>
  </w:style>
  <w:style w:type="character" w:customStyle="1" w:styleId="st1">
    <w:name w:val="st1"/>
    <w:basedOn w:val="DefaultParagraphFont"/>
    <w:rsid w:val="004027EE"/>
  </w:style>
  <w:style w:type="paragraph" w:customStyle="1" w:styleId="Default">
    <w:name w:val="Default"/>
    <w:rsid w:val="004027EE"/>
    <w:pPr>
      <w:autoSpaceDE w:val="0"/>
      <w:autoSpaceDN w:val="0"/>
      <w:adjustRightInd w:val="0"/>
    </w:pPr>
    <w:rPr>
      <w:rFonts w:ascii="Arial" w:hAnsi="Arial" w:cs="Arial"/>
      <w:color w:val="000000"/>
      <w:sz w:val="24"/>
      <w:szCs w:val="24"/>
      <w:lang w:bidi="hi-IN"/>
    </w:rPr>
  </w:style>
  <w:style w:type="character" w:customStyle="1" w:styleId="Body1Char">
    <w:name w:val="Body 1 Char"/>
    <w:link w:val="Body1"/>
    <w:rsid w:val="00BA5173"/>
    <w:rPr>
      <w:rFonts w:eastAsia="MS Mincho"/>
      <w:kern w:val="20"/>
      <w:sz w:val="24"/>
      <w:szCs w:val="24"/>
      <w:lang w:eastAsia="ja-JP"/>
    </w:rPr>
  </w:style>
  <w:style w:type="character" w:styleId="Strong">
    <w:name w:val="Strong"/>
    <w:uiPriority w:val="22"/>
    <w:qFormat/>
    <w:rsid w:val="00867641"/>
    <w:rPr>
      <w:b/>
      <w:bCs/>
    </w:rPr>
  </w:style>
  <w:style w:type="table" w:styleId="TableGrid">
    <w:name w:val="Table Grid"/>
    <w:basedOn w:val="TableNormal"/>
    <w:rsid w:val="00867641"/>
    <w:rPr>
      <w:rFonts w:eastAsia="MS Mincho"/>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Char">
    <w:name w:val="Body Char"/>
    <w:link w:val="Body"/>
    <w:uiPriority w:val="99"/>
    <w:locked/>
    <w:rsid w:val="00D96D32"/>
    <w:rPr>
      <w:rFonts w:eastAsia="MS Mincho"/>
      <w:kern w:val="20"/>
      <w:sz w:val="24"/>
      <w:szCs w:val="24"/>
      <w:lang w:eastAsia="ja-JP"/>
    </w:rPr>
  </w:style>
  <w:style w:type="character" w:customStyle="1" w:styleId="SubHeadChar">
    <w:name w:val="SubHead Char"/>
    <w:link w:val="SubHead"/>
    <w:uiPriority w:val="99"/>
    <w:locked/>
    <w:rsid w:val="00D96D32"/>
    <w:rPr>
      <w:rFonts w:eastAsia="MS Mincho"/>
      <w:b/>
      <w:kern w:val="21"/>
      <w:sz w:val="21"/>
      <w:szCs w:val="24"/>
      <w:lang w:eastAsia="ja-JP"/>
    </w:rPr>
  </w:style>
  <w:style w:type="character" w:customStyle="1" w:styleId="FooterChar">
    <w:name w:val="Footer Char"/>
    <w:basedOn w:val="DefaultParagraphFont"/>
    <w:link w:val="Footer"/>
    <w:uiPriority w:val="99"/>
    <w:locked/>
    <w:rsid w:val="00D96D32"/>
    <w:rPr>
      <w:rFonts w:eastAsia="MS Mincho"/>
      <w:kern w:val="16"/>
      <w:sz w:val="16"/>
      <w:szCs w:val="24"/>
      <w:lang w:eastAsia="ja-JP"/>
    </w:rPr>
  </w:style>
  <w:style w:type="character" w:customStyle="1" w:styleId="HeaderChar">
    <w:name w:val="Header Char"/>
    <w:basedOn w:val="DefaultParagraphFont"/>
    <w:link w:val="Header"/>
    <w:uiPriority w:val="99"/>
    <w:locked/>
    <w:rsid w:val="00D96D32"/>
    <w:rPr>
      <w:rFonts w:eastAsia="MS Mincho"/>
      <w:kern w:val="20"/>
      <w:sz w:val="24"/>
      <w:szCs w:val="24"/>
      <w:lang w:eastAsia="ja-JP"/>
    </w:rPr>
  </w:style>
  <w:style w:type="paragraph" w:customStyle="1" w:styleId="Cell-Headitalic">
    <w:name w:val="Cell-Headitalic"/>
    <w:basedOn w:val="CellHead"/>
    <w:uiPriority w:val="99"/>
    <w:rsid w:val="00D96D32"/>
    <w:pPr>
      <w:spacing w:before="40" w:after="120" w:line="290" w:lineRule="auto"/>
      <w:jc w:val="center"/>
    </w:pPr>
    <w:rPr>
      <w:rFonts w:ascii="Arial" w:eastAsia="Times New Roman" w:hAnsi="Arial" w:cs="Arial"/>
      <w:b w:val="0"/>
      <w:i/>
      <w:sz w:val="19"/>
      <w:szCs w:val="20"/>
      <w:lang w:eastAsia="en-US"/>
    </w:rPr>
  </w:style>
  <w:style w:type="paragraph" w:customStyle="1" w:styleId="CellRowSpacer">
    <w:name w:val="CellRowSpacer"/>
    <w:basedOn w:val="Normal"/>
    <w:uiPriority w:val="99"/>
    <w:rsid w:val="00D96D32"/>
    <w:pPr>
      <w:spacing w:before="40" w:after="40" w:line="290" w:lineRule="auto"/>
    </w:pPr>
    <w:rPr>
      <w:rFonts w:ascii="Arial" w:eastAsia="Times New Roman" w:hAnsi="Arial" w:cs="Arial"/>
      <w:kern w:val="20"/>
      <w:sz w:val="19"/>
      <w:szCs w:val="20"/>
      <w:lang w:eastAsia="en-US"/>
    </w:rPr>
  </w:style>
  <w:style w:type="paragraph" w:customStyle="1" w:styleId="Note">
    <w:name w:val="Note"/>
    <w:basedOn w:val="Normal"/>
    <w:uiPriority w:val="99"/>
    <w:rsid w:val="00D96D32"/>
    <w:pPr>
      <w:numPr>
        <w:numId w:val="50"/>
      </w:numPr>
      <w:spacing w:before="40" w:after="40" w:line="290" w:lineRule="auto"/>
      <w:jc w:val="both"/>
    </w:pPr>
    <w:rPr>
      <w:rFonts w:ascii="Arial" w:eastAsia="Times New Roman" w:hAnsi="Arial" w:cs="Arial"/>
      <w:kern w:val="20"/>
      <w:sz w:val="17"/>
      <w:szCs w:val="20"/>
      <w:lang w:eastAsia="en-US"/>
    </w:rPr>
  </w:style>
  <w:style w:type="character" w:customStyle="1" w:styleId="Level1Char">
    <w:name w:val="Level 1 Char"/>
    <w:link w:val="Level1"/>
    <w:uiPriority w:val="99"/>
    <w:locked/>
    <w:rsid w:val="00D96D32"/>
    <w:rPr>
      <w:rFonts w:eastAsia="MS Mincho"/>
      <w:b/>
      <w:bCs/>
      <w:kern w:val="20"/>
      <w:sz w:val="22"/>
      <w:szCs w:val="32"/>
      <w:lang w:eastAsia="ja-JP"/>
    </w:rPr>
  </w:style>
  <w:style w:type="paragraph" w:customStyle="1" w:styleId="NoteBody">
    <w:name w:val="NoteBody"/>
    <w:basedOn w:val="Body"/>
    <w:uiPriority w:val="99"/>
    <w:rsid w:val="00D96D32"/>
    <w:pPr>
      <w:spacing w:before="40" w:after="40"/>
    </w:pPr>
    <w:rPr>
      <w:rFonts w:eastAsia="Times New Roman"/>
      <w:sz w:val="18"/>
      <w:szCs w:val="20"/>
      <w:lang w:eastAsia="en-US"/>
    </w:rPr>
  </w:style>
  <w:style w:type="paragraph" w:customStyle="1" w:styleId="StyleArial75pt">
    <w:name w:val="Style Arial 7.5 pt"/>
    <w:link w:val="StyleArial75ptChar"/>
    <w:autoRedefine/>
    <w:uiPriority w:val="99"/>
    <w:rsid w:val="00D96D32"/>
    <w:pPr>
      <w:spacing w:line="180" w:lineRule="exact"/>
    </w:pPr>
    <w:rPr>
      <w:rFonts w:ascii="Arial" w:eastAsia="SimSun" w:hAnsi="Arial"/>
      <w:sz w:val="16"/>
      <w:szCs w:val="16"/>
      <w:lang w:eastAsia="ja-JP"/>
    </w:rPr>
  </w:style>
  <w:style w:type="character" w:customStyle="1" w:styleId="StyleArial75ptChar">
    <w:name w:val="Style Arial 7.5 pt Char"/>
    <w:basedOn w:val="DefaultParagraphFont"/>
    <w:link w:val="StyleArial75pt"/>
    <w:uiPriority w:val="99"/>
    <w:locked/>
    <w:rsid w:val="00D96D32"/>
    <w:rPr>
      <w:rFonts w:ascii="Arial" w:eastAsia="SimSun" w:hAnsi="Arial"/>
      <w:sz w:val="16"/>
      <w:szCs w:val="16"/>
      <w:lang w:eastAsia="ja-JP"/>
    </w:rPr>
  </w:style>
  <w:style w:type="paragraph" w:customStyle="1" w:styleId="Tablecontentsblackright">
    <w:name w:val="Table contents black right"/>
    <w:autoRedefine/>
    <w:uiPriority w:val="99"/>
    <w:rsid w:val="00D96D32"/>
    <w:pPr>
      <w:jc w:val="right"/>
    </w:pPr>
    <w:rPr>
      <w:rFonts w:ascii="Arial" w:eastAsia="SimSun" w:hAnsi="Arial"/>
      <w:sz w:val="16"/>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15390">
      <w:bodyDiv w:val="1"/>
      <w:marLeft w:val="0"/>
      <w:marRight w:val="0"/>
      <w:marTop w:val="0"/>
      <w:marBottom w:val="0"/>
      <w:divBdr>
        <w:top w:val="none" w:sz="0" w:space="0" w:color="auto"/>
        <w:left w:val="none" w:sz="0" w:space="0" w:color="auto"/>
        <w:bottom w:val="none" w:sz="0" w:space="0" w:color="auto"/>
        <w:right w:val="none" w:sz="0" w:space="0" w:color="auto"/>
      </w:divBdr>
    </w:div>
    <w:div w:id="1020854312">
      <w:bodyDiv w:val="1"/>
      <w:marLeft w:val="0"/>
      <w:marRight w:val="0"/>
      <w:marTop w:val="0"/>
      <w:marBottom w:val="0"/>
      <w:divBdr>
        <w:top w:val="none" w:sz="0" w:space="0" w:color="auto"/>
        <w:left w:val="none" w:sz="0" w:space="0" w:color="auto"/>
        <w:bottom w:val="none" w:sz="0" w:space="0" w:color="auto"/>
        <w:right w:val="none" w:sz="0" w:space="0" w:color="auto"/>
      </w:divBdr>
    </w:div>
    <w:div w:id="1335180419">
      <w:bodyDiv w:val="1"/>
      <w:marLeft w:val="0"/>
      <w:marRight w:val="0"/>
      <w:marTop w:val="0"/>
      <w:marBottom w:val="0"/>
      <w:divBdr>
        <w:top w:val="none" w:sz="0" w:space="0" w:color="auto"/>
        <w:left w:val="none" w:sz="0" w:space="0" w:color="auto"/>
        <w:bottom w:val="none" w:sz="0" w:space="0" w:color="auto"/>
        <w:right w:val="none" w:sz="0" w:space="0" w:color="auto"/>
      </w:divBdr>
    </w:div>
    <w:div w:id="179163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http://www.investors.rbs.com/RBS_NV" TargetMode="External"/><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F1B71-DA78-4A2D-B0FE-C4298527E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HouseStyle.dotx</Template>
  <TotalTime>0</TotalTime>
  <Pages>3</Pages>
  <Words>3765</Words>
  <Characters>19945</Characters>
  <Application>Microsoft Office Word</Application>
  <DocSecurity>0</DocSecurity>
  <Lines>686</Lines>
  <Paragraphs>228</Paragraphs>
  <ScaleCrop>false</ScaleCrop>
  <HeadingPairs>
    <vt:vector size="2" baseType="variant">
      <vt:variant>
        <vt:lpstr>Title</vt:lpstr>
      </vt:variant>
      <vt:variant>
        <vt:i4>1</vt:i4>
      </vt:variant>
    </vt:vector>
  </HeadingPairs>
  <TitlesOfParts>
    <vt:vector size="1" baseType="lpstr">
      <vt:lpstr>HouseStyle</vt:lpstr>
    </vt:vector>
  </TitlesOfParts>
  <Company/>
  <LinksUpToDate>false</LinksUpToDate>
  <CharactersWithSpaces>23688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Any Authorised User</cp:lastModifiedBy>
  <cp:revision>169</cp:revision>
  <cp:lastPrinted>2012-03-23T22:13:00Z</cp:lastPrinted>
  <dcterms:created xsi:type="dcterms:W3CDTF">2012-01-11T15:57:00Z</dcterms:created>
  <dcterms:modified xsi:type="dcterms:W3CDTF">2012-03-25T13:22:00Z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R.160</vt:lpwstr>
  </property>
  <property fmtid="{D5CDD505-2E9C-101B-9397-08002B2CF9AE}" pid="3" name="CoverPage">
    <vt:lpwstr>No</vt:lpwstr>
  </property>
  <property fmtid="{D5CDD505-2E9C-101B-9397-08002B2CF9AE}" pid="4" name="Language">
    <vt:lpwstr>English (U.K.)</vt:lpwstr>
  </property>
  <property fmtid="{D5CDD505-2E9C-101B-9397-08002B2CF9AE}" pid="5" name="PaperSize">
    <vt:lpwstr>A4</vt:lpwstr>
  </property>
  <property fmtid="{D5CDD505-2E9C-101B-9397-08002B2CF9AE}" pid="6" name="Landscape">
    <vt:lpwstr/>
  </property>
  <property fmtid="{D5CDD505-2E9C-101B-9397-08002B2CF9AE}" pid="7" name="HouseStyle">
    <vt:lpwstr>2</vt:lpwstr>
  </property>
  <property fmtid="{D5CDD505-2E9C-101B-9397-08002B2CF9AE}" pid="8" name="HSChanged">
    <vt:lpwstr>No</vt:lpwstr>
  </property>
  <property fmtid="{D5CDD505-2E9C-101B-9397-08002B2CF9AE}" pid="9" name="HeadPara">
    <vt:i4>1</vt:i4>
  </property>
  <property fmtid="{D5CDD505-2E9C-101B-9397-08002B2CF9AE}" pid="10" name="TOCInsert">
    <vt:lpwstr>Yes</vt:lpwstr>
  </property>
  <property fmtid="{D5CDD505-2E9C-101B-9397-08002B2CF9AE}" pid="11" name="TOCString">
    <vt:lpwstr/>
  </property>
  <property fmtid="{D5CDD505-2E9C-101B-9397-08002B2CF9AE}" pid="12" name="TOCBold">
    <vt:lpwstr>Yes</vt:lpwstr>
  </property>
  <property fmtid="{D5CDD505-2E9C-101B-9397-08002B2CF9AE}" pid="13" name="Chinese">
    <vt:lpwstr>No</vt:lpwstr>
  </property>
  <property fmtid="{D5CDD505-2E9C-101B-9397-08002B2CF9AE}" pid="14" name="Lineleader">
    <vt:lpwstr>No</vt:lpwstr>
  </property>
  <property fmtid="{D5CDD505-2E9C-101B-9397-08002B2CF9AE}" pid="15" name="ObjectID">
    <vt:lpwstr>09001dc889fa3ac7</vt:lpwstr>
  </property>
  <property fmtid="{D5CDD505-2E9C-101B-9397-08002B2CF9AE}" pid="16" name="Document Number">
    <vt:lpwstr>A14451021</vt:lpwstr>
  </property>
  <property fmtid="{D5CDD505-2E9C-101B-9397-08002B2CF9AE}" pid="17" name="Version">
    <vt:lpwstr>14.0</vt:lpwstr>
  </property>
  <property fmtid="{D5CDD505-2E9C-101B-9397-08002B2CF9AE}" pid="18" name="Last Modified">
    <vt:lpwstr>25 Mar 2012</vt:lpwstr>
  </property>
  <property fmtid="{D5CDD505-2E9C-101B-9397-08002B2CF9AE}" pid="19" name="Matter Number">
    <vt:lpwstr>L-179775</vt:lpwstr>
  </property>
  <property fmtid="{D5CDD505-2E9C-101B-9397-08002B2CF9AE}" pid="20" name="Client Code">
    <vt:lpwstr>10011696</vt:lpwstr>
  </property>
  <property fmtid="{D5CDD505-2E9C-101B-9397-08002B2CF9AE}" pid="21" name="Mode">
    <vt:lpwstr>SendAs</vt:lpwstr>
  </property>
  <property fmtid="{D5CDD505-2E9C-101B-9397-08002B2CF9AE}" pid="22" name="DEDocumentLocation">
    <vt:lpwstr>H:\Documentum\__Viewed\09001dc889fa3ac7\Unicorn_RNS 2_Expected Dutch Scheme.docx</vt:lpwstr>
  </property>
</Properties>
</file>