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A8" w:rsidRPr="004869C9" w:rsidRDefault="00276AA8" w:rsidP="002A277F">
      <w:pPr>
        <w:rPr>
          <w:rFonts w:ascii="Arial" w:hAnsi="Arial" w:cs="Arial"/>
          <w:sz w:val="20"/>
          <w:szCs w:val="20"/>
        </w:rPr>
      </w:pPr>
      <w:r w:rsidRPr="004869C9">
        <w:rPr>
          <w:rFonts w:ascii="Arial" w:hAnsi="Arial" w:cs="Arial"/>
          <w:sz w:val="20"/>
          <w:szCs w:val="20"/>
        </w:rPr>
        <w:t>16 December 2013</w:t>
      </w:r>
    </w:p>
    <w:p w:rsidR="00276AA8" w:rsidRPr="004869C9" w:rsidRDefault="00276AA8" w:rsidP="002A277F">
      <w:pPr>
        <w:jc w:val="center"/>
        <w:rPr>
          <w:rFonts w:ascii="Arial" w:hAnsi="Arial" w:cs="Arial"/>
          <w:b/>
          <w:sz w:val="20"/>
          <w:szCs w:val="20"/>
        </w:rPr>
      </w:pPr>
      <w:r>
        <w:rPr>
          <w:rFonts w:ascii="Arial" w:hAnsi="Arial" w:cs="Arial"/>
          <w:b/>
          <w:sz w:val="20"/>
          <w:szCs w:val="20"/>
        </w:rPr>
        <w:t>RBS announces c</w:t>
      </w:r>
      <w:r w:rsidRPr="004869C9">
        <w:rPr>
          <w:rFonts w:ascii="Arial" w:hAnsi="Arial" w:cs="Arial"/>
          <w:b/>
          <w:sz w:val="20"/>
          <w:szCs w:val="20"/>
        </w:rPr>
        <w:t xml:space="preserve">ancellation of Contingent Capital Facility </w:t>
      </w:r>
      <w:r>
        <w:rPr>
          <w:rFonts w:ascii="Arial" w:hAnsi="Arial" w:cs="Arial"/>
          <w:b/>
          <w:sz w:val="20"/>
          <w:szCs w:val="20"/>
        </w:rPr>
        <w:t>with HMT</w:t>
      </w:r>
    </w:p>
    <w:p w:rsidR="00276AA8" w:rsidRPr="004869C9" w:rsidRDefault="00276AA8" w:rsidP="002A277F">
      <w:pPr>
        <w:rPr>
          <w:rFonts w:ascii="Arial" w:hAnsi="Arial" w:cs="Arial"/>
          <w:sz w:val="20"/>
          <w:szCs w:val="20"/>
        </w:rPr>
      </w:pPr>
      <w:r w:rsidRPr="004869C9">
        <w:rPr>
          <w:rFonts w:ascii="Arial" w:hAnsi="Arial" w:cs="Arial"/>
          <w:sz w:val="20"/>
          <w:szCs w:val="20"/>
        </w:rPr>
        <w:t>The Royal Bank of Scotland Group plc (RBS or the Group) is pleased to announce that, having received approval from the Prudential Regulatory Authority, it has terminated its £8 billion Contingent Capital Facility (CCF) with Her Majesty’s Treasury (HMT) with effect from 16 December 2013. The Group has been able to cancel the CCF in light of the recent actions announced to further strengthen its capital position.</w:t>
      </w:r>
    </w:p>
    <w:p w:rsidR="00276AA8" w:rsidRPr="004869C9" w:rsidRDefault="00276AA8" w:rsidP="002A277F">
      <w:pPr>
        <w:rPr>
          <w:rFonts w:ascii="Arial" w:hAnsi="Arial" w:cs="Arial"/>
          <w:sz w:val="20"/>
          <w:szCs w:val="20"/>
        </w:rPr>
      </w:pPr>
      <w:r w:rsidRPr="004869C9">
        <w:rPr>
          <w:rFonts w:ascii="Arial" w:hAnsi="Arial" w:cs="Arial"/>
          <w:sz w:val="20"/>
          <w:szCs w:val="20"/>
        </w:rPr>
        <w:t>On entering into the CCF in 2009, RBS recognised the present value of the annual fees payable under the agreement (£1,208 million) as a liability and debited a contingent capital reserve within equity.  Following termination of the CCF, the outstanding final annual fee of £320</w:t>
      </w:r>
      <w:r>
        <w:rPr>
          <w:rFonts w:ascii="Arial" w:hAnsi="Arial" w:cs="Arial"/>
          <w:sz w:val="20"/>
          <w:szCs w:val="20"/>
        </w:rPr>
        <w:t xml:space="preserve"> </w:t>
      </w:r>
      <w:r w:rsidRPr="004869C9">
        <w:rPr>
          <w:rFonts w:ascii="Arial" w:hAnsi="Arial" w:cs="Arial"/>
          <w:sz w:val="20"/>
          <w:szCs w:val="20"/>
        </w:rPr>
        <w:t>m</w:t>
      </w:r>
      <w:r>
        <w:rPr>
          <w:rFonts w:ascii="Arial" w:hAnsi="Arial" w:cs="Arial"/>
          <w:sz w:val="20"/>
          <w:szCs w:val="20"/>
        </w:rPr>
        <w:t>illion</w:t>
      </w:r>
      <w:r w:rsidRPr="004869C9">
        <w:rPr>
          <w:rFonts w:ascii="Arial" w:hAnsi="Arial" w:cs="Arial"/>
          <w:sz w:val="20"/>
          <w:szCs w:val="20"/>
        </w:rPr>
        <w:t xml:space="preserve"> is no longer payable. The balance sheet liability for this fee will be extinguished with a corresponding </w:t>
      </w:r>
      <w:r>
        <w:rPr>
          <w:rFonts w:ascii="Arial" w:hAnsi="Arial" w:cs="Arial"/>
          <w:sz w:val="20"/>
          <w:szCs w:val="20"/>
        </w:rPr>
        <w:t>entry</w:t>
      </w:r>
      <w:r w:rsidRPr="004869C9">
        <w:rPr>
          <w:rFonts w:ascii="Arial" w:hAnsi="Arial" w:cs="Arial"/>
          <w:sz w:val="20"/>
          <w:szCs w:val="20"/>
        </w:rPr>
        <w:t xml:space="preserve"> to equity.</w:t>
      </w:r>
    </w:p>
    <w:p w:rsidR="00276AA8" w:rsidRPr="004869C9" w:rsidRDefault="00276AA8" w:rsidP="002A277F">
      <w:pPr>
        <w:rPr>
          <w:rFonts w:ascii="Arial" w:hAnsi="Arial" w:cs="Arial"/>
          <w:sz w:val="20"/>
          <w:szCs w:val="20"/>
        </w:rPr>
      </w:pPr>
      <w:r w:rsidRPr="004869C9">
        <w:rPr>
          <w:rFonts w:ascii="Arial" w:hAnsi="Arial" w:cs="Arial"/>
          <w:sz w:val="20"/>
          <w:szCs w:val="20"/>
        </w:rPr>
        <w:t>For further information</w:t>
      </w:r>
    </w:p>
    <w:tbl>
      <w:tblPr>
        <w:tblW w:w="0" w:type="auto"/>
        <w:tblLook w:val="00A0"/>
      </w:tblPr>
      <w:tblGrid>
        <w:gridCol w:w="4621"/>
        <w:gridCol w:w="4621"/>
      </w:tblGrid>
      <w:tr w:rsidR="00276AA8" w:rsidRPr="007B570A" w:rsidTr="007B570A">
        <w:tc>
          <w:tcPr>
            <w:tcW w:w="4621" w:type="dxa"/>
          </w:tcPr>
          <w:p w:rsidR="00276AA8" w:rsidRPr="007B570A" w:rsidRDefault="00276AA8" w:rsidP="007B570A">
            <w:pPr>
              <w:spacing w:after="0" w:line="360" w:lineRule="auto"/>
              <w:rPr>
                <w:rFonts w:ascii="Arial" w:hAnsi="Arial" w:cs="Arial"/>
                <w:b/>
                <w:sz w:val="20"/>
                <w:szCs w:val="20"/>
              </w:rPr>
            </w:pPr>
            <w:r w:rsidRPr="007B570A">
              <w:rPr>
                <w:rFonts w:ascii="Arial" w:hAnsi="Arial" w:cs="Arial"/>
                <w:b/>
                <w:sz w:val="20"/>
                <w:szCs w:val="20"/>
              </w:rPr>
              <w:t>Investors</w:t>
            </w:r>
          </w:p>
          <w:p w:rsidR="00276AA8" w:rsidRPr="007B570A" w:rsidRDefault="00276AA8" w:rsidP="007B570A">
            <w:pPr>
              <w:spacing w:after="0" w:line="360" w:lineRule="auto"/>
              <w:rPr>
                <w:rFonts w:ascii="Arial" w:hAnsi="Arial" w:cs="Arial"/>
                <w:sz w:val="20"/>
                <w:szCs w:val="20"/>
              </w:rPr>
            </w:pPr>
            <w:r w:rsidRPr="007B570A">
              <w:rPr>
                <w:rFonts w:ascii="Arial" w:hAnsi="Arial" w:cs="Arial"/>
                <w:sz w:val="20"/>
                <w:szCs w:val="20"/>
              </w:rPr>
              <w:t>Richard O'Connor</w:t>
            </w:r>
          </w:p>
          <w:p w:rsidR="00276AA8" w:rsidRPr="007B570A" w:rsidRDefault="00276AA8" w:rsidP="007B570A">
            <w:pPr>
              <w:spacing w:after="0" w:line="360" w:lineRule="auto"/>
              <w:rPr>
                <w:rFonts w:ascii="Arial" w:hAnsi="Arial" w:cs="Arial"/>
                <w:sz w:val="20"/>
                <w:szCs w:val="20"/>
              </w:rPr>
            </w:pPr>
            <w:r w:rsidRPr="007B570A">
              <w:rPr>
                <w:rFonts w:ascii="Arial" w:hAnsi="Arial" w:cs="Arial"/>
                <w:sz w:val="20"/>
                <w:szCs w:val="20"/>
              </w:rPr>
              <w:t xml:space="preserve">Head of Investor Relations  </w:t>
            </w:r>
          </w:p>
          <w:p w:rsidR="00276AA8" w:rsidRPr="007B570A" w:rsidRDefault="00276AA8" w:rsidP="007B570A">
            <w:pPr>
              <w:spacing w:after="0" w:line="360" w:lineRule="auto"/>
              <w:rPr>
                <w:rFonts w:ascii="Arial" w:hAnsi="Arial" w:cs="Arial"/>
                <w:sz w:val="20"/>
                <w:szCs w:val="20"/>
              </w:rPr>
            </w:pPr>
            <w:r w:rsidRPr="007B570A">
              <w:rPr>
                <w:rFonts w:ascii="Arial" w:hAnsi="Arial" w:cs="Arial"/>
                <w:sz w:val="20"/>
                <w:szCs w:val="20"/>
              </w:rPr>
              <w:t>+44 (0) 207 672 1758</w:t>
            </w:r>
          </w:p>
          <w:p w:rsidR="00276AA8" w:rsidRPr="007B570A" w:rsidRDefault="00276AA8" w:rsidP="007B570A">
            <w:pPr>
              <w:spacing w:after="0" w:line="360" w:lineRule="auto"/>
              <w:rPr>
                <w:rFonts w:ascii="Arial" w:hAnsi="Arial" w:cs="Arial"/>
                <w:sz w:val="20"/>
                <w:szCs w:val="20"/>
              </w:rPr>
            </w:pPr>
          </w:p>
        </w:tc>
        <w:tc>
          <w:tcPr>
            <w:tcW w:w="4621" w:type="dxa"/>
          </w:tcPr>
          <w:p w:rsidR="00276AA8" w:rsidRPr="007B570A" w:rsidRDefault="00276AA8" w:rsidP="007B570A">
            <w:pPr>
              <w:spacing w:after="0" w:line="360" w:lineRule="auto"/>
              <w:rPr>
                <w:rFonts w:ascii="Arial" w:hAnsi="Arial" w:cs="Arial"/>
                <w:b/>
                <w:sz w:val="20"/>
                <w:szCs w:val="20"/>
              </w:rPr>
            </w:pPr>
            <w:r w:rsidRPr="007B570A">
              <w:rPr>
                <w:rFonts w:ascii="Arial" w:hAnsi="Arial" w:cs="Arial"/>
                <w:b/>
                <w:sz w:val="20"/>
                <w:szCs w:val="20"/>
              </w:rPr>
              <w:t>Media</w:t>
            </w:r>
          </w:p>
          <w:p w:rsidR="00276AA8" w:rsidRPr="007B570A" w:rsidRDefault="00276AA8" w:rsidP="007B570A">
            <w:pPr>
              <w:spacing w:after="0" w:line="360" w:lineRule="auto"/>
              <w:rPr>
                <w:rFonts w:ascii="Arial" w:hAnsi="Arial" w:cs="Arial"/>
                <w:sz w:val="20"/>
                <w:szCs w:val="20"/>
              </w:rPr>
            </w:pPr>
            <w:bookmarkStart w:id="0" w:name="_GoBack"/>
            <w:r w:rsidRPr="007B570A">
              <w:rPr>
                <w:rFonts w:ascii="Arial" w:hAnsi="Arial" w:cs="Arial"/>
                <w:sz w:val="20"/>
                <w:szCs w:val="20"/>
              </w:rPr>
              <w:t>R</w:t>
            </w:r>
            <w:bookmarkEnd w:id="0"/>
            <w:r w:rsidRPr="007B570A">
              <w:rPr>
                <w:rFonts w:ascii="Arial" w:hAnsi="Arial" w:cs="Arial"/>
                <w:sz w:val="20"/>
                <w:szCs w:val="20"/>
              </w:rPr>
              <w:t>BS Group Media Relations</w:t>
            </w:r>
          </w:p>
          <w:p w:rsidR="00276AA8" w:rsidRPr="007B570A" w:rsidRDefault="00276AA8" w:rsidP="007B570A">
            <w:pPr>
              <w:spacing w:after="0" w:line="360" w:lineRule="auto"/>
              <w:rPr>
                <w:rFonts w:ascii="Arial" w:hAnsi="Arial" w:cs="Arial"/>
                <w:sz w:val="20"/>
                <w:szCs w:val="20"/>
              </w:rPr>
            </w:pPr>
            <w:r w:rsidRPr="007B570A">
              <w:rPr>
                <w:rFonts w:ascii="Arial" w:hAnsi="Arial" w:cs="Arial"/>
                <w:sz w:val="20"/>
                <w:szCs w:val="20"/>
              </w:rPr>
              <w:t>+44 (0) 131 523 4205</w:t>
            </w:r>
          </w:p>
          <w:p w:rsidR="00276AA8" w:rsidRPr="007B570A" w:rsidRDefault="00276AA8" w:rsidP="007B570A">
            <w:pPr>
              <w:spacing w:after="0" w:line="360" w:lineRule="auto"/>
              <w:rPr>
                <w:rFonts w:ascii="Arial" w:hAnsi="Arial" w:cs="Arial"/>
                <w:sz w:val="20"/>
                <w:szCs w:val="20"/>
              </w:rPr>
            </w:pPr>
          </w:p>
        </w:tc>
      </w:tr>
    </w:tbl>
    <w:p w:rsidR="00276AA8" w:rsidRPr="004869C9" w:rsidRDefault="00276AA8" w:rsidP="00F00785">
      <w:pPr>
        <w:rPr>
          <w:rFonts w:ascii="Arial" w:hAnsi="Arial" w:cs="Arial"/>
          <w:i/>
          <w:sz w:val="20"/>
          <w:szCs w:val="20"/>
        </w:rPr>
      </w:pPr>
    </w:p>
    <w:p w:rsidR="00276AA8" w:rsidRPr="004869C9" w:rsidRDefault="00276AA8" w:rsidP="00F00785">
      <w:pPr>
        <w:rPr>
          <w:rFonts w:ascii="Arial" w:hAnsi="Arial" w:cs="Arial"/>
          <w:i/>
          <w:sz w:val="20"/>
          <w:szCs w:val="20"/>
        </w:rPr>
      </w:pPr>
      <w:r w:rsidRPr="004869C9">
        <w:rPr>
          <w:rFonts w:ascii="Arial" w:hAnsi="Arial" w:cs="Arial"/>
          <w:i/>
          <w:sz w:val="20"/>
          <w:szCs w:val="20"/>
        </w:rPr>
        <w:t>Background on the CCF:</w:t>
      </w:r>
    </w:p>
    <w:p w:rsidR="00276AA8" w:rsidRPr="004869C9" w:rsidRDefault="00276AA8" w:rsidP="00F00785">
      <w:pPr>
        <w:rPr>
          <w:rFonts w:ascii="Arial" w:hAnsi="Arial" w:cs="Arial"/>
          <w:i/>
          <w:sz w:val="20"/>
          <w:szCs w:val="20"/>
        </w:rPr>
      </w:pPr>
      <w:r>
        <w:rPr>
          <w:rFonts w:ascii="Arial" w:hAnsi="Arial" w:cs="Arial"/>
          <w:i/>
          <w:sz w:val="20"/>
          <w:szCs w:val="20"/>
        </w:rPr>
        <w:t>The original CCF was agre</w:t>
      </w:r>
      <w:r w:rsidRPr="004869C9">
        <w:rPr>
          <w:rFonts w:ascii="Arial" w:hAnsi="Arial" w:cs="Arial"/>
          <w:i/>
          <w:sz w:val="20"/>
          <w:szCs w:val="20"/>
        </w:rPr>
        <w:t xml:space="preserve">ed as part of RBS’s accession to HMT’s Asset Protection Scheme </w:t>
      </w:r>
      <w:r>
        <w:rPr>
          <w:rFonts w:ascii="Arial" w:hAnsi="Arial" w:cs="Arial"/>
          <w:i/>
          <w:sz w:val="20"/>
          <w:szCs w:val="20"/>
        </w:rPr>
        <w:t>and</w:t>
      </w:r>
      <w:r w:rsidRPr="004869C9">
        <w:rPr>
          <w:rFonts w:ascii="Arial" w:hAnsi="Arial" w:cs="Arial"/>
          <w:i/>
          <w:sz w:val="20"/>
          <w:szCs w:val="20"/>
        </w:rPr>
        <w:t xml:space="preserve"> subscription of B Shares in 2009. For a fee of £320 million per annum, HMT committed to subscribe </w:t>
      </w:r>
      <w:r>
        <w:rPr>
          <w:rFonts w:ascii="Arial" w:hAnsi="Arial" w:cs="Arial"/>
          <w:i/>
          <w:sz w:val="20"/>
          <w:szCs w:val="20"/>
        </w:rPr>
        <w:t>up to</w:t>
      </w:r>
      <w:r w:rsidRPr="004869C9">
        <w:rPr>
          <w:rFonts w:ascii="Arial" w:hAnsi="Arial" w:cs="Arial"/>
          <w:i/>
          <w:sz w:val="20"/>
          <w:szCs w:val="20"/>
        </w:rPr>
        <w:t xml:space="preserve"> a further £8 billion of RBS B Shares should the Group’s Core Tier 1 regulatory capital ratio fall below 5%. The commitment was not attached to any type of debt security and provided no funding to the Group unless </w:t>
      </w:r>
      <w:r>
        <w:rPr>
          <w:rFonts w:ascii="Arial" w:hAnsi="Arial" w:cs="Arial"/>
          <w:i/>
          <w:sz w:val="20"/>
          <w:szCs w:val="20"/>
        </w:rPr>
        <w:t>the</w:t>
      </w:r>
      <w:r w:rsidRPr="004869C9">
        <w:rPr>
          <w:rFonts w:ascii="Arial" w:hAnsi="Arial" w:cs="Arial"/>
          <w:i/>
          <w:sz w:val="20"/>
          <w:szCs w:val="20"/>
        </w:rPr>
        <w:t xml:space="preserve"> capital ratio trigger event had occurred.</w:t>
      </w:r>
    </w:p>
    <w:p w:rsidR="00276AA8" w:rsidRPr="004869C9" w:rsidRDefault="00276AA8" w:rsidP="00F00785">
      <w:pPr>
        <w:rPr>
          <w:rFonts w:ascii="Arial" w:hAnsi="Arial" w:cs="Arial"/>
          <w:i/>
          <w:sz w:val="20"/>
          <w:szCs w:val="20"/>
        </w:rPr>
      </w:pPr>
      <w:r w:rsidRPr="004869C9">
        <w:rPr>
          <w:rFonts w:ascii="Arial" w:hAnsi="Arial" w:cs="Arial"/>
          <w:i/>
          <w:sz w:val="20"/>
          <w:szCs w:val="20"/>
        </w:rPr>
        <w:t xml:space="preserve">RBS </w:t>
      </w:r>
      <w:r>
        <w:rPr>
          <w:rFonts w:ascii="Arial" w:hAnsi="Arial" w:cs="Arial"/>
          <w:i/>
          <w:sz w:val="20"/>
          <w:szCs w:val="20"/>
        </w:rPr>
        <w:t>entered into</w:t>
      </w:r>
      <w:r w:rsidRPr="004869C9">
        <w:rPr>
          <w:rFonts w:ascii="Arial" w:hAnsi="Arial" w:cs="Arial"/>
          <w:i/>
          <w:sz w:val="20"/>
          <w:szCs w:val="20"/>
        </w:rPr>
        <w:t xml:space="preserve"> the facility for 5 years, due to end in 2014. The £320 million annual subscription fee represents 4% o</w:t>
      </w:r>
      <w:r>
        <w:rPr>
          <w:rFonts w:ascii="Arial" w:hAnsi="Arial" w:cs="Arial"/>
          <w:i/>
          <w:sz w:val="20"/>
          <w:szCs w:val="20"/>
        </w:rPr>
        <w:t>f</w:t>
      </w:r>
      <w:r w:rsidRPr="004869C9">
        <w:rPr>
          <w:rFonts w:ascii="Arial" w:hAnsi="Arial" w:cs="Arial"/>
          <w:i/>
          <w:sz w:val="20"/>
          <w:szCs w:val="20"/>
        </w:rPr>
        <w:t xml:space="preserve"> the £8 billion commitment.</w:t>
      </w:r>
    </w:p>
    <w:p w:rsidR="00276AA8" w:rsidRPr="004869C9" w:rsidRDefault="00276AA8" w:rsidP="00F00785">
      <w:pPr>
        <w:rPr>
          <w:rFonts w:ascii="Arial" w:hAnsi="Arial" w:cs="Arial"/>
          <w:i/>
          <w:sz w:val="20"/>
          <w:szCs w:val="20"/>
        </w:rPr>
      </w:pPr>
      <w:r w:rsidRPr="004869C9">
        <w:rPr>
          <w:rFonts w:ascii="Arial" w:hAnsi="Arial" w:cs="Arial"/>
          <w:i/>
          <w:sz w:val="20"/>
          <w:szCs w:val="20"/>
        </w:rPr>
        <w:t xml:space="preserve">For further information on the CCF, please see the </w:t>
      </w:r>
      <w:hyperlink r:id="rId4" w:history="1">
        <w:r w:rsidRPr="004869C9">
          <w:rPr>
            <w:rStyle w:val="Hyperlink"/>
            <w:rFonts w:ascii="Arial" w:hAnsi="Arial" w:cs="Arial"/>
            <w:i/>
            <w:sz w:val="20"/>
            <w:szCs w:val="20"/>
          </w:rPr>
          <w:t>Shareholder Circular and Notice of General Meeting</w:t>
        </w:r>
      </w:hyperlink>
      <w:r w:rsidRPr="004869C9">
        <w:rPr>
          <w:rFonts w:ascii="Arial" w:hAnsi="Arial" w:cs="Arial"/>
          <w:i/>
          <w:sz w:val="20"/>
          <w:szCs w:val="20"/>
        </w:rPr>
        <w:t xml:space="preserve"> in relation to accession to the Asset Protection Scheme and B Share and Dividend Access Share issues.</w:t>
      </w:r>
    </w:p>
    <w:p w:rsidR="00276AA8" w:rsidRPr="004869C9" w:rsidRDefault="00276AA8" w:rsidP="00EA7188">
      <w:pPr>
        <w:rPr>
          <w:rFonts w:ascii="Arial" w:hAnsi="Arial" w:cs="Arial"/>
          <w:i/>
          <w:sz w:val="20"/>
          <w:szCs w:val="20"/>
        </w:rPr>
      </w:pPr>
    </w:p>
    <w:sectPr w:rsidR="00276AA8" w:rsidRPr="004869C9" w:rsidSect="00EE34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77F"/>
    <w:rsid w:val="00276AA8"/>
    <w:rsid w:val="002868AB"/>
    <w:rsid w:val="002A277F"/>
    <w:rsid w:val="003B7082"/>
    <w:rsid w:val="00407FC7"/>
    <w:rsid w:val="00476F09"/>
    <w:rsid w:val="004869C9"/>
    <w:rsid w:val="00586CB7"/>
    <w:rsid w:val="005C73E2"/>
    <w:rsid w:val="00682799"/>
    <w:rsid w:val="007B570A"/>
    <w:rsid w:val="00926435"/>
    <w:rsid w:val="0095390C"/>
    <w:rsid w:val="009764D3"/>
    <w:rsid w:val="009A672C"/>
    <w:rsid w:val="00BA57DF"/>
    <w:rsid w:val="00BE7096"/>
    <w:rsid w:val="00D752B5"/>
    <w:rsid w:val="00DC6D13"/>
    <w:rsid w:val="00EA7188"/>
    <w:rsid w:val="00EE34C7"/>
    <w:rsid w:val="00F00785"/>
    <w:rsid w:val="00F14AB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C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53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390C"/>
    <w:rPr>
      <w:rFonts w:ascii="Tahoma" w:hAnsi="Tahoma" w:cs="Tahoma"/>
      <w:sz w:val="16"/>
      <w:szCs w:val="16"/>
    </w:rPr>
  </w:style>
  <w:style w:type="character" w:styleId="Hyperlink">
    <w:name w:val="Hyperlink"/>
    <w:basedOn w:val="DefaultParagraphFont"/>
    <w:uiPriority w:val="99"/>
    <w:rsid w:val="00926435"/>
    <w:rPr>
      <w:rFonts w:cs="Times New Roman"/>
      <w:color w:val="0000FF"/>
      <w:u w:val="single"/>
    </w:rPr>
  </w:style>
  <w:style w:type="table" w:styleId="TableGrid">
    <w:name w:val="Table Grid"/>
    <w:basedOn w:val="TableNormal"/>
    <w:uiPriority w:val="99"/>
    <w:rsid w:val="009A67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vestors.rbs.com/download/other/Accession_asset_prot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296</Words>
  <Characters>1690</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December 2013</dc:title>
  <dc:subject/>
  <dc:creator>RBS Global Banking &amp; Markets</dc:creator>
  <cp:keywords/>
  <dc:description/>
  <cp:lastModifiedBy>mccubya</cp:lastModifiedBy>
  <cp:revision>2</cp:revision>
  <cp:lastPrinted>2013-12-13T15:59:00Z</cp:lastPrinted>
  <dcterms:created xsi:type="dcterms:W3CDTF">2013-12-16T16:51:00Z</dcterms:created>
  <dcterms:modified xsi:type="dcterms:W3CDTF">2013-12-16T16:51:00Z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-2141289883</vt:i4>
  </property>
  <property fmtid="{D5CDD505-2E9C-101B-9397-08002B2CF9AE}" pid="3" name="_NewReviewCycle">
    <vt:lpwstr/>
  </property>
  <property fmtid="{D5CDD505-2E9C-101B-9397-08002B2CF9AE}" pid="4" name="_EmailSubject">
    <vt:lpwstr>RNS - Monday</vt:lpwstr>
  </property>
  <property fmtid="{D5CDD505-2E9C-101B-9397-08002B2CF9AE}" pid="5" name="_AuthorEmail">
    <vt:lpwstr>greg.case@rbs.com</vt:lpwstr>
  </property>
  <property fmtid="{D5CDD505-2E9C-101B-9397-08002B2CF9AE}" pid="6" name="_AuthorEmailDisplayName">
    <vt:lpwstr>CASE, Greg, Investor Relations</vt:lpwstr>
  </property>
  <property fmtid="{D5CDD505-2E9C-101B-9397-08002B2CF9AE}" pid="7" name="_ReviewingToolsShownOnce">
    <vt:lpwstr/>
  </property>
</Properties>
</file>