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mkStart"/>
    <w:bookmarkStart w:id="1" w:name="_GoBack"/>
    <w:bookmarkEnd w:id="0"/>
    <w:bookmarkEnd w:id="1"/>
    <w:p w:rsidR="00F92DEA" w:rsidRPr="00436EB9" w:rsidRDefault="007510A8" w:rsidP="00C8074E">
      <w:pPr>
        <w:pStyle w:val="Body"/>
        <w:rPr>
          <w:rFonts w:ascii="Times New Roman" w:hAnsi="Times New Roman"/>
          <w:b/>
          <w:bCs/>
        </w:rPr>
      </w:pPr>
      <w:r w:rsidRPr="00ED1905">
        <w:rPr>
          <w:rFonts w:ascii="Times New Roman" w:hAnsi="Times New Roman"/>
          <w:b/>
          <w:bCs/>
          <w:noProof/>
          <w:lang w:eastAsia="zh-CN" w:bidi="hi-IN"/>
        </w:rPr>
        <mc:AlternateContent>
          <mc:Choice Requires="wps">
            <w:drawing>
              <wp:anchor distT="0" distB="0" distL="114300" distR="114300" simplePos="0" relativeHeight="251659264" behindDoc="0" locked="0" layoutInCell="1" allowOverlap="1" wp14:anchorId="4CB4FF81" wp14:editId="56BAD5AC">
                <wp:simplePos x="0" y="0"/>
                <wp:positionH relativeFrom="column">
                  <wp:posOffset>23219</wp:posOffset>
                </wp:positionH>
                <wp:positionV relativeFrom="paragraph">
                  <wp:posOffset>-670395</wp:posOffset>
                </wp:positionV>
                <wp:extent cx="3857625" cy="4667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85762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10A8" w:rsidRDefault="00751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5pt;margin-top:-52.8pt;width:303.7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" fillcolor="white [3201]" stroked="f" strokeweight=".5pt">
                <v:textbox>
                  <w:txbxContent>
                    <w:p w:rsidR="007510A8" w:rsidRDefault="007510A8"/>
                  </w:txbxContent>
                </v:textbox>
              </v:shape>
            </w:pict>
          </mc:Fallback>
        </mc:AlternateContent>
      </w:r>
      <w:r w:rsidR="00436EB9" w:rsidRPr="00436EB9">
        <w:rPr>
          <w:rFonts w:ascii="Times New Roman" w:hAnsi="Times New Roman"/>
          <w:b/>
          <w:bCs/>
        </w:rPr>
        <w:t>NOT FOR DISTRIBUTION IN OR INTO OR TO ANY PERSON LOCATED OR RESIDENT IN THE UNITED STATES, ITS TERRITORIES AND POSSESSIONS (INCLUDING PUERTO RICO, THE U.S. VIRGIN ISLANDS, GUAM, AMERICAN SAMOA, WAKE ISLAND AND THE NORTHERN MARIANA ISLANDS), ANY STATE OF THE UNITED STATES OR THE DISTRICT OF COLUMBIA (</w:t>
      </w:r>
      <w:r w:rsidR="00146B67">
        <w:rPr>
          <w:rFonts w:ascii="Times New Roman" w:hAnsi="Times New Roman"/>
          <w:b/>
          <w:bCs/>
        </w:rPr>
        <w:t xml:space="preserve">THE </w:t>
      </w:r>
      <w:r w:rsidR="006E709D">
        <w:rPr>
          <w:rFonts w:ascii="Times New Roman" w:hAnsi="Times New Roman"/>
          <w:b/>
          <w:bCs/>
        </w:rPr>
        <w:t>“</w:t>
      </w:r>
      <w:r w:rsidR="00146B67">
        <w:rPr>
          <w:rFonts w:ascii="Times New Roman" w:hAnsi="Times New Roman"/>
          <w:b/>
          <w:bCs/>
        </w:rPr>
        <w:t>UNITED STATES</w:t>
      </w:r>
      <w:r w:rsidR="006E709D">
        <w:rPr>
          <w:rFonts w:ascii="Times New Roman" w:hAnsi="Times New Roman"/>
          <w:b/>
          <w:bCs/>
        </w:rPr>
        <w:t>”</w:t>
      </w:r>
      <w:r w:rsidR="00436EB9" w:rsidRPr="00436EB9">
        <w:rPr>
          <w:rFonts w:ascii="Times New Roman" w:hAnsi="Times New Roman"/>
          <w:b/>
          <w:bCs/>
        </w:rPr>
        <w:t>) OR IN ANY JURISDICTION WHERE IT IS UNLAWFUL TO RELEASE, PUBLISH OR DISTRIBUTE THIS DOCUMENT.</w:t>
      </w:r>
    </w:p>
    <w:p w:rsidR="000D2647" w:rsidRDefault="00923904" w:rsidP="00C8074E">
      <w:pPr>
        <w:pStyle w:val="Body"/>
        <w:rPr>
          <w:rFonts w:ascii="Times New Roman" w:hAnsi="Times New Roman"/>
        </w:rPr>
      </w:pPr>
      <w:r>
        <w:rPr>
          <w:rFonts w:ascii="Times New Roman" w:hAnsi="Times New Roman"/>
        </w:rPr>
        <w:t xml:space="preserve">15 </w:t>
      </w:r>
      <w:r w:rsidR="007510A8">
        <w:rPr>
          <w:rFonts w:ascii="Times New Roman" w:hAnsi="Times New Roman"/>
        </w:rPr>
        <w:t xml:space="preserve">JANUARY </w:t>
      </w:r>
      <w:r w:rsidR="00436EB9">
        <w:rPr>
          <w:rFonts w:ascii="Times New Roman" w:hAnsi="Times New Roman"/>
        </w:rPr>
        <w:t>201</w:t>
      </w:r>
      <w:r w:rsidR="00BD3930">
        <w:rPr>
          <w:rFonts w:ascii="Times New Roman" w:hAnsi="Times New Roman"/>
        </w:rPr>
        <w:t>4</w:t>
      </w:r>
    </w:p>
    <w:p w:rsidR="00436EB9" w:rsidRDefault="00436EB9" w:rsidP="00436EB9">
      <w:pPr>
        <w:pStyle w:val="Body"/>
        <w:jc w:val="center"/>
        <w:rPr>
          <w:rFonts w:ascii="Times New Roman" w:hAnsi="Times New Roman"/>
          <w:b/>
          <w:bCs/>
        </w:rPr>
      </w:pPr>
      <w:r w:rsidRPr="00436EB9">
        <w:rPr>
          <w:rFonts w:ascii="Times New Roman" w:hAnsi="Times New Roman"/>
          <w:b/>
          <w:bCs/>
        </w:rPr>
        <w:t xml:space="preserve">THE ROYAL BANK OF SCOTLAND PLC </w:t>
      </w:r>
      <w:r w:rsidR="006B556C">
        <w:rPr>
          <w:rFonts w:ascii="Times New Roman" w:hAnsi="Times New Roman"/>
          <w:b/>
          <w:bCs/>
        </w:rPr>
        <w:t xml:space="preserve">AND THE ROYAL BANK OF SCOTLAND N.V. </w:t>
      </w:r>
      <w:r w:rsidR="00B83A16">
        <w:rPr>
          <w:rFonts w:ascii="Times New Roman" w:hAnsi="Times New Roman"/>
          <w:b/>
          <w:bCs/>
        </w:rPr>
        <w:t xml:space="preserve">ANNOUNCE RESULTS OF </w:t>
      </w:r>
      <w:r w:rsidRPr="00436EB9">
        <w:rPr>
          <w:rFonts w:ascii="Times New Roman" w:hAnsi="Times New Roman"/>
          <w:b/>
          <w:bCs/>
        </w:rPr>
        <w:t>CASH TENDER OFFERS FOR CERTAIN</w:t>
      </w:r>
      <w:r w:rsidRPr="0084422F">
        <w:rPr>
          <w:rFonts w:ascii="Times New Roman" w:hAnsi="Times New Roman"/>
          <w:b/>
          <w:bCs/>
          <w:caps/>
        </w:rPr>
        <w:t xml:space="preserve"> </w:t>
      </w:r>
      <w:r w:rsidR="0084422F" w:rsidRPr="0084422F">
        <w:rPr>
          <w:rFonts w:ascii="Times New Roman" w:hAnsi="Times New Roman"/>
          <w:b/>
          <w:bCs/>
          <w:caps/>
        </w:rPr>
        <w:t>Australian dollar, Euro and US dollar Notes</w:t>
      </w:r>
    </w:p>
    <w:p w:rsidR="00CE2857" w:rsidRDefault="00CA39FD" w:rsidP="00A206BA">
      <w:pPr>
        <w:pStyle w:val="Body"/>
        <w:rPr>
          <w:rFonts w:ascii="Times New Roman" w:hAnsi="Times New Roman"/>
        </w:rPr>
      </w:pPr>
      <w:r>
        <w:rPr>
          <w:rFonts w:ascii="Times New Roman" w:hAnsi="Times New Roman"/>
        </w:rPr>
        <w:t xml:space="preserve">On 6 January 2014, </w:t>
      </w:r>
      <w:r w:rsidR="006F0E62">
        <w:rPr>
          <w:rFonts w:ascii="Times New Roman" w:hAnsi="Times New Roman"/>
        </w:rPr>
        <w:t>The Royal Bank of Scotland plc (</w:t>
      </w:r>
      <w:r w:rsidR="00EA50C9">
        <w:rPr>
          <w:rFonts w:ascii="Times New Roman" w:hAnsi="Times New Roman"/>
        </w:rPr>
        <w:t>“</w:t>
      </w:r>
      <w:r w:rsidR="00EA50C9">
        <w:rPr>
          <w:rFonts w:ascii="Times New Roman" w:hAnsi="Times New Roman"/>
          <w:b/>
          <w:bCs/>
        </w:rPr>
        <w:t xml:space="preserve">RBS </w:t>
      </w:r>
      <w:r w:rsidR="00EA50C9" w:rsidRPr="00EA50C9">
        <w:rPr>
          <w:rFonts w:ascii="Times New Roman" w:hAnsi="Times New Roman"/>
          <w:b/>
          <w:bCs/>
        </w:rPr>
        <w:t>plc</w:t>
      </w:r>
      <w:r w:rsidR="00EA50C9">
        <w:rPr>
          <w:rFonts w:ascii="Times New Roman" w:hAnsi="Times New Roman"/>
        </w:rPr>
        <w:t>”</w:t>
      </w:r>
      <w:r w:rsidR="006F0E62">
        <w:rPr>
          <w:rFonts w:ascii="Times New Roman" w:hAnsi="Times New Roman"/>
        </w:rPr>
        <w:t xml:space="preserve">) </w:t>
      </w:r>
      <w:r w:rsidR="00256A6F">
        <w:rPr>
          <w:rFonts w:ascii="Times New Roman" w:hAnsi="Times New Roman"/>
        </w:rPr>
        <w:t>and T</w:t>
      </w:r>
      <w:r w:rsidR="00EA50C9">
        <w:rPr>
          <w:rFonts w:ascii="Times New Roman" w:hAnsi="Times New Roman"/>
        </w:rPr>
        <w:t xml:space="preserve">he Royal Bank of Scotland N.V. </w:t>
      </w:r>
      <w:r w:rsidR="000D2EEE" w:rsidRPr="000D2EEE">
        <w:rPr>
          <w:rFonts w:ascii="Times New Roman" w:hAnsi="Times New Roman"/>
        </w:rPr>
        <w:t xml:space="preserve">(incorporated in The Netherlands with its statutory seat in Amsterdam) </w:t>
      </w:r>
      <w:r w:rsidR="00EA50C9">
        <w:rPr>
          <w:rFonts w:ascii="Times New Roman" w:hAnsi="Times New Roman"/>
        </w:rPr>
        <w:t xml:space="preserve">(together with </w:t>
      </w:r>
      <w:proofErr w:type="spellStart"/>
      <w:r w:rsidR="00EA50C9">
        <w:rPr>
          <w:rFonts w:ascii="Times New Roman" w:hAnsi="Times New Roman"/>
        </w:rPr>
        <w:t>RBS</w:t>
      </w:r>
      <w:proofErr w:type="spellEnd"/>
      <w:r w:rsidR="00EA50C9">
        <w:rPr>
          <w:rFonts w:ascii="Times New Roman" w:hAnsi="Times New Roman"/>
        </w:rPr>
        <w:t xml:space="preserve"> </w:t>
      </w:r>
      <w:proofErr w:type="spellStart"/>
      <w:r w:rsidR="00EA50C9">
        <w:rPr>
          <w:rFonts w:ascii="Times New Roman" w:hAnsi="Times New Roman"/>
        </w:rPr>
        <w:t>plc</w:t>
      </w:r>
      <w:proofErr w:type="spellEnd"/>
      <w:r w:rsidR="00EA50C9">
        <w:rPr>
          <w:rFonts w:ascii="Times New Roman" w:hAnsi="Times New Roman"/>
        </w:rPr>
        <w:t>, the “</w:t>
      </w:r>
      <w:r w:rsidR="00EA50C9" w:rsidRPr="00EA50C9">
        <w:rPr>
          <w:rFonts w:ascii="Times New Roman" w:hAnsi="Times New Roman"/>
          <w:b/>
          <w:bCs/>
        </w:rPr>
        <w:t>Offerors</w:t>
      </w:r>
      <w:r w:rsidR="00EA50C9">
        <w:rPr>
          <w:rFonts w:ascii="Times New Roman" w:hAnsi="Times New Roman"/>
        </w:rPr>
        <w:t>”, and each an “</w:t>
      </w:r>
      <w:r w:rsidR="00EA50C9" w:rsidRPr="00EA50C9">
        <w:rPr>
          <w:rFonts w:ascii="Times New Roman" w:hAnsi="Times New Roman"/>
          <w:b/>
          <w:bCs/>
        </w:rPr>
        <w:t>Offeror</w:t>
      </w:r>
      <w:r w:rsidR="00EA50C9">
        <w:rPr>
          <w:rFonts w:ascii="Times New Roman" w:hAnsi="Times New Roman"/>
        </w:rPr>
        <w:t xml:space="preserve">”) </w:t>
      </w:r>
      <w:r w:rsidR="008F4298">
        <w:rPr>
          <w:rFonts w:ascii="Times New Roman" w:hAnsi="Times New Roman"/>
        </w:rPr>
        <w:t xml:space="preserve">separately </w:t>
      </w:r>
      <w:r w:rsidR="00EA50C9">
        <w:rPr>
          <w:rFonts w:ascii="Times New Roman" w:hAnsi="Times New Roman"/>
        </w:rPr>
        <w:t xml:space="preserve">invited Holders of </w:t>
      </w:r>
      <w:r w:rsidR="008F4298">
        <w:rPr>
          <w:rFonts w:ascii="Times New Roman" w:hAnsi="Times New Roman"/>
        </w:rPr>
        <w:t xml:space="preserve">the </w:t>
      </w:r>
      <w:r w:rsidR="00EA50C9">
        <w:rPr>
          <w:rFonts w:ascii="Times New Roman" w:hAnsi="Times New Roman"/>
        </w:rPr>
        <w:t xml:space="preserve">notes </w:t>
      </w:r>
      <w:r w:rsidR="00C073EB">
        <w:rPr>
          <w:rFonts w:ascii="Times New Roman" w:hAnsi="Times New Roman"/>
        </w:rPr>
        <w:t>issued by them</w:t>
      </w:r>
      <w:r w:rsidR="008F4298">
        <w:rPr>
          <w:rFonts w:ascii="Times New Roman" w:hAnsi="Times New Roman"/>
        </w:rPr>
        <w:t xml:space="preserve"> and </w:t>
      </w:r>
      <w:r w:rsidR="00EA50C9">
        <w:rPr>
          <w:rFonts w:ascii="Times New Roman" w:hAnsi="Times New Roman"/>
        </w:rPr>
        <w:t>listed below (</w:t>
      </w:r>
      <w:r w:rsidR="004E79AE">
        <w:rPr>
          <w:rFonts w:ascii="Times New Roman" w:hAnsi="Times New Roman"/>
        </w:rPr>
        <w:t xml:space="preserve">together </w:t>
      </w:r>
      <w:r w:rsidR="00EA50C9">
        <w:rPr>
          <w:rFonts w:ascii="Times New Roman" w:hAnsi="Times New Roman"/>
        </w:rPr>
        <w:t>the “</w:t>
      </w:r>
      <w:r w:rsidR="00EA50C9" w:rsidRPr="00EA50C9">
        <w:rPr>
          <w:rFonts w:ascii="Times New Roman" w:hAnsi="Times New Roman"/>
          <w:b/>
          <w:bCs/>
        </w:rPr>
        <w:t>Notes</w:t>
      </w:r>
      <w:r w:rsidR="00EA50C9">
        <w:rPr>
          <w:rFonts w:ascii="Times New Roman" w:hAnsi="Times New Roman"/>
        </w:rPr>
        <w:t>”</w:t>
      </w:r>
      <w:r w:rsidR="00031777">
        <w:rPr>
          <w:rFonts w:ascii="Times New Roman" w:hAnsi="Times New Roman"/>
        </w:rPr>
        <w:t>, and each a “</w:t>
      </w:r>
      <w:r w:rsidR="00031777" w:rsidRPr="00031777">
        <w:rPr>
          <w:rFonts w:ascii="Times New Roman" w:hAnsi="Times New Roman"/>
          <w:b/>
          <w:bCs/>
        </w:rPr>
        <w:t>Series</w:t>
      </w:r>
      <w:r w:rsidR="00031777">
        <w:rPr>
          <w:rFonts w:ascii="Times New Roman" w:hAnsi="Times New Roman"/>
        </w:rPr>
        <w:t>”</w:t>
      </w:r>
      <w:r w:rsidR="00EA50C9">
        <w:rPr>
          <w:rFonts w:ascii="Times New Roman" w:hAnsi="Times New Roman"/>
        </w:rPr>
        <w:t xml:space="preserve">) </w:t>
      </w:r>
      <w:r w:rsidR="006F0E62" w:rsidRPr="00EA50C9">
        <w:rPr>
          <w:rFonts w:ascii="Times New Roman" w:hAnsi="Times New Roman"/>
        </w:rPr>
        <w:t>to</w:t>
      </w:r>
      <w:r w:rsidR="006F0E62">
        <w:rPr>
          <w:rFonts w:ascii="Times New Roman" w:hAnsi="Times New Roman"/>
        </w:rPr>
        <w:t xml:space="preserve"> tender their </w:t>
      </w:r>
      <w:r w:rsidR="00712C32">
        <w:rPr>
          <w:rFonts w:ascii="Times New Roman" w:hAnsi="Times New Roman"/>
        </w:rPr>
        <w:t>Notes</w:t>
      </w:r>
      <w:r w:rsidR="006F0E62">
        <w:rPr>
          <w:rFonts w:ascii="Times New Roman" w:hAnsi="Times New Roman"/>
        </w:rPr>
        <w:t xml:space="preserve"> for purchase by the </w:t>
      </w:r>
      <w:r w:rsidR="00EA50C9">
        <w:rPr>
          <w:rFonts w:ascii="Times New Roman" w:hAnsi="Times New Roman"/>
        </w:rPr>
        <w:t xml:space="preserve">relevant </w:t>
      </w:r>
      <w:r w:rsidR="006F0E62">
        <w:rPr>
          <w:rFonts w:ascii="Times New Roman" w:hAnsi="Times New Roman"/>
        </w:rPr>
        <w:t>Offeror for cash (</w:t>
      </w:r>
      <w:r w:rsidR="008F4298">
        <w:rPr>
          <w:rFonts w:ascii="Times New Roman" w:hAnsi="Times New Roman"/>
        </w:rPr>
        <w:t>each an “</w:t>
      </w:r>
      <w:r w:rsidR="008F4298" w:rsidRPr="008F4298">
        <w:rPr>
          <w:rFonts w:ascii="Times New Roman" w:hAnsi="Times New Roman"/>
          <w:b/>
          <w:bCs/>
        </w:rPr>
        <w:t>Offer</w:t>
      </w:r>
      <w:r w:rsidR="008F4298">
        <w:rPr>
          <w:rFonts w:ascii="Times New Roman" w:hAnsi="Times New Roman"/>
        </w:rPr>
        <w:t xml:space="preserve">”, and together, </w:t>
      </w:r>
      <w:r w:rsidR="006F0E62">
        <w:rPr>
          <w:rFonts w:ascii="Times New Roman" w:hAnsi="Times New Roman"/>
        </w:rPr>
        <w:t>the “</w:t>
      </w:r>
      <w:r w:rsidR="006F0E62" w:rsidRPr="009B63D7">
        <w:rPr>
          <w:rFonts w:ascii="Times New Roman" w:hAnsi="Times New Roman"/>
          <w:b/>
          <w:bCs/>
        </w:rPr>
        <w:t>Offers</w:t>
      </w:r>
      <w:r w:rsidR="006F0E62">
        <w:rPr>
          <w:rFonts w:ascii="Times New Roman" w:hAnsi="Times New Roman"/>
        </w:rPr>
        <w:t>”</w:t>
      </w:r>
      <w:r w:rsidR="00744F9C">
        <w:rPr>
          <w:rFonts w:ascii="Times New Roman" w:hAnsi="Times New Roman"/>
        </w:rPr>
        <w:t>) o</w:t>
      </w:r>
      <w:r w:rsidR="006F0E62">
        <w:rPr>
          <w:rFonts w:ascii="Times New Roman" w:hAnsi="Times New Roman"/>
        </w:rPr>
        <w:t xml:space="preserve">n the terms of, and subject to the conditions contained in, a tender offer memorandum </w:t>
      </w:r>
      <w:r w:rsidR="009B63D7">
        <w:rPr>
          <w:rFonts w:ascii="Times New Roman" w:hAnsi="Times New Roman"/>
        </w:rPr>
        <w:t xml:space="preserve">dated </w:t>
      </w:r>
      <w:r w:rsidR="00EA50C9">
        <w:rPr>
          <w:rFonts w:ascii="Times New Roman" w:hAnsi="Times New Roman"/>
        </w:rPr>
        <w:t>6 January 201</w:t>
      </w:r>
      <w:r w:rsidR="00BD3930">
        <w:rPr>
          <w:rFonts w:ascii="Times New Roman" w:hAnsi="Times New Roman"/>
        </w:rPr>
        <w:t>4</w:t>
      </w:r>
      <w:r w:rsidR="00EA50C9">
        <w:rPr>
          <w:rFonts w:ascii="Times New Roman" w:hAnsi="Times New Roman"/>
        </w:rPr>
        <w:t xml:space="preserve"> </w:t>
      </w:r>
      <w:r w:rsidR="006F0E62">
        <w:rPr>
          <w:rFonts w:ascii="Times New Roman" w:hAnsi="Times New Roman"/>
        </w:rPr>
        <w:t>(the “</w:t>
      </w:r>
      <w:r w:rsidR="006F0E62" w:rsidRPr="009B63D7">
        <w:rPr>
          <w:rFonts w:ascii="Times New Roman" w:hAnsi="Times New Roman"/>
          <w:b/>
          <w:bCs/>
        </w:rPr>
        <w:t>Tender Offer Memorandum</w:t>
      </w:r>
      <w:r w:rsidR="006F0E62">
        <w:rPr>
          <w:rFonts w:ascii="Times New Roman" w:hAnsi="Times New Roman"/>
        </w:rPr>
        <w:t xml:space="preserve">”). </w:t>
      </w:r>
    </w:p>
    <w:p w:rsidR="00436EB9" w:rsidRDefault="006F0E62" w:rsidP="00A206BA">
      <w:pPr>
        <w:pStyle w:val="Body"/>
        <w:rPr>
          <w:rFonts w:ascii="Times New Roman" w:hAnsi="Times New Roman"/>
        </w:rPr>
      </w:pPr>
      <w:r>
        <w:rPr>
          <w:rFonts w:ascii="Times New Roman" w:hAnsi="Times New Roman"/>
        </w:rPr>
        <w:t xml:space="preserve">Capitalised terms not otherwise defined in this announcement have the same meaning as assigned to them in the Tender Offer Memorandum. </w:t>
      </w:r>
    </w:p>
    <w:p w:rsidR="008230DE" w:rsidRDefault="00D51F53" w:rsidP="00A206BA">
      <w:pPr>
        <w:pStyle w:val="Body"/>
        <w:rPr>
          <w:rFonts w:ascii="Times New Roman" w:hAnsi="Times New Roman"/>
        </w:rPr>
      </w:pPr>
      <w:r>
        <w:rPr>
          <w:rFonts w:ascii="Times New Roman" w:hAnsi="Times New Roman"/>
        </w:rPr>
        <w:t>Following expiration of th</w:t>
      </w:r>
      <w:r w:rsidR="00B809F1">
        <w:rPr>
          <w:rFonts w:ascii="Times New Roman" w:hAnsi="Times New Roman"/>
        </w:rPr>
        <w:t>e Offers</w:t>
      </w:r>
      <w:r>
        <w:rPr>
          <w:rFonts w:ascii="Times New Roman" w:hAnsi="Times New Roman"/>
        </w:rPr>
        <w:t xml:space="preserve"> </w:t>
      </w:r>
      <w:r w:rsidR="008230DE">
        <w:rPr>
          <w:rFonts w:ascii="Times New Roman" w:hAnsi="Times New Roman"/>
        </w:rPr>
        <w:t xml:space="preserve">(i) </w:t>
      </w:r>
      <w:r>
        <w:rPr>
          <w:rFonts w:ascii="Times New Roman" w:hAnsi="Times New Roman"/>
        </w:rPr>
        <w:t>in the case of Notes held in or through Euroclear or Clearstream, Luxembourg</w:t>
      </w:r>
      <w:r w:rsidR="00E23E63">
        <w:rPr>
          <w:rFonts w:ascii="Times New Roman" w:hAnsi="Times New Roman"/>
        </w:rPr>
        <w:t>,</w:t>
      </w:r>
      <w:r w:rsidR="00B83A16">
        <w:rPr>
          <w:rFonts w:ascii="Times New Roman" w:hAnsi="Times New Roman"/>
        </w:rPr>
        <w:t xml:space="preserve"> at 10.00 a.m. (London t</w:t>
      </w:r>
      <w:r>
        <w:rPr>
          <w:rFonts w:ascii="Times New Roman" w:hAnsi="Times New Roman"/>
        </w:rPr>
        <w:t xml:space="preserve">ime) on 15 January 2014, </w:t>
      </w:r>
      <w:r w:rsidR="008230DE">
        <w:rPr>
          <w:rFonts w:ascii="Times New Roman" w:hAnsi="Times New Roman"/>
        </w:rPr>
        <w:t xml:space="preserve">or (ii) </w:t>
      </w:r>
      <w:r>
        <w:rPr>
          <w:rFonts w:ascii="Times New Roman" w:hAnsi="Times New Roman"/>
        </w:rPr>
        <w:t>in the case of Notes held in or through the Austraclea</w:t>
      </w:r>
      <w:r w:rsidR="00B83A16">
        <w:rPr>
          <w:rFonts w:ascii="Times New Roman" w:hAnsi="Times New Roman"/>
        </w:rPr>
        <w:t>r System, at 5.00 p.m. (Sydney t</w:t>
      </w:r>
      <w:r>
        <w:rPr>
          <w:rFonts w:ascii="Times New Roman" w:hAnsi="Times New Roman"/>
        </w:rPr>
        <w:t>ime) on 15 January 2014, the Offerors hereby announce that:</w:t>
      </w:r>
    </w:p>
    <w:p w:rsidR="00D51F53" w:rsidRDefault="008230DE" w:rsidP="008230DE">
      <w:pPr>
        <w:pStyle w:val="roman1"/>
        <w:rPr>
          <w:rFonts w:ascii="Times New Roman" w:hAnsi="Times New Roman"/>
        </w:rPr>
      </w:pPr>
      <w:r w:rsidRPr="008230DE">
        <w:rPr>
          <w:rFonts w:ascii="Times New Roman" w:hAnsi="Times New Roman"/>
        </w:rPr>
        <w:t xml:space="preserve">each </w:t>
      </w:r>
      <w:r w:rsidR="00B83A16">
        <w:rPr>
          <w:rFonts w:ascii="Times New Roman" w:hAnsi="Times New Roman"/>
        </w:rPr>
        <w:t xml:space="preserve">Offeror </w:t>
      </w:r>
      <w:r w:rsidRPr="008230DE">
        <w:rPr>
          <w:rFonts w:ascii="Times New Roman" w:hAnsi="Times New Roman"/>
        </w:rPr>
        <w:t xml:space="preserve">will accept for purchase all Notes </w:t>
      </w:r>
      <w:r w:rsidR="00B83A16">
        <w:rPr>
          <w:rFonts w:ascii="Times New Roman" w:hAnsi="Times New Roman"/>
        </w:rPr>
        <w:t xml:space="preserve">of the relevant Series </w:t>
      </w:r>
      <w:r w:rsidRPr="008230DE">
        <w:rPr>
          <w:rFonts w:ascii="Times New Roman" w:hAnsi="Times New Roman"/>
        </w:rPr>
        <w:t>validly tendered under the relevant Offer</w:t>
      </w:r>
      <w:r w:rsidR="004E20A4">
        <w:rPr>
          <w:rFonts w:ascii="Times New Roman" w:hAnsi="Times New Roman"/>
        </w:rPr>
        <w:t xml:space="preserve"> with no </w:t>
      </w:r>
      <w:r w:rsidR="004E20A4">
        <w:rPr>
          <w:rFonts w:ascii="Times New Roman" w:hAnsi="Times New Roman"/>
          <w:i/>
          <w:iCs/>
        </w:rPr>
        <w:t>pro rata</w:t>
      </w:r>
      <w:r w:rsidR="004E20A4">
        <w:rPr>
          <w:rFonts w:ascii="Times New Roman" w:hAnsi="Times New Roman"/>
        </w:rPr>
        <w:t xml:space="preserve"> scaling</w:t>
      </w:r>
      <w:r>
        <w:rPr>
          <w:rFonts w:ascii="Times New Roman" w:hAnsi="Times New Roman"/>
        </w:rPr>
        <w:t>; and</w:t>
      </w:r>
    </w:p>
    <w:p w:rsidR="008230DE" w:rsidRPr="008230DE" w:rsidRDefault="008230DE" w:rsidP="008230DE">
      <w:pPr>
        <w:pStyle w:val="roman1"/>
        <w:rPr>
          <w:rFonts w:ascii="Times New Roman" w:hAnsi="Times New Roman"/>
        </w:rPr>
      </w:pPr>
      <w:r>
        <w:rPr>
          <w:rFonts w:ascii="Times New Roman" w:hAnsi="Times New Roman"/>
        </w:rPr>
        <w:t>the aggregate principal amount of each Series of Notes accepted for purchase is as follows:</w:t>
      </w:r>
    </w:p>
    <w:tbl>
      <w:tblPr>
        <w:tblW w:w="10354" w:type="dxa"/>
        <w:jc w:val="center"/>
        <w:tblInd w:w="-1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09"/>
        <w:gridCol w:w="1537"/>
        <w:gridCol w:w="1332"/>
        <w:gridCol w:w="1031"/>
        <w:gridCol w:w="1481"/>
        <w:gridCol w:w="1338"/>
        <w:gridCol w:w="907"/>
        <w:gridCol w:w="1019"/>
      </w:tblGrid>
      <w:tr w:rsidR="00853FAF" w:rsidRPr="004F075B" w:rsidTr="00C24E6A">
        <w:trPr>
          <w:trHeight w:val="290"/>
          <w:tblHeader/>
          <w:jc w:val="center"/>
        </w:trPr>
        <w:tc>
          <w:tcPr>
            <w:tcW w:w="826" w:type="pct"/>
            <w:shd w:val="clear" w:color="auto" w:fill="auto"/>
            <w:vAlign w:val="center"/>
          </w:tcPr>
          <w:p w:rsidR="00936903" w:rsidRPr="004F075B" w:rsidRDefault="00936903" w:rsidP="005F541B">
            <w:pPr>
              <w:pStyle w:val="AODocTxt"/>
              <w:numPr>
                <w:ilvl w:val="0"/>
                <w:numId w:val="0"/>
              </w:numPr>
              <w:spacing w:before="60" w:line="240" w:lineRule="auto"/>
              <w:jc w:val="center"/>
              <w:rPr>
                <w:b/>
                <w:sz w:val="16"/>
                <w:szCs w:val="16"/>
              </w:rPr>
            </w:pPr>
            <w:r w:rsidRPr="004F075B">
              <w:rPr>
                <w:b/>
                <w:sz w:val="16"/>
                <w:szCs w:val="16"/>
              </w:rPr>
              <w:t>Title of Series</w:t>
            </w:r>
          </w:p>
        </w:tc>
        <w:tc>
          <w:tcPr>
            <w:tcW w:w="742" w:type="pct"/>
            <w:shd w:val="clear" w:color="auto" w:fill="auto"/>
            <w:vAlign w:val="center"/>
          </w:tcPr>
          <w:p w:rsidR="00936903" w:rsidRPr="004F075B" w:rsidRDefault="00936903" w:rsidP="005F541B">
            <w:pPr>
              <w:pStyle w:val="AODocTxt"/>
              <w:numPr>
                <w:ilvl w:val="0"/>
                <w:numId w:val="0"/>
              </w:numPr>
              <w:spacing w:before="60" w:line="240" w:lineRule="auto"/>
              <w:jc w:val="center"/>
              <w:rPr>
                <w:b/>
                <w:sz w:val="16"/>
                <w:szCs w:val="16"/>
              </w:rPr>
            </w:pPr>
            <w:r w:rsidRPr="004F075B">
              <w:rPr>
                <w:b/>
                <w:sz w:val="16"/>
                <w:szCs w:val="16"/>
              </w:rPr>
              <w:t>ISIN</w:t>
            </w:r>
          </w:p>
        </w:tc>
        <w:tc>
          <w:tcPr>
            <w:tcW w:w="643" w:type="pct"/>
            <w:vAlign w:val="center"/>
          </w:tcPr>
          <w:p w:rsidR="00936903" w:rsidRPr="004F075B" w:rsidRDefault="00936903" w:rsidP="005F541B">
            <w:pPr>
              <w:pStyle w:val="AODocTxt"/>
              <w:numPr>
                <w:ilvl w:val="0"/>
                <w:numId w:val="0"/>
              </w:numPr>
              <w:spacing w:before="60" w:line="240" w:lineRule="auto"/>
              <w:jc w:val="center"/>
              <w:rPr>
                <w:b/>
                <w:sz w:val="16"/>
                <w:szCs w:val="16"/>
              </w:rPr>
            </w:pPr>
            <w:r>
              <w:rPr>
                <w:b/>
                <w:sz w:val="16"/>
                <w:szCs w:val="16"/>
              </w:rPr>
              <w:t>Issuer and Offeror</w:t>
            </w:r>
          </w:p>
        </w:tc>
        <w:tc>
          <w:tcPr>
            <w:tcW w:w="498" w:type="pct"/>
            <w:vAlign w:val="center"/>
          </w:tcPr>
          <w:p w:rsidR="00936903" w:rsidRPr="004F075B" w:rsidRDefault="00936903" w:rsidP="005F541B">
            <w:pPr>
              <w:pStyle w:val="AODocTxt"/>
              <w:numPr>
                <w:ilvl w:val="0"/>
                <w:numId w:val="0"/>
              </w:numPr>
              <w:spacing w:before="60" w:line="240" w:lineRule="auto"/>
              <w:jc w:val="center"/>
              <w:rPr>
                <w:b/>
                <w:sz w:val="16"/>
                <w:szCs w:val="16"/>
              </w:rPr>
            </w:pPr>
            <w:r>
              <w:rPr>
                <w:b/>
                <w:sz w:val="16"/>
                <w:szCs w:val="16"/>
              </w:rPr>
              <w:t>First Call Date</w:t>
            </w:r>
          </w:p>
        </w:tc>
        <w:tc>
          <w:tcPr>
            <w:tcW w:w="715" w:type="pct"/>
            <w:shd w:val="clear" w:color="auto" w:fill="auto"/>
            <w:vAlign w:val="center"/>
          </w:tcPr>
          <w:p w:rsidR="00936903" w:rsidRPr="004F075B" w:rsidRDefault="00936903" w:rsidP="005F541B">
            <w:pPr>
              <w:pStyle w:val="AODocTxt"/>
              <w:numPr>
                <w:ilvl w:val="0"/>
                <w:numId w:val="0"/>
              </w:numPr>
              <w:spacing w:before="60" w:line="240" w:lineRule="auto"/>
              <w:jc w:val="center"/>
              <w:rPr>
                <w:b/>
                <w:sz w:val="16"/>
                <w:szCs w:val="16"/>
              </w:rPr>
            </w:pPr>
            <w:r>
              <w:rPr>
                <w:b/>
                <w:sz w:val="16"/>
                <w:szCs w:val="16"/>
              </w:rPr>
              <w:t xml:space="preserve">Current </w:t>
            </w:r>
            <w:r w:rsidRPr="004F075B">
              <w:rPr>
                <w:b/>
                <w:sz w:val="16"/>
                <w:szCs w:val="16"/>
              </w:rPr>
              <w:t>Principal Amount Outstanding</w:t>
            </w:r>
            <w:r>
              <w:rPr>
                <w:b/>
                <w:sz w:val="16"/>
                <w:szCs w:val="16"/>
              </w:rPr>
              <w:t xml:space="preserve"> (Principal Amount Outstanding post-settlement of the Offers)</w:t>
            </w:r>
          </w:p>
        </w:tc>
        <w:tc>
          <w:tcPr>
            <w:tcW w:w="646" w:type="pct"/>
            <w:shd w:val="clear" w:color="auto" w:fill="auto"/>
            <w:vAlign w:val="center"/>
          </w:tcPr>
          <w:p w:rsidR="00936903" w:rsidRPr="004F075B" w:rsidRDefault="00936903" w:rsidP="005F541B">
            <w:pPr>
              <w:pStyle w:val="AODocTxt"/>
              <w:numPr>
                <w:ilvl w:val="0"/>
                <w:numId w:val="0"/>
              </w:numPr>
              <w:spacing w:before="60" w:line="240" w:lineRule="auto"/>
              <w:jc w:val="center"/>
              <w:rPr>
                <w:b/>
                <w:sz w:val="16"/>
                <w:szCs w:val="16"/>
              </w:rPr>
            </w:pPr>
            <w:r>
              <w:rPr>
                <w:b/>
                <w:sz w:val="16"/>
                <w:szCs w:val="16"/>
              </w:rPr>
              <w:t>Aggregate principal amount accepted for purchase</w:t>
            </w:r>
          </w:p>
        </w:tc>
        <w:tc>
          <w:tcPr>
            <w:tcW w:w="438" w:type="pct"/>
            <w:vAlign w:val="center"/>
          </w:tcPr>
          <w:p w:rsidR="00936903" w:rsidRPr="004F075B" w:rsidDel="008230DE" w:rsidRDefault="00936903" w:rsidP="005F541B">
            <w:pPr>
              <w:pStyle w:val="AODocTxt"/>
              <w:numPr>
                <w:ilvl w:val="0"/>
                <w:numId w:val="0"/>
              </w:numPr>
              <w:spacing w:before="60" w:line="240" w:lineRule="auto"/>
              <w:jc w:val="center"/>
              <w:rPr>
                <w:b/>
                <w:sz w:val="16"/>
                <w:szCs w:val="16"/>
              </w:rPr>
            </w:pPr>
            <w:r w:rsidRPr="004F075B">
              <w:rPr>
                <w:b/>
                <w:sz w:val="16"/>
                <w:szCs w:val="16"/>
              </w:rPr>
              <w:t xml:space="preserve">Purchase </w:t>
            </w:r>
            <w:r>
              <w:rPr>
                <w:b/>
                <w:sz w:val="16"/>
                <w:szCs w:val="16"/>
              </w:rPr>
              <w:t>Price</w:t>
            </w:r>
          </w:p>
        </w:tc>
        <w:tc>
          <w:tcPr>
            <w:tcW w:w="492" w:type="pct"/>
            <w:vAlign w:val="center"/>
          </w:tcPr>
          <w:p w:rsidR="00936903" w:rsidRPr="004F075B" w:rsidDel="008230DE" w:rsidRDefault="005C3E33" w:rsidP="005F541B">
            <w:pPr>
              <w:pStyle w:val="AODocTxt"/>
              <w:numPr>
                <w:ilvl w:val="0"/>
                <w:numId w:val="0"/>
              </w:numPr>
              <w:spacing w:before="60" w:line="240" w:lineRule="auto"/>
              <w:jc w:val="center"/>
              <w:rPr>
                <w:b/>
                <w:sz w:val="16"/>
                <w:szCs w:val="16"/>
              </w:rPr>
            </w:pPr>
            <w:r>
              <w:rPr>
                <w:b/>
                <w:sz w:val="16"/>
                <w:szCs w:val="16"/>
              </w:rPr>
              <w:t>Accrued Interest</w:t>
            </w:r>
            <w:r w:rsidR="00936903">
              <w:rPr>
                <w:b/>
                <w:sz w:val="16"/>
                <w:szCs w:val="16"/>
              </w:rPr>
              <w:t>*</w:t>
            </w:r>
          </w:p>
        </w:tc>
      </w:tr>
      <w:tr w:rsidR="00853FAF" w:rsidRPr="004F075B" w:rsidTr="00C24E6A">
        <w:trPr>
          <w:trHeight w:val="290"/>
          <w:jc w:val="center"/>
        </w:trPr>
        <w:tc>
          <w:tcPr>
            <w:tcW w:w="826" w:type="pct"/>
            <w:shd w:val="clear" w:color="auto" w:fill="auto"/>
            <w:vAlign w:val="center"/>
          </w:tcPr>
          <w:p w:rsidR="00936903" w:rsidRPr="004F075B" w:rsidRDefault="00936903" w:rsidP="00421E09">
            <w:pPr>
              <w:pStyle w:val="AODocTxt"/>
              <w:spacing w:before="60" w:line="240" w:lineRule="auto"/>
              <w:jc w:val="center"/>
              <w:rPr>
                <w:bCs/>
                <w:sz w:val="16"/>
                <w:szCs w:val="16"/>
              </w:rPr>
            </w:pPr>
            <w:r w:rsidRPr="00A12A86">
              <w:rPr>
                <w:bCs/>
                <w:sz w:val="16"/>
                <w:szCs w:val="16"/>
              </w:rPr>
              <w:t>A$450,000,000 Subordinated 6.50 per cent. Fixed converting to Floating Rate Notes due 17 February 2017</w:t>
            </w:r>
          </w:p>
        </w:tc>
        <w:tc>
          <w:tcPr>
            <w:tcW w:w="742" w:type="pct"/>
            <w:shd w:val="clear" w:color="auto" w:fill="auto"/>
            <w:vAlign w:val="center"/>
          </w:tcPr>
          <w:p w:rsidR="00936903" w:rsidRPr="004F075B" w:rsidRDefault="00936903" w:rsidP="00421E09">
            <w:pPr>
              <w:pStyle w:val="AODocTxt"/>
              <w:numPr>
                <w:ilvl w:val="0"/>
                <w:numId w:val="0"/>
              </w:numPr>
              <w:spacing w:before="60" w:after="60" w:line="240" w:lineRule="auto"/>
              <w:jc w:val="center"/>
              <w:rPr>
                <w:sz w:val="16"/>
                <w:szCs w:val="16"/>
              </w:rPr>
            </w:pPr>
            <w:r w:rsidRPr="002153B5">
              <w:rPr>
                <w:sz w:val="16"/>
                <w:szCs w:val="16"/>
              </w:rPr>
              <w:t>AU3CB0008217</w:t>
            </w:r>
          </w:p>
        </w:tc>
        <w:tc>
          <w:tcPr>
            <w:tcW w:w="643" w:type="pct"/>
            <w:vAlign w:val="center"/>
          </w:tcPr>
          <w:p w:rsidR="00936903" w:rsidRDefault="00936903" w:rsidP="00421E09">
            <w:pPr>
              <w:pStyle w:val="AODocTxt"/>
              <w:numPr>
                <w:ilvl w:val="0"/>
                <w:numId w:val="0"/>
              </w:numPr>
              <w:spacing w:before="60" w:after="60" w:line="240" w:lineRule="auto"/>
              <w:jc w:val="center"/>
              <w:rPr>
                <w:sz w:val="16"/>
                <w:szCs w:val="16"/>
              </w:rPr>
            </w:pPr>
            <w:r>
              <w:rPr>
                <w:sz w:val="16"/>
                <w:szCs w:val="16"/>
              </w:rPr>
              <w:t>The Royal Bank of Scotland plc</w:t>
            </w:r>
          </w:p>
        </w:tc>
        <w:tc>
          <w:tcPr>
            <w:tcW w:w="498" w:type="pct"/>
            <w:vAlign w:val="center"/>
          </w:tcPr>
          <w:p w:rsidR="00936903" w:rsidRDefault="00936903" w:rsidP="00421E09">
            <w:pPr>
              <w:pStyle w:val="AODocTxt"/>
              <w:numPr>
                <w:ilvl w:val="0"/>
                <w:numId w:val="0"/>
              </w:numPr>
              <w:spacing w:before="60" w:after="60" w:line="240" w:lineRule="auto"/>
              <w:jc w:val="center"/>
              <w:rPr>
                <w:sz w:val="16"/>
                <w:szCs w:val="16"/>
              </w:rPr>
            </w:pPr>
            <w:r>
              <w:rPr>
                <w:sz w:val="16"/>
                <w:szCs w:val="16"/>
              </w:rPr>
              <w:t>17 February 2012</w:t>
            </w:r>
          </w:p>
        </w:tc>
        <w:tc>
          <w:tcPr>
            <w:tcW w:w="715" w:type="pct"/>
            <w:shd w:val="clear" w:color="auto" w:fill="auto"/>
            <w:vAlign w:val="center"/>
          </w:tcPr>
          <w:p w:rsidR="00936903" w:rsidRPr="004F075B" w:rsidRDefault="00936903" w:rsidP="00421E09">
            <w:pPr>
              <w:pStyle w:val="AODocTxt"/>
              <w:numPr>
                <w:ilvl w:val="0"/>
                <w:numId w:val="0"/>
              </w:numPr>
              <w:spacing w:before="60" w:after="60" w:line="240" w:lineRule="auto"/>
              <w:jc w:val="center"/>
              <w:rPr>
                <w:sz w:val="16"/>
                <w:szCs w:val="16"/>
              </w:rPr>
            </w:pPr>
            <w:r>
              <w:rPr>
                <w:sz w:val="16"/>
                <w:szCs w:val="16"/>
              </w:rPr>
              <w:t>A$49,800,000</w:t>
            </w:r>
            <w:r>
              <w:rPr>
                <w:sz w:val="16"/>
                <w:szCs w:val="16"/>
              </w:rPr>
              <w:br/>
              <w:t>(A$</w:t>
            </w:r>
            <w:r w:rsidR="00C24E6A">
              <w:rPr>
                <w:sz w:val="16"/>
                <w:szCs w:val="16"/>
              </w:rPr>
              <w:t>18,300,000</w:t>
            </w:r>
            <w:r>
              <w:rPr>
                <w:sz w:val="16"/>
                <w:szCs w:val="16"/>
              </w:rPr>
              <w:t>)</w:t>
            </w:r>
          </w:p>
        </w:tc>
        <w:tc>
          <w:tcPr>
            <w:tcW w:w="646" w:type="pct"/>
            <w:shd w:val="clear" w:color="auto" w:fill="auto"/>
            <w:vAlign w:val="center"/>
          </w:tcPr>
          <w:p w:rsidR="00936903" w:rsidRPr="004F075B" w:rsidRDefault="00936903" w:rsidP="00421E09">
            <w:pPr>
              <w:pStyle w:val="AODocTxt"/>
              <w:numPr>
                <w:ilvl w:val="0"/>
                <w:numId w:val="0"/>
              </w:numPr>
              <w:spacing w:before="60" w:after="60" w:line="240" w:lineRule="auto"/>
              <w:jc w:val="center"/>
              <w:rPr>
                <w:sz w:val="16"/>
                <w:szCs w:val="16"/>
              </w:rPr>
            </w:pPr>
            <w:r>
              <w:rPr>
                <w:sz w:val="16"/>
                <w:szCs w:val="16"/>
              </w:rPr>
              <w:t>A$</w:t>
            </w:r>
            <w:r w:rsidR="00C24E6A">
              <w:rPr>
                <w:sz w:val="16"/>
                <w:szCs w:val="16"/>
              </w:rPr>
              <w:t>31,500,000</w:t>
            </w:r>
          </w:p>
        </w:tc>
        <w:tc>
          <w:tcPr>
            <w:tcW w:w="438" w:type="pct"/>
            <w:vAlign w:val="center"/>
          </w:tcPr>
          <w:p w:rsidR="00936903" w:rsidRPr="004F075B" w:rsidDel="008230DE" w:rsidRDefault="00936903" w:rsidP="00421E09">
            <w:pPr>
              <w:pStyle w:val="AODocTxt"/>
              <w:numPr>
                <w:ilvl w:val="0"/>
                <w:numId w:val="0"/>
              </w:numPr>
              <w:spacing w:before="60" w:after="60" w:line="240" w:lineRule="auto"/>
              <w:jc w:val="center"/>
              <w:rPr>
                <w:sz w:val="16"/>
                <w:szCs w:val="16"/>
              </w:rPr>
            </w:pPr>
            <w:r>
              <w:rPr>
                <w:sz w:val="16"/>
                <w:szCs w:val="16"/>
              </w:rPr>
              <w:t>94.50 per cent.</w:t>
            </w:r>
          </w:p>
        </w:tc>
        <w:tc>
          <w:tcPr>
            <w:tcW w:w="492" w:type="pct"/>
            <w:vAlign w:val="center"/>
          </w:tcPr>
          <w:p w:rsidR="00936903" w:rsidRPr="004F075B" w:rsidDel="008230DE" w:rsidRDefault="00936903" w:rsidP="00C24E6A">
            <w:pPr>
              <w:pStyle w:val="AODocTxt"/>
              <w:numPr>
                <w:ilvl w:val="0"/>
                <w:numId w:val="0"/>
              </w:numPr>
              <w:spacing w:before="60" w:after="60" w:line="240" w:lineRule="auto"/>
              <w:jc w:val="center"/>
              <w:rPr>
                <w:sz w:val="16"/>
                <w:szCs w:val="16"/>
              </w:rPr>
            </w:pPr>
            <w:r>
              <w:rPr>
                <w:sz w:val="16"/>
                <w:szCs w:val="16"/>
              </w:rPr>
              <w:t>A$</w:t>
            </w:r>
            <w:r w:rsidR="009F3144">
              <w:rPr>
                <w:sz w:val="16"/>
                <w:szCs w:val="16"/>
              </w:rPr>
              <w:t>580.24</w:t>
            </w:r>
          </w:p>
        </w:tc>
      </w:tr>
      <w:tr w:rsidR="00853FAF" w:rsidRPr="004F075B" w:rsidTr="00C24E6A">
        <w:trPr>
          <w:trHeight w:val="379"/>
          <w:jc w:val="center"/>
        </w:trPr>
        <w:tc>
          <w:tcPr>
            <w:tcW w:w="826" w:type="pct"/>
            <w:shd w:val="clear" w:color="auto" w:fill="auto"/>
            <w:vAlign w:val="center"/>
          </w:tcPr>
          <w:p w:rsidR="00936903" w:rsidRPr="004F075B" w:rsidRDefault="00936903" w:rsidP="00421E09">
            <w:pPr>
              <w:pStyle w:val="AODocTxt"/>
              <w:numPr>
                <w:ilvl w:val="0"/>
                <w:numId w:val="0"/>
              </w:numPr>
              <w:spacing w:before="60" w:line="240" w:lineRule="auto"/>
              <w:jc w:val="center"/>
              <w:rPr>
                <w:bCs/>
                <w:sz w:val="16"/>
                <w:szCs w:val="16"/>
              </w:rPr>
            </w:pPr>
            <w:r w:rsidRPr="00A12A86">
              <w:rPr>
                <w:bCs/>
                <w:sz w:val="16"/>
                <w:szCs w:val="16"/>
              </w:rPr>
              <w:t>A$450,000,000 Subordinated Floating Rate Notes due 17 February 2017</w:t>
            </w:r>
          </w:p>
        </w:tc>
        <w:tc>
          <w:tcPr>
            <w:tcW w:w="742" w:type="pct"/>
            <w:shd w:val="clear" w:color="auto" w:fill="auto"/>
            <w:vAlign w:val="center"/>
          </w:tcPr>
          <w:p w:rsidR="00936903" w:rsidRPr="004F075B" w:rsidRDefault="00936903" w:rsidP="00421E09">
            <w:pPr>
              <w:pStyle w:val="AODocTxt"/>
              <w:numPr>
                <w:ilvl w:val="0"/>
                <w:numId w:val="0"/>
              </w:numPr>
              <w:spacing w:before="60" w:line="240" w:lineRule="auto"/>
              <w:jc w:val="center"/>
              <w:rPr>
                <w:sz w:val="16"/>
                <w:szCs w:val="16"/>
              </w:rPr>
            </w:pPr>
            <w:r w:rsidRPr="002153B5">
              <w:rPr>
                <w:sz w:val="16"/>
                <w:szCs w:val="16"/>
              </w:rPr>
              <w:t>AU3FN0000790</w:t>
            </w:r>
          </w:p>
        </w:tc>
        <w:tc>
          <w:tcPr>
            <w:tcW w:w="643" w:type="pct"/>
            <w:vAlign w:val="center"/>
          </w:tcPr>
          <w:p w:rsidR="00936903" w:rsidRDefault="00936903" w:rsidP="00421E09">
            <w:pPr>
              <w:pStyle w:val="AODocTxt"/>
              <w:numPr>
                <w:ilvl w:val="0"/>
                <w:numId w:val="0"/>
              </w:numPr>
              <w:spacing w:before="60" w:line="240" w:lineRule="auto"/>
              <w:jc w:val="center"/>
              <w:rPr>
                <w:sz w:val="16"/>
                <w:szCs w:val="16"/>
              </w:rPr>
            </w:pPr>
            <w:r>
              <w:rPr>
                <w:sz w:val="16"/>
                <w:szCs w:val="16"/>
              </w:rPr>
              <w:t>The Royal Bank of Scotland plc</w:t>
            </w:r>
          </w:p>
        </w:tc>
        <w:tc>
          <w:tcPr>
            <w:tcW w:w="498" w:type="pct"/>
            <w:vAlign w:val="center"/>
          </w:tcPr>
          <w:p w:rsidR="00936903" w:rsidRDefault="00936903" w:rsidP="00421E09">
            <w:pPr>
              <w:pStyle w:val="AODocTxt"/>
              <w:numPr>
                <w:ilvl w:val="0"/>
                <w:numId w:val="0"/>
              </w:numPr>
              <w:spacing w:before="60" w:line="240" w:lineRule="auto"/>
              <w:jc w:val="center"/>
              <w:rPr>
                <w:sz w:val="16"/>
                <w:szCs w:val="16"/>
              </w:rPr>
            </w:pPr>
            <w:r>
              <w:rPr>
                <w:sz w:val="16"/>
                <w:szCs w:val="16"/>
              </w:rPr>
              <w:t>17 February 2012</w:t>
            </w:r>
          </w:p>
        </w:tc>
        <w:tc>
          <w:tcPr>
            <w:tcW w:w="715" w:type="pct"/>
            <w:shd w:val="clear" w:color="auto" w:fill="auto"/>
            <w:vAlign w:val="center"/>
          </w:tcPr>
          <w:p w:rsidR="00936903" w:rsidRPr="004F075B" w:rsidRDefault="00936903" w:rsidP="00421E09">
            <w:pPr>
              <w:pStyle w:val="AODocTxt"/>
              <w:numPr>
                <w:ilvl w:val="0"/>
                <w:numId w:val="0"/>
              </w:numPr>
              <w:spacing w:before="60" w:line="240" w:lineRule="auto"/>
              <w:jc w:val="center"/>
              <w:rPr>
                <w:sz w:val="16"/>
                <w:szCs w:val="16"/>
              </w:rPr>
            </w:pPr>
            <w:r>
              <w:rPr>
                <w:sz w:val="16"/>
                <w:szCs w:val="16"/>
              </w:rPr>
              <w:t>A$89,700,000</w:t>
            </w:r>
            <w:r>
              <w:rPr>
                <w:sz w:val="16"/>
                <w:szCs w:val="16"/>
              </w:rPr>
              <w:br/>
              <w:t>(A$</w:t>
            </w:r>
            <w:r w:rsidR="00C24E6A">
              <w:rPr>
                <w:sz w:val="16"/>
                <w:szCs w:val="16"/>
              </w:rPr>
              <w:t>36,000,000</w:t>
            </w:r>
            <w:r>
              <w:rPr>
                <w:sz w:val="16"/>
                <w:szCs w:val="16"/>
              </w:rPr>
              <w:t>)</w:t>
            </w:r>
          </w:p>
        </w:tc>
        <w:tc>
          <w:tcPr>
            <w:tcW w:w="646" w:type="pct"/>
            <w:shd w:val="clear" w:color="auto" w:fill="auto"/>
            <w:vAlign w:val="center"/>
          </w:tcPr>
          <w:p w:rsidR="00936903" w:rsidRPr="004F075B" w:rsidRDefault="00936903" w:rsidP="00421E09">
            <w:pPr>
              <w:pStyle w:val="AODocTxt"/>
              <w:spacing w:before="60" w:line="240" w:lineRule="auto"/>
              <w:jc w:val="center"/>
              <w:rPr>
                <w:sz w:val="16"/>
                <w:szCs w:val="16"/>
              </w:rPr>
            </w:pPr>
            <w:r>
              <w:rPr>
                <w:sz w:val="16"/>
                <w:szCs w:val="16"/>
              </w:rPr>
              <w:t>A$</w:t>
            </w:r>
            <w:r w:rsidR="00C24E6A">
              <w:rPr>
                <w:sz w:val="16"/>
                <w:szCs w:val="16"/>
              </w:rPr>
              <w:t>53,700,000</w:t>
            </w:r>
          </w:p>
        </w:tc>
        <w:tc>
          <w:tcPr>
            <w:tcW w:w="438" w:type="pct"/>
            <w:vAlign w:val="center"/>
          </w:tcPr>
          <w:p w:rsidR="00936903" w:rsidRDefault="00936903" w:rsidP="00421E09">
            <w:pPr>
              <w:pStyle w:val="AODocTxt"/>
              <w:spacing w:before="60" w:line="240" w:lineRule="auto"/>
              <w:jc w:val="center"/>
              <w:rPr>
                <w:sz w:val="16"/>
                <w:szCs w:val="16"/>
              </w:rPr>
            </w:pPr>
            <w:r>
              <w:rPr>
                <w:sz w:val="16"/>
                <w:szCs w:val="16"/>
              </w:rPr>
              <w:t>94.50 per cent.</w:t>
            </w:r>
          </w:p>
        </w:tc>
        <w:tc>
          <w:tcPr>
            <w:tcW w:w="492" w:type="pct"/>
            <w:vAlign w:val="center"/>
          </w:tcPr>
          <w:p w:rsidR="00936903" w:rsidRDefault="00936903" w:rsidP="00C24E6A">
            <w:pPr>
              <w:pStyle w:val="AODocTxt"/>
              <w:spacing w:before="60" w:line="240" w:lineRule="auto"/>
              <w:jc w:val="center"/>
              <w:rPr>
                <w:sz w:val="16"/>
                <w:szCs w:val="16"/>
              </w:rPr>
            </w:pPr>
            <w:r>
              <w:rPr>
                <w:sz w:val="16"/>
                <w:szCs w:val="16"/>
              </w:rPr>
              <w:t>A$</w:t>
            </w:r>
            <w:r w:rsidR="009F3144">
              <w:rPr>
                <w:sz w:val="16"/>
                <w:szCs w:val="16"/>
              </w:rPr>
              <w:t>580.24</w:t>
            </w:r>
          </w:p>
        </w:tc>
      </w:tr>
      <w:tr w:rsidR="00853FAF" w:rsidRPr="004F075B" w:rsidTr="00C24E6A">
        <w:trPr>
          <w:trHeight w:val="405"/>
          <w:jc w:val="center"/>
        </w:trPr>
        <w:tc>
          <w:tcPr>
            <w:tcW w:w="826" w:type="pct"/>
            <w:shd w:val="clear" w:color="auto" w:fill="auto"/>
            <w:vAlign w:val="center"/>
          </w:tcPr>
          <w:p w:rsidR="00936903" w:rsidRPr="004F075B" w:rsidRDefault="00936903" w:rsidP="00421E09">
            <w:pPr>
              <w:pStyle w:val="AODocTxt"/>
              <w:numPr>
                <w:ilvl w:val="0"/>
                <w:numId w:val="0"/>
              </w:numPr>
              <w:spacing w:before="60" w:line="240" w:lineRule="auto"/>
              <w:jc w:val="center"/>
            </w:pPr>
            <w:r w:rsidRPr="00792916">
              <w:rPr>
                <w:sz w:val="16"/>
                <w:szCs w:val="16"/>
              </w:rPr>
              <w:t>€500,000,000 Floating Rate Subordinated Callable Step-Up Notes due 2017</w:t>
            </w:r>
          </w:p>
        </w:tc>
        <w:tc>
          <w:tcPr>
            <w:tcW w:w="742" w:type="pct"/>
            <w:shd w:val="clear" w:color="auto" w:fill="auto"/>
            <w:vAlign w:val="center"/>
          </w:tcPr>
          <w:p w:rsidR="00936903" w:rsidRPr="004F075B" w:rsidRDefault="00936903" w:rsidP="00421E09">
            <w:pPr>
              <w:pStyle w:val="AODocTxt"/>
              <w:numPr>
                <w:ilvl w:val="0"/>
                <w:numId w:val="0"/>
              </w:numPr>
              <w:spacing w:before="60" w:line="240" w:lineRule="auto"/>
              <w:jc w:val="center"/>
            </w:pPr>
            <w:r w:rsidRPr="00B5480E">
              <w:rPr>
                <w:sz w:val="16"/>
                <w:szCs w:val="16"/>
              </w:rPr>
              <w:t>XS0259579547</w:t>
            </w:r>
          </w:p>
        </w:tc>
        <w:tc>
          <w:tcPr>
            <w:tcW w:w="643" w:type="pct"/>
            <w:vAlign w:val="center"/>
          </w:tcPr>
          <w:p w:rsidR="00936903" w:rsidRDefault="00936903" w:rsidP="00421E09">
            <w:pPr>
              <w:pStyle w:val="AODocTxt"/>
              <w:numPr>
                <w:ilvl w:val="0"/>
                <w:numId w:val="0"/>
              </w:numPr>
              <w:spacing w:before="60" w:line="240" w:lineRule="auto"/>
              <w:jc w:val="center"/>
              <w:rPr>
                <w:sz w:val="16"/>
                <w:szCs w:val="16"/>
              </w:rPr>
            </w:pPr>
            <w:r>
              <w:rPr>
                <w:sz w:val="16"/>
                <w:szCs w:val="16"/>
              </w:rPr>
              <w:t>The Royal Bank of Scotland plc</w:t>
            </w:r>
          </w:p>
        </w:tc>
        <w:tc>
          <w:tcPr>
            <w:tcW w:w="498" w:type="pct"/>
            <w:vAlign w:val="center"/>
          </w:tcPr>
          <w:p w:rsidR="00936903" w:rsidRDefault="00936903" w:rsidP="00421E09">
            <w:pPr>
              <w:pStyle w:val="AODocTxt"/>
              <w:numPr>
                <w:ilvl w:val="0"/>
                <w:numId w:val="0"/>
              </w:numPr>
              <w:spacing w:before="60" w:line="240" w:lineRule="auto"/>
              <w:jc w:val="center"/>
              <w:rPr>
                <w:sz w:val="16"/>
                <w:szCs w:val="16"/>
              </w:rPr>
            </w:pPr>
            <w:r>
              <w:rPr>
                <w:sz w:val="16"/>
                <w:szCs w:val="16"/>
              </w:rPr>
              <w:t>30 January 2012</w:t>
            </w:r>
          </w:p>
        </w:tc>
        <w:tc>
          <w:tcPr>
            <w:tcW w:w="715" w:type="pct"/>
            <w:shd w:val="clear" w:color="auto" w:fill="auto"/>
            <w:vAlign w:val="center"/>
          </w:tcPr>
          <w:p w:rsidR="00936903" w:rsidRPr="004F075B" w:rsidRDefault="00936903" w:rsidP="00421E09">
            <w:pPr>
              <w:pStyle w:val="AODocTxt"/>
              <w:numPr>
                <w:ilvl w:val="0"/>
                <w:numId w:val="0"/>
              </w:numPr>
              <w:spacing w:before="60" w:line="240" w:lineRule="auto"/>
              <w:jc w:val="center"/>
              <w:rPr>
                <w:sz w:val="16"/>
                <w:szCs w:val="16"/>
              </w:rPr>
            </w:pPr>
            <w:r>
              <w:rPr>
                <w:sz w:val="16"/>
                <w:szCs w:val="16"/>
              </w:rPr>
              <w:t>€102,450,000</w:t>
            </w:r>
            <w:r>
              <w:rPr>
                <w:sz w:val="16"/>
                <w:szCs w:val="16"/>
              </w:rPr>
              <w:br/>
              <w:t>(€</w:t>
            </w:r>
            <w:r w:rsidR="00C24E6A">
              <w:rPr>
                <w:sz w:val="16"/>
                <w:szCs w:val="16"/>
              </w:rPr>
              <w:t>22,700,000</w:t>
            </w:r>
            <w:r>
              <w:rPr>
                <w:sz w:val="16"/>
                <w:szCs w:val="16"/>
              </w:rPr>
              <w:t>)</w:t>
            </w:r>
          </w:p>
        </w:tc>
        <w:tc>
          <w:tcPr>
            <w:tcW w:w="646" w:type="pct"/>
            <w:shd w:val="clear" w:color="auto" w:fill="auto"/>
            <w:vAlign w:val="center"/>
          </w:tcPr>
          <w:p w:rsidR="00936903" w:rsidRPr="004F075B" w:rsidRDefault="00936903" w:rsidP="00421E09">
            <w:pPr>
              <w:pStyle w:val="AODocTxt"/>
              <w:spacing w:before="60" w:line="240" w:lineRule="auto"/>
              <w:jc w:val="center"/>
              <w:rPr>
                <w:sz w:val="16"/>
                <w:szCs w:val="16"/>
              </w:rPr>
            </w:pPr>
            <w:r>
              <w:rPr>
                <w:sz w:val="16"/>
                <w:szCs w:val="16"/>
              </w:rPr>
              <w:t>€</w:t>
            </w:r>
            <w:r w:rsidR="00C24E6A">
              <w:rPr>
                <w:sz w:val="16"/>
                <w:szCs w:val="16"/>
              </w:rPr>
              <w:t>79,750,000</w:t>
            </w:r>
          </w:p>
        </w:tc>
        <w:tc>
          <w:tcPr>
            <w:tcW w:w="438" w:type="pct"/>
            <w:vAlign w:val="center"/>
          </w:tcPr>
          <w:p w:rsidR="00936903" w:rsidRDefault="00936903" w:rsidP="00421E09">
            <w:pPr>
              <w:pStyle w:val="AODocTxt"/>
              <w:spacing w:before="60" w:line="240" w:lineRule="auto"/>
              <w:jc w:val="center"/>
              <w:rPr>
                <w:sz w:val="16"/>
                <w:szCs w:val="16"/>
              </w:rPr>
            </w:pPr>
            <w:r>
              <w:rPr>
                <w:sz w:val="16"/>
                <w:szCs w:val="16"/>
              </w:rPr>
              <w:t>98.50 per cent.</w:t>
            </w:r>
          </w:p>
        </w:tc>
        <w:tc>
          <w:tcPr>
            <w:tcW w:w="492" w:type="pct"/>
            <w:vAlign w:val="center"/>
          </w:tcPr>
          <w:p w:rsidR="00936903" w:rsidRDefault="00936903" w:rsidP="00C24E6A">
            <w:pPr>
              <w:pStyle w:val="AODocTxt"/>
              <w:spacing w:before="60" w:line="240" w:lineRule="auto"/>
              <w:jc w:val="center"/>
              <w:rPr>
                <w:sz w:val="16"/>
                <w:szCs w:val="16"/>
              </w:rPr>
            </w:pPr>
            <w:r>
              <w:rPr>
                <w:sz w:val="16"/>
                <w:szCs w:val="16"/>
              </w:rPr>
              <w:t>€</w:t>
            </w:r>
            <w:r w:rsidR="009F3144">
              <w:rPr>
                <w:sz w:val="16"/>
                <w:szCs w:val="16"/>
              </w:rPr>
              <w:t>107.42</w:t>
            </w:r>
          </w:p>
        </w:tc>
      </w:tr>
      <w:tr w:rsidR="00853FAF" w:rsidRPr="004F075B" w:rsidTr="00C24E6A">
        <w:trPr>
          <w:trHeight w:val="419"/>
          <w:jc w:val="center"/>
        </w:trPr>
        <w:tc>
          <w:tcPr>
            <w:tcW w:w="826" w:type="pct"/>
            <w:shd w:val="clear" w:color="auto" w:fill="auto"/>
            <w:vAlign w:val="center"/>
          </w:tcPr>
          <w:p w:rsidR="00936903" w:rsidRPr="00B5480E" w:rsidRDefault="00936903" w:rsidP="00421E09">
            <w:pPr>
              <w:pStyle w:val="AODocTxt"/>
              <w:numPr>
                <w:ilvl w:val="0"/>
                <w:numId w:val="0"/>
              </w:numPr>
              <w:spacing w:before="60" w:line="240" w:lineRule="auto"/>
              <w:jc w:val="center"/>
              <w:rPr>
                <w:sz w:val="16"/>
                <w:szCs w:val="16"/>
              </w:rPr>
            </w:pPr>
            <w:r w:rsidRPr="00792916">
              <w:rPr>
                <w:sz w:val="16"/>
                <w:szCs w:val="16"/>
              </w:rPr>
              <w:t>US$1,500,000,000 Floating Rate Subordinated Callable Step-Up Notes due August 2017</w:t>
            </w:r>
          </w:p>
        </w:tc>
        <w:tc>
          <w:tcPr>
            <w:tcW w:w="742" w:type="pct"/>
            <w:shd w:val="clear" w:color="auto" w:fill="auto"/>
            <w:vAlign w:val="center"/>
          </w:tcPr>
          <w:p w:rsidR="00936903" w:rsidRPr="00B5480E" w:rsidRDefault="00936903" w:rsidP="00421E09">
            <w:pPr>
              <w:pStyle w:val="AODocTxt"/>
              <w:numPr>
                <w:ilvl w:val="0"/>
                <w:numId w:val="0"/>
              </w:numPr>
              <w:spacing w:before="60" w:line="240" w:lineRule="auto"/>
              <w:jc w:val="center"/>
              <w:rPr>
                <w:sz w:val="16"/>
                <w:szCs w:val="16"/>
              </w:rPr>
            </w:pPr>
            <w:r w:rsidRPr="00B5480E">
              <w:rPr>
                <w:sz w:val="16"/>
                <w:szCs w:val="16"/>
              </w:rPr>
              <w:t>XS0302127625</w:t>
            </w:r>
          </w:p>
        </w:tc>
        <w:tc>
          <w:tcPr>
            <w:tcW w:w="643" w:type="pct"/>
            <w:vAlign w:val="center"/>
          </w:tcPr>
          <w:p w:rsidR="00936903" w:rsidRDefault="00936903" w:rsidP="00421E09">
            <w:pPr>
              <w:pStyle w:val="AODocTxt"/>
              <w:spacing w:before="60" w:line="240" w:lineRule="auto"/>
              <w:jc w:val="center"/>
              <w:rPr>
                <w:sz w:val="16"/>
                <w:szCs w:val="16"/>
              </w:rPr>
            </w:pPr>
            <w:r>
              <w:rPr>
                <w:sz w:val="16"/>
                <w:szCs w:val="16"/>
              </w:rPr>
              <w:t>The Royal Bank of Scotland plc</w:t>
            </w:r>
          </w:p>
        </w:tc>
        <w:tc>
          <w:tcPr>
            <w:tcW w:w="498" w:type="pct"/>
            <w:vAlign w:val="center"/>
          </w:tcPr>
          <w:p w:rsidR="00936903" w:rsidRDefault="00936903" w:rsidP="00421E09">
            <w:pPr>
              <w:pStyle w:val="AODocTxt"/>
              <w:spacing w:before="60" w:line="240" w:lineRule="auto"/>
              <w:jc w:val="center"/>
              <w:rPr>
                <w:sz w:val="16"/>
                <w:szCs w:val="16"/>
              </w:rPr>
            </w:pPr>
            <w:r>
              <w:rPr>
                <w:sz w:val="16"/>
                <w:szCs w:val="16"/>
              </w:rPr>
              <w:t>29 August 2012</w:t>
            </w:r>
          </w:p>
        </w:tc>
        <w:tc>
          <w:tcPr>
            <w:tcW w:w="715" w:type="pct"/>
            <w:shd w:val="clear" w:color="auto" w:fill="auto"/>
            <w:vAlign w:val="center"/>
          </w:tcPr>
          <w:p w:rsidR="00936903" w:rsidRPr="004F075B" w:rsidDel="002153B5" w:rsidRDefault="00936903" w:rsidP="00421E09">
            <w:pPr>
              <w:pStyle w:val="AODocTxt"/>
              <w:spacing w:before="60" w:line="240" w:lineRule="auto"/>
              <w:jc w:val="center"/>
              <w:rPr>
                <w:sz w:val="16"/>
                <w:szCs w:val="16"/>
              </w:rPr>
            </w:pPr>
            <w:r>
              <w:rPr>
                <w:sz w:val="16"/>
                <w:szCs w:val="16"/>
              </w:rPr>
              <w:t>US$450,000,000</w:t>
            </w:r>
            <w:r>
              <w:rPr>
                <w:sz w:val="16"/>
                <w:szCs w:val="16"/>
              </w:rPr>
              <w:br/>
              <w:t>(US$</w:t>
            </w:r>
            <w:r w:rsidR="00C24E6A">
              <w:rPr>
                <w:sz w:val="16"/>
                <w:szCs w:val="16"/>
              </w:rPr>
              <w:t>238,100,000</w:t>
            </w:r>
            <w:r>
              <w:rPr>
                <w:sz w:val="16"/>
                <w:szCs w:val="16"/>
              </w:rPr>
              <w:t>)</w:t>
            </w:r>
          </w:p>
        </w:tc>
        <w:tc>
          <w:tcPr>
            <w:tcW w:w="646" w:type="pct"/>
            <w:shd w:val="clear" w:color="auto" w:fill="auto"/>
            <w:vAlign w:val="center"/>
          </w:tcPr>
          <w:p w:rsidR="00936903" w:rsidRPr="004F075B" w:rsidRDefault="00936903" w:rsidP="00421E09">
            <w:pPr>
              <w:pStyle w:val="AODocTxt"/>
              <w:spacing w:before="60" w:line="240" w:lineRule="auto"/>
              <w:jc w:val="center"/>
              <w:rPr>
                <w:sz w:val="16"/>
                <w:szCs w:val="16"/>
              </w:rPr>
            </w:pPr>
            <w:r>
              <w:rPr>
                <w:sz w:val="16"/>
                <w:szCs w:val="16"/>
              </w:rPr>
              <w:t>US$</w:t>
            </w:r>
            <w:r w:rsidR="00C24E6A">
              <w:rPr>
                <w:sz w:val="16"/>
                <w:szCs w:val="16"/>
              </w:rPr>
              <w:t>211,900,000</w:t>
            </w:r>
          </w:p>
        </w:tc>
        <w:tc>
          <w:tcPr>
            <w:tcW w:w="438" w:type="pct"/>
            <w:vAlign w:val="center"/>
          </w:tcPr>
          <w:p w:rsidR="00936903" w:rsidRDefault="00936903" w:rsidP="00421E09">
            <w:pPr>
              <w:pStyle w:val="AODocTxt"/>
              <w:spacing w:before="60" w:line="240" w:lineRule="auto"/>
              <w:jc w:val="center"/>
              <w:rPr>
                <w:sz w:val="16"/>
                <w:szCs w:val="16"/>
              </w:rPr>
            </w:pPr>
            <w:r>
              <w:rPr>
                <w:sz w:val="16"/>
                <w:szCs w:val="16"/>
              </w:rPr>
              <w:t>98.00 per cent.</w:t>
            </w:r>
          </w:p>
        </w:tc>
        <w:tc>
          <w:tcPr>
            <w:tcW w:w="492" w:type="pct"/>
            <w:vAlign w:val="center"/>
          </w:tcPr>
          <w:p w:rsidR="00936903" w:rsidRDefault="00936903" w:rsidP="00936903">
            <w:pPr>
              <w:pStyle w:val="AODocTxt"/>
              <w:spacing w:before="60" w:line="240" w:lineRule="auto"/>
              <w:jc w:val="center"/>
              <w:rPr>
                <w:sz w:val="16"/>
                <w:szCs w:val="16"/>
              </w:rPr>
            </w:pPr>
            <w:r>
              <w:rPr>
                <w:sz w:val="16"/>
                <w:szCs w:val="16"/>
              </w:rPr>
              <w:t>US$</w:t>
            </w:r>
            <w:r w:rsidR="009F3144">
              <w:rPr>
                <w:sz w:val="16"/>
                <w:szCs w:val="16"/>
              </w:rPr>
              <w:t>127.62</w:t>
            </w:r>
          </w:p>
        </w:tc>
      </w:tr>
      <w:tr w:rsidR="00853FAF" w:rsidRPr="004F075B" w:rsidTr="00C24E6A">
        <w:trPr>
          <w:trHeight w:val="419"/>
          <w:jc w:val="center"/>
        </w:trPr>
        <w:tc>
          <w:tcPr>
            <w:tcW w:w="826" w:type="pct"/>
            <w:shd w:val="clear" w:color="auto" w:fill="auto"/>
            <w:vAlign w:val="center"/>
          </w:tcPr>
          <w:p w:rsidR="00936903" w:rsidRPr="002770D4" w:rsidRDefault="00936903" w:rsidP="00F21682">
            <w:pPr>
              <w:pStyle w:val="AODocTxt"/>
              <w:keepNext/>
              <w:keepLines/>
              <w:numPr>
                <w:ilvl w:val="0"/>
                <w:numId w:val="0"/>
              </w:numPr>
              <w:spacing w:before="60" w:line="240" w:lineRule="auto"/>
              <w:jc w:val="center"/>
              <w:rPr>
                <w:sz w:val="16"/>
                <w:szCs w:val="16"/>
              </w:rPr>
            </w:pPr>
            <w:r w:rsidRPr="00A12A86">
              <w:rPr>
                <w:sz w:val="16"/>
                <w:szCs w:val="16"/>
              </w:rPr>
              <w:lastRenderedPageBreak/>
              <w:t>A$575,000,000 Subordinated 6.50 per cent. Notes converting to Floating Rate Notes due 2018</w:t>
            </w:r>
          </w:p>
        </w:tc>
        <w:tc>
          <w:tcPr>
            <w:tcW w:w="742" w:type="pct"/>
            <w:shd w:val="clear" w:color="auto" w:fill="auto"/>
            <w:vAlign w:val="center"/>
          </w:tcPr>
          <w:p w:rsidR="00936903" w:rsidRPr="002770D4" w:rsidRDefault="00936903" w:rsidP="00421E09">
            <w:pPr>
              <w:pStyle w:val="AODocTxt"/>
              <w:numPr>
                <w:ilvl w:val="0"/>
                <w:numId w:val="0"/>
              </w:numPr>
              <w:spacing w:before="60" w:line="240" w:lineRule="auto"/>
              <w:jc w:val="center"/>
              <w:rPr>
                <w:sz w:val="16"/>
                <w:szCs w:val="16"/>
              </w:rPr>
            </w:pPr>
            <w:r w:rsidRPr="002153B5">
              <w:rPr>
                <w:sz w:val="16"/>
                <w:szCs w:val="16"/>
              </w:rPr>
              <w:t>AU0000ABOHG2</w:t>
            </w:r>
          </w:p>
        </w:tc>
        <w:tc>
          <w:tcPr>
            <w:tcW w:w="643" w:type="pct"/>
            <w:vAlign w:val="center"/>
          </w:tcPr>
          <w:p w:rsidR="00936903" w:rsidRDefault="00936903" w:rsidP="00421E09">
            <w:pPr>
              <w:pStyle w:val="AODocTxt"/>
              <w:numPr>
                <w:ilvl w:val="0"/>
                <w:numId w:val="0"/>
              </w:numPr>
              <w:spacing w:before="60" w:line="240" w:lineRule="auto"/>
              <w:jc w:val="center"/>
              <w:rPr>
                <w:sz w:val="16"/>
                <w:szCs w:val="16"/>
              </w:rPr>
            </w:pPr>
            <w:r>
              <w:rPr>
                <w:sz w:val="16"/>
                <w:szCs w:val="16"/>
              </w:rPr>
              <w:t>The Royal Bank of Scotland N.V.</w:t>
            </w:r>
          </w:p>
        </w:tc>
        <w:tc>
          <w:tcPr>
            <w:tcW w:w="498" w:type="pct"/>
            <w:vAlign w:val="center"/>
          </w:tcPr>
          <w:p w:rsidR="00936903" w:rsidRDefault="00936903" w:rsidP="00421E09">
            <w:pPr>
              <w:pStyle w:val="AODocTxt"/>
              <w:numPr>
                <w:ilvl w:val="0"/>
                <w:numId w:val="0"/>
              </w:numPr>
              <w:spacing w:before="60" w:line="240" w:lineRule="auto"/>
              <w:jc w:val="center"/>
              <w:rPr>
                <w:sz w:val="16"/>
                <w:szCs w:val="16"/>
              </w:rPr>
            </w:pPr>
            <w:r>
              <w:rPr>
                <w:sz w:val="16"/>
                <w:szCs w:val="16"/>
              </w:rPr>
              <w:t>17 May 2013</w:t>
            </w:r>
          </w:p>
        </w:tc>
        <w:tc>
          <w:tcPr>
            <w:tcW w:w="715" w:type="pct"/>
            <w:shd w:val="clear" w:color="auto" w:fill="auto"/>
            <w:vAlign w:val="center"/>
          </w:tcPr>
          <w:p w:rsidR="00936903" w:rsidRPr="004F075B" w:rsidRDefault="00936903" w:rsidP="00421E09">
            <w:pPr>
              <w:pStyle w:val="AODocTxt"/>
              <w:numPr>
                <w:ilvl w:val="0"/>
                <w:numId w:val="0"/>
              </w:numPr>
              <w:spacing w:before="60" w:line="240" w:lineRule="auto"/>
              <w:jc w:val="center"/>
              <w:rPr>
                <w:sz w:val="16"/>
                <w:szCs w:val="16"/>
              </w:rPr>
            </w:pPr>
            <w:r>
              <w:rPr>
                <w:sz w:val="16"/>
                <w:szCs w:val="16"/>
              </w:rPr>
              <w:t>A</w:t>
            </w:r>
            <w:r w:rsidRPr="00B97994">
              <w:rPr>
                <w:sz w:val="16"/>
                <w:szCs w:val="16"/>
              </w:rPr>
              <w:t>$575,000,000</w:t>
            </w:r>
            <w:r>
              <w:rPr>
                <w:sz w:val="16"/>
                <w:szCs w:val="16"/>
              </w:rPr>
              <w:br/>
              <w:t>(A$</w:t>
            </w:r>
            <w:r w:rsidR="00C24E6A">
              <w:rPr>
                <w:sz w:val="16"/>
                <w:szCs w:val="16"/>
              </w:rPr>
              <w:t>125,412,000</w:t>
            </w:r>
            <w:r>
              <w:rPr>
                <w:sz w:val="16"/>
                <w:szCs w:val="16"/>
              </w:rPr>
              <w:t>)</w:t>
            </w:r>
            <w:r w:rsidRPr="00B97994">
              <w:rPr>
                <w:sz w:val="16"/>
                <w:szCs w:val="16"/>
              </w:rPr>
              <w:t xml:space="preserve"> </w:t>
            </w:r>
          </w:p>
        </w:tc>
        <w:tc>
          <w:tcPr>
            <w:tcW w:w="646" w:type="pct"/>
            <w:shd w:val="clear" w:color="auto" w:fill="auto"/>
            <w:vAlign w:val="center"/>
          </w:tcPr>
          <w:p w:rsidR="00936903" w:rsidRPr="004F075B" w:rsidRDefault="00936903" w:rsidP="00421E09">
            <w:pPr>
              <w:pStyle w:val="AODocTxt"/>
              <w:spacing w:before="60" w:line="240" w:lineRule="auto"/>
              <w:jc w:val="center"/>
              <w:rPr>
                <w:sz w:val="16"/>
                <w:szCs w:val="16"/>
              </w:rPr>
            </w:pPr>
            <w:r>
              <w:rPr>
                <w:sz w:val="16"/>
                <w:szCs w:val="16"/>
              </w:rPr>
              <w:t>A$</w:t>
            </w:r>
            <w:r w:rsidR="00C24E6A">
              <w:rPr>
                <w:sz w:val="16"/>
                <w:szCs w:val="16"/>
              </w:rPr>
              <w:t>449,588,000</w:t>
            </w:r>
          </w:p>
        </w:tc>
        <w:tc>
          <w:tcPr>
            <w:tcW w:w="438" w:type="pct"/>
            <w:vAlign w:val="center"/>
          </w:tcPr>
          <w:p w:rsidR="00936903" w:rsidRDefault="00936903" w:rsidP="00421E09">
            <w:pPr>
              <w:pStyle w:val="AODocTxt"/>
              <w:spacing w:before="60" w:line="240" w:lineRule="auto"/>
              <w:jc w:val="center"/>
              <w:rPr>
                <w:sz w:val="16"/>
                <w:szCs w:val="16"/>
              </w:rPr>
            </w:pPr>
            <w:r>
              <w:rPr>
                <w:sz w:val="16"/>
                <w:szCs w:val="16"/>
              </w:rPr>
              <w:t>93.25 per cent.</w:t>
            </w:r>
          </w:p>
        </w:tc>
        <w:tc>
          <w:tcPr>
            <w:tcW w:w="492" w:type="pct"/>
            <w:vAlign w:val="center"/>
          </w:tcPr>
          <w:p w:rsidR="00936903" w:rsidRDefault="00936903" w:rsidP="00936903">
            <w:pPr>
              <w:pStyle w:val="AODocTxt"/>
              <w:spacing w:before="60" w:line="240" w:lineRule="auto"/>
              <w:jc w:val="center"/>
              <w:rPr>
                <w:sz w:val="16"/>
                <w:szCs w:val="16"/>
              </w:rPr>
            </w:pPr>
            <w:r>
              <w:rPr>
                <w:sz w:val="16"/>
                <w:szCs w:val="16"/>
              </w:rPr>
              <w:t>A$</w:t>
            </w:r>
            <w:r w:rsidR="009F3144">
              <w:rPr>
                <w:sz w:val="16"/>
                <w:szCs w:val="16"/>
              </w:rPr>
              <w:t>5.91</w:t>
            </w:r>
          </w:p>
        </w:tc>
      </w:tr>
      <w:tr w:rsidR="00853FAF" w:rsidRPr="004F075B" w:rsidTr="00C24E6A">
        <w:trPr>
          <w:trHeight w:val="419"/>
          <w:jc w:val="center"/>
        </w:trPr>
        <w:tc>
          <w:tcPr>
            <w:tcW w:w="826" w:type="pct"/>
            <w:shd w:val="clear" w:color="auto" w:fill="auto"/>
            <w:vAlign w:val="center"/>
          </w:tcPr>
          <w:p w:rsidR="00936903" w:rsidRPr="002770D4" w:rsidRDefault="00936903" w:rsidP="00421E09">
            <w:pPr>
              <w:pStyle w:val="AODocTxt"/>
              <w:numPr>
                <w:ilvl w:val="0"/>
                <w:numId w:val="0"/>
              </w:numPr>
              <w:spacing w:before="60" w:line="240" w:lineRule="auto"/>
              <w:jc w:val="center"/>
              <w:rPr>
                <w:sz w:val="16"/>
                <w:szCs w:val="16"/>
              </w:rPr>
            </w:pPr>
            <w:r w:rsidRPr="00792916">
              <w:rPr>
                <w:sz w:val="16"/>
                <w:szCs w:val="16"/>
              </w:rPr>
              <w:t>A$175,000,000 Subordinated Floating Rate Notes due 2018</w:t>
            </w:r>
          </w:p>
        </w:tc>
        <w:tc>
          <w:tcPr>
            <w:tcW w:w="742" w:type="pct"/>
            <w:shd w:val="clear" w:color="auto" w:fill="auto"/>
            <w:vAlign w:val="center"/>
          </w:tcPr>
          <w:p w:rsidR="00936903" w:rsidRPr="002770D4" w:rsidRDefault="00936903" w:rsidP="00421E09">
            <w:pPr>
              <w:pStyle w:val="AODocTxt"/>
              <w:numPr>
                <w:ilvl w:val="0"/>
                <w:numId w:val="0"/>
              </w:numPr>
              <w:spacing w:before="60" w:line="240" w:lineRule="auto"/>
              <w:jc w:val="center"/>
              <w:rPr>
                <w:sz w:val="16"/>
                <w:szCs w:val="16"/>
              </w:rPr>
            </w:pPr>
            <w:r w:rsidRPr="00B5480E">
              <w:rPr>
                <w:sz w:val="16"/>
                <w:szCs w:val="16"/>
              </w:rPr>
              <w:t>AU0000ABOHH0</w:t>
            </w:r>
          </w:p>
        </w:tc>
        <w:tc>
          <w:tcPr>
            <w:tcW w:w="643" w:type="pct"/>
            <w:vAlign w:val="center"/>
          </w:tcPr>
          <w:p w:rsidR="00936903" w:rsidRDefault="00936903" w:rsidP="00421E09">
            <w:pPr>
              <w:pStyle w:val="AODocTxt"/>
              <w:numPr>
                <w:ilvl w:val="0"/>
                <w:numId w:val="0"/>
              </w:numPr>
              <w:spacing w:before="60" w:line="240" w:lineRule="auto"/>
              <w:jc w:val="center"/>
              <w:rPr>
                <w:sz w:val="16"/>
                <w:szCs w:val="16"/>
              </w:rPr>
            </w:pPr>
            <w:r>
              <w:rPr>
                <w:sz w:val="16"/>
                <w:szCs w:val="16"/>
              </w:rPr>
              <w:t>The Royal Bank of Scotland N.V.</w:t>
            </w:r>
          </w:p>
        </w:tc>
        <w:tc>
          <w:tcPr>
            <w:tcW w:w="498" w:type="pct"/>
            <w:vAlign w:val="center"/>
          </w:tcPr>
          <w:p w:rsidR="00936903" w:rsidRDefault="00936903" w:rsidP="00421E09">
            <w:pPr>
              <w:pStyle w:val="AODocTxt"/>
              <w:numPr>
                <w:ilvl w:val="0"/>
                <w:numId w:val="0"/>
              </w:numPr>
              <w:spacing w:before="60" w:line="240" w:lineRule="auto"/>
              <w:jc w:val="center"/>
              <w:rPr>
                <w:sz w:val="16"/>
                <w:szCs w:val="16"/>
              </w:rPr>
            </w:pPr>
            <w:r>
              <w:rPr>
                <w:sz w:val="16"/>
                <w:szCs w:val="16"/>
              </w:rPr>
              <w:t>17 May 2013</w:t>
            </w:r>
          </w:p>
        </w:tc>
        <w:tc>
          <w:tcPr>
            <w:tcW w:w="715" w:type="pct"/>
            <w:shd w:val="clear" w:color="auto" w:fill="auto"/>
            <w:vAlign w:val="center"/>
          </w:tcPr>
          <w:p w:rsidR="00936903" w:rsidRPr="004F075B" w:rsidRDefault="00936903" w:rsidP="00421E09">
            <w:pPr>
              <w:pStyle w:val="AODocTxt"/>
              <w:numPr>
                <w:ilvl w:val="0"/>
                <w:numId w:val="0"/>
              </w:numPr>
              <w:spacing w:before="60" w:line="240" w:lineRule="auto"/>
              <w:jc w:val="center"/>
              <w:rPr>
                <w:sz w:val="16"/>
                <w:szCs w:val="16"/>
              </w:rPr>
            </w:pPr>
            <w:r>
              <w:rPr>
                <w:sz w:val="16"/>
                <w:szCs w:val="16"/>
              </w:rPr>
              <w:t>A</w:t>
            </w:r>
            <w:r w:rsidRPr="00B97994">
              <w:rPr>
                <w:sz w:val="16"/>
                <w:szCs w:val="16"/>
              </w:rPr>
              <w:t>$175,000,000</w:t>
            </w:r>
            <w:r>
              <w:rPr>
                <w:sz w:val="16"/>
                <w:szCs w:val="16"/>
              </w:rPr>
              <w:br/>
              <w:t>(A$</w:t>
            </w:r>
            <w:r w:rsidR="00C24E6A">
              <w:rPr>
                <w:sz w:val="16"/>
                <w:szCs w:val="16"/>
              </w:rPr>
              <w:t>27,389,000</w:t>
            </w:r>
            <w:r>
              <w:rPr>
                <w:sz w:val="16"/>
                <w:szCs w:val="16"/>
              </w:rPr>
              <w:t>)</w:t>
            </w:r>
            <w:r w:rsidRPr="00B97994">
              <w:rPr>
                <w:sz w:val="16"/>
                <w:szCs w:val="16"/>
              </w:rPr>
              <w:t xml:space="preserve"> </w:t>
            </w:r>
          </w:p>
        </w:tc>
        <w:tc>
          <w:tcPr>
            <w:tcW w:w="646" w:type="pct"/>
            <w:shd w:val="clear" w:color="auto" w:fill="auto"/>
            <w:vAlign w:val="center"/>
          </w:tcPr>
          <w:p w:rsidR="00936903" w:rsidRPr="004F075B" w:rsidRDefault="00936903" w:rsidP="00421E09">
            <w:pPr>
              <w:pStyle w:val="AODocTxt"/>
              <w:spacing w:before="60" w:line="240" w:lineRule="auto"/>
              <w:jc w:val="center"/>
              <w:rPr>
                <w:sz w:val="16"/>
                <w:szCs w:val="16"/>
              </w:rPr>
            </w:pPr>
            <w:r>
              <w:rPr>
                <w:sz w:val="16"/>
                <w:szCs w:val="16"/>
              </w:rPr>
              <w:t>A$</w:t>
            </w:r>
            <w:r w:rsidR="00C24E6A">
              <w:rPr>
                <w:sz w:val="16"/>
                <w:szCs w:val="16"/>
              </w:rPr>
              <w:t>147,611,000</w:t>
            </w:r>
          </w:p>
        </w:tc>
        <w:tc>
          <w:tcPr>
            <w:tcW w:w="438" w:type="pct"/>
            <w:vAlign w:val="center"/>
          </w:tcPr>
          <w:p w:rsidR="00936903" w:rsidRDefault="00936903" w:rsidP="00421E09">
            <w:pPr>
              <w:pStyle w:val="AODocTxt"/>
              <w:spacing w:before="60" w:line="240" w:lineRule="auto"/>
              <w:jc w:val="center"/>
              <w:rPr>
                <w:sz w:val="16"/>
                <w:szCs w:val="16"/>
              </w:rPr>
            </w:pPr>
            <w:r>
              <w:rPr>
                <w:sz w:val="16"/>
                <w:szCs w:val="16"/>
              </w:rPr>
              <w:t>93.25 per cent.</w:t>
            </w:r>
          </w:p>
        </w:tc>
        <w:tc>
          <w:tcPr>
            <w:tcW w:w="492" w:type="pct"/>
            <w:vAlign w:val="center"/>
          </w:tcPr>
          <w:p w:rsidR="00936903" w:rsidRDefault="00936903" w:rsidP="00936903">
            <w:pPr>
              <w:pStyle w:val="AODocTxt"/>
              <w:spacing w:before="60" w:line="240" w:lineRule="auto"/>
              <w:jc w:val="center"/>
              <w:rPr>
                <w:sz w:val="16"/>
                <w:szCs w:val="16"/>
              </w:rPr>
            </w:pPr>
            <w:r>
              <w:rPr>
                <w:sz w:val="16"/>
                <w:szCs w:val="16"/>
              </w:rPr>
              <w:t>A$</w:t>
            </w:r>
            <w:r w:rsidR="009F3144">
              <w:rPr>
                <w:sz w:val="16"/>
                <w:szCs w:val="16"/>
              </w:rPr>
              <w:t>5.82</w:t>
            </w:r>
          </w:p>
        </w:tc>
      </w:tr>
    </w:tbl>
    <w:p w:rsidR="006F0E62" w:rsidRPr="005C3E33" w:rsidRDefault="006F0E62" w:rsidP="00436EB9">
      <w:pPr>
        <w:pStyle w:val="Body"/>
        <w:jc w:val="left"/>
        <w:rPr>
          <w:rFonts w:ascii="Times New Roman" w:hAnsi="Times New Roman"/>
          <w:szCs w:val="20"/>
        </w:rPr>
      </w:pPr>
    </w:p>
    <w:p w:rsidR="005C3E33" w:rsidRPr="00853FAF" w:rsidRDefault="005C3E33" w:rsidP="005C3E33">
      <w:pPr>
        <w:pStyle w:val="Body"/>
        <w:rPr>
          <w:rFonts w:ascii="Times New Roman" w:hAnsi="Times New Roman"/>
          <w:i/>
          <w:iCs/>
          <w:sz w:val="16"/>
          <w:szCs w:val="16"/>
        </w:rPr>
      </w:pPr>
      <w:r w:rsidRPr="00853FAF">
        <w:rPr>
          <w:rFonts w:ascii="Times New Roman" w:hAnsi="Times New Roman"/>
          <w:i/>
          <w:iCs/>
          <w:sz w:val="16"/>
          <w:szCs w:val="16"/>
          <w:vertAlign w:val="superscript"/>
        </w:rPr>
        <w:t>*</w:t>
      </w:r>
      <w:r w:rsidRPr="00853FAF">
        <w:rPr>
          <w:rFonts w:ascii="Times New Roman" w:hAnsi="Times New Roman"/>
          <w:i/>
          <w:iCs/>
          <w:sz w:val="16"/>
          <w:szCs w:val="16"/>
        </w:rPr>
        <w:t>Accrued Interest per</w:t>
      </w:r>
      <w:r w:rsidR="00853FAF" w:rsidRPr="00853FAF">
        <w:rPr>
          <w:rFonts w:ascii="Times New Roman" w:hAnsi="Times New Roman"/>
          <w:i/>
          <w:iCs/>
          <w:sz w:val="16"/>
          <w:szCs w:val="16"/>
        </w:rPr>
        <w:t xml:space="preserve"> </w:t>
      </w:r>
      <w:r w:rsidRPr="00853FAF">
        <w:rPr>
          <w:rFonts w:ascii="Times New Roman" w:hAnsi="Times New Roman"/>
          <w:i/>
          <w:iCs/>
          <w:sz w:val="16"/>
          <w:szCs w:val="16"/>
        </w:rPr>
        <w:t xml:space="preserve">A$1,000, A$100,000, €50,000 or US$100,000, as applicable, in principal amount of the relevant Notes. Accrued Interest represents interest accrued and unpaid on the relevant Notes from (and including) the immediately preceding interest payment date for such Notes to (but excluding) the </w:t>
      </w:r>
      <w:r w:rsidR="00853FAF">
        <w:rPr>
          <w:rFonts w:ascii="Times New Roman" w:hAnsi="Times New Roman"/>
          <w:i/>
          <w:iCs/>
          <w:sz w:val="16"/>
          <w:szCs w:val="16"/>
        </w:rPr>
        <w:t xml:space="preserve">relevant </w:t>
      </w:r>
      <w:r w:rsidRPr="00853FAF">
        <w:rPr>
          <w:rFonts w:ascii="Times New Roman" w:hAnsi="Times New Roman"/>
          <w:i/>
          <w:iCs/>
          <w:sz w:val="16"/>
          <w:szCs w:val="16"/>
        </w:rPr>
        <w:t xml:space="preserve">Settlement Date. </w:t>
      </w:r>
    </w:p>
    <w:p w:rsidR="002B2CAA" w:rsidRPr="005C3E33" w:rsidRDefault="005558DC" w:rsidP="002B2CAA">
      <w:pPr>
        <w:pStyle w:val="Body"/>
        <w:rPr>
          <w:rFonts w:ascii="Times New Roman" w:hAnsi="Times New Roman"/>
          <w:b/>
          <w:bCs/>
          <w:szCs w:val="20"/>
        </w:rPr>
      </w:pPr>
      <w:r w:rsidRPr="005C3E33">
        <w:rPr>
          <w:rFonts w:ascii="Times New Roman" w:hAnsi="Times New Roman"/>
          <w:b/>
          <w:bCs/>
          <w:szCs w:val="20"/>
        </w:rPr>
        <w:t>General</w:t>
      </w:r>
    </w:p>
    <w:p w:rsidR="004E20A4" w:rsidRDefault="004E20A4" w:rsidP="00764A4A">
      <w:pPr>
        <w:pStyle w:val="Body"/>
        <w:rPr>
          <w:rFonts w:ascii="Times New Roman" w:hAnsi="Times New Roman"/>
        </w:rPr>
      </w:pPr>
      <w:r>
        <w:rPr>
          <w:rFonts w:ascii="Times New Roman" w:hAnsi="Times New Roman"/>
        </w:rPr>
        <w:t xml:space="preserve">Payment of the relevant Purchase Price and applicable Accrued Interest is expected to take place (i) in the case of </w:t>
      </w:r>
      <w:r w:rsidR="00D06342">
        <w:rPr>
          <w:rFonts w:ascii="Times New Roman" w:hAnsi="Times New Roman"/>
        </w:rPr>
        <w:t xml:space="preserve">the Offers relating to each </w:t>
      </w:r>
      <w:r>
        <w:rPr>
          <w:rFonts w:ascii="Times New Roman" w:hAnsi="Times New Roman"/>
        </w:rPr>
        <w:t xml:space="preserve">Series of Notes denominated in </w:t>
      </w:r>
      <w:r w:rsidR="00D06342">
        <w:rPr>
          <w:rFonts w:ascii="Times New Roman" w:hAnsi="Times New Roman"/>
        </w:rPr>
        <w:t xml:space="preserve">a currency </w:t>
      </w:r>
      <w:r>
        <w:rPr>
          <w:rFonts w:ascii="Times New Roman" w:hAnsi="Times New Roman"/>
        </w:rPr>
        <w:t>other than Australian dollars, on 17 January 2014</w:t>
      </w:r>
      <w:r w:rsidR="00D06342">
        <w:rPr>
          <w:rFonts w:ascii="Times New Roman" w:hAnsi="Times New Roman"/>
        </w:rPr>
        <w:t xml:space="preserve"> and </w:t>
      </w:r>
      <w:r>
        <w:rPr>
          <w:rFonts w:ascii="Times New Roman" w:hAnsi="Times New Roman"/>
        </w:rPr>
        <w:t xml:space="preserve">(ii) in the case of </w:t>
      </w:r>
      <w:r w:rsidR="00D06342">
        <w:rPr>
          <w:rFonts w:ascii="Times New Roman" w:hAnsi="Times New Roman"/>
        </w:rPr>
        <w:t xml:space="preserve">the Offers relating to each </w:t>
      </w:r>
      <w:r>
        <w:rPr>
          <w:rFonts w:ascii="Times New Roman" w:hAnsi="Times New Roman"/>
        </w:rPr>
        <w:t>Series of Notes denominated in Australian dollars, on 20 January 2014.</w:t>
      </w:r>
    </w:p>
    <w:p w:rsidR="004E20A4" w:rsidRDefault="00E23E63" w:rsidP="004E20A4">
      <w:pPr>
        <w:pStyle w:val="Body"/>
        <w:rPr>
          <w:rFonts w:ascii="Times New Roman" w:hAnsi="Times New Roman"/>
        </w:rPr>
      </w:pPr>
      <w:r>
        <w:rPr>
          <w:rFonts w:ascii="Times New Roman" w:hAnsi="Times New Roman"/>
        </w:rPr>
        <w:t xml:space="preserve">In order to be eligible to receive the relevant Purchase Price and Accrued Interest Payment pursuant to the relevant Offer, a </w:t>
      </w:r>
      <w:r w:rsidR="004E20A4">
        <w:rPr>
          <w:rFonts w:ascii="Times New Roman" w:hAnsi="Times New Roman"/>
        </w:rPr>
        <w:t>Holder of Notes held in or through the Austraclear System must transfer the relevant Notes to the Designated Austraclear Account prior to 2.00 p.m. (Sydney time) on 20 January 2014</w:t>
      </w:r>
      <w:r w:rsidR="001D4F91" w:rsidRPr="001D4F91">
        <w:rPr>
          <w:rFonts w:ascii="Times New Roman" w:hAnsi="Times New Roman"/>
        </w:rPr>
        <w:t xml:space="preserve"> </w:t>
      </w:r>
      <w:r w:rsidR="001D4F91">
        <w:rPr>
          <w:rFonts w:ascii="Times New Roman" w:hAnsi="Times New Roman"/>
        </w:rPr>
        <w:t xml:space="preserve">in accordance with </w:t>
      </w:r>
      <w:r w:rsidR="00936903">
        <w:rPr>
          <w:rFonts w:ascii="Times New Roman" w:hAnsi="Times New Roman"/>
        </w:rPr>
        <w:t xml:space="preserve">the </w:t>
      </w:r>
      <w:r w:rsidR="001D4F91">
        <w:rPr>
          <w:rFonts w:ascii="Times New Roman" w:hAnsi="Times New Roman"/>
        </w:rPr>
        <w:t>Austraclear Regulations</w:t>
      </w:r>
      <w:r w:rsidR="004E20A4">
        <w:rPr>
          <w:rFonts w:ascii="Times New Roman" w:hAnsi="Times New Roman"/>
        </w:rPr>
        <w:t>.</w:t>
      </w:r>
    </w:p>
    <w:p w:rsidR="004E20A4" w:rsidRDefault="004E20A4" w:rsidP="004E20A4">
      <w:pPr>
        <w:pStyle w:val="Body"/>
        <w:rPr>
          <w:rFonts w:ascii="Times New Roman" w:hAnsi="Times New Roman"/>
        </w:rPr>
      </w:pPr>
      <w:r>
        <w:rPr>
          <w:rFonts w:ascii="Times New Roman" w:hAnsi="Times New Roman"/>
        </w:rPr>
        <w:t>Following settlement of the Offers, the Offerors intend to cancel any Notes purchase</w:t>
      </w:r>
      <w:r w:rsidR="00936903">
        <w:rPr>
          <w:rFonts w:ascii="Times New Roman" w:hAnsi="Times New Roman"/>
        </w:rPr>
        <w:t>d</w:t>
      </w:r>
      <w:r>
        <w:rPr>
          <w:rFonts w:ascii="Times New Roman" w:hAnsi="Times New Roman"/>
        </w:rPr>
        <w:t xml:space="preserve"> pursuant to the Offers.</w:t>
      </w:r>
    </w:p>
    <w:p w:rsidR="00971150" w:rsidRDefault="0095192E" w:rsidP="009C2D31">
      <w:pPr>
        <w:pStyle w:val="Body"/>
        <w:rPr>
          <w:rFonts w:ascii="Times New Roman" w:hAnsi="Times New Roman"/>
        </w:rPr>
      </w:pPr>
      <w:r>
        <w:rPr>
          <w:rFonts w:ascii="Times New Roman" w:hAnsi="Times New Roman"/>
        </w:rPr>
        <w:t>Notes</w:t>
      </w:r>
      <w:r w:rsidR="00971150" w:rsidRPr="00971150">
        <w:rPr>
          <w:rFonts w:ascii="Times New Roman" w:hAnsi="Times New Roman"/>
        </w:rPr>
        <w:t xml:space="preserve"> that </w:t>
      </w:r>
      <w:r w:rsidR="00446722">
        <w:rPr>
          <w:rFonts w:ascii="Times New Roman" w:hAnsi="Times New Roman"/>
        </w:rPr>
        <w:t xml:space="preserve">have not been </w:t>
      </w:r>
      <w:r w:rsidR="00971150" w:rsidRPr="00971150">
        <w:rPr>
          <w:rFonts w:ascii="Times New Roman" w:hAnsi="Times New Roman"/>
        </w:rPr>
        <w:t xml:space="preserve">tendered </w:t>
      </w:r>
      <w:r w:rsidR="00446722">
        <w:rPr>
          <w:rFonts w:ascii="Times New Roman" w:hAnsi="Times New Roman"/>
        </w:rPr>
        <w:t xml:space="preserve">and </w:t>
      </w:r>
      <w:r w:rsidR="00971150" w:rsidRPr="00971150">
        <w:rPr>
          <w:rFonts w:ascii="Times New Roman" w:hAnsi="Times New Roman"/>
        </w:rPr>
        <w:t>accepted for purchase pursuant to the relevant Offer will remain outstanding.</w:t>
      </w:r>
    </w:p>
    <w:p w:rsidR="001464F1" w:rsidRPr="00A3671C" w:rsidRDefault="001464F1" w:rsidP="00821CDB">
      <w:pPr>
        <w:pStyle w:val="Body"/>
        <w:rPr>
          <w:rFonts w:ascii="Times New Roman" w:hAnsi="Times New Roman"/>
          <w:b/>
          <w:bCs/>
        </w:rPr>
      </w:pPr>
      <w:r w:rsidRPr="00A3671C">
        <w:rPr>
          <w:rFonts w:ascii="Times New Roman" w:hAnsi="Times New Roman"/>
          <w:b/>
          <w:bCs/>
        </w:rPr>
        <w:t xml:space="preserve">FURTHER INFORMATION </w:t>
      </w:r>
    </w:p>
    <w:p w:rsidR="001464F1" w:rsidRPr="00707D63" w:rsidRDefault="001464F1" w:rsidP="00821CDB">
      <w:pPr>
        <w:pStyle w:val="Body"/>
        <w:rPr>
          <w:rFonts w:ascii="Times New Roman" w:hAnsi="Times New Roman"/>
          <w:szCs w:val="20"/>
        </w:rPr>
      </w:pPr>
      <w:r w:rsidRPr="00707D63">
        <w:rPr>
          <w:rFonts w:ascii="Times New Roman" w:hAnsi="Times New Roman"/>
          <w:szCs w:val="20"/>
        </w:rPr>
        <w:t>Lucid Issuer Services Limited has been appointed by the Off</w:t>
      </w:r>
      <w:r w:rsidR="006818E9" w:rsidRPr="00707D63">
        <w:rPr>
          <w:rFonts w:ascii="Times New Roman" w:hAnsi="Times New Roman"/>
          <w:szCs w:val="20"/>
        </w:rPr>
        <w:t>eror</w:t>
      </w:r>
      <w:r w:rsidR="00707D63" w:rsidRPr="00707D63">
        <w:rPr>
          <w:rFonts w:ascii="Times New Roman" w:hAnsi="Times New Roman"/>
          <w:szCs w:val="20"/>
        </w:rPr>
        <w:t>s</w:t>
      </w:r>
      <w:r w:rsidR="006818E9" w:rsidRPr="00707D63">
        <w:rPr>
          <w:rFonts w:ascii="Times New Roman" w:hAnsi="Times New Roman"/>
          <w:szCs w:val="20"/>
        </w:rPr>
        <w:t xml:space="preserve"> as </w:t>
      </w:r>
      <w:r w:rsidR="00707D63" w:rsidRPr="00707D63">
        <w:rPr>
          <w:rFonts w:ascii="Times New Roman" w:hAnsi="Times New Roman"/>
          <w:szCs w:val="20"/>
        </w:rPr>
        <w:t xml:space="preserve">the lead </w:t>
      </w:r>
      <w:r w:rsidR="00707D63">
        <w:rPr>
          <w:rFonts w:ascii="Times New Roman" w:hAnsi="Times New Roman"/>
          <w:szCs w:val="20"/>
        </w:rPr>
        <w:t xml:space="preserve">tender agent </w:t>
      </w:r>
      <w:r w:rsidRPr="00707D63">
        <w:rPr>
          <w:rFonts w:ascii="Times New Roman" w:hAnsi="Times New Roman"/>
          <w:szCs w:val="20"/>
        </w:rPr>
        <w:t>(the “</w:t>
      </w:r>
      <w:r w:rsidR="00707D63" w:rsidRPr="00707D63">
        <w:rPr>
          <w:rFonts w:ascii="Times New Roman" w:hAnsi="Times New Roman"/>
          <w:b/>
          <w:bCs/>
          <w:szCs w:val="20"/>
        </w:rPr>
        <w:t>Lead</w:t>
      </w:r>
      <w:r w:rsidR="00707D63" w:rsidRPr="00707D63">
        <w:rPr>
          <w:rFonts w:ascii="Times New Roman" w:hAnsi="Times New Roman"/>
          <w:szCs w:val="20"/>
        </w:rPr>
        <w:t xml:space="preserve"> </w:t>
      </w:r>
      <w:r w:rsidRPr="00707D63">
        <w:rPr>
          <w:rFonts w:ascii="Times New Roman" w:hAnsi="Times New Roman"/>
          <w:b/>
          <w:bCs/>
          <w:szCs w:val="20"/>
        </w:rPr>
        <w:t>Tender Agent</w:t>
      </w:r>
      <w:r w:rsidRPr="00707D63">
        <w:rPr>
          <w:rFonts w:ascii="Times New Roman" w:hAnsi="Times New Roman"/>
          <w:szCs w:val="20"/>
        </w:rPr>
        <w:t xml:space="preserve">”) </w:t>
      </w:r>
      <w:r w:rsidR="00707D63" w:rsidRPr="00707D63">
        <w:rPr>
          <w:rFonts w:ascii="Times New Roman" w:hAnsi="Times New Roman"/>
          <w:szCs w:val="20"/>
        </w:rPr>
        <w:t xml:space="preserve">and </w:t>
      </w:r>
      <w:proofErr w:type="spellStart"/>
      <w:r w:rsidR="00707D63" w:rsidRPr="00707D63">
        <w:rPr>
          <w:rFonts w:ascii="Times New Roman" w:hAnsi="Times New Roman"/>
          <w:szCs w:val="20"/>
          <w:lang w:eastAsia="zh-CN"/>
        </w:rPr>
        <w:t>BTA</w:t>
      </w:r>
      <w:proofErr w:type="spellEnd"/>
      <w:r w:rsidR="00707D63" w:rsidRPr="00707D63">
        <w:rPr>
          <w:rFonts w:ascii="Times New Roman" w:hAnsi="Times New Roman"/>
          <w:szCs w:val="20"/>
          <w:lang w:eastAsia="zh-CN"/>
        </w:rPr>
        <w:t xml:space="preserve"> Institutional Services Australia Limited </w:t>
      </w:r>
      <w:r w:rsidR="006047FA">
        <w:rPr>
          <w:rFonts w:ascii="Times New Roman" w:hAnsi="Times New Roman"/>
          <w:szCs w:val="20"/>
          <w:lang w:eastAsia="zh-CN"/>
        </w:rPr>
        <w:t xml:space="preserve">has been appointed </w:t>
      </w:r>
      <w:r w:rsidR="00A3400A">
        <w:rPr>
          <w:rFonts w:ascii="Times New Roman" w:hAnsi="Times New Roman"/>
          <w:szCs w:val="20"/>
          <w:lang w:eastAsia="zh-CN"/>
        </w:rPr>
        <w:t xml:space="preserve">by the Offerors </w:t>
      </w:r>
      <w:r w:rsidR="00707D63">
        <w:rPr>
          <w:rFonts w:ascii="Times New Roman" w:hAnsi="Times New Roman"/>
          <w:szCs w:val="20"/>
          <w:lang w:eastAsia="zh-CN"/>
        </w:rPr>
        <w:t>as the Australian tender agent (the “</w:t>
      </w:r>
      <w:r w:rsidR="00707D63" w:rsidRPr="00707D63">
        <w:rPr>
          <w:rFonts w:ascii="Times New Roman" w:hAnsi="Times New Roman"/>
          <w:b/>
          <w:bCs/>
          <w:szCs w:val="20"/>
          <w:lang w:eastAsia="zh-CN"/>
        </w:rPr>
        <w:t>Australian Tender Agent</w:t>
      </w:r>
      <w:r w:rsidR="00707D63">
        <w:rPr>
          <w:rFonts w:ascii="Times New Roman" w:hAnsi="Times New Roman"/>
          <w:szCs w:val="20"/>
          <w:lang w:eastAsia="zh-CN"/>
        </w:rPr>
        <w:t xml:space="preserve">”) </w:t>
      </w:r>
      <w:r w:rsidR="0043103B">
        <w:rPr>
          <w:rFonts w:ascii="Times New Roman" w:hAnsi="Times New Roman"/>
          <w:szCs w:val="20"/>
          <w:lang w:eastAsia="zh-CN"/>
        </w:rPr>
        <w:t xml:space="preserve">in each case </w:t>
      </w:r>
      <w:r w:rsidRPr="00707D63">
        <w:rPr>
          <w:rFonts w:ascii="Times New Roman" w:hAnsi="Times New Roman"/>
          <w:szCs w:val="20"/>
        </w:rPr>
        <w:t xml:space="preserve">for the purposes of the Offers. </w:t>
      </w:r>
    </w:p>
    <w:p w:rsidR="001464F1" w:rsidRPr="00936903" w:rsidRDefault="001464F1" w:rsidP="00821CDB">
      <w:pPr>
        <w:pStyle w:val="Body"/>
        <w:rPr>
          <w:rFonts w:ascii="Times New Roman" w:hAnsi="Times New Roman"/>
          <w:b/>
          <w:bCs/>
        </w:rPr>
      </w:pPr>
      <w:r w:rsidRPr="001464F1">
        <w:rPr>
          <w:rFonts w:ascii="Times New Roman" w:hAnsi="Times New Roman"/>
        </w:rPr>
        <w:t>The Royal Bank of Scotland plc</w:t>
      </w:r>
      <w:r>
        <w:rPr>
          <w:rFonts w:ascii="Times New Roman" w:hAnsi="Times New Roman"/>
        </w:rPr>
        <w:t xml:space="preserve"> has been appointed</w:t>
      </w:r>
      <w:r w:rsidRPr="001464F1">
        <w:rPr>
          <w:rFonts w:ascii="Times New Roman" w:hAnsi="Times New Roman"/>
        </w:rPr>
        <w:t xml:space="preserve"> as Global Arranger and Lead Dealer Manager</w:t>
      </w:r>
      <w:r>
        <w:rPr>
          <w:rFonts w:ascii="Times New Roman" w:hAnsi="Times New Roman"/>
        </w:rPr>
        <w:t xml:space="preserve"> </w:t>
      </w:r>
      <w:r w:rsidR="00474F5F">
        <w:rPr>
          <w:rFonts w:ascii="Times New Roman" w:hAnsi="Times New Roman"/>
        </w:rPr>
        <w:t xml:space="preserve">and </w:t>
      </w:r>
      <w:r w:rsidR="002B05E3">
        <w:rPr>
          <w:rFonts w:ascii="Times New Roman" w:hAnsi="Times New Roman"/>
        </w:rPr>
        <w:t xml:space="preserve">Citigroup Global Markets Limited, </w:t>
      </w:r>
      <w:proofErr w:type="spellStart"/>
      <w:r w:rsidR="0028685B">
        <w:rPr>
          <w:rFonts w:ascii="Times New Roman" w:hAnsi="Times New Roman"/>
        </w:rPr>
        <w:t>ING</w:t>
      </w:r>
      <w:proofErr w:type="spellEnd"/>
      <w:r w:rsidR="0028685B">
        <w:rPr>
          <w:rFonts w:ascii="Times New Roman" w:hAnsi="Times New Roman"/>
        </w:rPr>
        <w:t xml:space="preserve"> Bank </w:t>
      </w:r>
      <w:proofErr w:type="spellStart"/>
      <w:r w:rsidR="0028685B">
        <w:rPr>
          <w:rFonts w:ascii="Times New Roman" w:hAnsi="Times New Roman"/>
        </w:rPr>
        <w:t>N.V</w:t>
      </w:r>
      <w:proofErr w:type="spellEnd"/>
      <w:r w:rsidR="0028685B">
        <w:rPr>
          <w:rFonts w:ascii="Times New Roman" w:hAnsi="Times New Roman"/>
        </w:rPr>
        <w:t>.</w:t>
      </w:r>
      <w:r w:rsidR="00331547">
        <w:rPr>
          <w:rFonts w:ascii="Times New Roman" w:hAnsi="Times New Roman"/>
        </w:rPr>
        <w:t>, Belgian Branch</w:t>
      </w:r>
      <w:r w:rsidR="0028685B">
        <w:rPr>
          <w:rFonts w:ascii="Times New Roman" w:hAnsi="Times New Roman"/>
        </w:rPr>
        <w:t xml:space="preserve">, </w:t>
      </w:r>
      <w:r w:rsidR="002B05E3">
        <w:rPr>
          <w:rFonts w:ascii="Times New Roman" w:hAnsi="Times New Roman"/>
        </w:rPr>
        <w:t xml:space="preserve">Merrill Lynch International, </w:t>
      </w:r>
      <w:r w:rsidR="00331547">
        <w:rPr>
          <w:rFonts w:ascii="Times New Roman" w:hAnsi="Times New Roman"/>
        </w:rPr>
        <w:t>National Australia Bank Limited and UBS Limited have been appointed as Co-Dealer Managers</w:t>
      </w:r>
      <w:r w:rsidR="0028685B">
        <w:rPr>
          <w:rFonts w:ascii="Times New Roman" w:hAnsi="Times New Roman"/>
        </w:rPr>
        <w:t xml:space="preserve"> </w:t>
      </w:r>
      <w:r w:rsidR="001B6919">
        <w:rPr>
          <w:rFonts w:ascii="Times New Roman" w:hAnsi="Times New Roman"/>
        </w:rPr>
        <w:t>(together, the “</w:t>
      </w:r>
      <w:r w:rsidR="001B6919" w:rsidRPr="001B6919">
        <w:rPr>
          <w:rFonts w:ascii="Times New Roman" w:hAnsi="Times New Roman"/>
          <w:b/>
          <w:bCs/>
        </w:rPr>
        <w:t>Dealer Managers</w:t>
      </w:r>
      <w:r w:rsidR="001B6919">
        <w:rPr>
          <w:rFonts w:ascii="Times New Roman" w:hAnsi="Times New Roman"/>
        </w:rPr>
        <w:t xml:space="preserve">”) </w:t>
      </w:r>
      <w:r>
        <w:rPr>
          <w:rFonts w:ascii="Times New Roman" w:hAnsi="Times New Roman"/>
        </w:rPr>
        <w:t>in connection with the Offers.</w:t>
      </w:r>
      <w:r w:rsidRPr="001464F1">
        <w:rPr>
          <w:rFonts w:ascii="Times New Roman" w:hAnsi="Times New Roman"/>
        </w:rPr>
        <w:t xml:space="preserve"> </w:t>
      </w:r>
    </w:p>
    <w:p w:rsidR="001464F1" w:rsidRDefault="001464F1" w:rsidP="00821CDB">
      <w:pPr>
        <w:pStyle w:val="Body"/>
        <w:rPr>
          <w:rFonts w:ascii="Times New Roman" w:hAnsi="Times New Roman"/>
        </w:rPr>
      </w:pPr>
      <w:r>
        <w:rPr>
          <w:rFonts w:ascii="Times New Roman" w:hAnsi="Times New Roman"/>
        </w:rPr>
        <w:t xml:space="preserve">Requests for information </w:t>
      </w:r>
      <w:r w:rsidR="00A3671C">
        <w:rPr>
          <w:rFonts w:ascii="Times New Roman" w:hAnsi="Times New Roman"/>
        </w:rPr>
        <w:t xml:space="preserve">and for any documents or materials relating to the Offers </w:t>
      </w:r>
      <w:r>
        <w:rPr>
          <w:rFonts w:ascii="Times New Roman" w:hAnsi="Times New Roman"/>
        </w:rPr>
        <w:t xml:space="preserve">should be directed to: </w:t>
      </w:r>
    </w:p>
    <w:tbl>
      <w:tblPr>
        <w:tblW w:w="9782" w:type="dxa"/>
        <w:tblInd w:w="-318" w:type="dxa"/>
        <w:tblLayout w:type="fixed"/>
        <w:tblLook w:val="00A0" w:firstRow="1" w:lastRow="0" w:firstColumn="1" w:lastColumn="0" w:noHBand="0" w:noVBand="0"/>
      </w:tblPr>
      <w:tblGrid>
        <w:gridCol w:w="9782"/>
      </w:tblGrid>
      <w:tr w:rsidR="001464F1" w:rsidRPr="00043AA2" w:rsidTr="0058542E">
        <w:trPr>
          <w:trHeight w:val="167"/>
        </w:trPr>
        <w:tc>
          <w:tcPr>
            <w:tcW w:w="9782" w:type="dxa"/>
            <w:shd w:val="clear" w:color="auto" w:fill="auto"/>
          </w:tcPr>
          <w:p w:rsidR="001464F1" w:rsidRPr="00043AA2" w:rsidRDefault="001464F1" w:rsidP="009D3EB1">
            <w:pPr>
              <w:pStyle w:val="AODocTxt"/>
              <w:spacing w:before="120"/>
              <w:jc w:val="center"/>
              <w:rPr>
                <w:b/>
                <w:bCs/>
                <w:sz w:val="20"/>
                <w:szCs w:val="20"/>
              </w:rPr>
            </w:pPr>
            <w:r w:rsidRPr="00043AA2">
              <w:rPr>
                <w:b/>
                <w:bCs/>
                <w:sz w:val="20"/>
                <w:szCs w:val="20"/>
              </w:rPr>
              <w:t>GLOBAL ARRANGER AND LEAD DEALER MANAGER</w:t>
            </w:r>
          </w:p>
        </w:tc>
      </w:tr>
      <w:tr w:rsidR="001464F1" w:rsidRPr="00043AA2" w:rsidTr="0058542E">
        <w:trPr>
          <w:trHeight w:val="167"/>
        </w:trPr>
        <w:tc>
          <w:tcPr>
            <w:tcW w:w="9782" w:type="dxa"/>
            <w:shd w:val="clear" w:color="auto" w:fill="auto"/>
          </w:tcPr>
          <w:p w:rsidR="001464F1" w:rsidRPr="00043AA2" w:rsidRDefault="001464F1" w:rsidP="0058542E">
            <w:pPr>
              <w:pStyle w:val="AODocTxt"/>
              <w:spacing w:before="120" w:line="240" w:lineRule="auto"/>
              <w:jc w:val="center"/>
              <w:rPr>
                <w:b/>
                <w:bCs/>
                <w:sz w:val="20"/>
                <w:szCs w:val="20"/>
              </w:rPr>
            </w:pPr>
            <w:r w:rsidRPr="00043AA2">
              <w:rPr>
                <w:b/>
                <w:bCs/>
                <w:sz w:val="20"/>
                <w:szCs w:val="20"/>
              </w:rPr>
              <w:t>The Royal Bank of Scotland plc</w:t>
            </w:r>
          </w:p>
          <w:p w:rsidR="001464F1" w:rsidRPr="00043AA2" w:rsidRDefault="001464F1" w:rsidP="0058542E">
            <w:pPr>
              <w:pStyle w:val="AODocTxt"/>
              <w:spacing w:before="0" w:line="240" w:lineRule="auto"/>
              <w:jc w:val="center"/>
              <w:rPr>
                <w:sz w:val="20"/>
                <w:szCs w:val="20"/>
              </w:rPr>
            </w:pPr>
            <w:r w:rsidRPr="00043AA2">
              <w:rPr>
                <w:sz w:val="20"/>
                <w:szCs w:val="20"/>
              </w:rPr>
              <w:t xml:space="preserve">135 </w:t>
            </w:r>
            <w:proofErr w:type="spellStart"/>
            <w:r w:rsidRPr="00043AA2">
              <w:rPr>
                <w:sz w:val="20"/>
                <w:szCs w:val="20"/>
              </w:rPr>
              <w:t>Bishopsgate</w:t>
            </w:r>
            <w:proofErr w:type="spellEnd"/>
          </w:p>
          <w:p w:rsidR="001464F1" w:rsidRDefault="001464F1" w:rsidP="0058542E">
            <w:pPr>
              <w:pStyle w:val="AODocTxt"/>
              <w:spacing w:before="0" w:line="240" w:lineRule="auto"/>
              <w:jc w:val="center"/>
              <w:rPr>
                <w:sz w:val="20"/>
                <w:szCs w:val="20"/>
              </w:rPr>
            </w:pPr>
            <w:r w:rsidRPr="00043AA2">
              <w:rPr>
                <w:sz w:val="20"/>
                <w:szCs w:val="20"/>
              </w:rPr>
              <w:t>London  EC2M 3UR</w:t>
            </w:r>
          </w:p>
          <w:p w:rsidR="00617663" w:rsidRPr="00043AA2" w:rsidRDefault="00617663" w:rsidP="0058542E">
            <w:pPr>
              <w:pStyle w:val="AODocTxt"/>
              <w:spacing w:before="0" w:line="240" w:lineRule="auto"/>
              <w:jc w:val="center"/>
              <w:rPr>
                <w:sz w:val="20"/>
                <w:szCs w:val="20"/>
              </w:rPr>
            </w:pPr>
            <w:r>
              <w:rPr>
                <w:sz w:val="20"/>
                <w:szCs w:val="20"/>
              </w:rPr>
              <w:t>United Kingdom</w:t>
            </w:r>
          </w:p>
          <w:p w:rsidR="001464F1" w:rsidRPr="00043AA2" w:rsidRDefault="001464F1" w:rsidP="00F21682">
            <w:pPr>
              <w:pStyle w:val="AODocTxt"/>
              <w:keepNext/>
              <w:keepLines/>
              <w:spacing w:before="120" w:line="240" w:lineRule="auto"/>
              <w:jc w:val="center"/>
              <w:rPr>
                <w:bCs/>
                <w:sz w:val="20"/>
                <w:szCs w:val="20"/>
              </w:rPr>
            </w:pPr>
            <w:r w:rsidRPr="00043AA2">
              <w:rPr>
                <w:bCs/>
                <w:sz w:val="20"/>
                <w:szCs w:val="20"/>
              </w:rPr>
              <w:t xml:space="preserve">Telephone: +44 20 7085 </w:t>
            </w:r>
            <w:r>
              <w:rPr>
                <w:bCs/>
                <w:sz w:val="20"/>
                <w:szCs w:val="20"/>
              </w:rPr>
              <w:t>8056</w:t>
            </w:r>
          </w:p>
          <w:p w:rsidR="001464F1" w:rsidRPr="00043AA2" w:rsidRDefault="001464F1" w:rsidP="00F21682">
            <w:pPr>
              <w:pStyle w:val="AODocTxt"/>
              <w:keepNext/>
              <w:keepLines/>
              <w:spacing w:before="0" w:line="240" w:lineRule="auto"/>
              <w:jc w:val="center"/>
              <w:rPr>
                <w:bCs/>
                <w:sz w:val="20"/>
                <w:szCs w:val="20"/>
              </w:rPr>
            </w:pPr>
            <w:r w:rsidRPr="00043AA2">
              <w:rPr>
                <w:bCs/>
                <w:sz w:val="20"/>
                <w:szCs w:val="20"/>
              </w:rPr>
              <w:t>Attention: Liability Management Group</w:t>
            </w:r>
          </w:p>
          <w:p w:rsidR="001464F1" w:rsidRPr="00043AA2" w:rsidRDefault="001464F1" w:rsidP="00F21682">
            <w:pPr>
              <w:pStyle w:val="AODocTxt"/>
              <w:keepNext/>
              <w:keepLines/>
              <w:spacing w:before="0" w:line="240" w:lineRule="auto"/>
              <w:jc w:val="center"/>
              <w:rPr>
                <w:sz w:val="20"/>
                <w:szCs w:val="20"/>
              </w:rPr>
            </w:pPr>
            <w:r w:rsidRPr="00043AA2">
              <w:rPr>
                <w:bCs/>
                <w:sz w:val="20"/>
                <w:szCs w:val="20"/>
              </w:rPr>
              <w:t>Email: liabilitymanagement@rbs.com</w:t>
            </w:r>
          </w:p>
          <w:p w:rsidR="001464F1" w:rsidRPr="00043AA2" w:rsidRDefault="001464F1" w:rsidP="0058542E">
            <w:pPr>
              <w:pStyle w:val="AODocTxt"/>
              <w:spacing w:before="0"/>
              <w:jc w:val="center"/>
              <w:rPr>
                <w:b/>
                <w:bCs/>
                <w:sz w:val="20"/>
                <w:szCs w:val="20"/>
              </w:rPr>
            </w:pPr>
          </w:p>
        </w:tc>
      </w:tr>
    </w:tbl>
    <w:p w:rsidR="001464F1" w:rsidRDefault="001464F1" w:rsidP="00821CDB">
      <w:pPr>
        <w:pStyle w:val="Body"/>
        <w:rPr>
          <w:rFonts w:ascii="Times New Roman" w:hAnsi="Times New Roman"/>
        </w:rPr>
      </w:pPr>
      <w:r>
        <w:rPr>
          <w:rFonts w:ascii="Times New Roman" w:hAnsi="Times New Roman"/>
        </w:rPr>
        <w:lastRenderedPageBreak/>
        <w:t>Requests for information and for any documents or materials relating to the Offers should be directed to</w:t>
      </w:r>
      <w:r w:rsidR="00266414">
        <w:rPr>
          <w:rFonts w:ascii="Times New Roman" w:hAnsi="Times New Roman"/>
        </w:rPr>
        <w:t xml:space="preserve"> (i) in respect of any Notes held in or through Euroclear or Clearstream, Luxembourg, the Lead Tender Agent and (ii) in respect of any Notes held in or through the Austraclear System, the Australian Tender Agent</w:t>
      </w:r>
      <w:r>
        <w:rPr>
          <w:rFonts w:ascii="Times New Roman" w:hAnsi="Times New Roman"/>
        </w:rPr>
        <w:t xml:space="preserve">: </w:t>
      </w:r>
    </w:p>
    <w:tbl>
      <w:tblPr>
        <w:tblW w:w="9782" w:type="dxa"/>
        <w:tblInd w:w="-318" w:type="dxa"/>
        <w:tblLayout w:type="fixed"/>
        <w:tblLook w:val="00A0" w:firstRow="1" w:lastRow="0" w:firstColumn="1" w:lastColumn="0" w:noHBand="0" w:noVBand="0"/>
      </w:tblPr>
      <w:tblGrid>
        <w:gridCol w:w="9782"/>
      </w:tblGrid>
      <w:tr w:rsidR="001464F1" w:rsidRPr="00043AA2" w:rsidTr="0058542E">
        <w:trPr>
          <w:trHeight w:val="106"/>
        </w:trPr>
        <w:tc>
          <w:tcPr>
            <w:tcW w:w="9782" w:type="dxa"/>
            <w:shd w:val="clear" w:color="auto" w:fill="auto"/>
          </w:tcPr>
          <w:p w:rsidR="001464F1" w:rsidRPr="00043AA2" w:rsidRDefault="0048306A" w:rsidP="0058542E">
            <w:pPr>
              <w:pStyle w:val="AODocTxt"/>
              <w:spacing w:before="120" w:line="240" w:lineRule="auto"/>
              <w:jc w:val="center"/>
              <w:rPr>
                <w:b/>
                <w:bCs/>
                <w:sz w:val="20"/>
                <w:szCs w:val="20"/>
              </w:rPr>
            </w:pPr>
            <w:r>
              <w:rPr>
                <w:b/>
                <w:bCs/>
                <w:sz w:val="20"/>
                <w:szCs w:val="20"/>
              </w:rPr>
              <w:t xml:space="preserve">LEAD </w:t>
            </w:r>
            <w:r w:rsidR="001464F1" w:rsidRPr="00043AA2">
              <w:rPr>
                <w:b/>
                <w:bCs/>
                <w:sz w:val="20"/>
                <w:szCs w:val="20"/>
              </w:rPr>
              <w:t>TENDER AGENT</w:t>
            </w:r>
          </w:p>
        </w:tc>
      </w:tr>
      <w:tr w:rsidR="001464F1" w:rsidRPr="00043AA2" w:rsidTr="0058542E">
        <w:trPr>
          <w:trHeight w:val="71"/>
        </w:trPr>
        <w:tc>
          <w:tcPr>
            <w:tcW w:w="9782" w:type="dxa"/>
            <w:shd w:val="clear" w:color="auto" w:fill="auto"/>
          </w:tcPr>
          <w:p w:rsidR="001464F1" w:rsidRPr="00043AA2" w:rsidRDefault="001464F1" w:rsidP="0058542E">
            <w:pPr>
              <w:pStyle w:val="AODocTxt"/>
              <w:spacing w:before="120" w:line="240" w:lineRule="auto"/>
              <w:jc w:val="center"/>
              <w:rPr>
                <w:b/>
                <w:bCs/>
                <w:sz w:val="20"/>
                <w:szCs w:val="20"/>
              </w:rPr>
            </w:pPr>
            <w:r w:rsidRPr="00043AA2">
              <w:rPr>
                <w:b/>
                <w:bCs/>
                <w:sz w:val="20"/>
                <w:szCs w:val="20"/>
              </w:rPr>
              <w:t>Lucid Issuer Services Limited</w:t>
            </w:r>
          </w:p>
          <w:p w:rsidR="001464F1" w:rsidRPr="00043AA2" w:rsidRDefault="001464F1" w:rsidP="0058542E">
            <w:pPr>
              <w:pStyle w:val="AODocTxt"/>
              <w:spacing w:before="0" w:line="240" w:lineRule="auto"/>
              <w:jc w:val="center"/>
              <w:rPr>
                <w:sz w:val="20"/>
                <w:szCs w:val="20"/>
              </w:rPr>
            </w:pPr>
            <w:r w:rsidRPr="00043AA2">
              <w:rPr>
                <w:sz w:val="20"/>
                <w:szCs w:val="20"/>
              </w:rPr>
              <w:t>Leroy House</w:t>
            </w:r>
          </w:p>
          <w:p w:rsidR="001464F1" w:rsidRPr="00043AA2" w:rsidRDefault="001464F1" w:rsidP="0058542E">
            <w:pPr>
              <w:pStyle w:val="AODocTxt"/>
              <w:spacing w:before="0" w:line="240" w:lineRule="auto"/>
              <w:jc w:val="center"/>
              <w:rPr>
                <w:sz w:val="20"/>
                <w:szCs w:val="20"/>
              </w:rPr>
            </w:pPr>
            <w:r w:rsidRPr="00043AA2">
              <w:rPr>
                <w:sz w:val="20"/>
                <w:szCs w:val="20"/>
              </w:rPr>
              <w:t>436 Essex Road</w:t>
            </w:r>
          </w:p>
          <w:p w:rsidR="001464F1" w:rsidRDefault="001464F1" w:rsidP="0058542E">
            <w:pPr>
              <w:pStyle w:val="AODocTxt"/>
              <w:spacing w:before="0" w:line="240" w:lineRule="auto"/>
              <w:jc w:val="center"/>
              <w:rPr>
                <w:sz w:val="20"/>
                <w:szCs w:val="20"/>
              </w:rPr>
            </w:pPr>
            <w:r w:rsidRPr="00043AA2">
              <w:rPr>
                <w:sz w:val="20"/>
                <w:szCs w:val="20"/>
              </w:rPr>
              <w:t>London  N1 3QP</w:t>
            </w:r>
          </w:p>
          <w:p w:rsidR="00617663" w:rsidRPr="00043AA2" w:rsidRDefault="00617663" w:rsidP="0058542E">
            <w:pPr>
              <w:pStyle w:val="AODocTxt"/>
              <w:spacing w:before="0" w:line="240" w:lineRule="auto"/>
              <w:jc w:val="center"/>
              <w:rPr>
                <w:sz w:val="20"/>
                <w:szCs w:val="20"/>
              </w:rPr>
            </w:pPr>
            <w:r>
              <w:rPr>
                <w:sz w:val="20"/>
                <w:szCs w:val="20"/>
              </w:rPr>
              <w:t>United Kingdom</w:t>
            </w:r>
          </w:p>
          <w:p w:rsidR="001464F1" w:rsidRPr="00043AA2" w:rsidRDefault="001464F1" w:rsidP="00C61EBA">
            <w:pPr>
              <w:pStyle w:val="AODocTxt"/>
              <w:keepNext/>
              <w:keepLines/>
              <w:spacing w:line="240" w:lineRule="auto"/>
              <w:jc w:val="center"/>
              <w:rPr>
                <w:bCs/>
                <w:sz w:val="20"/>
                <w:szCs w:val="20"/>
              </w:rPr>
            </w:pPr>
            <w:r w:rsidRPr="00043AA2">
              <w:rPr>
                <w:bCs/>
                <w:sz w:val="20"/>
                <w:szCs w:val="20"/>
              </w:rPr>
              <w:t>Telephone: +44 20 7704 0880</w:t>
            </w:r>
          </w:p>
          <w:p w:rsidR="001464F1" w:rsidRPr="00043AA2" w:rsidRDefault="001464F1" w:rsidP="00C61EBA">
            <w:pPr>
              <w:pStyle w:val="AODocTxt"/>
              <w:keepNext/>
              <w:keepLines/>
              <w:spacing w:before="0" w:line="240" w:lineRule="auto"/>
              <w:jc w:val="center"/>
              <w:rPr>
                <w:bCs/>
                <w:sz w:val="20"/>
                <w:szCs w:val="20"/>
              </w:rPr>
            </w:pPr>
            <w:r w:rsidRPr="00043AA2">
              <w:rPr>
                <w:bCs/>
                <w:sz w:val="20"/>
                <w:szCs w:val="20"/>
              </w:rPr>
              <w:t xml:space="preserve">Attention: </w:t>
            </w:r>
            <w:r w:rsidR="00511287">
              <w:rPr>
                <w:bCs/>
                <w:sz w:val="20"/>
                <w:szCs w:val="20"/>
              </w:rPr>
              <w:t xml:space="preserve">David </w:t>
            </w:r>
            <w:proofErr w:type="spellStart"/>
            <w:r w:rsidR="00511287">
              <w:rPr>
                <w:bCs/>
                <w:sz w:val="20"/>
                <w:szCs w:val="20"/>
              </w:rPr>
              <w:t>Shilson</w:t>
            </w:r>
            <w:proofErr w:type="spellEnd"/>
            <w:r w:rsidR="00511287">
              <w:rPr>
                <w:bCs/>
                <w:sz w:val="20"/>
                <w:szCs w:val="20"/>
              </w:rPr>
              <w:t xml:space="preserve">/Paul </w:t>
            </w:r>
            <w:proofErr w:type="spellStart"/>
            <w:r w:rsidR="00511287">
              <w:rPr>
                <w:bCs/>
                <w:sz w:val="20"/>
                <w:szCs w:val="20"/>
              </w:rPr>
              <w:t>Kamminga</w:t>
            </w:r>
            <w:proofErr w:type="spellEnd"/>
          </w:p>
          <w:p w:rsidR="0048306A" w:rsidRPr="00043AA2" w:rsidRDefault="001464F1" w:rsidP="00C61EBA">
            <w:pPr>
              <w:pStyle w:val="text2"/>
              <w:keepNext/>
              <w:keepLines/>
              <w:spacing w:before="0" w:line="240" w:lineRule="auto"/>
              <w:jc w:val="center"/>
              <w:rPr>
                <w:b/>
                <w:sz w:val="20"/>
                <w:szCs w:val="20"/>
              </w:rPr>
            </w:pPr>
            <w:r w:rsidRPr="00043AA2">
              <w:rPr>
                <w:bCs/>
                <w:sz w:val="20"/>
                <w:szCs w:val="20"/>
              </w:rPr>
              <w:t>Email: rbs@lucid-is.com</w:t>
            </w:r>
          </w:p>
          <w:tbl>
            <w:tblPr>
              <w:tblW w:w="9782" w:type="dxa"/>
              <w:tblLayout w:type="fixed"/>
              <w:tblLook w:val="00A0" w:firstRow="1" w:lastRow="0" w:firstColumn="1" w:lastColumn="0" w:noHBand="0" w:noVBand="0"/>
            </w:tblPr>
            <w:tblGrid>
              <w:gridCol w:w="9782"/>
            </w:tblGrid>
            <w:tr w:rsidR="0048306A" w:rsidRPr="00043AA2" w:rsidTr="00421E09">
              <w:trPr>
                <w:trHeight w:val="106"/>
              </w:trPr>
              <w:tc>
                <w:tcPr>
                  <w:tcW w:w="9782" w:type="dxa"/>
                  <w:shd w:val="clear" w:color="auto" w:fill="auto"/>
                </w:tcPr>
                <w:p w:rsidR="0048306A" w:rsidRPr="00043AA2" w:rsidRDefault="0048306A" w:rsidP="00421E09">
                  <w:pPr>
                    <w:pStyle w:val="AODocTxt"/>
                    <w:spacing w:before="120" w:line="240" w:lineRule="auto"/>
                    <w:jc w:val="center"/>
                    <w:rPr>
                      <w:b/>
                      <w:bCs/>
                      <w:sz w:val="20"/>
                      <w:szCs w:val="20"/>
                    </w:rPr>
                  </w:pPr>
                </w:p>
              </w:tc>
            </w:tr>
            <w:tr w:rsidR="0048306A" w:rsidRPr="00043AA2" w:rsidTr="00421E09">
              <w:trPr>
                <w:trHeight w:val="71"/>
              </w:trPr>
              <w:tc>
                <w:tcPr>
                  <w:tcW w:w="9782" w:type="dxa"/>
                  <w:shd w:val="clear" w:color="auto" w:fill="auto"/>
                </w:tcPr>
                <w:tbl>
                  <w:tblPr>
                    <w:tblW w:w="9782" w:type="dxa"/>
                    <w:tblLayout w:type="fixed"/>
                    <w:tblLook w:val="00A0" w:firstRow="1" w:lastRow="0" w:firstColumn="1" w:lastColumn="0" w:noHBand="0" w:noVBand="0"/>
                  </w:tblPr>
                  <w:tblGrid>
                    <w:gridCol w:w="9782"/>
                  </w:tblGrid>
                  <w:tr w:rsidR="0048306A" w:rsidRPr="00043AA2" w:rsidTr="00421E09">
                    <w:trPr>
                      <w:trHeight w:val="106"/>
                    </w:trPr>
                    <w:tc>
                      <w:tcPr>
                        <w:tcW w:w="9782" w:type="dxa"/>
                        <w:shd w:val="clear" w:color="auto" w:fill="auto"/>
                      </w:tcPr>
                      <w:p w:rsidR="0048306A" w:rsidRPr="00043AA2" w:rsidRDefault="0048306A" w:rsidP="00421E09">
                        <w:pPr>
                          <w:pStyle w:val="AODocTxt"/>
                          <w:spacing w:before="120" w:line="240" w:lineRule="auto"/>
                          <w:jc w:val="center"/>
                          <w:rPr>
                            <w:b/>
                            <w:bCs/>
                            <w:sz w:val="20"/>
                            <w:szCs w:val="20"/>
                          </w:rPr>
                        </w:pPr>
                        <w:r>
                          <w:rPr>
                            <w:b/>
                            <w:bCs/>
                            <w:sz w:val="20"/>
                            <w:szCs w:val="20"/>
                          </w:rPr>
                          <w:t xml:space="preserve">AUSTRALIAN </w:t>
                        </w:r>
                        <w:r w:rsidRPr="00043AA2">
                          <w:rPr>
                            <w:b/>
                            <w:bCs/>
                            <w:sz w:val="20"/>
                            <w:szCs w:val="20"/>
                          </w:rPr>
                          <w:t>TENDER AGENT</w:t>
                        </w:r>
                      </w:p>
                    </w:tc>
                  </w:tr>
                  <w:tr w:rsidR="0048306A" w:rsidRPr="00043AA2" w:rsidTr="00421E09">
                    <w:trPr>
                      <w:trHeight w:val="71"/>
                    </w:trPr>
                    <w:tc>
                      <w:tcPr>
                        <w:tcW w:w="9782" w:type="dxa"/>
                        <w:shd w:val="clear" w:color="auto" w:fill="auto"/>
                      </w:tcPr>
                      <w:p w:rsidR="00266414" w:rsidRPr="00266414" w:rsidRDefault="00266414" w:rsidP="00266414">
                        <w:pPr>
                          <w:pStyle w:val="AODocTxt"/>
                          <w:spacing w:before="120" w:line="240" w:lineRule="auto"/>
                          <w:jc w:val="center"/>
                          <w:rPr>
                            <w:b/>
                            <w:bCs/>
                            <w:sz w:val="20"/>
                            <w:szCs w:val="20"/>
                          </w:rPr>
                        </w:pPr>
                        <w:proofErr w:type="spellStart"/>
                        <w:r w:rsidRPr="00266414">
                          <w:rPr>
                            <w:b/>
                            <w:bCs/>
                            <w:sz w:val="20"/>
                            <w:szCs w:val="20"/>
                          </w:rPr>
                          <w:t>BTA</w:t>
                        </w:r>
                        <w:proofErr w:type="spellEnd"/>
                        <w:r w:rsidRPr="00266414">
                          <w:rPr>
                            <w:b/>
                            <w:bCs/>
                            <w:sz w:val="20"/>
                            <w:szCs w:val="20"/>
                          </w:rPr>
                          <w:t xml:space="preserve"> Institutional Services Australia Limited</w:t>
                        </w:r>
                      </w:p>
                      <w:p w:rsidR="00266414" w:rsidRPr="00266414" w:rsidRDefault="00266414" w:rsidP="00266414">
                        <w:pPr>
                          <w:pStyle w:val="AODocTxt"/>
                          <w:spacing w:line="240" w:lineRule="auto"/>
                          <w:jc w:val="center"/>
                          <w:rPr>
                            <w:bCs/>
                            <w:sz w:val="20"/>
                            <w:szCs w:val="20"/>
                          </w:rPr>
                        </w:pPr>
                        <w:r w:rsidRPr="00266414">
                          <w:rPr>
                            <w:bCs/>
                            <w:sz w:val="20"/>
                            <w:szCs w:val="20"/>
                          </w:rPr>
                          <w:t>Level 2, 35 Clarence Street</w:t>
                        </w:r>
                      </w:p>
                      <w:p w:rsidR="00266414" w:rsidRPr="00266414" w:rsidRDefault="00266414" w:rsidP="00266414">
                        <w:pPr>
                          <w:pStyle w:val="text2"/>
                          <w:spacing w:before="0" w:line="240" w:lineRule="auto"/>
                          <w:jc w:val="center"/>
                          <w:rPr>
                            <w:bCs/>
                            <w:sz w:val="20"/>
                            <w:szCs w:val="20"/>
                          </w:rPr>
                        </w:pPr>
                        <w:r w:rsidRPr="00266414">
                          <w:rPr>
                            <w:bCs/>
                            <w:sz w:val="20"/>
                            <w:szCs w:val="20"/>
                          </w:rPr>
                          <w:t>Sydney NSW 2000</w:t>
                        </w:r>
                      </w:p>
                      <w:p w:rsidR="00266414" w:rsidRDefault="00266414" w:rsidP="00266414">
                        <w:pPr>
                          <w:pStyle w:val="text2"/>
                          <w:spacing w:before="0" w:line="240" w:lineRule="auto"/>
                          <w:jc w:val="center"/>
                          <w:rPr>
                            <w:bCs/>
                            <w:sz w:val="20"/>
                            <w:szCs w:val="20"/>
                          </w:rPr>
                        </w:pPr>
                        <w:r w:rsidRPr="00266414">
                          <w:rPr>
                            <w:bCs/>
                            <w:sz w:val="20"/>
                            <w:szCs w:val="20"/>
                          </w:rPr>
                          <w:t>Australia</w:t>
                        </w:r>
                      </w:p>
                      <w:p w:rsidR="00266414" w:rsidRPr="00266414" w:rsidRDefault="00266414" w:rsidP="00266414">
                        <w:pPr>
                          <w:pStyle w:val="AODocTxt"/>
                          <w:spacing w:line="240" w:lineRule="auto"/>
                          <w:jc w:val="center"/>
                          <w:rPr>
                            <w:bCs/>
                            <w:sz w:val="20"/>
                            <w:szCs w:val="20"/>
                          </w:rPr>
                        </w:pPr>
                        <w:r w:rsidRPr="00266414">
                          <w:rPr>
                            <w:bCs/>
                            <w:sz w:val="20"/>
                            <w:szCs w:val="20"/>
                          </w:rPr>
                          <w:t>Telephone: +61 2 9551 5036</w:t>
                        </w:r>
                      </w:p>
                      <w:p w:rsidR="00266414" w:rsidRPr="00266414" w:rsidRDefault="00266414" w:rsidP="00266414">
                        <w:pPr>
                          <w:pStyle w:val="text2"/>
                          <w:spacing w:before="0" w:line="240" w:lineRule="auto"/>
                          <w:jc w:val="center"/>
                          <w:rPr>
                            <w:bCs/>
                            <w:sz w:val="20"/>
                            <w:szCs w:val="20"/>
                          </w:rPr>
                        </w:pPr>
                        <w:r w:rsidRPr="00266414">
                          <w:rPr>
                            <w:bCs/>
                            <w:sz w:val="20"/>
                            <w:szCs w:val="20"/>
                          </w:rPr>
                          <w:t>Attention: Mark Cochrane</w:t>
                        </w:r>
                      </w:p>
                      <w:p w:rsidR="0048306A" w:rsidRPr="00043AA2" w:rsidRDefault="00266414" w:rsidP="00266414">
                        <w:pPr>
                          <w:pStyle w:val="text2"/>
                          <w:spacing w:before="0" w:line="240" w:lineRule="auto"/>
                          <w:jc w:val="center"/>
                          <w:rPr>
                            <w:b/>
                            <w:sz w:val="20"/>
                            <w:szCs w:val="20"/>
                          </w:rPr>
                        </w:pPr>
                        <w:r w:rsidRPr="00266414">
                          <w:rPr>
                            <w:bCs/>
                            <w:sz w:val="20"/>
                            <w:szCs w:val="20"/>
                          </w:rPr>
                          <w:t>Email: mark.cochrane@bnymellon.com</w:t>
                        </w:r>
                      </w:p>
                    </w:tc>
                  </w:tr>
                </w:tbl>
                <w:p w:rsidR="0048306A" w:rsidRPr="00043AA2" w:rsidRDefault="0048306A" w:rsidP="00421E09">
                  <w:pPr>
                    <w:pStyle w:val="text2"/>
                    <w:spacing w:before="0" w:line="240" w:lineRule="auto"/>
                    <w:jc w:val="center"/>
                    <w:rPr>
                      <w:b/>
                      <w:sz w:val="20"/>
                      <w:szCs w:val="20"/>
                    </w:rPr>
                  </w:pPr>
                </w:p>
              </w:tc>
            </w:tr>
          </w:tbl>
          <w:p w:rsidR="001464F1" w:rsidRPr="00043AA2" w:rsidRDefault="001464F1" w:rsidP="0058542E">
            <w:pPr>
              <w:pStyle w:val="text2"/>
              <w:spacing w:before="0" w:line="240" w:lineRule="auto"/>
              <w:jc w:val="center"/>
              <w:rPr>
                <w:b/>
                <w:sz w:val="20"/>
                <w:szCs w:val="20"/>
              </w:rPr>
            </w:pPr>
          </w:p>
          <w:p w:rsidR="00707D63" w:rsidRPr="00043AA2" w:rsidRDefault="00707D63" w:rsidP="0048306A">
            <w:pPr>
              <w:pStyle w:val="text2"/>
              <w:spacing w:before="0" w:line="240" w:lineRule="auto"/>
              <w:jc w:val="center"/>
              <w:rPr>
                <w:b/>
                <w:sz w:val="20"/>
                <w:szCs w:val="20"/>
              </w:rPr>
            </w:pPr>
          </w:p>
        </w:tc>
      </w:tr>
    </w:tbl>
    <w:p w:rsidR="001464F1" w:rsidRPr="00A41D62" w:rsidRDefault="001464F1" w:rsidP="00821CDB">
      <w:pPr>
        <w:pStyle w:val="Body"/>
        <w:rPr>
          <w:rFonts w:ascii="Times New Roman" w:hAnsi="Times New Roman"/>
          <w:b/>
          <w:bCs/>
        </w:rPr>
      </w:pPr>
      <w:r w:rsidRPr="00A41D62">
        <w:rPr>
          <w:rFonts w:ascii="Times New Roman" w:hAnsi="Times New Roman"/>
          <w:b/>
          <w:bCs/>
        </w:rPr>
        <w:t xml:space="preserve">DISCLAIMER </w:t>
      </w:r>
    </w:p>
    <w:p w:rsidR="006D0440" w:rsidRDefault="006D0440" w:rsidP="006D0440">
      <w:pPr>
        <w:pStyle w:val="Body"/>
        <w:rPr>
          <w:rFonts w:ascii="Times New Roman" w:hAnsi="Times New Roman"/>
        </w:rPr>
      </w:pPr>
      <w:r w:rsidRPr="00C11B47">
        <w:rPr>
          <w:rFonts w:ascii="Times New Roman" w:hAnsi="Times New Roman"/>
        </w:rPr>
        <w:t>Subject to applicable law, the Offeror</w:t>
      </w:r>
      <w:r w:rsidR="00087EA5">
        <w:rPr>
          <w:rFonts w:ascii="Times New Roman" w:hAnsi="Times New Roman"/>
        </w:rPr>
        <w:t>s</w:t>
      </w:r>
      <w:r w:rsidRPr="00C11B47">
        <w:rPr>
          <w:rFonts w:ascii="Times New Roman" w:hAnsi="Times New Roman"/>
        </w:rPr>
        <w:t xml:space="preserve"> or any of </w:t>
      </w:r>
      <w:r w:rsidR="00087EA5">
        <w:rPr>
          <w:rFonts w:ascii="Times New Roman" w:hAnsi="Times New Roman"/>
        </w:rPr>
        <w:t xml:space="preserve">their </w:t>
      </w:r>
      <w:r w:rsidRPr="00C11B47">
        <w:rPr>
          <w:rFonts w:ascii="Times New Roman" w:hAnsi="Times New Roman"/>
        </w:rPr>
        <w:t>affiliates may at any time and from time to time</w:t>
      </w:r>
      <w:r>
        <w:rPr>
          <w:rFonts w:ascii="Times New Roman" w:hAnsi="Times New Roman"/>
        </w:rPr>
        <w:t xml:space="preserve"> </w:t>
      </w:r>
      <w:r w:rsidRPr="00C11B47">
        <w:rPr>
          <w:rFonts w:ascii="Times New Roman" w:hAnsi="Times New Roman"/>
        </w:rPr>
        <w:t xml:space="preserve">following completion of the Offers purchase remaining outstanding </w:t>
      </w:r>
      <w:r>
        <w:rPr>
          <w:rFonts w:ascii="Times New Roman" w:hAnsi="Times New Roman"/>
        </w:rPr>
        <w:t xml:space="preserve">Notes </w:t>
      </w:r>
      <w:r w:rsidRPr="00C11B47">
        <w:rPr>
          <w:rFonts w:ascii="Times New Roman" w:hAnsi="Times New Roman"/>
        </w:rPr>
        <w:t>by tender, in the open</w:t>
      </w:r>
      <w:r>
        <w:rPr>
          <w:rFonts w:ascii="Times New Roman" w:hAnsi="Times New Roman"/>
        </w:rPr>
        <w:t xml:space="preserve"> </w:t>
      </w:r>
      <w:r w:rsidRPr="00C11B47">
        <w:rPr>
          <w:rFonts w:ascii="Times New Roman" w:hAnsi="Times New Roman"/>
        </w:rPr>
        <w:t>market, by private agreement or otherwise on such terms and at such prices as the Offeror</w:t>
      </w:r>
      <w:r w:rsidR="00087EA5">
        <w:rPr>
          <w:rFonts w:ascii="Times New Roman" w:hAnsi="Times New Roman"/>
        </w:rPr>
        <w:t>s</w:t>
      </w:r>
      <w:r w:rsidRPr="00C11B47">
        <w:rPr>
          <w:rFonts w:ascii="Times New Roman" w:hAnsi="Times New Roman"/>
        </w:rPr>
        <w:t>, or if applicable,</w:t>
      </w:r>
      <w:r>
        <w:rPr>
          <w:rFonts w:ascii="Times New Roman" w:hAnsi="Times New Roman"/>
        </w:rPr>
        <w:t xml:space="preserve"> </w:t>
      </w:r>
      <w:r w:rsidR="00087EA5">
        <w:rPr>
          <w:rFonts w:ascii="Times New Roman" w:hAnsi="Times New Roman"/>
        </w:rPr>
        <w:t xml:space="preserve">their </w:t>
      </w:r>
      <w:r w:rsidRPr="00C11B47">
        <w:rPr>
          <w:rFonts w:ascii="Times New Roman" w:hAnsi="Times New Roman"/>
        </w:rPr>
        <w:t>affiliates may determine. Such terms, consideration and prices may be more or less favourable than</w:t>
      </w:r>
      <w:r>
        <w:rPr>
          <w:rFonts w:ascii="Times New Roman" w:hAnsi="Times New Roman"/>
        </w:rPr>
        <w:t xml:space="preserve"> </w:t>
      </w:r>
      <w:r w:rsidRPr="00C11B47">
        <w:rPr>
          <w:rFonts w:ascii="Times New Roman" w:hAnsi="Times New Roman"/>
        </w:rPr>
        <w:t>those offered pursuant to the Offers.</w:t>
      </w:r>
    </w:p>
    <w:p w:rsidR="001464F1" w:rsidRDefault="00A41D62" w:rsidP="00A41D62">
      <w:pPr>
        <w:pStyle w:val="Body"/>
        <w:rPr>
          <w:rFonts w:ascii="Times New Roman" w:hAnsi="Times New Roman"/>
        </w:rPr>
      </w:pPr>
      <w:r w:rsidRPr="00A41D62">
        <w:rPr>
          <w:rFonts w:ascii="Times New Roman" w:hAnsi="Times New Roman"/>
        </w:rPr>
        <w:t>This announcement must be read in conjunction with the Tender Offer Memorandum. This announcement</w:t>
      </w:r>
      <w:r>
        <w:rPr>
          <w:rFonts w:ascii="Times New Roman" w:hAnsi="Times New Roman"/>
        </w:rPr>
        <w:t xml:space="preserve"> </w:t>
      </w:r>
      <w:r w:rsidRPr="00A41D62">
        <w:rPr>
          <w:rFonts w:ascii="Times New Roman" w:hAnsi="Times New Roman"/>
        </w:rPr>
        <w:t xml:space="preserve">and the Tender Offer Memorandum contain important information which must be read carefully. If any holder of </w:t>
      </w:r>
      <w:r w:rsidR="00712C32">
        <w:rPr>
          <w:rFonts w:ascii="Times New Roman" w:hAnsi="Times New Roman"/>
        </w:rPr>
        <w:t>Notes</w:t>
      </w:r>
      <w:r w:rsidRPr="00A41D62">
        <w:rPr>
          <w:rFonts w:ascii="Times New Roman" w:hAnsi="Times New Roman"/>
        </w:rPr>
        <w:t xml:space="preserve"> is in any doubt as to the action it</w:t>
      </w:r>
      <w:r>
        <w:rPr>
          <w:rFonts w:ascii="Times New Roman" w:hAnsi="Times New Roman"/>
        </w:rPr>
        <w:t xml:space="preserve"> </w:t>
      </w:r>
      <w:r w:rsidRPr="00A41D62">
        <w:rPr>
          <w:rFonts w:ascii="Times New Roman" w:hAnsi="Times New Roman"/>
        </w:rPr>
        <w:t>should take, it is recommended to seek its own legal, tax, accounting and financial advice, including as to</w:t>
      </w:r>
      <w:r>
        <w:rPr>
          <w:rFonts w:ascii="Times New Roman" w:hAnsi="Times New Roman"/>
        </w:rPr>
        <w:t xml:space="preserve"> </w:t>
      </w:r>
      <w:r w:rsidRPr="00A41D62">
        <w:rPr>
          <w:rFonts w:ascii="Times New Roman" w:hAnsi="Times New Roman"/>
        </w:rPr>
        <w:t>any tax consequences, from its stockbroker, bank manager, solicitor, accountant or other independent</w:t>
      </w:r>
      <w:r>
        <w:rPr>
          <w:rFonts w:ascii="Times New Roman" w:hAnsi="Times New Roman"/>
        </w:rPr>
        <w:t xml:space="preserve"> </w:t>
      </w:r>
      <w:r w:rsidRPr="00A41D62">
        <w:rPr>
          <w:rFonts w:ascii="Times New Roman" w:hAnsi="Times New Roman"/>
        </w:rPr>
        <w:t>financial or legal adviser. None of the Offeror</w:t>
      </w:r>
      <w:r w:rsidR="005C3BC4">
        <w:rPr>
          <w:rFonts w:ascii="Times New Roman" w:hAnsi="Times New Roman"/>
        </w:rPr>
        <w:t>s</w:t>
      </w:r>
      <w:r w:rsidRPr="00A41D62">
        <w:rPr>
          <w:rFonts w:ascii="Times New Roman" w:hAnsi="Times New Roman"/>
        </w:rPr>
        <w:t>, the Dealer Managers, the Tender Agent</w:t>
      </w:r>
      <w:r w:rsidR="005C3BC4">
        <w:rPr>
          <w:rFonts w:ascii="Times New Roman" w:hAnsi="Times New Roman"/>
        </w:rPr>
        <w:t>s</w:t>
      </w:r>
      <w:r w:rsidRPr="00A41D62">
        <w:rPr>
          <w:rFonts w:ascii="Times New Roman" w:hAnsi="Times New Roman"/>
        </w:rPr>
        <w:t xml:space="preserve"> and any person who controls, or</w:t>
      </w:r>
      <w:r>
        <w:rPr>
          <w:rFonts w:ascii="Times New Roman" w:hAnsi="Times New Roman"/>
        </w:rPr>
        <w:t xml:space="preserve"> </w:t>
      </w:r>
      <w:r w:rsidRPr="00A41D62">
        <w:rPr>
          <w:rFonts w:ascii="Times New Roman" w:hAnsi="Times New Roman"/>
        </w:rPr>
        <w:t>is a director, officer, employee or agent of such persons, or any affiliate of such persons, makes any</w:t>
      </w:r>
      <w:r>
        <w:rPr>
          <w:rFonts w:ascii="Times New Roman" w:hAnsi="Times New Roman"/>
        </w:rPr>
        <w:t xml:space="preserve"> </w:t>
      </w:r>
      <w:r w:rsidRPr="00A41D62">
        <w:rPr>
          <w:rFonts w:ascii="Times New Roman" w:hAnsi="Times New Roman"/>
        </w:rPr>
        <w:t xml:space="preserve">recommendation </w:t>
      </w:r>
      <w:r w:rsidR="006D0440">
        <w:rPr>
          <w:rFonts w:ascii="Times New Roman" w:hAnsi="Times New Roman"/>
        </w:rPr>
        <w:t xml:space="preserve">in connection with </w:t>
      </w:r>
      <w:r w:rsidRPr="00A41D62">
        <w:rPr>
          <w:rFonts w:ascii="Times New Roman" w:hAnsi="Times New Roman"/>
        </w:rPr>
        <w:t>the Offers.</w:t>
      </w:r>
    </w:p>
    <w:p w:rsidR="00A41D62" w:rsidRPr="00A41D62" w:rsidRDefault="00A41D62" w:rsidP="00575E6E">
      <w:pPr>
        <w:pStyle w:val="Body"/>
        <w:keepNext/>
        <w:keepLines/>
        <w:rPr>
          <w:rFonts w:ascii="Times New Roman" w:hAnsi="Times New Roman"/>
          <w:b/>
          <w:bCs/>
        </w:rPr>
      </w:pPr>
      <w:r w:rsidRPr="00A41D62">
        <w:rPr>
          <w:rFonts w:ascii="Times New Roman" w:hAnsi="Times New Roman"/>
          <w:b/>
          <w:bCs/>
        </w:rPr>
        <w:t xml:space="preserve">OFFER AND DISTRIBUTION RESTRICTIONS </w:t>
      </w:r>
    </w:p>
    <w:p w:rsidR="002E1684" w:rsidRPr="001464F1" w:rsidRDefault="00A41D62" w:rsidP="002E1684">
      <w:pPr>
        <w:pStyle w:val="Body"/>
        <w:rPr>
          <w:rFonts w:ascii="Times New Roman" w:hAnsi="Times New Roman"/>
        </w:rPr>
      </w:pPr>
      <w:r w:rsidRPr="00A41D62">
        <w:rPr>
          <w:rFonts w:ascii="Times New Roman" w:hAnsi="Times New Roman"/>
        </w:rPr>
        <w:t xml:space="preserve">This </w:t>
      </w:r>
      <w:r w:rsidR="002E1684">
        <w:rPr>
          <w:rFonts w:ascii="Times New Roman" w:hAnsi="Times New Roman"/>
        </w:rPr>
        <w:t xml:space="preserve">announcement and the </w:t>
      </w:r>
      <w:r w:rsidRPr="00A41D62">
        <w:rPr>
          <w:rFonts w:ascii="Times New Roman" w:hAnsi="Times New Roman"/>
        </w:rPr>
        <w:t xml:space="preserve">Tender Offer Memorandum </w:t>
      </w:r>
      <w:r w:rsidR="00601217">
        <w:rPr>
          <w:rFonts w:ascii="Times New Roman" w:hAnsi="Times New Roman"/>
        </w:rPr>
        <w:t>do</w:t>
      </w:r>
      <w:r w:rsidRPr="00A41D62">
        <w:rPr>
          <w:rFonts w:ascii="Times New Roman" w:hAnsi="Times New Roman"/>
        </w:rPr>
        <w:t xml:space="preserve"> not constitute an offer or an invitation to participate in the Offers in the United States or in any other jurisdiction in which, or to any person to or from whom, it is unlawful to make such offer or invitation or for there to be such participation under applicable securities laws. The distribution of this </w:t>
      </w:r>
      <w:r w:rsidR="002E1684">
        <w:rPr>
          <w:rFonts w:ascii="Times New Roman" w:hAnsi="Times New Roman"/>
        </w:rPr>
        <w:t>announcement and</w:t>
      </w:r>
      <w:r w:rsidR="00E43DB7">
        <w:rPr>
          <w:rFonts w:ascii="Times New Roman" w:hAnsi="Times New Roman"/>
        </w:rPr>
        <w:t>/or</w:t>
      </w:r>
      <w:r w:rsidR="002E1684">
        <w:rPr>
          <w:rFonts w:ascii="Times New Roman" w:hAnsi="Times New Roman"/>
        </w:rPr>
        <w:t xml:space="preserve"> the </w:t>
      </w:r>
      <w:r w:rsidRPr="00A41D62">
        <w:rPr>
          <w:rFonts w:ascii="Times New Roman" w:hAnsi="Times New Roman"/>
        </w:rPr>
        <w:t xml:space="preserve">Tender Offer Memorandum in certain jurisdictions may be restricted by law. Persons into whose possession this </w:t>
      </w:r>
      <w:r w:rsidR="002E1684">
        <w:rPr>
          <w:rFonts w:ascii="Times New Roman" w:hAnsi="Times New Roman"/>
        </w:rPr>
        <w:t xml:space="preserve">announcement and/or the </w:t>
      </w:r>
      <w:r w:rsidRPr="00A41D62">
        <w:rPr>
          <w:rFonts w:ascii="Times New Roman" w:hAnsi="Times New Roman"/>
        </w:rPr>
        <w:t>Tender Offer Memorandum comes are required by each of the Offeror</w:t>
      </w:r>
      <w:r w:rsidR="005C3BC4">
        <w:rPr>
          <w:rFonts w:ascii="Times New Roman" w:hAnsi="Times New Roman"/>
        </w:rPr>
        <w:t>s</w:t>
      </w:r>
      <w:r w:rsidRPr="00A41D62">
        <w:rPr>
          <w:rFonts w:ascii="Times New Roman" w:hAnsi="Times New Roman"/>
        </w:rPr>
        <w:t>, the Dealer Managers and the Tender Agent</w:t>
      </w:r>
      <w:r w:rsidR="005C3BC4">
        <w:rPr>
          <w:rFonts w:ascii="Times New Roman" w:hAnsi="Times New Roman"/>
        </w:rPr>
        <w:t>s</w:t>
      </w:r>
      <w:r w:rsidRPr="00A41D62">
        <w:rPr>
          <w:rFonts w:ascii="Times New Roman" w:hAnsi="Times New Roman"/>
        </w:rPr>
        <w:t xml:space="preserve"> to inform themselves about, and to observe, any such restrictions.</w:t>
      </w:r>
    </w:p>
    <w:sectPr w:rsidR="002E1684" w:rsidRPr="001464F1" w:rsidSect="00712C32">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B9" w:rsidRDefault="00436EB9">
      <w:r>
        <w:separator/>
      </w:r>
    </w:p>
  </w:endnote>
  <w:endnote w:type="continuationSeparator" w:id="0">
    <w:p w:rsidR="00436EB9" w:rsidRDefault="0043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227" w:rsidRDefault="00D222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227" w:rsidRDefault="00D222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227" w:rsidRDefault="00D222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B9" w:rsidRDefault="00436EB9">
      <w:r>
        <w:separator/>
      </w:r>
    </w:p>
  </w:footnote>
  <w:footnote w:type="continuationSeparator" w:id="0">
    <w:p w:rsidR="00436EB9" w:rsidRDefault="00436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227" w:rsidRDefault="00D222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227" w:rsidRDefault="00D222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227" w:rsidRDefault="00D222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1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75B3203"/>
    <w:multiLevelType w:val="multilevel"/>
    <w:tmpl w:val="6096DEFC"/>
    <w:name w:val="AOGen32"/>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2">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4">
    <w:nsid w:val="512A7C3C"/>
    <w:multiLevelType w:val="singleLevel"/>
    <w:tmpl w:val="E4E496EE"/>
    <w:lvl w:ilvl="0">
      <w:start w:val="1"/>
      <w:numFmt w:val="lowerLetter"/>
      <w:pStyle w:val="alpha1"/>
      <w:lvlText w:val="(%1)"/>
      <w:lvlJc w:val="left"/>
      <w:pPr>
        <w:tabs>
          <w:tab w:val="num" w:pos="680"/>
        </w:tabs>
        <w:ind w:left="680" w:hanging="680"/>
      </w:pPr>
      <w:rPr>
        <w:rFonts w:ascii="Times New Roman" w:hAnsi="Times New Roman" w:cs="Times New Roman" w:hint="default"/>
        <w:b w:val="0"/>
        <w:i w:val="0"/>
        <w:sz w:val="20"/>
      </w:rPr>
    </w:lvl>
  </w:abstractNum>
  <w:abstractNum w:abstractNumId="25">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AF711EC"/>
    <w:multiLevelType w:val="singleLevel"/>
    <w:tmpl w:val="B31A7EAA"/>
    <w:lvl w:ilvl="0">
      <w:start w:val="1"/>
      <w:numFmt w:val="lowerRoman"/>
      <w:pStyle w:val="roman1"/>
      <w:lvlText w:val="(%1)"/>
      <w:lvlJc w:val="left"/>
      <w:pPr>
        <w:tabs>
          <w:tab w:val="num" w:pos="680"/>
        </w:tabs>
        <w:ind w:left="680" w:hanging="680"/>
      </w:pPr>
      <w:rPr>
        <w:rFonts w:ascii="Times New Roman" w:hAnsi="Times New Roman" w:cs="Times New Roman" w:hint="default"/>
        <w:b w:val="0"/>
        <w:i w:val="0"/>
        <w:sz w:val="20"/>
      </w:rPr>
    </w:lvl>
  </w:abstractNum>
  <w:abstractNum w:abstractNumId="32">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3">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5">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6">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8">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1">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2">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3">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4">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4"/>
  </w:num>
  <w:num w:numId="2">
    <w:abstractNumId w:val="41"/>
  </w:num>
  <w:num w:numId="3">
    <w:abstractNumId w:val="14"/>
  </w:num>
  <w:num w:numId="4">
    <w:abstractNumId w:val="5"/>
  </w:num>
  <w:num w:numId="5">
    <w:abstractNumId w:val="23"/>
  </w:num>
  <w:num w:numId="6">
    <w:abstractNumId w:val="17"/>
  </w:num>
  <w:num w:numId="7">
    <w:abstractNumId w:val="6"/>
  </w:num>
  <w:num w:numId="8">
    <w:abstractNumId w:val="13"/>
  </w:num>
  <w:num w:numId="9">
    <w:abstractNumId w:val="11"/>
  </w:num>
  <w:num w:numId="10">
    <w:abstractNumId w:val="30"/>
  </w:num>
  <w:num w:numId="11">
    <w:abstractNumId w:val="44"/>
  </w:num>
  <w:num w:numId="12">
    <w:abstractNumId w:val="7"/>
  </w:num>
  <w:num w:numId="13">
    <w:abstractNumId w:val="18"/>
  </w:num>
  <w:num w:numId="14">
    <w:abstractNumId w:val="27"/>
  </w:num>
  <w:num w:numId="15">
    <w:abstractNumId w:val="20"/>
  </w:num>
  <w:num w:numId="16">
    <w:abstractNumId w:val="26"/>
  </w:num>
  <w:num w:numId="17">
    <w:abstractNumId w:val="25"/>
  </w:num>
  <w:num w:numId="18">
    <w:abstractNumId w:val="8"/>
  </w:num>
  <w:num w:numId="19">
    <w:abstractNumId w:val="38"/>
  </w:num>
  <w:num w:numId="20">
    <w:abstractNumId w:val="37"/>
  </w:num>
  <w:num w:numId="21">
    <w:abstractNumId w:val="45"/>
  </w:num>
  <w:num w:numId="22">
    <w:abstractNumId w:val="1"/>
  </w:num>
  <w:num w:numId="23">
    <w:abstractNumId w:val="33"/>
  </w:num>
  <w:num w:numId="24">
    <w:abstractNumId w:val="31"/>
  </w:num>
  <w:num w:numId="25">
    <w:abstractNumId w:val="43"/>
  </w:num>
  <w:num w:numId="26">
    <w:abstractNumId w:val="34"/>
  </w:num>
  <w:num w:numId="27">
    <w:abstractNumId w:val="29"/>
  </w:num>
  <w:num w:numId="28">
    <w:abstractNumId w:val="42"/>
  </w:num>
  <w:num w:numId="29">
    <w:abstractNumId w:val="40"/>
  </w:num>
  <w:num w:numId="30">
    <w:abstractNumId w:val="16"/>
  </w:num>
  <w:num w:numId="31">
    <w:abstractNumId w:val="4"/>
  </w:num>
  <w:num w:numId="32">
    <w:abstractNumId w:val="12"/>
  </w:num>
  <w:num w:numId="33">
    <w:abstractNumId w:val="2"/>
  </w:num>
  <w:num w:numId="34">
    <w:abstractNumId w:val="35"/>
  </w:num>
  <w:num w:numId="35">
    <w:abstractNumId w:val="0"/>
  </w:num>
  <w:num w:numId="36">
    <w:abstractNumId w:val="15"/>
  </w:num>
  <w:num w:numId="37">
    <w:abstractNumId w:val="36"/>
  </w:num>
  <w:num w:numId="38">
    <w:abstractNumId w:val="10"/>
  </w:num>
  <w:num w:numId="39">
    <w:abstractNumId w:val="19"/>
  </w:num>
  <w:num w:numId="40">
    <w:abstractNumId w:val="39"/>
  </w:num>
  <w:num w:numId="41">
    <w:abstractNumId w:val="9"/>
  </w:num>
  <w:num w:numId="42">
    <w:abstractNumId w:val="28"/>
  </w:num>
  <w:num w:numId="43">
    <w:abstractNumId w:val="32"/>
  </w:num>
  <w:num w:numId="44">
    <w:abstractNumId w:val="3"/>
  </w:num>
  <w:num w:numId="45">
    <w:abstractNumId w:val="21"/>
  </w:num>
  <w:num w:numId="46">
    <w:abstractNumId w:val="22"/>
  </w:num>
  <w:num w:numId="47">
    <w:abstractNumId w:val="21"/>
  </w:num>
  <w:num w:numId="48">
    <w:abstractNumId w:val="21"/>
  </w:num>
  <w:num w:numId="49">
    <w:abstractNumId w:val="21"/>
  </w:num>
  <w:num w:numId="50">
    <w:abstractNumId w:val="31"/>
    <w:lvlOverride w:ilvl="0">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436EB9"/>
    <w:rsid w:val="00003A07"/>
    <w:rsid w:val="0000435B"/>
    <w:rsid w:val="00006062"/>
    <w:rsid w:val="000079AF"/>
    <w:rsid w:val="00015D3B"/>
    <w:rsid w:val="00022235"/>
    <w:rsid w:val="000235EF"/>
    <w:rsid w:val="00031777"/>
    <w:rsid w:val="00050E42"/>
    <w:rsid w:val="00053619"/>
    <w:rsid w:val="00055BD1"/>
    <w:rsid w:val="0006382D"/>
    <w:rsid w:val="00063FA1"/>
    <w:rsid w:val="00064D75"/>
    <w:rsid w:val="00074212"/>
    <w:rsid w:val="00087DA3"/>
    <w:rsid w:val="00087EA5"/>
    <w:rsid w:val="00090B7E"/>
    <w:rsid w:val="000931B2"/>
    <w:rsid w:val="0009597B"/>
    <w:rsid w:val="000965AD"/>
    <w:rsid w:val="00097071"/>
    <w:rsid w:val="000A1ECF"/>
    <w:rsid w:val="000B3CC1"/>
    <w:rsid w:val="000B711E"/>
    <w:rsid w:val="000C17D7"/>
    <w:rsid w:val="000D00CE"/>
    <w:rsid w:val="000D2647"/>
    <w:rsid w:val="000D2EEE"/>
    <w:rsid w:val="000D5311"/>
    <w:rsid w:val="000E6686"/>
    <w:rsid w:val="000E6C28"/>
    <w:rsid w:val="000E6F20"/>
    <w:rsid w:val="000F7D98"/>
    <w:rsid w:val="00102936"/>
    <w:rsid w:val="00110AE5"/>
    <w:rsid w:val="00113EF1"/>
    <w:rsid w:val="00113FB8"/>
    <w:rsid w:val="00115418"/>
    <w:rsid w:val="0011582D"/>
    <w:rsid w:val="00121CBA"/>
    <w:rsid w:val="0012565E"/>
    <w:rsid w:val="00133276"/>
    <w:rsid w:val="00141816"/>
    <w:rsid w:val="0014232F"/>
    <w:rsid w:val="001464F1"/>
    <w:rsid w:val="00146B67"/>
    <w:rsid w:val="00152BE7"/>
    <w:rsid w:val="00153AB6"/>
    <w:rsid w:val="00156B6E"/>
    <w:rsid w:val="00167102"/>
    <w:rsid w:val="00167727"/>
    <w:rsid w:val="00175E2D"/>
    <w:rsid w:val="001951FA"/>
    <w:rsid w:val="00195EFD"/>
    <w:rsid w:val="001965A1"/>
    <w:rsid w:val="001A73B2"/>
    <w:rsid w:val="001A760B"/>
    <w:rsid w:val="001B0FD0"/>
    <w:rsid w:val="001B1DF1"/>
    <w:rsid w:val="001B200B"/>
    <w:rsid w:val="001B255B"/>
    <w:rsid w:val="001B2790"/>
    <w:rsid w:val="001B2F73"/>
    <w:rsid w:val="001B524C"/>
    <w:rsid w:val="001B5E59"/>
    <w:rsid w:val="001B6919"/>
    <w:rsid w:val="001C01AD"/>
    <w:rsid w:val="001C1ADE"/>
    <w:rsid w:val="001C7CE1"/>
    <w:rsid w:val="001D064B"/>
    <w:rsid w:val="001D4396"/>
    <w:rsid w:val="001D4F91"/>
    <w:rsid w:val="001D51D1"/>
    <w:rsid w:val="001D51E4"/>
    <w:rsid w:val="001E2DC4"/>
    <w:rsid w:val="001E53DD"/>
    <w:rsid w:val="001E6836"/>
    <w:rsid w:val="001E7B43"/>
    <w:rsid w:val="001F05FC"/>
    <w:rsid w:val="001F76BC"/>
    <w:rsid w:val="00216A2A"/>
    <w:rsid w:val="0022411E"/>
    <w:rsid w:val="0022497C"/>
    <w:rsid w:val="00227D38"/>
    <w:rsid w:val="002325EF"/>
    <w:rsid w:val="00234185"/>
    <w:rsid w:val="00240DCC"/>
    <w:rsid w:val="0024359D"/>
    <w:rsid w:val="00247F62"/>
    <w:rsid w:val="00250444"/>
    <w:rsid w:val="00256A6F"/>
    <w:rsid w:val="00261DD7"/>
    <w:rsid w:val="00266414"/>
    <w:rsid w:val="00283B3E"/>
    <w:rsid w:val="00285B82"/>
    <w:rsid w:val="0028685B"/>
    <w:rsid w:val="00296248"/>
    <w:rsid w:val="002A4A4B"/>
    <w:rsid w:val="002A6407"/>
    <w:rsid w:val="002B05E3"/>
    <w:rsid w:val="002B2CAA"/>
    <w:rsid w:val="002B45B9"/>
    <w:rsid w:val="002C24F1"/>
    <w:rsid w:val="002C75B0"/>
    <w:rsid w:val="002D1DAD"/>
    <w:rsid w:val="002D3BE7"/>
    <w:rsid w:val="002E1684"/>
    <w:rsid w:val="002E1DA0"/>
    <w:rsid w:val="002F060E"/>
    <w:rsid w:val="002F1D8B"/>
    <w:rsid w:val="00306591"/>
    <w:rsid w:val="0031059C"/>
    <w:rsid w:val="003118EB"/>
    <w:rsid w:val="003138B0"/>
    <w:rsid w:val="00331547"/>
    <w:rsid w:val="00332823"/>
    <w:rsid w:val="003421C6"/>
    <w:rsid w:val="003431B3"/>
    <w:rsid w:val="00355DB5"/>
    <w:rsid w:val="00362B05"/>
    <w:rsid w:val="00370143"/>
    <w:rsid w:val="003731B7"/>
    <w:rsid w:val="003733E8"/>
    <w:rsid w:val="00376A44"/>
    <w:rsid w:val="003817F1"/>
    <w:rsid w:val="003B098D"/>
    <w:rsid w:val="003C5624"/>
    <w:rsid w:val="003C73D0"/>
    <w:rsid w:val="003D0802"/>
    <w:rsid w:val="003D6A51"/>
    <w:rsid w:val="003E67D0"/>
    <w:rsid w:val="003E7E2E"/>
    <w:rsid w:val="003F2EE7"/>
    <w:rsid w:val="003F5078"/>
    <w:rsid w:val="003F7CE4"/>
    <w:rsid w:val="00405378"/>
    <w:rsid w:val="00411838"/>
    <w:rsid w:val="0043103B"/>
    <w:rsid w:val="00434624"/>
    <w:rsid w:val="00434F8E"/>
    <w:rsid w:val="00436EB9"/>
    <w:rsid w:val="00440282"/>
    <w:rsid w:val="004435BD"/>
    <w:rsid w:val="00446722"/>
    <w:rsid w:val="00460E12"/>
    <w:rsid w:val="004622DC"/>
    <w:rsid w:val="00467EC2"/>
    <w:rsid w:val="00474F5F"/>
    <w:rsid w:val="00480435"/>
    <w:rsid w:val="00482CE3"/>
    <w:rsid w:val="0048306A"/>
    <w:rsid w:val="00487A4C"/>
    <w:rsid w:val="00494464"/>
    <w:rsid w:val="00495B7B"/>
    <w:rsid w:val="00496701"/>
    <w:rsid w:val="00496C62"/>
    <w:rsid w:val="004B05B7"/>
    <w:rsid w:val="004B6D8F"/>
    <w:rsid w:val="004D4E05"/>
    <w:rsid w:val="004D732D"/>
    <w:rsid w:val="004E20A4"/>
    <w:rsid w:val="004E3B7F"/>
    <w:rsid w:val="004E4DD1"/>
    <w:rsid w:val="004E538C"/>
    <w:rsid w:val="004E6ECB"/>
    <w:rsid w:val="004E6F58"/>
    <w:rsid w:val="004E79AE"/>
    <w:rsid w:val="004F666C"/>
    <w:rsid w:val="005015E9"/>
    <w:rsid w:val="005026C2"/>
    <w:rsid w:val="0050468F"/>
    <w:rsid w:val="00511287"/>
    <w:rsid w:val="0051530E"/>
    <w:rsid w:val="00523077"/>
    <w:rsid w:val="00524A7D"/>
    <w:rsid w:val="005274DE"/>
    <w:rsid w:val="005278B5"/>
    <w:rsid w:val="005339CD"/>
    <w:rsid w:val="00543720"/>
    <w:rsid w:val="005558DC"/>
    <w:rsid w:val="00555AB0"/>
    <w:rsid w:val="00563AB6"/>
    <w:rsid w:val="005646F3"/>
    <w:rsid w:val="00574131"/>
    <w:rsid w:val="0057448A"/>
    <w:rsid w:val="00575E6E"/>
    <w:rsid w:val="00581584"/>
    <w:rsid w:val="00590D96"/>
    <w:rsid w:val="005A3261"/>
    <w:rsid w:val="005A4CCB"/>
    <w:rsid w:val="005A4ECE"/>
    <w:rsid w:val="005B136E"/>
    <w:rsid w:val="005B3D48"/>
    <w:rsid w:val="005B4294"/>
    <w:rsid w:val="005B49CF"/>
    <w:rsid w:val="005B7049"/>
    <w:rsid w:val="005C0117"/>
    <w:rsid w:val="005C3BC4"/>
    <w:rsid w:val="005C3E33"/>
    <w:rsid w:val="005D3FB7"/>
    <w:rsid w:val="005D6A31"/>
    <w:rsid w:val="005D7121"/>
    <w:rsid w:val="005E0338"/>
    <w:rsid w:val="005E06BB"/>
    <w:rsid w:val="005E2072"/>
    <w:rsid w:val="005E4197"/>
    <w:rsid w:val="005E61E0"/>
    <w:rsid w:val="005F36E7"/>
    <w:rsid w:val="005F541B"/>
    <w:rsid w:val="00600BE5"/>
    <w:rsid w:val="00601217"/>
    <w:rsid w:val="0060145E"/>
    <w:rsid w:val="006030EA"/>
    <w:rsid w:val="006047FA"/>
    <w:rsid w:val="006147C7"/>
    <w:rsid w:val="00615E9B"/>
    <w:rsid w:val="00615FF8"/>
    <w:rsid w:val="00616D18"/>
    <w:rsid w:val="006172D0"/>
    <w:rsid w:val="00617663"/>
    <w:rsid w:val="00623ED5"/>
    <w:rsid w:val="00624385"/>
    <w:rsid w:val="00635842"/>
    <w:rsid w:val="00637DFF"/>
    <w:rsid w:val="00642B39"/>
    <w:rsid w:val="00644127"/>
    <w:rsid w:val="00650485"/>
    <w:rsid w:val="006519F7"/>
    <w:rsid w:val="006733F1"/>
    <w:rsid w:val="00674B5F"/>
    <w:rsid w:val="00675CEA"/>
    <w:rsid w:val="006818E9"/>
    <w:rsid w:val="00683C8B"/>
    <w:rsid w:val="00687D21"/>
    <w:rsid w:val="00690808"/>
    <w:rsid w:val="0069465D"/>
    <w:rsid w:val="00694DB1"/>
    <w:rsid w:val="006A74C0"/>
    <w:rsid w:val="006A7F0E"/>
    <w:rsid w:val="006B4F59"/>
    <w:rsid w:val="006B556C"/>
    <w:rsid w:val="006C120A"/>
    <w:rsid w:val="006C2AE0"/>
    <w:rsid w:val="006C412F"/>
    <w:rsid w:val="006D0440"/>
    <w:rsid w:val="006D69B4"/>
    <w:rsid w:val="006E1B56"/>
    <w:rsid w:val="006E2F83"/>
    <w:rsid w:val="006E6E7B"/>
    <w:rsid w:val="006E709D"/>
    <w:rsid w:val="006E7621"/>
    <w:rsid w:val="006F0E62"/>
    <w:rsid w:val="006F7B7E"/>
    <w:rsid w:val="00700BB2"/>
    <w:rsid w:val="00705541"/>
    <w:rsid w:val="00707D63"/>
    <w:rsid w:val="007106F9"/>
    <w:rsid w:val="0071231A"/>
    <w:rsid w:val="00712C32"/>
    <w:rsid w:val="00713A13"/>
    <w:rsid w:val="00715306"/>
    <w:rsid w:val="00724241"/>
    <w:rsid w:val="00732C8E"/>
    <w:rsid w:val="0073549C"/>
    <w:rsid w:val="00744EFB"/>
    <w:rsid w:val="00744F9C"/>
    <w:rsid w:val="00750BE5"/>
    <w:rsid w:val="007510A8"/>
    <w:rsid w:val="007513DF"/>
    <w:rsid w:val="0075622C"/>
    <w:rsid w:val="00764A4A"/>
    <w:rsid w:val="00766FA7"/>
    <w:rsid w:val="0077193A"/>
    <w:rsid w:val="00796003"/>
    <w:rsid w:val="00796846"/>
    <w:rsid w:val="007A2284"/>
    <w:rsid w:val="007A3C7C"/>
    <w:rsid w:val="007A55B6"/>
    <w:rsid w:val="007B56AF"/>
    <w:rsid w:val="007B5EF5"/>
    <w:rsid w:val="007C2245"/>
    <w:rsid w:val="007C2A67"/>
    <w:rsid w:val="007D267D"/>
    <w:rsid w:val="007E1C10"/>
    <w:rsid w:val="007E30AE"/>
    <w:rsid w:val="007E6B7A"/>
    <w:rsid w:val="007F0955"/>
    <w:rsid w:val="007F4777"/>
    <w:rsid w:val="008003EA"/>
    <w:rsid w:val="008019A6"/>
    <w:rsid w:val="00804C32"/>
    <w:rsid w:val="00806A5C"/>
    <w:rsid w:val="008147A5"/>
    <w:rsid w:val="00817385"/>
    <w:rsid w:val="00821CDB"/>
    <w:rsid w:val="0082205B"/>
    <w:rsid w:val="008230DE"/>
    <w:rsid w:val="008301A4"/>
    <w:rsid w:val="008324C4"/>
    <w:rsid w:val="00833DA0"/>
    <w:rsid w:val="00843527"/>
    <w:rsid w:val="0084422F"/>
    <w:rsid w:val="00853DA4"/>
    <w:rsid w:val="00853FAF"/>
    <w:rsid w:val="00863758"/>
    <w:rsid w:val="00865F2E"/>
    <w:rsid w:val="00877B1D"/>
    <w:rsid w:val="008803AA"/>
    <w:rsid w:val="00881F47"/>
    <w:rsid w:val="00886B49"/>
    <w:rsid w:val="00887FCD"/>
    <w:rsid w:val="00893825"/>
    <w:rsid w:val="0089672C"/>
    <w:rsid w:val="008A40EE"/>
    <w:rsid w:val="008A659C"/>
    <w:rsid w:val="008B03C3"/>
    <w:rsid w:val="008B2D5D"/>
    <w:rsid w:val="008C75EB"/>
    <w:rsid w:val="008D12D8"/>
    <w:rsid w:val="008F0218"/>
    <w:rsid w:val="008F4298"/>
    <w:rsid w:val="009039B9"/>
    <w:rsid w:val="00907197"/>
    <w:rsid w:val="00923904"/>
    <w:rsid w:val="009242C0"/>
    <w:rsid w:val="0093021D"/>
    <w:rsid w:val="00932DA7"/>
    <w:rsid w:val="00933B00"/>
    <w:rsid w:val="00936903"/>
    <w:rsid w:val="00950011"/>
    <w:rsid w:val="0095173F"/>
    <w:rsid w:val="0095192E"/>
    <w:rsid w:val="00952C38"/>
    <w:rsid w:val="00963531"/>
    <w:rsid w:val="00971150"/>
    <w:rsid w:val="009752E9"/>
    <w:rsid w:val="0098104D"/>
    <w:rsid w:val="00982120"/>
    <w:rsid w:val="009853CE"/>
    <w:rsid w:val="0098562A"/>
    <w:rsid w:val="00987696"/>
    <w:rsid w:val="009A3044"/>
    <w:rsid w:val="009A3E3A"/>
    <w:rsid w:val="009A4647"/>
    <w:rsid w:val="009A4CEF"/>
    <w:rsid w:val="009B63D7"/>
    <w:rsid w:val="009C2D31"/>
    <w:rsid w:val="009C7173"/>
    <w:rsid w:val="009D14D7"/>
    <w:rsid w:val="009D3554"/>
    <w:rsid w:val="009D3EB1"/>
    <w:rsid w:val="009E4D77"/>
    <w:rsid w:val="009F01F5"/>
    <w:rsid w:val="009F3144"/>
    <w:rsid w:val="009F4D84"/>
    <w:rsid w:val="009F52C8"/>
    <w:rsid w:val="00A121B3"/>
    <w:rsid w:val="00A12854"/>
    <w:rsid w:val="00A141AE"/>
    <w:rsid w:val="00A1680E"/>
    <w:rsid w:val="00A206BA"/>
    <w:rsid w:val="00A22B83"/>
    <w:rsid w:val="00A30F5E"/>
    <w:rsid w:val="00A3400A"/>
    <w:rsid w:val="00A3671C"/>
    <w:rsid w:val="00A41D62"/>
    <w:rsid w:val="00A51E41"/>
    <w:rsid w:val="00A544E7"/>
    <w:rsid w:val="00A56FFB"/>
    <w:rsid w:val="00A600EC"/>
    <w:rsid w:val="00A60E4F"/>
    <w:rsid w:val="00A779A1"/>
    <w:rsid w:val="00A828DD"/>
    <w:rsid w:val="00A82967"/>
    <w:rsid w:val="00A86541"/>
    <w:rsid w:val="00A875B4"/>
    <w:rsid w:val="00A90AC8"/>
    <w:rsid w:val="00AA3E1E"/>
    <w:rsid w:val="00AA4E1F"/>
    <w:rsid w:val="00AA6F6B"/>
    <w:rsid w:val="00AB5030"/>
    <w:rsid w:val="00AB7276"/>
    <w:rsid w:val="00AC37F8"/>
    <w:rsid w:val="00AD6202"/>
    <w:rsid w:val="00AD66E2"/>
    <w:rsid w:val="00AD740E"/>
    <w:rsid w:val="00AE06D5"/>
    <w:rsid w:val="00AE4612"/>
    <w:rsid w:val="00AE487F"/>
    <w:rsid w:val="00AE6FB5"/>
    <w:rsid w:val="00AF64CE"/>
    <w:rsid w:val="00B045C9"/>
    <w:rsid w:val="00B06369"/>
    <w:rsid w:val="00B163D1"/>
    <w:rsid w:val="00B21685"/>
    <w:rsid w:val="00B3340F"/>
    <w:rsid w:val="00B33848"/>
    <w:rsid w:val="00B33B60"/>
    <w:rsid w:val="00B41066"/>
    <w:rsid w:val="00B410DF"/>
    <w:rsid w:val="00B46A1F"/>
    <w:rsid w:val="00B51CDF"/>
    <w:rsid w:val="00B632A5"/>
    <w:rsid w:val="00B65D12"/>
    <w:rsid w:val="00B74F09"/>
    <w:rsid w:val="00B809F1"/>
    <w:rsid w:val="00B83A16"/>
    <w:rsid w:val="00B84C8D"/>
    <w:rsid w:val="00B84C8F"/>
    <w:rsid w:val="00B87C40"/>
    <w:rsid w:val="00B87EA1"/>
    <w:rsid w:val="00B90F06"/>
    <w:rsid w:val="00BA44F0"/>
    <w:rsid w:val="00BA4D2F"/>
    <w:rsid w:val="00BB5225"/>
    <w:rsid w:val="00BC1CC7"/>
    <w:rsid w:val="00BC4C4C"/>
    <w:rsid w:val="00BD03BE"/>
    <w:rsid w:val="00BD3930"/>
    <w:rsid w:val="00BD7138"/>
    <w:rsid w:val="00BE43A0"/>
    <w:rsid w:val="00BF25BE"/>
    <w:rsid w:val="00BF6739"/>
    <w:rsid w:val="00C0013A"/>
    <w:rsid w:val="00C00620"/>
    <w:rsid w:val="00C00FB2"/>
    <w:rsid w:val="00C017A8"/>
    <w:rsid w:val="00C0491E"/>
    <w:rsid w:val="00C04C01"/>
    <w:rsid w:val="00C06607"/>
    <w:rsid w:val="00C073EB"/>
    <w:rsid w:val="00C07EB0"/>
    <w:rsid w:val="00C10BB6"/>
    <w:rsid w:val="00C21ED9"/>
    <w:rsid w:val="00C24E6A"/>
    <w:rsid w:val="00C27663"/>
    <w:rsid w:val="00C33CD6"/>
    <w:rsid w:val="00C37DBF"/>
    <w:rsid w:val="00C51796"/>
    <w:rsid w:val="00C53D5F"/>
    <w:rsid w:val="00C61EBA"/>
    <w:rsid w:val="00C6226D"/>
    <w:rsid w:val="00C7220B"/>
    <w:rsid w:val="00C77A29"/>
    <w:rsid w:val="00C8074E"/>
    <w:rsid w:val="00C8115E"/>
    <w:rsid w:val="00C81709"/>
    <w:rsid w:val="00C81A43"/>
    <w:rsid w:val="00C82EB5"/>
    <w:rsid w:val="00C8302F"/>
    <w:rsid w:val="00C91790"/>
    <w:rsid w:val="00CA39FD"/>
    <w:rsid w:val="00CD5EA4"/>
    <w:rsid w:val="00CD71B5"/>
    <w:rsid w:val="00CE13A1"/>
    <w:rsid w:val="00CE2793"/>
    <w:rsid w:val="00CE2857"/>
    <w:rsid w:val="00CE3523"/>
    <w:rsid w:val="00CE38FD"/>
    <w:rsid w:val="00D047CE"/>
    <w:rsid w:val="00D05BA7"/>
    <w:rsid w:val="00D06342"/>
    <w:rsid w:val="00D070A0"/>
    <w:rsid w:val="00D11926"/>
    <w:rsid w:val="00D170B3"/>
    <w:rsid w:val="00D22227"/>
    <w:rsid w:val="00D25168"/>
    <w:rsid w:val="00D25E89"/>
    <w:rsid w:val="00D41D5C"/>
    <w:rsid w:val="00D51F53"/>
    <w:rsid w:val="00D60C45"/>
    <w:rsid w:val="00D62F4F"/>
    <w:rsid w:val="00D652DD"/>
    <w:rsid w:val="00D75C65"/>
    <w:rsid w:val="00D90C4F"/>
    <w:rsid w:val="00D91F55"/>
    <w:rsid w:val="00DA185A"/>
    <w:rsid w:val="00DA71BF"/>
    <w:rsid w:val="00DB25BC"/>
    <w:rsid w:val="00DB7D44"/>
    <w:rsid w:val="00DC18FB"/>
    <w:rsid w:val="00DC5282"/>
    <w:rsid w:val="00DD4698"/>
    <w:rsid w:val="00DD5F98"/>
    <w:rsid w:val="00DD7F50"/>
    <w:rsid w:val="00E0377F"/>
    <w:rsid w:val="00E118C5"/>
    <w:rsid w:val="00E11D67"/>
    <w:rsid w:val="00E221AD"/>
    <w:rsid w:val="00E232EE"/>
    <w:rsid w:val="00E23628"/>
    <w:rsid w:val="00E23E63"/>
    <w:rsid w:val="00E248BF"/>
    <w:rsid w:val="00E34455"/>
    <w:rsid w:val="00E4067B"/>
    <w:rsid w:val="00E41987"/>
    <w:rsid w:val="00E43DB7"/>
    <w:rsid w:val="00E47DF5"/>
    <w:rsid w:val="00E5155C"/>
    <w:rsid w:val="00E65C36"/>
    <w:rsid w:val="00E74D37"/>
    <w:rsid w:val="00E75E9F"/>
    <w:rsid w:val="00E8083A"/>
    <w:rsid w:val="00E87506"/>
    <w:rsid w:val="00E87969"/>
    <w:rsid w:val="00E959C3"/>
    <w:rsid w:val="00E9643B"/>
    <w:rsid w:val="00EA1326"/>
    <w:rsid w:val="00EA50C9"/>
    <w:rsid w:val="00EB114E"/>
    <w:rsid w:val="00EC1F06"/>
    <w:rsid w:val="00ED045D"/>
    <w:rsid w:val="00ED1905"/>
    <w:rsid w:val="00ED4A74"/>
    <w:rsid w:val="00EE1C2E"/>
    <w:rsid w:val="00EE54ED"/>
    <w:rsid w:val="00EF0772"/>
    <w:rsid w:val="00EF0AFB"/>
    <w:rsid w:val="00EF5437"/>
    <w:rsid w:val="00F02157"/>
    <w:rsid w:val="00F02A78"/>
    <w:rsid w:val="00F0384E"/>
    <w:rsid w:val="00F21682"/>
    <w:rsid w:val="00F2618A"/>
    <w:rsid w:val="00F341E9"/>
    <w:rsid w:val="00F348AF"/>
    <w:rsid w:val="00F40AD3"/>
    <w:rsid w:val="00F41205"/>
    <w:rsid w:val="00F456B3"/>
    <w:rsid w:val="00F504A9"/>
    <w:rsid w:val="00F54FEA"/>
    <w:rsid w:val="00F569B6"/>
    <w:rsid w:val="00F60953"/>
    <w:rsid w:val="00F665BD"/>
    <w:rsid w:val="00F71181"/>
    <w:rsid w:val="00F75917"/>
    <w:rsid w:val="00F82122"/>
    <w:rsid w:val="00F86227"/>
    <w:rsid w:val="00F86613"/>
    <w:rsid w:val="00F90AAB"/>
    <w:rsid w:val="00F92DEA"/>
    <w:rsid w:val="00F9462B"/>
    <w:rsid w:val="00F94F33"/>
    <w:rsid w:val="00FA11F2"/>
    <w:rsid w:val="00FA5247"/>
    <w:rsid w:val="00FB653E"/>
    <w:rsid w:val="00FB7CD6"/>
    <w:rsid w:val="00FC11A8"/>
    <w:rsid w:val="00FC4994"/>
    <w:rsid w:val="00FD4883"/>
    <w:rsid w:val="00FE30D7"/>
    <w:rsid w:val="00FF1FF1"/>
    <w:rsid w:val="00FF3683"/>
    <w:rsid w:val="00FF73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paragraph" w:customStyle="1" w:styleId="AODocTxt">
    <w:name w:val="AODocTxt"/>
    <w:basedOn w:val="Normal"/>
    <w:link w:val="AODocTxtChar"/>
    <w:rsid w:val="006F0E62"/>
    <w:pPr>
      <w:numPr>
        <w:numId w:val="45"/>
      </w:numPr>
      <w:spacing w:before="240" w:line="260" w:lineRule="atLeast"/>
      <w:jc w:val="both"/>
    </w:pPr>
    <w:rPr>
      <w:rFonts w:ascii="Times New Roman" w:eastAsia="SimSun" w:hAnsi="Times New Roman"/>
      <w:sz w:val="22"/>
      <w:szCs w:val="22"/>
      <w:lang w:eastAsia="en-US"/>
    </w:rPr>
  </w:style>
  <w:style w:type="paragraph" w:customStyle="1" w:styleId="AODocTxtL1">
    <w:name w:val="AODocTxtL1"/>
    <w:basedOn w:val="AODocTxt"/>
    <w:rsid w:val="006F0E62"/>
    <w:pPr>
      <w:numPr>
        <w:ilvl w:val="1"/>
      </w:numPr>
      <w:tabs>
        <w:tab w:val="num" w:pos="1440"/>
      </w:tabs>
      <w:ind w:left="1440" w:hanging="360"/>
    </w:pPr>
  </w:style>
  <w:style w:type="paragraph" w:customStyle="1" w:styleId="AODocTxtL2">
    <w:name w:val="AODocTxtL2"/>
    <w:basedOn w:val="AODocTxt"/>
    <w:rsid w:val="006F0E62"/>
    <w:pPr>
      <w:numPr>
        <w:ilvl w:val="2"/>
      </w:numPr>
      <w:tabs>
        <w:tab w:val="num" w:pos="2160"/>
      </w:tabs>
      <w:ind w:left="2160" w:hanging="360"/>
    </w:pPr>
  </w:style>
  <w:style w:type="paragraph" w:customStyle="1" w:styleId="AODocTxtL3">
    <w:name w:val="AODocTxtL3"/>
    <w:basedOn w:val="AODocTxt"/>
    <w:rsid w:val="006F0E62"/>
    <w:pPr>
      <w:numPr>
        <w:ilvl w:val="3"/>
      </w:numPr>
      <w:tabs>
        <w:tab w:val="num" w:pos="2880"/>
      </w:tabs>
      <w:ind w:left="2880" w:hanging="360"/>
    </w:pPr>
  </w:style>
  <w:style w:type="paragraph" w:customStyle="1" w:styleId="AODocTxtL4">
    <w:name w:val="AODocTxtL4"/>
    <w:basedOn w:val="AODocTxt"/>
    <w:rsid w:val="006F0E62"/>
    <w:pPr>
      <w:numPr>
        <w:ilvl w:val="4"/>
      </w:numPr>
      <w:tabs>
        <w:tab w:val="num" w:pos="3600"/>
      </w:tabs>
      <w:ind w:left="3600" w:hanging="360"/>
    </w:pPr>
  </w:style>
  <w:style w:type="paragraph" w:customStyle="1" w:styleId="AODocTxtL5">
    <w:name w:val="AODocTxtL5"/>
    <w:basedOn w:val="AODocTxt"/>
    <w:rsid w:val="006F0E62"/>
    <w:pPr>
      <w:numPr>
        <w:ilvl w:val="5"/>
      </w:numPr>
      <w:tabs>
        <w:tab w:val="num" w:pos="4320"/>
      </w:tabs>
      <w:ind w:left="4320" w:hanging="360"/>
    </w:pPr>
  </w:style>
  <w:style w:type="paragraph" w:customStyle="1" w:styleId="AODocTxtL6">
    <w:name w:val="AODocTxtL6"/>
    <w:basedOn w:val="AODocTxt"/>
    <w:rsid w:val="006F0E62"/>
    <w:pPr>
      <w:numPr>
        <w:ilvl w:val="6"/>
      </w:numPr>
      <w:tabs>
        <w:tab w:val="num" w:pos="5040"/>
      </w:tabs>
      <w:ind w:left="5040" w:hanging="360"/>
    </w:pPr>
  </w:style>
  <w:style w:type="paragraph" w:customStyle="1" w:styleId="AODocTxtL7">
    <w:name w:val="AODocTxtL7"/>
    <w:basedOn w:val="AODocTxt"/>
    <w:rsid w:val="006F0E62"/>
    <w:pPr>
      <w:numPr>
        <w:ilvl w:val="7"/>
      </w:numPr>
      <w:tabs>
        <w:tab w:val="num" w:pos="5760"/>
      </w:tabs>
      <w:ind w:left="5760" w:hanging="360"/>
    </w:pPr>
  </w:style>
  <w:style w:type="paragraph" w:customStyle="1" w:styleId="AODocTxtL8">
    <w:name w:val="AODocTxtL8"/>
    <w:basedOn w:val="AODocTxt"/>
    <w:rsid w:val="006F0E62"/>
    <w:pPr>
      <w:numPr>
        <w:ilvl w:val="8"/>
      </w:numPr>
      <w:tabs>
        <w:tab w:val="num" w:pos="6480"/>
      </w:tabs>
      <w:ind w:left="6480" w:hanging="360"/>
    </w:pPr>
  </w:style>
  <w:style w:type="character" w:customStyle="1" w:styleId="AODocTxtChar">
    <w:name w:val="AODocTxt Char"/>
    <w:link w:val="AODocTxt"/>
    <w:rsid w:val="006F0E62"/>
    <w:rPr>
      <w:rFonts w:eastAsia="SimSun"/>
      <w:sz w:val="22"/>
      <w:szCs w:val="22"/>
      <w:lang w:eastAsia="en-US"/>
    </w:rPr>
  </w:style>
  <w:style w:type="paragraph" w:customStyle="1" w:styleId="AONormal">
    <w:name w:val="AONormal"/>
    <w:rsid w:val="001464F1"/>
    <w:pPr>
      <w:spacing w:line="260" w:lineRule="atLeast"/>
    </w:pPr>
    <w:rPr>
      <w:rFonts w:eastAsia="SimSun"/>
      <w:sz w:val="22"/>
      <w:szCs w:val="22"/>
      <w:lang w:eastAsia="en-US"/>
    </w:rPr>
  </w:style>
  <w:style w:type="paragraph" w:customStyle="1" w:styleId="text2">
    <w:name w:val="text2"/>
    <w:aliases w:val="t2"/>
    <w:rsid w:val="001464F1"/>
    <w:pPr>
      <w:spacing w:before="120" w:line="260" w:lineRule="atLeast"/>
      <w:jc w:val="both"/>
    </w:pPr>
    <w:rPr>
      <w:rFonts w:eastAsia="SimSun"/>
      <w:sz w:val="18"/>
      <w:szCs w:val="18"/>
      <w:lang w:eastAsia="en-US"/>
    </w:rPr>
  </w:style>
  <w:style w:type="paragraph" w:customStyle="1" w:styleId="DPWfdCenterLine">
    <w:name w:val="DPWfd Center Line"/>
    <w:basedOn w:val="Normal"/>
    <w:next w:val="Normal"/>
    <w:rsid w:val="009853CE"/>
    <w:pPr>
      <w:pBdr>
        <w:top w:val="single" w:sz="4" w:space="0" w:color="auto"/>
      </w:pBdr>
      <w:spacing w:before="100" w:beforeAutospacing="1"/>
      <w:ind w:left="3744" w:right="3744"/>
      <w:jc w:val="center"/>
    </w:pPr>
    <w:rPr>
      <w:rFonts w:ascii="Times New Roman" w:hAnsi="Times New Roman"/>
      <w:sz w:val="10"/>
      <w:szCs w:val="10"/>
      <w:lang w:val="en-US" w:eastAsia="en-US"/>
    </w:rPr>
  </w:style>
  <w:style w:type="paragraph" w:customStyle="1" w:styleId="AOHead1">
    <w:name w:val="AOHead1"/>
    <w:basedOn w:val="Normal"/>
    <w:next w:val="AODocTxtL1"/>
    <w:rsid w:val="009853CE"/>
    <w:pPr>
      <w:keepNext/>
      <w:numPr>
        <w:numId w:val="46"/>
      </w:numPr>
      <w:spacing w:before="240" w:line="260" w:lineRule="atLeast"/>
      <w:jc w:val="both"/>
      <w:outlineLvl w:val="0"/>
    </w:pPr>
    <w:rPr>
      <w:rFonts w:ascii="Times New Roman" w:eastAsia="SimSun" w:hAnsi="Times New Roman"/>
      <w:b/>
      <w:caps/>
      <w:kern w:val="28"/>
      <w:sz w:val="22"/>
      <w:szCs w:val="22"/>
      <w:lang w:eastAsia="en-US"/>
    </w:rPr>
  </w:style>
  <w:style w:type="paragraph" w:customStyle="1" w:styleId="AOHead2">
    <w:name w:val="AOHead2"/>
    <w:basedOn w:val="Normal"/>
    <w:next w:val="AODocTxtL1"/>
    <w:rsid w:val="009853CE"/>
    <w:pPr>
      <w:keepNext/>
      <w:numPr>
        <w:ilvl w:val="1"/>
        <w:numId w:val="46"/>
      </w:numPr>
      <w:spacing w:before="240" w:line="260" w:lineRule="atLeast"/>
      <w:jc w:val="both"/>
      <w:outlineLvl w:val="1"/>
    </w:pPr>
    <w:rPr>
      <w:rFonts w:ascii="Times New Roman" w:eastAsia="SimSun" w:hAnsi="Times New Roman"/>
      <w:b/>
      <w:sz w:val="22"/>
      <w:szCs w:val="22"/>
      <w:lang w:eastAsia="en-US"/>
    </w:rPr>
  </w:style>
  <w:style w:type="paragraph" w:customStyle="1" w:styleId="AOHead3">
    <w:name w:val="AOHead3"/>
    <w:basedOn w:val="Normal"/>
    <w:next w:val="AODocTxtL2"/>
    <w:rsid w:val="009853CE"/>
    <w:pPr>
      <w:numPr>
        <w:ilvl w:val="2"/>
        <w:numId w:val="46"/>
      </w:numPr>
      <w:spacing w:before="240" w:line="260" w:lineRule="atLeast"/>
      <w:jc w:val="both"/>
      <w:outlineLvl w:val="2"/>
    </w:pPr>
    <w:rPr>
      <w:rFonts w:ascii="Times New Roman" w:eastAsia="SimSun" w:hAnsi="Times New Roman"/>
      <w:sz w:val="22"/>
      <w:szCs w:val="22"/>
      <w:lang w:eastAsia="en-US"/>
    </w:rPr>
  </w:style>
  <w:style w:type="paragraph" w:customStyle="1" w:styleId="AOHead4">
    <w:name w:val="AOHead4"/>
    <w:basedOn w:val="Normal"/>
    <w:next w:val="AODocTxtL3"/>
    <w:rsid w:val="009853CE"/>
    <w:pPr>
      <w:numPr>
        <w:ilvl w:val="3"/>
        <w:numId w:val="46"/>
      </w:numPr>
      <w:spacing w:before="240" w:line="260" w:lineRule="atLeast"/>
      <w:jc w:val="both"/>
      <w:outlineLvl w:val="3"/>
    </w:pPr>
    <w:rPr>
      <w:rFonts w:ascii="Times New Roman" w:eastAsia="SimSun" w:hAnsi="Times New Roman"/>
      <w:sz w:val="22"/>
      <w:szCs w:val="22"/>
      <w:lang w:eastAsia="en-US"/>
    </w:rPr>
  </w:style>
  <w:style w:type="paragraph" w:customStyle="1" w:styleId="AOHead5">
    <w:name w:val="AOHead5"/>
    <w:basedOn w:val="Normal"/>
    <w:next w:val="AODocTxtL4"/>
    <w:rsid w:val="009853CE"/>
    <w:pPr>
      <w:numPr>
        <w:ilvl w:val="4"/>
        <w:numId w:val="46"/>
      </w:numPr>
      <w:spacing w:before="240" w:line="260" w:lineRule="atLeast"/>
      <w:jc w:val="both"/>
      <w:outlineLvl w:val="4"/>
    </w:pPr>
    <w:rPr>
      <w:rFonts w:ascii="Times New Roman" w:eastAsia="SimSun" w:hAnsi="Times New Roman"/>
      <w:sz w:val="22"/>
      <w:szCs w:val="22"/>
      <w:lang w:eastAsia="en-US"/>
    </w:rPr>
  </w:style>
  <w:style w:type="paragraph" w:customStyle="1" w:styleId="AOHead6">
    <w:name w:val="AOHead6"/>
    <w:basedOn w:val="Normal"/>
    <w:next w:val="AODocTxtL5"/>
    <w:rsid w:val="009853CE"/>
    <w:pPr>
      <w:numPr>
        <w:ilvl w:val="5"/>
        <w:numId w:val="46"/>
      </w:numPr>
      <w:spacing w:before="240" w:line="260" w:lineRule="atLeast"/>
      <w:jc w:val="both"/>
      <w:outlineLvl w:val="5"/>
    </w:pPr>
    <w:rPr>
      <w:rFonts w:ascii="Times New Roman" w:eastAsia="SimSun" w:hAnsi="Times New Roman"/>
      <w:sz w:val="22"/>
      <w:szCs w:val="22"/>
      <w:lang w:eastAsia="en-US"/>
    </w:rPr>
  </w:style>
  <w:style w:type="paragraph" w:customStyle="1" w:styleId="DPWfdtblftn8">
    <w:name w:val="DPWfd tbl ftn8"/>
    <w:basedOn w:val="Normal"/>
    <w:rsid w:val="009853CE"/>
    <w:pPr>
      <w:spacing w:after="80"/>
      <w:ind w:left="360" w:hanging="360"/>
    </w:pPr>
    <w:rPr>
      <w:rFonts w:ascii="Times New Roman" w:hAnsi="Times New Roman"/>
      <w:sz w:val="16"/>
      <w:szCs w:val="20"/>
      <w:lang w:val="en-US" w:eastAsia="en-US"/>
    </w:rPr>
  </w:style>
  <w:style w:type="paragraph" w:customStyle="1" w:styleId="DPWfdtblstub9">
    <w:name w:val="DPWfd tbl stub9"/>
    <w:basedOn w:val="Normal"/>
    <w:next w:val="Normal"/>
    <w:rsid w:val="009853CE"/>
    <w:pPr>
      <w:ind w:left="187" w:right="187" w:hanging="187"/>
    </w:pPr>
    <w:rPr>
      <w:rFonts w:ascii="Times New Roman" w:hAnsi="Times New Roman"/>
      <w:sz w:val="18"/>
      <w:szCs w:val="20"/>
      <w:lang w:val="en-US" w:eastAsia="en-US"/>
    </w:rPr>
  </w:style>
  <w:style w:type="paragraph" w:customStyle="1" w:styleId="DPWfdHDBoldRight">
    <w:name w:val="DPWfd HD Bold Right"/>
    <w:basedOn w:val="Normal"/>
    <w:next w:val="Normal"/>
    <w:rsid w:val="009853CE"/>
    <w:pPr>
      <w:keepNext/>
      <w:spacing w:after="200"/>
      <w:jc w:val="right"/>
    </w:pPr>
    <w:rPr>
      <w:rFonts w:ascii="Times New Roman" w:hAnsi="Times New Roman"/>
      <w:b/>
      <w:sz w:val="24"/>
      <w:szCs w:val="20"/>
      <w:lang w:val="en-US" w:eastAsia="en-US"/>
    </w:rPr>
  </w:style>
  <w:style w:type="paragraph" w:customStyle="1" w:styleId="DPWfdtblftn10">
    <w:name w:val="DPWfd tbl ftn10"/>
    <w:basedOn w:val="Normal"/>
    <w:rsid w:val="00764A4A"/>
    <w:pPr>
      <w:spacing w:after="100"/>
      <w:ind w:left="360" w:hanging="360"/>
    </w:pPr>
    <w:rPr>
      <w:rFonts w:ascii="Times New Roman" w:hAnsi="Times New Roman"/>
      <w:sz w:val="24"/>
      <w:szCs w:val="20"/>
      <w:lang w:val="en-US" w:eastAsia="en-US"/>
    </w:rPr>
  </w:style>
  <w:style w:type="paragraph" w:customStyle="1" w:styleId="AOHeading2">
    <w:name w:val="AOHeading2"/>
    <w:basedOn w:val="Normal"/>
    <w:next w:val="AODocTxt"/>
    <w:rsid w:val="005C3BC4"/>
    <w:pPr>
      <w:keepNext/>
      <w:spacing w:before="240" w:line="260" w:lineRule="atLeast"/>
      <w:jc w:val="both"/>
      <w:outlineLvl w:val="1"/>
    </w:pPr>
    <w:rPr>
      <w:rFonts w:ascii="Times New Roman" w:eastAsia="SimSun" w:hAnsi="Times New Roman"/>
      <w:b/>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paragraph" w:customStyle="1" w:styleId="AODocTxt">
    <w:name w:val="AODocTxt"/>
    <w:basedOn w:val="Normal"/>
    <w:link w:val="AODocTxtChar"/>
    <w:rsid w:val="006F0E62"/>
    <w:pPr>
      <w:numPr>
        <w:numId w:val="45"/>
      </w:numPr>
      <w:spacing w:before="240" w:line="260" w:lineRule="atLeast"/>
      <w:jc w:val="both"/>
    </w:pPr>
    <w:rPr>
      <w:rFonts w:ascii="Times New Roman" w:eastAsia="SimSun" w:hAnsi="Times New Roman"/>
      <w:sz w:val="22"/>
      <w:szCs w:val="22"/>
      <w:lang w:eastAsia="en-US"/>
    </w:rPr>
  </w:style>
  <w:style w:type="paragraph" w:customStyle="1" w:styleId="AODocTxtL1">
    <w:name w:val="AODocTxtL1"/>
    <w:basedOn w:val="AODocTxt"/>
    <w:rsid w:val="006F0E62"/>
    <w:pPr>
      <w:numPr>
        <w:ilvl w:val="1"/>
      </w:numPr>
      <w:tabs>
        <w:tab w:val="num" w:pos="1440"/>
      </w:tabs>
      <w:ind w:left="1440" w:hanging="360"/>
    </w:pPr>
  </w:style>
  <w:style w:type="paragraph" w:customStyle="1" w:styleId="AODocTxtL2">
    <w:name w:val="AODocTxtL2"/>
    <w:basedOn w:val="AODocTxt"/>
    <w:rsid w:val="006F0E62"/>
    <w:pPr>
      <w:numPr>
        <w:ilvl w:val="2"/>
      </w:numPr>
      <w:tabs>
        <w:tab w:val="num" w:pos="2160"/>
      </w:tabs>
      <w:ind w:left="2160" w:hanging="360"/>
    </w:pPr>
  </w:style>
  <w:style w:type="paragraph" w:customStyle="1" w:styleId="AODocTxtL3">
    <w:name w:val="AODocTxtL3"/>
    <w:basedOn w:val="AODocTxt"/>
    <w:rsid w:val="006F0E62"/>
    <w:pPr>
      <w:numPr>
        <w:ilvl w:val="3"/>
      </w:numPr>
      <w:tabs>
        <w:tab w:val="num" w:pos="2880"/>
      </w:tabs>
      <w:ind w:left="2880" w:hanging="360"/>
    </w:pPr>
  </w:style>
  <w:style w:type="paragraph" w:customStyle="1" w:styleId="AODocTxtL4">
    <w:name w:val="AODocTxtL4"/>
    <w:basedOn w:val="AODocTxt"/>
    <w:rsid w:val="006F0E62"/>
    <w:pPr>
      <w:numPr>
        <w:ilvl w:val="4"/>
      </w:numPr>
      <w:tabs>
        <w:tab w:val="num" w:pos="3600"/>
      </w:tabs>
      <w:ind w:left="3600" w:hanging="360"/>
    </w:pPr>
  </w:style>
  <w:style w:type="paragraph" w:customStyle="1" w:styleId="AODocTxtL5">
    <w:name w:val="AODocTxtL5"/>
    <w:basedOn w:val="AODocTxt"/>
    <w:rsid w:val="006F0E62"/>
    <w:pPr>
      <w:numPr>
        <w:ilvl w:val="5"/>
      </w:numPr>
      <w:tabs>
        <w:tab w:val="num" w:pos="4320"/>
      </w:tabs>
      <w:ind w:left="4320" w:hanging="360"/>
    </w:pPr>
  </w:style>
  <w:style w:type="paragraph" w:customStyle="1" w:styleId="AODocTxtL6">
    <w:name w:val="AODocTxtL6"/>
    <w:basedOn w:val="AODocTxt"/>
    <w:rsid w:val="006F0E62"/>
    <w:pPr>
      <w:numPr>
        <w:ilvl w:val="6"/>
      </w:numPr>
      <w:tabs>
        <w:tab w:val="num" w:pos="5040"/>
      </w:tabs>
      <w:ind w:left="5040" w:hanging="360"/>
    </w:pPr>
  </w:style>
  <w:style w:type="paragraph" w:customStyle="1" w:styleId="AODocTxtL7">
    <w:name w:val="AODocTxtL7"/>
    <w:basedOn w:val="AODocTxt"/>
    <w:rsid w:val="006F0E62"/>
    <w:pPr>
      <w:numPr>
        <w:ilvl w:val="7"/>
      </w:numPr>
      <w:tabs>
        <w:tab w:val="num" w:pos="5760"/>
      </w:tabs>
      <w:ind w:left="5760" w:hanging="360"/>
    </w:pPr>
  </w:style>
  <w:style w:type="paragraph" w:customStyle="1" w:styleId="AODocTxtL8">
    <w:name w:val="AODocTxtL8"/>
    <w:basedOn w:val="AODocTxt"/>
    <w:rsid w:val="006F0E62"/>
    <w:pPr>
      <w:numPr>
        <w:ilvl w:val="8"/>
      </w:numPr>
      <w:tabs>
        <w:tab w:val="num" w:pos="6480"/>
      </w:tabs>
      <w:ind w:left="6480" w:hanging="360"/>
    </w:pPr>
  </w:style>
  <w:style w:type="character" w:customStyle="1" w:styleId="AODocTxtChar">
    <w:name w:val="AODocTxt Char"/>
    <w:link w:val="AODocTxt"/>
    <w:rsid w:val="006F0E62"/>
    <w:rPr>
      <w:rFonts w:eastAsia="SimSun"/>
      <w:sz w:val="22"/>
      <w:szCs w:val="22"/>
      <w:lang w:eastAsia="en-US"/>
    </w:rPr>
  </w:style>
  <w:style w:type="paragraph" w:customStyle="1" w:styleId="AONormal">
    <w:name w:val="AONormal"/>
    <w:rsid w:val="001464F1"/>
    <w:pPr>
      <w:spacing w:line="260" w:lineRule="atLeast"/>
    </w:pPr>
    <w:rPr>
      <w:rFonts w:eastAsia="SimSun"/>
      <w:sz w:val="22"/>
      <w:szCs w:val="22"/>
      <w:lang w:eastAsia="en-US"/>
    </w:rPr>
  </w:style>
  <w:style w:type="paragraph" w:customStyle="1" w:styleId="text2">
    <w:name w:val="text2"/>
    <w:aliases w:val="t2"/>
    <w:rsid w:val="001464F1"/>
    <w:pPr>
      <w:spacing w:before="120" w:line="260" w:lineRule="atLeast"/>
      <w:jc w:val="both"/>
    </w:pPr>
    <w:rPr>
      <w:rFonts w:eastAsia="SimSun"/>
      <w:sz w:val="18"/>
      <w:szCs w:val="18"/>
      <w:lang w:eastAsia="en-US"/>
    </w:rPr>
  </w:style>
  <w:style w:type="paragraph" w:customStyle="1" w:styleId="DPWfdCenterLine">
    <w:name w:val="DPWfd Center Line"/>
    <w:basedOn w:val="Normal"/>
    <w:next w:val="Normal"/>
    <w:rsid w:val="009853CE"/>
    <w:pPr>
      <w:pBdr>
        <w:top w:val="single" w:sz="4" w:space="0" w:color="auto"/>
      </w:pBdr>
      <w:spacing w:before="100" w:beforeAutospacing="1"/>
      <w:ind w:left="3744" w:right="3744"/>
      <w:jc w:val="center"/>
    </w:pPr>
    <w:rPr>
      <w:rFonts w:ascii="Times New Roman" w:hAnsi="Times New Roman"/>
      <w:sz w:val="10"/>
      <w:szCs w:val="10"/>
      <w:lang w:val="en-US" w:eastAsia="en-US"/>
    </w:rPr>
  </w:style>
  <w:style w:type="paragraph" w:customStyle="1" w:styleId="AOHead1">
    <w:name w:val="AOHead1"/>
    <w:basedOn w:val="Normal"/>
    <w:next w:val="AODocTxtL1"/>
    <w:rsid w:val="009853CE"/>
    <w:pPr>
      <w:keepNext/>
      <w:numPr>
        <w:numId w:val="46"/>
      </w:numPr>
      <w:spacing w:before="240" w:line="260" w:lineRule="atLeast"/>
      <w:jc w:val="both"/>
      <w:outlineLvl w:val="0"/>
    </w:pPr>
    <w:rPr>
      <w:rFonts w:ascii="Times New Roman" w:eastAsia="SimSun" w:hAnsi="Times New Roman"/>
      <w:b/>
      <w:caps/>
      <w:kern w:val="28"/>
      <w:sz w:val="22"/>
      <w:szCs w:val="22"/>
      <w:lang w:eastAsia="en-US"/>
    </w:rPr>
  </w:style>
  <w:style w:type="paragraph" w:customStyle="1" w:styleId="AOHead2">
    <w:name w:val="AOHead2"/>
    <w:basedOn w:val="Normal"/>
    <w:next w:val="AODocTxtL1"/>
    <w:rsid w:val="009853CE"/>
    <w:pPr>
      <w:keepNext/>
      <w:numPr>
        <w:ilvl w:val="1"/>
        <w:numId w:val="46"/>
      </w:numPr>
      <w:spacing w:before="240" w:line="260" w:lineRule="atLeast"/>
      <w:jc w:val="both"/>
      <w:outlineLvl w:val="1"/>
    </w:pPr>
    <w:rPr>
      <w:rFonts w:ascii="Times New Roman" w:eastAsia="SimSun" w:hAnsi="Times New Roman"/>
      <w:b/>
      <w:sz w:val="22"/>
      <w:szCs w:val="22"/>
      <w:lang w:eastAsia="en-US"/>
    </w:rPr>
  </w:style>
  <w:style w:type="paragraph" w:customStyle="1" w:styleId="AOHead3">
    <w:name w:val="AOHead3"/>
    <w:basedOn w:val="Normal"/>
    <w:next w:val="AODocTxtL2"/>
    <w:rsid w:val="009853CE"/>
    <w:pPr>
      <w:numPr>
        <w:ilvl w:val="2"/>
        <w:numId w:val="46"/>
      </w:numPr>
      <w:spacing w:before="240" w:line="260" w:lineRule="atLeast"/>
      <w:jc w:val="both"/>
      <w:outlineLvl w:val="2"/>
    </w:pPr>
    <w:rPr>
      <w:rFonts w:ascii="Times New Roman" w:eastAsia="SimSun" w:hAnsi="Times New Roman"/>
      <w:sz w:val="22"/>
      <w:szCs w:val="22"/>
      <w:lang w:eastAsia="en-US"/>
    </w:rPr>
  </w:style>
  <w:style w:type="paragraph" w:customStyle="1" w:styleId="AOHead4">
    <w:name w:val="AOHead4"/>
    <w:basedOn w:val="Normal"/>
    <w:next w:val="AODocTxtL3"/>
    <w:rsid w:val="009853CE"/>
    <w:pPr>
      <w:numPr>
        <w:ilvl w:val="3"/>
        <w:numId w:val="46"/>
      </w:numPr>
      <w:spacing w:before="240" w:line="260" w:lineRule="atLeast"/>
      <w:jc w:val="both"/>
      <w:outlineLvl w:val="3"/>
    </w:pPr>
    <w:rPr>
      <w:rFonts w:ascii="Times New Roman" w:eastAsia="SimSun" w:hAnsi="Times New Roman"/>
      <w:sz w:val="22"/>
      <w:szCs w:val="22"/>
      <w:lang w:eastAsia="en-US"/>
    </w:rPr>
  </w:style>
  <w:style w:type="paragraph" w:customStyle="1" w:styleId="AOHead5">
    <w:name w:val="AOHead5"/>
    <w:basedOn w:val="Normal"/>
    <w:next w:val="AODocTxtL4"/>
    <w:rsid w:val="009853CE"/>
    <w:pPr>
      <w:numPr>
        <w:ilvl w:val="4"/>
        <w:numId w:val="46"/>
      </w:numPr>
      <w:spacing w:before="240" w:line="260" w:lineRule="atLeast"/>
      <w:jc w:val="both"/>
      <w:outlineLvl w:val="4"/>
    </w:pPr>
    <w:rPr>
      <w:rFonts w:ascii="Times New Roman" w:eastAsia="SimSun" w:hAnsi="Times New Roman"/>
      <w:sz w:val="22"/>
      <w:szCs w:val="22"/>
      <w:lang w:eastAsia="en-US"/>
    </w:rPr>
  </w:style>
  <w:style w:type="paragraph" w:customStyle="1" w:styleId="AOHead6">
    <w:name w:val="AOHead6"/>
    <w:basedOn w:val="Normal"/>
    <w:next w:val="AODocTxtL5"/>
    <w:rsid w:val="009853CE"/>
    <w:pPr>
      <w:numPr>
        <w:ilvl w:val="5"/>
        <w:numId w:val="46"/>
      </w:numPr>
      <w:spacing w:before="240" w:line="260" w:lineRule="atLeast"/>
      <w:jc w:val="both"/>
      <w:outlineLvl w:val="5"/>
    </w:pPr>
    <w:rPr>
      <w:rFonts w:ascii="Times New Roman" w:eastAsia="SimSun" w:hAnsi="Times New Roman"/>
      <w:sz w:val="22"/>
      <w:szCs w:val="22"/>
      <w:lang w:eastAsia="en-US"/>
    </w:rPr>
  </w:style>
  <w:style w:type="paragraph" w:customStyle="1" w:styleId="DPWfdtblftn8">
    <w:name w:val="DPWfd tbl ftn8"/>
    <w:basedOn w:val="Normal"/>
    <w:rsid w:val="009853CE"/>
    <w:pPr>
      <w:spacing w:after="80"/>
      <w:ind w:left="360" w:hanging="360"/>
    </w:pPr>
    <w:rPr>
      <w:rFonts w:ascii="Times New Roman" w:hAnsi="Times New Roman"/>
      <w:sz w:val="16"/>
      <w:szCs w:val="20"/>
      <w:lang w:val="en-US" w:eastAsia="en-US"/>
    </w:rPr>
  </w:style>
  <w:style w:type="paragraph" w:customStyle="1" w:styleId="DPWfdtblstub9">
    <w:name w:val="DPWfd tbl stub9"/>
    <w:basedOn w:val="Normal"/>
    <w:next w:val="Normal"/>
    <w:rsid w:val="009853CE"/>
    <w:pPr>
      <w:ind w:left="187" w:right="187" w:hanging="187"/>
    </w:pPr>
    <w:rPr>
      <w:rFonts w:ascii="Times New Roman" w:hAnsi="Times New Roman"/>
      <w:sz w:val="18"/>
      <w:szCs w:val="20"/>
      <w:lang w:val="en-US" w:eastAsia="en-US"/>
    </w:rPr>
  </w:style>
  <w:style w:type="paragraph" w:customStyle="1" w:styleId="DPWfdHDBoldRight">
    <w:name w:val="DPWfd HD Bold Right"/>
    <w:basedOn w:val="Normal"/>
    <w:next w:val="Normal"/>
    <w:rsid w:val="009853CE"/>
    <w:pPr>
      <w:keepNext/>
      <w:spacing w:after="200"/>
      <w:jc w:val="right"/>
    </w:pPr>
    <w:rPr>
      <w:rFonts w:ascii="Times New Roman" w:hAnsi="Times New Roman"/>
      <w:b/>
      <w:sz w:val="24"/>
      <w:szCs w:val="20"/>
      <w:lang w:val="en-US" w:eastAsia="en-US"/>
    </w:rPr>
  </w:style>
  <w:style w:type="paragraph" w:customStyle="1" w:styleId="DPWfdtblftn10">
    <w:name w:val="DPWfd tbl ftn10"/>
    <w:basedOn w:val="Normal"/>
    <w:rsid w:val="00764A4A"/>
    <w:pPr>
      <w:spacing w:after="100"/>
      <w:ind w:left="360" w:hanging="360"/>
    </w:pPr>
    <w:rPr>
      <w:rFonts w:ascii="Times New Roman" w:hAnsi="Times New Roman"/>
      <w:sz w:val="24"/>
      <w:szCs w:val="20"/>
      <w:lang w:val="en-US" w:eastAsia="en-US"/>
    </w:rPr>
  </w:style>
  <w:style w:type="paragraph" w:customStyle="1" w:styleId="AOHeading2">
    <w:name w:val="AOHeading2"/>
    <w:basedOn w:val="Normal"/>
    <w:next w:val="AODocTxt"/>
    <w:rsid w:val="005C3BC4"/>
    <w:pPr>
      <w:keepNext/>
      <w:spacing w:before="240" w:line="260" w:lineRule="atLeast"/>
      <w:jc w:val="both"/>
      <w:outlineLvl w:val="1"/>
    </w:pPr>
    <w:rPr>
      <w:rFonts w:ascii="Times New Roman" w:eastAsia="SimSun" w:hAnsi="Times New Roman"/>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524AA-3F56-4D15-8F1D-27E3624C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HouseStyle.dotx</Template>
  <TotalTime>0</TotalTime>
  <Pages>3</Pages>
  <Words>1285</Words>
  <Characters>7029</Characters>
  <Application>Microsoft Office Word</Application>
  <DocSecurity>0</DocSecurity>
  <Lines>219</Lines>
  <Paragraphs>124</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169</cp:revision>
  <cp:lastPrinted>2014-01-15T12:14:00Z</cp:lastPrinted>
  <dcterms:created xsi:type="dcterms:W3CDTF">2013-11-18T10:55:00Z</dcterms:created>
  <dcterms:modified xsi:type="dcterms:W3CDTF">2014-01-15T12:14:00Z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09001dc88bdcb6c7</vt:lpwstr>
  </property>
  <property fmtid="{D5CDD505-2E9C-101B-9397-08002B2CF9AE}" pid="16" name="Document Number">
    <vt:lpwstr>A17576529</vt:lpwstr>
  </property>
  <property fmtid="{D5CDD505-2E9C-101B-9397-08002B2CF9AE}" pid="17" name="Version">
    <vt:lpwstr>7.0</vt:lpwstr>
  </property>
  <property fmtid="{D5CDD505-2E9C-101B-9397-08002B2CF9AE}" pid="18" name="Last Modified">
    <vt:lpwstr>15 Jan 2014</vt:lpwstr>
  </property>
  <property fmtid="{D5CDD505-2E9C-101B-9397-08002B2CF9AE}" pid="19" name="Matter Number">
    <vt:lpwstr>L-220577</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H:\Documentum\__Viewed\09001dc88bdcb6c7\Blanchett_Results RNS.docx</vt:lpwstr>
  </property>
  <property fmtid="{D5CDD505-2E9C-101B-9397-08002B2CF9AE}" pid="23" name="_AdHocReviewCycleID">
    <vt:i4>-91817047</vt:i4>
  </property>
  <property fmtid="{D5CDD505-2E9C-101B-9397-08002B2CF9AE}" pid="24" name="_NewReviewCycle">
    <vt:lpwstr/>
  </property>
  <property fmtid="{D5CDD505-2E9C-101B-9397-08002B2CF9AE}" pid="25" name="_EmailSubject">
    <vt:lpwstr>Blanchett - revised Results CISX, ASX and RNS announcements</vt:lpwstr>
  </property>
  <property fmtid="{D5CDD505-2E9C-101B-9397-08002B2CF9AE}" pid="26" name="_AuthorEmail">
    <vt:lpwstr>Fiona.Watson@rbs.com</vt:lpwstr>
  </property>
  <property fmtid="{D5CDD505-2E9C-101B-9397-08002B2CF9AE}" pid="27" name="_AuthorEmailDisplayName">
    <vt:lpwstr>Watson, Fiona, Group Treasury</vt:lpwstr>
  </property>
</Properties>
</file>