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FE" w:rsidRDefault="007563FE" w:rsidP="001822BF">
      <w:pPr>
        <w:autoSpaceDE w:val="0"/>
        <w:autoSpaceDN w:val="0"/>
        <w:adjustRightInd w:val="0"/>
        <w:rPr>
          <w:b/>
          <w:bCs/>
        </w:rPr>
      </w:pPr>
      <w:r>
        <w:rPr>
          <w:b/>
          <w:bCs/>
        </w:rPr>
        <w:t>THE ROYAL BANK OF SCOTLAND GROUP ANNOUNCES FURTHER LOAN PORTFOLIO DISPOSAL TO AN ENTITY AFFILIATED WITH CERBERUS CAPITAL MANAGEMENT, L.P.</w:t>
      </w:r>
    </w:p>
    <w:p w:rsidR="007563FE" w:rsidRDefault="007563FE" w:rsidP="001822BF">
      <w:pPr>
        <w:autoSpaceDE w:val="0"/>
        <w:autoSpaceDN w:val="0"/>
        <w:adjustRightInd w:val="0"/>
      </w:pPr>
    </w:p>
    <w:p w:rsidR="007563FE" w:rsidRPr="00B04DB8" w:rsidRDefault="007563FE" w:rsidP="00001C9A">
      <w:pPr>
        <w:autoSpaceDE w:val="0"/>
        <w:autoSpaceDN w:val="0"/>
        <w:adjustRightInd w:val="0"/>
        <w:rPr>
          <w:b/>
        </w:rPr>
      </w:pPr>
      <w:r>
        <w:t xml:space="preserve">The Royal Bank of Scotland Group plc (RBS) announces today the agreement to dispose of a </w:t>
      </w:r>
      <w:r w:rsidRPr="00CB6837">
        <w:t>further</w:t>
      </w:r>
      <w:r>
        <w:t xml:space="preserve"> portfolio of loans to an entity affiliated with Cerberus Capital Management, L.P.</w:t>
      </w:r>
    </w:p>
    <w:p w:rsidR="007563FE" w:rsidRDefault="007563FE" w:rsidP="00156E76"/>
    <w:p w:rsidR="007563FE" w:rsidRDefault="007563FE" w:rsidP="0097430E">
      <w:pPr>
        <w:autoSpaceDE w:val="0"/>
        <w:autoSpaceDN w:val="0"/>
        <w:adjustRightInd w:val="0"/>
      </w:pPr>
      <w:r>
        <w:rPr>
          <w:rFonts w:cs="Calibri"/>
        </w:rPr>
        <w:t>At completion, RBS will receive cash consideration of approximately £225m at current exchange rates. Completion is expected in September 2015. The disposal proceeds will be used for general corporate purposes.</w:t>
      </w:r>
      <w:r>
        <w:rPr>
          <w:rFonts w:cs="Calibri"/>
        </w:rPr>
        <w:br/>
      </w:r>
      <w:r>
        <w:rPr>
          <w:rFonts w:cs="Calibri"/>
        </w:rPr>
        <w:br/>
      </w:r>
      <w:r>
        <w:t xml:space="preserve">This transaction, </w:t>
      </w:r>
      <w:r>
        <w:rPr>
          <w:lang w:val="en-US"/>
        </w:rPr>
        <w:t xml:space="preserve">which represents RWA equivalent of </w:t>
      </w:r>
      <w:r w:rsidRPr="0097430E">
        <w:rPr>
          <w:lang w:val="en-US"/>
        </w:rPr>
        <w:t>£436m</w:t>
      </w:r>
      <w:r>
        <w:rPr>
          <w:lang w:val="en-US"/>
        </w:rPr>
        <w:t xml:space="preserve"> as at 31 December 2014,</w:t>
      </w:r>
      <w:r>
        <w:t xml:space="preserve"> forms part of the continued reduction of assets in RBS Capital Resolution and is in line with the Bank's plan to strengthen its capital position and reduce higher risk exposures. </w:t>
      </w:r>
    </w:p>
    <w:p w:rsidR="007563FE" w:rsidRDefault="007563FE" w:rsidP="00156E76"/>
    <w:p w:rsidR="007563FE" w:rsidRDefault="007563FE" w:rsidP="00156E76">
      <w:r>
        <w:rPr>
          <w:rFonts w:cs="Calibri"/>
        </w:rPr>
        <w:t>The carrying value of the loans as at 31 December 2014 was approximately £223m.  The gross assets were approximately £549m</w:t>
      </w:r>
      <w:r>
        <w:rPr>
          <w:rFonts w:cs="Calibri"/>
          <w:b/>
          <w:bCs/>
        </w:rPr>
        <w:t xml:space="preserve"> </w:t>
      </w:r>
      <w:r>
        <w:rPr>
          <w:rFonts w:cs="Calibri"/>
        </w:rPr>
        <w:t>and the loans generated a loss in the region of approximately</w:t>
      </w:r>
      <w:r>
        <w:rPr>
          <w:rFonts w:cs="Calibri"/>
          <w:b/>
          <w:bCs/>
        </w:rPr>
        <w:t xml:space="preserve"> </w:t>
      </w:r>
      <w:r>
        <w:rPr>
          <w:rFonts w:cs="Calibri"/>
        </w:rPr>
        <w:t>£17m</w:t>
      </w:r>
      <w:r>
        <w:rPr>
          <w:rFonts w:cs="Calibri"/>
          <w:b/>
          <w:bCs/>
        </w:rPr>
        <w:t xml:space="preserve"> </w:t>
      </w:r>
      <w:r>
        <w:rPr>
          <w:rFonts w:cs="Calibri"/>
        </w:rPr>
        <w:t>in the year to 31 December 2014. The disposal of the portfolio is expected to generate a profit of approximately £1m after costs associated with the transaction.</w:t>
      </w:r>
    </w:p>
    <w:p w:rsidR="007563FE" w:rsidRDefault="007563FE" w:rsidP="00156E76"/>
    <w:p w:rsidR="007563FE" w:rsidRDefault="007563FE" w:rsidP="0097430E">
      <w:pPr>
        <w:jc w:val="center"/>
      </w:pPr>
      <w:r>
        <w:t>- END -</w:t>
      </w:r>
    </w:p>
    <w:p w:rsidR="007563FE" w:rsidRDefault="007563FE" w:rsidP="00156E76"/>
    <w:p w:rsidR="007563FE" w:rsidRDefault="007563FE" w:rsidP="00156E76">
      <w:r>
        <w:t>For further information:</w:t>
      </w:r>
    </w:p>
    <w:p w:rsidR="007563FE" w:rsidRDefault="007563FE" w:rsidP="00156E76"/>
    <w:tbl>
      <w:tblPr>
        <w:tblW w:w="0" w:type="auto"/>
        <w:tblCellMar>
          <w:left w:w="0" w:type="dxa"/>
          <w:right w:w="0" w:type="dxa"/>
        </w:tblCellMar>
        <w:tblLook w:val="00A0"/>
      </w:tblPr>
      <w:tblGrid>
        <w:gridCol w:w="4621"/>
        <w:gridCol w:w="4621"/>
      </w:tblGrid>
      <w:tr w:rsidR="007563FE" w:rsidRPr="00AE0A03" w:rsidTr="00156E76">
        <w:tc>
          <w:tcPr>
            <w:tcW w:w="4621" w:type="dxa"/>
            <w:tcMar>
              <w:top w:w="0" w:type="dxa"/>
              <w:left w:w="108" w:type="dxa"/>
              <w:bottom w:w="0" w:type="dxa"/>
              <w:right w:w="108" w:type="dxa"/>
            </w:tcMar>
          </w:tcPr>
          <w:p w:rsidR="007563FE" w:rsidRPr="00AE0A03" w:rsidRDefault="007563FE">
            <w:r w:rsidRPr="00AE0A03">
              <w:t>Investors</w:t>
            </w:r>
          </w:p>
        </w:tc>
        <w:tc>
          <w:tcPr>
            <w:tcW w:w="4621" w:type="dxa"/>
            <w:tcMar>
              <w:top w:w="0" w:type="dxa"/>
              <w:left w:w="108" w:type="dxa"/>
              <w:bottom w:w="0" w:type="dxa"/>
              <w:right w:w="108" w:type="dxa"/>
            </w:tcMar>
          </w:tcPr>
          <w:p w:rsidR="007563FE" w:rsidRPr="00AE0A03" w:rsidRDefault="007563FE">
            <w:r w:rsidRPr="00AE0A03">
              <w:t>Media</w:t>
            </w:r>
          </w:p>
        </w:tc>
      </w:tr>
      <w:tr w:rsidR="007563FE" w:rsidRPr="00AE0A03" w:rsidTr="00156E76">
        <w:tc>
          <w:tcPr>
            <w:tcW w:w="4621" w:type="dxa"/>
            <w:tcMar>
              <w:top w:w="0" w:type="dxa"/>
              <w:left w:w="108" w:type="dxa"/>
              <w:bottom w:w="0" w:type="dxa"/>
              <w:right w:w="108" w:type="dxa"/>
            </w:tcMar>
          </w:tcPr>
          <w:p w:rsidR="007563FE" w:rsidRPr="00AE0A03" w:rsidRDefault="007563FE"/>
        </w:tc>
        <w:tc>
          <w:tcPr>
            <w:tcW w:w="4621" w:type="dxa"/>
            <w:tcMar>
              <w:top w:w="0" w:type="dxa"/>
              <w:left w:w="108" w:type="dxa"/>
              <w:bottom w:w="0" w:type="dxa"/>
              <w:right w:w="108" w:type="dxa"/>
            </w:tcMar>
          </w:tcPr>
          <w:p w:rsidR="007563FE" w:rsidRPr="00AE0A03" w:rsidRDefault="007563FE"/>
        </w:tc>
      </w:tr>
      <w:tr w:rsidR="007563FE" w:rsidRPr="00AE0A03" w:rsidTr="00156E76">
        <w:tc>
          <w:tcPr>
            <w:tcW w:w="4621" w:type="dxa"/>
            <w:tcMar>
              <w:top w:w="0" w:type="dxa"/>
              <w:left w:w="108" w:type="dxa"/>
              <w:bottom w:w="0" w:type="dxa"/>
              <w:right w:w="108" w:type="dxa"/>
            </w:tcMar>
          </w:tcPr>
          <w:p w:rsidR="007563FE" w:rsidRPr="00AE0A03" w:rsidRDefault="007563FE">
            <w:r w:rsidRPr="00AE0A03">
              <w:t>Richard O'Connor</w:t>
            </w:r>
          </w:p>
          <w:p w:rsidR="007563FE" w:rsidRPr="00AE0A03" w:rsidRDefault="007563FE">
            <w:r w:rsidRPr="00AE0A03">
              <w:t xml:space="preserve">Head of Investor Relations </w:t>
            </w:r>
          </w:p>
          <w:p w:rsidR="007563FE" w:rsidRPr="00AE0A03" w:rsidRDefault="007563FE">
            <w:r w:rsidRPr="00AE0A03">
              <w:t>+44 (0) 207 672 1758</w:t>
            </w:r>
          </w:p>
        </w:tc>
        <w:tc>
          <w:tcPr>
            <w:tcW w:w="4621" w:type="dxa"/>
            <w:tcMar>
              <w:top w:w="0" w:type="dxa"/>
              <w:left w:w="108" w:type="dxa"/>
              <w:bottom w:w="0" w:type="dxa"/>
              <w:right w:w="108" w:type="dxa"/>
            </w:tcMar>
          </w:tcPr>
          <w:p w:rsidR="007563FE" w:rsidRPr="00AE0A03" w:rsidRDefault="007563FE">
            <w:r w:rsidRPr="00AE0A03">
              <w:t>RBS Press Office</w:t>
            </w:r>
          </w:p>
          <w:p w:rsidR="007563FE" w:rsidRPr="00AE0A03" w:rsidRDefault="007563FE">
            <w:r w:rsidRPr="00AE0A03">
              <w:t>+44 (0) 131 523 4205</w:t>
            </w:r>
          </w:p>
          <w:p w:rsidR="007563FE" w:rsidRPr="00AE0A03" w:rsidRDefault="007563FE"/>
          <w:p w:rsidR="007563FE" w:rsidRPr="00AE0A03" w:rsidRDefault="007563FE">
            <w:r w:rsidRPr="00AE0A03">
              <w:t xml:space="preserve">Ulster Bank Media Relations </w:t>
            </w:r>
          </w:p>
          <w:p w:rsidR="007563FE" w:rsidRPr="00AE0A03" w:rsidRDefault="007563FE">
            <w:r w:rsidRPr="00AE0A03">
              <w:t>+353 (0) 1 884 7032</w:t>
            </w:r>
          </w:p>
        </w:tc>
      </w:tr>
    </w:tbl>
    <w:p w:rsidR="007563FE" w:rsidRDefault="007563FE" w:rsidP="00156E76">
      <w:pPr>
        <w:rPr>
          <w:b/>
          <w:bCs/>
        </w:rPr>
      </w:pPr>
    </w:p>
    <w:p w:rsidR="007563FE" w:rsidRDefault="007563FE" w:rsidP="00156E76">
      <w:pPr>
        <w:rPr>
          <w:b/>
          <w:bCs/>
        </w:rPr>
      </w:pPr>
    </w:p>
    <w:p w:rsidR="007563FE" w:rsidRDefault="007563FE" w:rsidP="0097430E">
      <w:pPr>
        <w:jc w:val="center"/>
        <w:rPr>
          <w:b/>
          <w:bCs/>
        </w:rPr>
      </w:pPr>
      <w:r>
        <w:rPr>
          <w:b/>
          <w:bCs/>
        </w:rPr>
        <w:t>FORWARD LOOKING STATEMENTS</w:t>
      </w:r>
    </w:p>
    <w:p w:rsidR="007563FE" w:rsidRDefault="007563FE" w:rsidP="0097430E">
      <w:pPr>
        <w:jc w:val="center"/>
      </w:pPr>
    </w:p>
    <w:p w:rsidR="007563FE" w:rsidRPr="00156E76" w:rsidRDefault="007563FE">
      <w:pPr>
        <w:rPr>
          <w:i/>
          <w:iCs/>
        </w:rPr>
      </w:pPr>
      <w:r>
        <w:rPr>
          <w:i/>
          <w:iCs/>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sectPr w:rsidR="007563FE" w:rsidRPr="00156E76" w:rsidSect="00460D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E76"/>
    <w:rsid w:val="00001C9A"/>
    <w:rsid w:val="001533E2"/>
    <w:rsid w:val="00156E76"/>
    <w:rsid w:val="0016064D"/>
    <w:rsid w:val="001764AE"/>
    <w:rsid w:val="001822BF"/>
    <w:rsid w:val="001F6E04"/>
    <w:rsid w:val="002B028F"/>
    <w:rsid w:val="00460D73"/>
    <w:rsid w:val="00496C9C"/>
    <w:rsid w:val="005A59E0"/>
    <w:rsid w:val="006D391D"/>
    <w:rsid w:val="007563FE"/>
    <w:rsid w:val="007E398B"/>
    <w:rsid w:val="007E4F72"/>
    <w:rsid w:val="008843D5"/>
    <w:rsid w:val="00961F43"/>
    <w:rsid w:val="0097430E"/>
    <w:rsid w:val="00AE0A03"/>
    <w:rsid w:val="00B04DB8"/>
    <w:rsid w:val="00CB6837"/>
    <w:rsid w:val="00D863B8"/>
    <w:rsid w:val="00DB10F0"/>
    <w:rsid w:val="00E40192"/>
    <w:rsid w:val="00F76724"/>
    <w:rsid w:val="00FA25BD"/>
    <w:rsid w:val="00FD79A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76"/>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33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877580">
      <w:marLeft w:val="0"/>
      <w:marRight w:val="0"/>
      <w:marTop w:val="0"/>
      <w:marBottom w:val="0"/>
      <w:divBdr>
        <w:top w:val="none" w:sz="0" w:space="0" w:color="auto"/>
        <w:left w:val="none" w:sz="0" w:space="0" w:color="auto"/>
        <w:bottom w:val="none" w:sz="0" w:space="0" w:color="auto"/>
        <w:right w:val="none" w:sz="0" w:space="0" w:color="auto"/>
      </w:divBdr>
    </w:div>
    <w:div w:id="1854877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369</Words>
  <Characters>2104</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BANK OF SCOTLAND GROUP ANNOUNCES FURTHER LOAN PORTFOLIO DISPOSAL TO AN ENTITY AFFILIATED WITH CERBERUS CAPITAL MANAGEMENT, L</dc:title>
  <dc:subject/>
  <dc:creator>Murramc</dc:creator>
  <cp:keywords/>
  <dc:description/>
  <cp:lastModifiedBy>giners</cp:lastModifiedBy>
  <cp:revision>2</cp:revision>
  <cp:lastPrinted>2015-07-21T10:09:00Z</cp:lastPrinted>
  <dcterms:created xsi:type="dcterms:W3CDTF">2015-07-23T12:27:00Z</dcterms:created>
  <dcterms:modified xsi:type="dcterms:W3CDTF">2015-07-23T12:27:00Z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1509331443</vt:i4>
  </property>
  <property fmtid="{D5CDD505-2E9C-101B-9397-08002B2CF9AE}" pid="3" name="_NewReviewCycle">
    <vt:lpwstr/>
  </property>
  <property fmtid="{D5CDD505-2E9C-101B-9397-08002B2CF9AE}" pid="4" name="_EmailSubject">
    <vt:lpwstr>Finn</vt:lpwstr>
  </property>
  <property fmtid="{D5CDD505-2E9C-101B-9397-08002B2CF9AE}" pid="5" name="_AuthorEmail">
    <vt:lpwstr>salvador.giner@rbs.com</vt:lpwstr>
  </property>
  <property fmtid="{D5CDD505-2E9C-101B-9397-08002B2CF9AE}" pid="6" name="_AuthorEmailDisplayName">
    <vt:lpwstr>Giner, Salvador, RCR</vt:lpwstr>
  </property>
  <property fmtid="{D5CDD505-2E9C-101B-9397-08002B2CF9AE}" pid="8" name="_PreviousAdHocReviewCycleID">
    <vt:i4>-641751713</vt:i4>
  </property>
</Properties>
</file>