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mkStart"/>
    <w:bookmarkStart w:id="1" w:name="_GoBack"/>
    <w:bookmarkEnd w:id="0"/>
    <w:bookmarkEnd w:id="1"/>
    <w:p w:rsidR="00873F71" w:rsidRPr="00FE29B3" w:rsidRDefault="00EA22C6" w:rsidP="00FE29B3">
      <w:pPr>
        <w:pStyle w:val="Body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6820</wp:posOffset>
                </wp:positionH>
                <wp:positionV relativeFrom="paragraph">
                  <wp:posOffset>-727335</wp:posOffset>
                </wp:positionV>
                <wp:extent cx="2376000" cy="453600"/>
                <wp:effectExtent l="0" t="0" r="2476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45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9B3" w:rsidRDefault="00EA22C6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height:35.7pt;margin-left:0.55pt;margin-top:-57.25pt;mso-wrap-distance-bottom:0;mso-wrap-distance-left:9pt;mso-wrap-distance-right:9pt;mso-wrap-distance-top:0;mso-wrap-style:square;position:absolute;v-text-anchor:top;visibility:visible;width:187.1pt;z-index:251659264" fillcolor="white" strokecolor="white" strokeweight="0.5pt">
                <v:textbox>
                  <w:txbxContent>
                    <w:p w:rsidR="00FE29B3"/>
                  </w:txbxContent>
                </v:textbox>
              </v:shape>
            </w:pict>
          </mc:Fallback>
        </mc:AlternateContent>
      </w:r>
      <w:r w:rsidRPr="00FE29B3">
        <w:rPr>
          <w:b/>
          <w:bCs/>
        </w:rPr>
        <w:t>THE ROYAL BANK OF SCOTLAND GROUP PLC</w:t>
      </w:r>
    </w:p>
    <w:p w:rsidR="00E642CC" w:rsidRDefault="00EA22C6" w:rsidP="00873F71">
      <w:pPr>
        <w:pStyle w:val="Body"/>
      </w:pPr>
      <w:r>
        <w:t xml:space="preserve">RECEIPT OF A CONVERSION NOTICE WITH RESPECT TO 51,000,000,000 B SHARES AND APPLICATION FOR LISTING </w:t>
      </w:r>
    </w:p>
    <w:p w:rsidR="00F92DEA" w:rsidRDefault="00EA22C6" w:rsidP="00873F71">
      <w:pPr>
        <w:pStyle w:val="Body"/>
      </w:pPr>
      <w:r>
        <w:rPr>
          <w:rFonts w:cs="Arial"/>
        </w:rPr>
        <w:t>9 October</w:t>
      </w:r>
      <w:r>
        <w:t xml:space="preserve"> 2015</w:t>
      </w:r>
    </w:p>
    <w:p w:rsidR="00873F71" w:rsidRPr="00E642CC" w:rsidRDefault="00EA22C6" w:rsidP="00C8074E">
      <w:pPr>
        <w:pStyle w:val="Body"/>
        <w:rPr>
          <w:u w:val="single"/>
        </w:rPr>
      </w:pPr>
      <w:r w:rsidRPr="00E642CC">
        <w:rPr>
          <w:u w:val="single"/>
        </w:rPr>
        <w:t>Receipt of Conversion Notice</w:t>
      </w:r>
    </w:p>
    <w:p w:rsidR="00E472D9" w:rsidRPr="00E472D9" w:rsidRDefault="00EA22C6" w:rsidP="00E472D9">
      <w:pPr>
        <w:pStyle w:val="Body"/>
      </w:pPr>
      <w:r>
        <w:t xml:space="preserve">In accordance with the UKLA Listing Rule 9.6.4, The Royal Bank of </w:t>
      </w:r>
      <w:r>
        <w:t>Scotland Group plc (“</w:t>
      </w:r>
      <w:r w:rsidRPr="00873F71">
        <w:rPr>
          <w:b/>
          <w:bCs/>
        </w:rPr>
        <w:t>RBSG</w:t>
      </w:r>
      <w:r>
        <w:t xml:space="preserve">”) hereby announces that on 8 October 2015 it received a valid notice from </w:t>
      </w:r>
      <w:r>
        <w:rPr>
          <w:rFonts w:cs="Arial"/>
        </w:rPr>
        <w:t>The Solicitor for the Affairs of Her Majesty’s Treasury (“</w:t>
      </w:r>
      <w:r w:rsidRPr="00FE7E8B">
        <w:rPr>
          <w:rFonts w:cs="Arial"/>
          <w:b/>
          <w:bCs/>
        </w:rPr>
        <w:t>HMT</w:t>
      </w:r>
      <w:r>
        <w:rPr>
          <w:rFonts w:cs="Arial"/>
        </w:rPr>
        <w:t>”)</w:t>
      </w:r>
      <w:r>
        <w:t xml:space="preserve"> to convert 51,000,000,000 Series 1 B Shares of 1p each into 5,100,000,000 new RBSG ordinary </w:t>
      </w:r>
      <w:r>
        <w:t>shares of £1 each (“</w:t>
      </w:r>
      <w:r w:rsidRPr="00EA1206">
        <w:rPr>
          <w:b/>
        </w:rPr>
        <w:t>Ordinary Shares</w:t>
      </w:r>
      <w:r>
        <w:t>”). Pursuant to RBSG’s Articles of association and existing shareholder authorisations, the Board will authorise £4,590,000,000 standing to the credit of the company’s capital redemption reserve to be credited to the issu</w:t>
      </w:r>
      <w:r>
        <w:t xml:space="preserve">ed share capital account such that the new Ordinary Shares will be fully paid up and </w:t>
      </w:r>
      <w:r w:rsidRPr="00E208EC">
        <w:rPr>
          <w:rFonts w:cs="Arial"/>
        </w:rPr>
        <w:t xml:space="preserve">rank </w:t>
      </w:r>
      <w:r w:rsidRPr="00E208EC">
        <w:rPr>
          <w:rFonts w:cs="Arial"/>
          <w:i/>
          <w:iCs/>
        </w:rPr>
        <w:t>pari passu</w:t>
      </w:r>
      <w:r w:rsidRPr="00E208EC">
        <w:rPr>
          <w:rFonts w:cs="Arial"/>
        </w:rPr>
        <w:t xml:space="preserve"> with </w:t>
      </w:r>
      <w:r>
        <w:rPr>
          <w:rFonts w:cs="Arial"/>
        </w:rPr>
        <w:t>Ordinary S</w:t>
      </w:r>
      <w:r w:rsidRPr="00E208EC">
        <w:rPr>
          <w:rFonts w:cs="Arial"/>
        </w:rPr>
        <w:t xml:space="preserve">hares in issue on </w:t>
      </w:r>
      <w:r>
        <w:t>9 October 2015</w:t>
      </w:r>
      <w:r>
        <w:rPr>
          <w:rFonts w:cs="Arial"/>
        </w:rPr>
        <w:t xml:space="preserve">. </w:t>
      </w:r>
      <w:r>
        <w:t xml:space="preserve">Following this conversion of the B Shares, </w:t>
      </w:r>
      <w:r>
        <w:rPr>
          <w:rFonts w:cs="Arial"/>
        </w:rPr>
        <w:t xml:space="preserve">HMT </w:t>
      </w:r>
      <w:r>
        <w:t>will hold 72.88 per cent. of the issued Ordinary Share capi</w:t>
      </w:r>
      <w:r>
        <w:t>tal of RBSG.</w:t>
      </w:r>
    </w:p>
    <w:p w:rsidR="00E472D9" w:rsidRDefault="00EA22C6" w:rsidP="00E472D9">
      <w:pPr>
        <w:pStyle w:val="Body"/>
      </w:pPr>
      <w:r w:rsidRPr="00E874A7">
        <w:t>The conversion of the</w:t>
      </w:r>
      <w:r>
        <w:t>se</w:t>
      </w:r>
      <w:r w:rsidRPr="00E874A7">
        <w:t xml:space="preserve"> B shares will </w:t>
      </w:r>
      <w:r w:rsidRPr="00E472D9">
        <w:t>have no impact on RBSG’s retained</w:t>
      </w:r>
      <w:r>
        <w:t xml:space="preserve"> earnings</w:t>
      </w:r>
      <w:r w:rsidRPr="00E874A7">
        <w:t>.</w:t>
      </w:r>
    </w:p>
    <w:p w:rsidR="00E874A7" w:rsidRPr="00D4134B" w:rsidRDefault="00EA22C6" w:rsidP="00E642CC">
      <w:pPr>
        <w:pStyle w:val="Body"/>
        <w:rPr>
          <w:rFonts w:asciiTheme="minorHAnsi" w:hAnsiTheme="minorHAnsi" w:cstheme="minorHAnsi"/>
          <w:szCs w:val="20"/>
        </w:rPr>
      </w:pPr>
      <w:r w:rsidRPr="00D4134B">
        <w:rPr>
          <w:rFonts w:asciiTheme="minorHAnsi" w:hAnsiTheme="minorHAnsi" w:cstheme="minorHAnsi"/>
          <w:szCs w:val="20"/>
        </w:rPr>
        <w:t>The Dividend Access Share o</w:t>
      </w:r>
      <w:r>
        <w:rPr>
          <w:rFonts w:asciiTheme="minorHAnsi" w:hAnsiTheme="minorHAnsi" w:cstheme="minorHAnsi"/>
          <w:szCs w:val="20"/>
        </w:rPr>
        <w:t>wned by HMT remains outstanding.</w:t>
      </w:r>
    </w:p>
    <w:p w:rsidR="000D2647" w:rsidRPr="00E642CC" w:rsidRDefault="00EA22C6" w:rsidP="00C8074E">
      <w:pPr>
        <w:pStyle w:val="Body"/>
        <w:rPr>
          <w:u w:val="single"/>
        </w:rPr>
      </w:pPr>
      <w:r w:rsidRPr="00E642CC">
        <w:rPr>
          <w:u w:val="single"/>
        </w:rPr>
        <w:t>Application for Listing</w:t>
      </w:r>
    </w:p>
    <w:p w:rsidR="00873F71" w:rsidRDefault="00EA22C6" w:rsidP="00C8074E">
      <w:pPr>
        <w:pStyle w:val="Body"/>
      </w:pPr>
      <w:r>
        <w:t xml:space="preserve">RBSG confirms that an application will be made to the Financial Conduct </w:t>
      </w:r>
      <w:r>
        <w:t>Authority and the London Stock Exchange plc for 5,100,000,000 Ordinary Shares to be admitted to the Official List.</w:t>
      </w:r>
    </w:p>
    <w:p w:rsidR="00FE29B3" w:rsidRDefault="00EA22C6" w:rsidP="00C8074E">
      <w:pPr>
        <w:pStyle w:val="Body"/>
      </w:pPr>
      <w:r>
        <w:t>These Ordinary Shares:</w:t>
      </w:r>
    </w:p>
    <w:p w:rsidR="00FE29B3" w:rsidRDefault="00EA22C6" w:rsidP="00FE04EF">
      <w:pPr>
        <w:pStyle w:val="bullet1"/>
      </w:pPr>
      <w:r>
        <w:t xml:space="preserve">will, when issued, rank </w:t>
      </w:r>
      <w:r w:rsidRPr="00B84B30">
        <w:rPr>
          <w:i/>
          <w:iCs/>
        </w:rPr>
        <w:t>pari passu</w:t>
      </w:r>
      <w:r>
        <w:t xml:space="preserve"> with the existing Ordinary Shares of RBSG in issue on 9 October 2015; and</w:t>
      </w:r>
    </w:p>
    <w:p w:rsidR="00FE29B3" w:rsidRDefault="00EA22C6" w:rsidP="00FE29B3">
      <w:pPr>
        <w:pStyle w:val="bullet1"/>
      </w:pPr>
      <w:r>
        <w:t>are expec</w:t>
      </w:r>
      <w:r>
        <w:t>ted to be admitted to the Official List, and to trading on the London Stock Exchange plc, on or after 14 October 2015.</w:t>
      </w:r>
    </w:p>
    <w:p w:rsidR="00FE29B3" w:rsidRDefault="00EA22C6" w:rsidP="00873F71">
      <w:pPr>
        <w:pStyle w:val="Body"/>
        <w:rPr>
          <w:b/>
          <w:bCs/>
        </w:rPr>
      </w:pPr>
    </w:p>
    <w:p w:rsidR="00E874A7" w:rsidRPr="00E472D9" w:rsidRDefault="00EA22C6" w:rsidP="00873F71">
      <w:pPr>
        <w:pStyle w:val="Body"/>
        <w:rPr>
          <w:rFonts w:asciiTheme="minorHAnsi" w:hAnsiTheme="minorHAnsi" w:cstheme="minorHAnsi"/>
          <w:szCs w:val="20"/>
        </w:rPr>
      </w:pPr>
      <w:r w:rsidRPr="00E472D9">
        <w:rPr>
          <w:rFonts w:asciiTheme="minorHAnsi" w:hAnsiTheme="minorHAnsi" w:cstheme="minorHAnsi"/>
          <w:szCs w:val="20"/>
        </w:rPr>
        <w:t>For further information please contact:</w:t>
      </w:r>
    </w:p>
    <w:p w:rsidR="00E874A7" w:rsidRPr="00D4134B" w:rsidRDefault="00EA22C6" w:rsidP="00E874A7">
      <w:pPr>
        <w:pStyle w:val="Body"/>
        <w:rPr>
          <w:rFonts w:asciiTheme="minorHAnsi" w:hAnsiTheme="minorHAnsi" w:cstheme="minorHAnsi"/>
          <w:szCs w:val="20"/>
        </w:rPr>
      </w:pPr>
      <w:r w:rsidRPr="00D4134B">
        <w:rPr>
          <w:rFonts w:asciiTheme="minorHAnsi" w:hAnsiTheme="minorHAnsi" w:cstheme="minorHAnsi"/>
          <w:szCs w:val="20"/>
        </w:rPr>
        <w:t>Richard O’Connor</w:t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  <w:t>Matthew Richardson</w:t>
      </w:r>
    </w:p>
    <w:p w:rsidR="00E874A7" w:rsidRPr="00D4134B" w:rsidRDefault="00EA22C6" w:rsidP="00E874A7">
      <w:pPr>
        <w:pStyle w:val="Body"/>
        <w:rPr>
          <w:rFonts w:asciiTheme="minorHAnsi" w:hAnsiTheme="minorHAnsi" w:cstheme="minorHAnsi"/>
          <w:szCs w:val="20"/>
        </w:rPr>
      </w:pPr>
      <w:r w:rsidRPr="00D4134B">
        <w:rPr>
          <w:rFonts w:asciiTheme="minorHAnsi" w:hAnsiTheme="minorHAnsi" w:cstheme="minorHAnsi"/>
          <w:szCs w:val="20"/>
        </w:rPr>
        <w:t>Head of Investor Relations RBS</w:t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  <w:t>Head of Debt Investor</w:t>
      </w:r>
      <w:r w:rsidRPr="00D4134B">
        <w:rPr>
          <w:rFonts w:asciiTheme="minorHAnsi" w:hAnsiTheme="minorHAnsi" w:cstheme="minorHAnsi"/>
          <w:szCs w:val="20"/>
        </w:rPr>
        <w:t xml:space="preserve"> Relations</w:t>
      </w:r>
    </w:p>
    <w:p w:rsidR="00873F71" w:rsidRDefault="00EA22C6" w:rsidP="00E874A7">
      <w:pPr>
        <w:rPr>
          <w:rFonts w:asciiTheme="minorHAnsi" w:hAnsiTheme="minorHAnsi" w:cstheme="minorHAnsi"/>
          <w:szCs w:val="20"/>
        </w:rPr>
      </w:pPr>
      <w:r w:rsidRPr="00D4134B">
        <w:rPr>
          <w:rFonts w:asciiTheme="minorHAnsi" w:hAnsiTheme="minorHAnsi" w:cstheme="minorHAnsi"/>
          <w:szCs w:val="20"/>
        </w:rPr>
        <w:t>Tel: +44 (0)207 672 1758</w:t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</w:r>
      <w:r w:rsidRPr="00D4134B">
        <w:rPr>
          <w:rFonts w:asciiTheme="minorHAnsi" w:hAnsiTheme="minorHAnsi" w:cstheme="minorHAnsi"/>
          <w:szCs w:val="20"/>
        </w:rPr>
        <w:tab/>
        <w:t>Tel: +44 (0</w:t>
      </w:r>
      <w:r>
        <w:rPr>
          <w:rFonts w:asciiTheme="minorHAnsi" w:hAnsiTheme="minorHAnsi" w:cstheme="minorHAnsi"/>
          <w:szCs w:val="20"/>
        </w:rPr>
        <w:t>)207 678 1800</w:t>
      </w:r>
    </w:p>
    <w:p w:rsidR="00E472D9" w:rsidRDefault="00EA22C6" w:rsidP="00E874A7">
      <w:pPr>
        <w:rPr>
          <w:rFonts w:asciiTheme="minorHAnsi" w:hAnsiTheme="minorHAnsi" w:cstheme="minorHAnsi"/>
          <w:szCs w:val="20"/>
        </w:rPr>
      </w:pPr>
    </w:p>
    <w:p w:rsidR="00E472D9" w:rsidRDefault="00EA22C6" w:rsidP="00E472D9">
      <w:pPr>
        <w:pStyle w:val="bullet1"/>
        <w:numPr>
          <w:ilvl w:val="0"/>
          <w:numId w:val="0"/>
        </w:numPr>
        <w:ind w:left="680"/>
        <w:jc w:val="center"/>
      </w:pPr>
    </w:p>
    <w:p w:rsidR="00E472D9" w:rsidRDefault="00EA22C6" w:rsidP="00E472D9">
      <w:pPr>
        <w:pStyle w:val="bullet1"/>
        <w:numPr>
          <w:ilvl w:val="0"/>
          <w:numId w:val="0"/>
        </w:numPr>
        <w:ind w:left="680"/>
        <w:jc w:val="center"/>
      </w:pPr>
    </w:p>
    <w:p w:rsidR="00E472D9" w:rsidRDefault="00EA22C6" w:rsidP="00E472D9">
      <w:pPr>
        <w:pStyle w:val="bullet1"/>
        <w:numPr>
          <w:ilvl w:val="0"/>
          <w:numId w:val="0"/>
        </w:numPr>
        <w:ind w:left="680"/>
        <w:jc w:val="center"/>
      </w:pPr>
      <w:r>
        <w:t>End</w:t>
      </w:r>
    </w:p>
    <w:p w:rsidR="00E472D9" w:rsidRPr="00E472D9" w:rsidRDefault="00EA22C6" w:rsidP="00E874A7">
      <w:pPr>
        <w:rPr>
          <w:rFonts w:asciiTheme="minorHAnsi" w:hAnsiTheme="minorHAnsi" w:cstheme="minorHAnsi"/>
          <w:szCs w:val="20"/>
        </w:rPr>
      </w:pPr>
    </w:p>
    <w:sectPr w:rsidR="00E472D9" w:rsidRPr="00E472D9" w:rsidSect="0087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2C6">
      <w:r>
        <w:separator/>
      </w:r>
    </w:p>
  </w:endnote>
  <w:endnote w:type="continuationSeparator" w:id="0">
    <w:p w:rsidR="00000000" w:rsidRDefault="00EA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1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59" w:rsidRDefault="00EA22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74E" w:rsidRDefault="00EA22C6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59" w:rsidRDefault="00EA22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2C6">
      <w:r>
        <w:separator/>
      </w:r>
    </w:p>
  </w:footnote>
  <w:footnote w:type="continuationSeparator" w:id="0">
    <w:p w:rsidR="00000000" w:rsidRDefault="00EA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59" w:rsidRDefault="00EA22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59" w:rsidRDefault="00EA22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59" w:rsidRDefault="00EA22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A4EF0"/>
    <w:multiLevelType w:val="hybridMultilevel"/>
    <w:tmpl w:val="FC3E602A"/>
    <w:lvl w:ilvl="0" w:tplc="903E0098">
      <w:start w:val="1"/>
      <w:numFmt w:val="upperLetter"/>
      <w:lvlText w:val="%1."/>
      <w:lvlJc w:val="left"/>
      <w:pPr>
        <w:ind w:left="1077" w:hanging="360"/>
      </w:pPr>
      <w:rPr>
        <w:rFonts w:cs="Times New Roman"/>
        <w:b/>
        <w:bCs/>
      </w:rPr>
    </w:lvl>
    <w:lvl w:ilvl="1" w:tplc="3788EDF4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42AC3D0A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EA06D54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B2DC262C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B42EED40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48D8078E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165AC052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9606DD36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7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76F70"/>
    <w:multiLevelType w:val="multilevel"/>
    <w:tmpl w:val="6338D5DE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5">
    <w:nsid w:val="33A74A8C"/>
    <w:multiLevelType w:val="multilevel"/>
    <w:tmpl w:val="50483CFA"/>
    <w:numStyleLink w:val="engage"/>
  </w:abstractNum>
  <w:abstractNum w:abstractNumId="16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1">
    <w:nsid w:val="3EBD2A5E"/>
    <w:multiLevelType w:val="multilevel"/>
    <w:tmpl w:val="AC0CD916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2476DC"/>
    <w:multiLevelType w:val="multilevel"/>
    <w:tmpl w:val="8586D7F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347763"/>
    <w:multiLevelType w:val="multilevel"/>
    <w:tmpl w:val="50483CFA"/>
    <w:numStyleLink w:val="engage"/>
  </w:abstractNum>
  <w:abstractNum w:abstractNumId="25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6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7">
    <w:nsid w:val="51421573"/>
    <w:multiLevelType w:val="multilevel"/>
    <w:tmpl w:val="37400C94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5F4573"/>
    <w:multiLevelType w:val="multilevel"/>
    <w:tmpl w:val="C0DE7A18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B17CF4"/>
    <w:multiLevelType w:val="multilevel"/>
    <w:tmpl w:val="B0F40B8E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4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7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8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5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6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D04878"/>
    <w:multiLevelType w:val="multilevel"/>
    <w:tmpl w:val="BEE2940C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3"/>
  </w:num>
  <w:num w:numId="3">
    <w:abstractNumId w:val="17"/>
  </w:num>
  <w:num w:numId="4">
    <w:abstractNumId w:val="6"/>
  </w:num>
  <w:num w:numId="5">
    <w:abstractNumId w:val="25"/>
  </w:num>
  <w:num w:numId="6">
    <w:abstractNumId w:val="20"/>
  </w:num>
  <w:num w:numId="7">
    <w:abstractNumId w:val="7"/>
  </w:num>
  <w:num w:numId="8">
    <w:abstractNumId w:val="16"/>
  </w:num>
  <w:num w:numId="9">
    <w:abstractNumId w:val="12"/>
  </w:num>
  <w:num w:numId="10">
    <w:abstractNumId w:val="32"/>
  </w:num>
  <w:num w:numId="11">
    <w:abstractNumId w:val="46"/>
  </w:num>
  <w:num w:numId="12">
    <w:abstractNumId w:val="8"/>
  </w:num>
  <w:num w:numId="13">
    <w:abstractNumId w:val="21"/>
  </w:num>
  <w:num w:numId="14">
    <w:abstractNumId w:val="29"/>
  </w:num>
  <w:num w:numId="15">
    <w:abstractNumId w:val="23"/>
  </w:num>
  <w:num w:numId="16">
    <w:abstractNumId w:val="28"/>
  </w:num>
  <w:num w:numId="17">
    <w:abstractNumId w:val="27"/>
  </w:num>
  <w:num w:numId="18">
    <w:abstractNumId w:val="9"/>
  </w:num>
  <w:num w:numId="19">
    <w:abstractNumId w:val="40"/>
  </w:num>
  <w:num w:numId="20">
    <w:abstractNumId w:val="39"/>
  </w:num>
  <w:num w:numId="21">
    <w:abstractNumId w:val="47"/>
  </w:num>
  <w:num w:numId="22">
    <w:abstractNumId w:val="1"/>
  </w:num>
  <w:num w:numId="23">
    <w:abstractNumId w:val="35"/>
  </w:num>
  <w:num w:numId="24">
    <w:abstractNumId w:val="33"/>
  </w:num>
  <w:num w:numId="25">
    <w:abstractNumId w:val="45"/>
  </w:num>
  <w:num w:numId="26">
    <w:abstractNumId w:val="36"/>
  </w:num>
  <w:num w:numId="27">
    <w:abstractNumId w:val="31"/>
  </w:num>
  <w:num w:numId="28">
    <w:abstractNumId w:val="44"/>
  </w:num>
  <w:num w:numId="29">
    <w:abstractNumId w:val="42"/>
  </w:num>
  <w:num w:numId="30">
    <w:abstractNumId w:val="19"/>
  </w:num>
  <w:num w:numId="31">
    <w:abstractNumId w:val="5"/>
  </w:num>
  <w:num w:numId="32">
    <w:abstractNumId w:val="14"/>
  </w:num>
  <w:num w:numId="33">
    <w:abstractNumId w:val="2"/>
  </w:num>
  <w:num w:numId="34">
    <w:abstractNumId w:val="37"/>
  </w:num>
  <w:num w:numId="35">
    <w:abstractNumId w:val="0"/>
  </w:num>
  <w:num w:numId="36">
    <w:abstractNumId w:val="18"/>
  </w:num>
  <w:num w:numId="37">
    <w:abstractNumId w:val="38"/>
  </w:num>
  <w:num w:numId="38">
    <w:abstractNumId w:val="11"/>
  </w:num>
  <w:num w:numId="39">
    <w:abstractNumId w:val="22"/>
  </w:num>
  <w:num w:numId="40">
    <w:abstractNumId w:val="41"/>
  </w:num>
  <w:num w:numId="41">
    <w:abstractNumId w:val="10"/>
  </w:num>
  <w:num w:numId="42">
    <w:abstractNumId w:val="30"/>
  </w:num>
  <w:num w:numId="43">
    <w:abstractNumId w:val="34"/>
  </w:num>
  <w:num w:numId="44">
    <w:abstractNumId w:val="3"/>
  </w:num>
  <w:num w:numId="45">
    <w:abstractNumId w:val="13"/>
  </w:num>
  <w:num w:numId="46">
    <w:abstractNumId w:val="15"/>
  </w:num>
  <w:num w:numId="47">
    <w:abstractNumId w:val="2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K"/>
    <w:docVar w:name="TMS_OfficeID" w:val="London"/>
  </w:docVars>
  <w:rsids>
    <w:rsidRoot w:val="00EA22C6"/>
    <w:rsid w:val="00E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il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E642CC"/>
    <w:rPr>
      <w:rFonts w:ascii="Arial" w:hAnsi="Arial" w:cs="Arial"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il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BC341D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BC341D"/>
    <w:pPr>
      <w:keepNext/>
      <w:numPr>
        <w:numId w:val="47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BC341D"/>
    <w:pPr>
      <w:numPr>
        <w:ilvl w:val="1"/>
        <w:numId w:val="47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E642CC"/>
    <w:rPr>
      <w:rFonts w:ascii="Arial" w:hAnsi="Arial" w:cs="Arial"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HouseStyle.dotx</Template>
  <TotalTime>1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The Royal Bank of Scotland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patteja</cp:lastModifiedBy>
  <cp:revision>2</cp:revision>
  <dcterms:created xsi:type="dcterms:W3CDTF">2015-10-09T05:30:00Z</dcterms:created>
  <dcterms:modified xsi:type="dcterms:W3CDTF">2015-10-09T05:30:00Z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inese">
    <vt:lpwstr>No</vt:lpwstr>
  </property>
  <property fmtid="{D5CDD505-2E9C-101B-9397-08002B2CF9AE}" pid="3" name="Client Code">
    <vt:lpwstr>10011696</vt:lpwstr>
  </property>
  <property fmtid="{D5CDD505-2E9C-101B-9397-08002B2CF9AE}" pid="4" name="CoverPage">
    <vt:lpwstr>No</vt:lpwstr>
  </property>
  <property fmtid="{D5CDD505-2E9C-101B-9397-08002B2CF9AE}" pid="5" name="DEDocumentLocation">
    <vt:lpwstr>H:\Documentum\__Attachments\A30253938 v1.0 B share RNS.docx</vt:lpwstr>
  </property>
  <property fmtid="{D5CDD505-2E9C-101B-9397-08002B2CF9AE}" pid="6" name="Document Number">
    <vt:lpwstr>A30253938</vt:lpwstr>
  </property>
  <property fmtid="{D5CDD505-2E9C-101B-9397-08002B2CF9AE}" pid="7" name="HeadPara">
    <vt:i4>1</vt:i4>
  </property>
  <property fmtid="{D5CDD505-2E9C-101B-9397-08002B2CF9AE}" pid="8" name="HouseStyle">
    <vt:lpwstr>2</vt:lpwstr>
  </property>
  <property fmtid="{D5CDD505-2E9C-101B-9397-08002B2CF9AE}" pid="9" name="HSChanged">
    <vt:lpwstr>No</vt:lpwstr>
  </property>
  <property fmtid="{D5CDD505-2E9C-101B-9397-08002B2CF9AE}" pid="10" name="Landscape">
    <vt:lpwstr> </vt:lpwstr>
  </property>
  <property fmtid="{D5CDD505-2E9C-101B-9397-08002B2CF9AE}" pid="11" name="Language">
    <vt:lpwstr>English (U.K.)</vt:lpwstr>
  </property>
  <property fmtid="{D5CDD505-2E9C-101B-9397-08002B2CF9AE}" pid="12" name="Last Modified">
    <vt:lpwstr>08 Oct 2015</vt:lpwstr>
  </property>
  <property fmtid="{D5CDD505-2E9C-101B-9397-08002B2CF9AE}" pid="13" name="Lineleader">
    <vt:lpwstr>No</vt:lpwstr>
  </property>
  <property fmtid="{D5CDD505-2E9C-101B-9397-08002B2CF9AE}" pid="14" name="Matter Number">
    <vt:lpwstr>L-239798</vt:lpwstr>
  </property>
  <property fmtid="{D5CDD505-2E9C-101B-9397-08002B2CF9AE}" pid="15" name="Mode">
    <vt:lpwstr>SendAs</vt:lpwstr>
  </property>
  <property fmtid="{D5CDD505-2E9C-101B-9397-08002B2CF9AE}" pid="16" name="ObjectID">
    <vt:lpwstr>09001dc88dfa52bb</vt:lpwstr>
  </property>
  <property fmtid="{D5CDD505-2E9C-101B-9397-08002B2CF9AE}" pid="17" name="PaperSize">
    <vt:lpwstr>A4</vt:lpwstr>
  </property>
  <property fmtid="{D5CDD505-2E9C-101B-9397-08002B2CF9AE}" pid="18" name="Template Version">
    <vt:lpwstr>R.160</vt:lpwstr>
  </property>
  <property fmtid="{D5CDD505-2E9C-101B-9397-08002B2CF9AE}" pid="19" name="TOCBold">
    <vt:lpwstr>Yes</vt:lpwstr>
  </property>
  <property fmtid="{D5CDD505-2E9C-101B-9397-08002B2CF9AE}" pid="20" name="TOCInsert">
    <vt:lpwstr>Yes</vt:lpwstr>
  </property>
  <property fmtid="{D5CDD505-2E9C-101B-9397-08002B2CF9AE}" pid="21" name="TOCString">
    <vt:lpwstr> </vt:lpwstr>
  </property>
  <property fmtid="{D5CDD505-2E9C-101B-9397-08002B2CF9AE}" pid="22" name="Version">
    <vt:lpwstr>1.0</vt:lpwstr>
  </property>
</Properties>
</file>