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549" w:rsidRDefault="009F3549" w:rsidP="00AB48D5">
      <w:pPr>
        <w:spacing w:line="360" w:lineRule="auto"/>
        <w:jc w:val="both"/>
        <w:rPr>
          <w:b/>
          <w:sz w:val="24"/>
        </w:rPr>
      </w:pPr>
      <w:r>
        <w:rPr>
          <w:noProof/>
          <w:lang w:eastAsia="en-GB"/>
        </w:rPr>
        <w:pict>
          <v:shapetype id="_x0000_t202" coordsize="21600,21600" o:spt="202" path="m,l,21600r21600,l21600,xe">
            <v:stroke joinstyle="miter"/>
            <v:path gradientshapeok="t" o:connecttype="rect"/>
          </v:shapetype>
          <v:shape id="Text Box 20" o:spid="_x0000_s1026" type="#_x0000_t202" style="position:absolute;left:0;text-align:left;margin-left:-7.45pt;margin-top:-28.65pt;width:443.25pt;height:42.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" fillcolor="window" stroked="f" strokeweight=".5pt">
            <v:path arrowok="t"/>
            <v:textbox>
              <w:txbxContent>
                <w:p w:rsidR="009F3549" w:rsidRDefault="009F3549"/>
              </w:txbxContent>
            </v:textbox>
          </v:shape>
        </w:pict>
      </w:r>
    </w:p>
    <w:p w:rsidR="009F3549" w:rsidRPr="00E608B3" w:rsidRDefault="009F3549" w:rsidP="00AB48D5">
      <w:pPr>
        <w:spacing w:line="360" w:lineRule="auto"/>
        <w:jc w:val="both"/>
        <w:rPr>
          <w:b/>
          <w:color w:val="FF0000"/>
          <w:sz w:val="24"/>
        </w:rPr>
      </w:pPr>
      <w:r w:rsidRPr="00BE7672">
        <w:rPr>
          <w:b/>
          <w:sz w:val="24"/>
        </w:rPr>
        <w:t xml:space="preserve">The Royal Bank of Scotland Group plc </w:t>
      </w:r>
      <w:r>
        <w:rPr>
          <w:b/>
          <w:sz w:val="24"/>
        </w:rPr>
        <w:t xml:space="preserve">                                     </w:t>
      </w:r>
      <w:r w:rsidRPr="00E608B3">
        <w:rPr>
          <w:b/>
          <w:sz w:val="32"/>
          <w:szCs w:val="32"/>
        </w:rPr>
        <w:t xml:space="preserve"> </w:t>
      </w:r>
    </w:p>
    <w:p w:rsidR="009F3549" w:rsidRDefault="009F3549" w:rsidP="0095706D">
      <w:pPr>
        <w:spacing w:line="360" w:lineRule="auto"/>
        <w:jc w:val="both"/>
      </w:pPr>
      <w:r>
        <w:t>27 January 2016</w:t>
      </w:r>
    </w:p>
    <w:p w:rsidR="009F3549" w:rsidRPr="00930956" w:rsidRDefault="009F3549" w:rsidP="0095706D">
      <w:pPr>
        <w:spacing w:line="360" w:lineRule="auto"/>
        <w:jc w:val="both"/>
        <w:rPr>
          <w:szCs w:val="20"/>
        </w:rPr>
      </w:pPr>
    </w:p>
    <w:p w:rsidR="009F3549" w:rsidRDefault="009F3549" w:rsidP="0095706D">
      <w:pPr>
        <w:spacing w:line="360" w:lineRule="auto"/>
        <w:jc w:val="both"/>
      </w:pPr>
      <w:r w:rsidRPr="00930956">
        <w:rPr>
          <w:szCs w:val="20"/>
        </w:rPr>
        <w:t>The Royal Bank of Scotland Group plc ("RBS"</w:t>
      </w:r>
      <w:r>
        <w:rPr>
          <w:szCs w:val="20"/>
        </w:rPr>
        <w:t xml:space="preserve"> or “the Group”</w:t>
      </w:r>
      <w:r w:rsidRPr="00930956">
        <w:rPr>
          <w:szCs w:val="20"/>
        </w:rPr>
        <w:t xml:space="preserve">) today </w:t>
      </w:r>
      <w:r>
        <w:t>announces a series of updates to the market:</w:t>
      </w:r>
    </w:p>
    <w:p w:rsidR="009F3549" w:rsidRDefault="009F3549" w:rsidP="0095706D">
      <w:pPr>
        <w:spacing w:line="360" w:lineRule="auto"/>
        <w:jc w:val="both"/>
      </w:pPr>
    </w:p>
    <w:p w:rsidR="009F3549" w:rsidRDefault="009F3549" w:rsidP="00AE6273">
      <w:pPr>
        <w:numPr>
          <w:ilvl w:val="0"/>
          <w:numId w:val="42"/>
        </w:numPr>
        <w:spacing w:line="360" w:lineRule="auto"/>
        <w:ind w:left="360"/>
        <w:jc w:val="both"/>
      </w:pPr>
      <w:r w:rsidRPr="00754F0C">
        <w:t xml:space="preserve">Developments during 2015, in particular publication by the International Accounting Standards Board of its exposure draft of amendments to IFRIC 14 </w:t>
      </w:r>
      <w:r w:rsidRPr="008D222E">
        <w:rPr>
          <w:i/>
        </w:rPr>
        <w:t>IAS 19 – The Limit on a Defined Benefit Asset, Minimum Funding Requirements and their Interaction</w:t>
      </w:r>
      <w:r w:rsidRPr="00754F0C">
        <w:t>, have provided additional clarity on the role of trustees’ rights in an assessment of the recoverability of a surplus in an employee pension fund.  In the light of this, RBS has revised its pension accounting policy for determining whether or not it has an unconditional right to a refund of any surpluses in its employee pension funds.</w:t>
      </w:r>
      <w:r>
        <w:t xml:space="preserve"> This</w:t>
      </w:r>
      <w:r w:rsidRPr="00CF35FA">
        <w:t xml:space="preserve"> change </w:t>
      </w:r>
      <w:r>
        <w:t>will result in the accelerated recognition of £4.2 billion of already committed future contributions in respect of past service. This is expected to result in an accounting deficit of £3.3 billion as at 31 December 2015 relating to the</w:t>
      </w:r>
      <w:r w:rsidRPr="00AA223F">
        <w:t xml:space="preserve"> main section of The Royal Bank of Scotland Group Pension Fund </w:t>
      </w:r>
      <w:r>
        <w:t xml:space="preserve">(the “Main Scheme”). The net, post tax impact of this policy change, together with updated IAS 19 valuations, on </w:t>
      </w:r>
      <w:r w:rsidRPr="00FD5DD0">
        <w:t xml:space="preserve">Tangible Net Asset Value </w:t>
      </w:r>
      <w:r>
        <w:t>(“TNAV”) is approximately £1.6 billion, largely recognised in the Statement of Other Comprehensive Income by way of a prior year adjustment. These changes will reduce TNAV per share at 31 December 2015 by a net 13p and reduce the Common Equity Tier 1 (“CET1”) capital ratio by approximately 0.7%.</w:t>
      </w:r>
    </w:p>
    <w:p w:rsidR="009F3549" w:rsidRPr="00CF35FA" w:rsidRDefault="009F3549" w:rsidP="00C45E01">
      <w:pPr>
        <w:spacing w:line="360" w:lineRule="auto"/>
        <w:ind w:left="360"/>
        <w:jc w:val="both"/>
      </w:pPr>
    </w:p>
    <w:p w:rsidR="009F3549" w:rsidRDefault="009F3549" w:rsidP="009E7289">
      <w:pPr>
        <w:spacing w:line="360" w:lineRule="auto"/>
        <w:ind w:left="360"/>
        <w:jc w:val="both"/>
      </w:pPr>
      <w:r>
        <w:t>Separately, RBS has signed a Memorandum of Understanding with the Main Scheme Trustee (the “Trustee”) to make a payment of £4.2 billion into the Main Scheme, being an accelerated payment of existing committed future contributions. The majority of this payment has been provided for as a result of the accounting policy change described above. The incremental impact of making this one-off payment in 2016 is expected to be a further reduction of around 3p on TNAV per share and a further CET1 capital ratio reduction of approximately 0.3%. The accelerated payment is expected to both improve RBS’s capital planning and resilience through the period to 2019 and provide the Main Scheme Trustee with more flexibility over investment strategy.</w:t>
      </w:r>
    </w:p>
    <w:p w:rsidR="009F3549" w:rsidRDefault="009F3549" w:rsidP="00E87A9B">
      <w:pPr>
        <w:pStyle w:val="ListParagraph"/>
      </w:pPr>
    </w:p>
    <w:p w:rsidR="009F3549" w:rsidRDefault="009F3549" w:rsidP="00AE6273">
      <w:pPr>
        <w:numPr>
          <w:ilvl w:val="0"/>
          <w:numId w:val="42"/>
        </w:numPr>
        <w:spacing w:line="360" w:lineRule="auto"/>
        <w:ind w:left="360"/>
        <w:jc w:val="both"/>
      </w:pPr>
      <w:r>
        <w:t>An additional</w:t>
      </w:r>
      <w:r w:rsidRPr="008028A7">
        <w:t xml:space="preserve"> </w:t>
      </w:r>
      <w:r>
        <w:t>provision of $2.2 billion (£1.5 billion) in relation to various US</w:t>
      </w:r>
      <w:r w:rsidRPr="008028A7">
        <w:t xml:space="preserve"> </w:t>
      </w:r>
      <w:r>
        <w:t>residential mortgage-backed securities (“RMBS”) litigation claims in Q4 2015 which will reduce attributable profits for Q4 2015 by £1.5 billion, reduce TNAV per share at 31 December 2015 by 13p, and the CET 1 capital ratio by 0.6%.</w:t>
      </w:r>
    </w:p>
    <w:p w:rsidR="009F3549" w:rsidRDefault="009F3549" w:rsidP="00754F0C">
      <w:pPr>
        <w:spacing w:line="360" w:lineRule="auto"/>
        <w:ind w:left="360"/>
        <w:jc w:val="both"/>
      </w:pPr>
    </w:p>
    <w:p w:rsidR="009F3549" w:rsidRDefault="009F3549" w:rsidP="00AE6273">
      <w:pPr>
        <w:numPr>
          <w:ilvl w:val="0"/>
          <w:numId w:val="42"/>
        </w:numPr>
        <w:spacing w:line="360" w:lineRule="auto"/>
        <w:ind w:left="360"/>
        <w:jc w:val="both"/>
      </w:pPr>
      <w:r>
        <w:t>An additional</w:t>
      </w:r>
      <w:r w:rsidRPr="008028A7">
        <w:t xml:space="preserve"> </w:t>
      </w:r>
      <w:r>
        <w:t>provision of £500 million in relation to Payment Protection Insurance (“</w:t>
      </w:r>
      <w:r w:rsidRPr="008028A7">
        <w:t>PPI</w:t>
      </w:r>
      <w:r>
        <w:t>”) in the context of the recent FCA consultation paper CP15/39, which will reduce attributable profits for Q4 2015 by £500 million, reduce TNAV per share at 31 December 2015 by 4p, and the CET 1 capital ratio by 0.2%.</w:t>
      </w:r>
    </w:p>
    <w:p w:rsidR="009F3549" w:rsidRDefault="009F3549" w:rsidP="00C45E01">
      <w:pPr>
        <w:spacing w:line="360" w:lineRule="auto"/>
        <w:ind w:left="360"/>
        <w:jc w:val="both"/>
      </w:pPr>
    </w:p>
    <w:p w:rsidR="009F3549" w:rsidRPr="00C325A0" w:rsidRDefault="009F3549" w:rsidP="00AE6273">
      <w:pPr>
        <w:numPr>
          <w:ilvl w:val="0"/>
          <w:numId w:val="42"/>
        </w:numPr>
        <w:spacing w:line="360" w:lineRule="auto"/>
        <w:ind w:left="360"/>
        <w:jc w:val="both"/>
      </w:pPr>
      <w:r w:rsidRPr="00CF35FA">
        <w:t>A Q4 2015 goodwill impairment charge of £</w:t>
      </w:r>
      <w:r>
        <w:t>498</w:t>
      </w:r>
      <w:r w:rsidRPr="00CF35FA">
        <w:t xml:space="preserve"> million in respect </w:t>
      </w:r>
      <w:r>
        <w:t>of its Private Banking business.  This will reduce attributable profits in Q4 2015 by £498 million, but as an intangible item will have no impact on TNAV per share or the CET1 ratio.</w:t>
      </w:r>
    </w:p>
    <w:p w:rsidR="009F3549" w:rsidRDefault="009F3549" w:rsidP="0095706D">
      <w:pPr>
        <w:spacing w:line="360" w:lineRule="auto"/>
        <w:jc w:val="both"/>
      </w:pPr>
    </w:p>
    <w:p w:rsidR="009F3549" w:rsidRDefault="009F3549" w:rsidP="0095706D">
      <w:pPr>
        <w:spacing w:line="360" w:lineRule="auto"/>
        <w:jc w:val="both"/>
      </w:pPr>
      <w:r>
        <w:t>As at 31 December 2015, RBS expects to report a CET1 capital ratio of approximately 15%</w:t>
      </w:r>
      <w:r w:rsidRPr="00AB32E1">
        <w:t xml:space="preserve"> </w:t>
      </w:r>
      <w:r>
        <w:t>and</w:t>
      </w:r>
      <w:r w:rsidRPr="00AB32E1">
        <w:t xml:space="preserve"> TNAV</w:t>
      </w:r>
      <w:r>
        <w:t xml:space="preserve"> per share of approximately</w:t>
      </w:r>
      <w:r w:rsidRPr="00AB32E1">
        <w:t xml:space="preserve"> 350</w:t>
      </w:r>
      <w:r>
        <w:t xml:space="preserve">p versus a CET1 capital ratio of 16.2% (pro-forma for the full disposal of Citizens) and TNAV per share of 384p as at 30 September 2015, pending the completion of normal year end processes. </w:t>
      </w:r>
      <w:r w:rsidRPr="00AB32E1">
        <w:t>The</w:t>
      </w:r>
      <w:r>
        <w:t>se</w:t>
      </w:r>
      <w:r w:rsidRPr="00AB32E1">
        <w:t xml:space="preserve"> figures are preli</w:t>
      </w:r>
      <w:r>
        <w:t>minary estimates and unaudited.</w:t>
      </w:r>
    </w:p>
    <w:p w:rsidR="009F3549" w:rsidRDefault="009F3549" w:rsidP="0095706D">
      <w:pPr>
        <w:spacing w:line="360" w:lineRule="auto"/>
        <w:jc w:val="both"/>
      </w:pPr>
    </w:p>
    <w:p w:rsidR="009F3549" w:rsidRDefault="009F3549" w:rsidP="00F97522">
      <w:pPr>
        <w:spacing w:line="360" w:lineRule="auto"/>
        <w:jc w:val="both"/>
        <w:rPr>
          <w:b/>
        </w:rPr>
      </w:pPr>
      <w:r>
        <w:rPr>
          <w:b/>
        </w:rPr>
        <w:t>Table 1. Summary estimated impacts on CET1 capital ratio and TNAV as at 31 December 2015</w:t>
      </w:r>
    </w:p>
    <w:tbl>
      <w:tblPr>
        <w:tblW w:w="0" w:type="auto"/>
        <w:tblLook w:val="00A0"/>
      </w:tblPr>
      <w:tblGrid>
        <w:gridCol w:w="3794"/>
        <w:gridCol w:w="2269"/>
        <w:gridCol w:w="1813"/>
        <w:gridCol w:w="1366"/>
      </w:tblGrid>
      <w:tr w:rsidR="009F3549" w:rsidTr="009E7289">
        <w:tc>
          <w:tcPr>
            <w:tcW w:w="3794" w:type="dxa"/>
            <w:tcBorders>
              <w:bottom w:val="single" w:sz="4" w:space="0" w:color="auto"/>
            </w:tcBorders>
          </w:tcPr>
          <w:p w:rsidR="009F3549" w:rsidRPr="00E93D95" w:rsidRDefault="009F3549" w:rsidP="00E93D95">
            <w:pPr>
              <w:spacing w:line="360" w:lineRule="auto"/>
              <w:jc w:val="both"/>
              <w:rPr>
                <w:b/>
              </w:rPr>
            </w:pPr>
          </w:p>
        </w:tc>
        <w:tc>
          <w:tcPr>
            <w:tcW w:w="2269" w:type="dxa"/>
            <w:tcBorders>
              <w:bottom w:val="single" w:sz="4" w:space="0" w:color="auto"/>
            </w:tcBorders>
          </w:tcPr>
          <w:p w:rsidR="009F3549" w:rsidRDefault="009F3549" w:rsidP="00E93D95">
            <w:pPr>
              <w:spacing w:line="360" w:lineRule="auto"/>
              <w:jc w:val="right"/>
              <w:rPr>
                <w:b/>
              </w:rPr>
            </w:pPr>
            <w:r>
              <w:rPr>
                <w:b/>
              </w:rPr>
              <w:t xml:space="preserve">Impact on </w:t>
            </w:r>
          </w:p>
          <w:p w:rsidR="009F3549" w:rsidRDefault="009F3549" w:rsidP="00E93D95">
            <w:pPr>
              <w:spacing w:line="360" w:lineRule="auto"/>
              <w:jc w:val="right"/>
              <w:rPr>
                <w:b/>
              </w:rPr>
            </w:pPr>
            <w:r>
              <w:rPr>
                <w:b/>
              </w:rPr>
              <w:t>TNAV</w:t>
            </w:r>
          </w:p>
          <w:p w:rsidR="009F3549" w:rsidRPr="00E93D95" w:rsidRDefault="009F3549" w:rsidP="00E93D95">
            <w:pPr>
              <w:spacing w:line="360" w:lineRule="auto"/>
              <w:jc w:val="right"/>
              <w:rPr>
                <w:b/>
              </w:rPr>
            </w:pPr>
            <w:r>
              <w:rPr>
                <w:b/>
              </w:rPr>
              <w:t>£ billion</w:t>
            </w:r>
          </w:p>
        </w:tc>
        <w:tc>
          <w:tcPr>
            <w:tcW w:w="1813" w:type="dxa"/>
            <w:tcBorders>
              <w:bottom w:val="single" w:sz="4" w:space="0" w:color="auto"/>
            </w:tcBorders>
            <w:vAlign w:val="bottom"/>
          </w:tcPr>
          <w:p w:rsidR="009F3549" w:rsidRPr="00E93D95" w:rsidRDefault="009F3549" w:rsidP="00E93D95">
            <w:pPr>
              <w:spacing w:line="360" w:lineRule="auto"/>
              <w:jc w:val="right"/>
              <w:rPr>
                <w:b/>
              </w:rPr>
            </w:pPr>
            <w:r w:rsidRPr="00E93D95">
              <w:rPr>
                <w:b/>
              </w:rPr>
              <w:t>CET1 capital ratio</w:t>
            </w:r>
          </w:p>
        </w:tc>
        <w:tc>
          <w:tcPr>
            <w:tcW w:w="1366" w:type="dxa"/>
            <w:tcBorders>
              <w:bottom w:val="single" w:sz="4" w:space="0" w:color="auto"/>
            </w:tcBorders>
            <w:vAlign w:val="bottom"/>
          </w:tcPr>
          <w:p w:rsidR="009F3549" w:rsidRPr="00E93D95" w:rsidRDefault="009F3549" w:rsidP="00E93D95">
            <w:pPr>
              <w:spacing w:line="360" w:lineRule="auto"/>
              <w:jc w:val="right"/>
              <w:rPr>
                <w:b/>
              </w:rPr>
            </w:pPr>
            <w:r w:rsidRPr="00E93D95">
              <w:rPr>
                <w:b/>
              </w:rPr>
              <w:t>TNAV</w:t>
            </w:r>
            <w:r>
              <w:rPr>
                <w:b/>
              </w:rPr>
              <w:t xml:space="preserve"> per share</w:t>
            </w:r>
          </w:p>
        </w:tc>
      </w:tr>
      <w:tr w:rsidR="009F3549" w:rsidTr="00B46EE0">
        <w:trPr>
          <w:trHeight w:val="310"/>
        </w:trPr>
        <w:tc>
          <w:tcPr>
            <w:tcW w:w="3794" w:type="dxa"/>
            <w:vAlign w:val="center"/>
          </w:tcPr>
          <w:p w:rsidR="009F3549" w:rsidRDefault="009F3549" w:rsidP="00E93D95">
            <w:pPr>
              <w:spacing w:line="360" w:lineRule="auto"/>
            </w:pPr>
            <w:r>
              <w:t xml:space="preserve">Pension accounting change and </w:t>
            </w:r>
          </w:p>
          <w:p w:rsidR="009F3549" w:rsidRPr="00F97522" w:rsidRDefault="009F3549" w:rsidP="00E93D95">
            <w:pPr>
              <w:spacing w:line="360" w:lineRule="auto"/>
            </w:pPr>
            <w:r>
              <w:t>other pension related movements(1)</w:t>
            </w:r>
          </w:p>
        </w:tc>
        <w:tc>
          <w:tcPr>
            <w:tcW w:w="2269" w:type="dxa"/>
            <w:vAlign w:val="bottom"/>
          </w:tcPr>
          <w:p w:rsidR="009F3549" w:rsidRDefault="009F3549" w:rsidP="00E365BB">
            <w:pPr>
              <w:spacing w:line="360" w:lineRule="auto"/>
              <w:jc w:val="right"/>
            </w:pPr>
            <w:r>
              <w:t>(£1.6)</w:t>
            </w:r>
          </w:p>
        </w:tc>
        <w:tc>
          <w:tcPr>
            <w:tcW w:w="1813" w:type="dxa"/>
            <w:vAlign w:val="bottom"/>
          </w:tcPr>
          <w:p w:rsidR="009F3549" w:rsidRPr="00F97522" w:rsidRDefault="009F3549" w:rsidP="00E365BB">
            <w:pPr>
              <w:spacing w:line="360" w:lineRule="auto"/>
              <w:jc w:val="right"/>
            </w:pPr>
            <w:r>
              <w:t>(0.7%)</w:t>
            </w:r>
          </w:p>
        </w:tc>
        <w:tc>
          <w:tcPr>
            <w:tcW w:w="1366" w:type="dxa"/>
            <w:vAlign w:val="bottom"/>
          </w:tcPr>
          <w:p w:rsidR="009F3549" w:rsidRPr="00F97522" w:rsidRDefault="009F3549" w:rsidP="007A38F3">
            <w:pPr>
              <w:spacing w:line="360" w:lineRule="auto"/>
              <w:jc w:val="right"/>
            </w:pPr>
            <w:r>
              <w:t>(13p)</w:t>
            </w:r>
          </w:p>
        </w:tc>
      </w:tr>
      <w:tr w:rsidR="009F3549" w:rsidTr="009E7289">
        <w:trPr>
          <w:trHeight w:val="310"/>
        </w:trPr>
        <w:tc>
          <w:tcPr>
            <w:tcW w:w="3794" w:type="dxa"/>
            <w:vAlign w:val="center"/>
          </w:tcPr>
          <w:p w:rsidR="009F3549" w:rsidRPr="00F97522" w:rsidRDefault="009F3549" w:rsidP="00E93D95">
            <w:pPr>
              <w:spacing w:line="360" w:lineRule="auto"/>
            </w:pPr>
            <w:r>
              <w:t>US RMBS litigation provision(2)</w:t>
            </w:r>
          </w:p>
        </w:tc>
        <w:tc>
          <w:tcPr>
            <w:tcW w:w="2269" w:type="dxa"/>
          </w:tcPr>
          <w:p w:rsidR="009F3549" w:rsidRDefault="009F3549" w:rsidP="00006A16">
            <w:pPr>
              <w:spacing w:line="360" w:lineRule="auto"/>
              <w:jc w:val="right"/>
            </w:pPr>
            <w:r>
              <w:t>(£1.5)</w:t>
            </w:r>
          </w:p>
        </w:tc>
        <w:tc>
          <w:tcPr>
            <w:tcW w:w="1813" w:type="dxa"/>
            <w:vAlign w:val="center"/>
          </w:tcPr>
          <w:p w:rsidR="009F3549" w:rsidRPr="00F97522" w:rsidRDefault="009F3549" w:rsidP="00006A16">
            <w:pPr>
              <w:spacing w:line="360" w:lineRule="auto"/>
              <w:jc w:val="right"/>
            </w:pPr>
            <w:r>
              <w:t>(0.6%)</w:t>
            </w:r>
          </w:p>
        </w:tc>
        <w:tc>
          <w:tcPr>
            <w:tcW w:w="1366" w:type="dxa"/>
            <w:vAlign w:val="center"/>
          </w:tcPr>
          <w:p w:rsidR="009F3549" w:rsidRPr="00F97522" w:rsidRDefault="009F3549" w:rsidP="00006A16">
            <w:pPr>
              <w:spacing w:line="360" w:lineRule="auto"/>
              <w:jc w:val="right"/>
            </w:pPr>
            <w:r>
              <w:t>(13p)</w:t>
            </w:r>
          </w:p>
        </w:tc>
      </w:tr>
      <w:tr w:rsidR="009F3549" w:rsidTr="009E7289">
        <w:trPr>
          <w:trHeight w:val="310"/>
        </w:trPr>
        <w:tc>
          <w:tcPr>
            <w:tcW w:w="3794" w:type="dxa"/>
            <w:vAlign w:val="center"/>
          </w:tcPr>
          <w:p w:rsidR="009F3549" w:rsidRPr="00F97522" w:rsidRDefault="009F3549" w:rsidP="00E93D95">
            <w:pPr>
              <w:spacing w:line="360" w:lineRule="auto"/>
            </w:pPr>
            <w:r>
              <w:t>PPI provision(2)</w:t>
            </w:r>
          </w:p>
        </w:tc>
        <w:tc>
          <w:tcPr>
            <w:tcW w:w="2269" w:type="dxa"/>
          </w:tcPr>
          <w:p w:rsidR="009F3549" w:rsidRDefault="009F3549" w:rsidP="008D2269">
            <w:pPr>
              <w:spacing w:line="360" w:lineRule="auto"/>
              <w:jc w:val="right"/>
            </w:pPr>
            <w:r>
              <w:t>(£0.5)</w:t>
            </w:r>
          </w:p>
        </w:tc>
        <w:tc>
          <w:tcPr>
            <w:tcW w:w="1813" w:type="dxa"/>
            <w:vAlign w:val="center"/>
          </w:tcPr>
          <w:p w:rsidR="009F3549" w:rsidRPr="00F97522" w:rsidRDefault="009F3549" w:rsidP="008D2269">
            <w:pPr>
              <w:spacing w:line="360" w:lineRule="auto"/>
              <w:jc w:val="right"/>
            </w:pPr>
            <w:r>
              <w:t>(0.2%)</w:t>
            </w:r>
          </w:p>
        </w:tc>
        <w:tc>
          <w:tcPr>
            <w:tcW w:w="1366" w:type="dxa"/>
            <w:vAlign w:val="center"/>
          </w:tcPr>
          <w:p w:rsidR="009F3549" w:rsidRPr="00F97522" w:rsidRDefault="009F3549" w:rsidP="008D2269">
            <w:pPr>
              <w:spacing w:line="360" w:lineRule="auto"/>
              <w:jc w:val="right"/>
            </w:pPr>
            <w:r>
              <w:t>(4p)</w:t>
            </w:r>
          </w:p>
        </w:tc>
      </w:tr>
      <w:tr w:rsidR="009F3549" w:rsidTr="009E7289">
        <w:trPr>
          <w:trHeight w:val="310"/>
        </w:trPr>
        <w:tc>
          <w:tcPr>
            <w:tcW w:w="3794" w:type="dxa"/>
            <w:tcBorders>
              <w:bottom w:val="single" w:sz="4" w:space="0" w:color="auto"/>
            </w:tcBorders>
            <w:vAlign w:val="center"/>
          </w:tcPr>
          <w:p w:rsidR="009F3549" w:rsidRDefault="009F3549" w:rsidP="00E93D95">
            <w:pPr>
              <w:spacing w:line="360" w:lineRule="auto"/>
            </w:pPr>
            <w:r>
              <w:t>Goodwill impairment charge</w:t>
            </w:r>
          </w:p>
        </w:tc>
        <w:tc>
          <w:tcPr>
            <w:tcW w:w="2269" w:type="dxa"/>
            <w:tcBorders>
              <w:bottom w:val="single" w:sz="4" w:space="0" w:color="auto"/>
            </w:tcBorders>
          </w:tcPr>
          <w:p w:rsidR="009F3549" w:rsidRDefault="009F3549" w:rsidP="008D2269">
            <w:pPr>
              <w:spacing w:line="360" w:lineRule="auto"/>
              <w:jc w:val="right"/>
            </w:pPr>
            <w:r>
              <w:t>-</w:t>
            </w:r>
          </w:p>
        </w:tc>
        <w:tc>
          <w:tcPr>
            <w:tcW w:w="1813" w:type="dxa"/>
            <w:tcBorders>
              <w:bottom w:val="single" w:sz="4" w:space="0" w:color="auto"/>
            </w:tcBorders>
            <w:vAlign w:val="center"/>
          </w:tcPr>
          <w:p w:rsidR="009F3549" w:rsidRDefault="009F3549" w:rsidP="00E93D95">
            <w:pPr>
              <w:spacing w:line="360" w:lineRule="auto"/>
              <w:jc w:val="right"/>
            </w:pPr>
            <w:r>
              <w:t>-</w:t>
            </w:r>
          </w:p>
        </w:tc>
        <w:tc>
          <w:tcPr>
            <w:tcW w:w="1366" w:type="dxa"/>
            <w:tcBorders>
              <w:bottom w:val="single" w:sz="4" w:space="0" w:color="auto"/>
            </w:tcBorders>
            <w:vAlign w:val="center"/>
          </w:tcPr>
          <w:p w:rsidR="009F3549" w:rsidRDefault="009F3549" w:rsidP="00E93D95">
            <w:pPr>
              <w:spacing w:line="360" w:lineRule="auto"/>
              <w:jc w:val="right"/>
            </w:pPr>
            <w:r>
              <w:t>-</w:t>
            </w:r>
          </w:p>
        </w:tc>
      </w:tr>
      <w:tr w:rsidR="009F3549" w:rsidTr="009E7289">
        <w:tc>
          <w:tcPr>
            <w:tcW w:w="3794" w:type="dxa"/>
            <w:tcBorders>
              <w:top w:val="single" w:sz="4" w:space="0" w:color="auto"/>
            </w:tcBorders>
            <w:vAlign w:val="center"/>
          </w:tcPr>
          <w:p w:rsidR="009F3549" w:rsidRPr="00E93D95" w:rsidRDefault="009F3549" w:rsidP="00C433BA">
            <w:pPr>
              <w:spacing w:line="360" w:lineRule="auto"/>
              <w:rPr>
                <w:b/>
              </w:rPr>
            </w:pPr>
            <w:r>
              <w:rPr>
                <w:b/>
              </w:rPr>
              <w:t>C</w:t>
            </w:r>
            <w:r w:rsidRPr="00691CE6">
              <w:rPr>
                <w:b/>
              </w:rPr>
              <w:t>ombined expected impact</w:t>
            </w:r>
          </w:p>
        </w:tc>
        <w:tc>
          <w:tcPr>
            <w:tcW w:w="2269" w:type="dxa"/>
            <w:tcBorders>
              <w:top w:val="single" w:sz="4" w:space="0" w:color="auto"/>
            </w:tcBorders>
          </w:tcPr>
          <w:p w:rsidR="009F3549" w:rsidRDefault="009F3549" w:rsidP="001451C5">
            <w:pPr>
              <w:spacing w:line="360" w:lineRule="auto"/>
              <w:jc w:val="right"/>
              <w:rPr>
                <w:b/>
              </w:rPr>
            </w:pPr>
            <w:r>
              <w:rPr>
                <w:b/>
              </w:rPr>
              <w:t>(£3.6)</w:t>
            </w:r>
          </w:p>
        </w:tc>
        <w:tc>
          <w:tcPr>
            <w:tcW w:w="1813" w:type="dxa"/>
            <w:tcBorders>
              <w:top w:val="single" w:sz="4" w:space="0" w:color="auto"/>
            </w:tcBorders>
            <w:vAlign w:val="center"/>
          </w:tcPr>
          <w:p w:rsidR="009F3549" w:rsidRPr="00E93D95" w:rsidRDefault="009F3549" w:rsidP="00444109">
            <w:pPr>
              <w:spacing w:line="360" w:lineRule="auto"/>
              <w:jc w:val="right"/>
              <w:rPr>
                <w:b/>
              </w:rPr>
            </w:pPr>
            <w:r>
              <w:rPr>
                <w:b/>
              </w:rPr>
              <w:t>(1.6%)</w:t>
            </w:r>
          </w:p>
        </w:tc>
        <w:tc>
          <w:tcPr>
            <w:tcW w:w="1366" w:type="dxa"/>
            <w:tcBorders>
              <w:top w:val="single" w:sz="4" w:space="0" w:color="auto"/>
            </w:tcBorders>
            <w:vAlign w:val="center"/>
          </w:tcPr>
          <w:p w:rsidR="009F3549" w:rsidRPr="00E93D95" w:rsidRDefault="009F3549" w:rsidP="008D0DD1">
            <w:pPr>
              <w:spacing w:line="360" w:lineRule="auto"/>
              <w:jc w:val="right"/>
              <w:rPr>
                <w:b/>
              </w:rPr>
            </w:pPr>
            <w:r>
              <w:rPr>
                <w:b/>
              </w:rPr>
              <w:t>(30</w:t>
            </w:r>
            <w:r w:rsidRPr="00E93D95">
              <w:rPr>
                <w:b/>
              </w:rPr>
              <w:t>p</w:t>
            </w:r>
            <w:r>
              <w:rPr>
                <w:b/>
              </w:rPr>
              <w:t>)</w:t>
            </w:r>
          </w:p>
        </w:tc>
      </w:tr>
    </w:tbl>
    <w:p w:rsidR="009F3549" w:rsidRPr="00E365BB" w:rsidRDefault="009F3549" w:rsidP="00DB0C63">
      <w:pPr>
        <w:spacing w:line="360" w:lineRule="auto"/>
        <w:jc w:val="both"/>
        <w:rPr>
          <w:b/>
          <w:color w:val="FF0000"/>
          <w:sz w:val="18"/>
          <w:szCs w:val="18"/>
        </w:rPr>
      </w:pPr>
      <w:r w:rsidRPr="001771AA">
        <w:rPr>
          <w:sz w:val="18"/>
          <w:szCs w:val="18"/>
        </w:rPr>
        <w:t xml:space="preserve">Notes: (1) </w:t>
      </w:r>
      <w:r>
        <w:rPr>
          <w:sz w:val="18"/>
          <w:szCs w:val="18"/>
        </w:rPr>
        <w:t xml:space="preserve">This reflects the estimated reduction in the IAS 19 deficit on the Main Scheme, together with the impact of the accounting policy change. See Table 2 on page 5. </w:t>
      </w:r>
      <w:r w:rsidRPr="0097336D">
        <w:rPr>
          <w:sz w:val="18"/>
          <w:szCs w:val="18"/>
        </w:rPr>
        <w:t>These changes do not reflect the impact of the £4.2 billion accelerated payment discussed below.</w:t>
      </w:r>
      <w:r w:rsidRPr="001771AA">
        <w:rPr>
          <w:sz w:val="18"/>
          <w:szCs w:val="18"/>
        </w:rPr>
        <w:t xml:space="preserve"> (2) </w:t>
      </w:r>
      <w:r>
        <w:rPr>
          <w:sz w:val="18"/>
          <w:szCs w:val="18"/>
        </w:rPr>
        <w:t>No tax benefit has been attributed to these charges</w:t>
      </w:r>
      <w:r w:rsidRPr="001771AA">
        <w:rPr>
          <w:sz w:val="18"/>
          <w:szCs w:val="18"/>
        </w:rPr>
        <w:t xml:space="preserve">. </w:t>
      </w:r>
    </w:p>
    <w:p w:rsidR="009F3549" w:rsidRDefault="009F3549" w:rsidP="00755BA6">
      <w:pPr>
        <w:spacing w:line="360" w:lineRule="auto"/>
        <w:jc w:val="both"/>
      </w:pPr>
    </w:p>
    <w:p w:rsidR="009F3549" w:rsidRDefault="009F3549" w:rsidP="00755BA6">
      <w:pPr>
        <w:spacing w:line="360" w:lineRule="auto"/>
        <w:jc w:val="both"/>
      </w:pPr>
      <w:r>
        <w:t>Subject to PRA approval, we expect the adverse core capital impact resulting from the proposed pension accounting change</w:t>
      </w:r>
      <w:r w:rsidRPr="0097336D">
        <w:t>, including the £4.2 billion accelerated payment,</w:t>
      </w:r>
      <w:r>
        <w:t xml:space="preserve"> to be partially offset by a reduction in RBS's core capital requirements. The timing of any such potential core capital offsets are likely to occur at the earliest 1 January 2017, and will depend upon PRA's assessment of RBS's core capital position at that time.</w:t>
      </w:r>
    </w:p>
    <w:p w:rsidR="009F3549" w:rsidRDefault="009F3549" w:rsidP="00755BA6">
      <w:pPr>
        <w:spacing w:line="360" w:lineRule="auto"/>
        <w:jc w:val="both"/>
      </w:pPr>
    </w:p>
    <w:p w:rsidR="009F3549" w:rsidRDefault="009F3549" w:rsidP="00AB48D5">
      <w:pPr>
        <w:spacing w:line="360" w:lineRule="auto"/>
        <w:jc w:val="both"/>
      </w:pPr>
      <w:r>
        <w:t>RBS CEO Ross McEwan said:</w:t>
      </w:r>
    </w:p>
    <w:p w:rsidR="009F3549" w:rsidRDefault="009F3549" w:rsidP="0053648C">
      <w:pPr>
        <w:spacing w:line="360" w:lineRule="auto"/>
        <w:rPr>
          <w:b/>
          <w:color w:val="C00000"/>
        </w:rPr>
      </w:pPr>
    </w:p>
    <w:p w:rsidR="009F3549" w:rsidRPr="00D81295" w:rsidRDefault="009F3549" w:rsidP="00AB48D5">
      <w:pPr>
        <w:spacing w:line="360" w:lineRule="auto"/>
        <w:jc w:val="both"/>
        <w:rPr>
          <w:i/>
        </w:rPr>
      </w:pPr>
      <w:r>
        <w:rPr>
          <w:i/>
        </w:rPr>
        <w:t>“</w:t>
      </w:r>
      <w:r w:rsidRPr="00D45720">
        <w:rPr>
          <w:i/>
        </w:rPr>
        <w:t xml:space="preserve">I am determined to put the </w:t>
      </w:r>
      <w:r>
        <w:rPr>
          <w:i/>
        </w:rPr>
        <w:t xml:space="preserve">issues </w:t>
      </w:r>
      <w:r w:rsidRPr="00D45720">
        <w:rPr>
          <w:i/>
        </w:rPr>
        <w:t>of the past behind us</w:t>
      </w:r>
      <w:r>
        <w:rPr>
          <w:i/>
        </w:rPr>
        <w:t xml:space="preserve"> </w:t>
      </w:r>
      <w:r w:rsidRPr="00D45720">
        <w:rPr>
          <w:i/>
        </w:rPr>
        <w:t>and make sure RBS is a stronger, safer bank. We will now continue to move further and faster in 2016 to clean-up the bank and improve our core businesses. We've always been open about the scale of past issues facing RBS and although there is clearly much more to do, this announcement is a further step towards addressing legacy issues and building a great bank for our customers and delivering long term value for our shareholders.”</w:t>
      </w:r>
    </w:p>
    <w:p w:rsidR="009F3549" w:rsidRDefault="009F3549" w:rsidP="00AB48D5">
      <w:pPr>
        <w:spacing w:line="360" w:lineRule="auto"/>
        <w:jc w:val="both"/>
      </w:pPr>
    </w:p>
    <w:p w:rsidR="009F3549" w:rsidRDefault="009F3549" w:rsidP="00AB48D5">
      <w:pPr>
        <w:spacing w:line="360" w:lineRule="auto"/>
        <w:jc w:val="both"/>
      </w:pPr>
    </w:p>
    <w:p w:rsidR="009F3549" w:rsidRDefault="009F3549" w:rsidP="00AB48D5">
      <w:pPr>
        <w:spacing w:line="360" w:lineRule="auto"/>
        <w:jc w:val="both"/>
      </w:pPr>
    </w:p>
    <w:p w:rsidR="009F3549" w:rsidRDefault="009F3549" w:rsidP="00AB48D5">
      <w:pPr>
        <w:spacing w:line="360" w:lineRule="auto"/>
        <w:jc w:val="both"/>
      </w:pPr>
    </w:p>
    <w:p w:rsidR="009F3549" w:rsidRDefault="009F3549" w:rsidP="00AB48D5">
      <w:pPr>
        <w:spacing w:line="360" w:lineRule="auto"/>
        <w:jc w:val="both"/>
        <w:rPr>
          <w:b/>
        </w:rPr>
      </w:pPr>
    </w:p>
    <w:p w:rsidR="009F3549" w:rsidRPr="00BC2572" w:rsidRDefault="009F3549" w:rsidP="00AB48D5">
      <w:pPr>
        <w:spacing w:line="360" w:lineRule="auto"/>
        <w:jc w:val="both"/>
        <w:rPr>
          <w:b/>
        </w:rPr>
      </w:pPr>
      <w:r w:rsidRPr="00BC2572">
        <w:rPr>
          <w:b/>
        </w:rPr>
        <w:t xml:space="preserve">1.  </w:t>
      </w:r>
      <w:r>
        <w:rPr>
          <w:b/>
        </w:rPr>
        <w:t>Change in defined benefit pension accounting policy</w:t>
      </w:r>
    </w:p>
    <w:p w:rsidR="009F3549" w:rsidRDefault="009F3549" w:rsidP="00AB48D5">
      <w:pPr>
        <w:spacing w:line="360" w:lineRule="auto"/>
        <w:jc w:val="both"/>
      </w:pPr>
    </w:p>
    <w:p w:rsidR="009F3549" w:rsidRPr="00CF35FA" w:rsidRDefault="009F3549" w:rsidP="005B0AFE">
      <w:pPr>
        <w:spacing w:line="360" w:lineRule="auto"/>
        <w:jc w:val="both"/>
        <w:rPr>
          <w:rFonts w:cs="Arial"/>
          <w:szCs w:val="20"/>
        </w:rPr>
      </w:pPr>
      <w:r>
        <w:rPr>
          <w:rFonts w:cs="Arial"/>
          <w:szCs w:val="20"/>
        </w:rPr>
        <w:t xml:space="preserve">The Group’s defined benefit pension funds have more than 230,000 members, including around 30,000 members who are current employees of RBS. The main section of The Royal Bank of Scotland Group Pension Fund </w:t>
      </w:r>
      <w:r>
        <w:t xml:space="preserve">(“the Main Scheme”) is by far the largest. It comprises 220,000 members and </w:t>
      </w:r>
      <w:r w:rsidRPr="00F36396">
        <w:rPr>
          <w:rFonts w:cs="Arial"/>
          <w:szCs w:val="20"/>
        </w:rPr>
        <w:t xml:space="preserve">has been closed to new members since </w:t>
      </w:r>
      <w:r>
        <w:rPr>
          <w:rFonts w:cs="Arial"/>
          <w:szCs w:val="20"/>
        </w:rPr>
        <w:t>200</w:t>
      </w:r>
      <w:r w:rsidRPr="00F36396">
        <w:rPr>
          <w:rFonts w:cs="Arial"/>
          <w:szCs w:val="20"/>
        </w:rPr>
        <w:t>6</w:t>
      </w:r>
      <w:r>
        <w:rPr>
          <w:rFonts w:cs="Arial"/>
          <w:szCs w:val="20"/>
        </w:rPr>
        <w:t xml:space="preserve">. </w:t>
      </w:r>
      <w:r w:rsidRPr="00CF35FA">
        <w:rPr>
          <w:rFonts w:cs="Arial"/>
          <w:szCs w:val="20"/>
        </w:rPr>
        <w:t xml:space="preserve">As set out in the </w:t>
      </w:r>
      <w:r>
        <w:rPr>
          <w:rFonts w:cs="Arial"/>
          <w:szCs w:val="20"/>
        </w:rPr>
        <w:t>Group’s 2014 Annual Report and A</w:t>
      </w:r>
      <w:r w:rsidRPr="00CF35FA">
        <w:rPr>
          <w:rFonts w:cs="Arial"/>
          <w:szCs w:val="20"/>
        </w:rPr>
        <w:t xml:space="preserve">ccounts, the triennial valuation of </w:t>
      </w:r>
      <w:r>
        <w:rPr>
          <w:rFonts w:cs="Arial"/>
          <w:szCs w:val="20"/>
        </w:rPr>
        <w:t xml:space="preserve">the Main Scheme </w:t>
      </w:r>
      <w:r w:rsidRPr="00CF35FA">
        <w:rPr>
          <w:rFonts w:cs="Arial"/>
          <w:szCs w:val="20"/>
        </w:rPr>
        <w:t>as at 31 March 2013 showed a</w:t>
      </w:r>
      <w:r>
        <w:rPr>
          <w:rFonts w:cs="Arial"/>
          <w:szCs w:val="20"/>
        </w:rPr>
        <w:t>n actuarial</w:t>
      </w:r>
      <w:r w:rsidRPr="00CF35FA">
        <w:rPr>
          <w:rFonts w:cs="Arial"/>
          <w:szCs w:val="20"/>
        </w:rPr>
        <w:t xml:space="preserve"> deficit of £5.6 billion. To eliminate th</w:t>
      </w:r>
      <w:r>
        <w:rPr>
          <w:rFonts w:cs="Arial"/>
          <w:szCs w:val="20"/>
        </w:rPr>
        <w:t>is</w:t>
      </w:r>
      <w:r w:rsidRPr="00CF35FA">
        <w:rPr>
          <w:rFonts w:cs="Arial"/>
          <w:szCs w:val="20"/>
        </w:rPr>
        <w:t xml:space="preserve"> deficit, RBS agreed with the </w:t>
      </w:r>
      <w:r>
        <w:rPr>
          <w:rFonts w:cs="Arial"/>
          <w:szCs w:val="20"/>
        </w:rPr>
        <w:t>Trustee</w:t>
      </w:r>
      <w:r w:rsidRPr="00CF35FA">
        <w:rPr>
          <w:rFonts w:cs="Arial"/>
          <w:szCs w:val="20"/>
        </w:rPr>
        <w:t xml:space="preserve"> a schedule of contributions of £650 million per annum in 2014, 2015 and 2016, and £450 million per annum (index-linked) from 2017 until 2023</w:t>
      </w:r>
      <w:r>
        <w:rPr>
          <w:rFonts w:cs="Arial"/>
          <w:szCs w:val="20"/>
        </w:rPr>
        <w:t>, in addition to regular annual contributions of approximately £270 million in respect of the ongoing accrual of benefits as well as contributions to meet the expenses of running the scheme</w:t>
      </w:r>
      <w:r w:rsidRPr="00CF35FA">
        <w:rPr>
          <w:rFonts w:cs="Arial"/>
          <w:szCs w:val="20"/>
        </w:rPr>
        <w:t xml:space="preserve">. </w:t>
      </w:r>
      <w:r>
        <w:rPr>
          <w:rFonts w:cs="Arial"/>
          <w:szCs w:val="20"/>
        </w:rPr>
        <w:t>As at 31</w:t>
      </w:r>
      <w:r>
        <w:rPr>
          <w:rFonts w:cs="Arial"/>
          <w:szCs w:val="20"/>
          <w:vertAlign w:val="superscript"/>
        </w:rPr>
        <w:t xml:space="preserve"> </w:t>
      </w:r>
      <w:r>
        <w:rPr>
          <w:rFonts w:cs="Arial"/>
          <w:szCs w:val="20"/>
        </w:rPr>
        <w:t xml:space="preserve">December 2015 some £4.2 billion of these contributions remained outstanding with a net present value at the same date of £3.7 billion. </w:t>
      </w:r>
      <w:r w:rsidRPr="00CF35FA">
        <w:rPr>
          <w:rFonts w:cs="Arial"/>
          <w:szCs w:val="20"/>
        </w:rPr>
        <w:t xml:space="preserve">The </w:t>
      </w:r>
      <w:r>
        <w:rPr>
          <w:rFonts w:cs="Arial"/>
          <w:szCs w:val="20"/>
        </w:rPr>
        <w:t xml:space="preserve">Main Scheme had an accounting </w:t>
      </w:r>
      <w:r w:rsidRPr="00CF35FA">
        <w:rPr>
          <w:rFonts w:cs="Arial"/>
          <w:szCs w:val="20"/>
        </w:rPr>
        <w:t>deficit under I</w:t>
      </w:r>
      <w:r>
        <w:rPr>
          <w:rFonts w:cs="Arial"/>
          <w:szCs w:val="20"/>
        </w:rPr>
        <w:t xml:space="preserve">nternational </w:t>
      </w:r>
      <w:r w:rsidRPr="00CF35FA">
        <w:rPr>
          <w:rFonts w:cs="Arial"/>
          <w:szCs w:val="20"/>
        </w:rPr>
        <w:t>A</w:t>
      </w:r>
      <w:r>
        <w:rPr>
          <w:rFonts w:cs="Arial"/>
          <w:szCs w:val="20"/>
        </w:rPr>
        <w:t xml:space="preserve">ccounting </w:t>
      </w:r>
      <w:r w:rsidRPr="00CF35FA">
        <w:rPr>
          <w:rFonts w:cs="Arial"/>
          <w:szCs w:val="20"/>
        </w:rPr>
        <w:t>S</w:t>
      </w:r>
      <w:r>
        <w:rPr>
          <w:rFonts w:cs="Arial"/>
          <w:szCs w:val="20"/>
        </w:rPr>
        <w:t>tandard</w:t>
      </w:r>
      <w:r w:rsidRPr="00CF35FA">
        <w:rPr>
          <w:rFonts w:cs="Arial"/>
          <w:szCs w:val="20"/>
        </w:rPr>
        <w:t xml:space="preserve"> 19 </w:t>
      </w:r>
      <w:r w:rsidRPr="000D5C2D">
        <w:rPr>
          <w:rFonts w:cs="Arial"/>
          <w:i/>
          <w:szCs w:val="20"/>
        </w:rPr>
        <w:t>Employee Benefits</w:t>
      </w:r>
      <w:r>
        <w:rPr>
          <w:rFonts w:cs="Arial"/>
          <w:szCs w:val="20"/>
        </w:rPr>
        <w:t xml:space="preserve"> (“IAS 19”) </w:t>
      </w:r>
      <w:r w:rsidRPr="00CF35FA">
        <w:rPr>
          <w:rFonts w:cs="Arial"/>
          <w:szCs w:val="20"/>
        </w:rPr>
        <w:t>of £1.7 billion as at 31 December 2014</w:t>
      </w:r>
      <w:r>
        <w:rPr>
          <w:rFonts w:cs="Arial"/>
          <w:szCs w:val="20"/>
        </w:rPr>
        <w:t>, reduced to £1.1 billion as at 30 September 2015. RBS currently expects the Main Scheme deficit under IAS 19 to be circa £300 million as at 31 December 2015. The difference between the accounting and actuarial deficits set out above is due to the different assumptions and calculation methodologies used.</w:t>
      </w:r>
    </w:p>
    <w:p w:rsidR="009F3549" w:rsidRDefault="009F3549" w:rsidP="00AB48D5">
      <w:pPr>
        <w:spacing w:line="360" w:lineRule="auto"/>
        <w:jc w:val="both"/>
        <w:rPr>
          <w:rFonts w:cs="Arial"/>
          <w:szCs w:val="20"/>
        </w:rPr>
      </w:pPr>
    </w:p>
    <w:p w:rsidR="009F3549" w:rsidRPr="00CF35FA" w:rsidRDefault="009F3549" w:rsidP="00AB48D5">
      <w:pPr>
        <w:spacing w:line="360" w:lineRule="auto"/>
        <w:jc w:val="both"/>
        <w:rPr>
          <w:rFonts w:cs="Arial"/>
          <w:szCs w:val="20"/>
        </w:rPr>
      </w:pPr>
      <w:r>
        <w:rPr>
          <w:rFonts w:cs="Arial"/>
          <w:szCs w:val="20"/>
        </w:rPr>
        <w:t>D</w:t>
      </w:r>
      <w:r w:rsidRPr="00CF35FA">
        <w:rPr>
          <w:rFonts w:cs="Arial"/>
          <w:szCs w:val="20"/>
        </w:rPr>
        <w:t xml:space="preserve">evelopments during 2015, in particular publication by the International Accounting Standards Board of its exposure draft of amendments to IFRIC 14 </w:t>
      </w:r>
      <w:r w:rsidRPr="00CF35FA">
        <w:rPr>
          <w:rFonts w:cs="Arial"/>
          <w:i/>
          <w:szCs w:val="20"/>
        </w:rPr>
        <w:t>IAS 19 – The</w:t>
      </w:r>
      <w:r w:rsidRPr="00CF35FA">
        <w:rPr>
          <w:rFonts w:cs="Arial"/>
          <w:szCs w:val="20"/>
        </w:rPr>
        <w:t xml:space="preserve"> </w:t>
      </w:r>
      <w:r w:rsidRPr="00CF35FA">
        <w:rPr>
          <w:rFonts w:cs="Arial"/>
          <w:i/>
          <w:szCs w:val="20"/>
        </w:rPr>
        <w:t>Limit on a Defined Benefit Asset, Minimum Funding Requirements and their Interaction</w:t>
      </w:r>
      <w:r w:rsidRPr="006333D5">
        <w:rPr>
          <w:rFonts w:cs="Arial"/>
          <w:szCs w:val="20"/>
        </w:rPr>
        <w:t>,</w:t>
      </w:r>
      <w:r w:rsidRPr="00CF35FA">
        <w:rPr>
          <w:rFonts w:cs="Arial"/>
          <w:szCs w:val="20"/>
        </w:rPr>
        <w:t xml:space="preserve"> </w:t>
      </w:r>
      <w:r>
        <w:rPr>
          <w:rFonts w:cs="Arial"/>
          <w:szCs w:val="20"/>
        </w:rPr>
        <w:t xml:space="preserve">have provided additional clarity on the role of trustees’ rights in an assessment of the recoverability of a surplus in an employee pension fund.  In the light of this, </w:t>
      </w:r>
      <w:r w:rsidRPr="00CF35FA">
        <w:rPr>
          <w:rFonts w:cs="Arial"/>
          <w:szCs w:val="20"/>
        </w:rPr>
        <w:t>RBS has revised its</w:t>
      </w:r>
      <w:r>
        <w:rPr>
          <w:rFonts w:cs="Arial"/>
          <w:szCs w:val="20"/>
        </w:rPr>
        <w:t xml:space="preserve"> pension</w:t>
      </w:r>
      <w:r w:rsidRPr="00CF35FA">
        <w:rPr>
          <w:rFonts w:cs="Arial"/>
          <w:szCs w:val="20"/>
        </w:rPr>
        <w:t xml:space="preserve"> accounting policy for determining whether or not it has an unconditional right to a refund of </w:t>
      </w:r>
      <w:r>
        <w:rPr>
          <w:rFonts w:cs="Arial"/>
          <w:szCs w:val="20"/>
        </w:rPr>
        <w:t xml:space="preserve">any </w:t>
      </w:r>
      <w:r w:rsidRPr="00CF35FA">
        <w:rPr>
          <w:rFonts w:cs="Arial"/>
          <w:szCs w:val="20"/>
        </w:rPr>
        <w:t xml:space="preserve">surpluses in its employee pension funds. </w:t>
      </w:r>
      <w:r>
        <w:rPr>
          <w:rFonts w:cs="Arial"/>
          <w:szCs w:val="20"/>
        </w:rPr>
        <w:t xml:space="preserve"> Previously, where trustees have the power to use a scheme surplus to enhance benefits for members, RBS did not regard such power, in and of itself, as undermining the bank’s unconditional legal right to a refund of a surplus existing at that point in time. Under the new policy, w</w:t>
      </w:r>
      <w:r w:rsidRPr="00CF35FA">
        <w:rPr>
          <w:rFonts w:cs="Arial"/>
          <w:szCs w:val="20"/>
        </w:rPr>
        <w:t>here RBS has a right to a refund</w:t>
      </w:r>
      <w:r>
        <w:rPr>
          <w:rFonts w:cs="Arial"/>
          <w:szCs w:val="20"/>
        </w:rPr>
        <w:t xml:space="preserve"> of a surplus</w:t>
      </w:r>
      <w:r w:rsidRPr="00CF35FA">
        <w:rPr>
          <w:rFonts w:cs="Arial"/>
          <w:szCs w:val="20"/>
        </w:rPr>
        <w:t xml:space="preserve">, this is no longer regarded as unconditional if </w:t>
      </w:r>
      <w:r>
        <w:rPr>
          <w:rFonts w:cs="Arial"/>
          <w:szCs w:val="20"/>
        </w:rPr>
        <w:t>the Trustee</w:t>
      </w:r>
      <w:r w:rsidRPr="00CF35FA">
        <w:rPr>
          <w:rFonts w:cs="Arial"/>
          <w:szCs w:val="20"/>
        </w:rPr>
        <w:t xml:space="preserve"> can enhance benefits for plan members</w:t>
      </w:r>
      <w:r>
        <w:rPr>
          <w:rFonts w:cs="Arial"/>
          <w:szCs w:val="20"/>
        </w:rPr>
        <w:t xml:space="preserve"> (as is the case for the Main Scheme)</w:t>
      </w:r>
      <w:r w:rsidRPr="00CF35FA">
        <w:rPr>
          <w:rFonts w:cs="Arial"/>
          <w:szCs w:val="20"/>
        </w:rPr>
        <w:t xml:space="preserve">. As a result of this policy change, a minimum funding requirement to cover an existing shortfall in a scheme </w:t>
      </w:r>
      <w:r>
        <w:rPr>
          <w:rFonts w:cs="Arial"/>
          <w:szCs w:val="20"/>
        </w:rPr>
        <w:t xml:space="preserve">may be recognisable as a </w:t>
      </w:r>
      <w:r w:rsidRPr="00CF35FA">
        <w:rPr>
          <w:rFonts w:cs="Arial"/>
          <w:szCs w:val="20"/>
        </w:rPr>
        <w:t>liability</w:t>
      </w:r>
      <w:r>
        <w:rPr>
          <w:rFonts w:cs="Arial"/>
          <w:szCs w:val="20"/>
        </w:rPr>
        <w:t xml:space="preserve">, </w:t>
      </w:r>
      <w:r w:rsidRPr="00CF35FA">
        <w:rPr>
          <w:rFonts w:cs="Arial"/>
          <w:szCs w:val="20"/>
        </w:rPr>
        <w:t xml:space="preserve">and </w:t>
      </w:r>
      <w:r>
        <w:rPr>
          <w:rFonts w:cs="Arial"/>
          <w:szCs w:val="20"/>
        </w:rPr>
        <w:t xml:space="preserve">the recognition of any accounting </w:t>
      </w:r>
      <w:r w:rsidRPr="00CF35FA">
        <w:rPr>
          <w:rFonts w:cs="Arial"/>
          <w:szCs w:val="20"/>
        </w:rPr>
        <w:t xml:space="preserve">surpluses </w:t>
      </w:r>
      <w:r>
        <w:rPr>
          <w:rFonts w:cs="Arial"/>
          <w:szCs w:val="20"/>
        </w:rPr>
        <w:t>may be limited</w:t>
      </w:r>
      <w:r w:rsidRPr="00CF35FA">
        <w:rPr>
          <w:rFonts w:cs="Arial"/>
          <w:szCs w:val="20"/>
        </w:rPr>
        <w:t>.</w:t>
      </w:r>
    </w:p>
    <w:p w:rsidR="009F3549" w:rsidRPr="00CF35FA" w:rsidRDefault="009F3549" w:rsidP="00AB48D5">
      <w:pPr>
        <w:spacing w:line="360" w:lineRule="auto"/>
        <w:jc w:val="both"/>
        <w:rPr>
          <w:rFonts w:cs="Arial"/>
          <w:szCs w:val="20"/>
        </w:rPr>
      </w:pPr>
    </w:p>
    <w:p w:rsidR="009F3549" w:rsidRPr="00CF35FA" w:rsidRDefault="009F3549" w:rsidP="00AB48D5">
      <w:pPr>
        <w:spacing w:line="360" w:lineRule="auto"/>
        <w:jc w:val="both"/>
        <w:rPr>
          <w:rFonts w:cs="Arial"/>
          <w:szCs w:val="20"/>
        </w:rPr>
      </w:pPr>
      <w:r>
        <w:rPr>
          <w:rFonts w:cs="Arial"/>
          <w:szCs w:val="20"/>
        </w:rPr>
        <w:t>As at 31 December 2015, a</w:t>
      </w:r>
      <w:r w:rsidRPr="00CF35FA">
        <w:rPr>
          <w:rFonts w:cs="Arial"/>
          <w:szCs w:val="20"/>
        </w:rPr>
        <w:t xml:space="preserve"> liability </w:t>
      </w:r>
      <w:r>
        <w:rPr>
          <w:rFonts w:cs="Arial"/>
          <w:szCs w:val="20"/>
        </w:rPr>
        <w:t xml:space="preserve">on the Main Scheme </w:t>
      </w:r>
      <w:r w:rsidRPr="00CF35FA">
        <w:rPr>
          <w:rFonts w:cs="Arial"/>
          <w:szCs w:val="20"/>
        </w:rPr>
        <w:t>of £</w:t>
      </w:r>
      <w:r>
        <w:rPr>
          <w:rFonts w:cs="Arial"/>
          <w:szCs w:val="20"/>
        </w:rPr>
        <w:t>3.3</w:t>
      </w:r>
      <w:r w:rsidRPr="00CF35FA">
        <w:rPr>
          <w:rFonts w:cs="Arial"/>
          <w:szCs w:val="20"/>
        </w:rPr>
        <w:t xml:space="preserve"> billion </w:t>
      </w:r>
      <w:r>
        <w:rPr>
          <w:rFonts w:cs="Arial"/>
          <w:szCs w:val="20"/>
        </w:rPr>
        <w:t xml:space="preserve">is expected to be </w:t>
      </w:r>
      <w:r w:rsidRPr="00CF35FA">
        <w:rPr>
          <w:rFonts w:cs="Arial"/>
          <w:szCs w:val="20"/>
        </w:rPr>
        <w:t xml:space="preserve">recorded representing the </w:t>
      </w:r>
      <w:r>
        <w:rPr>
          <w:rFonts w:cs="Arial"/>
          <w:szCs w:val="20"/>
        </w:rPr>
        <w:t xml:space="preserve">£3.7 billion net </w:t>
      </w:r>
      <w:r w:rsidRPr="00CF35FA">
        <w:rPr>
          <w:rFonts w:cs="Arial"/>
          <w:szCs w:val="20"/>
        </w:rPr>
        <w:t xml:space="preserve">present value of </w:t>
      </w:r>
      <w:r>
        <w:rPr>
          <w:rFonts w:cs="Arial"/>
          <w:szCs w:val="20"/>
        </w:rPr>
        <w:t xml:space="preserve">remaining committed </w:t>
      </w:r>
      <w:r w:rsidRPr="00CF35FA">
        <w:rPr>
          <w:rFonts w:cs="Arial"/>
          <w:szCs w:val="20"/>
        </w:rPr>
        <w:t xml:space="preserve">contributions </w:t>
      </w:r>
      <w:r>
        <w:rPr>
          <w:rFonts w:cs="Arial"/>
          <w:szCs w:val="20"/>
        </w:rPr>
        <w:t xml:space="preserve">from 2016 to 2023 </w:t>
      </w:r>
      <w:r w:rsidRPr="00CF35FA">
        <w:rPr>
          <w:rFonts w:cs="Arial"/>
          <w:szCs w:val="20"/>
        </w:rPr>
        <w:t xml:space="preserve">less </w:t>
      </w:r>
      <w:r>
        <w:rPr>
          <w:rFonts w:cs="Arial"/>
          <w:szCs w:val="20"/>
        </w:rPr>
        <w:t xml:space="preserve">an asset ceiling of £400 million  representing </w:t>
      </w:r>
      <w:r w:rsidRPr="00CF35FA">
        <w:rPr>
          <w:rFonts w:cs="Arial"/>
          <w:szCs w:val="20"/>
        </w:rPr>
        <w:t xml:space="preserve">economic benefits available from reductions in future </w:t>
      </w:r>
      <w:r>
        <w:rPr>
          <w:rFonts w:cs="Arial"/>
          <w:szCs w:val="20"/>
        </w:rPr>
        <w:t xml:space="preserve">service </w:t>
      </w:r>
      <w:r w:rsidRPr="00CF35FA">
        <w:rPr>
          <w:rFonts w:cs="Arial"/>
          <w:szCs w:val="20"/>
        </w:rPr>
        <w:t xml:space="preserve">contributions. </w:t>
      </w:r>
      <w:r>
        <w:rPr>
          <w:rFonts w:cs="Arial"/>
          <w:szCs w:val="20"/>
        </w:rPr>
        <w:t xml:space="preserve">Net of the impact of the £800 million estimated reduction in the deficit on the Main Scheme, the recognition of this liability, after tax, is expected to </w:t>
      </w:r>
      <w:r w:rsidRPr="00CF35FA">
        <w:rPr>
          <w:rFonts w:cs="Arial"/>
          <w:szCs w:val="20"/>
        </w:rPr>
        <w:t>reduce the CET1 capital ratio by</w:t>
      </w:r>
      <w:r>
        <w:rPr>
          <w:rFonts w:cs="Arial"/>
          <w:szCs w:val="20"/>
        </w:rPr>
        <w:t xml:space="preserve"> approximately</w:t>
      </w:r>
      <w:r w:rsidRPr="00CF35FA">
        <w:rPr>
          <w:rFonts w:cs="Arial"/>
          <w:szCs w:val="20"/>
        </w:rPr>
        <w:t xml:space="preserve"> </w:t>
      </w:r>
      <w:r>
        <w:rPr>
          <w:rFonts w:cs="Arial"/>
          <w:szCs w:val="20"/>
        </w:rPr>
        <w:t>0.7%</w:t>
      </w:r>
      <w:r w:rsidRPr="00CF35FA">
        <w:rPr>
          <w:rFonts w:cs="Arial"/>
          <w:szCs w:val="20"/>
        </w:rPr>
        <w:t xml:space="preserve"> and </w:t>
      </w:r>
      <w:r>
        <w:rPr>
          <w:rFonts w:cs="Arial"/>
          <w:szCs w:val="20"/>
        </w:rPr>
        <w:t xml:space="preserve">TNAV per share </w:t>
      </w:r>
      <w:r w:rsidRPr="00CF35FA">
        <w:rPr>
          <w:rFonts w:cs="Arial"/>
          <w:szCs w:val="20"/>
        </w:rPr>
        <w:t xml:space="preserve">by </w:t>
      </w:r>
      <w:r>
        <w:rPr>
          <w:rFonts w:cs="Arial"/>
          <w:szCs w:val="20"/>
        </w:rPr>
        <w:t>approximately 13</w:t>
      </w:r>
      <w:r w:rsidRPr="00CF35FA">
        <w:rPr>
          <w:rFonts w:cs="Arial"/>
          <w:szCs w:val="20"/>
        </w:rPr>
        <w:t>p</w:t>
      </w:r>
      <w:r>
        <w:rPr>
          <w:rFonts w:cs="Arial"/>
          <w:szCs w:val="20"/>
        </w:rPr>
        <w:t xml:space="preserve"> as at 31 December 2015 (see Table 2 on page 5 for reference)</w:t>
      </w:r>
      <w:r w:rsidRPr="00CF35FA">
        <w:rPr>
          <w:rFonts w:cs="Arial"/>
          <w:szCs w:val="20"/>
        </w:rPr>
        <w:t>.</w:t>
      </w:r>
    </w:p>
    <w:p w:rsidR="009F3549" w:rsidRPr="00CF35FA" w:rsidRDefault="009F3549" w:rsidP="00AB48D5">
      <w:pPr>
        <w:spacing w:line="360" w:lineRule="auto"/>
        <w:jc w:val="both"/>
        <w:rPr>
          <w:rFonts w:cs="Arial"/>
          <w:szCs w:val="20"/>
        </w:rPr>
      </w:pPr>
    </w:p>
    <w:p w:rsidR="009F3549" w:rsidRDefault="009F3549" w:rsidP="00D97C08">
      <w:pPr>
        <w:spacing w:line="360" w:lineRule="auto"/>
        <w:jc w:val="both"/>
        <w:rPr>
          <w:rFonts w:cs="Arial"/>
          <w:szCs w:val="20"/>
        </w:rPr>
      </w:pPr>
      <w:r>
        <w:rPr>
          <w:rFonts w:cs="Arial"/>
          <w:szCs w:val="20"/>
        </w:rPr>
        <w:t>As required under IFRS, t</w:t>
      </w:r>
      <w:r w:rsidRPr="00CF35FA">
        <w:rPr>
          <w:rFonts w:cs="Arial"/>
          <w:szCs w:val="20"/>
        </w:rPr>
        <w:t xml:space="preserve">he change in accounting policy is being applied retrospectively and </w:t>
      </w:r>
      <w:r>
        <w:rPr>
          <w:rFonts w:cs="Arial"/>
          <w:szCs w:val="20"/>
        </w:rPr>
        <w:t>comparative data will be restated</w:t>
      </w:r>
      <w:r w:rsidRPr="00CF35FA">
        <w:rPr>
          <w:rFonts w:cs="Arial"/>
          <w:szCs w:val="20"/>
        </w:rPr>
        <w:t>.</w:t>
      </w:r>
      <w:r>
        <w:rPr>
          <w:rFonts w:cs="Arial"/>
          <w:szCs w:val="20"/>
        </w:rPr>
        <w:t xml:space="preserve"> Only the Main Scheme has a material impact on the Group.</w:t>
      </w:r>
    </w:p>
    <w:p w:rsidR="009F3549" w:rsidRDefault="009F3549" w:rsidP="00D97C08">
      <w:pPr>
        <w:spacing w:line="360" w:lineRule="auto"/>
        <w:jc w:val="both"/>
        <w:rPr>
          <w:rFonts w:cs="Arial"/>
          <w:szCs w:val="20"/>
        </w:rPr>
      </w:pPr>
    </w:p>
    <w:p w:rsidR="009F3549" w:rsidRDefault="009F3549" w:rsidP="0035552E">
      <w:pPr>
        <w:spacing w:line="360" w:lineRule="auto"/>
        <w:jc w:val="both"/>
      </w:pPr>
      <w:r>
        <w:t xml:space="preserve">Under the new defined benefit pension accounting policy, any additional contributions that are committed to the Main Scheme following new actuarial valuations may need to be recognised as a liability.  Actuarial valuations are carried out every three years, and the next triennial valuation is due on 31 March 2016. Ordinarily, the outcome of the actuarial valuation as at 31 March 2016 would not be finalised until 2017. RBS wanted to remove any uncertainty that this might cause, </w:t>
      </w:r>
      <w:r w:rsidRPr="00C75331">
        <w:t>especially during a period of ring fencing compliance activity</w:t>
      </w:r>
      <w:r>
        <w:t>,</w:t>
      </w:r>
      <w:r w:rsidRPr="00C75331">
        <w:t xml:space="preserve"> and a</w:t>
      </w:r>
      <w:r>
        <w:t xml:space="preserve">ccordingly has sought to reach </w:t>
      </w:r>
      <w:r w:rsidRPr="00C75331">
        <w:t>an agreement with the Trustee.</w:t>
      </w:r>
    </w:p>
    <w:p w:rsidR="009F3549" w:rsidRDefault="009F3549" w:rsidP="0035552E">
      <w:pPr>
        <w:spacing w:line="360" w:lineRule="auto"/>
        <w:jc w:val="both"/>
      </w:pPr>
    </w:p>
    <w:p w:rsidR="009F3549" w:rsidRDefault="009F3549" w:rsidP="0035552E">
      <w:pPr>
        <w:spacing w:line="360" w:lineRule="auto"/>
        <w:jc w:val="both"/>
      </w:pPr>
      <w:r>
        <w:t xml:space="preserve">RBS has signed a Memorandum of Understanding with the Main Scheme Trustee that the 31 March 2016 actuarial valuation is brought forward to an effective date between 31 October 2015 and 31 December 2015, and that a single payment of £4.2 billion is made to settle the deficit. This single contribution of £4.2 billion is expected to be paid by 31 March 2016, subject to satisfactory conclusion of the discussions with the Trustee, and is equivalent to an acceleration of all the existing committed contributions.    </w:t>
      </w:r>
    </w:p>
    <w:p w:rsidR="009F3549" w:rsidRDefault="009F3549" w:rsidP="0035552E">
      <w:pPr>
        <w:spacing w:line="360" w:lineRule="auto"/>
        <w:jc w:val="both"/>
      </w:pPr>
    </w:p>
    <w:p w:rsidR="009F3549" w:rsidRDefault="009F3549" w:rsidP="00E90D06">
      <w:pPr>
        <w:spacing w:line="360" w:lineRule="auto"/>
        <w:jc w:val="both"/>
      </w:pPr>
      <w:r>
        <w:t>The next triennial valuation will then take place between 31 October 2018 and 31 December 2018. There is a 15 month period after each triennial valuation for the bank and the Main Scheme Trustee to agree the funding plan, and as such, any future funding arrangements would need to be agreed with the Trustee no later than Q1 2020. The arrangements in 2020 will depend on the funding position at the time, but we expect to have to agree to contributions over and above the existing committed past service contributions which could create a material incremental liability at that point. Importantly, by accelerating the contributions that RBS was already committed to making, RBS has strengthened its capital planning and resilience between now and 2019. The accelerated payment is also expected to provide the Main Scheme Trustee with more flexibility over investment strategy.</w:t>
      </w:r>
    </w:p>
    <w:p w:rsidR="009F3549" w:rsidRDefault="009F3549" w:rsidP="0035552E">
      <w:pPr>
        <w:spacing w:line="360" w:lineRule="auto"/>
        <w:jc w:val="both"/>
      </w:pPr>
    </w:p>
    <w:p w:rsidR="009F3549" w:rsidRDefault="009F3549" w:rsidP="0035552E">
      <w:pPr>
        <w:spacing w:line="360" w:lineRule="auto"/>
        <w:jc w:val="both"/>
      </w:pPr>
      <w:r w:rsidRPr="00E019C5">
        <w:t>Morgan Stanley &amp; Co. International plc</w:t>
      </w:r>
      <w:r>
        <w:t>, Willis Towers Watson and Allen &amp; Overy LLP have been advising RBS in relation to this planned acceleration of pension payments.</w:t>
      </w:r>
    </w:p>
    <w:p w:rsidR="009F3549" w:rsidRDefault="009F3549" w:rsidP="0035552E">
      <w:pPr>
        <w:spacing w:line="360" w:lineRule="auto"/>
        <w:jc w:val="both"/>
      </w:pPr>
    </w:p>
    <w:p w:rsidR="009F3549" w:rsidRDefault="009F3549" w:rsidP="000F090E">
      <w:pPr>
        <w:spacing w:line="360" w:lineRule="auto"/>
        <w:jc w:val="both"/>
      </w:pPr>
      <w:r>
        <w:t>As set out in Table 3, at the point of payment, the incremental CET1 capital ratio impact is expected to be a reduction of approximately 0.3%; the adverse incremental impact on TNAV is expected to be around 3p, and the impact on the 2016 Income Statement is expected to be modest.</w:t>
      </w:r>
    </w:p>
    <w:p w:rsidR="009F3549" w:rsidRDefault="009F3549" w:rsidP="00D571D3">
      <w:pPr>
        <w:spacing w:line="360" w:lineRule="auto"/>
        <w:jc w:val="both"/>
        <w:rPr>
          <w:b/>
          <w:color w:val="FF0000"/>
        </w:rPr>
      </w:pPr>
    </w:p>
    <w:p w:rsidR="009F3549" w:rsidRDefault="009F3549" w:rsidP="00D571D3">
      <w:pPr>
        <w:spacing w:line="360" w:lineRule="auto"/>
        <w:jc w:val="both"/>
        <w:rPr>
          <w:b/>
        </w:rPr>
      </w:pPr>
    </w:p>
    <w:p w:rsidR="009F3549" w:rsidRDefault="009F3549" w:rsidP="00D571D3">
      <w:pPr>
        <w:spacing w:line="360" w:lineRule="auto"/>
        <w:jc w:val="both"/>
        <w:rPr>
          <w:b/>
        </w:rPr>
      </w:pPr>
    </w:p>
    <w:p w:rsidR="009F3549" w:rsidRDefault="009F3549" w:rsidP="00D571D3">
      <w:pPr>
        <w:spacing w:line="360" w:lineRule="auto"/>
        <w:jc w:val="both"/>
        <w:rPr>
          <w:b/>
        </w:rPr>
      </w:pPr>
    </w:p>
    <w:p w:rsidR="009F3549" w:rsidRDefault="009F3549" w:rsidP="00D571D3">
      <w:pPr>
        <w:spacing w:line="360" w:lineRule="auto"/>
        <w:jc w:val="both"/>
        <w:rPr>
          <w:b/>
        </w:rPr>
      </w:pPr>
    </w:p>
    <w:p w:rsidR="009F3549" w:rsidRDefault="009F3549" w:rsidP="00D571D3">
      <w:pPr>
        <w:spacing w:line="360" w:lineRule="auto"/>
        <w:jc w:val="both"/>
        <w:rPr>
          <w:b/>
        </w:rPr>
      </w:pPr>
    </w:p>
    <w:p w:rsidR="009F3549" w:rsidRDefault="009F3549" w:rsidP="00D571D3">
      <w:pPr>
        <w:spacing w:line="360" w:lineRule="auto"/>
        <w:jc w:val="both"/>
        <w:rPr>
          <w:b/>
        </w:rPr>
      </w:pPr>
    </w:p>
    <w:p w:rsidR="009F3549" w:rsidRDefault="009F3549" w:rsidP="00D571D3">
      <w:pPr>
        <w:spacing w:line="360" w:lineRule="auto"/>
        <w:jc w:val="both"/>
        <w:rPr>
          <w:b/>
        </w:rPr>
      </w:pPr>
    </w:p>
    <w:p w:rsidR="009F3549" w:rsidRPr="0053648C" w:rsidRDefault="009F3549" w:rsidP="00D571D3">
      <w:pPr>
        <w:spacing w:line="360" w:lineRule="auto"/>
        <w:jc w:val="both"/>
        <w:rPr>
          <w:b/>
        </w:rPr>
      </w:pPr>
      <w:r w:rsidRPr="0053648C">
        <w:rPr>
          <w:b/>
        </w:rPr>
        <w:t>Table</w:t>
      </w:r>
      <w:r>
        <w:rPr>
          <w:b/>
        </w:rPr>
        <w:t xml:space="preserve"> 2</w:t>
      </w:r>
      <w:r w:rsidRPr="0053648C">
        <w:rPr>
          <w:b/>
        </w:rPr>
        <w:t xml:space="preserve">. Summary of </w:t>
      </w:r>
      <w:r>
        <w:rPr>
          <w:b/>
        </w:rPr>
        <w:t xml:space="preserve">the </w:t>
      </w:r>
      <w:r w:rsidRPr="0053648C">
        <w:rPr>
          <w:b/>
        </w:rPr>
        <w:t xml:space="preserve">impact of </w:t>
      </w:r>
      <w:r>
        <w:rPr>
          <w:b/>
        </w:rPr>
        <w:t xml:space="preserve">the </w:t>
      </w:r>
      <w:r w:rsidRPr="0053648C">
        <w:rPr>
          <w:b/>
        </w:rPr>
        <w:t>Pension Fund accounting</w:t>
      </w:r>
      <w:r>
        <w:rPr>
          <w:b/>
        </w:rPr>
        <w:t xml:space="preserve"> policy change</w:t>
      </w:r>
      <w:r w:rsidRPr="0053648C">
        <w:rPr>
          <w:b/>
        </w:rPr>
        <w:t xml:space="preserve"> and</w:t>
      </w:r>
      <w:r>
        <w:rPr>
          <w:b/>
        </w:rPr>
        <w:t xml:space="preserve"> estimated Main Scheme IAS 19</w:t>
      </w:r>
      <w:r w:rsidRPr="0053648C">
        <w:rPr>
          <w:b/>
        </w:rPr>
        <w:t xml:space="preserve"> valuation changes on CET1 capital ratio and TNAV</w:t>
      </w:r>
      <w:r>
        <w:rPr>
          <w:b/>
        </w:rPr>
        <w:t xml:space="preserve"> per share as at 31 December 2015</w:t>
      </w:r>
    </w:p>
    <w:tbl>
      <w:tblPr>
        <w:tblW w:w="8990" w:type="dxa"/>
        <w:tblInd w:w="93" w:type="dxa"/>
        <w:tblLook w:val="00A0"/>
      </w:tblPr>
      <w:tblGrid>
        <w:gridCol w:w="474"/>
        <w:gridCol w:w="6194"/>
        <w:gridCol w:w="474"/>
        <w:gridCol w:w="687"/>
        <w:gridCol w:w="474"/>
        <w:gridCol w:w="687"/>
      </w:tblGrid>
      <w:tr w:rsidR="009F3549" w:rsidRPr="0053648C" w:rsidTr="00915584">
        <w:trPr>
          <w:trHeight w:val="69"/>
        </w:trPr>
        <w:tc>
          <w:tcPr>
            <w:tcW w:w="6668" w:type="dxa"/>
            <w:gridSpan w:val="2"/>
            <w:tcBorders>
              <w:top w:val="single" w:sz="4" w:space="0" w:color="1F497D"/>
              <w:left w:val="nil"/>
              <w:bottom w:val="single" w:sz="4" w:space="0" w:color="1F497D"/>
              <w:right w:val="nil"/>
            </w:tcBorders>
            <w:noWrap/>
            <w:vAlign w:val="bottom"/>
          </w:tcPr>
          <w:p w:rsidR="009F3549" w:rsidRPr="00740E7A" w:rsidRDefault="009F3549" w:rsidP="00EF07B3">
            <w:pPr>
              <w:jc w:val="right"/>
              <w:rPr>
                <w:rFonts w:cs="Arial"/>
                <w:b/>
                <w:bCs/>
                <w:color w:val="1F497D"/>
                <w:sz w:val="18"/>
                <w:szCs w:val="18"/>
                <w:lang w:eastAsia="en-GB"/>
              </w:rPr>
            </w:pPr>
          </w:p>
        </w:tc>
        <w:tc>
          <w:tcPr>
            <w:tcW w:w="1161" w:type="dxa"/>
            <w:gridSpan w:val="2"/>
            <w:tcBorders>
              <w:top w:val="single" w:sz="4" w:space="0" w:color="1F497D"/>
              <w:left w:val="nil"/>
              <w:bottom w:val="single" w:sz="4" w:space="0" w:color="003366"/>
              <w:right w:val="nil"/>
            </w:tcBorders>
            <w:shd w:val="clear" w:color="000000" w:fill="FFFFFF"/>
          </w:tcPr>
          <w:p w:rsidR="009F3549" w:rsidRDefault="009F3549" w:rsidP="00EF07B3">
            <w:pPr>
              <w:jc w:val="right"/>
              <w:rPr>
                <w:rFonts w:cs="Arial"/>
                <w:b/>
                <w:bCs/>
                <w:color w:val="003366"/>
                <w:sz w:val="18"/>
                <w:szCs w:val="18"/>
                <w:lang w:eastAsia="en-GB"/>
              </w:rPr>
            </w:pPr>
          </w:p>
        </w:tc>
        <w:tc>
          <w:tcPr>
            <w:tcW w:w="1161" w:type="dxa"/>
            <w:gridSpan w:val="2"/>
            <w:tcBorders>
              <w:top w:val="single" w:sz="4" w:space="0" w:color="1F497D"/>
              <w:left w:val="nil"/>
              <w:bottom w:val="single" w:sz="4" w:space="0" w:color="1F497D"/>
            </w:tcBorders>
            <w:shd w:val="clear" w:color="000000" w:fill="FFFFFF"/>
            <w:vAlign w:val="bottom"/>
          </w:tcPr>
          <w:p w:rsidR="009F3549" w:rsidRDefault="009F3549" w:rsidP="00EF07B3">
            <w:pPr>
              <w:jc w:val="right"/>
              <w:rPr>
                <w:rFonts w:cs="Arial"/>
                <w:b/>
                <w:bCs/>
                <w:color w:val="003366"/>
                <w:sz w:val="18"/>
                <w:szCs w:val="18"/>
                <w:lang w:eastAsia="en-GB"/>
              </w:rPr>
            </w:pPr>
            <w:r>
              <w:rPr>
                <w:rFonts w:cs="Arial"/>
                <w:b/>
                <w:bCs/>
                <w:color w:val="003366"/>
                <w:sz w:val="18"/>
                <w:szCs w:val="18"/>
                <w:lang w:eastAsia="en-GB"/>
              </w:rPr>
              <w:t xml:space="preserve">31 Dec </w:t>
            </w:r>
            <w:r w:rsidRPr="00740E7A">
              <w:rPr>
                <w:rFonts w:cs="Arial"/>
                <w:b/>
                <w:bCs/>
                <w:color w:val="003366"/>
                <w:sz w:val="18"/>
                <w:szCs w:val="18"/>
                <w:lang w:eastAsia="en-GB"/>
              </w:rPr>
              <w:t>2015</w:t>
            </w:r>
          </w:p>
          <w:p w:rsidR="009F3549" w:rsidRPr="00740E7A" w:rsidRDefault="009F3549" w:rsidP="00EF07B3">
            <w:pPr>
              <w:jc w:val="right"/>
              <w:rPr>
                <w:rFonts w:cs="Arial"/>
                <w:b/>
                <w:bCs/>
                <w:color w:val="003366"/>
                <w:sz w:val="18"/>
                <w:szCs w:val="18"/>
                <w:lang w:eastAsia="en-GB"/>
              </w:rPr>
            </w:pPr>
            <w:r>
              <w:rPr>
                <w:rFonts w:cs="Arial"/>
                <w:b/>
                <w:bCs/>
                <w:color w:val="003366"/>
                <w:sz w:val="18"/>
                <w:szCs w:val="18"/>
                <w:lang w:eastAsia="en-GB"/>
              </w:rPr>
              <w:t>£m</w:t>
            </w:r>
          </w:p>
        </w:tc>
      </w:tr>
      <w:tr w:rsidR="009F3549" w:rsidRPr="0053648C" w:rsidTr="00915584">
        <w:trPr>
          <w:trHeight w:val="480"/>
        </w:trPr>
        <w:tc>
          <w:tcPr>
            <w:tcW w:w="6668" w:type="dxa"/>
            <w:gridSpan w:val="2"/>
            <w:tcBorders>
              <w:top w:val="nil"/>
              <w:left w:val="nil"/>
              <w:right w:val="nil"/>
            </w:tcBorders>
            <w:vAlign w:val="center"/>
          </w:tcPr>
          <w:p w:rsidR="009F3549" w:rsidRPr="00740E7A" w:rsidRDefault="009F3549" w:rsidP="00CD57AE">
            <w:pPr>
              <w:rPr>
                <w:rFonts w:cs="Arial"/>
                <w:b/>
                <w:bCs/>
                <w:color w:val="003366"/>
                <w:sz w:val="18"/>
                <w:szCs w:val="18"/>
                <w:lang w:eastAsia="en-GB"/>
              </w:rPr>
            </w:pPr>
            <w:r>
              <w:rPr>
                <w:rFonts w:cs="Arial"/>
                <w:b/>
                <w:bCs/>
                <w:color w:val="003366"/>
                <w:sz w:val="18"/>
                <w:szCs w:val="18"/>
                <w:lang w:eastAsia="en-GB"/>
              </w:rPr>
              <w:t>Present value of £4.2 billion m</w:t>
            </w:r>
            <w:r w:rsidRPr="00740E7A">
              <w:rPr>
                <w:rFonts w:cs="Arial"/>
                <w:b/>
                <w:bCs/>
                <w:color w:val="003366"/>
                <w:sz w:val="18"/>
                <w:szCs w:val="18"/>
                <w:lang w:eastAsia="en-GB"/>
              </w:rPr>
              <w:t xml:space="preserve">inimum funding requirement </w:t>
            </w:r>
            <w:r>
              <w:rPr>
                <w:rFonts w:cs="Arial"/>
                <w:b/>
                <w:bCs/>
                <w:color w:val="003366"/>
                <w:sz w:val="18"/>
                <w:szCs w:val="18"/>
                <w:lang w:eastAsia="en-GB"/>
              </w:rPr>
              <w:t xml:space="preserve"> re Main Scheme actuarial deficit as at 31 March 2013</w:t>
            </w:r>
          </w:p>
        </w:tc>
        <w:tc>
          <w:tcPr>
            <w:tcW w:w="1161" w:type="dxa"/>
            <w:gridSpan w:val="2"/>
            <w:tcBorders>
              <w:top w:val="single" w:sz="4" w:space="0" w:color="003366"/>
              <w:left w:val="nil"/>
              <w:right w:val="nil"/>
            </w:tcBorders>
          </w:tcPr>
          <w:p w:rsidR="009F3549" w:rsidRPr="00740E7A" w:rsidRDefault="009F3549" w:rsidP="00EF07B3">
            <w:pPr>
              <w:jc w:val="right"/>
              <w:rPr>
                <w:rFonts w:cs="Arial"/>
                <w:b/>
                <w:bCs/>
                <w:sz w:val="18"/>
                <w:szCs w:val="18"/>
                <w:lang w:eastAsia="en-GB"/>
              </w:rPr>
            </w:pPr>
          </w:p>
        </w:tc>
        <w:tc>
          <w:tcPr>
            <w:tcW w:w="1161" w:type="dxa"/>
            <w:gridSpan w:val="2"/>
            <w:tcBorders>
              <w:top w:val="nil"/>
              <w:left w:val="nil"/>
              <w:bottom w:val="nil"/>
            </w:tcBorders>
            <w:noWrap/>
            <w:vAlign w:val="center"/>
          </w:tcPr>
          <w:p w:rsidR="009F3549" w:rsidRPr="00740E7A" w:rsidRDefault="009F3549" w:rsidP="00EF07B3">
            <w:pPr>
              <w:jc w:val="right"/>
              <w:rPr>
                <w:rFonts w:cs="Arial"/>
                <w:b/>
                <w:bCs/>
                <w:sz w:val="18"/>
                <w:szCs w:val="18"/>
                <w:lang w:eastAsia="en-GB"/>
              </w:rPr>
            </w:pPr>
            <w:r w:rsidRPr="00740E7A">
              <w:rPr>
                <w:rFonts w:cs="Arial"/>
                <w:b/>
                <w:bCs/>
                <w:sz w:val="18"/>
                <w:szCs w:val="18"/>
                <w:lang w:eastAsia="en-GB"/>
              </w:rPr>
              <w:t>(3,700)</w:t>
            </w:r>
          </w:p>
        </w:tc>
      </w:tr>
      <w:tr w:rsidR="009F3549" w:rsidRPr="0053648C" w:rsidTr="001D591B">
        <w:trPr>
          <w:trHeight w:val="284"/>
        </w:trPr>
        <w:tc>
          <w:tcPr>
            <w:tcW w:w="6668" w:type="dxa"/>
            <w:gridSpan w:val="2"/>
            <w:tcBorders>
              <w:top w:val="nil"/>
              <w:left w:val="nil"/>
              <w:right w:val="nil"/>
            </w:tcBorders>
            <w:vAlign w:val="center"/>
          </w:tcPr>
          <w:p w:rsidR="009F3549" w:rsidRPr="00740E7A" w:rsidRDefault="009F3549" w:rsidP="001D591B">
            <w:pPr>
              <w:ind w:left="567"/>
              <w:rPr>
                <w:rFonts w:cs="Arial"/>
                <w:sz w:val="18"/>
                <w:szCs w:val="18"/>
                <w:lang w:eastAsia="en-GB"/>
              </w:rPr>
            </w:pPr>
            <w:r>
              <w:rPr>
                <w:rFonts w:cs="Arial"/>
                <w:sz w:val="18"/>
                <w:szCs w:val="18"/>
                <w:lang w:eastAsia="en-GB"/>
              </w:rPr>
              <w:t>Less: Asset ceiling – available r</w:t>
            </w:r>
            <w:r w:rsidRPr="00740E7A">
              <w:rPr>
                <w:rFonts w:cs="Arial"/>
                <w:sz w:val="18"/>
                <w:szCs w:val="18"/>
                <w:lang w:eastAsia="en-GB"/>
              </w:rPr>
              <w:t>educ</w:t>
            </w:r>
            <w:r>
              <w:rPr>
                <w:rFonts w:cs="Arial"/>
                <w:sz w:val="18"/>
                <w:szCs w:val="18"/>
                <w:lang w:eastAsia="en-GB"/>
              </w:rPr>
              <w:t>tion in future contributions</w:t>
            </w:r>
          </w:p>
        </w:tc>
        <w:tc>
          <w:tcPr>
            <w:tcW w:w="1161" w:type="dxa"/>
            <w:gridSpan w:val="2"/>
            <w:tcBorders>
              <w:top w:val="nil"/>
              <w:left w:val="nil"/>
              <w:right w:val="nil"/>
            </w:tcBorders>
          </w:tcPr>
          <w:p w:rsidR="009F3549" w:rsidRPr="00740E7A" w:rsidRDefault="009F3549" w:rsidP="00EF07B3">
            <w:pPr>
              <w:jc w:val="right"/>
              <w:rPr>
                <w:rFonts w:cs="Arial"/>
                <w:sz w:val="18"/>
                <w:szCs w:val="18"/>
                <w:lang w:eastAsia="en-GB"/>
              </w:rPr>
            </w:pPr>
          </w:p>
        </w:tc>
        <w:tc>
          <w:tcPr>
            <w:tcW w:w="1161" w:type="dxa"/>
            <w:gridSpan w:val="2"/>
            <w:tcBorders>
              <w:top w:val="nil"/>
              <w:left w:val="nil"/>
              <w:bottom w:val="single" w:sz="4" w:space="0" w:color="003366"/>
            </w:tcBorders>
            <w:noWrap/>
            <w:vAlign w:val="center"/>
          </w:tcPr>
          <w:p w:rsidR="009F3549" w:rsidRPr="00740E7A" w:rsidRDefault="009F3549" w:rsidP="00EF07B3">
            <w:pPr>
              <w:jc w:val="right"/>
              <w:rPr>
                <w:rFonts w:cs="Arial"/>
                <w:sz w:val="18"/>
                <w:szCs w:val="18"/>
                <w:lang w:eastAsia="en-GB"/>
              </w:rPr>
            </w:pPr>
            <w:r>
              <w:rPr>
                <w:rFonts w:cs="Arial"/>
                <w:sz w:val="18"/>
                <w:szCs w:val="18"/>
                <w:lang w:eastAsia="en-GB"/>
              </w:rPr>
              <w:t>4</w:t>
            </w:r>
            <w:r w:rsidRPr="00740E7A">
              <w:rPr>
                <w:rFonts w:cs="Arial"/>
                <w:sz w:val="18"/>
                <w:szCs w:val="18"/>
                <w:lang w:eastAsia="en-GB"/>
              </w:rPr>
              <w:t xml:space="preserve">00 </w:t>
            </w:r>
          </w:p>
        </w:tc>
      </w:tr>
      <w:tr w:rsidR="009F3549" w:rsidRPr="0053648C" w:rsidTr="001D591B">
        <w:trPr>
          <w:trHeight w:val="340"/>
        </w:trPr>
        <w:tc>
          <w:tcPr>
            <w:tcW w:w="6668" w:type="dxa"/>
            <w:gridSpan w:val="2"/>
            <w:tcBorders>
              <w:left w:val="nil"/>
              <w:right w:val="nil"/>
            </w:tcBorders>
            <w:vAlign w:val="center"/>
          </w:tcPr>
          <w:p w:rsidR="009F3549" w:rsidRPr="00740E7A" w:rsidRDefault="009F3549" w:rsidP="00EF07B3">
            <w:pPr>
              <w:rPr>
                <w:rFonts w:cs="Arial"/>
                <w:b/>
                <w:bCs/>
                <w:color w:val="003366"/>
                <w:sz w:val="18"/>
                <w:szCs w:val="18"/>
                <w:lang w:eastAsia="en-GB"/>
              </w:rPr>
            </w:pPr>
            <w:r>
              <w:rPr>
                <w:rFonts w:cs="Arial"/>
                <w:b/>
                <w:bCs/>
                <w:color w:val="003366"/>
                <w:sz w:val="18"/>
                <w:szCs w:val="18"/>
                <w:lang w:eastAsia="en-GB"/>
              </w:rPr>
              <w:t>Estimated liability on Main Scheme at 31 December 2015, after change in accounting policy</w:t>
            </w:r>
          </w:p>
        </w:tc>
        <w:tc>
          <w:tcPr>
            <w:tcW w:w="1161" w:type="dxa"/>
            <w:gridSpan w:val="2"/>
            <w:tcBorders>
              <w:left w:val="nil"/>
              <w:right w:val="nil"/>
            </w:tcBorders>
          </w:tcPr>
          <w:p w:rsidR="009F3549" w:rsidRPr="00740E7A" w:rsidRDefault="009F3549" w:rsidP="00EF07B3">
            <w:pPr>
              <w:jc w:val="right"/>
              <w:rPr>
                <w:rFonts w:cs="Arial"/>
                <w:b/>
                <w:bCs/>
                <w:sz w:val="18"/>
                <w:szCs w:val="18"/>
                <w:lang w:eastAsia="en-GB"/>
              </w:rPr>
            </w:pPr>
          </w:p>
        </w:tc>
        <w:tc>
          <w:tcPr>
            <w:tcW w:w="1161" w:type="dxa"/>
            <w:gridSpan w:val="2"/>
            <w:tcBorders>
              <w:top w:val="single" w:sz="4" w:space="0" w:color="003366"/>
              <w:left w:val="nil"/>
            </w:tcBorders>
            <w:noWrap/>
            <w:vAlign w:val="center"/>
          </w:tcPr>
          <w:p w:rsidR="009F3549" w:rsidRPr="00740E7A" w:rsidRDefault="009F3549" w:rsidP="00E365BB">
            <w:pPr>
              <w:jc w:val="right"/>
              <w:rPr>
                <w:rFonts w:cs="Arial"/>
                <w:b/>
                <w:bCs/>
                <w:sz w:val="18"/>
                <w:szCs w:val="18"/>
                <w:lang w:eastAsia="en-GB"/>
              </w:rPr>
            </w:pPr>
            <w:r>
              <w:rPr>
                <w:rFonts w:cs="Arial"/>
                <w:b/>
                <w:bCs/>
                <w:sz w:val="18"/>
                <w:szCs w:val="18"/>
                <w:lang w:eastAsia="en-GB"/>
              </w:rPr>
              <w:t>(3,300)</w:t>
            </w:r>
          </w:p>
        </w:tc>
      </w:tr>
      <w:tr w:rsidR="009F3549" w:rsidRPr="0053648C" w:rsidTr="001D591B">
        <w:trPr>
          <w:trHeight w:val="284"/>
        </w:trPr>
        <w:tc>
          <w:tcPr>
            <w:tcW w:w="6668" w:type="dxa"/>
            <w:gridSpan w:val="2"/>
            <w:tcBorders>
              <w:left w:val="nil"/>
              <w:right w:val="nil"/>
            </w:tcBorders>
            <w:vAlign w:val="center"/>
          </w:tcPr>
          <w:p w:rsidR="009F3549" w:rsidRPr="00740E7A" w:rsidRDefault="009F3549" w:rsidP="001D591B">
            <w:pPr>
              <w:ind w:left="567"/>
              <w:rPr>
                <w:rFonts w:cs="Arial"/>
                <w:sz w:val="18"/>
                <w:szCs w:val="18"/>
                <w:lang w:eastAsia="en-GB"/>
              </w:rPr>
            </w:pPr>
            <w:r>
              <w:rPr>
                <w:rFonts w:cs="Arial"/>
                <w:sz w:val="18"/>
                <w:szCs w:val="18"/>
                <w:lang w:eastAsia="en-GB"/>
              </w:rPr>
              <w:t xml:space="preserve">Less: Estimated Main scheme IAS 19 deficit </w:t>
            </w:r>
            <w:r w:rsidRPr="00984EFC">
              <w:rPr>
                <w:rFonts w:cs="Arial"/>
                <w:sz w:val="18"/>
                <w:szCs w:val="18"/>
                <w:lang w:eastAsia="en-GB"/>
              </w:rPr>
              <w:t>at 31 December 2015</w:t>
            </w:r>
          </w:p>
        </w:tc>
        <w:tc>
          <w:tcPr>
            <w:tcW w:w="1161" w:type="dxa"/>
            <w:gridSpan w:val="2"/>
            <w:tcBorders>
              <w:left w:val="nil"/>
              <w:right w:val="nil"/>
            </w:tcBorders>
          </w:tcPr>
          <w:p w:rsidR="009F3549" w:rsidRPr="00740E7A" w:rsidRDefault="009F3549" w:rsidP="007B61E4">
            <w:pPr>
              <w:jc w:val="right"/>
              <w:rPr>
                <w:rFonts w:cs="Arial"/>
                <w:sz w:val="18"/>
                <w:szCs w:val="18"/>
                <w:lang w:eastAsia="en-GB"/>
              </w:rPr>
            </w:pPr>
          </w:p>
        </w:tc>
        <w:tc>
          <w:tcPr>
            <w:tcW w:w="1161" w:type="dxa"/>
            <w:gridSpan w:val="2"/>
            <w:tcBorders>
              <w:left w:val="nil"/>
              <w:bottom w:val="single" w:sz="4" w:space="0" w:color="003366"/>
            </w:tcBorders>
            <w:noWrap/>
            <w:vAlign w:val="center"/>
          </w:tcPr>
          <w:p w:rsidR="009F3549" w:rsidRPr="00740E7A" w:rsidRDefault="009F3549" w:rsidP="00984EFC">
            <w:pPr>
              <w:jc w:val="right"/>
              <w:rPr>
                <w:rFonts w:cs="Arial"/>
                <w:sz w:val="18"/>
                <w:szCs w:val="18"/>
                <w:lang w:eastAsia="en-GB"/>
              </w:rPr>
            </w:pPr>
            <w:r>
              <w:rPr>
                <w:rFonts w:cs="Arial"/>
                <w:sz w:val="18"/>
                <w:szCs w:val="18"/>
                <w:lang w:eastAsia="en-GB"/>
              </w:rPr>
              <w:t>300</w:t>
            </w:r>
          </w:p>
        </w:tc>
      </w:tr>
      <w:tr w:rsidR="009F3549" w:rsidRPr="0053648C" w:rsidTr="001D591B">
        <w:trPr>
          <w:trHeight w:val="324"/>
        </w:trPr>
        <w:tc>
          <w:tcPr>
            <w:tcW w:w="6668" w:type="dxa"/>
            <w:gridSpan w:val="2"/>
            <w:tcBorders>
              <w:left w:val="nil"/>
              <w:right w:val="nil"/>
            </w:tcBorders>
            <w:vAlign w:val="center"/>
          </w:tcPr>
          <w:p w:rsidR="009F3549" w:rsidRDefault="009F3549" w:rsidP="00EF07B3">
            <w:pPr>
              <w:rPr>
                <w:rFonts w:cs="Arial"/>
                <w:sz w:val="18"/>
                <w:szCs w:val="18"/>
                <w:lang w:eastAsia="en-GB"/>
              </w:rPr>
            </w:pPr>
            <w:r>
              <w:rPr>
                <w:rFonts w:cs="Arial"/>
                <w:b/>
                <w:bCs/>
                <w:color w:val="003366"/>
                <w:sz w:val="18"/>
                <w:szCs w:val="18"/>
                <w:lang w:eastAsia="en-GB"/>
              </w:rPr>
              <w:t>Adjustment to Main Scheme pension liability from change in accounting policy, pre tax</w:t>
            </w:r>
          </w:p>
        </w:tc>
        <w:tc>
          <w:tcPr>
            <w:tcW w:w="1161" w:type="dxa"/>
            <w:gridSpan w:val="2"/>
            <w:tcBorders>
              <w:left w:val="nil"/>
              <w:right w:val="nil"/>
            </w:tcBorders>
          </w:tcPr>
          <w:p w:rsidR="009F3549" w:rsidRPr="00740E7A" w:rsidRDefault="009F3549" w:rsidP="00984EFC">
            <w:pPr>
              <w:rPr>
                <w:rFonts w:cs="Arial"/>
                <w:sz w:val="18"/>
                <w:szCs w:val="18"/>
                <w:lang w:eastAsia="en-GB"/>
              </w:rPr>
            </w:pPr>
          </w:p>
        </w:tc>
        <w:tc>
          <w:tcPr>
            <w:tcW w:w="1161" w:type="dxa"/>
            <w:gridSpan w:val="2"/>
            <w:tcBorders>
              <w:top w:val="single" w:sz="4" w:space="0" w:color="003366"/>
              <w:left w:val="nil"/>
            </w:tcBorders>
            <w:noWrap/>
          </w:tcPr>
          <w:p w:rsidR="009F3549" w:rsidRPr="00740E7A" w:rsidRDefault="009F3549" w:rsidP="00E365BB">
            <w:pPr>
              <w:jc w:val="right"/>
              <w:rPr>
                <w:rFonts w:cs="Arial"/>
                <w:sz w:val="18"/>
                <w:szCs w:val="18"/>
                <w:lang w:eastAsia="en-GB"/>
              </w:rPr>
            </w:pPr>
            <w:r>
              <w:rPr>
                <w:rFonts w:cs="Arial"/>
                <w:sz w:val="18"/>
                <w:szCs w:val="18"/>
                <w:lang w:eastAsia="en-GB"/>
              </w:rPr>
              <w:t>(3,000)</w:t>
            </w:r>
          </w:p>
        </w:tc>
      </w:tr>
      <w:tr w:rsidR="009F3549" w:rsidRPr="0053648C" w:rsidTr="00915584">
        <w:trPr>
          <w:trHeight w:val="324"/>
        </w:trPr>
        <w:tc>
          <w:tcPr>
            <w:tcW w:w="6668" w:type="dxa"/>
            <w:gridSpan w:val="2"/>
            <w:tcBorders>
              <w:top w:val="nil"/>
              <w:left w:val="nil"/>
              <w:right w:val="nil"/>
            </w:tcBorders>
            <w:vAlign w:val="center"/>
          </w:tcPr>
          <w:p w:rsidR="009F3549" w:rsidRPr="00740E7A" w:rsidRDefault="009F3549" w:rsidP="001D591B">
            <w:pPr>
              <w:ind w:left="567"/>
              <w:rPr>
                <w:rFonts w:cs="Arial"/>
                <w:sz w:val="18"/>
                <w:szCs w:val="18"/>
                <w:lang w:eastAsia="en-GB"/>
              </w:rPr>
            </w:pPr>
            <w:r>
              <w:rPr>
                <w:rFonts w:cs="Arial"/>
                <w:sz w:val="18"/>
                <w:szCs w:val="18"/>
                <w:lang w:eastAsia="en-GB"/>
              </w:rPr>
              <w:t>Tax relief</w:t>
            </w:r>
          </w:p>
        </w:tc>
        <w:tc>
          <w:tcPr>
            <w:tcW w:w="1161" w:type="dxa"/>
            <w:gridSpan w:val="2"/>
            <w:tcBorders>
              <w:top w:val="nil"/>
              <w:left w:val="nil"/>
              <w:right w:val="nil"/>
            </w:tcBorders>
          </w:tcPr>
          <w:p w:rsidR="009F3549" w:rsidRDefault="009F3549" w:rsidP="007555B3">
            <w:pPr>
              <w:jc w:val="right"/>
              <w:rPr>
                <w:rFonts w:cs="Arial"/>
                <w:sz w:val="18"/>
                <w:szCs w:val="18"/>
                <w:lang w:eastAsia="en-GB"/>
              </w:rPr>
            </w:pPr>
          </w:p>
        </w:tc>
        <w:tc>
          <w:tcPr>
            <w:tcW w:w="1161" w:type="dxa"/>
            <w:gridSpan w:val="2"/>
            <w:tcBorders>
              <w:top w:val="nil"/>
              <w:left w:val="nil"/>
              <w:bottom w:val="single" w:sz="4" w:space="0" w:color="003366"/>
            </w:tcBorders>
            <w:noWrap/>
            <w:vAlign w:val="center"/>
          </w:tcPr>
          <w:p w:rsidR="009F3549" w:rsidRPr="00740E7A" w:rsidRDefault="009F3549" w:rsidP="007555B3">
            <w:pPr>
              <w:jc w:val="right"/>
              <w:rPr>
                <w:rFonts w:cs="Arial"/>
                <w:sz w:val="18"/>
                <w:szCs w:val="18"/>
                <w:lang w:eastAsia="en-GB"/>
              </w:rPr>
            </w:pPr>
            <w:r>
              <w:rPr>
                <w:rFonts w:cs="Arial"/>
                <w:sz w:val="18"/>
                <w:szCs w:val="18"/>
                <w:lang w:eastAsia="en-GB"/>
              </w:rPr>
              <w:t>800</w:t>
            </w:r>
          </w:p>
        </w:tc>
      </w:tr>
      <w:tr w:rsidR="009F3549" w:rsidRPr="00EF0FC8" w:rsidTr="00915584">
        <w:trPr>
          <w:trHeight w:val="80"/>
        </w:trPr>
        <w:tc>
          <w:tcPr>
            <w:tcW w:w="6668" w:type="dxa"/>
            <w:gridSpan w:val="2"/>
            <w:tcBorders>
              <w:left w:val="nil"/>
              <w:right w:val="nil"/>
            </w:tcBorders>
            <w:vAlign w:val="center"/>
          </w:tcPr>
          <w:p w:rsidR="009F3549" w:rsidRPr="009E7289" w:rsidRDefault="009F3549" w:rsidP="00FD5DD0">
            <w:pPr>
              <w:rPr>
                <w:rFonts w:cs="Arial"/>
                <w:b/>
                <w:bCs/>
                <w:color w:val="003366"/>
                <w:sz w:val="18"/>
                <w:szCs w:val="18"/>
                <w:lang w:eastAsia="en-GB"/>
              </w:rPr>
            </w:pPr>
            <w:r w:rsidRPr="009E7289">
              <w:rPr>
                <w:rFonts w:cs="Arial"/>
                <w:b/>
                <w:bCs/>
                <w:color w:val="003366"/>
                <w:sz w:val="18"/>
                <w:szCs w:val="18"/>
                <w:lang w:eastAsia="en-GB"/>
              </w:rPr>
              <w:t xml:space="preserve">Impact on </w:t>
            </w:r>
            <w:r>
              <w:rPr>
                <w:rFonts w:cs="Arial"/>
                <w:b/>
                <w:bCs/>
                <w:color w:val="003366"/>
                <w:sz w:val="18"/>
                <w:szCs w:val="18"/>
                <w:lang w:eastAsia="en-GB"/>
              </w:rPr>
              <w:t xml:space="preserve">TNAV </w:t>
            </w:r>
            <w:r w:rsidRPr="009E7289">
              <w:rPr>
                <w:rFonts w:cs="Arial"/>
                <w:b/>
                <w:bCs/>
                <w:color w:val="003366"/>
                <w:sz w:val="18"/>
                <w:szCs w:val="18"/>
                <w:lang w:eastAsia="en-GB"/>
              </w:rPr>
              <w:t>of accounting policy change</w:t>
            </w:r>
          </w:p>
        </w:tc>
        <w:tc>
          <w:tcPr>
            <w:tcW w:w="1161" w:type="dxa"/>
            <w:gridSpan w:val="2"/>
            <w:tcBorders>
              <w:left w:val="nil"/>
              <w:right w:val="nil"/>
            </w:tcBorders>
          </w:tcPr>
          <w:p w:rsidR="009F3549" w:rsidRPr="009E7289" w:rsidRDefault="009F3549" w:rsidP="009E7289">
            <w:pPr>
              <w:rPr>
                <w:rFonts w:cs="Arial"/>
                <w:b/>
                <w:bCs/>
                <w:color w:val="003366"/>
                <w:sz w:val="18"/>
                <w:szCs w:val="18"/>
                <w:lang w:eastAsia="en-GB"/>
              </w:rPr>
            </w:pPr>
          </w:p>
        </w:tc>
        <w:tc>
          <w:tcPr>
            <w:tcW w:w="1161" w:type="dxa"/>
            <w:gridSpan w:val="2"/>
            <w:tcBorders>
              <w:top w:val="single" w:sz="4" w:space="0" w:color="003366"/>
              <w:left w:val="nil"/>
            </w:tcBorders>
            <w:noWrap/>
            <w:vAlign w:val="center"/>
          </w:tcPr>
          <w:p w:rsidR="009F3549" w:rsidRPr="009E7289" w:rsidRDefault="009F3549" w:rsidP="00E365BB">
            <w:pPr>
              <w:jc w:val="right"/>
              <w:rPr>
                <w:rFonts w:cs="Arial"/>
                <w:b/>
                <w:bCs/>
                <w:color w:val="003366"/>
                <w:sz w:val="18"/>
                <w:szCs w:val="18"/>
                <w:lang w:eastAsia="en-GB"/>
              </w:rPr>
            </w:pPr>
            <w:r>
              <w:rPr>
                <w:rFonts w:cs="Arial"/>
                <w:b/>
                <w:bCs/>
                <w:color w:val="003366"/>
                <w:sz w:val="18"/>
                <w:szCs w:val="18"/>
                <w:lang w:eastAsia="en-GB"/>
              </w:rPr>
              <w:t>(</w:t>
            </w:r>
            <w:r w:rsidRPr="009E7289">
              <w:rPr>
                <w:rFonts w:cs="Arial"/>
                <w:b/>
                <w:bCs/>
                <w:color w:val="003366"/>
                <w:sz w:val="18"/>
                <w:szCs w:val="18"/>
                <w:lang w:eastAsia="en-GB"/>
              </w:rPr>
              <w:t>2,</w:t>
            </w:r>
            <w:r>
              <w:rPr>
                <w:rFonts w:cs="Arial"/>
                <w:b/>
                <w:bCs/>
                <w:color w:val="003366"/>
                <w:sz w:val="18"/>
                <w:szCs w:val="18"/>
                <w:lang w:eastAsia="en-GB"/>
              </w:rPr>
              <w:t>2</w:t>
            </w:r>
            <w:r w:rsidRPr="009E7289">
              <w:rPr>
                <w:rFonts w:cs="Arial"/>
                <w:b/>
                <w:bCs/>
                <w:color w:val="003366"/>
                <w:sz w:val="18"/>
                <w:szCs w:val="18"/>
                <w:lang w:eastAsia="en-GB"/>
              </w:rPr>
              <w:t>00</w:t>
            </w:r>
            <w:r>
              <w:rPr>
                <w:rFonts w:cs="Arial"/>
                <w:b/>
                <w:bCs/>
                <w:color w:val="003366"/>
                <w:sz w:val="18"/>
                <w:szCs w:val="18"/>
                <w:lang w:eastAsia="en-GB"/>
              </w:rPr>
              <w:t>)</w:t>
            </w:r>
          </w:p>
        </w:tc>
      </w:tr>
      <w:tr w:rsidR="009F3549" w:rsidRPr="0053648C" w:rsidTr="005D0A64">
        <w:trPr>
          <w:trHeight w:val="80"/>
        </w:trPr>
        <w:tc>
          <w:tcPr>
            <w:tcW w:w="6668" w:type="dxa"/>
            <w:gridSpan w:val="2"/>
            <w:tcBorders>
              <w:left w:val="nil"/>
              <w:right w:val="nil"/>
            </w:tcBorders>
            <w:vAlign w:val="center"/>
          </w:tcPr>
          <w:p w:rsidR="009F3549" w:rsidRDefault="009F3549" w:rsidP="00EF0FC8">
            <w:pPr>
              <w:rPr>
                <w:rFonts w:cs="Arial"/>
                <w:b/>
                <w:color w:val="0070C0"/>
                <w:sz w:val="18"/>
                <w:szCs w:val="18"/>
                <w:lang w:eastAsia="en-GB"/>
              </w:rPr>
            </w:pPr>
          </w:p>
        </w:tc>
        <w:tc>
          <w:tcPr>
            <w:tcW w:w="1161" w:type="dxa"/>
            <w:gridSpan w:val="2"/>
            <w:tcBorders>
              <w:left w:val="nil"/>
              <w:right w:val="nil"/>
            </w:tcBorders>
          </w:tcPr>
          <w:p w:rsidR="009F3549" w:rsidRPr="00740E7A" w:rsidRDefault="009F3549" w:rsidP="007555B3">
            <w:pPr>
              <w:jc w:val="right"/>
              <w:rPr>
                <w:rFonts w:cs="Arial"/>
                <w:sz w:val="18"/>
                <w:szCs w:val="18"/>
                <w:lang w:eastAsia="en-GB"/>
              </w:rPr>
            </w:pPr>
          </w:p>
        </w:tc>
        <w:tc>
          <w:tcPr>
            <w:tcW w:w="1161" w:type="dxa"/>
            <w:gridSpan w:val="2"/>
            <w:tcBorders>
              <w:top w:val="single" w:sz="4" w:space="0" w:color="003366"/>
              <w:left w:val="nil"/>
            </w:tcBorders>
            <w:noWrap/>
            <w:vAlign w:val="center"/>
          </w:tcPr>
          <w:p w:rsidR="009F3549" w:rsidRDefault="009F3549" w:rsidP="007555B3">
            <w:pPr>
              <w:jc w:val="right"/>
              <w:rPr>
                <w:rFonts w:cs="Arial"/>
                <w:b/>
                <w:sz w:val="18"/>
                <w:szCs w:val="18"/>
                <w:lang w:eastAsia="en-GB"/>
              </w:rPr>
            </w:pPr>
          </w:p>
        </w:tc>
      </w:tr>
      <w:tr w:rsidR="009F3549" w:rsidRPr="0053648C" w:rsidTr="005D0A64">
        <w:trPr>
          <w:trHeight w:val="80"/>
        </w:trPr>
        <w:tc>
          <w:tcPr>
            <w:tcW w:w="6668" w:type="dxa"/>
            <w:gridSpan w:val="2"/>
            <w:tcBorders>
              <w:left w:val="nil"/>
              <w:right w:val="nil"/>
            </w:tcBorders>
            <w:vAlign w:val="center"/>
          </w:tcPr>
          <w:p w:rsidR="009F3549" w:rsidRPr="009E7289" w:rsidRDefault="009F3549" w:rsidP="00EF0FC8">
            <w:pPr>
              <w:rPr>
                <w:rFonts w:cs="Arial"/>
                <w:b/>
                <w:bCs/>
                <w:color w:val="003366"/>
                <w:sz w:val="18"/>
                <w:szCs w:val="18"/>
                <w:lang w:eastAsia="en-GB"/>
              </w:rPr>
            </w:pPr>
            <w:r w:rsidRPr="009E7289">
              <w:rPr>
                <w:rFonts w:cs="Arial"/>
                <w:b/>
                <w:bCs/>
                <w:color w:val="003366"/>
                <w:sz w:val="18"/>
                <w:szCs w:val="18"/>
                <w:lang w:eastAsia="en-GB"/>
              </w:rPr>
              <w:t>Estimated impact of movement in Main Scheme IAS 19 valuation during Q4 2015</w:t>
            </w:r>
          </w:p>
        </w:tc>
        <w:tc>
          <w:tcPr>
            <w:tcW w:w="1161" w:type="dxa"/>
            <w:gridSpan w:val="2"/>
            <w:tcBorders>
              <w:left w:val="nil"/>
              <w:right w:val="nil"/>
            </w:tcBorders>
          </w:tcPr>
          <w:p w:rsidR="009F3549" w:rsidRPr="00740E7A" w:rsidRDefault="009F3549" w:rsidP="007555B3">
            <w:pPr>
              <w:jc w:val="right"/>
              <w:rPr>
                <w:rFonts w:cs="Arial"/>
                <w:sz w:val="18"/>
                <w:szCs w:val="18"/>
                <w:lang w:eastAsia="en-GB"/>
              </w:rPr>
            </w:pPr>
          </w:p>
        </w:tc>
        <w:tc>
          <w:tcPr>
            <w:tcW w:w="1161" w:type="dxa"/>
            <w:gridSpan w:val="2"/>
            <w:tcBorders>
              <w:left w:val="nil"/>
            </w:tcBorders>
            <w:noWrap/>
            <w:vAlign w:val="center"/>
          </w:tcPr>
          <w:p w:rsidR="009F3549" w:rsidRDefault="009F3549" w:rsidP="007555B3">
            <w:pPr>
              <w:jc w:val="right"/>
              <w:rPr>
                <w:rFonts w:cs="Arial"/>
                <w:b/>
                <w:sz w:val="18"/>
                <w:szCs w:val="18"/>
                <w:lang w:eastAsia="en-GB"/>
              </w:rPr>
            </w:pPr>
          </w:p>
        </w:tc>
      </w:tr>
      <w:tr w:rsidR="009F3549" w:rsidRPr="0053648C" w:rsidTr="001D591B">
        <w:trPr>
          <w:gridBefore w:val="1"/>
          <w:wBefore w:w="474" w:type="dxa"/>
          <w:trHeight w:val="324"/>
        </w:trPr>
        <w:tc>
          <w:tcPr>
            <w:tcW w:w="6668" w:type="dxa"/>
            <w:gridSpan w:val="2"/>
            <w:tcBorders>
              <w:left w:val="nil"/>
              <w:bottom w:val="nil"/>
              <w:right w:val="nil"/>
            </w:tcBorders>
            <w:vAlign w:val="center"/>
          </w:tcPr>
          <w:p w:rsidR="009F3549" w:rsidRPr="00740E7A" w:rsidRDefault="009F3549" w:rsidP="00EF07B3">
            <w:pPr>
              <w:rPr>
                <w:rFonts w:cs="Arial"/>
                <w:sz w:val="18"/>
                <w:szCs w:val="18"/>
                <w:lang w:eastAsia="en-GB"/>
              </w:rPr>
            </w:pPr>
            <w:r>
              <w:rPr>
                <w:rFonts w:cs="Arial"/>
                <w:sz w:val="18"/>
                <w:szCs w:val="18"/>
                <w:lang w:eastAsia="en-GB"/>
              </w:rPr>
              <w:t>Reduction in scheme deficit since 30 September 2015</w:t>
            </w:r>
          </w:p>
        </w:tc>
        <w:tc>
          <w:tcPr>
            <w:tcW w:w="1161" w:type="dxa"/>
            <w:gridSpan w:val="2"/>
            <w:tcBorders>
              <w:left w:val="nil"/>
              <w:bottom w:val="nil"/>
              <w:right w:val="nil"/>
            </w:tcBorders>
            <w:vAlign w:val="center"/>
          </w:tcPr>
          <w:p w:rsidR="009F3549" w:rsidRPr="00740E7A" w:rsidRDefault="009F3549" w:rsidP="00984EFC">
            <w:pPr>
              <w:jc w:val="right"/>
              <w:rPr>
                <w:rFonts w:cs="Arial"/>
                <w:sz w:val="18"/>
                <w:szCs w:val="18"/>
                <w:lang w:eastAsia="en-GB"/>
              </w:rPr>
            </w:pPr>
            <w:r>
              <w:rPr>
                <w:rFonts w:cs="Arial"/>
                <w:sz w:val="18"/>
                <w:szCs w:val="18"/>
                <w:lang w:eastAsia="en-GB"/>
              </w:rPr>
              <w:t>800</w:t>
            </w:r>
          </w:p>
        </w:tc>
        <w:tc>
          <w:tcPr>
            <w:tcW w:w="687" w:type="dxa"/>
            <w:tcBorders>
              <w:left w:val="nil"/>
              <w:bottom w:val="nil"/>
            </w:tcBorders>
            <w:noWrap/>
            <w:vAlign w:val="center"/>
          </w:tcPr>
          <w:p w:rsidR="009F3549" w:rsidRPr="00740E7A" w:rsidRDefault="009F3549" w:rsidP="007555B3">
            <w:pPr>
              <w:jc w:val="right"/>
              <w:rPr>
                <w:rFonts w:cs="Arial"/>
                <w:sz w:val="18"/>
                <w:szCs w:val="18"/>
                <w:lang w:eastAsia="en-GB"/>
              </w:rPr>
            </w:pPr>
          </w:p>
        </w:tc>
      </w:tr>
      <w:tr w:rsidR="009F3549" w:rsidRPr="0053648C" w:rsidTr="001D591B">
        <w:trPr>
          <w:gridBefore w:val="1"/>
          <w:wBefore w:w="474" w:type="dxa"/>
          <w:trHeight w:val="324"/>
        </w:trPr>
        <w:tc>
          <w:tcPr>
            <w:tcW w:w="6668" w:type="dxa"/>
            <w:gridSpan w:val="2"/>
            <w:tcBorders>
              <w:top w:val="nil"/>
              <w:left w:val="nil"/>
              <w:right w:val="nil"/>
            </w:tcBorders>
            <w:vAlign w:val="center"/>
          </w:tcPr>
          <w:p w:rsidR="009F3549" w:rsidRPr="00740E7A" w:rsidRDefault="009F3549" w:rsidP="00EF07B3">
            <w:pPr>
              <w:rPr>
                <w:rFonts w:cs="Arial"/>
                <w:sz w:val="18"/>
                <w:szCs w:val="18"/>
                <w:lang w:eastAsia="en-GB"/>
              </w:rPr>
            </w:pPr>
            <w:r>
              <w:rPr>
                <w:rFonts w:cs="Arial"/>
                <w:sz w:val="18"/>
                <w:szCs w:val="18"/>
                <w:lang w:eastAsia="en-GB"/>
              </w:rPr>
              <w:t>Tax charge</w:t>
            </w:r>
          </w:p>
        </w:tc>
        <w:tc>
          <w:tcPr>
            <w:tcW w:w="1161" w:type="dxa"/>
            <w:gridSpan w:val="2"/>
            <w:tcBorders>
              <w:top w:val="nil"/>
              <w:left w:val="nil"/>
              <w:bottom w:val="single" w:sz="4" w:space="0" w:color="003366"/>
              <w:right w:val="nil"/>
            </w:tcBorders>
            <w:vAlign w:val="center"/>
          </w:tcPr>
          <w:p w:rsidR="009F3549" w:rsidRDefault="009F3549" w:rsidP="000A46AE">
            <w:pPr>
              <w:jc w:val="right"/>
              <w:rPr>
                <w:rFonts w:cs="Arial"/>
                <w:sz w:val="18"/>
                <w:szCs w:val="18"/>
                <w:lang w:eastAsia="en-GB"/>
              </w:rPr>
            </w:pPr>
            <w:r>
              <w:rPr>
                <w:rFonts w:cs="Arial"/>
                <w:sz w:val="18"/>
                <w:szCs w:val="18"/>
                <w:lang w:eastAsia="en-GB"/>
              </w:rPr>
              <w:t>(200)</w:t>
            </w:r>
          </w:p>
        </w:tc>
        <w:tc>
          <w:tcPr>
            <w:tcW w:w="687" w:type="dxa"/>
            <w:tcBorders>
              <w:top w:val="nil"/>
              <w:left w:val="nil"/>
              <w:bottom w:val="single" w:sz="4" w:space="0" w:color="003366"/>
            </w:tcBorders>
            <w:noWrap/>
            <w:vAlign w:val="center"/>
          </w:tcPr>
          <w:p w:rsidR="009F3549" w:rsidRPr="00740E7A" w:rsidRDefault="009F3549" w:rsidP="007555B3">
            <w:pPr>
              <w:jc w:val="right"/>
              <w:rPr>
                <w:rFonts w:cs="Arial"/>
                <w:sz w:val="18"/>
                <w:szCs w:val="18"/>
                <w:lang w:eastAsia="en-GB"/>
              </w:rPr>
            </w:pPr>
          </w:p>
        </w:tc>
      </w:tr>
      <w:tr w:rsidR="009F3549" w:rsidRPr="0053648C" w:rsidTr="001D591B">
        <w:trPr>
          <w:trHeight w:val="306"/>
        </w:trPr>
        <w:tc>
          <w:tcPr>
            <w:tcW w:w="6668" w:type="dxa"/>
            <w:gridSpan w:val="2"/>
            <w:tcBorders>
              <w:top w:val="nil"/>
              <w:left w:val="nil"/>
              <w:bottom w:val="nil"/>
              <w:right w:val="nil"/>
            </w:tcBorders>
            <w:vAlign w:val="center"/>
          </w:tcPr>
          <w:p w:rsidR="009F3549" w:rsidRPr="00A25C85" w:rsidRDefault="009F3549" w:rsidP="00FD5DD0">
            <w:pPr>
              <w:rPr>
                <w:rFonts w:cs="Arial"/>
                <w:b/>
                <w:bCs/>
                <w:color w:val="003366"/>
                <w:sz w:val="18"/>
                <w:szCs w:val="18"/>
                <w:lang w:val="fr-FR" w:eastAsia="en-GB"/>
              </w:rPr>
            </w:pPr>
            <w:r>
              <w:rPr>
                <w:rFonts w:cs="Arial"/>
                <w:b/>
                <w:bCs/>
                <w:color w:val="003366"/>
                <w:sz w:val="18"/>
                <w:szCs w:val="18"/>
                <w:lang w:val="fr-FR" w:eastAsia="en-GB"/>
              </w:rPr>
              <w:t xml:space="preserve">Impact on TNAV of movement in IAS 19 valuation </w:t>
            </w:r>
          </w:p>
        </w:tc>
        <w:tc>
          <w:tcPr>
            <w:tcW w:w="1161" w:type="dxa"/>
            <w:gridSpan w:val="2"/>
            <w:tcBorders>
              <w:top w:val="nil"/>
              <w:left w:val="nil"/>
              <w:bottom w:val="nil"/>
              <w:right w:val="nil"/>
            </w:tcBorders>
          </w:tcPr>
          <w:p w:rsidR="009F3549" w:rsidRPr="00A25C85" w:rsidRDefault="009F3549" w:rsidP="007555B3">
            <w:pPr>
              <w:jc w:val="right"/>
              <w:rPr>
                <w:rFonts w:cs="Arial"/>
                <w:b/>
                <w:bCs/>
                <w:sz w:val="18"/>
                <w:szCs w:val="18"/>
                <w:lang w:val="fr-FR" w:eastAsia="en-GB"/>
              </w:rPr>
            </w:pPr>
          </w:p>
        </w:tc>
        <w:tc>
          <w:tcPr>
            <w:tcW w:w="1161" w:type="dxa"/>
            <w:gridSpan w:val="2"/>
            <w:tcBorders>
              <w:top w:val="nil"/>
              <w:left w:val="nil"/>
              <w:bottom w:val="nil"/>
            </w:tcBorders>
            <w:noWrap/>
            <w:vAlign w:val="center"/>
          </w:tcPr>
          <w:p w:rsidR="009F3549" w:rsidRPr="00740E7A" w:rsidRDefault="009F3549" w:rsidP="007555B3">
            <w:pPr>
              <w:jc w:val="right"/>
              <w:rPr>
                <w:rFonts w:cs="Arial"/>
                <w:b/>
                <w:bCs/>
                <w:sz w:val="18"/>
                <w:szCs w:val="18"/>
                <w:lang w:eastAsia="en-GB"/>
              </w:rPr>
            </w:pPr>
            <w:r>
              <w:rPr>
                <w:rFonts w:cs="Arial"/>
                <w:b/>
                <w:bCs/>
                <w:sz w:val="18"/>
                <w:szCs w:val="18"/>
                <w:lang w:eastAsia="en-GB"/>
              </w:rPr>
              <w:t>600</w:t>
            </w:r>
          </w:p>
        </w:tc>
      </w:tr>
      <w:tr w:rsidR="009F3549" w:rsidRPr="0053648C" w:rsidTr="00C15667">
        <w:trPr>
          <w:trHeight w:val="381"/>
        </w:trPr>
        <w:tc>
          <w:tcPr>
            <w:tcW w:w="6668" w:type="dxa"/>
            <w:gridSpan w:val="2"/>
            <w:tcBorders>
              <w:top w:val="single" w:sz="4" w:space="0" w:color="003366"/>
              <w:left w:val="nil"/>
              <w:bottom w:val="single" w:sz="4" w:space="0" w:color="003366"/>
              <w:right w:val="nil"/>
            </w:tcBorders>
            <w:vAlign w:val="center"/>
          </w:tcPr>
          <w:p w:rsidR="009F3549" w:rsidRPr="00740E7A" w:rsidRDefault="009F3549" w:rsidP="00FD5DD0">
            <w:pPr>
              <w:rPr>
                <w:rFonts w:cs="Arial"/>
                <w:b/>
                <w:bCs/>
                <w:color w:val="003366"/>
                <w:sz w:val="18"/>
                <w:szCs w:val="18"/>
                <w:lang w:eastAsia="en-GB"/>
              </w:rPr>
            </w:pPr>
            <w:r>
              <w:rPr>
                <w:rFonts w:cs="Arial"/>
                <w:b/>
                <w:bCs/>
                <w:color w:val="003366"/>
                <w:sz w:val="18"/>
                <w:szCs w:val="18"/>
                <w:lang w:eastAsia="en-GB"/>
              </w:rPr>
              <w:t>Aggregate impact on TNAV</w:t>
            </w:r>
          </w:p>
        </w:tc>
        <w:tc>
          <w:tcPr>
            <w:tcW w:w="1161" w:type="dxa"/>
            <w:gridSpan w:val="2"/>
            <w:tcBorders>
              <w:top w:val="single" w:sz="4" w:space="0" w:color="003366"/>
              <w:left w:val="nil"/>
              <w:bottom w:val="single" w:sz="4" w:space="0" w:color="003366"/>
              <w:right w:val="nil"/>
            </w:tcBorders>
          </w:tcPr>
          <w:p w:rsidR="009F3549" w:rsidRDefault="009F3549" w:rsidP="007555B3">
            <w:pPr>
              <w:jc w:val="right"/>
              <w:rPr>
                <w:rFonts w:cs="Arial"/>
                <w:b/>
                <w:bCs/>
                <w:sz w:val="18"/>
                <w:szCs w:val="18"/>
                <w:lang w:eastAsia="en-GB"/>
              </w:rPr>
            </w:pPr>
          </w:p>
        </w:tc>
        <w:tc>
          <w:tcPr>
            <w:tcW w:w="1161" w:type="dxa"/>
            <w:gridSpan w:val="2"/>
            <w:tcBorders>
              <w:top w:val="single" w:sz="4" w:space="0" w:color="003366"/>
              <w:left w:val="nil"/>
              <w:bottom w:val="single" w:sz="4" w:space="0" w:color="003366"/>
            </w:tcBorders>
            <w:noWrap/>
            <w:vAlign w:val="center"/>
          </w:tcPr>
          <w:p w:rsidR="009F3549" w:rsidRPr="00740E7A" w:rsidRDefault="009F3549" w:rsidP="00E365BB">
            <w:pPr>
              <w:jc w:val="right"/>
              <w:rPr>
                <w:rFonts w:cs="Arial"/>
                <w:b/>
                <w:bCs/>
                <w:sz w:val="18"/>
                <w:szCs w:val="18"/>
                <w:lang w:eastAsia="en-GB"/>
              </w:rPr>
            </w:pPr>
            <w:r>
              <w:rPr>
                <w:rFonts w:cs="Arial"/>
                <w:b/>
                <w:bCs/>
                <w:sz w:val="18"/>
                <w:szCs w:val="18"/>
                <w:lang w:eastAsia="en-GB"/>
              </w:rPr>
              <w:t>(1,600)</w:t>
            </w:r>
          </w:p>
        </w:tc>
      </w:tr>
      <w:tr w:rsidR="009F3549" w:rsidRPr="0053648C" w:rsidTr="00857347">
        <w:trPr>
          <w:trHeight w:val="381"/>
        </w:trPr>
        <w:tc>
          <w:tcPr>
            <w:tcW w:w="6668" w:type="dxa"/>
            <w:gridSpan w:val="2"/>
            <w:tcBorders>
              <w:top w:val="single" w:sz="4" w:space="0" w:color="003366"/>
              <w:left w:val="nil"/>
              <w:right w:val="nil"/>
            </w:tcBorders>
            <w:vAlign w:val="center"/>
          </w:tcPr>
          <w:p w:rsidR="009F3549" w:rsidRDefault="009F3549" w:rsidP="00965941">
            <w:pPr>
              <w:rPr>
                <w:rFonts w:cs="Arial"/>
                <w:b/>
                <w:bCs/>
                <w:color w:val="003366"/>
                <w:sz w:val="18"/>
                <w:szCs w:val="18"/>
                <w:lang w:eastAsia="en-GB"/>
              </w:rPr>
            </w:pPr>
            <w:r>
              <w:rPr>
                <w:rFonts w:cs="Arial"/>
                <w:b/>
                <w:bCs/>
                <w:color w:val="003366"/>
                <w:sz w:val="18"/>
                <w:szCs w:val="18"/>
                <w:lang w:eastAsia="en-GB"/>
              </w:rPr>
              <w:t>Net impact on TNAV per share</w:t>
            </w:r>
          </w:p>
        </w:tc>
        <w:tc>
          <w:tcPr>
            <w:tcW w:w="1161" w:type="dxa"/>
            <w:gridSpan w:val="2"/>
            <w:tcBorders>
              <w:top w:val="single" w:sz="4" w:space="0" w:color="003366"/>
              <w:left w:val="nil"/>
              <w:right w:val="nil"/>
            </w:tcBorders>
          </w:tcPr>
          <w:p w:rsidR="009F3549" w:rsidRDefault="009F3549" w:rsidP="00965941">
            <w:pPr>
              <w:jc w:val="right"/>
              <w:rPr>
                <w:rFonts w:cs="Arial"/>
                <w:b/>
                <w:bCs/>
                <w:sz w:val="18"/>
                <w:szCs w:val="18"/>
                <w:lang w:eastAsia="en-GB"/>
              </w:rPr>
            </w:pPr>
          </w:p>
        </w:tc>
        <w:tc>
          <w:tcPr>
            <w:tcW w:w="1161" w:type="dxa"/>
            <w:gridSpan w:val="2"/>
            <w:tcBorders>
              <w:top w:val="single" w:sz="4" w:space="0" w:color="003366"/>
              <w:left w:val="nil"/>
            </w:tcBorders>
            <w:noWrap/>
            <w:vAlign w:val="center"/>
          </w:tcPr>
          <w:p w:rsidR="009F3549" w:rsidRDefault="009F3549" w:rsidP="00965941">
            <w:pPr>
              <w:jc w:val="right"/>
              <w:rPr>
                <w:rFonts w:cs="Arial"/>
                <w:b/>
                <w:bCs/>
                <w:sz w:val="18"/>
                <w:szCs w:val="18"/>
                <w:lang w:eastAsia="en-GB"/>
              </w:rPr>
            </w:pPr>
            <w:r>
              <w:rPr>
                <w:rFonts w:cs="Arial"/>
                <w:b/>
                <w:bCs/>
                <w:sz w:val="18"/>
                <w:szCs w:val="18"/>
                <w:lang w:eastAsia="en-GB"/>
              </w:rPr>
              <w:t>(13p)</w:t>
            </w:r>
          </w:p>
        </w:tc>
      </w:tr>
      <w:tr w:rsidR="009F3549" w:rsidRPr="0053648C" w:rsidTr="00C15667">
        <w:trPr>
          <w:trHeight w:val="381"/>
        </w:trPr>
        <w:tc>
          <w:tcPr>
            <w:tcW w:w="6668" w:type="dxa"/>
            <w:gridSpan w:val="2"/>
            <w:tcBorders>
              <w:left w:val="nil"/>
              <w:bottom w:val="single" w:sz="4" w:space="0" w:color="003366"/>
              <w:right w:val="nil"/>
            </w:tcBorders>
            <w:vAlign w:val="center"/>
          </w:tcPr>
          <w:p w:rsidR="009F3549" w:rsidRDefault="009F3549" w:rsidP="00EF07B3">
            <w:pPr>
              <w:rPr>
                <w:rFonts w:cs="Arial"/>
                <w:b/>
                <w:bCs/>
                <w:color w:val="003366"/>
                <w:sz w:val="18"/>
                <w:szCs w:val="18"/>
                <w:lang w:eastAsia="en-GB"/>
              </w:rPr>
            </w:pPr>
            <w:r>
              <w:rPr>
                <w:rFonts w:cs="Arial"/>
                <w:b/>
                <w:bCs/>
                <w:color w:val="003366"/>
                <w:sz w:val="18"/>
                <w:szCs w:val="18"/>
                <w:lang w:eastAsia="en-GB"/>
              </w:rPr>
              <w:t>Net impact on CET1 ratio</w:t>
            </w:r>
          </w:p>
        </w:tc>
        <w:tc>
          <w:tcPr>
            <w:tcW w:w="1161" w:type="dxa"/>
            <w:gridSpan w:val="2"/>
            <w:tcBorders>
              <w:left w:val="nil"/>
              <w:bottom w:val="single" w:sz="4" w:space="0" w:color="003366"/>
              <w:right w:val="nil"/>
            </w:tcBorders>
          </w:tcPr>
          <w:p w:rsidR="009F3549" w:rsidRDefault="009F3549" w:rsidP="007555B3">
            <w:pPr>
              <w:jc w:val="right"/>
              <w:rPr>
                <w:rFonts w:cs="Arial"/>
                <w:b/>
                <w:bCs/>
                <w:sz w:val="18"/>
                <w:szCs w:val="18"/>
                <w:lang w:eastAsia="en-GB"/>
              </w:rPr>
            </w:pPr>
          </w:p>
        </w:tc>
        <w:tc>
          <w:tcPr>
            <w:tcW w:w="1161" w:type="dxa"/>
            <w:gridSpan w:val="2"/>
            <w:tcBorders>
              <w:left w:val="nil"/>
              <w:bottom w:val="single" w:sz="4" w:space="0" w:color="003366"/>
            </w:tcBorders>
            <w:noWrap/>
            <w:vAlign w:val="center"/>
          </w:tcPr>
          <w:p w:rsidR="009F3549" w:rsidRDefault="009F3549" w:rsidP="002C40C1">
            <w:pPr>
              <w:jc w:val="right"/>
              <w:rPr>
                <w:rFonts w:cs="Arial"/>
                <w:b/>
                <w:bCs/>
                <w:sz w:val="18"/>
                <w:szCs w:val="18"/>
                <w:lang w:eastAsia="en-GB"/>
              </w:rPr>
            </w:pPr>
            <w:r>
              <w:rPr>
                <w:rFonts w:cs="Arial"/>
                <w:b/>
                <w:bCs/>
                <w:sz w:val="18"/>
                <w:szCs w:val="18"/>
                <w:lang w:eastAsia="en-GB"/>
              </w:rPr>
              <w:t>(0.7%)</w:t>
            </w:r>
          </w:p>
        </w:tc>
      </w:tr>
    </w:tbl>
    <w:p w:rsidR="009F3549" w:rsidRDefault="009F3549" w:rsidP="00D571D3">
      <w:pPr>
        <w:spacing w:line="360" w:lineRule="auto"/>
        <w:jc w:val="both"/>
      </w:pPr>
    </w:p>
    <w:p w:rsidR="009F3549" w:rsidRPr="008133CD" w:rsidRDefault="009F3549" w:rsidP="00D571D3">
      <w:pPr>
        <w:spacing w:line="360" w:lineRule="auto"/>
        <w:rPr>
          <w:b/>
          <w:color w:val="C00000"/>
          <w:sz w:val="16"/>
          <w:szCs w:val="16"/>
        </w:rPr>
      </w:pPr>
      <w:r w:rsidRPr="008133CD">
        <w:rPr>
          <w:sz w:val="16"/>
          <w:szCs w:val="16"/>
          <w:u w:val="single"/>
        </w:rPr>
        <w:t>Notes to table</w:t>
      </w:r>
    </w:p>
    <w:p w:rsidR="009F3549" w:rsidRPr="008133CD" w:rsidRDefault="009F3549" w:rsidP="00D571D3">
      <w:pPr>
        <w:pStyle w:val="ListParagraph"/>
        <w:numPr>
          <w:ilvl w:val="0"/>
          <w:numId w:val="41"/>
        </w:numPr>
        <w:spacing w:line="360" w:lineRule="auto"/>
        <w:jc w:val="both"/>
        <w:rPr>
          <w:sz w:val="16"/>
          <w:szCs w:val="16"/>
        </w:rPr>
      </w:pPr>
      <w:r w:rsidRPr="008133CD">
        <w:rPr>
          <w:sz w:val="16"/>
          <w:szCs w:val="16"/>
        </w:rPr>
        <w:t xml:space="preserve">Tax relief is assumed at the </w:t>
      </w:r>
      <w:r>
        <w:rPr>
          <w:sz w:val="16"/>
          <w:szCs w:val="16"/>
        </w:rPr>
        <w:t xml:space="preserve">forecast </w:t>
      </w:r>
      <w:r w:rsidRPr="008133CD">
        <w:rPr>
          <w:sz w:val="16"/>
          <w:szCs w:val="16"/>
        </w:rPr>
        <w:t>rate that will apply when these pension liabilities are recognised for tax purposes.</w:t>
      </w:r>
    </w:p>
    <w:p w:rsidR="009F3549" w:rsidRPr="008133CD" w:rsidRDefault="009F3549" w:rsidP="00D571D3">
      <w:pPr>
        <w:pStyle w:val="ListParagraph"/>
        <w:numPr>
          <w:ilvl w:val="0"/>
          <w:numId w:val="41"/>
        </w:numPr>
        <w:spacing w:line="360" w:lineRule="auto"/>
        <w:jc w:val="both"/>
        <w:rPr>
          <w:sz w:val="16"/>
          <w:szCs w:val="16"/>
        </w:rPr>
      </w:pPr>
      <w:r w:rsidRPr="008133CD">
        <w:rPr>
          <w:sz w:val="16"/>
          <w:szCs w:val="16"/>
        </w:rPr>
        <w:t>TNAV per share is calculated using the 11.6 billion ordinary shares outstanding as at 31 December 2015.</w:t>
      </w:r>
    </w:p>
    <w:p w:rsidR="009F3549" w:rsidRPr="008133CD" w:rsidRDefault="009F3549" w:rsidP="009B4B0F">
      <w:pPr>
        <w:pStyle w:val="ListParagraph"/>
        <w:numPr>
          <w:ilvl w:val="0"/>
          <w:numId w:val="41"/>
        </w:numPr>
        <w:spacing w:line="360" w:lineRule="auto"/>
        <w:jc w:val="both"/>
        <w:rPr>
          <w:sz w:val="16"/>
          <w:szCs w:val="16"/>
        </w:rPr>
      </w:pPr>
      <w:r w:rsidRPr="00A92F90">
        <w:rPr>
          <w:sz w:val="16"/>
          <w:szCs w:val="16"/>
        </w:rPr>
        <w:t>£</w:t>
      </w:r>
      <w:r>
        <w:rPr>
          <w:sz w:val="16"/>
          <w:szCs w:val="16"/>
        </w:rPr>
        <w:t>4</w:t>
      </w:r>
      <w:r w:rsidRPr="00A92F90">
        <w:rPr>
          <w:sz w:val="16"/>
          <w:szCs w:val="16"/>
        </w:rPr>
        <w:t xml:space="preserve">00 million asset ceiling – </w:t>
      </w:r>
      <w:r w:rsidRPr="009B4B0F">
        <w:rPr>
          <w:sz w:val="16"/>
          <w:szCs w:val="16"/>
        </w:rPr>
        <w:t xml:space="preserve">this is the net present value of </w:t>
      </w:r>
      <w:r>
        <w:rPr>
          <w:sz w:val="16"/>
          <w:szCs w:val="16"/>
        </w:rPr>
        <w:t xml:space="preserve">future service costs on an IAS 19 basis </w:t>
      </w:r>
      <w:r w:rsidRPr="009B4B0F">
        <w:rPr>
          <w:sz w:val="16"/>
          <w:szCs w:val="16"/>
        </w:rPr>
        <w:t xml:space="preserve">less </w:t>
      </w:r>
      <w:r>
        <w:rPr>
          <w:sz w:val="16"/>
          <w:szCs w:val="16"/>
        </w:rPr>
        <w:t xml:space="preserve">the </w:t>
      </w:r>
      <w:r w:rsidRPr="009B4B0F">
        <w:rPr>
          <w:sz w:val="16"/>
          <w:szCs w:val="16"/>
        </w:rPr>
        <w:t xml:space="preserve">net present value of those regular contributions </w:t>
      </w:r>
      <w:r>
        <w:rPr>
          <w:sz w:val="16"/>
          <w:szCs w:val="16"/>
        </w:rPr>
        <w:t xml:space="preserve">committed to be </w:t>
      </w:r>
      <w:r w:rsidRPr="009B4B0F">
        <w:rPr>
          <w:sz w:val="16"/>
          <w:szCs w:val="16"/>
        </w:rPr>
        <w:t>paid out to 2023 on an actuarial basis. This amount may reduce in future periods as a result of any further changes in future contribution levels.</w:t>
      </w:r>
    </w:p>
    <w:p w:rsidR="009F3549" w:rsidRPr="008133CD" w:rsidRDefault="009F3549" w:rsidP="00F36396">
      <w:pPr>
        <w:pStyle w:val="ListParagraph"/>
        <w:numPr>
          <w:ilvl w:val="0"/>
          <w:numId w:val="41"/>
        </w:numPr>
        <w:spacing w:line="360" w:lineRule="auto"/>
        <w:jc w:val="both"/>
        <w:rPr>
          <w:sz w:val="16"/>
          <w:szCs w:val="16"/>
        </w:rPr>
      </w:pPr>
      <w:r w:rsidRPr="008133CD">
        <w:rPr>
          <w:sz w:val="16"/>
          <w:szCs w:val="16"/>
        </w:rPr>
        <w:t>No material adjustments to RBS’s accounts are expected from the application of the revised policy to other RBS pension schemes.</w:t>
      </w:r>
    </w:p>
    <w:p w:rsidR="009F3549" w:rsidRPr="008133CD" w:rsidRDefault="009F3549" w:rsidP="00F36396">
      <w:pPr>
        <w:pStyle w:val="ListParagraph"/>
        <w:numPr>
          <w:ilvl w:val="0"/>
          <w:numId w:val="41"/>
        </w:numPr>
        <w:spacing w:line="360" w:lineRule="auto"/>
        <w:jc w:val="both"/>
        <w:rPr>
          <w:sz w:val="16"/>
          <w:szCs w:val="16"/>
        </w:rPr>
      </w:pPr>
      <w:r w:rsidRPr="008133CD">
        <w:rPr>
          <w:sz w:val="16"/>
          <w:szCs w:val="16"/>
        </w:rPr>
        <w:t>These figures are preliminary estimates and unaudited.</w:t>
      </w:r>
    </w:p>
    <w:p w:rsidR="009F3549" w:rsidRDefault="009F3549" w:rsidP="00D571D3">
      <w:pPr>
        <w:spacing w:line="360" w:lineRule="auto"/>
        <w:jc w:val="both"/>
      </w:pPr>
    </w:p>
    <w:p w:rsidR="009F3549" w:rsidRDefault="009F3549" w:rsidP="00D571D3">
      <w:pPr>
        <w:spacing w:line="360" w:lineRule="auto"/>
        <w:jc w:val="both"/>
      </w:pPr>
    </w:p>
    <w:p w:rsidR="009F3549" w:rsidRDefault="009F3549" w:rsidP="00D571D3">
      <w:pPr>
        <w:spacing w:line="360" w:lineRule="auto"/>
        <w:jc w:val="both"/>
      </w:pPr>
    </w:p>
    <w:p w:rsidR="009F3549" w:rsidRDefault="009F3549" w:rsidP="00D571D3">
      <w:pPr>
        <w:spacing w:line="360" w:lineRule="auto"/>
        <w:jc w:val="both"/>
      </w:pPr>
    </w:p>
    <w:p w:rsidR="009F3549" w:rsidRDefault="009F3549" w:rsidP="00D571D3">
      <w:pPr>
        <w:spacing w:line="360" w:lineRule="auto"/>
        <w:jc w:val="both"/>
      </w:pPr>
    </w:p>
    <w:p w:rsidR="009F3549" w:rsidRDefault="009F3549" w:rsidP="00D571D3">
      <w:pPr>
        <w:spacing w:line="360" w:lineRule="auto"/>
        <w:jc w:val="both"/>
      </w:pPr>
    </w:p>
    <w:p w:rsidR="009F3549" w:rsidRDefault="009F3549" w:rsidP="00D571D3">
      <w:pPr>
        <w:spacing w:line="360" w:lineRule="auto"/>
        <w:jc w:val="both"/>
      </w:pPr>
    </w:p>
    <w:p w:rsidR="009F3549" w:rsidRDefault="009F3549" w:rsidP="00D571D3">
      <w:pPr>
        <w:spacing w:line="360" w:lineRule="auto"/>
        <w:jc w:val="both"/>
      </w:pPr>
    </w:p>
    <w:p w:rsidR="009F3549" w:rsidRDefault="009F3549" w:rsidP="00D571D3">
      <w:pPr>
        <w:spacing w:line="360" w:lineRule="auto"/>
        <w:jc w:val="both"/>
      </w:pPr>
    </w:p>
    <w:p w:rsidR="009F3549" w:rsidRDefault="009F3549" w:rsidP="00D571D3">
      <w:pPr>
        <w:spacing w:line="360" w:lineRule="auto"/>
        <w:jc w:val="both"/>
      </w:pPr>
    </w:p>
    <w:p w:rsidR="009F3549" w:rsidRDefault="009F3549" w:rsidP="00D571D3">
      <w:pPr>
        <w:spacing w:line="360" w:lineRule="auto"/>
        <w:jc w:val="both"/>
      </w:pPr>
    </w:p>
    <w:p w:rsidR="009F3549" w:rsidRDefault="009F3549" w:rsidP="00D571D3">
      <w:pPr>
        <w:spacing w:line="360" w:lineRule="auto"/>
        <w:jc w:val="both"/>
      </w:pPr>
    </w:p>
    <w:p w:rsidR="009F3549" w:rsidRPr="0053648C" w:rsidRDefault="009F3549" w:rsidP="00E766B7">
      <w:pPr>
        <w:spacing w:line="360" w:lineRule="auto"/>
        <w:jc w:val="both"/>
        <w:rPr>
          <w:b/>
        </w:rPr>
      </w:pPr>
      <w:r w:rsidRPr="0053648C">
        <w:rPr>
          <w:b/>
        </w:rPr>
        <w:t>Table</w:t>
      </w:r>
      <w:r>
        <w:rPr>
          <w:b/>
        </w:rPr>
        <w:t xml:space="preserve"> 3</w:t>
      </w:r>
      <w:r w:rsidRPr="0053648C">
        <w:rPr>
          <w:b/>
        </w:rPr>
        <w:t xml:space="preserve">. </w:t>
      </w:r>
      <w:r w:rsidRPr="00E766B7">
        <w:rPr>
          <w:b/>
        </w:rPr>
        <w:t xml:space="preserve">Summary </w:t>
      </w:r>
      <w:r>
        <w:rPr>
          <w:b/>
        </w:rPr>
        <w:t xml:space="preserve">the </w:t>
      </w:r>
      <w:r w:rsidRPr="00E766B7">
        <w:rPr>
          <w:b/>
        </w:rPr>
        <w:t xml:space="preserve">estimated 2016 impact of £4.2bn accelerated payment on </w:t>
      </w:r>
      <w:r>
        <w:rPr>
          <w:b/>
        </w:rPr>
        <w:t xml:space="preserve">the </w:t>
      </w:r>
      <w:r w:rsidRPr="00E766B7">
        <w:rPr>
          <w:b/>
        </w:rPr>
        <w:t>CET capital ratio and TNAV per share, at point of payment</w:t>
      </w:r>
    </w:p>
    <w:p w:rsidR="009F3549" w:rsidRDefault="009F3549" w:rsidP="00D571D3">
      <w:pPr>
        <w:spacing w:line="360" w:lineRule="auto"/>
        <w:jc w:val="both"/>
      </w:pPr>
    </w:p>
    <w:tbl>
      <w:tblPr>
        <w:tblW w:w="9384" w:type="dxa"/>
        <w:tblLook w:val="01E0"/>
      </w:tblPr>
      <w:tblGrid>
        <w:gridCol w:w="8046"/>
        <w:gridCol w:w="1338"/>
      </w:tblGrid>
      <w:tr w:rsidR="009F3549" w:rsidRPr="008818C0" w:rsidTr="00E43A05">
        <w:trPr>
          <w:trHeight w:val="507"/>
        </w:trPr>
        <w:tc>
          <w:tcPr>
            <w:tcW w:w="8046" w:type="dxa"/>
            <w:tcBorders>
              <w:top w:val="single" w:sz="4" w:space="0" w:color="auto"/>
              <w:bottom w:val="single" w:sz="4" w:space="0" w:color="auto"/>
            </w:tcBorders>
          </w:tcPr>
          <w:p w:rsidR="009F3549" w:rsidRPr="00E43A05" w:rsidRDefault="009F3549" w:rsidP="007F7B26">
            <w:pPr>
              <w:rPr>
                <w:rFonts w:cs="Arial"/>
                <w:b/>
                <w:color w:val="000080"/>
                <w:sz w:val="18"/>
                <w:szCs w:val="18"/>
              </w:rPr>
            </w:pPr>
          </w:p>
        </w:tc>
        <w:tc>
          <w:tcPr>
            <w:tcW w:w="1338" w:type="dxa"/>
            <w:tcBorders>
              <w:top w:val="single" w:sz="4" w:space="0" w:color="auto"/>
              <w:bottom w:val="single" w:sz="4" w:space="0" w:color="auto"/>
            </w:tcBorders>
            <w:vAlign w:val="center"/>
          </w:tcPr>
          <w:p w:rsidR="009F3549" w:rsidRPr="00E43A05" w:rsidRDefault="009F3549" w:rsidP="00E43A05">
            <w:pPr>
              <w:jc w:val="right"/>
              <w:rPr>
                <w:rFonts w:cs="Arial"/>
                <w:b/>
                <w:color w:val="003366"/>
                <w:sz w:val="18"/>
                <w:szCs w:val="18"/>
              </w:rPr>
            </w:pPr>
            <w:r w:rsidRPr="00E43A05">
              <w:rPr>
                <w:rFonts w:cs="Arial"/>
                <w:b/>
                <w:color w:val="003366"/>
                <w:sz w:val="18"/>
                <w:szCs w:val="18"/>
              </w:rPr>
              <w:t xml:space="preserve">TNAV </w:t>
            </w:r>
          </w:p>
          <w:p w:rsidR="009F3549" w:rsidRPr="00E43A05" w:rsidRDefault="009F3549" w:rsidP="00E43A05">
            <w:pPr>
              <w:jc w:val="right"/>
              <w:rPr>
                <w:rFonts w:cs="Arial"/>
                <w:b/>
                <w:color w:val="000080"/>
                <w:sz w:val="18"/>
                <w:szCs w:val="18"/>
              </w:rPr>
            </w:pPr>
            <w:r w:rsidRPr="00E43A05">
              <w:rPr>
                <w:rFonts w:cs="Arial"/>
                <w:b/>
                <w:color w:val="003366"/>
                <w:sz w:val="18"/>
                <w:szCs w:val="18"/>
              </w:rPr>
              <w:t>£ m</w:t>
            </w:r>
          </w:p>
        </w:tc>
      </w:tr>
      <w:tr w:rsidR="009F3549" w:rsidRPr="003114A9" w:rsidTr="00E43A05">
        <w:trPr>
          <w:trHeight w:val="270"/>
        </w:trPr>
        <w:tc>
          <w:tcPr>
            <w:tcW w:w="8046" w:type="dxa"/>
            <w:vAlign w:val="center"/>
          </w:tcPr>
          <w:p w:rsidR="009F3549" w:rsidRPr="00E43A05" w:rsidRDefault="009F3549" w:rsidP="003114A9">
            <w:pPr>
              <w:rPr>
                <w:rFonts w:cs="Arial"/>
                <w:b/>
                <w:color w:val="003366"/>
                <w:sz w:val="18"/>
                <w:szCs w:val="18"/>
              </w:rPr>
            </w:pPr>
            <w:r w:rsidRPr="00E43A05">
              <w:rPr>
                <w:rFonts w:cs="Arial"/>
                <w:b/>
                <w:color w:val="003366"/>
                <w:sz w:val="18"/>
                <w:szCs w:val="18"/>
              </w:rPr>
              <w:t>Movements relating to TNAV</w:t>
            </w:r>
          </w:p>
        </w:tc>
        <w:tc>
          <w:tcPr>
            <w:tcW w:w="1338" w:type="dxa"/>
            <w:vAlign w:val="center"/>
          </w:tcPr>
          <w:p w:rsidR="009F3549" w:rsidRPr="00E43A05" w:rsidRDefault="009F3549" w:rsidP="00E43A05">
            <w:pPr>
              <w:jc w:val="right"/>
              <w:rPr>
                <w:rFonts w:cs="Arial"/>
                <w:color w:val="003366"/>
                <w:sz w:val="18"/>
                <w:szCs w:val="18"/>
              </w:rPr>
            </w:pPr>
          </w:p>
        </w:tc>
      </w:tr>
      <w:tr w:rsidR="009F3549" w:rsidRPr="00607CA8" w:rsidTr="00E43A05">
        <w:trPr>
          <w:trHeight w:val="287"/>
        </w:trPr>
        <w:tc>
          <w:tcPr>
            <w:tcW w:w="8046" w:type="dxa"/>
            <w:vAlign w:val="center"/>
          </w:tcPr>
          <w:p w:rsidR="009F3549" w:rsidRPr="00E43A05" w:rsidRDefault="009F3549" w:rsidP="003114A9">
            <w:pPr>
              <w:rPr>
                <w:rFonts w:cs="Arial"/>
                <w:sz w:val="18"/>
                <w:szCs w:val="18"/>
              </w:rPr>
            </w:pPr>
            <w:r w:rsidRPr="00E43A05">
              <w:rPr>
                <w:rFonts w:cs="Arial"/>
                <w:sz w:val="18"/>
                <w:szCs w:val="18"/>
              </w:rPr>
              <w:t>Payment of £4.2bn accelerated pension contributions</w:t>
            </w:r>
          </w:p>
        </w:tc>
        <w:tc>
          <w:tcPr>
            <w:tcW w:w="1338" w:type="dxa"/>
            <w:vAlign w:val="center"/>
          </w:tcPr>
          <w:p w:rsidR="009F3549" w:rsidRPr="00E43A05" w:rsidRDefault="009F3549" w:rsidP="00E43A05">
            <w:pPr>
              <w:jc w:val="right"/>
              <w:rPr>
                <w:rFonts w:cs="Arial"/>
                <w:sz w:val="18"/>
                <w:szCs w:val="18"/>
              </w:rPr>
            </w:pPr>
            <w:r w:rsidRPr="00E43A05">
              <w:rPr>
                <w:rFonts w:cs="Arial"/>
                <w:sz w:val="18"/>
                <w:szCs w:val="18"/>
              </w:rPr>
              <w:t>(4,200)</w:t>
            </w:r>
          </w:p>
        </w:tc>
      </w:tr>
      <w:tr w:rsidR="009F3549" w:rsidRPr="00607CA8" w:rsidTr="00E43A05">
        <w:trPr>
          <w:trHeight w:val="270"/>
        </w:trPr>
        <w:tc>
          <w:tcPr>
            <w:tcW w:w="8046" w:type="dxa"/>
            <w:vAlign w:val="center"/>
          </w:tcPr>
          <w:p w:rsidR="009F3549" w:rsidRPr="00E43A05" w:rsidRDefault="009F3549" w:rsidP="003114A9">
            <w:pPr>
              <w:rPr>
                <w:rFonts w:cs="Arial"/>
                <w:sz w:val="18"/>
                <w:szCs w:val="18"/>
              </w:rPr>
            </w:pPr>
            <w:r w:rsidRPr="00E43A05">
              <w:rPr>
                <w:rFonts w:cs="Arial"/>
                <w:sz w:val="18"/>
                <w:szCs w:val="18"/>
              </w:rPr>
              <w:tab/>
              <w:t xml:space="preserve">Less: existing pension liability </w:t>
            </w:r>
          </w:p>
        </w:tc>
        <w:tc>
          <w:tcPr>
            <w:tcW w:w="1338" w:type="dxa"/>
            <w:tcBorders>
              <w:bottom w:val="single" w:sz="4" w:space="0" w:color="auto"/>
            </w:tcBorders>
            <w:vAlign w:val="center"/>
          </w:tcPr>
          <w:p w:rsidR="009F3549" w:rsidRPr="00E43A05" w:rsidRDefault="009F3549" w:rsidP="00E43A05">
            <w:pPr>
              <w:jc w:val="right"/>
              <w:rPr>
                <w:rFonts w:cs="Arial"/>
                <w:sz w:val="18"/>
                <w:szCs w:val="18"/>
              </w:rPr>
            </w:pPr>
            <w:r w:rsidRPr="00E43A05">
              <w:rPr>
                <w:rFonts w:cs="Arial"/>
                <w:sz w:val="18"/>
                <w:szCs w:val="18"/>
              </w:rPr>
              <w:t>3,300</w:t>
            </w:r>
          </w:p>
        </w:tc>
      </w:tr>
      <w:tr w:rsidR="009F3549" w:rsidRPr="00607CA8" w:rsidTr="00E43A05">
        <w:trPr>
          <w:trHeight w:val="270"/>
        </w:trPr>
        <w:tc>
          <w:tcPr>
            <w:tcW w:w="8046" w:type="dxa"/>
            <w:vAlign w:val="center"/>
          </w:tcPr>
          <w:p w:rsidR="009F3549" w:rsidRPr="00E43A05" w:rsidRDefault="009F3549" w:rsidP="003114A9">
            <w:pPr>
              <w:rPr>
                <w:rFonts w:cs="Arial"/>
                <w:sz w:val="18"/>
                <w:szCs w:val="18"/>
              </w:rPr>
            </w:pPr>
          </w:p>
        </w:tc>
        <w:tc>
          <w:tcPr>
            <w:tcW w:w="1338" w:type="dxa"/>
            <w:tcBorders>
              <w:top w:val="single" w:sz="4" w:space="0" w:color="auto"/>
            </w:tcBorders>
            <w:vAlign w:val="center"/>
          </w:tcPr>
          <w:p w:rsidR="009F3549" w:rsidRPr="00E43A05" w:rsidRDefault="009F3549" w:rsidP="00E43A05">
            <w:pPr>
              <w:jc w:val="right"/>
              <w:rPr>
                <w:rFonts w:cs="Arial"/>
                <w:sz w:val="18"/>
                <w:szCs w:val="18"/>
              </w:rPr>
            </w:pPr>
            <w:r w:rsidRPr="00E43A05">
              <w:rPr>
                <w:rFonts w:cs="Arial"/>
                <w:sz w:val="18"/>
                <w:szCs w:val="18"/>
              </w:rPr>
              <w:t>(900)</w:t>
            </w:r>
          </w:p>
        </w:tc>
      </w:tr>
      <w:tr w:rsidR="009F3549" w:rsidRPr="00607CA8" w:rsidTr="00E43A05">
        <w:trPr>
          <w:trHeight w:val="270"/>
        </w:trPr>
        <w:tc>
          <w:tcPr>
            <w:tcW w:w="8046" w:type="dxa"/>
            <w:vAlign w:val="center"/>
          </w:tcPr>
          <w:p w:rsidR="009F3549" w:rsidRPr="00E43A05" w:rsidRDefault="009F3549" w:rsidP="003114A9">
            <w:pPr>
              <w:rPr>
                <w:rFonts w:cs="Arial"/>
                <w:sz w:val="18"/>
                <w:szCs w:val="18"/>
              </w:rPr>
            </w:pPr>
            <w:r w:rsidRPr="00E43A05">
              <w:rPr>
                <w:rFonts w:cs="Arial"/>
                <w:sz w:val="18"/>
                <w:szCs w:val="18"/>
              </w:rPr>
              <w:tab/>
              <w:t>Less: estimated asset ceiling, being c/f pension surplus (1)</w:t>
            </w:r>
          </w:p>
        </w:tc>
        <w:tc>
          <w:tcPr>
            <w:tcW w:w="1338" w:type="dxa"/>
            <w:tcBorders>
              <w:bottom w:val="single" w:sz="4" w:space="0" w:color="auto"/>
            </w:tcBorders>
            <w:vAlign w:val="center"/>
          </w:tcPr>
          <w:p w:rsidR="009F3549" w:rsidRPr="00E43A05" w:rsidRDefault="009F3549" w:rsidP="00E43A05">
            <w:pPr>
              <w:jc w:val="right"/>
              <w:rPr>
                <w:rFonts w:cs="Arial"/>
                <w:sz w:val="18"/>
                <w:szCs w:val="18"/>
              </w:rPr>
            </w:pPr>
            <w:r w:rsidRPr="00E43A05">
              <w:rPr>
                <w:rFonts w:cs="Arial"/>
                <w:sz w:val="18"/>
                <w:szCs w:val="18"/>
              </w:rPr>
              <w:t>400</w:t>
            </w:r>
          </w:p>
        </w:tc>
      </w:tr>
      <w:tr w:rsidR="009F3549" w:rsidRPr="00607CA8" w:rsidTr="00E43A05">
        <w:trPr>
          <w:trHeight w:val="270"/>
        </w:trPr>
        <w:tc>
          <w:tcPr>
            <w:tcW w:w="8046" w:type="dxa"/>
            <w:vAlign w:val="center"/>
          </w:tcPr>
          <w:p w:rsidR="009F3549" w:rsidRPr="00E43A05" w:rsidRDefault="009F3549" w:rsidP="003114A9">
            <w:pPr>
              <w:rPr>
                <w:rFonts w:cs="Arial"/>
                <w:sz w:val="18"/>
                <w:szCs w:val="18"/>
              </w:rPr>
            </w:pPr>
            <w:r w:rsidRPr="00E43A05">
              <w:rPr>
                <w:rFonts w:cs="Arial"/>
                <w:sz w:val="18"/>
                <w:szCs w:val="18"/>
              </w:rPr>
              <w:t>Write down of pension asset from application of new accounting policy, pre tax (2)</w:t>
            </w:r>
          </w:p>
        </w:tc>
        <w:tc>
          <w:tcPr>
            <w:tcW w:w="1338" w:type="dxa"/>
            <w:tcBorders>
              <w:top w:val="single" w:sz="4" w:space="0" w:color="auto"/>
            </w:tcBorders>
            <w:vAlign w:val="center"/>
          </w:tcPr>
          <w:p w:rsidR="009F3549" w:rsidRPr="00E43A05" w:rsidRDefault="009F3549" w:rsidP="00E43A05">
            <w:pPr>
              <w:jc w:val="right"/>
              <w:rPr>
                <w:rFonts w:cs="Arial"/>
                <w:sz w:val="18"/>
                <w:szCs w:val="18"/>
              </w:rPr>
            </w:pPr>
            <w:r w:rsidRPr="00E43A05">
              <w:rPr>
                <w:rFonts w:cs="Arial"/>
                <w:sz w:val="18"/>
                <w:szCs w:val="18"/>
              </w:rPr>
              <w:t>(500)</w:t>
            </w:r>
          </w:p>
        </w:tc>
      </w:tr>
      <w:tr w:rsidR="009F3549" w:rsidRPr="00607CA8" w:rsidTr="00E43A05">
        <w:trPr>
          <w:trHeight w:val="270"/>
        </w:trPr>
        <w:tc>
          <w:tcPr>
            <w:tcW w:w="8046" w:type="dxa"/>
            <w:vAlign w:val="center"/>
          </w:tcPr>
          <w:p w:rsidR="009F3549" w:rsidRPr="00E43A05" w:rsidRDefault="009F3549" w:rsidP="003114A9">
            <w:pPr>
              <w:rPr>
                <w:rFonts w:cs="Arial"/>
                <w:sz w:val="18"/>
                <w:szCs w:val="18"/>
              </w:rPr>
            </w:pPr>
            <w:r w:rsidRPr="00E43A05">
              <w:rPr>
                <w:rFonts w:cs="Arial"/>
                <w:sz w:val="18"/>
                <w:szCs w:val="18"/>
              </w:rPr>
              <w:tab/>
              <w:t>Less: tax relief</w:t>
            </w:r>
          </w:p>
        </w:tc>
        <w:tc>
          <w:tcPr>
            <w:tcW w:w="1338" w:type="dxa"/>
            <w:tcBorders>
              <w:bottom w:val="single" w:sz="4" w:space="0" w:color="auto"/>
            </w:tcBorders>
            <w:vAlign w:val="center"/>
          </w:tcPr>
          <w:p w:rsidR="009F3549" w:rsidRPr="00E43A05" w:rsidRDefault="009F3549" w:rsidP="00E43A05">
            <w:pPr>
              <w:jc w:val="right"/>
              <w:rPr>
                <w:rFonts w:cs="Arial"/>
                <w:sz w:val="18"/>
                <w:szCs w:val="18"/>
              </w:rPr>
            </w:pPr>
            <w:r w:rsidRPr="00E43A05">
              <w:rPr>
                <w:rFonts w:cs="Arial"/>
                <w:sz w:val="18"/>
                <w:szCs w:val="18"/>
              </w:rPr>
              <w:t>100</w:t>
            </w:r>
          </w:p>
        </w:tc>
      </w:tr>
      <w:tr w:rsidR="009F3549" w:rsidRPr="003114A9" w:rsidTr="00E43A05">
        <w:trPr>
          <w:trHeight w:val="270"/>
        </w:trPr>
        <w:tc>
          <w:tcPr>
            <w:tcW w:w="8046" w:type="dxa"/>
            <w:tcBorders>
              <w:top w:val="single" w:sz="4" w:space="0" w:color="auto"/>
              <w:bottom w:val="single" w:sz="4" w:space="0" w:color="auto"/>
            </w:tcBorders>
            <w:vAlign w:val="center"/>
          </w:tcPr>
          <w:p w:rsidR="009F3549" w:rsidRPr="00E43A05" w:rsidRDefault="009F3549" w:rsidP="00857347">
            <w:pPr>
              <w:rPr>
                <w:rFonts w:cs="Arial"/>
                <w:b/>
                <w:color w:val="003366"/>
                <w:sz w:val="18"/>
                <w:szCs w:val="18"/>
              </w:rPr>
            </w:pPr>
            <w:r w:rsidRPr="00E43A05">
              <w:rPr>
                <w:rFonts w:cs="Arial"/>
                <w:b/>
                <w:color w:val="003366"/>
                <w:sz w:val="18"/>
                <w:szCs w:val="18"/>
              </w:rPr>
              <w:t xml:space="preserve">Incremental impact on TNAV </w:t>
            </w:r>
          </w:p>
        </w:tc>
        <w:tc>
          <w:tcPr>
            <w:tcW w:w="1338" w:type="dxa"/>
            <w:tcBorders>
              <w:top w:val="single" w:sz="4" w:space="0" w:color="auto"/>
              <w:bottom w:val="single" w:sz="4" w:space="0" w:color="auto"/>
            </w:tcBorders>
            <w:vAlign w:val="center"/>
          </w:tcPr>
          <w:p w:rsidR="009F3549" w:rsidRPr="00E43A05" w:rsidRDefault="009F3549" w:rsidP="00E43A05">
            <w:pPr>
              <w:jc w:val="right"/>
              <w:rPr>
                <w:rFonts w:cs="Arial"/>
                <w:b/>
                <w:color w:val="003366"/>
                <w:sz w:val="18"/>
                <w:szCs w:val="18"/>
              </w:rPr>
            </w:pPr>
            <w:r w:rsidRPr="00E43A05">
              <w:rPr>
                <w:rFonts w:cs="Arial"/>
                <w:b/>
                <w:color w:val="003366"/>
                <w:sz w:val="18"/>
                <w:szCs w:val="18"/>
              </w:rPr>
              <w:t>(400)</w:t>
            </w:r>
          </w:p>
        </w:tc>
      </w:tr>
      <w:tr w:rsidR="009F3549" w:rsidRPr="00607CA8" w:rsidTr="00E43A05">
        <w:trPr>
          <w:trHeight w:val="287"/>
        </w:trPr>
        <w:tc>
          <w:tcPr>
            <w:tcW w:w="8046" w:type="dxa"/>
            <w:tcBorders>
              <w:top w:val="single" w:sz="4" w:space="0" w:color="auto"/>
            </w:tcBorders>
            <w:vAlign w:val="center"/>
          </w:tcPr>
          <w:p w:rsidR="009F3549" w:rsidRPr="00E43A05" w:rsidRDefault="009F3549" w:rsidP="00965941">
            <w:pPr>
              <w:rPr>
                <w:rFonts w:cs="Arial"/>
                <w:b/>
                <w:bCs/>
                <w:color w:val="003366"/>
                <w:sz w:val="18"/>
                <w:szCs w:val="18"/>
                <w:lang w:eastAsia="en-GB"/>
              </w:rPr>
            </w:pPr>
            <w:r w:rsidRPr="00E43A05">
              <w:rPr>
                <w:rFonts w:cs="Arial"/>
                <w:b/>
                <w:bCs/>
                <w:color w:val="003366"/>
                <w:sz w:val="18"/>
                <w:szCs w:val="18"/>
                <w:lang w:eastAsia="en-GB"/>
              </w:rPr>
              <w:t>Net impact on TNAV per share</w:t>
            </w:r>
          </w:p>
        </w:tc>
        <w:tc>
          <w:tcPr>
            <w:tcW w:w="1338" w:type="dxa"/>
            <w:tcBorders>
              <w:top w:val="single" w:sz="4" w:space="0" w:color="auto"/>
            </w:tcBorders>
            <w:vAlign w:val="center"/>
          </w:tcPr>
          <w:p w:rsidR="009F3549" w:rsidRPr="00E43A05" w:rsidRDefault="009F3549" w:rsidP="00E43A05">
            <w:pPr>
              <w:jc w:val="right"/>
              <w:rPr>
                <w:rFonts w:cs="Arial"/>
                <w:b/>
                <w:color w:val="003366"/>
                <w:sz w:val="18"/>
                <w:szCs w:val="18"/>
              </w:rPr>
            </w:pPr>
            <w:r w:rsidRPr="00E43A05">
              <w:rPr>
                <w:rFonts w:cs="Arial"/>
                <w:b/>
                <w:color w:val="003366"/>
                <w:sz w:val="18"/>
                <w:szCs w:val="18"/>
              </w:rPr>
              <w:t>(3p)</w:t>
            </w:r>
          </w:p>
        </w:tc>
      </w:tr>
      <w:tr w:rsidR="009F3549" w:rsidRPr="00607CA8" w:rsidTr="00E43A05">
        <w:trPr>
          <w:trHeight w:val="270"/>
        </w:trPr>
        <w:tc>
          <w:tcPr>
            <w:tcW w:w="8046" w:type="dxa"/>
            <w:tcBorders>
              <w:bottom w:val="single" w:sz="4" w:space="0" w:color="auto"/>
            </w:tcBorders>
            <w:vAlign w:val="center"/>
          </w:tcPr>
          <w:p w:rsidR="009F3549" w:rsidRPr="00E43A05" w:rsidRDefault="009F3549" w:rsidP="003114A9">
            <w:pPr>
              <w:rPr>
                <w:rFonts w:cs="Arial"/>
                <w:b/>
                <w:bCs/>
                <w:color w:val="003366"/>
                <w:sz w:val="18"/>
                <w:szCs w:val="18"/>
                <w:lang w:eastAsia="en-GB"/>
              </w:rPr>
            </w:pPr>
            <w:r w:rsidRPr="00E43A05">
              <w:rPr>
                <w:rFonts w:cs="Arial"/>
                <w:b/>
                <w:bCs/>
                <w:color w:val="003366"/>
                <w:sz w:val="18"/>
                <w:szCs w:val="18"/>
                <w:lang w:eastAsia="en-GB"/>
              </w:rPr>
              <w:t xml:space="preserve">Net impact on CET1 capital ratio </w:t>
            </w:r>
            <w:r w:rsidRPr="00E43A05">
              <w:rPr>
                <w:rFonts w:cs="Arial"/>
                <w:b/>
                <w:color w:val="003366"/>
                <w:sz w:val="18"/>
                <w:szCs w:val="18"/>
              </w:rPr>
              <w:t>(3)</w:t>
            </w:r>
          </w:p>
        </w:tc>
        <w:tc>
          <w:tcPr>
            <w:tcW w:w="1338" w:type="dxa"/>
            <w:tcBorders>
              <w:bottom w:val="single" w:sz="4" w:space="0" w:color="auto"/>
            </w:tcBorders>
            <w:vAlign w:val="center"/>
          </w:tcPr>
          <w:p w:rsidR="009F3549" w:rsidRPr="00E43A05" w:rsidRDefault="009F3549" w:rsidP="00E43A05">
            <w:pPr>
              <w:jc w:val="right"/>
              <w:rPr>
                <w:rFonts w:cs="Arial"/>
                <w:b/>
                <w:color w:val="003366"/>
                <w:sz w:val="18"/>
                <w:szCs w:val="18"/>
              </w:rPr>
            </w:pPr>
            <w:r w:rsidRPr="00E43A05">
              <w:rPr>
                <w:rFonts w:cs="Arial"/>
                <w:b/>
                <w:color w:val="003366"/>
                <w:sz w:val="18"/>
                <w:szCs w:val="18"/>
              </w:rPr>
              <w:t>(0.3%)</w:t>
            </w:r>
          </w:p>
        </w:tc>
      </w:tr>
    </w:tbl>
    <w:p w:rsidR="009F3549" w:rsidRPr="00607CA8" w:rsidRDefault="009F3549" w:rsidP="00D571D3">
      <w:pPr>
        <w:spacing w:line="360" w:lineRule="auto"/>
        <w:jc w:val="both"/>
        <w:rPr>
          <w:rFonts w:cs="Arial"/>
          <w:sz w:val="18"/>
          <w:szCs w:val="18"/>
        </w:rPr>
      </w:pPr>
    </w:p>
    <w:p w:rsidR="009F3549" w:rsidRPr="008133CD" w:rsidRDefault="009F3549" w:rsidP="00E766B7">
      <w:pPr>
        <w:spacing w:line="360" w:lineRule="auto"/>
        <w:rPr>
          <w:b/>
          <w:color w:val="C00000"/>
          <w:sz w:val="16"/>
          <w:szCs w:val="16"/>
        </w:rPr>
      </w:pPr>
      <w:r w:rsidRPr="008133CD">
        <w:rPr>
          <w:sz w:val="16"/>
          <w:szCs w:val="16"/>
          <w:u w:val="single"/>
        </w:rPr>
        <w:t>Notes to table</w:t>
      </w:r>
    </w:p>
    <w:p w:rsidR="009F3549" w:rsidRPr="00607CA8" w:rsidRDefault="009F3549" w:rsidP="00607CA8">
      <w:pPr>
        <w:pStyle w:val="ListParagraph"/>
        <w:numPr>
          <w:ilvl w:val="0"/>
          <w:numId w:val="43"/>
        </w:numPr>
        <w:spacing w:line="360" w:lineRule="auto"/>
        <w:jc w:val="both"/>
        <w:rPr>
          <w:sz w:val="16"/>
          <w:szCs w:val="16"/>
        </w:rPr>
      </w:pPr>
      <w:r w:rsidRPr="00607CA8">
        <w:rPr>
          <w:sz w:val="16"/>
          <w:szCs w:val="16"/>
        </w:rPr>
        <w:t xml:space="preserve">For </w:t>
      </w:r>
      <w:r>
        <w:rPr>
          <w:sz w:val="16"/>
          <w:szCs w:val="16"/>
        </w:rPr>
        <w:t>r</w:t>
      </w:r>
      <w:r w:rsidRPr="00607CA8">
        <w:rPr>
          <w:sz w:val="16"/>
          <w:szCs w:val="16"/>
        </w:rPr>
        <w:t xml:space="preserve">egulatory capital purposes, any pension fund </w:t>
      </w:r>
      <w:r>
        <w:rPr>
          <w:sz w:val="16"/>
          <w:szCs w:val="16"/>
        </w:rPr>
        <w:t>surplus</w:t>
      </w:r>
      <w:r w:rsidRPr="00607CA8">
        <w:rPr>
          <w:sz w:val="16"/>
          <w:szCs w:val="16"/>
        </w:rPr>
        <w:t xml:space="preserve"> is treated as a </w:t>
      </w:r>
      <w:r>
        <w:rPr>
          <w:sz w:val="16"/>
          <w:szCs w:val="16"/>
        </w:rPr>
        <w:t>d</w:t>
      </w:r>
      <w:r w:rsidRPr="00607CA8">
        <w:rPr>
          <w:sz w:val="16"/>
          <w:szCs w:val="16"/>
        </w:rPr>
        <w:t xml:space="preserve">eduction </w:t>
      </w:r>
      <w:r>
        <w:rPr>
          <w:sz w:val="16"/>
          <w:szCs w:val="16"/>
        </w:rPr>
        <w:t xml:space="preserve">from </w:t>
      </w:r>
      <w:r w:rsidRPr="00607CA8">
        <w:rPr>
          <w:sz w:val="16"/>
          <w:szCs w:val="16"/>
        </w:rPr>
        <w:t>CET1 capital.</w:t>
      </w:r>
    </w:p>
    <w:p w:rsidR="009F3549" w:rsidRPr="00607CA8" w:rsidRDefault="009F3549" w:rsidP="00607CA8">
      <w:pPr>
        <w:pStyle w:val="ListParagraph"/>
        <w:numPr>
          <w:ilvl w:val="0"/>
          <w:numId w:val="43"/>
        </w:numPr>
        <w:spacing w:line="360" w:lineRule="auto"/>
        <w:jc w:val="both"/>
        <w:rPr>
          <w:sz w:val="16"/>
          <w:szCs w:val="16"/>
        </w:rPr>
      </w:pPr>
      <w:r>
        <w:rPr>
          <w:sz w:val="16"/>
          <w:szCs w:val="16"/>
        </w:rPr>
        <w:t>T</w:t>
      </w:r>
      <w:r w:rsidRPr="00607CA8">
        <w:rPr>
          <w:sz w:val="16"/>
          <w:szCs w:val="16"/>
        </w:rPr>
        <w:t>his adjustment will be recognised through the Statement of Other Comprehensive Income.</w:t>
      </w:r>
    </w:p>
    <w:p w:rsidR="009F3549" w:rsidRDefault="009F3549" w:rsidP="00607CA8">
      <w:pPr>
        <w:pStyle w:val="ListParagraph"/>
        <w:numPr>
          <w:ilvl w:val="0"/>
          <w:numId w:val="43"/>
        </w:numPr>
        <w:spacing w:line="360" w:lineRule="auto"/>
        <w:jc w:val="both"/>
        <w:rPr>
          <w:sz w:val="16"/>
          <w:szCs w:val="16"/>
        </w:rPr>
      </w:pPr>
      <w:r w:rsidRPr="00607CA8">
        <w:rPr>
          <w:sz w:val="16"/>
          <w:szCs w:val="16"/>
        </w:rPr>
        <w:t xml:space="preserve">There is a de </w:t>
      </w:r>
      <w:r>
        <w:rPr>
          <w:sz w:val="16"/>
          <w:szCs w:val="16"/>
        </w:rPr>
        <w:t>m</w:t>
      </w:r>
      <w:r w:rsidRPr="00607CA8">
        <w:rPr>
          <w:sz w:val="16"/>
          <w:szCs w:val="16"/>
        </w:rPr>
        <w:t xml:space="preserve">inimis benefit </w:t>
      </w:r>
      <w:r>
        <w:rPr>
          <w:sz w:val="16"/>
          <w:szCs w:val="16"/>
        </w:rPr>
        <w:t xml:space="preserve">(not shown) </w:t>
      </w:r>
      <w:r w:rsidRPr="00607CA8">
        <w:rPr>
          <w:sz w:val="16"/>
          <w:szCs w:val="16"/>
        </w:rPr>
        <w:t xml:space="preserve">from a small reduction in </w:t>
      </w:r>
      <w:r>
        <w:rPr>
          <w:sz w:val="16"/>
          <w:szCs w:val="16"/>
        </w:rPr>
        <w:t>r</w:t>
      </w:r>
      <w:r w:rsidRPr="00607CA8">
        <w:rPr>
          <w:sz w:val="16"/>
          <w:szCs w:val="16"/>
        </w:rPr>
        <w:t xml:space="preserve">isk </w:t>
      </w:r>
      <w:r>
        <w:rPr>
          <w:sz w:val="16"/>
          <w:szCs w:val="16"/>
        </w:rPr>
        <w:t>w</w:t>
      </w:r>
      <w:r w:rsidRPr="00607CA8">
        <w:rPr>
          <w:sz w:val="16"/>
          <w:szCs w:val="16"/>
        </w:rPr>
        <w:t xml:space="preserve">eighted </w:t>
      </w:r>
      <w:r>
        <w:rPr>
          <w:sz w:val="16"/>
          <w:szCs w:val="16"/>
        </w:rPr>
        <w:t>a</w:t>
      </w:r>
      <w:r w:rsidRPr="00607CA8">
        <w:rPr>
          <w:sz w:val="16"/>
          <w:szCs w:val="16"/>
        </w:rPr>
        <w:t xml:space="preserve">ssets </w:t>
      </w:r>
      <w:r>
        <w:rPr>
          <w:sz w:val="16"/>
          <w:szCs w:val="16"/>
        </w:rPr>
        <w:t xml:space="preserve">(“RWAs”) </w:t>
      </w:r>
      <w:r w:rsidRPr="00607CA8">
        <w:rPr>
          <w:sz w:val="16"/>
          <w:szCs w:val="16"/>
        </w:rPr>
        <w:t>as a result of deferred tax asset movements.</w:t>
      </w:r>
    </w:p>
    <w:p w:rsidR="009F3549" w:rsidRPr="008133CD" w:rsidRDefault="009F3549" w:rsidP="00607CA8">
      <w:pPr>
        <w:pStyle w:val="ListParagraph"/>
        <w:numPr>
          <w:ilvl w:val="0"/>
          <w:numId w:val="43"/>
        </w:numPr>
        <w:spacing w:line="360" w:lineRule="auto"/>
        <w:jc w:val="both"/>
        <w:rPr>
          <w:sz w:val="16"/>
          <w:szCs w:val="16"/>
        </w:rPr>
      </w:pPr>
      <w:r w:rsidRPr="00607CA8">
        <w:rPr>
          <w:sz w:val="16"/>
          <w:szCs w:val="16"/>
        </w:rPr>
        <w:t>These figures are preliminary estimates and are unaudited.</w:t>
      </w:r>
    </w:p>
    <w:p w:rsidR="009F3549" w:rsidRDefault="009F3549" w:rsidP="00D571D3">
      <w:pPr>
        <w:spacing w:line="360" w:lineRule="auto"/>
        <w:jc w:val="both"/>
      </w:pPr>
    </w:p>
    <w:p w:rsidR="009F3549" w:rsidRDefault="009F3549" w:rsidP="00D571D3">
      <w:pPr>
        <w:spacing w:line="360" w:lineRule="auto"/>
        <w:jc w:val="both"/>
      </w:pPr>
    </w:p>
    <w:p w:rsidR="009F3549" w:rsidRDefault="009F3549" w:rsidP="00D571D3">
      <w:pPr>
        <w:spacing w:line="360" w:lineRule="auto"/>
        <w:jc w:val="both"/>
      </w:pPr>
    </w:p>
    <w:p w:rsidR="009F3549" w:rsidRDefault="009F3549" w:rsidP="00D571D3">
      <w:pPr>
        <w:spacing w:line="360" w:lineRule="auto"/>
        <w:jc w:val="both"/>
      </w:pPr>
    </w:p>
    <w:p w:rsidR="009F3549" w:rsidRDefault="009F3549" w:rsidP="00D571D3">
      <w:pPr>
        <w:spacing w:line="360" w:lineRule="auto"/>
        <w:jc w:val="both"/>
      </w:pPr>
    </w:p>
    <w:p w:rsidR="009F3549" w:rsidRDefault="009F3549" w:rsidP="00D571D3">
      <w:pPr>
        <w:spacing w:line="360" w:lineRule="auto"/>
        <w:jc w:val="both"/>
      </w:pPr>
    </w:p>
    <w:p w:rsidR="009F3549" w:rsidRDefault="009F3549" w:rsidP="00D571D3">
      <w:pPr>
        <w:spacing w:line="360" w:lineRule="auto"/>
        <w:jc w:val="both"/>
      </w:pPr>
    </w:p>
    <w:p w:rsidR="009F3549" w:rsidRDefault="009F3549" w:rsidP="00D571D3">
      <w:pPr>
        <w:spacing w:line="360" w:lineRule="auto"/>
        <w:jc w:val="both"/>
      </w:pPr>
    </w:p>
    <w:p w:rsidR="009F3549" w:rsidRDefault="009F3549" w:rsidP="00D571D3">
      <w:pPr>
        <w:spacing w:line="360" w:lineRule="auto"/>
        <w:jc w:val="both"/>
      </w:pPr>
    </w:p>
    <w:p w:rsidR="009F3549" w:rsidRDefault="009F3549" w:rsidP="00D571D3">
      <w:pPr>
        <w:spacing w:line="360" w:lineRule="auto"/>
        <w:jc w:val="both"/>
      </w:pPr>
    </w:p>
    <w:p w:rsidR="009F3549" w:rsidRDefault="009F3549" w:rsidP="00D571D3">
      <w:pPr>
        <w:spacing w:line="360" w:lineRule="auto"/>
        <w:jc w:val="both"/>
      </w:pPr>
    </w:p>
    <w:p w:rsidR="009F3549" w:rsidRDefault="009F3549" w:rsidP="00D571D3">
      <w:pPr>
        <w:spacing w:line="360" w:lineRule="auto"/>
        <w:jc w:val="both"/>
      </w:pPr>
    </w:p>
    <w:p w:rsidR="009F3549" w:rsidRDefault="009F3549" w:rsidP="00D571D3">
      <w:pPr>
        <w:spacing w:line="360" w:lineRule="auto"/>
        <w:jc w:val="both"/>
      </w:pPr>
    </w:p>
    <w:p w:rsidR="009F3549" w:rsidRDefault="009F3549" w:rsidP="00D571D3">
      <w:pPr>
        <w:spacing w:line="360" w:lineRule="auto"/>
        <w:jc w:val="both"/>
      </w:pPr>
    </w:p>
    <w:p w:rsidR="009F3549" w:rsidRDefault="009F3549" w:rsidP="00D571D3">
      <w:pPr>
        <w:spacing w:line="360" w:lineRule="auto"/>
        <w:jc w:val="both"/>
      </w:pPr>
    </w:p>
    <w:p w:rsidR="009F3549" w:rsidRDefault="009F3549" w:rsidP="00D571D3">
      <w:pPr>
        <w:spacing w:line="360" w:lineRule="auto"/>
        <w:jc w:val="both"/>
      </w:pPr>
    </w:p>
    <w:p w:rsidR="009F3549" w:rsidRDefault="009F3549" w:rsidP="00D571D3">
      <w:pPr>
        <w:spacing w:line="360" w:lineRule="auto"/>
        <w:jc w:val="both"/>
      </w:pPr>
    </w:p>
    <w:p w:rsidR="009F3549" w:rsidRDefault="009F3549" w:rsidP="00D571D3">
      <w:pPr>
        <w:spacing w:line="360" w:lineRule="auto"/>
        <w:jc w:val="both"/>
      </w:pPr>
    </w:p>
    <w:p w:rsidR="009F3549" w:rsidRDefault="009F3549" w:rsidP="00D571D3">
      <w:pPr>
        <w:spacing w:line="360" w:lineRule="auto"/>
        <w:jc w:val="both"/>
      </w:pPr>
    </w:p>
    <w:p w:rsidR="009F3549" w:rsidRDefault="009F3549" w:rsidP="00D571D3">
      <w:pPr>
        <w:spacing w:line="360" w:lineRule="auto"/>
        <w:jc w:val="both"/>
      </w:pPr>
    </w:p>
    <w:p w:rsidR="009F3549" w:rsidRDefault="009F3549" w:rsidP="00D571D3">
      <w:pPr>
        <w:spacing w:line="360" w:lineRule="auto"/>
        <w:jc w:val="both"/>
      </w:pPr>
    </w:p>
    <w:p w:rsidR="009F3549" w:rsidRDefault="009F3549" w:rsidP="00D571D3">
      <w:pPr>
        <w:spacing w:line="360" w:lineRule="auto"/>
        <w:jc w:val="both"/>
      </w:pPr>
    </w:p>
    <w:p w:rsidR="009F3549" w:rsidRDefault="009F3549" w:rsidP="00D571D3">
      <w:pPr>
        <w:spacing w:line="360" w:lineRule="auto"/>
        <w:jc w:val="both"/>
      </w:pPr>
    </w:p>
    <w:p w:rsidR="009F3549" w:rsidRDefault="009F3549" w:rsidP="00CF3174">
      <w:pPr>
        <w:spacing w:line="360" w:lineRule="auto"/>
        <w:jc w:val="both"/>
        <w:rPr>
          <w:b/>
        </w:rPr>
      </w:pPr>
      <w:r>
        <w:rPr>
          <w:b/>
        </w:rPr>
        <w:t xml:space="preserve">2. Provision for </w:t>
      </w:r>
      <w:r w:rsidRPr="0000524A">
        <w:rPr>
          <w:b/>
        </w:rPr>
        <w:t>US RMBS litigation</w:t>
      </w:r>
    </w:p>
    <w:p w:rsidR="009F3549" w:rsidRDefault="009F3549" w:rsidP="00CF3174">
      <w:pPr>
        <w:spacing w:line="360" w:lineRule="auto"/>
        <w:jc w:val="both"/>
      </w:pPr>
      <w:r>
        <w:t>Following recent developments which have further informed our provision estimates, RBS has increased aggregate provisions related to US residential mortgage-backed securities (RMBS) claims by $2.2 billion (£1.5 billion) from approximately $3.4 billion to $5.6 billion (£2.3 billion to £3.8 billion).</w:t>
      </w:r>
    </w:p>
    <w:p w:rsidR="009F3549" w:rsidRDefault="009F3549" w:rsidP="00CF3174">
      <w:pPr>
        <w:spacing w:line="360" w:lineRule="auto"/>
        <w:jc w:val="both"/>
      </w:pPr>
    </w:p>
    <w:p w:rsidR="009F3549" w:rsidRDefault="009F3549" w:rsidP="00CF3174">
      <w:pPr>
        <w:spacing w:line="360" w:lineRule="auto"/>
        <w:jc w:val="both"/>
      </w:pPr>
      <w:r>
        <w:t>Existing provisions include $383 million (£258 million) relating to a judgment awarded in favour of the Federal Housing Finance Agency (“FHFA”) against Nomura Holding America Inc. (“Nomura”) and RBS.</w:t>
      </w:r>
    </w:p>
    <w:p w:rsidR="009F3549" w:rsidRDefault="009F3549" w:rsidP="00CF3174">
      <w:pPr>
        <w:spacing w:line="360" w:lineRule="auto"/>
        <w:jc w:val="both"/>
      </w:pPr>
    </w:p>
    <w:p w:rsidR="009F3549" w:rsidRDefault="009F3549" w:rsidP="00CF3174">
      <w:pPr>
        <w:spacing w:line="360" w:lineRule="auto"/>
        <w:jc w:val="both"/>
      </w:pPr>
      <w:r>
        <w:t>This judgment is now the subject of an appeal, any loss in respect of which RBS will be seeking contractual indemnification from Nomura (see Note 16 to the RBS Interim Results 2015 for further details).</w:t>
      </w:r>
    </w:p>
    <w:p w:rsidR="009F3549" w:rsidRDefault="009F3549" w:rsidP="00CF3174">
      <w:pPr>
        <w:spacing w:line="360" w:lineRule="auto"/>
        <w:jc w:val="both"/>
      </w:pPr>
    </w:p>
    <w:p w:rsidR="009F3549" w:rsidRDefault="009F3549" w:rsidP="00CF3174">
      <w:pPr>
        <w:spacing w:line="360" w:lineRule="auto"/>
        <w:jc w:val="both"/>
      </w:pPr>
      <w:r>
        <w:t xml:space="preserve">No provisions have been made in relation to resolving the on-going US Department of Justice (“DoJ”) and various US State Attorneys General investigations into RMBS-related conduct matters. The costs of resolving these investigations could individually or in aggregate prove to be substantial. </w:t>
      </w:r>
    </w:p>
    <w:p w:rsidR="009F3549" w:rsidRDefault="009F3549" w:rsidP="00CF3174">
      <w:pPr>
        <w:spacing w:line="360" w:lineRule="auto"/>
        <w:jc w:val="both"/>
      </w:pPr>
    </w:p>
    <w:p w:rsidR="009F3549" w:rsidRPr="0095706D" w:rsidRDefault="009F3549" w:rsidP="00CF3174">
      <w:pPr>
        <w:spacing w:line="360" w:lineRule="auto"/>
        <w:jc w:val="both"/>
        <w:rPr>
          <w:b/>
        </w:rPr>
      </w:pPr>
      <w:r w:rsidRPr="0095706D">
        <w:rPr>
          <w:b/>
        </w:rPr>
        <w:t>Table</w:t>
      </w:r>
      <w:r>
        <w:rPr>
          <w:b/>
        </w:rPr>
        <w:t xml:space="preserve"> 4</w:t>
      </w:r>
      <w:r w:rsidRPr="0095706D">
        <w:rPr>
          <w:b/>
        </w:rPr>
        <w:t>. US RMBS litigation and governmental and regulatory investigations (“RMBS Matters”)</w:t>
      </w: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7"/>
        <w:gridCol w:w="6727"/>
      </w:tblGrid>
      <w:tr w:rsidR="009F3549" w:rsidRPr="00EC35D1" w:rsidTr="007B61E4">
        <w:tc>
          <w:tcPr>
            <w:tcW w:w="2407" w:type="dxa"/>
          </w:tcPr>
          <w:p w:rsidR="009F3549" w:rsidRPr="00EC35D1" w:rsidRDefault="009F3549" w:rsidP="007B61E4">
            <w:pPr>
              <w:spacing w:line="360" w:lineRule="auto"/>
            </w:pPr>
            <w:r w:rsidRPr="00EC35D1">
              <w:t>Civil Litigation</w:t>
            </w:r>
          </w:p>
        </w:tc>
        <w:tc>
          <w:tcPr>
            <w:tcW w:w="6727" w:type="dxa"/>
          </w:tcPr>
          <w:p w:rsidR="009F3549" w:rsidRPr="00EC35D1" w:rsidRDefault="009F3549" w:rsidP="007B61E4">
            <w:pPr>
              <w:pStyle w:val="ListParagraph"/>
              <w:spacing w:line="360" w:lineRule="auto"/>
              <w:ind w:left="0"/>
            </w:pPr>
            <w:r w:rsidRPr="00EC35D1">
              <w:t xml:space="preserve">There are more than 20 lawsuits outstanding against </w:t>
            </w:r>
            <w:r>
              <w:t xml:space="preserve">Group entities </w:t>
            </w:r>
            <w:r w:rsidRPr="00EC35D1">
              <w:t xml:space="preserve">involving </w:t>
            </w:r>
            <w:r>
              <w:t>the issuance of approximately $</w:t>
            </w:r>
            <w:r w:rsidRPr="00EC35D1">
              <w:t>4</w:t>
            </w:r>
            <w:r>
              <w:t xml:space="preserve">3 </w:t>
            </w:r>
            <w:r w:rsidRPr="00EC35D1">
              <w:t>b</w:t>
            </w:r>
            <w:r>
              <w:t>illio</w:t>
            </w:r>
            <w:r w:rsidRPr="00EC35D1">
              <w:t xml:space="preserve">n (original principal balance) of </w:t>
            </w:r>
            <w:r>
              <w:t>RMBS</w:t>
            </w:r>
            <w:r w:rsidRPr="00EC35D1">
              <w:t xml:space="preserve">, consisting of: </w:t>
            </w:r>
            <w:r>
              <w:t xml:space="preserve">(i) </w:t>
            </w:r>
            <w:r w:rsidRPr="00E93D95">
              <w:rPr>
                <w:rFonts w:eastAsia="SimSun" w:cs="Calibri"/>
              </w:rPr>
              <w:t>F</w:t>
            </w:r>
            <w:r>
              <w:rPr>
                <w:rFonts w:eastAsia="SimSun" w:cs="Calibri"/>
              </w:rPr>
              <w:t>HFA</w:t>
            </w:r>
            <w:r>
              <w:t>,</w:t>
            </w:r>
            <w:r w:rsidRPr="0051660F">
              <w:t xml:space="preserve"> related to </w:t>
            </w:r>
            <w:r>
              <w:t xml:space="preserve">approximately </w:t>
            </w:r>
            <w:r w:rsidRPr="0051660F">
              <w:t>$3</w:t>
            </w:r>
            <w:r>
              <w:t xml:space="preserve">2 </w:t>
            </w:r>
            <w:r w:rsidRPr="0051660F">
              <w:t>b</w:t>
            </w:r>
            <w:r>
              <w:t>illio</w:t>
            </w:r>
            <w:r w:rsidRPr="0051660F">
              <w:t>n of RMBS (original principal balance)</w:t>
            </w:r>
            <w:r>
              <w:t xml:space="preserve">; (ii) </w:t>
            </w:r>
            <w:r w:rsidRPr="00E93D95">
              <w:rPr>
                <w:rFonts w:eastAsia="SimSun" w:cs="Calibri"/>
              </w:rPr>
              <w:t xml:space="preserve">National Credit Union Administration </w:t>
            </w:r>
            <w:r>
              <w:t xml:space="preserve">(two cases), </w:t>
            </w:r>
            <w:r w:rsidRPr="0051660F">
              <w:t xml:space="preserve">related to </w:t>
            </w:r>
            <w:r>
              <w:t xml:space="preserve">approximately </w:t>
            </w:r>
            <w:r w:rsidRPr="0051660F">
              <w:t>$3</w:t>
            </w:r>
            <w:r>
              <w:t xml:space="preserve">.25 </w:t>
            </w:r>
            <w:r w:rsidRPr="0051660F">
              <w:t>b</w:t>
            </w:r>
            <w:r>
              <w:t>illio</w:t>
            </w:r>
            <w:r w:rsidRPr="0051660F">
              <w:t>n of RMBS (original principal balance)</w:t>
            </w:r>
            <w:r>
              <w:t>; and (iii) other claims</w:t>
            </w:r>
            <w:r w:rsidRPr="0051660F">
              <w:t xml:space="preserve"> (including Novastar class action</w:t>
            </w:r>
            <w:r>
              <w:t xml:space="preserve"> and FHFA v. Nomura/RBS</w:t>
            </w:r>
            <w:r w:rsidRPr="0051660F">
              <w:t>)</w:t>
            </w:r>
            <w:r>
              <w:t>,</w:t>
            </w:r>
            <w:r w:rsidRPr="0051660F">
              <w:t xml:space="preserve"> related to approximately </w:t>
            </w:r>
            <w:r w:rsidRPr="00EC35D1">
              <w:t>$</w:t>
            </w:r>
            <w:r>
              <w:t>7.8 billion of RMBS (original principal balance).</w:t>
            </w:r>
          </w:p>
        </w:tc>
      </w:tr>
      <w:tr w:rsidR="009F3549" w:rsidRPr="00EC35D1" w:rsidTr="007B61E4">
        <w:tc>
          <w:tcPr>
            <w:tcW w:w="2407" w:type="dxa"/>
          </w:tcPr>
          <w:p w:rsidR="009F3549" w:rsidRPr="00EC35D1" w:rsidRDefault="009F3549" w:rsidP="007B61E4">
            <w:pPr>
              <w:spacing w:line="360" w:lineRule="auto"/>
            </w:pPr>
            <w:r>
              <w:t xml:space="preserve">US  </w:t>
            </w:r>
            <w:r w:rsidRPr="00EC35D1">
              <w:t>Department of Justice</w:t>
            </w:r>
          </w:p>
        </w:tc>
        <w:tc>
          <w:tcPr>
            <w:tcW w:w="6727" w:type="dxa"/>
          </w:tcPr>
          <w:p w:rsidR="009F3549" w:rsidRPr="00EC35D1" w:rsidRDefault="009F3549" w:rsidP="007B61E4">
            <w:pPr>
              <w:pStyle w:val="ListParagraph"/>
              <w:spacing w:line="360" w:lineRule="auto"/>
              <w:ind w:left="0"/>
            </w:pPr>
            <w:r w:rsidRPr="00EC35D1">
              <w:t>Active</w:t>
            </w:r>
            <w:r>
              <w:t xml:space="preserve"> criminal and civil</w:t>
            </w:r>
            <w:r w:rsidRPr="00EC35D1">
              <w:t xml:space="preserve"> investigations </w:t>
            </w:r>
            <w:r>
              <w:t xml:space="preserve">by the DoJ </w:t>
            </w:r>
            <w:r w:rsidRPr="00EC35D1">
              <w:t>continue</w:t>
            </w:r>
            <w:r>
              <w:t>.</w:t>
            </w:r>
          </w:p>
        </w:tc>
      </w:tr>
      <w:tr w:rsidR="009F3549" w:rsidRPr="00EC35D1" w:rsidTr="007B61E4">
        <w:tc>
          <w:tcPr>
            <w:tcW w:w="2407" w:type="dxa"/>
          </w:tcPr>
          <w:p w:rsidR="009F3549" w:rsidRPr="00EC35D1" w:rsidRDefault="009F3549" w:rsidP="007B61E4">
            <w:pPr>
              <w:spacing w:line="360" w:lineRule="auto"/>
            </w:pPr>
            <w:r w:rsidRPr="00EC35D1">
              <w:t>State Attorneys General</w:t>
            </w:r>
          </w:p>
        </w:tc>
        <w:tc>
          <w:tcPr>
            <w:tcW w:w="6727" w:type="dxa"/>
          </w:tcPr>
          <w:p w:rsidR="009F3549" w:rsidRPr="00EC35D1" w:rsidRDefault="009F3549" w:rsidP="007B61E4">
            <w:pPr>
              <w:pStyle w:val="ListParagraph"/>
              <w:spacing w:line="360" w:lineRule="auto"/>
              <w:ind w:left="0"/>
            </w:pPr>
            <w:r>
              <w:t>Active i</w:t>
            </w:r>
            <w:r w:rsidRPr="00EC35D1">
              <w:t>nvestigations by several State Attorneys General and agencies</w:t>
            </w:r>
            <w:r>
              <w:t xml:space="preserve"> continue.</w:t>
            </w:r>
          </w:p>
        </w:tc>
      </w:tr>
    </w:tbl>
    <w:p w:rsidR="009F3549" w:rsidRDefault="009F3549" w:rsidP="00CF3174">
      <w:pPr>
        <w:spacing w:line="360" w:lineRule="auto"/>
        <w:ind w:left="360"/>
        <w:jc w:val="both"/>
      </w:pPr>
    </w:p>
    <w:p w:rsidR="009F3549" w:rsidRDefault="009F3549" w:rsidP="00E87A9B">
      <w:pPr>
        <w:spacing w:line="360" w:lineRule="auto"/>
        <w:jc w:val="both"/>
      </w:pPr>
      <w:r>
        <w:t xml:space="preserve">The matters outlined in the table above are described in the notes to the Group’s Interim Results 2015 and Q3 </w:t>
      </w:r>
      <w:r w:rsidRPr="00221BFF">
        <w:t xml:space="preserve">2015 </w:t>
      </w:r>
      <w:r>
        <w:t>Interim Management Statement</w:t>
      </w:r>
      <w:r w:rsidRPr="00221BFF">
        <w:t xml:space="preserve"> and are in addition to a significant number of other on-going matters</w:t>
      </w:r>
      <w:r>
        <w:t>. A full update in respect of the Group’s litigation and investigation matters will be provided at the time of the Group’s 2015 results announcement on 26 February 2016.</w:t>
      </w:r>
    </w:p>
    <w:p w:rsidR="009F3549" w:rsidRDefault="009F3549" w:rsidP="00E87A9B">
      <w:pPr>
        <w:spacing w:line="360" w:lineRule="auto"/>
        <w:jc w:val="both"/>
      </w:pPr>
    </w:p>
    <w:p w:rsidR="009F3549" w:rsidRPr="000779FF" w:rsidRDefault="009F3549" w:rsidP="00EF0D9B">
      <w:pPr>
        <w:spacing w:line="360" w:lineRule="auto"/>
        <w:jc w:val="both"/>
        <w:rPr>
          <w:color w:val="C00000"/>
        </w:rPr>
      </w:pPr>
      <w:r w:rsidRPr="00B2262D">
        <w:t>Additional settlement costs or provisions related to some or all of the RMBS related claims and investigations listed above may be necessary in future periods for amounts that could be substantial in some instances and in aggregate could be substantially in excess of the aggregate recognised RMBS related provisions that have been tak</w:t>
      </w:r>
      <w:r>
        <w:t>en following this announcement.</w:t>
      </w:r>
    </w:p>
    <w:p w:rsidR="009F3549" w:rsidRDefault="009F3549" w:rsidP="00E87A9B">
      <w:pPr>
        <w:spacing w:line="360" w:lineRule="auto"/>
        <w:jc w:val="both"/>
        <w:rPr>
          <w:b/>
        </w:rPr>
      </w:pPr>
    </w:p>
    <w:p w:rsidR="009F3549" w:rsidRPr="0000524A" w:rsidRDefault="009F3549" w:rsidP="00E87A9B">
      <w:pPr>
        <w:spacing w:line="360" w:lineRule="auto"/>
        <w:jc w:val="both"/>
        <w:rPr>
          <w:b/>
        </w:rPr>
      </w:pPr>
      <w:r>
        <w:rPr>
          <w:b/>
        </w:rPr>
        <w:t xml:space="preserve">3. Provision for </w:t>
      </w:r>
      <w:r w:rsidRPr="0000524A">
        <w:rPr>
          <w:b/>
        </w:rPr>
        <w:t>PPI</w:t>
      </w:r>
    </w:p>
    <w:p w:rsidR="009F3549" w:rsidRDefault="009F3549" w:rsidP="00E87A9B">
      <w:pPr>
        <w:spacing w:line="360" w:lineRule="auto"/>
        <w:jc w:val="both"/>
      </w:pPr>
      <w:r>
        <w:t>An additional £500 million provision has been recognised following the publication of the Financial Conduct Authority’s (“FCA”) consultation paper CP15/39 “Rules and guidance on payment protection insurance complaints” which proposes the setting of a deadline date for complaints in 2018 on a date to be confirmed, and sets out proposals for the treatment of PPI complaints following the Supreme Court’s decision in Plevin v Paragon Personal Finance Ltd. No tax benefit has been attributed to this charge.</w:t>
      </w:r>
    </w:p>
    <w:p w:rsidR="009F3549" w:rsidRDefault="009F3549" w:rsidP="00E87A9B">
      <w:pPr>
        <w:spacing w:line="360" w:lineRule="auto"/>
        <w:jc w:val="both"/>
      </w:pPr>
    </w:p>
    <w:p w:rsidR="009F3549" w:rsidRDefault="009F3549" w:rsidP="00E87A9B">
      <w:pPr>
        <w:spacing w:line="360" w:lineRule="auto"/>
        <w:jc w:val="both"/>
      </w:pPr>
      <w:r>
        <w:t xml:space="preserve">The proposals include an FCA-led communications campaign to raise awareness of the deadline to prompt those who intend to complain to act ahead of the deadline. If the proposals are agreed and implemented, we expect higher claims volumes, persisting longer than previously modelled, and additional compensation payments in relation to PPI claims as a result of the Plevin judgement. </w:t>
      </w:r>
    </w:p>
    <w:p w:rsidR="009F3549" w:rsidRDefault="009F3549" w:rsidP="00E87A9B">
      <w:pPr>
        <w:spacing w:line="360" w:lineRule="auto"/>
        <w:jc w:val="both"/>
      </w:pPr>
      <w:r>
        <w:t xml:space="preserve"> </w:t>
      </w:r>
    </w:p>
    <w:p w:rsidR="009F3549" w:rsidRDefault="009F3549" w:rsidP="00E87A9B">
      <w:pPr>
        <w:spacing w:line="360" w:lineRule="auto"/>
        <w:jc w:val="both"/>
      </w:pPr>
      <w:r>
        <w:t>Complaints made after the proposed 2018 deadline would lose the right to be assessed by firms or by the Financial Ombudsman Service; bringing an end to new PPI cases in 2018.</w:t>
      </w:r>
    </w:p>
    <w:p w:rsidR="009F3549" w:rsidRDefault="009F3549" w:rsidP="00E87A9B">
      <w:pPr>
        <w:spacing w:line="360" w:lineRule="auto"/>
        <w:jc w:val="both"/>
      </w:pPr>
    </w:p>
    <w:p w:rsidR="009F3549" w:rsidRDefault="009F3549" w:rsidP="00E87A9B">
      <w:pPr>
        <w:spacing w:line="360" w:lineRule="auto"/>
        <w:jc w:val="both"/>
      </w:pPr>
      <w:r>
        <w:t>PPI complaint volumes during Q4 2015 were in line with previous trends.</w:t>
      </w:r>
    </w:p>
    <w:p w:rsidR="009F3549" w:rsidRDefault="009F3549" w:rsidP="00E87A9B">
      <w:pPr>
        <w:spacing w:line="360" w:lineRule="auto"/>
        <w:jc w:val="both"/>
      </w:pPr>
    </w:p>
    <w:p w:rsidR="009F3549" w:rsidRDefault="009F3549" w:rsidP="00E87A9B">
      <w:pPr>
        <w:spacing w:line="360" w:lineRule="auto"/>
        <w:jc w:val="both"/>
      </w:pPr>
      <w:r>
        <w:t>Based on current assumptions and facts, including an anticipated acceleration of claims in the period up to the proposed 2018 deadline date, we believe that with this additional provision, RBS’s combined PPI provisions as at end Q4 2015 are sufficient for anticipated PPI claims costs through to the proposed deadline. However, this is based upon the implementation of the current FCA guidance, modelled future claims experience and other assumptions, any of which may change.</w:t>
      </w:r>
    </w:p>
    <w:p w:rsidR="009F3549" w:rsidRDefault="009F3549" w:rsidP="00E87A9B">
      <w:pPr>
        <w:spacing w:line="360" w:lineRule="auto"/>
        <w:jc w:val="both"/>
      </w:pPr>
    </w:p>
    <w:p w:rsidR="009F3549" w:rsidRDefault="009F3549" w:rsidP="004A7A39">
      <w:pPr>
        <w:spacing w:line="360" w:lineRule="auto"/>
        <w:jc w:val="both"/>
      </w:pPr>
    </w:p>
    <w:p w:rsidR="009F3549" w:rsidRPr="00BC2572" w:rsidRDefault="009F3549" w:rsidP="0095706D">
      <w:pPr>
        <w:spacing w:line="360" w:lineRule="auto"/>
        <w:jc w:val="both"/>
        <w:rPr>
          <w:b/>
        </w:rPr>
      </w:pPr>
      <w:r>
        <w:rPr>
          <w:b/>
        </w:rPr>
        <w:t>4. G</w:t>
      </w:r>
      <w:r w:rsidRPr="00D9720B">
        <w:rPr>
          <w:b/>
        </w:rPr>
        <w:t xml:space="preserve">oodwill </w:t>
      </w:r>
      <w:r>
        <w:rPr>
          <w:b/>
        </w:rPr>
        <w:t>impairment</w:t>
      </w:r>
    </w:p>
    <w:p w:rsidR="009F3549" w:rsidRDefault="009F3549" w:rsidP="0095706D">
      <w:pPr>
        <w:spacing w:line="360" w:lineRule="auto"/>
        <w:jc w:val="both"/>
      </w:pPr>
    </w:p>
    <w:p w:rsidR="009F3549" w:rsidRDefault="009F3549" w:rsidP="0095706D">
      <w:pPr>
        <w:autoSpaceDE w:val="0"/>
        <w:autoSpaceDN w:val="0"/>
        <w:adjustRightInd w:val="0"/>
        <w:spacing w:line="360" w:lineRule="auto"/>
        <w:jc w:val="both"/>
        <w:rPr>
          <w:rFonts w:cs="Arial"/>
          <w:bCs/>
          <w:szCs w:val="20"/>
        </w:rPr>
      </w:pPr>
      <w:r w:rsidRPr="00CF35FA">
        <w:rPr>
          <w:rFonts w:cs="Arial"/>
          <w:szCs w:val="20"/>
        </w:rPr>
        <w:t xml:space="preserve">RBS has made changes to its operating segments. With effect from Q4 2015, reportable segments are: </w:t>
      </w:r>
      <w:r w:rsidRPr="00CF35FA">
        <w:rPr>
          <w:rFonts w:cs="Arial"/>
          <w:bCs/>
          <w:szCs w:val="20"/>
        </w:rPr>
        <w:t>UK P</w:t>
      </w:r>
      <w:r>
        <w:rPr>
          <w:rFonts w:cs="Arial"/>
          <w:bCs/>
          <w:szCs w:val="20"/>
        </w:rPr>
        <w:t>ersonal &amp; Business Banking;</w:t>
      </w:r>
      <w:r w:rsidRPr="00CF35FA">
        <w:rPr>
          <w:rFonts w:cs="Arial"/>
          <w:bCs/>
          <w:szCs w:val="20"/>
        </w:rPr>
        <w:t xml:space="preserve"> Ulster</w:t>
      </w:r>
      <w:r>
        <w:rPr>
          <w:rFonts w:cs="Arial"/>
          <w:bCs/>
          <w:szCs w:val="20"/>
        </w:rPr>
        <w:t xml:space="preserve"> RoI;</w:t>
      </w:r>
      <w:r w:rsidRPr="00CF35FA">
        <w:rPr>
          <w:rFonts w:cs="Arial"/>
          <w:szCs w:val="20"/>
        </w:rPr>
        <w:t xml:space="preserve"> </w:t>
      </w:r>
      <w:r w:rsidRPr="00CF35FA">
        <w:rPr>
          <w:rFonts w:cs="Arial"/>
          <w:bCs/>
          <w:szCs w:val="20"/>
        </w:rPr>
        <w:t>Commercial Banking</w:t>
      </w:r>
      <w:r>
        <w:rPr>
          <w:rFonts w:cs="Arial"/>
          <w:bCs/>
          <w:szCs w:val="20"/>
        </w:rPr>
        <w:t>; Private Banking; RBS International;</w:t>
      </w:r>
      <w:r w:rsidRPr="00CF35FA">
        <w:rPr>
          <w:rFonts w:cs="Arial"/>
          <w:bCs/>
          <w:szCs w:val="20"/>
        </w:rPr>
        <w:t xml:space="preserve"> C</w:t>
      </w:r>
      <w:r>
        <w:rPr>
          <w:rFonts w:cs="Arial"/>
          <w:bCs/>
          <w:szCs w:val="20"/>
        </w:rPr>
        <w:t xml:space="preserve">orporate and </w:t>
      </w:r>
      <w:r w:rsidRPr="00CF35FA">
        <w:rPr>
          <w:rFonts w:cs="Arial"/>
          <w:bCs/>
          <w:szCs w:val="20"/>
        </w:rPr>
        <w:t>I</w:t>
      </w:r>
      <w:r>
        <w:rPr>
          <w:rFonts w:cs="Arial"/>
          <w:bCs/>
          <w:szCs w:val="20"/>
        </w:rPr>
        <w:t xml:space="preserve">nstitutional </w:t>
      </w:r>
      <w:r w:rsidRPr="00CF35FA">
        <w:rPr>
          <w:rFonts w:cs="Arial"/>
          <w:bCs/>
          <w:szCs w:val="20"/>
        </w:rPr>
        <w:t>B</w:t>
      </w:r>
      <w:r>
        <w:rPr>
          <w:rFonts w:cs="Arial"/>
          <w:bCs/>
          <w:szCs w:val="20"/>
        </w:rPr>
        <w:t>anking; Capital Resolution;</w:t>
      </w:r>
      <w:r w:rsidRPr="00CF35FA">
        <w:rPr>
          <w:rFonts w:cs="Arial"/>
          <w:bCs/>
          <w:szCs w:val="20"/>
        </w:rPr>
        <w:t xml:space="preserve"> Williams &amp; Glyn</w:t>
      </w:r>
      <w:r>
        <w:rPr>
          <w:rFonts w:cs="Arial"/>
          <w:bCs/>
          <w:szCs w:val="20"/>
        </w:rPr>
        <w:t>;</w:t>
      </w:r>
      <w:r w:rsidRPr="00CF35FA">
        <w:rPr>
          <w:rFonts w:cs="Arial"/>
          <w:bCs/>
          <w:szCs w:val="20"/>
        </w:rPr>
        <w:t xml:space="preserve"> </w:t>
      </w:r>
      <w:r w:rsidRPr="00CF35FA">
        <w:rPr>
          <w:rFonts w:cs="Arial"/>
          <w:szCs w:val="20"/>
        </w:rPr>
        <w:t xml:space="preserve">and </w:t>
      </w:r>
      <w:r>
        <w:rPr>
          <w:rFonts w:cs="Arial"/>
          <w:bCs/>
          <w:szCs w:val="20"/>
        </w:rPr>
        <w:t>Central Items &amp; O</w:t>
      </w:r>
      <w:r w:rsidRPr="00CF35FA">
        <w:rPr>
          <w:rFonts w:cs="Arial"/>
          <w:bCs/>
          <w:szCs w:val="20"/>
        </w:rPr>
        <w:t>ther.</w:t>
      </w:r>
    </w:p>
    <w:p w:rsidR="009F3549" w:rsidRDefault="009F3549" w:rsidP="0095706D">
      <w:pPr>
        <w:autoSpaceDE w:val="0"/>
        <w:autoSpaceDN w:val="0"/>
        <w:adjustRightInd w:val="0"/>
        <w:spacing w:line="360" w:lineRule="auto"/>
        <w:jc w:val="both"/>
        <w:rPr>
          <w:rFonts w:cs="Arial"/>
          <w:bCs/>
          <w:szCs w:val="20"/>
        </w:rPr>
      </w:pPr>
    </w:p>
    <w:p w:rsidR="009F3549" w:rsidRPr="00CF35FA" w:rsidRDefault="009F3549" w:rsidP="00D43279">
      <w:pPr>
        <w:autoSpaceDE w:val="0"/>
        <w:autoSpaceDN w:val="0"/>
        <w:adjustRightInd w:val="0"/>
        <w:spacing w:line="360" w:lineRule="auto"/>
        <w:jc w:val="both"/>
        <w:rPr>
          <w:rFonts w:cs="Arial"/>
          <w:szCs w:val="20"/>
        </w:rPr>
      </w:pPr>
      <w:r>
        <w:rPr>
          <w:rFonts w:cs="Arial"/>
          <w:bCs/>
          <w:szCs w:val="20"/>
        </w:rPr>
        <w:t>Year end impairment testing indicates that t</w:t>
      </w:r>
      <w:r w:rsidRPr="00CF35FA">
        <w:rPr>
          <w:rFonts w:cs="Arial"/>
          <w:bCs/>
          <w:szCs w:val="20"/>
        </w:rPr>
        <w:t>he carrying value of Private Banking</w:t>
      </w:r>
      <w:r>
        <w:rPr>
          <w:rFonts w:cs="Arial"/>
          <w:bCs/>
          <w:szCs w:val="20"/>
        </w:rPr>
        <w:t xml:space="preserve"> including attributable goodwill</w:t>
      </w:r>
      <w:r w:rsidRPr="00CF35FA">
        <w:rPr>
          <w:rFonts w:cs="Arial"/>
          <w:bCs/>
          <w:szCs w:val="20"/>
        </w:rPr>
        <w:t xml:space="preserve"> </w:t>
      </w:r>
      <w:r>
        <w:rPr>
          <w:rFonts w:cs="Arial"/>
          <w:bCs/>
          <w:szCs w:val="20"/>
        </w:rPr>
        <w:t>of £498 million</w:t>
      </w:r>
      <w:r w:rsidRPr="00CF35FA">
        <w:rPr>
          <w:rFonts w:cs="Arial"/>
          <w:bCs/>
          <w:szCs w:val="20"/>
        </w:rPr>
        <w:t xml:space="preserve"> exceeded its recoverable amount reflecting</w:t>
      </w:r>
      <w:r>
        <w:rPr>
          <w:rFonts w:cs="Arial"/>
          <w:bCs/>
          <w:szCs w:val="20"/>
        </w:rPr>
        <w:t xml:space="preserve"> a number of factors including a </w:t>
      </w:r>
      <w:r w:rsidRPr="00CF35FA">
        <w:rPr>
          <w:rFonts w:cs="Arial"/>
          <w:bCs/>
          <w:szCs w:val="20"/>
        </w:rPr>
        <w:t xml:space="preserve">reduction in anticipated </w:t>
      </w:r>
      <w:r>
        <w:rPr>
          <w:rFonts w:cs="Arial"/>
          <w:bCs/>
          <w:szCs w:val="20"/>
        </w:rPr>
        <w:t xml:space="preserve">future </w:t>
      </w:r>
      <w:r w:rsidRPr="00CF35FA">
        <w:rPr>
          <w:rFonts w:cs="Arial"/>
          <w:bCs/>
          <w:szCs w:val="20"/>
        </w:rPr>
        <w:t>profitability</w:t>
      </w:r>
      <w:r>
        <w:rPr>
          <w:rFonts w:cs="Arial"/>
          <w:bCs/>
          <w:szCs w:val="20"/>
        </w:rPr>
        <w:t xml:space="preserve"> due to the continuing low interest rate environment, a higher tax rate, margin pressure and higher capital allocations. C</w:t>
      </w:r>
      <w:r w:rsidRPr="00CF35FA">
        <w:rPr>
          <w:rFonts w:cs="Arial"/>
          <w:bCs/>
          <w:szCs w:val="20"/>
        </w:rPr>
        <w:t>onsequently</w:t>
      </w:r>
      <w:r>
        <w:rPr>
          <w:rFonts w:cs="Arial"/>
          <w:bCs/>
          <w:szCs w:val="20"/>
        </w:rPr>
        <w:t>,</w:t>
      </w:r>
      <w:r w:rsidRPr="00CF35FA">
        <w:rPr>
          <w:rFonts w:cs="Arial"/>
          <w:bCs/>
          <w:szCs w:val="20"/>
        </w:rPr>
        <w:t xml:space="preserve"> RBS </w:t>
      </w:r>
      <w:r>
        <w:rPr>
          <w:rFonts w:cs="Arial"/>
          <w:bCs/>
          <w:szCs w:val="20"/>
        </w:rPr>
        <w:t xml:space="preserve">now </w:t>
      </w:r>
      <w:r w:rsidRPr="00CF35FA">
        <w:rPr>
          <w:rFonts w:cs="Arial"/>
          <w:bCs/>
          <w:szCs w:val="20"/>
        </w:rPr>
        <w:t>expects to record a goodwill impairment charge of £</w:t>
      </w:r>
      <w:r>
        <w:rPr>
          <w:rFonts w:cs="Arial"/>
          <w:bCs/>
          <w:szCs w:val="20"/>
        </w:rPr>
        <w:t>498</w:t>
      </w:r>
      <w:r w:rsidRPr="00CF35FA">
        <w:rPr>
          <w:rFonts w:cs="Arial"/>
          <w:bCs/>
          <w:szCs w:val="20"/>
        </w:rPr>
        <w:t xml:space="preserve"> million in respect of Private Banking in Q4 2015</w:t>
      </w:r>
      <w:r>
        <w:rPr>
          <w:rFonts w:cs="Arial"/>
          <w:bCs/>
          <w:szCs w:val="20"/>
        </w:rPr>
        <w:t xml:space="preserve"> that would fully write off attributable goodwill. This action will have no impact on CET1 capital or TNAV per share.</w:t>
      </w:r>
    </w:p>
    <w:p w:rsidR="009F3549" w:rsidRDefault="009F3549" w:rsidP="0095706D">
      <w:pPr>
        <w:autoSpaceDE w:val="0"/>
        <w:autoSpaceDN w:val="0"/>
        <w:adjustRightInd w:val="0"/>
        <w:spacing w:line="360" w:lineRule="auto"/>
        <w:jc w:val="both"/>
        <w:rPr>
          <w:rFonts w:cs="Arial"/>
          <w:bCs/>
          <w:szCs w:val="20"/>
        </w:rPr>
      </w:pPr>
    </w:p>
    <w:p w:rsidR="009F3549" w:rsidRDefault="009F3549" w:rsidP="0095706D">
      <w:pPr>
        <w:autoSpaceDE w:val="0"/>
        <w:autoSpaceDN w:val="0"/>
        <w:adjustRightInd w:val="0"/>
        <w:spacing w:line="360" w:lineRule="auto"/>
        <w:jc w:val="both"/>
        <w:rPr>
          <w:rFonts w:cs="Arial"/>
          <w:bCs/>
          <w:szCs w:val="20"/>
        </w:rPr>
      </w:pPr>
      <w:r>
        <w:rPr>
          <w:rFonts w:cs="Arial"/>
          <w:bCs/>
          <w:szCs w:val="20"/>
        </w:rPr>
        <w:t>For the quarter ended 30 September 2015, on the previously reported basis, the adjusted operating profit of Private Banking excluding the International Business being sold was £38 million, Risk Weighted Assets were £8 billion and adjusted return on equity was 8.2%. Following the announced sale of the International business that is expected to complete in H1 2016, Private Banking is being repositioned to focus on its core strengths serving UK high net worth customers with a plan to deliver long term sustainable returns above the cost of capital.</w:t>
      </w:r>
    </w:p>
    <w:p w:rsidR="009F3549" w:rsidRDefault="009F3549" w:rsidP="0095706D">
      <w:pPr>
        <w:autoSpaceDE w:val="0"/>
        <w:autoSpaceDN w:val="0"/>
        <w:adjustRightInd w:val="0"/>
        <w:spacing w:line="360" w:lineRule="auto"/>
        <w:jc w:val="both"/>
        <w:rPr>
          <w:rFonts w:cs="Arial"/>
          <w:bCs/>
          <w:szCs w:val="20"/>
        </w:rPr>
      </w:pPr>
    </w:p>
    <w:p w:rsidR="009F3549" w:rsidRDefault="009F3549" w:rsidP="0095706D">
      <w:pPr>
        <w:spacing w:line="360" w:lineRule="auto"/>
        <w:jc w:val="both"/>
      </w:pPr>
    </w:p>
    <w:p w:rsidR="009F3549" w:rsidRPr="00BC2572" w:rsidRDefault="009F3549" w:rsidP="00E87A9B">
      <w:pPr>
        <w:spacing w:line="360" w:lineRule="auto"/>
        <w:jc w:val="both"/>
        <w:rPr>
          <w:b/>
        </w:rPr>
      </w:pPr>
      <w:r>
        <w:rPr>
          <w:b/>
        </w:rPr>
        <w:t>5.</w:t>
      </w:r>
      <w:r w:rsidRPr="00252E05">
        <w:t xml:space="preserve"> </w:t>
      </w:r>
      <w:r w:rsidRPr="00252E05">
        <w:rPr>
          <w:b/>
        </w:rPr>
        <w:t>Impact on distributable reserves of the Royal Bank of Scotland Group plc</w:t>
      </w:r>
    </w:p>
    <w:p w:rsidR="009F3549" w:rsidRDefault="009F3549" w:rsidP="00E87A9B">
      <w:pPr>
        <w:spacing w:line="360" w:lineRule="auto"/>
        <w:jc w:val="both"/>
      </w:pPr>
    </w:p>
    <w:p w:rsidR="009F3549" w:rsidRDefault="009F3549" w:rsidP="00E87A9B">
      <w:pPr>
        <w:spacing w:line="360" w:lineRule="auto"/>
        <w:jc w:val="both"/>
      </w:pPr>
      <w:r w:rsidRPr="00252E05">
        <w:t>The change in defined benefit accounting policy and the incremental conduct and litigation provisions have no impact on the distributable reserves in the unconsolidated parent company accounts of</w:t>
      </w:r>
      <w:r>
        <w:t xml:space="preserve"> The </w:t>
      </w:r>
      <w:r w:rsidRPr="00252E05">
        <w:t xml:space="preserve"> R</w:t>
      </w:r>
      <w:r>
        <w:t xml:space="preserve">oyal </w:t>
      </w:r>
      <w:r w:rsidRPr="00252E05">
        <w:t>B</w:t>
      </w:r>
      <w:r>
        <w:t xml:space="preserve">ank of </w:t>
      </w:r>
      <w:r w:rsidRPr="00252E05">
        <w:t>S</w:t>
      </w:r>
      <w:r>
        <w:t>cotland</w:t>
      </w:r>
      <w:r w:rsidRPr="00252E05">
        <w:t xml:space="preserve"> Group plc</w:t>
      </w:r>
      <w:r>
        <w:t xml:space="preserve"> as at 31 December 2015</w:t>
      </w:r>
      <w:r w:rsidRPr="00252E05">
        <w:t>. Its distributable reserves at 30 September 2015 were £16.6 billion.</w:t>
      </w:r>
    </w:p>
    <w:p w:rsidR="009F3549" w:rsidRDefault="009F3549" w:rsidP="0095706D">
      <w:pPr>
        <w:spacing w:line="360" w:lineRule="auto"/>
        <w:jc w:val="both"/>
      </w:pPr>
    </w:p>
    <w:p w:rsidR="009F3549" w:rsidRDefault="009F3549" w:rsidP="0095706D">
      <w:pPr>
        <w:spacing w:line="360" w:lineRule="auto"/>
        <w:jc w:val="both"/>
      </w:pPr>
    </w:p>
    <w:p w:rsidR="009F3549" w:rsidRPr="00BC2572" w:rsidRDefault="009F3549" w:rsidP="00EA70EE">
      <w:pPr>
        <w:spacing w:line="360" w:lineRule="auto"/>
        <w:jc w:val="both"/>
        <w:rPr>
          <w:b/>
        </w:rPr>
      </w:pPr>
      <w:r>
        <w:rPr>
          <w:b/>
        </w:rPr>
        <w:t>6. Re-segmentation of historical financials</w:t>
      </w:r>
    </w:p>
    <w:p w:rsidR="009F3549" w:rsidRDefault="009F3549" w:rsidP="0095706D">
      <w:pPr>
        <w:spacing w:line="360" w:lineRule="auto"/>
        <w:jc w:val="both"/>
      </w:pPr>
    </w:p>
    <w:p w:rsidR="009F3549" w:rsidRDefault="009F3549" w:rsidP="00913384">
      <w:pPr>
        <w:spacing w:line="360" w:lineRule="auto"/>
        <w:jc w:val="both"/>
      </w:pPr>
      <w:r w:rsidRPr="00F1739F">
        <w:t xml:space="preserve">RBS will provide further details of the changes to </w:t>
      </w:r>
      <w:r>
        <w:t xml:space="preserve">its reporting </w:t>
      </w:r>
      <w:r w:rsidRPr="00F1739F">
        <w:t>structure as well as restated</w:t>
      </w:r>
      <w:r>
        <w:t xml:space="preserve"> historical</w:t>
      </w:r>
      <w:r w:rsidRPr="00F1739F">
        <w:t xml:space="preserve"> financial results </w:t>
      </w:r>
      <w:r>
        <w:t>for all of the quarterly reporting periods in 2014 and the first nine months of 2015 in early February 2016</w:t>
      </w:r>
      <w:r w:rsidRPr="00F1739F">
        <w:t>.</w:t>
      </w:r>
      <w:r>
        <w:t xml:space="preserve"> </w:t>
      </w:r>
    </w:p>
    <w:p w:rsidR="009F3549" w:rsidRDefault="009F3549" w:rsidP="00913384">
      <w:pPr>
        <w:spacing w:line="360" w:lineRule="auto"/>
        <w:jc w:val="both"/>
      </w:pPr>
    </w:p>
    <w:p w:rsidR="009F3549" w:rsidRPr="00913384" w:rsidRDefault="009F3549" w:rsidP="00913384">
      <w:pPr>
        <w:spacing w:line="360" w:lineRule="auto"/>
        <w:jc w:val="both"/>
      </w:pPr>
      <w:r w:rsidRPr="00913384">
        <w:t>The previously reported operating segments will now realign as follows:</w:t>
      </w:r>
    </w:p>
    <w:p w:rsidR="009F3549" w:rsidRPr="00913384" w:rsidRDefault="009F3549" w:rsidP="00913384">
      <w:pPr>
        <w:spacing w:line="360" w:lineRule="auto"/>
        <w:jc w:val="both"/>
      </w:pPr>
    </w:p>
    <w:p w:rsidR="009F3549" w:rsidRPr="00913384" w:rsidRDefault="009F3549" w:rsidP="00913384">
      <w:pPr>
        <w:spacing w:line="360" w:lineRule="auto"/>
        <w:jc w:val="both"/>
      </w:pPr>
      <w:r w:rsidRPr="00913384">
        <w:t>Personal and Business Banking (</w:t>
      </w:r>
      <w:r>
        <w:t>“</w:t>
      </w:r>
      <w:r w:rsidRPr="00913384">
        <w:t>PBB</w:t>
      </w:r>
      <w:r>
        <w:t>”</w:t>
      </w:r>
      <w:r w:rsidRPr="00913384">
        <w:t>) comprises two reportable segments:</w:t>
      </w:r>
    </w:p>
    <w:p w:rsidR="009F3549" w:rsidRPr="00913384" w:rsidRDefault="009F3549" w:rsidP="00913384">
      <w:pPr>
        <w:pStyle w:val="ListParagraph"/>
        <w:numPr>
          <w:ilvl w:val="0"/>
          <w:numId w:val="41"/>
        </w:numPr>
        <w:spacing w:line="360" w:lineRule="auto"/>
        <w:jc w:val="both"/>
      </w:pPr>
      <w:r w:rsidRPr="00913384">
        <w:t>UK PBB serves individuals and mass affluent customers in the UK together with small businesses. UK PBB includes Ulster Bank customers in Northern Ireland.</w:t>
      </w:r>
    </w:p>
    <w:p w:rsidR="009F3549" w:rsidRPr="00913384" w:rsidRDefault="009F3549" w:rsidP="00913384">
      <w:pPr>
        <w:pStyle w:val="ListParagraph"/>
        <w:numPr>
          <w:ilvl w:val="0"/>
          <w:numId w:val="41"/>
        </w:numPr>
        <w:spacing w:line="360" w:lineRule="auto"/>
        <w:jc w:val="both"/>
      </w:pPr>
      <w:r w:rsidRPr="00913384">
        <w:t xml:space="preserve">Ulster </w:t>
      </w:r>
      <w:r>
        <w:t xml:space="preserve">RoI </w:t>
      </w:r>
      <w:r w:rsidRPr="00913384">
        <w:t xml:space="preserve">serves individuals and businesses in </w:t>
      </w:r>
      <w:r>
        <w:t xml:space="preserve">the </w:t>
      </w:r>
      <w:r w:rsidRPr="00913384">
        <w:t>Republic of Ireland (RoI).</w:t>
      </w:r>
    </w:p>
    <w:p w:rsidR="009F3549" w:rsidRPr="00913384" w:rsidRDefault="009F3549" w:rsidP="00913384">
      <w:pPr>
        <w:spacing w:line="360" w:lineRule="auto"/>
        <w:jc w:val="both"/>
      </w:pPr>
    </w:p>
    <w:p w:rsidR="009F3549" w:rsidRPr="00913384" w:rsidRDefault="009F3549" w:rsidP="00913384">
      <w:pPr>
        <w:spacing w:line="360" w:lineRule="auto"/>
        <w:jc w:val="both"/>
      </w:pPr>
      <w:r w:rsidRPr="00913384">
        <w:t>Commercial and Private Banking (</w:t>
      </w:r>
      <w:r>
        <w:t>“</w:t>
      </w:r>
      <w:r w:rsidRPr="00913384">
        <w:t>CPB</w:t>
      </w:r>
      <w:r>
        <w:t>”</w:t>
      </w:r>
      <w:r w:rsidRPr="00913384">
        <w:t>) comprises three reportable segments:</w:t>
      </w:r>
    </w:p>
    <w:p w:rsidR="009F3549" w:rsidRPr="00913384" w:rsidRDefault="009F3549" w:rsidP="00913384">
      <w:pPr>
        <w:pStyle w:val="ListParagraph"/>
        <w:numPr>
          <w:ilvl w:val="0"/>
          <w:numId w:val="41"/>
        </w:numPr>
        <w:spacing w:line="360" w:lineRule="auto"/>
        <w:jc w:val="both"/>
      </w:pPr>
      <w:r w:rsidRPr="00913384">
        <w:t>Commercial Banking serves commercial and mid-corporate customer</w:t>
      </w:r>
      <w:r>
        <w:t>s in the UK and Western Europe.</w:t>
      </w:r>
    </w:p>
    <w:p w:rsidR="009F3549" w:rsidRPr="00913384" w:rsidRDefault="009F3549" w:rsidP="00913384">
      <w:pPr>
        <w:pStyle w:val="ListParagraph"/>
        <w:numPr>
          <w:ilvl w:val="0"/>
          <w:numId w:val="41"/>
        </w:numPr>
        <w:spacing w:line="360" w:lineRule="auto"/>
        <w:jc w:val="both"/>
      </w:pPr>
      <w:r w:rsidRPr="00913384">
        <w:t>Private Banking serves high net worth individuals in the UK.</w:t>
      </w:r>
    </w:p>
    <w:p w:rsidR="009F3549" w:rsidRPr="00913384" w:rsidRDefault="009F3549" w:rsidP="00FB3B9A">
      <w:pPr>
        <w:pStyle w:val="ListParagraph"/>
        <w:numPr>
          <w:ilvl w:val="0"/>
          <w:numId w:val="41"/>
        </w:numPr>
        <w:spacing w:line="360" w:lineRule="auto"/>
        <w:jc w:val="both"/>
      </w:pPr>
      <w:r w:rsidRPr="00FB3B9A">
        <w:t xml:space="preserve">RBS International (“RBSI”) serves retail, commercial, corporate and financial institution customers in Jersey, Guernsey, </w:t>
      </w:r>
      <w:r>
        <w:t xml:space="preserve">the </w:t>
      </w:r>
      <w:r w:rsidRPr="00FB3B9A">
        <w:t>Isle of Man and Gibraltar</w:t>
      </w:r>
      <w:r w:rsidRPr="00913384">
        <w:t>.</w:t>
      </w:r>
    </w:p>
    <w:p w:rsidR="009F3549" w:rsidRPr="00913384" w:rsidRDefault="009F3549" w:rsidP="00913384">
      <w:pPr>
        <w:spacing w:line="360" w:lineRule="auto"/>
        <w:jc w:val="both"/>
      </w:pPr>
    </w:p>
    <w:p w:rsidR="009F3549" w:rsidRPr="00913384" w:rsidRDefault="009F3549" w:rsidP="00913384">
      <w:pPr>
        <w:spacing w:line="360" w:lineRule="auto"/>
        <w:jc w:val="both"/>
      </w:pPr>
      <w:r w:rsidRPr="00913384">
        <w:t xml:space="preserve">CIB serves UK and </w:t>
      </w:r>
      <w:r>
        <w:t>W</w:t>
      </w:r>
      <w:r w:rsidRPr="00913384">
        <w:t>estern European customers, both corporates and financial institutions, supported by trading and distribution platforms in the UK, US and Singapore.</w:t>
      </w:r>
    </w:p>
    <w:p w:rsidR="009F3549" w:rsidRPr="00913384" w:rsidRDefault="009F3549" w:rsidP="00913384">
      <w:pPr>
        <w:spacing w:line="360" w:lineRule="auto"/>
        <w:jc w:val="both"/>
      </w:pPr>
    </w:p>
    <w:p w:rsidR="009F3549" w:rsidRPr="00913384" w:rsidRDefault="009F3549" w:rsidP="00913384">
      <w:pPr>
        <w:spacing w:line="360" w:lineRule="auto"/>
        <w:jc w:val="both"/>
      </w:pPr>
      <w:r w:rsidRPr="00913384">
        <w:t xml:space="preserve">Capital Resolution includes CIB Capital Resolution and the remainder of RBS Capital Resolution (RCR). </w:t>
      </w:r>
    </w:p>
    <w:p w:rsidR="009F3549" w:rsidRPr="00913384" w:rsidRDefault="009F3549" w:rsidP="00913384">
      <w:pPr>
        <w:spacing w:line="360" w:lineRule="auto"/>
        <w:jc w:val="both"/>
      </w:pPr>
    </w:p>
    <w:p w:rsidR="009F3549" w:rsidRPr="00913384" w:rsidRDefault="009F3549" w:rsidP="00913384">
      <w:pPr>
        <w:spacing w:line="360" w:lineRule="auto"/>
        <w:jc w:val="both"/>
      </w:pPr>
      <w:r w:rsidRPr="00913384">
        <w:t>Williams &amp; Glyn (</w:t>
      </w:r>
      <w:r>
        <w:t>“</w:t>
      </w:r>
      <w:r w:rsidRPr="00913384">
        <w:t>W&amp;G</w:t>
      </w:r>
      <w:r>
        <w:t>”</w:t>
      </w:r>
      <w:r w:rsidRPr="00913384">
        <w:t xml:space="preserve">) </w:t>
      </w:r>
      <w:r>
        <w:t xml:space="preserve">comprises </w:t>
      </w:r>
      <w:r w:rsidRPr="00913384">
        <w:t>RBS England and Wales branch-based businesses, along with certain SME and cor</w:t>
      </w:r>
      <w:r>
        <w:t>porate activities across the UK</w:t>
      </w:r>
      <w:r w:rsidRPr="00913384">
        <w:t>.</w:t>
      </w:r>
    </w:p>
    <w:p w:rsidR="009F3549" w:rsidRPr="00913384" w:rsidRDefault="009F3549" w:rsidP="00913384">
      <w:pPr>
        <w:spacing w:line="360" w:lineRule="auto"/>
        <w:jc w:val="both"/>
      </w:pPr>
    </w:p>
    <w:p w:rsidR="009F3549" w:rsidRPr="00913384" w:rsidRDefault="009F3549" w:rsidP="00913384">
      <w:pPr>
        <w:spacing w:line="360" w:lineRule="auto"/>
        <w:jc w:val="both"/>
      </w:pPr>
      <w:r w:rsidRPr="00913384">
        <w:t xml:space="preserve">Central items &amp; other comprises corporate functions, such as </w:t>
      </w:r>
      <w:r>
        <w:t>T</w:t>
      </w:r>
      <w:r w:rsidRPr="00913384">
        <w:t xml:space="preserve">reasury, </w:t>
      </w:r>
      <w:r>
        <w:t>F</w:t>
      </w:r>
      <w:r w:rsidRPr="00913384">
        <w:t xml:space="preserve">inance, </w:t>
      </w:r>
      <w:r>
        <w:t>R</w:t>
      </w:r>
      <w:r w:rsidRPr="00913384">
        <w:t xml:space="preserve">isk </w:t>
      </w:r>
      <w:r>
        <w:t>M</w:t>
      </w:r>
      <w:r w:rsidRPr="00913384">
        <w:t xml:space="preserve">anagement, </w:t>
      </w:r>
      <w:r>
        <w:t>C</w:t>
      </w:r>
      <w:r w:rsidRPr="00913384">
        <w:t xml:space="preserve">ompliance, </w:t>
      </w:r>
      <w:r>
        <w:t>L</w:t>
      </w:r>
      <w:r w:rsidRPr="00913384">
        <w:t xml:space="preserve">egal, </w:t>
      </w:r>
      <w:r>
        <w:t>C</w:t>
      </w:r>
      <w:r w:rsidRPr="00913384">
        <w:t xml:space="preserve">ommunications and </w:t>
      </w:r>
      <w:r>
        <w:t>H</w:t>
      </w:r>
      <w:r w:rsidRPr="00913384">
        <w:t xml:space="preserve">uman </w:t>
      </w:r>
      <w:r>
        <w:t>R</w:t>
      </w:r>
      <w:r w:rsidRPr="00913384">
        <w:t xml:space="preserve">esources. </w:t>
      </w:r>
    </w:p>
    <w:p w:rsidR="009F3549" w:rsidRPr="00913384" w:rsidRDefault="009F3549" w:rsidP="00913384">
      <w:pPr>
        <w:spacing w:line="360" w:lineRule="auto"/>
        <w:jc w:val="both"/>
      </w:pPr>
    </w:p>
    <w:p w:rsidR="009F3549" w:rsidRPr="00913384" w:rsidRDefault="009F3549" w:rsidP="00913384">
      <w:pPr>
        <w:spacing w:line="360" w:lineRule="auto"/>
        <w:jc w:val="both"/>
      </w:pPr>
      <w:r w:rsidRPr="00913384">
        <w:t>The re-</w:t>
      </w:r>
      <w:r>
        <w:t>segmentation</w:t>
      </w:r>
      <w:r w:rsidRPr="00913384">
        <w:t xml:space="preserve"> also reflects</w:t>
      </w:r>
      <w:r>
        <w:t xml:space="preserve"> t</w:t>
      </w:r>
      <w:r w:rsidRPr="00913384">
        <w:t>he divestment of Citizens</w:t>
      </w:r>
      <w:r>
        <w:t>, t</w:t>
      </w:r>
      <w:r w:rsidRPr="00913384">
        <w:t xml:space="preserve">he sale of the </w:t>
      </w:r>
      <w:r>
        <w:t>I</w:t>
      </w:r>
      <w:r w:rsidRPr="00913384">
        <w:t xml:space="preserve">nternational </w:t>
      </w:r>
      <w:r>
        <w:t>P</w:t>
      </w:r>
      <w:r w:rsidRPr="00913384">
        <w:t xml:space="preserve">rivate </w:t>
      </w:r>
      <w:r>
        <w:t>B</w:t>
      </w:r>
      <w:r w:rsidRPr="00913384">
        <w:t>anking business</w:t>
      </w:r>
      <w:r>
        <w:t>,</w:t>
      </w:r>
      <w:r w:rsidRPr="00913384">
        <w:t xml:space="preserve"> and</w:t>
      </w:r>
      <w:r>
        <w:t xml:space="preserve"> t</w:t>
      </w:r>
      <w:r w:rsidRPr="00913384">
        <w:t>he run-down of RCR one year ahead of schedule.</w:t>
      </w:r>
    </w:p>
    <w:p w:rsidR="009F3549" w:rsidRPr="00913384" w:rsidRDefault="009F3549" w:rsidP="00913384">
      <w:pPr>
        <w:spacing w:line="360" w:lineRule="auto"/>
        <w:jc w:val="both"/>
      </w:pPr>
    </w:p>
    <w:p w:rsidR="009F3549" w:rsidRPr="00913384" w:rsidRDefault="009F3549" w:rsidP="00913384">
      <w:pPr>
        <w:spacing w:line="360" w:lineRule="auto"/>
        <w:jc w:val="both"/>
      </w:pPr>
      <w:r w:rsidRPr="00913384">
        <w:t xml:space="preserve">While these restatements </w:t>
      </w:r>
      <w:r>
        <w:t xml:space="preserve">for changes in segmentation </w:t>
      </w:r>
      <w:r w:rsidRPr="00913384">
        <w:t>affect the segmental results, they do not affect RBS’s overall statutory income statement, balance sheet, other primary statements or regulatory capital measures.</w:t>
      </w:r>
    </w:p>
    <w:p w:rsidR="009F3549" w:rsidRDefault="009F3549" w:rsidP="00913384">
      <w:pPr>
        <w:spacing w:line="360" w:lineRule="auto"/>
        <w:jc w:val="both"/>
      </w:pPr>
    </w:p>
    <w:p w:rsidR="009F3549" w:rsidRDefault="009F3549" w:rsidP="00913384">
      <w:pPr>
        <w:spacing w:line="360" w:lineRule="auto"/>
        <w:jc w:val="both"/>
      </w:pPr>
      <w:r>
        <w:t>The Restatement document will also present the effect of the new accounting policy for pensions on the prior period consolidated statutory income statement, balance sheet and statement of comprehensive income of the Group, and on the segmental results.</w:t>
      </w:r>
    </w:p>
    <w:p w:rsidR="009F3549" w:rsidRDefault="009F3549" w:rsidP="00913384">
      <w:pPr>
        <w:spacing w:line="360" w:lineRule="auto"/>
        <w:jc w:val="both"/>
      </w:pPr>
    </w:p>
    <w:p w:rsidR="009F3549" w:rsidRDefault="009F3549" w:rsidP="00A92F90">
      <w:pPr>
        <w:spacing w:line="360" w:lineRule="auto"/>
        <w:jc w:val="both"/>
      </w:pPr>
      <w:r>
        <w:t>Ross McEwan (Chief Executive Officer), Ewen Stevenson (Chief Financial Officer) and Katie Murray (Director of Finance) will host a conference call for investors and analysts at 8.30am UK time today. A replay of the call will be made available shortly afterwards. Only items relating to the above announcement will be discussed on the call; there will be no references and discussion relating to other matters and the Full Year 2015 results. There will be a further call at 2pm UK time today, primarily for North American investors, but also to cover any further follow-up questions from other analysts and investors. Dial-in details for both calls can be found below.</w:t>
      </w:r>
    </w:p>
    <w:p w:rsidR="009F3549" w:rsidRDefault="009F3549" w:rsidP="00913384">
      <w:pPr>
        <w:spacing w:line="360" w:lineRule="auto"/>
        <w:jc w:val="both"/>
      </w:pPr>
    </w:p>
    <w:p w:rsidR="009F3549" w:rsidRPr="003E2D53" w:rsidRDefault="009F3549" w:rsidP="003E2D53">
      <w:pPr>
        <w:spacing w:line="360" w:lineRule="auto"/>
        <w:jc w:val="both"/>
        <w:rPr>
          <w:u w:val="single"/>
        </w:rPr>
      </w:pPr>
      <w:r w:rsidRPr="003E2D53">
        <w:rPr>
          <w:u w:val="single"/>
        </w:rPr>
        <w:t>Dial-in details</w:t>
      </w:r>
      <w:r>
        <w:rPr>
          <w:u w:val="single"/>
        </w:rPr>
        <w:t>:</w:t>
      </w:r>
    </w:p>
    <w:p w:rsidR="009F3549" w:rsidRDefault="009F3549" w:rsidP="003E2D53">
      <w:pPr>
        <w:spacing w:line="360" w:lineRule="auto"/>
        <w:jc w:val="both"/>
      </w:pPr>
      <w:r>
        <w:t>UK: 0800 694 8082</w:t>
      </w:r>
    </w:p>
    <w:p w:rsidR="009F3549" w:rsidRDefault="009F3549" w:rsidP="003E2D53">
      <w:pPr>
        <w:spacing w:line="360" w:lineRule="auto"/>
        <w:jc w:val="both"/>
      </w:pPr>
      <w:r>
        <w:t>International: +44 1452 568 172</w:t>
      </w:r>
    </w:p>
    <w:p w:rsidR="009F3549" w:rsidRDefault="009F3549" w:rsidP="00913384">
      <w:pPr>
        <w:spacing w:line="360" w:lineRule="auto"/>
        <w:jc w:val="both"/>
      </w:pPr>
      <w:r>
        <w:t>US: +1 866 966 8024</w:t>
      </w:r>
    </w:p>
    <w:p w:rsidR="009F3549" w:rsidRDefault="009F3549" w:rsidP="00913384">
      <w:pPr>
        <w:spacing w:line="360" w:lineRule="auto"/>
        <w:jc w:val="both"/>
      </w:pPr>
    </w:p>
    <w:p w:rsidR="009F3549" w:rsidRDefault="009F3549" w:rsidP="0095706D">
      <w:pPr>
        <w:spacing w:line="360" w:lineRule="auto"/>
        <w:jc w:val="both"/>
      </w:pPr>
      <w:r>
        <w:t>RBS will announce its full year results on 26 February 2016.</w:t>
      </w:r>
    </w:p>
    <w:p w:rsidR="009F3549" w:rsidRDefault="009F3549" w:rsidP="0095706D">
      <w:pPr>
        <w:spacing w:line="360" w:lineRule="auto"/>
        <w:jc w:val="both"/>
      </w:pPr>
    </w:p>
    <w:p w:rsidR="009F3549" w:rsidRPr="00BE7672" w:rsidRDefault="009F3549" w:rsidP="0095706D">
      <w:pPr>
        <w:spacing w:line="360" w:lineRule="auto"/>
        <w:jc w:val="both"/>
      </w:pPr>
    </w:p>
    <w:p w:rsidR="009F3549" w:rsidRPr="00BE7672" w:rsidRDefault="009F3549" w:rsidP="0095706D">
      <w:pPr>
        <w:spacing w:line="360" w:lineRule="auto"/>
        <w:jc w:val="both"/>
      </w:pPr>
      <w:r w:rsidRPr="00BE7672">
        <w:t>For further information, please contact:</w:t>
      </w:r>
    </w:p>
    <w:p w:rsidR="009F3549" w:rsidRPr="00BE7672" w:rsidRDefault="009F3549" w:rsidP="0095706D">
      <w:pPr>
        <w:spacing w:line="360" w:lineRule="auto"/>
        <w:jc w:val="both"/>
      </w:pPr>
    </w:p>
    <w:p w:rsidR="009F3549" w:rsidRPr="00BE7672" w:rsidRDefault="009F3549" w:rsidP="0095706D">
      <w:pPr>
        <w:spacing w:line="360" w:lineRule="auto"/>
        <w:jc w:val="both"/>
        <w:rPr>
          <w:b/>
          <w:bCs/>
        </w:rPr>
      </w:pPr>
      <w:r w:rsidRPr="00BE7672">
        <w:rPr>
          <w:b/>
          <w:bCs/>
        </w:rPr>
        <w:t>Investor Relations</w:t>
      </w:r>
    </w:p>
    <w:p w:rsidR="009F3549" w:rsidRPr="00BE7672" w:rsidRDefault="009F3549" w:rsidP="0095706D">
      <w:pPr>
        <w:spacing w:line="360" w:lineRule="auto"/>
        <w:jc w:val="both"/>
      </w:pPr>
      <w:r w:rsidRPr="00BE7672">
        <w:t>Richard O'Connor</w:t>
      </w:r>
    </w:p>
    <w:p w:rsidR="009F3549" w:rsidRPr="00BE7672" w:rsidRDefault="009F3549" w:rsidP="0095706D">
      <w:pPr>
        <w:spacing w:line="360" w:lineRule="auto"/>
        <w:jc w:val="both"/>
      </w:pPr>
      <w:r w:rsidRPr="00BE7672">
        <w:t>Head of Investor Relations</w:t>
      </w:r>
    </w:p>
    <w:p w:rsidR="009F3549" w:rsidRPr="00BE7672" w:rsidRDefault="009F3549" w:rsidP="0095706D">
      <w:pPr>
        <w:spacing w:line="360" w:lineRule="auto"/>
        <w:jc w:val="both"/>
      </w:pPr>
      <w:r>
        <w:t>+44 (0) 20</w:t>
      </w:r>
      <w:r w:rsidRPr="00BE7672">
        <w:t>7</w:t>
      </w:r>
      <w:r>
        <w:t xml:space="preserve"> </w:t>
      </w:r>
      <w:r w:rsidRPr="00BE7672">
        <w:t>672 1758</w:t>
      </w:r>
    </w:p>
    <w:p w:rsidR="009F3549" w:rsidRPr="00BE7672" w:rsidRDefault="009F3549" w:rsidP="0095706D">
      <w:pPr>
        <w:spacing w:line="360" w:lineRule="auto"/>
        <w:jc w:val="both"/>
        <w:rPr>
          <w:b/>
        </w:rPr>
      </w:pPr>
    </w:p>
    <w:p w:rsidR="009F3549" w:rsidRPr="00BE7672" w:rsidRDefault="009F3549" w:rsidP="00AB48D5">
      <w:pPr>
        <w:spacing w:line="360" w:lineRule="auto"/>
        <w:jc w:val="both"/>
        <w:rPr>
          <w:b/>
        </w:rPr>
      </w:pPr>
      <w:r w:rsidRPr="00BE7672">
        <w:rPr>
          <w:b/>
        </w:rPr>
        <w:t>RBS Media Relations</w:t>
      </w:r>
    </w:p>
    <w:p w:rsidR="009F3549" w:rsidRPr="00741D84" w:rsidRDefault="009F3549" w:rsidP="00AB48D5">
      <w:pPr>
        <w:spacing w:line="360" w:lineRule="auto"/>
        <w:jc w:val="both"/>
      </w:pPr>
      <w:r>
        <w:t>+44 (0) 131 523 4205</w:t>
      </w:r>
    </w:p>
    <w:p w:rsidR="009F3549" w:rsidRDefault="009F3549" w:rsidP="00AB48D5">
      <w:pPr>
        <w:pStyle w:val="ce"/>
        <w:spacing w:line="360" w:lineRule="auto"/>
      </w:pPr>
    </w:p>
    <w:p w:rsidR="009F3549" w:rsidRDefault="009F3549" w:rsidP="00AB48D5">
      <w:pPr>
        <w:pStyle w:val="ce"/>
        <w:spacing w:line="360" w:lineRule="auto"/>
      </w:pPr>
      <w:bookmarkStart w:id="0" w:name="_GoBack"/>
      <w:bookmarkEnd w:id="0"/>
    </w:p>
    <w:p w:rsidR="009F3549" w:rsidRPr="00D241E6" w:rsidRDefault="009F3549" w:rsidP="00D241E6">
      <w:pPr>
        <w:pStyle w:val="ce"/>
        <w:spacing w:line="360" w:lineRule="auto"/>
        <w:rPr>
          <w:iCs/>
        </w:rPr>
      </w:pPr>
      <w:r w:rsidRPr="00D241E6">
        <w:rPr>
          <w:b/>
          <w:bCs/>
          <w:iCs/>
        </w:rPr>
        <w:t xml:space="preserve">Background on </w:t>
      </w:r>
      <w:r>
        <w:rPr>
          <w:b/>
          <w:bCs/>
          <w:iCs/>
        </w:rPr>
        <w:t>RBS Pension F</w:t>
      </w:r>
      <w:r w:rsidRPr="00D241E6">
        <w:rPr>
          <w:b/>
          <w:bCs/>
          <w:iCs/>
        </w:rPr>
        <w:t>und</w:t>
      </w:r>
      <w:r>
        <w:rPr>
          <w:b/>
          <w:bCs/>
          <w:iCs/>
        </w:rPr>
        <w:t>s</w:t>
      </w:r>
    </w:p>
    <w:p w:rsidR="009F3549" w:rsidRPr="00274F62" w:rsidRDefault="009F3549" w:rsidP="00B447FB">
      <w:pPr>
        <w:pStyle w:val="ListParagraph"/>
        <w:numPr>
          <w:ilvl w:val="0"/>
          <w:numId w:val="41"/>
        </w:numPr>
        <w:spacing w:line="360" w:lineRule="auto"/>
        <w:jc w:val="both"/>
      </w:pPr>
      <w:r w:rsidRPr="00274F62">
        <w:t xml:space="preserve">The </w:t>
      </w:r>
      <w:r>
        <w:t>Group</w:t>
      </w:r>
      <w:r w:rsidRPr="00274F62">
        <w:t xml:space="preserve"> sponsors various pension schemes globally.</w:t>
      </w:r>
    </w:p>
    <w:p w:rsidR="009F3549" w:rsidRPr="00274F62" w:rsidRDefault="009F3549" w:rsidP="007A78F7">
      <w:pPr>
        <w:pStyle w:val="ListParagraph"/>
        <w:numPr>
          <w:ilvl w:val="0"/>
          <w:numId w:val="41"/>
        </w:numPr>
        <w:spacing w:line="360" w:lineRule="auto"/>
        <w:jc w:val="both"/>
      </w:pPr>
      <w:r>
        <w:t xml:space="preserve">The Group’s pension </w:t>
      </w:r>
      <w:r w:rsidRPr="00274F62">
        <w:t xml:space="preserve">schemes have more than </w:t>
      </w:r>
      <w:r>
        <w:t>23</w:t>
      </w:r>
      <w:r w:rsidRPr="00274F62">
        <w:t xml:space="preserve">0,000 members (current and former employees); </w:t>
      </w:r>
      <w:r>
        <w:t xml:space="preserve">over </w:t>
      </w:r>
      <w:r w:rsidRPr="00274F62">
        <w:t>£35</w:t>
      </w:r>
      <w:r>
        <w:t xml:space="preserve"> </w:t>
      </w:r>
      <w:r w:rsidRPr="00274F62">
        <w:t>b</w:t>
      </w:r>
      <w:r>
        <w:t>illio</w:t>
      </w:r>
      <w:r w:rsidRPr="00274F62">
        <w:t>n of liabilities</w:t>
      </w:r>
      <w:r>
        <w:t xml:space="preserve"> (</w:t>
      </w:r>
      <w:r w:rsidRPr="007A78F7">
        <w:t>technical provision measure</w:t>
      </w:r>
      <w:r>
        <w:t>)</w:t>
      </w:r>
      <w:r w:rsidRPr="00274F62">
        <w:t xml:space="preserve">; and </w:t>
      </w:r>
      <w:r>
        <w:t>over</w:t>
      </w:r>
      <w:r w:rsidRPr="00274F62">
        <w:t xml:space="preserve"> £30</w:t>
      </w:r>
      <w:r>
        <w:t xml:space="preserve"> </w:t>
      </w:r>
      <w:r w:rsidRPr="00274F62">
        <w:t>b</w:t>
      </w:r>
      <w:r>
        <w:t>illio</w:t>
      </w:r>
      <w:r w:rsidRPr="00274F62">
        <w:t>n of assets</w:t>
      </w:r>
      <w:r>
        <w:t xml:space="preserve"> as at 31 December 2015</w:t>
      </w:r>
      <w:r w:rsidRPr="00274F62">
        <w:t>.</w:t>
      </w:r>
    </w:p>
    <w:p w:rsidR="009F3549" w:rsidRPr="00274F62" w:rsidRDefault="009F3549" w:rsidP="00B447FB">
      <w:pPr>
        <w:pStyle w:val="ListParagraph"/>
        <w:numPr>
          <w:ilvl w:val="0"/>
          <w:numId w:val="41"/>
        </w:numPr>
        <w:spacing w:line="360" w:lineRule="auto"/>
        <w:jc w:val="both"/>
      </w:pPr>
      <w:r w:rsidRPr="00274F62">
        <w:t>The main section of The Royal Bank of Scotland Group Pension Fund is by far the largest and is referred to as the ‘</w:t>
      </w:r>
      <w:r>
        <w:t>M</w:t>
      </w:r>
      <w:r w:rsidRPr="00274F62">
        <w:t xml:space="preserve">ain </w:t>
      </w:r>
      <w:r>
        <w:t>S</w:t>
      </w:r>
      <w:r w:rsidRPr="00274F62">
        <w:t xml:space="preserve">cheme’ in the </w:t>
      </w:r>
      <w:r>
        <w:t>Group</w:t>
      </w:r>
      <w:r w:rsidRPr="00274F62">
        <w:t>’s accounts.</w:t>
      </w:r>
    </w:p>
    <w:p w:rsidR="009F3549" w:rsidRPr="00274F62" w:rsidRDefault="009F3549" w:rsidP="00B447FB">
      <w:pPr>
        <w:pStyle w:val="ListParagraph"/>
        <w:numPr>
          <w:ilvl w:val="0"/>
          <w:numId w:val="41"/>
        </w:numPr>
        <w:spacing w:line="360" w:lineRule="auto"/>
        <w:jc w:val="both"/>
      </w:pPr>
      <w:r w:rsidRPr="00274F62">
        <w:t xml:space="preserve">The </w:t>
      </w:r>
      <w:r>
        <w:t>M</w:t>
      </w:r>
      <w:r w:rsidRPr="00274F62">
        <w:t xml:space="preserve">ain </w:t>
      </w:r>
      <w:r>
        <w:t>S</w:t>
      </w:r>
      <w:r w:rsidRPr="00274F62">
        <w:t>cheme, which was closed to new employees in 2006, provides a pension of one-sixtieth of pensionable salary for each year of pensionable service.</w:t>
      </w:r>
    </w:p>
    <w:p w:rsidR="009F3549" w:rsidRPr="00274F62" w:rsidRDefault="009F3549" w:rsidP="00EB18F6">
      <w:pPr>
        <w:pStyle w:val="ListParagraph"/>
        <w:numPr>
          <w:ilvl w:val="0"/>
          <w:numId w:val="41"/>
        </w:numPr>
        <w:spacing w:line="360" w:lineRule="auto"/>
        <w:jc w:val="both"/>
      </w:pPr>
      <w:r w:rsidRPr="00EB18F6">
        <w:t xml:space="preserve">Since 2009 increases in pensionable salary have been limited to increase in the UK Consumer Price Index </w:t>
      </w:r>
      <w:r>
        <w:t>up to a maximum of 2% per year.</w:t>
      </w:r>
    </w:p>
    <w:p w:rsidR="009F3549" w:rsidRPr="00274F62" w:rsidRDefault="009F3549" w:rsidP="00B447FB">
      <w:pPr>
        <w:pStyle w:val="ListParagraph"/>
        <w:numPr>
          <w:ilvl w:val="0"/>
          <w:numId w:val="41"/>
        </w:numPr>
        <w:spacing w:line="360" w:lineRule="auto"/>
        <w:jc w:val="both"/>
      </w:pPr>
      <w:r w:rsidRPr="00274F62">
        <w:t xml:space="preserve">Since 2012, </w:t>
      </w:r>
      <w:r>
        <w:t xml:space="preserve">active </w:t>
      </w:r>
      <w:r w:rsidRPr="00274F62">
        <w:t xml:space="preserve">members have been charged an additional 5% of salary to retain a normal pension age of 60; other </w:t>
      </w:r>
      <w:r>
        <w:t xml:space="preserve">active </w:t>
      </w:r>
      <w:r w:rsidRPr="00274F62">
        <w:t>members have a normal pension age of 65.</w:t>
      </w:r>
    </w:p>
    <w:p w:rsidR="009F3549" w:rsidRPr="00274F62" w:rsidRDefault="009F3549" w:rsidP="00B90104">
      <w:pPr>
        <w:pStyle w:val="ListParagraph"/>
        <w:numPr>
          <w:ilvl w:val="0"/>
          <w:numId w:val="41"/>
        </w:numPr>
        <w:spacing w:line="360" w:lineRule="auto"/>
        <w:jc w:val="both"/>
      </w:pPr>
      <w:r w:rsidRPr="00274F62">
        <w:t xml:space="preserve">The </w:t>
      </w:r>
      <w:r>
        <w:t>M</w:t>
      </w:r>
      <w:r w:rsidRPr="00274F62">
        <w:t xml:space="preserve">ain </w:t>
      </w:r>
      <w:r>
        <w:t>S</w:t>
      </w:r>
      <w:r w:rsidRPr="00274F62">
        <w:t xml:space="preserve">cheme is managed by </w:t>
      </w:r>
      <w:r>
        <w:t>RBS Pension</w:t>
      </w:r>
      <w:r w:rsidRPr="00274F62">
        <w:t xml:space="preserve"> </w:t>
      </w:r>
      <w:r>
        <w:t>Trustee Ltd, the Board of which</w:t>
      </w:r>
      <w:r w:rsidRPr="00274F62">
        <w:t xml:space="preserve"> compris</w:t>
      </w:r>
      <w:r>
        <w:t>es</w:t>
      </w:r>
      <w:r w:rsidRPr="00274F62">
        <w:t xml:space="preserve"> six bank nominated directors and four member nominated directors.</w:t>
      </w:r>
    </w:p>
    <w:p w:rsidR="009F3549" w:rsidRPr="00274F62" w:rsidRDefault="009F3549" w:rsidP="00B447FB">
      <w:pPr>
        <w:pStyle w:val="ListParagraph"/>
        <w:numPr>
          <w:ilvl w:val="0"/>
          <w:numId w:val="41"/>
        </w:numPr>
        <w:spacing w:line="360" w:lineRule="auto"/>
        <w:jc w:val="both"/>
      </w:pPr>
      <w:r w:rsidRPr="00274F62">
        <w:t xml:space="preserve">Pension risk is actively managed within the </w:t>
      </w:r>
      <w:r>
        <w:t>Group</w:t>
      </w:r>
      <w:r w:rsidRPr="00274F62">
        <w:t xml:space="preserve"> through its Pension Risk Committee, a subcommittee of the RBS Asset &amp; Liability Committee comprising bank executives from Finance; Treasury Risk and H</w:t>
      </w:r>
      <w:r>
        <w:t xml:space="preserve">uman </w:t>
      </w:r>
      <w:r w:rsidRPr="00274F62">
        <w:t>R</w:t>
      </w:r>
      <w:r>
        <w:t>esources</w:t>
      </w:r>
      <w:r w:rsidRPr="00274F62">
        <w:t>.</w:t>
      </w:r>
    </w:p>
    <w:p w:rsidR="009F3549" w:rsidRDefault="009F3549" w:rsidP="00274F62">
      <w:pPr>
        <w:pStyle w:val="ListParagraph"/>
        <w:numPr>
          <w:ilvl w:val="0"/>
          <w:numId w:val="41"/>
        </w:numPr>
        <w:spacing w:line="360" w:lineRule="auto"/>
        <w:jc w:val="both"/>
      </w:pPr>
      <w:r w:rsidRPr="00274F62">
        <w:t xml:space="preserve">Since 2008, the </w:t>
      </w:r>
      <w:r>
        <w:t>Group</w:t>
      </w:r>
      <w:r w:rsidRPr="00274F62">
        <w:t xml:space="preserve"> has worked with the Trustee to reduce pension risk through increasing the allocation to matching bonds, </w:t>
      </w:r>
      <w:r>
        <w:t>reducing</w:t>
      </w:r>
      <w:r w:rsidRPr="00274F62">
        <w:t xml:space="preserve"> equity exposure and using interest rate and inflation hedging overlays.  The </w:t>
      </w:r>
      <w:r>
        <w:t>M</w:t>
      </w:r>
      <w:r w:rsidRPr="00274F62">
        <w:t xml:space="preserve">ain </w:t>
      </w:r>
      <w:r>
        <w:t>S</w:t>
      </w:r>
      <w:r w:rsidRPr="00274F62">
        <w:t xml:space="preserve">cheme is </w:t>
      </w:r>
      <w:r>
        <w:t>currently</w:t>
      </w:r>
      <w:r w:rsidRPr="00274F62">
        <w:t xml:space="preserve"> largely hedged to interest rates and inflation.</w:t>
      </w:r>
    </w:p>
    <w:p w:rsidR="009F3549" w:rsidRPr="00B447FB" w:rsidRDefault="009F3549" w:rsidP="00B447FB">
      <w:pPr>
        <w:pStyle w:val="ListParagraph"/>
        <w:spacing w:line="360" w:lineRule="auto"/>
        <w:ind w:left="360"/>
        <w:jc w:val="both"/>
      </w:pPr>
    </w:p>
    <w:p w:rsidR="009F3549" w:rsidRDefault="009F3549" w:rsidP="00AB48D5">
      <w:pPr>
        <w:pStyle w:val="ce"/>
        <w:spacing w:line="360" w:lineRule="auto"/>
        <w:rPr>
          <w:i/>
          <w:iCs/>
        </w:rPr>
      </w:pPr>
      <w:r>
        <w:rPr>
          <w:b/>
          <w:bCs/>
          <w:i/>
          <w:iCs/>
        </w:rPr>
        <w:t xml:space="preserve">Forward Looking Statements </w:t>
      </w:r>
    </w:p>
    <w:p w:rsidR="009F3549" w:rsidRDefault="009F3549" w:rsidP="00964650">
      <w:pPr>
        <w:pStyle w:val="cd"/>
        <w:spacing w:line="360" w:lineRule="auto"/>
        <w:rPr>
          <w:i/>
          <w:iCs/>
          <w:sz w:val="20"/>
          <w:szCs w:val="20"/>
        </w:rPr>
      </w:pPr>
      <w:r>
        <w:rPr>
          <w:i/>
          <w:iCs/>
          <w:sz w:val="20"/>
          <w:szCs w:val="20"/>
        </w:rPr>
        <w:t>This announcement contains forward-looking statements within the meaning of the United States Private Securities Litigation Reform Act of 1995, including those related to RBS and its subsidiaries’ regulatory capital position and requirements, financial position, future pension funding requirements, on-going litigation and regulatory investigations, profitability, impairment losses and credit exposures under certain specified scenarios. In addition, forward-looking statements may include, without limitation, statements typically containing words such as "intends", "expects", "anticipates", "targets", "plans", “believes”, “risk”, "estimates" and words of similar import. These statements concern or may affect future matters, such as RBS's future economic results, business plans and current strategies. Forward-looking statements are subject to a number of risks and uncertainties that might cause actual results and performance to differ materially from any expected future results or performance expressed or implied by the forward-looking statements. Factors that could cause or contribute to differences in current expectations include, but are not limited to, legislative, fiscal and regulatory developments, accounting standards, competitive conditions, technological developments, exchange rate fluctuations and general economic conditions. These and other factors, risks and uncertainties that may impact any forward-looking statement or RBS’s actual results are discussed in RBS's UK Annual Report and Accounts and materials filed with, or furnished to, the US Securities and Exchange Commission, including, but not limited to, RBS's Reports on Form 6-K and most recent Annual Report on Form 20-F. The forward-looking statements contained in this announcement speak only as of the date of this announcement and RBS does not assume or undertake any obligation or responsibility to update any of the forward-looking statements contained in this announcement, whether as a result of new information, future events or otherwise, except to the extent legally required.</w:t>
      </w:r>
    </w:p>
    <w:p w:rsidR="009F3549" w:rsidRPr="00BE7672" w:rsidRDefault="009F3549" w:rsidP="00964650">
      <w:pPr>
        <w:pStyle w:val="cd"/>
        <w:spacing w:line="360" w:lineRule="auto"/>
        <w:rPr>
          <w:rStyle w:val="bq"/>
          <w:iCs/>
          <w:szCs w:val="20"/>
        </w:rPr>
      </w:pPr>
      <w:r w:rsidRPr="00BE7672">
        <w:rPr>
          <w:rStyle w:val="bq"/>
          <w:iCs/>
          <w:szCs w:val="20"/>
        </w:rPr>
        <w:t>ENDS</w:t>
      </w:r>
    </w:p>
    <w:sectPr w:rsidR="009F3549" w:rsidRPr="00BE7672" w:rsidSect="00EA3297">
      <w:footerReference w:type="default" r:id="rId7"/>
      <w:pgSz w:w="11906" w:h="16838" w:code="9"/>
      <w:pgMar w:top="993" w:right="1440" w:bottom="1440" w:left="1440" w:header="431" w:footer="43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549" w:rsidRDefault="009F3549" w:rsidP="00CD45F7">
      <w:r>
        <w:separator/>
      </w:r>
    </w:p>
  </w:endnote>
  <w:endnote w:type="continuationSeparator" w:id="0">
    <w:p w:rsidR="009F3549" w:rsidRDefault="009F3549" w:rsidP="00CD45F7">
      <w:r>
        <w:continuationSeparator/>
      </w:r>
    </w:p>
  </w:endnote>
  <w:endnote w:type="continuationNotice" w:id="1">
    <w:p w:rsidR="009F3549" w:rsidRDefault="009F354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549" w:rsidRDefault="009F3549">
    <w:pPr>
      <w:pStyle w:val="Footer"/>
      <w:jc w:val="center"/>
    </w:pPr>
    <w:fldSimple w:instr=" PAGE   \* MERGEFORMAT ">
      <w:r>
        <w:rPr>
          <w:noProof/>
        </w:rPr>
        <w:t>8</w:t>
      </w:r>
    </w:fldSimple>
  </w:p>
  <w:p w:rsidR="009F3549" w:rsidRDefault="009F35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549" w:rsidRDefault="009F3549" w:rsidP="00CD45F7">
      <w:r>
        <w:separator/>
      </w:r>
    </w:p>
  </w:footnote>
  <w:footnote w:type="continuationSeparator" w:id="0">
    <w:p w:rsidR="009F3549" w:rsidRDefault="009F3549" w:rsidP="00CD45F7">
      <w:r>
        <w:continuationSeparator/>
      </w:r>
    </w:p>
  </w:footnote>
  <w:footnote w:type="continuationNotice" w:id="1">
    <w:p w:rsidR="009F3549" w:rsidRDefault="009F354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21017E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A12C06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DAA9A7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0222F9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256D8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C96733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8AA53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3D86C5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D56E40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3E4AAC0"/>
    <w:lvl w:ilvl="0">
      <w:start w:val="1"/>
      <w:numFmt w:val="bullet"/>
      <w:lvlText w:val=""/>
      <w:lvlJc w:val="left"/>
      <w:pPr>
        <w:tabs>
          <w:tab w:val="num" w:pos="360"/>
        </w:tabs>
        <w:ind w:left="360" w:hanging="360"/>
      </w:pPr>
      <w:rPr>
        <w:rFonts w:ascii="Symbol" w:hAnsi="Symbol" w:hint="default"/>
      </w:rPr>
    </w:lvl>
  </w:abstractNum>
  <w:abstractNum w:abstractNumId="10">
    <w:nsid w:val="0503773A"/>
    <w:multiLevelType w:val="hybridMultilevel"/>
    <w:tmpl w:val="9D66BA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614" w:hanging="360"/>
      </w:pPr>
      <w:rPr>
        <w:rFonts w:ascii="Courier New" w:hAnsi="Courier New" w:hint="default"/>
      </w:rPr>
    </w:lvl>
    <w:lvl w:ilvl="2" w:tplc="08090005" w:tentative="1">
      <w:start w:val="1"/>
      <w:numFmt w:val="bullet"/>
      <w:lvlText w:val=""/>
      <w:lvlJc w:val="left"/>
      <w:pPr>
        <w:ind w:left="-894" w:hanging="360"/>
      </w:pPr>
      <w:rPr>
        <w:rFonts w:ascii="Wingdings" w:hAnsi="Wingdings" w:hint="default"/>
      </w:rPr>
    </w:lvl>
    <w:lvl w:ilvl="3" w:tplc="08090001" w:tentative="1">
      <w:start w:val="1"/>
      <w:numFmt w:val="bullet"/>
      <w:lvlText w:val=""/>
      <w:lvlJc w:val="left"/>
      <w:pPr>
        <w:ind w:left="-174" w:hanging="360"/>
      </w:pPr>
      <w:rPr>
        <w:rFonts w:ascii="Symbol" w:hAnsi="Symbol" w:hint="default"/>
      </w:rPr>
    </w:lvl>
    <w:lvl w:ilvl="4" w:tplc="08090003" w:tentative="1">
      <w:start w:val="1"/>
      <w:numFmt w:val="bullet"/>
      <w:lvlText w:val="o"/>
      <w:lvlJc w:val="left"/>
      <w:pPr>
        <w:ind w:left="546" w:hanging="360"/>
      </w:pPr>
      <w:rPr>
        <w:rFonts w:ascii="Courier New" w:hAnsi="Courier New" w:hint="default"/>
      </w:rPr>
    </w:lvl>
    <w:lvl w:ilvl="5" w:tplc="08090005" w:tentative="1">
      <w:start w:val="1"/>
      <w:numFmt w:val="bullet"/>
      <w:lvlText w:val=""/>
      <w:lvlJc w:val="left"/>
      <w:pPr>
        <w:ind w:left="1266" w:hanging="360"/>
      </w:pPr>
      <w:rPr>
        <w:rFonts w:ascii="Wingdings" w:hAnsi="Wingdings" w:hint="default"/>
      </w:rPr>
    </w:lvl>
    <w:lvl w:ilvl="6" w:tplc="08090001" w:tentative="1">
      <w:start w:val="1"/>
      <w:numFmt w:val="bullet"/>
      <w:lvlText w:val=""/>
      <w:lvlJc w:val="left"/>
      <w:pPr>
        <w:ind w:left="1986" w:hanging="360"/>
      </w:pPr>
      <w:rPr>
        <w:rFonts w:ascii="Symbol" w:hAnsi="Symbol" w:hint="default"/>
      </w:rPr>
    </w:lvl>
    <w:lvl w:ilvl="7" w:tplc="08090003" w:tentative="1">
      <w:start w:val="1"/>
      <w:numFmt w:val="bullet"/>
      <w:lvlText w:val="o"/>
      <w:lvlJc w:val="left"/>
      <w:pPr>
        <w:ind w:left="2706" w:hanging="360"/>
      </w:pPr>
      <w:rPr>
        <w:rFonts w:ascii="Courier New" w:hAnsi="Courier New" w:hint="default"/>
      </w:rPr>
    </w:lvl>
    <w:lvl w:ilvl="8" w:tplc="08090005" w:tentative="1">
      <w:start w:val="1"/>
      <w:numFmt w:val="bullet"/>
      <w:lvlText w:val=""/>
      <w:lvlJc w:val="left"/>
      <w:pPr>
        <w:ind w:left="3426" w:hanging="360"/>
      </w:pPr>
      <w:rPr>
        <w:rFonts w:ascii="Wingdings" w:hAnsi="Wingdings" w:hint="default"/>
      </w:rPr>
    </w:lvl>
  </w:abstractNum>
  <w:abstractNum w:abstractNumId="11">
    <w:nsid w:val="21736D64"/>
    <w:multiLevelType w:val="hybridMultilevel"/>
    <w:tmpl w:val="B9F8FA4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2B6A3FC1"/>
    <w:multiLevelType w:val="hybridMultilevel"/>
    <w:tmpl w:val="225457BE"/>
    <w:lvl w:ilvl="0" w:tplc="0809000F">
      <w:start w:val="1"/>
      <w:numFmt w:val="decimal"/>
      <w:lvlText w:val="%1."/>
      <w:lvlJc w:val="left"/>
      <w:pPr>
        <w:ind w:left="360" w:hanging="360"/>
      </w:pPr>
      <w:rPr>
        <w:rFonts w:cs="Times New Roman" w:hint="default"/>
      </w:rPr>
    </w:lvl>
    <w:lvl w:ilvl="1" w:tplc="08090003" w:tentative="1">
      <w:start w:val="1"/>
      <w:numFmt w:val="bullet"/>
      <w:lvlText w:val="o"/>
      <w:lvlJc w:val="left"/>
      <w:pPr>
        <w:ind w:left="-1614" w:hanging="360"/>
      </w:pPr>
      <w:rPr>
        <w:rFonts w:ascii="Courier New" w:hAnsi="Courier New" w:hint="default"/>
      </w:rPr>
    </w:lvl>
    <w:lvl w:ilvl="2" w:tplc="08090005" w:tentative="1">
      <w:start w:val="1"/>
      <w:numFmt w:val="bullet"/>
      <w:lvlText w:val=""/>
      <w:lvlJc w:val="left"/>
      <w:pPr>
        <w:ind w:left="-894" w:hanging="360"/>
      </w:pPr>
      <w:rPr>
        <w:rFonts w:ascii="Wingdings" w:hAnsi="Wingdings" w:hint="default"/>
      </w:rPr>
    </w:lvl>
    <w:lvl w:ilvl="3" w:tplc="08090001" w:tentative="1">
      <w:start w:val="1"/>
      <w:numFmt w:val="bullet"/>
      <w:lvlText w:val=""/>
      <w:lvlJc w:val="left"/>
      <w:pPr>
        <w:ind w:left="-174" w:hanging="360"/>
      </w:pPr>
      <w:rPr>
        <w:rFonts w:ascii="Symbol" w:hAnsi="Symbol" w:hint="default"/>
      </w:rPr>
    </w:lvl>
    <w:lvl w:ilvl="4" w:tplc="08090003" w:tentative="1">
      <w:start w:val="1"/>
      <w:numFmt w:val="bullet"/>
      <w:lvlText w:val="o"/>
      <w:lvlJc w:val="left"/>
      <w:pPr>
        <w:ind w:left="546" w:hanging="360"/>
      </w:pPr>
      <w:rPr>
        <w:rFonts w:ascii="Courier New" w:hAnsi="Courier New" w:hint="default"/>
      </w:rPr>
    </w:lvl>
    <w:lvl w:ilvl="5" w:tplc="08090005" w:tentative="1">
      <w:start w:val="1"/>
      <w:numFmt w:val="bullet"/>
      <w:lvlText w:val=""/>
      <w:lvlJc w:val="left"/>
      <w:pPr>
        <w:ind w:left="1266" w:hanging="360"/>
      </w:pPr>
      <w:rPr>
        <w:rFonts w:ascii="Wingdings" w:hAnsi="Wingdings" w:hint="default"/>
      </w:rPr>
    </w:lvl>
    <w:lvl w:ilvl="6" w:tplc="08090001" w:tentative="1">
      <w:start w:val="1"/>
      <w:numFmt w:val="bullet"/>
      <w:lvlText w:val=""/>
      <w:lvlJc w:val="left"/>
      <w:pPr>
        <w:ind w:left="1986" w:hanging="360"/>
      </w:pPr>
      <w:rPr>
        <w:rFonts w:ascii="Symbol" w:hAnsi="Symbol" w:hint="default"/>
      </w:rPr>
    </w:lvl>
    <w:lvl w:ilvl="7" w:tplc="08090003" w:tentative="1">
      <w:start w:val="1"/>
      <w:numFmt w:val="bullet"/>
      <w:lvlText w:val="o"/>
      <w:lvlJc w:val="left"/>
      <w:pPr>
        <w:ind w:left="2706" w:hanging="360"/>
      </w:pPr>
      <w:rPr>
        <w:rFonts w:ascii="Courier New" w:hAnsi="Courier New" w:hint="default"/>
      </w:rPr>
    </w:lvl>
    <w:lvl w:ilvl="8" w:tplc="08090005" w:tentative="1">
      <w:start w:val="1"/>
      <w:numFmt w:val="bullet"/>
      <w:lvlText w:val=""/>
      <w:lvlJc w:val="left"/>
      <w:pPr>
        <w:ind w:left="342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1"/>
  </w:num>
  <w:num w:numId="43">
    <w:abstractNumId w:val="1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001"/>
  <w:defaultTabStop w:val="567"/>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5857"/>
    <w:rsid w:val="0000226B"/>
    <w:rsid w:val="000023E1"/>
    <w:rsid w:val="000028A2"/>
    <w:rsid w:val="00003B0E"/>
    <w:rsid w:val="0000524A"/>
    <w:rsid w:val="0000557B"/>
    <w:rsid w:val="00005A07"/>
    <w:rsid w:val="00005E51"/>
    <w:rsid w:val="00006A16"/>
    <w:rsid w:val="000109C6"/>
    <w:rsid w:val="00010B02"/>
    <w:rsid w:val="00012DAE"/>
    <w:rsid w:val="0001537A"/>
    <w:rsid w:val="000212DF"/>
    <w:rsid w:val="00023B11"/>
    <w:rsid w:val="00024E38"/>
    <w:rsid w:val="00025F0D"/>
    <w:rsid w:val="00026F80"/>
    <w:rsid w:val="00027920"/>
    <w:rsid w:val="000317EB"/>
    <w:rsid w:val="00031F31"/>
    <w:rsid w:val="00032598"/>
    <w:rsid w:val="000330BB"/>
    <w:rsid w:val="000369AE"/>
    <w:rsid w:val="00040829"/>
    <w:rsid w:val="00041605"/>
    <w:rsid w:val="00042DE6"/>
    <w:rsid w:val="000439E0"/>
    <w:rsid w:val="00045547"/>
    <w:rsid w:val="00046930"/>
    <w:rsid w:val="00047BD4"/>
    <w:rsid w:val="00051FEC"/>
    <w:rsid w:val="00056C13"/>
    <w:rsid w:val="00057EFC"/>
    <w:rsid w:val="000615F9"/>
    <w:rsid w:val="00061894"/>
    <w:rsid w:val="0006752D"/>
    <w:rsid w:val="0006796B"/>
    <w:rsid w:val="0007270B"/>
    <w:rsid w:val="000779FF"/>
    <w:rsid w:val="0008203B"/>
    <w:rsid w:val="000845C5"/>
    <w:rsid w:val="00086ACD"/>
    <w:rsid w:val="000916DA"/>
    <w:rsid w:val="00094154"/>
    <w:rsid w:val="00095767"/>
    <w:rsid w:val="000958EB"/>
    <w:rsid w:val="00095D4D"/>
    <w:rsid w:val="00096156"/>
    <w:rsid w:val="000965A6"/>
    <w:rsid w:val="00097AF7"/>
    <w:rsid w:val="000A0FBC"/>
    <w:rsid w:val="000A3997"/>
    <w:rsid w:val="000A46AE"/>
    <w:rsid w:val="000B3ACF"/>
    <w:rsid w:val="000B45BA"/>
    <w:rsid w:val="000B61D0"/>
    <w:rsid w:val="000B68A2"/>
    <w:rsid w:val="000B7856"/>
    <w:rsid w:val="000C1F06"/>
    <w:rsid w:val="000C2D3B"/>
    <w:rsid w:val="000C4F9D"/>
    <w:rsid w:val="000C5B11"/>
    <w:rsid w:val="000C6C6F"/>
    <w:rsid w:val="000D359B"/>
    <w:rsid w:val="000D4E68"/>
    <w:rsid w:val="000D52E7"/>
    <w:rsid w:val="000D5907"/>
    <w:rsid w:val="000D5C2D"/>
    <w:rsid w:val="000D5DD9"/>
    <w:rsid w:val="000D71DD"/>
    <w:rsid w:val="000E07AF"/>
    <w:rsid w:val="000E25FD"/>
    <w:rsid w:val="000E47BC"/>
    <w:rsid w:val="000E4D22"/>
    <w:rsid w:val="000E52E7"/>
    <w:rsid w:val="000E55FD"/>
    <w:rsid w:val="000E6D3B"/>
    <w:rsid w:val="000F090E"/>
    <w:rsid w:val="000F0DDE"/>
    <w:rsid w:val="000F107A"/>
    <w:rsid w:val="000F6791"/>
    <w:rsid w:val="000F6A4D"/>
    <w:rsid w:val="001005D6"/>
    <w:rsid w:val="00100BC6"/>
    <w:rsid w:val="00102B21"/>
    <w:rsid w:val="001044DF"/>
    <w:rsid w:val="001048E7"/>
    <w:rsid w:val="0010523A"/>
    <w:rsid w:val="0011033A"/>
    <w:rsid w:val="00112A24"/>
    <w:rsid w:val="00112A63"/>
    <w:rsid w:val="00112B9A"/>
    <w:rsid w:val="0011535B"/>
    <w:rsid w:val="001159A3"/>
    <w:rsid w:val="0011742A"/>
    <w:rsid w:val="00117556"/>
    <w:rsid w:val="001206D5"/>
    <w:rsid w:val="00121B9A"/>
    <w:rsid w:val="00132708"/>
    <w:rsid w:val="001336B7"/>
    <w:rsid w:val="00135BA3"/>
    <w:rsid w:val="001403B5"/>
    <w:rsid w:val="00141245"/>
    <w:rsid w:val="001431B2"/>
    <w:rsid w:val="001451A8"/>
    <w:rsid w:val="001451C5"/>
    <w:rsid w:val="00147312"/>
    <w:rsid w:val="00155390"/>
    <w:rsid w:val="001553A7"/>
    <w:rsid w:val="0015775F"/>
    <w:rsid w:val="001605B3"/>
    <w:rsid w:val="00163DC4"/>
    <w:rsid w:val="00167560"/>
    <w:rsid w:val="001721DB"/>
    <w:rsid w:val="00173348"/>
    <w:rsid w:val="0017428A"/>
    <w:rsid w:val="001771AA"/>
    <w:rsid w:val="00180BF1"/>
    <w:rsid w:val="00180E55"/>
    <w:rsid w:val="00181CD9"/>
    <w:rsid w:val="001870EA"/>
    <w:rsid w:val="0018787E"/>
    <w:rsid w:val="00187EBB"/>
    <w:rsid w:val="00187FF1"/>
    <w:rsid w:val="00190F5F"/>
    <w:rsid w:val="00191AAA"/>
    <w:rsid w:val="00192C8B"/>
    <w:rsid w:val="00192F20"/>
    <w:rsid w:val="00195302"/>
    <w:rsid w:val="001969CA"/>
    <w:rsid w:val="001A0073"/>
    <w:rsid w:val="001A138F"/>
    <w:rsid w:val="001A3AC8"/>
    <w:rsid w:val="001A4EDF"/>
    <w:rsid w:val="001A6E2F"/>
    <w:rsid w:val="001A7053"/>
    <w:rsid w:val="001B06DE"/>
    <w:rsid w:val="001B1461"/>
    <w:rsid w:val="001B47B1"/>
    <w:rsid w:val="001B7A00"/>
    <w:rsid w:val="001C01A4"/>
    <w:rsid w:val="001C492E"/>
    <w:rsid w:val="001C5448"/>
    <w:rsid w:val="001C6175"/>
    <w:rsid w:val="001D1445"/>
    <w:rsid w:val="001D169E"/>
    <w:rsid w:val="001D22F9"/>
    <w:rsid w:val="001D24C9"/>
    <w:rsid w:val="001D324B"/>
    <w:rsid w:val="001D35DD"/>
    <w:rsid w:val="001D591B"/>
    <w:rsid w:val="001D6B0E"/>
    <w:rsid w:val="001D70D8"/>
    <w:rsid w:val="001D75B9"/>
    <w:rsid w:val="001D7779"/>
    <w:rsid w:val="001E0A8F"/>
    <w:rsid w:val="001E1447"/>
    <w:rsid w:val="001E69EC"/>
    <w:rsid w:val="001E72F1"/>
    <w:rsid w:val="001F0093"/>
    <w:rsid w:val="001F1673"/>
    <w:rsid w:val="001F4C4C"/>
    <w:rsid w:val="001F4D4D"/>
    <w:rsid w:val="001F5BC5"/>
    <w:rsid w:val="001F72C8"/>
    <w:rsid w:val="00200FB9"/>
    <w:rsid w:val="0020219D"/>
    <w:rsid w:val="002037E7"/>
    <w:rsid w:val="00205FFC"/>
    <w:rsid w:val="00211A08"/>
    <w:rsid w:val="002124A0"/>
    <w:rsid w:val="00217BC4"/>
    <w:rsid w:val="00220D8C"/>
    <w:rsid w:val="00221BFF"/>
    <w:rsid w:val="00222924"/>
    <w:rsid w:val="00222953"/>
    <w:rsid w:val="002271A5"/>
    <w:rsid w:val="00231B13"/>
    <w:rsid w:val="00234053"/>
    <w:rsid w:val="002356CD"/>
    <w:rsid w:val="00241533"/>
    <w:rsid w:val="00241A3B"/>
    <w:rsid w:val="00243FC5"/>
    <w:rsid w:val="0024718E"/>
    <w:rsid w:val="00247BBE"/>
    <w:rsid w:val="0025150F"/>
    <w:rsid w:val="00252E05"/>
    <w:rsid w:val="002566AE"/>
    <w:rsid w:val="002569DD"/>
    <w:rsid w:val="00261535"/>
    <w:rsid w:val="002653D8"/>
    <w:rsid w:val="0026717E"/>
    <w:rsid w:val="00270E90"/>
    <w:rsid w:val="00274F62"/>
    <w:rsid w:val="0028448F"/>
    <w:rsid w:val="00285737"/>
    <w:rsid w:val="002909A1"/>
    <w:rsid w:val="00290A21"/>
    <w:rsid w:val="00293699"/>
    <w:rsid w:val="002945B5"/>
    <w:rsid w:val="00295F3F"/>
    <w:rsid w:val="00296004"/>
    <w:rsid w:val="002A488B"/>
    <w:rsid w:val="002A6ADE"/>
    <w:rsid w:val="002A6C2B"/>
    <w:rsid w:val="002A6C38"/>
    <w:rsid w:val="002A762C"/>
    <w:rsid w:val="002A7969"/>
    <w:rsid w:val="002A7A7D"/>
    <w:rsid w:val="002B3282"/>
    <w:rsid w:val="002B37B2"/>
    <w:rsid w:val="002B4D97"/>
    <w:rsid w:val="002B71DA"/>
    <w:rsid w:val="002C089C"/>
    <w:rsid w:val="002C281B"/>
    <w:rsid w:val="002C40C1"/>
    <w:rsid w:val="002C4276"/>
    <w:rsid w:val="002C6F85"/>
    <w:rsid w:val="002C7CA7"/>
    <w:rsid w:val="002D0B0D"/>
    <w:rsid w:val="002D0FF7"/>
    <w:rsid w:val="002D1BBB"/>
    <w:rsid w:val="002D719E"/>
    <w:rsid w:val="002E0282"/>
    <w:rsid w:val="002E0BCB"/>
    <w:rsid w:val="002E0DF8"/>
    <w:rsid w:val="002E0F09"/>
    <w:rsid w:val="002E1674"/>
    <w:rsid w:val="002E3BC7"/>
    <w:rsid w:val="002E79D9"/>
    <w:rsid w:val="002E7D1A"/>
    <w:rsid w:val="002F2335"/>
    <w:rsid w:val="002F2618"/>
    <w:rsid w:val="002F2734"/>
    <w:rsid w:val="002F338A"/>
    <w:rsid w:val="002F353B"/>
    <w:rsid w:val="002F4A40"/>
    <w:rsid w:val="002F4D47"/>
    <w:rsid w:val="002F551C"/>
    <w:rsid w:val="003030FA"/>
    <w:rsid w:val="00305322"/>
    <w:rsid w:val="0031122B"/>
    <w:rsid w:val="003114A9"/>
    <w:rsid w:val="00313DC4"/>
    <w:rsid w:val="00314389"/>
    <w:rsid w:val="003212BC"/>
    <w:rsid w:val="00321F91"/>
    <w:rsid w:val="00324670"/>
    <w:rsid w:val="0032626E"/>
    <w:rsid w:val="00326CEB"/>
    <w:rsid w:val="0032797C"/>
    <w:rsid w:val="003300E2"/>
    <w:rsid w:val="003302E1"/>
    <w:rsid w:val="003338DB"/>
    <w:rsid w:val="00336B7D"/>
    <w:rsid w:val="0034011E"/>
    <w:rsid w:val="00341222"/>
    <w:rsid w:val="00343449"/>
    <w:rsid w:val="00345C0E"/>
    <w:rsid w:val="00347491"/>
    <w:rsid w:val="00351CB0"/>
    <w:rsid w:val="00352E9A"/>
    <w:rsid w:val="00355215"/>
    <w:rsid w:val="0035552E"/>
    <w:rsid w:val="0035775D"/>
    <w:rsid w:val="003611A9"/>
    <w:rsid w:val="0036327D"/>
    <w:rsid w:val="003640FA"/>
    <w:rsid w:val="0036442D"/>
    <w:rsid w:val="00365D08"/>
    <w:rsid w:val="00367A40"/>
    <w:rsid w:val="003729D2"/>
    <w:rsid w:val="00375C33"/>
    <w:rsid w:val="003761E4"/>
    <w:rsid w:val="00377E43"/>
    <w:rsid w:val="003836BA"/>
    <w:rsid w:val="00385807"/>
    <w:rsid w:val="00386D71"/>
    <w:rsid w:val="00387066"/>
    <w:rsid w:val="00387150"/>
    <w:rsid w:val="0039167A"/>
    <w:rsid w:val="00391EB3"/>
    <w:rsid w:val="0039294F"/>
    <w:rsid w:val="0039566C"/>
    <w:rsid w:val="003968A5"/>
    <w:rsid w:val="00397B4B"/>
    <w:rsid w:val="003A3B63"/>
    <w:rsid w:val="003A4F9A"/>
    <w:rsid w:val="003A60E0"/>
    <w:rsid w:val="003B04CF"/>
    <w:rsid w:val="003B0CF6"/>
    <w:rsid w:val="003B3809"/>
    <w:rsid w:val="003B64C4"/>
    <w:rsid w:val="003C1F83"/>
    <w:rsid w:val="003C2B1D"/>
    <w:rsid w:val="003C2E99"/>
    <w:rsid w:val="003C365D"/>
    <w:rsid w:val="003C728A"/>
    <w:rsid w:val="003C7F58"/>
    <w:rsid w:val="003D0602"/>
    <w:rsid w:val="003D2FC7"/>
    <w:rsid w:val="003D3873"/>
    <w:rsid w:val="003D4257"/>
    <w:rsid w:val="003E2D53"/>
    <w:rsid w:val="003E3B25"/>
    <w:rsid w:val="003E3CA6"/>
    <w:rsid w:val="003E55CE"/>
    <w:rsid w:val="003E757F"/>
    <w:rsid w:val="003F1AAD"/>
    <w:rsid w:val="003F7B49"/>
    <w:rsid w:val="004008D2"/>
    <w:rsid w:val="00403932"/>
    <w:rsid w:val="00406464"/>
    <w:rsid w:val="00411149"/>
    <w:rsid w:val="00411E7B"/>
    <w:rsid w:val="0041282E"/>
    <w:rsid w:val="00413E7A"/>
    <w:rsid w:val="00413E9B"/>
    <w:rsid w:val="0041557D"/>
    <w:rsid w:val="0041697F"/>
    <w:rsid w:val="00416EB9"/>
    <w:rsid w:val="004214DF"/>
    <w:rsid w:val="00423205"/>
    <w:rsid w:val="004233F5"/>
    <w:rsid w:val="00423E77"/>
    <w:rsid w:val="00424B62"/>
    <w:rsid w:val="00424D40"/>
    <w:rsid w:val="00432EDF"/>
    <w:rsid w:val="00436623"/>
    <w:rsid w:val="004369F5"/>
    <w:rsid w:val="004377A0"/>
    <w:rsid w:val="00441C75"/>
    <w:rsid w:val="00443D30"/>
    <w:rsid w:val="00444109"/>
    <w:rsid w:val="004446AB"/>
    <w:rsid w:val="004470FC"/>
    <w:rsid w:val="00450226"/>
    <w:rsid w:val="004511B0"/>
    <w:rsid w:val="00452804"/>
    <w:rsid w:val="004557A6"/>
    <w:rsid w:val="00456E46"/>
    <w:rsid w:val="0046289B"/>
    <w:rsid w:val="004630CD"/>
    <w:rsid w:val="0046326F"/>
    <w:rsid w:val="00463950"/>
    <w:rsid w:val="00465292"/>
    <w:rsid w:val="00465661"/>
    <w:rsid w:val="00466411"/>
    <w:rsid w:val="00467555"/>
    <w:rsid w:val="00471503"/>
    <w:rsid w:val="00476485"/>
    <w:rsid w:val="004775C4"/>
    <w:rsid w:val="004801A8"/>
    <w:rsid w:val="004812FD"/>
    <w:rsid w:val="00482805"/>
    <w:rsid w:val="0048326C"/>
    <w:rsid w:val="004876E5"/>
    <w:rsid w:val="004916F4"/>
    <w:rsid w:val="00493933"/>
    <w:rsid w:val="004954DB"/>
    <w:rsid w:val="00496513"/>
    <w:rsid w:val="004A06D7"/>
    <w:rsid w:val="004A0EE9"/>
    <w:rsid w:val="004A2AA6"/>
    <w:rsid w:val="004A2C78"/>
    <w:rsid w:val="004A337B"/>
    <w:rsid w:val="004A4236"/>
    <w:rsid w:val="004A472A"/>
    <w:rsid w:val="004A7A39"/>
    <w:rsid w:val="004B202E"/>
    <w:rsid w:val="004B20B6"/>
    <w:rsid w:val="004B3315"/>
    <w:rsid w:val="004B4AAE"/>
    <w:rsid w:val="004B5AF0"/>
    <w:rsid w:val="004B65C8"/>
    <w:rsid w:val="004B705F"/>
    <w:rsid w:val="004C1A04"/>
    <w:rsid w:val="004C53F5"/>
    <w:rsid w:val="004C57FE"/>
    <w:rsid w:val="004C5E6D"/>
    <w:rsid w:val="004C740E"/>
    <w:rsid w:val="004D0983"/>
    <w:rsid w:val="004D29AB"/>
    <w:rsid w:val="004D2D6D"/>
    <w:rsid w:val="004D47B0"/>
    <w:rsid w:val="004D647F"/>
    <w:rsid w:val="004D783D"/>
    <w:rsid w:val="004E011D"/>
    <w:rsid w:val="004E13FF"/>
    <w:rsid w:val="004F289F"/>
    <w:rsid w:val="004F2FB6"/>
    <w:rsid w:val="004F373B"/>
    <w:rsid w:val="004F45F6"/>
    <w:rsid w:val="004F6B8B"/>
    <w:rsid w:val="004F7D21"/>
    <w:rsid w:val="00500F1A"/>
    <w:rsid w:val="00501886"/>
    <w:rsid w:val="00502216"/>
    <w:rsid w:val="00503481"/>
    <w:rsid w:val="00503731"/>
    <w:rsid w:val="00511C5E"/>
    <w:rsid w:val="00512FB7"/>
    <w:rsid w:val="00513210"/>
    <w:rsid w:val="00515110"/>
    <w:rsid w:val="005160B8"/>
    <w:rsid w:val="0051660F"/>
    <w:rsid w:val="00516634"/>
    <w:rsid w:val="005169E5"/>
    <w:rsid w:val="00521620"/>
    <w:rsid w:val="00521C61"/>
    <w:rsid w:val="00522CA3"/>
    <w:rsid w:val="005300AD"/>
    <w:rsid w:val="00531B2A"/>
    <w:rsid w:val="00532F37"/>
    <w:rsid w:val="0053422A"/>
    <w:rsid w:val="0053648C"/>
    <w:rsid w:val="00536B66"/>
    <w:rsid w:val="00537AA9"/>
    <w:rsid w:val="00537BE5"/>
    <w:rsid w:val="00541149"/>
    <w:rsid w:val="005412ED"/>
    <w:rsid w:val="00541B48"/>
    <w:rsid w:val="00542FDF"/>
    <w:rsid w:val="00544FF5"/>
    <w:rsid w:val="00545F18"/>
    <w:rsid w:val="00546E65"/>
    <w:rsid w:val="00547154"/>
    <w:rsid w:val="00547B70"/>
    <w:rsid w:val="005537FC"/>
    <w:rsid w:val="005544AE"/>
    <w:rsid w:val="00554F7F"/>
    <w:rsid w:val="00555876"/>
    <w:rsid w:val="00556F7E"/>
    <w:rsid w:val="0055744D"/>
    <w:rsid w:val="00557E46"/>
    <w:rsid w:val="00561CA0"/>
    <w:rsid w:val="00565154"/>
    <w:rsid w:val="00567B32"/>
    <w:rsid w:val="00567DE3"/>
    <w:rsid w:val="00570225"/>
    <w:rsid w:val="005702E3"/>
    <w:rsid w:val="00571736"/>
    <w:rsid w:val="00575B15"/>
    <w:rsid w:val="00576FEB"/>
    <w:rsid w:val="00577FF9"/>
    <w:rsid w:val="00580894"/>
    <w:rsid w:val="005819A7"/>
    <w:rsid w:val="00581B8A"/>
    <w:rsid w:val="00585C87"/>
    <w:rsid w:val="00586965"/>
    <w:rsid w:val="005877D1"/>
    <w:rsid w:val="005900B3"/>
    <w:rsid w:val="00593FE1"/>
    <w:rsid w:val="005947B7"/>
    <w:rsid w:val="00595D9D"/>
    <w:rsid w:val="00596D45"/>
    <w:rsid w:val="00597C74"/>
    <w:rsid w:val="005A5C25"/>
    <w:rsid w:val="005A76E3"/>
    <w:rsid w:val="005A7881"/>
    <w:rsid w:val="005B0AFE"/>
    <w:rsid w:val="005B21E2"/>
    <w:rsid w:val="005B430D"/>
    <w:rsid w:val="005B5510"/>
    <w:rsid w:val="005B59DD"/>
    <w:rsid w:val="005B6711"/>
    <w:rsid w:val="005B69A5"/>
    <w:rsid w:val="005C3458"/>
    <w:rsid w:val="005D0A64"/>
    <w:rsid w:val="005D1D8B"/>
    <w:rsid w:val="005D234E"/>
    <w:rsid w:val="005D3472"/>
    <w:rsid w:val="005D3E9D"/>
    <w:rsid w:val="005D49C4"/>
    <w:rsid w:val="005D53F1"/>
    <w:rsid w:val="005D7D42"/>
    <w:rsid w:val="005E45C9"/>
    <w:rsid w:val="005F002F"/>
    <w:rsid w:val="005F29ED"/>
    <w:rsid w:val="005F29F2"/>
    <w:rsid w:val="005F3CB2"/>
    <w:rsid w:val="005F3DE2"/>
    <w:rsid w:val="005F7C91"/>
    <w:rsid w:val="006034FE"/>
    <w:rsid w:val="00604748"/>
    <w:rsid w:val="00604A38"/>
    <w:rsid w:val="00604B77"/>
    <w:rsid w:val="00606436"/>
    <w:rsid w:val="00606492"/>
    <w:rsid w:val="00607CA8"/>
    <w:rsid w:val="006100B9"/>
    <w:rsid w:val="00611EC0"/>
    <w:rsid w:val="006123BB"/>
    <w:rsid w:val="006165A0"/>
    <w:rsid w:val="00616B4D"/>
    <w:rsid w:val="00617F4E"/>
    <w:rsid w:val="0062272C"/>
    <w:rsid w:val="00623B70"/>
    <w:rsid w:val="00624568"/>
    <w:rsid w:val="00624F78"/>
    <w:rsid w:val="00627458"/>
    <w:rsid w:val="0063005E"/>
    <w:rsid w:val="00630CEC"/>
    <w:rsid w:val="006322A8"/>
    <w:rsid w:val="006333D5"/>
    <w:rsid w:val="00634509"/>
    <w:rsid w:val="00636742"/>
    <w:rsid w:val="00637000"/>
    <w:rsid w:val="006400F4"/>
    <w:rsid w:val="006416BE"/>
    <w:rsid w:val="00641A11"/>
    <w:rsid w:val="00641E9F"/>
    <w:rsid w:val="00642F15"/>
    <w:rsid w:val="00644854"/>
    <w:rsid w:val="00644F66"/>
    <w:rsid w:val="00647E7D"/>
    <w:rsid w:val="006522AA"/>
    <w:rsid w:val="00653F5B"/>
    <w:rsid w:val="00654914"/>
    <w:rsid w:val="00655A49"/>
    <w:rsid w:val="0066020F"/>
    <w:rsid w:val="006649DE"/>
    <w:rsid w:val="00667194"/>
    <w:rsid w:val="0067339C"/>
    <w:rsid w:val="00673EAE"/>
    <w:rsid w:val="006748DE"/>
    <w:rsid w:val="00677252"/>
    <w:rsid w:val="006773B3"/>
    <w:rsid w:val="00683D40"/>
    <w:rsid w:val="006848B5"/>
    <w:rsid w:val="006855A5"/>
    <w:rsid w:val="00686B2A"/>
    <w:rsid w:val="00690022"/>
    <w:rsid w:val="006914F3"/>
    <w:rsid w:val="00691CE6"/>
    <w:rsid w:val="006A058E"/>
    <w:rsid w:val="006A0CCC"/>
    <w:rsid w:val="006A1B90"/>
    <w:rsid w:val="006A1F1B"/>
    <w:rsid w:val="006A39C8"/>
    <w:rsid w:val="006A3FFD"/>
    <w:rsid w:val="006A4BBE"/>
    <w:rsid w:val="006B0718"/>
    <w:rsid w:val="006B15B5"/>
    <w:rsid w:val="006B2B6F"/>
    <w:rsid w:val="006B3D1F"/>
    <w:rsid w:val="006C2225"/>
    <w:rsid w:val="006C3B6C"/>
    <w:rsid w:val="006C5A4D"/>
    <w:rsid w:val="006C6651"/>
    <w:rsid w:val="006C7460"/>
    <w:rsid w:val="006C74DA"/>
    <w:rsid w:val="006D1506"/>
    <w:rsid w:val="006D1AAB"/>
    <w:rsid w:val="006D41AB"/>
    <w:rsid w:val="006D440F"/>
    <w:rsid w:val="006D4CF0"/>
    <w:rsid w:val="006D5762"/>
    <w:rsid w:val="006E014C"/>
    <w:rsid w:val="006E404A"/>
    <w:rsid w:val="006E4687"/>
    <w:rsid w:val="006E4F38"/>
    <w:rsid w:val="006E5B68"/>
    <w:rsid w:val="006E6DC4"/>
    <w:rsid w:val="006F0BF0"/>
    <w:rsid w:val="006F37F3"/>
    <w:rsid w:val="006F4F82"/>
    <w:rsid w:val="006F6381"/>
    <w:rsid w:val="00703A4E"/>
    <w:rsid w:val="007040AE"/>
    <w:rsid w:val="00707DF8"/>
    <w:rsid w:val="007116CD"/>
    <w:rsid w:val="00711A5C"/>
    <w:rsid w:val="007127B1"/>
    <w:rsid w:val="007129CB"/>
    <w:rsid w:val="00713D4C"/>
    <w:rsid w:val="00713DFA"/>
    <w:rsid w:val="007144B8"/>
    <w:rsid w:val="0071499A"/>
    <w:rsid w:val="00717948"/>
    <w:rsid w:val="00721957"/>
    <w:rsid w:val="00726DA7"/>
    <w:rsid w:val="00733D0D"/>
    <w:rsid w:val="00734DAF"/>
    <w:rsid w:val="0073624C"/>
    <w:rsid w:val="00737CA5"/>
    <w:rsid w:val="0074083E"/>
    <w:rsid w:val="00740BAA"/>
    <w:rsid w:val="00740BB8"/>
    <w:rsid w:val="00740C00"/>
    <w:rsid w:val="00740E7A"/>
    <w:rsid w:val="00741405"/>
    <w:rsid w:val="00741D84"/>
    <w:rsid w:val="00743593"/>
    <w:rsid w:val="007435E4"/>
    <w:rsid w:val="00743E84"/>
    <w:rsid w:val="00747656"/>
    <w:rsid w:val="00747D77"/>
    <w:rsid w:val="00751569"/>
    <w:rsid w:val="007529DC"/>
    <w:rsid w:val="00752AFB"/>
    <w:rsid w:val="007535E7"/>
    <w:rsid w:val="007538F0"/>
    <w:rsid w:val="00754F0C"/>
    <w:rsid w:val="007555B3"/>
    <w:rsid w:val="00755BA6"/>
    <w:rsid w:val="00756845"/>
    <w:rsid w:val="00756C28"/>
    <w:rsid w:val="00762AE5"/>
    <w:rsid w:val="00764A36"/>
    <w:rsid w:val="00765720"/>
    <w:rsid w:val="0076722F"/>
    <w:rsid w:val="007734EE"/>
    <w:rsid w:val="00773909"/>
    <w:rsid w:val="0077390F"/>
    <w:rsid w:val="00773B5E"/>
    <w:rsid w:val="0077517D"/>
    <w:rsid w:val="00775D58"/>
    <w:rsid w:val="00776DCB"/>
    <w:rsid w:val="00776E89"/>
    <w:rsid w:val="00777CBB"/>
    <w:rsid w:val="00785CDD"/>
    <w:rsid w:val="0079197C"/>
    <w:rsid w:val="00792408"/>
    <w:rsid w:val="00792E54"/>
    <w:rsid w:val="0079421C"/>
    <w:rsid w:val="007A16A0"/>
    <w:rsid w:val="007A1C9C"/>
    <w:rsid w:val="007A22CA"/>
    <w:rsid w:val="007A2536"/>
    <w:rsid w:val="007A31B1"/>
    <w:rsid w:val="007A38F3"/>
    <w:rsid w:val="007A3FB8"/>
    <w:rsid w:val="007A4F50"/>
    <w:rsid w:val="007A4F9B"/>
    <w:rsid w:val="007A5285"/>
    <w:rsid w:val="007A5A5D"/>
    <w:rsid w:val="007A78F7"/>
    <w:rsid w:val="007A7A88"/>
    <w:rsid w:val="007A7D18"/>
    <w:rsid w:val="007B24C9"/>
    <w:rsid w:val="007B61E4"/>
    <w:rsid w:val="007B6C00"/>
    <w:rsid w:val="007C4EA3"/>
    <w:rsid w:val="007C623F"/>
    <w:rsid w:val="007D0CEB"/>
    <w:rsid w:val="007D175D"/>
    <w:rsid w:val="007D2FF6"/>
    <w:rsid w:val="007D3347"/>
    <w:rsid w:val="007D348D"/>
    <w:rsid w:val="007D3B3E"/>
    <w:rsid w:val="007D4F2B"/>
    <w:rsid w:val="007D6FC4"/>
    <w:rsid w:val="007E2164"/>
    <w:rsid w:val="007E36AD"/>
    <w:rsid w:val="007E647F"/>
    <w:rsid w:val="007E6A92"/>
    <w:rsid w:val="007F0C67"/>
    <w:rsid w:val="007F2863"/>
    <w:rsid w:val="007F4CD9"/>
    <w:rsid w:val="007F7B26"/>
    <w:rsid w:val="008028A7"/>
    <w:rsid w:val="00803F96"/>
    <w:rsid w:val="008064C1"/>
    <w:rsid w:val="0081169B"/>
    <w:rsid w:val="008122A6"/>
    <w:rsid w:val="00813096"/>
    <w:rsid w:val="008133CD"/>
    <w:rsid w:val="00815721"/>
    <w:rsid w:val="00816D15"/>
    <w:rsid w:val="00821F72"/>
    <w:rsid w:val="00825FD2"/>
    <w:rsid w:val="0082782A"/>
    <w:rsid w:val="008310E1"/>
    <w:rsid w:val="00834F9D"/>
    <w:rsid w:val="00836594"/>
    <w:rsid w:val="0084094B"/>
    <w:rsid w:val="0084139B"/>
    <w:rsid w:val="008423B3"/>
    <w:rsid w:val="00842AF1"/>
    <w:rsid w:val="00843B76"/>
    <w:rsid w:val="00843D6B"/>
    <w:rsid w:val="0084524D"/>
    <w:rsid w:val="0084758C"/>
    <w:rsid w:val="00851671"/>
    <w:rsid w:val="008533AA"/>
    <w:rsid w:val="00853A52"/>
    <w:rsid w:val="00855C73"/>
    <w:rsid w:val="00856DE0"/>
    <w:rsid w:val="00856EE9"/>
    <w:rsid w:val="00857347"/>
    <w:rsid w:val="00862862"/>
    <w:rsid w:val="00863C25"/>
    <w:rsid w:val="00866B88"/>
    <w:rsid w:val="00867B78"/>
    <w:rsid w:val="00867F06"/>
    <w:rsid w:val="008736D9"/>
    <w:rsid w:val="00874E90"/>
    <w:rsid w:val="008818C0"/>
    <w:rsid w:val="00881CAB"/>
    <w:rsid w:val="00890D61"/>
    <w:rsid w:val="00891863"/>
    <w:rsid w:val="00893075"/>
    <w:rsid w:val="00895459"/>
    <w:rsid w:val="008A17E3"/>
    <w:rsid w:val="008A1C14"/>
    <w:rsid w:val="008A3362"/>
    <w:rsid w:val="008A33C5"/>
    <w:rsid w:val="008A5A26"/>
    <w:rsid w:val="008B1464"/>
    <w:rsid w:val="008B225B"/>
    <w:rsid w:val="008B4B09"/>
    <w:rsid w:val="008B5358"/>
    <w:rsid w:val="008B6C17"/>
    <w:rsid w:val="008B6E6B"/>
    <w:rsid w:val="008B6ED6"/>
    <w:rsid w:val="008B717E"/>
    <w:rsid w:val="008C0D2F"/>
    <w:rsid w:val="008C2C06"/>
    <w:rsid w:val="008C3754"/>
    <w:rsid w:val="008C424E"/>
    <w:rsid w:val="008C49EC"/>
    <w:rsid w:val="008C5127"/>
    <w:rsid w:val="008C644B"/>
    <w:rsid w:val="008C67F4"/>
    <w:rsid w:val="008C7E22"/>
    <w:rsid w:val="008D0B40"/>
    <w:rsid w:val="008D0B62"/>
    <w:rsid w:val="008D0DD1"/>
    <w:rsid w:val="008D222E"/>
    <w:rsid w:val="008D2269"/>
    <w:rsid w:val="008D351F"/>
    <w:rsid w:val="008D5BA7"/>
    <w:rsid w:val="008D75D2"/>
    <w:rsid w:val="008E0A64"/>
    <w:rsid w:val="008E1EEF"/>
    <w:rsid w:val="008E2AA7"/>
    <w:rsid w:val="008E3466"/>
    <w:rsid w:val="008E50C9"/>
    <w:rsid w:val="008F0B16"/>
    <w:rsid w:val="008F1D87"/>
    <w:rsid w:val="008F1FBB"/>
    <w:rsid w:val="008F28FA"/>
    <w:rsid w:val="008F3A9F"/>
    <w:rsid w:val="008F6E47"/>
    <w:rsid w:val="00902A8E"/>
    <w:rsid w:val="00907127"/>
    <w:rsid w:val="009102B1"/>
    <w:rsid w:val="00910677"/>
    <w:rsid w:val="009116DC"/>
    <w:rsid w:val="00912808"/>
    <w:rsid w:val="00913384"/>
    <w:rsid w:val="00914EEB"/>
    <w:rsid w:val="00915584"/>
    <w:rsid w:val="00915EC4"/>
    <w:rsid w:val="009169C0"/>
    <w:rsid w:val="00920FF5"/>
    <w:rsid w:val="009213AC"/>
    <w:rsid w:val="0092295A"/>
    <w:rsid w:val="00922D04"/>
    <w:rsid w:val="00923B1F"/>
    <w:rsid w:val="00923CAB"/>
    <w:rsid w:val="0093032F"/>
    <w:rsid w:val="00930956"/>
    <w:rsid w:val="00931901"/>
    <w:rsid w:val="00936019"/>
    <w:rsid w:val="00937D51"/>
    <w:rsid w:val="00937E8E"/>
    <w:rsid w:val="00940C0C"/>
    <w:rsid w:val="00941048"/>
    <w:rsid w:val="009425EA"/>
    <w:rsid w:val="009470AF"/>
    <w:rsid w:val="00947154"/>
    <w:rsid w:val="00950245"/>
    <w:rsid w:val="009506E3"/>
    <w:rsid w:val="009508A0"/>
    <w:rsid w:val="00954830"/>
    <w:rsid w:val="0095706D"/>
    <w:rsid w:val="009610FA"/>
    <w:rsid w:val="0096150D"/>
    <w:rsid w:val="00963D8F"/>
    <w:rsid w:val="00963E00"/>
    <w:rsid w:val="00963F30"/>
    <w:rsid w:val="00964650"/>
    <w:rsid w:val="00965941"/>
    <w:rsid w:val="00965FF2"/>
    <w:rsid w:val="009705CC"/>
    <w:rsid w:val="009706F5"/>
    <w:rsid w:val="0097092E"/>
    <w:rsid w:val="0097336D"/>
    <w:rsid w:val="0097490B"/>
    <w:rsid w:val="00975BCD"/>
    <w:rsid w:val="00975DE3"/>
    <w:rsid w:val="009812BD"/>
    <w:rsid w:val="009830E6"/>
    <w:rsid w:val="00984EFA"/>
    <w:rsid w:val="00984EFC"/>
    <w:rsid w:val="00993699"/>
    <w:rsid w:val="00993A2A"/>
    <w:rsid w:val="00994724"/>
    <w:rsid w:val="0099607D"/>
    <w:rsid w:val="009963B6"/>
    <w:rsid w:val="0099683A"/>
    <w:rsid w:val="009969FA"/>
    <w:rsid w:val="00996C35"/>
    <w:rsid w:val="00997C19"/>
    <w:rsid w:val="009A06BA"/>
    <w:rsid w:val="009A0A83"/>
    <w:rsid w:val="009A0DD7"/>
    <w:rsid w:val="009A3524"/>
    <w:rsid w:val="009A468C"/>
    <w:rsid w:val="009A60F1"/>
    <w:rsid w:val="009B0281"/>
    <w:rsid w:val="009B4B0F"/>
    <w:rsid w:val="009B513E"/>
    <w:rsid w:val="009B565C"/>
    <w:rsid w:val="009B7589"/>
    <w:rsid w:val="009C0FE6"/>
    <w:rsid w:val="009C5BF0"/>
    <w:rsid w:val="009C6380"/>
    <w:rsid w:val="009C7253"/>
    <w:rsid w:val="009D0573"/>
    <w:rsid w:val="009D0D83"/>
    <w:rsid w:val="009D0E1C"/>
    <w:rsid w:val="009D20A4"/>
    <w:rsid w:val="009D4470"/>
    <w:rsid w:val="009D48AB"/>
    <w:rsid w:val="009D5B88"/>
    <w:rsid w:val="009E0CCA"/>
    <w:rsid w:val="009E173C"/>
    <w:rsid w:val="009E1A04"/>
    <w:rsid w:val="009E2188"/>
    <w:rsid w:val="009E2E25"/>
    <w:rsid w:val="009E39FA"/>
    <w:rsid w:val="009E45A7"/>
    <w:rsid w:val="009E4EA1"/>
    <w:rsid w:val="009E6046"/>
    <w:rsid w:val="009E7289"/>
    <w:rsid w:val="009E7AB5"/>
    <w:rsid w:val="009F023F"/>
    <w:rsid w:val="009F23F9"/>
    <w:rsid w:val="009F33EB"/>
    <w:rsid w:val="009F3549"/>
    <w:rsid w:val="009F46D0"/>
    <w:rsid w:val="009F622A"/>
    <w:rsid w:val="009F6D86"/>
    <w:rsid w:val="009F7311"/>
    <w:rsid w:val="00A00254"/>
    <w:rsid w:val="00A034CE"/>
    <w:rsid w:val="00A119C6"/>
    <w:rsid w:val="00A17BC6"/>
    <w:rsid w:val="00A20503"/>
    <w:rsid w:val="00A213A9"/>
    <w:rsid w:val="00A25A3C"/>
    <w:rsid w:val="00A25ACE"/>
    <w:rsid w:val="00A25C85"/>
    <w:rsid w:val="00A265F5"/>
    <w:rsid w:val="00A26AAB"/>
    <w:rsid w:val="00A27B4B"/>
    <w:rsid w:val="00A27E2E"/>
    <w:rsid w:val="00A30EAE"/>
    <w:rsid w:val="00A32A5C"/>
    <w:rsid w:val="00A337A6"/>
    <w:rsid w:val="00A34614"/>
    <w:rsid w:val="00A35ED6"/>
    <w:rsid w:val="00A3633B"/>
    <w:rsid w:val="00A4014B"/>
    <w:rsid w:val="00A420B3"/>
    <w:rsid w:val="00A43403"/>
    <w:rsid w:val="00A45684"/>
    <w:rsid w:val="00A4604C"/>
    <w:rsid w:val="00A463DC"/>
    <w:rsid w:val="00A50291"/>
    <w:rsid w:val="00A540EC"/>
    <w:rsid w:val="00A55304"/>
    <w:rsid w:val="00A55A44"/>
    <w:rsid w:val="00A5719E"/>
    <w:rsid w:val="00A603A5"/>
    <w:rsid w:val="00A631B9"/>
    <w:rsid w:val="00A647EF"/>
    <w:rsid w:val="00A67203"/>
    <w:rsid w:val="00A716EB"/>
    <w:rsid w:val="00A81C71"/>
    <w:rsid w:val="00A84304"/>
    <w:rsid w:val="00A84B2F"/>
    <w:rsid w:val="00A853FB"/>
    <w:rsid w:val="00A8574F"/>
    <w:rsid w:val="00A859AD"/>
    <w:rsid w:val="00A861D9"/>
    <w:rsid w:val="00A86BFA"/>
    <w:rsid w:val="00A86F28"/>
    <w:rsid w:val="00A92F90"/>
    <w:rsid w:val="00A96F34"/>
    <w:rsid w:val="00AA081E"/>
    <w:rsid w:val="00AA223F"/>
    <w:rsid w:val="00AA52F9"/>
    <w:rsid w:val="00AA71DA"/>
    <w:rsid w:val="00AB069E"/>
    <w:rsid w:val="00AB0A6D"/>
    <w:rsid w:val="00AB32E1"/>
    <w:rsid w:val="00AB48D5"/>
    <w:rsid w:val="00AB5307"/>
    <w:rsid w:val="00AB56B5"/>
    <w:rsid w:val="00AB7A27"/>
    <w:rsid w:val="00AC239D"/>
    <w:rsid w:val="00AC2420"/>
    <w:rsid w:val="00AC6A39"/>
    <w:rsid w:val="00AC73BD"/>
    <w:rsid w:val="00AD0981"/>
    <w:rsid w:val="00AD1F0D"/>
    <w:rsid w:val="00AD2982"/>
    <w:rsid w:val="00AD5A70"/>
    <w:rsid w:val="00AD70BF"/>
    <w:rsid w:val="00AE0338"/>
    <w:rsid w:val="00AE0736"/>
    <w:rsid w:val="00AE2042"/>
    <w:rsid w:val="00AE37E0"/>
    <w:rsid w:val="00AE53C6"/>
    <w:rsid w:val="00AE6273"/>
    <w:rsid w:val="00AE6ABD"/>
    <w:rsid w:val="00AF3BD2"/>
    <w:rsid w:val="00AF566B"/>
    <w:rsid w:val="00AF5CD4"/>
    <w:rsid w:val="00AF5DA5"/>
    <w:rsid w:val="00AF637B"/>
    <w:rsid w:val="00AF6A0F"/>
    <w:rsid w:val="00AF75DA"/>
    <w:rsid w:val="00B00B06"/>
    <w:rsid w:val="00B00F50"/>
    <w:rsid w:val="00B01BA8"/>
    <w:rsid w:val="00B01FF4"/>
    <w:rsid w:val="00B02F54"/>
    <w:rsid w:val="00B040B2"/>
    <w:rsid w:val="00B0676C"/>
    <w:rsid w:val="00B07118"/>
    <w:rsid w:val="00B11599"/>
    <w:rsid w:val="00B11AB0"/>
    <w:rsid w:val="00B1242B"/>
    <w:rsid w:val="00B2071F"/>
    <w:rsid w:val="00B2262D"/>
    <w:rsid w:val="00B2380B"/>
    <w:rsid w:val="00B243AF"/>
    <w:rsid w:val="00B248EC"/>
    <w:rsid w:val="00B25342"/>
    <w:rsid w:val="00B263DD"/>
    <w:rsid w:val="00B336AA"/>
    <w:rsid w:val="00B33F73"/>
    <w:rsid w:val="00B35AFC"/>
    <w:rsid w:val="00B36CDC"/>
    <w:rsid w:val="00B3702F"/>
    <w:rsid w:val="00B40AE3"/>
    <w:rsid w:val="00B40E74"/>
    <w:rsid w:val="00B412BF"/>
    <w:rsid w:val="00B447FB"/>
    <w:rsid w:val="00B46B46"/>
    <w:rsid w:val="00B46EE0"/>
    <w:rsid w:val="00B502D5"/>
    <w:rsid w:val="00B517BC"/>
    <w:rsid w:val="00B534FD"/>
    <w:rsid w:val="00B53DD4"/>
    <w:rsid w:val="00B55776"/>
    <w:rsid w:val="00B56803"/>
    <w:rsid w:val="00B5769C"/>
    <w:rsid w:val="00B61AEB"/>
    <w:rsid w:val="00B644C3"/>
    <w:rsid w:val="00B7581B"/>
    <w:rsid w:val="00B76998"/>
    <w:rsid w:val="00B8020C"/>
    <w:rsid w:val="00B87C4E"/>
    <w:rsid w:val="00B90104"/>
    <w:rsid w:val="00B914AE"/>
    <w:rsid w:val="00B9224D"/>
    <w:rsid w:val="00B93A5D"/>
    <w:rsid w:val="00B95857"/>
    <w:rsid w:val="00BA0EC4"/>
    <w:rsid w:val="00BA1906"/>
    <w:rsid w:val="00BA6418"/>
    <w:rsid w:val="00BB002B"/>
    <w:rsid w:val="00BB2485"/>
    <w:rsid w:val="00BB5765"/>
    <w:rsid w:val="00BB5FE1"/>
    <w:rsid w:val="00BB66AD"/>
    <w:rsid w:val="00BC2572"/>
    <w:rsid w:val="00BC49B1"/>
    <w:rsid w:val="00BC577D"/>
    <w:rsid w:val="00BC6916"/>
    <w:rsid w:val="00BD2503"/>
    <w:rsid w:val="00BD2C11"/>
    <w:rsid w:val="00BD2FBE"/>
    <w:rsid w:val="00BD39EA"/>
    <w:rsid w:val="00BD56FA"/>
    <w:rsid w:val="00BD5A52"/>
    <w:rsid w:val="00BE0823"/>
    <w:rsid w:val="00BE0EAF"/>
    <w:rsid w:val="00BE5F2D"/>
    <w:rsid w:val="00BE7672"/>
    <w:rsid w:val="00BF0992"/>
    <w:rsid w:val="00BF3235"/>
    <w:rsid w:val="00BF3646"/>
    <w:rsid w:val="00BF5C56"/>
    <w:rsid w:val="00BF5E87"/>
    <w:rsid w:val="00BF5F84"/>
    <w:rsid w:val="00BF70D8"/>
    <w:rsid w:val="00C00449"/>
    <w:rsid w:val="00C006E5"/>
    <w:rsid w:val="00C0115E"/>
    <w:rsid w:val="00C0159E"/>
    <w:rsid w:val="00C0172D"/>
    <w:rsid w:val="00C0337A"/>
    <w:rsid w:val="00C03628"/>
    <w:rsid w:val="00C06F8B"/>
    <w:rsid w:val="00C1278A"/>
    <w:rsid w:val="00C12CBB"/>
    <w:rsid w:val="00C13FEE"/>
    <w:rsid w:val="00C15667"/>
    <w:rsid w:val="00C15697"/>
    <w:rsid w:val="00C163EF"/>
    <w:rsid w:val="00C21E60"/>
    <w:rsid w:val="00C2203C"/>
    <w:rsid w:val="00C23CFD"/>
    <w:rsid w:val="00C26148"/>
    <w:rsid w:val="00C27B9C"/>
    <w:rsid w:val="00C27D39"/>
    <w:rsid w:val="00C313E2"/>
    <w:rsid w:val="00C31ACB"/>
    <w:rsid w:val="00C325A0"/>
    <w:rsid w:val="00C32D17"/>
    <w:rsid w:val="00C32E69"/>
    <w:rsid w:val="00C34FCF"/>
    <w:rsid w:val="00C34FDE"/>
    <w:rsid w:val="00C35233"/>
    <w:rsid w:val="00C35833"/>
    <w:rsid w:val="00C41817"/>
    <w:rsid w:val="00C41944"/>
    <w:rsid w:val="00C433BA"/>
    <w:rsid w:val="00C45E01"/>
    <w:rsid w:val="00C465CE"/>
    <w:rsid w:val="00C51C42"/>
    <w:rsid w:val="00C56BFB"/>
    <w:rsid w:val="00C64106"/>
    <w:rsid w:val="00C641AF"/>
    <w:rsid w:val="00C653E5"/>
    <w:rsid w:val="00C6563C"/>
    <w:rsid w:val="00C67E17"/>
    <w:rsid w:val="00C72614"/>
    <w:rsid w:val="00C744B7"/>
    <w:rsid w:val="00C74F0E"/>
    <w:rsid w:val="00C75331"/>
    <w:rsid w:val="00C76EEC"/>
    <w:rsid w:val="00C80B0F"/>
    <w:rsid w:val="00C8474F"/>
    <w:rsid w:val="00C9055A"/>
    <w:rsid w:val="00C91370"/>
    <w:rsid w:val="00C95021"/>
    <w:rsid w:val="00C95452"/>
    <w:rsid w:val="00C9559C"/>
    <w:rsid w:val="00CA0101"/>
    <w:rsid w:val="00CA3F6A"/>
    <w:rsid w:val="00CA4C57"/>
    <w:rsid w:val="00CA72A6"/>
    <w:rsid w:val="00CB0028"/>
    <w:rsid w:val="00CB0508"/>
    <w:rsid w:val="00CB509A"/>
    <w:rsid w:val="00CB64FF"/>
    <w:rsid w:val="00CB68DA"/>
    <w:rsid w:val="00CB697A"/>
    <w:rsid w:val="00CB6F74"/>
    <w:rsid w:val="00CC01E5"/>
    <w:rsid w:val="00CC2CAD"/>
    <w:rsid w:val="00CC3875"/>
    <w:rsid w:val="00CC47C9"/>
    <w:rsid w:val="00CC49DC"/>
    <w:rsid w:val="00CC4C7B"/>
    <w:rsid w:val="00CC717F"/>
    <w:rsid w:val="00CD45F7"/>
    <w:rsid w:val="00CD57AE"/>
    <w:rsid w:val="00CD7783"/>
    <w:rsid w:val="00CE37D6"/>
    <w:rsid w:val="00CE3DCB"/>
    <w:rsid w:val="00CE4725"/>
    <w:rsid w:val="00CE5CB2"/>
    <w:rsid w:val="00CE5D8C"/>
    <w:rsid w:val="00CE62A1"/>
    <w:rsid w:val="00CE6FEC"/>
    <w:rsid w:val="00CE7ACF"/>
    <w:rsid w:val="00CF2D27"/>
    <w:rsid w:val="00CF3174"/>
    <w:rsid w:val="00CF35FA"/>
    <w:rsid w:val="00CF4049"/>
    <w:rsid w:val="00CF4269"/>
    <w:rsid w:val="00CF630A"/>
    <w:rsid w:val="00CF65F0"/>
    <w:rsid w:val="00CF7FE9"/>
    <w:rsid w:val="00D0079C"/>
    <w:rsid w:val="00D04E79"/>
    <w:rsid w:val="00D05402"/>
    <w:rsid w:val="00D0617B"/>
    <w:rsid w:val="00D06238"/>
    <w:rsid w:val="00D06E91"/>
    <w:rsid w:val="00D12214"/>
    <w:rsid w:val="00D13229"/>
    <w:rsid w:val="00D13CDA"/>
    <w:rsid w:val="00D20681"/>
    <w:rsid w:val="00D2094B"/>
    <w:rsid w:val="00D2139F"/>
    <w:rsid w:val="00D241E6"/>
    <w:rsid w:val="00D244D8"/>
    <w:rsid w:val="00D30E75"/>
    <w:rsid w:val="00D34D97"/>
    <w:rsid w:val="00D360FD"/>
    <w:rsid w:val="00D3735B"/>
    <w:rsid w:val="00D37D4D"/>
    <w:rsid w:val="00D37F69"/>
    <w:rsid w:val="00D41FB7"/>
    <w:rsid w:val="00D43279"/>
    <w:rsid w:val="00D43A4A"/>
    <w:rsid w:val="00D45720"/>
    <w:rsid w:val="00D46258"/>
    <w:rsid w:val="00D46A05"/>
    <w:rsid w:val="00D46A55"/>
    <w:rsid w:val="00D47C8C"/>
    <w:rsid w:val="00D5092C"/>
    <w:rsid w:val="00D525C0"/>
    <w:rsid w:val="00D53456"/>
    <w:rsid w:val="00D537A3"/>
    <w:rsid w:val="00D53916"/>
    <w:rsid w:val="00D53A65"/>
    <w:rsid w:val="00D53B56"/>
    <w:rsid w:val="00D558A8"/>
    <w:rsid w:val="00D570C3"/>
    <w:rsid w:val="00D571D3"/>
    <w:rsid w:val="00D60074"/>
    <w:rsid w:val="00D63644"/>
    <w:rsid w:val="00D65A16"/>
    <w:rsid w:val="00D66D81"/>
    <w:rsid w:val="00D66DEA"/>
    <w:rsid w:val="00D678AE"/>
    <w:rsid w:val="00D70BAE"/>
    <w:rsid w:val="00D714AA"/>
    <w:rsid w:val="00D71A85"/>
    <w:rsid w:val="00D725DD"/>
    <w:rsid w:val="00D740DB"/>
    <w:rsid w:val="00D76398"/>
    <w:rsid w:val="00D81295"/>
    <w:rsid w:val="00D82790"/>
    <w:rsid w:val="00D9221F"/>
    <w:rsid w:val="00D92E45"/>
    <w:rsid w:val="00D93A47"/>
    <w:rsid w:val="00D95362"/>
    <w:rsid w:val="00D96B79"/>
    <w:rsid w:val="00D9720B"/>
    <w:rsid w:val="00D97C08"/>
    <w:rsid w:val="00D97FB8"/>
    <w:rsid w:val="00DA2004"/>
    <w:rsid w:val="00DA65E4"/>
    <w:rsid w:val="00DA7553"/>
    <w:rsid w:val="00DA772A"/>
    <w:rsid w:val="00DB0C63"/>
    <w:rsid w:val="00DB2A5C"/>
    <w:rsid w:val="00DB42BB"/>
    <w:rsid w:val="00DB5A8F"/>
    <w:rsid w:val="00DC0179"/>
    <w:rsid w:val="00DC17F5"/>
    <w:rsid w:val="00DC1B13"/>
    <w:rsid w:val="00DC21E3"/>
    <w:rsid w:val="00DC2B87"/>
    <w:rsid w:val="00DC3ACD"/>
    <w:rsid w:val="00DC5ED5"/>
    <w:rsid w:val="00DD0A2E"/>
    <w:rsid w:val="00DD1296"/>
    <w:rsid w:val="00DD20AB"/>
    <w:rsid w:val="00DD21E2"/>
    <w:rsid w:val="00DD2283"/>
    <w:rsid w:val="00DD4D43"/>
    <w:rsid w:val="00DD4EAF"/>
    <w:rsid w:val="00DD79C3"/>
    <w:rsid w:val="00DE0327"/>
    <w:rsid w:val="00DE1F2E"/>
    <w:rsid w:val="00DE321B"/>
    <w:rsid w:val="00DE6FAD"/>
    <w:rsid w:val="00DF2226"/>
    <w:rsid w:val="00DF3D26"/>
    <w:rsid w:val="00DF5C1C"/>
    <w:rsid w:val="00DF6B6C"/>
    <w:rsid w:val="00E0184C"/>
    <w:rsid w:val="00E019C5"/>
    <w:rsid w:val="00E02B20"/>
    <w:rsid w:val="00E0670E"/>
    <w:rsid w:val="00E079DD"/>
    <w:rsid w:val="00E1031E"/>
    <w:rsid w:val="00E151BB"/>
    <w:rsid w:val="00E152C4"/>
    <w:rsid w:val="00E17801"/>
    <w:rsid w:val="00E17912"/>
    <w:rsid w:val="00E2084F"/>
    <w:rsid w:val="00E20FE5"/>
    <w:rsid w:val="00E21C98"/>
    <w:rsid w:val="00E2248C"/>
    <w:rsid w:val="00E22A36"/>
    <w:rsid w:val="00E268E8"/>
    <w:rsid w:val="00E303A8"/>
    <w:rsid w:val="00E303F4"/>
    <w:rsid w:val="00E3148B"/>
    <w:rsid w:val="00E3249F"/>
    <w:rsid w:val="00E335C1"/>
    <w:rsid w:val="00E33C89"/>
    <w:rsid w:val="00E35CF3"/>
    <w:rsid w:val="00E365BB"/>
    <w:rsid w:val="00E37A1A"/>
    <w:rsid w:val="00E4005D"/>
    <w:rsid w:val="00E40B5E"/>
    <w:rsid w:val="00E41499"/>
    <w:rsid w:val="00E42445"/>
    <w:rsid w:val="00E43A05"/>
    <w:rsid w:val="00E46C2C"/>
    <w:rsid w:val="00E46EC7"/>
    <w:rsid w:val="00E505AB"/>
    <w:rsid w:val="00E50D26"/>
    <w:rsid w:val="00E536DC"/>
    <w:rsid w:val="00E537FA"/>
    <w:rsid w:val="00E555D8"/>
    <w:rsid w:val="00E55632"/>
    <w:rsid w:val="00E60149"/>
    <w:rsid w:val="00E608B3"/>
    <w:rsid w:val="00E61101"/>
    <w:rsid w:val="00E61AD8"/>
    <w:rsid w:val="00E6455D"/>
    <w:rsid w:val="00E657C0"/>
    <w:rsid w:val="00E66667"/>
    <w:rsid w:val="00E66F5F"/>
    <w:rsid w:val="00E67C04"/>
    <w:rsid w:val="00E67D8C"/>
    <w:rsid w:val="00E70A37"/>
    <w:rsid w:val="00E739F3"/>
    <w:rsid w:val="00E73A14"/>
    <w:rsid w:val="00E73C72"/>
    <w:rsid w:val="00E74FC6"/>
    <w:rsid w:val="00E766B7"/>
    <w:rsid w:val="00E76ED3"/>
    <w:rsid w:val="00E81415"/>
    <w:rsid w:val="00E81CEB"/>
    <w:rsid w:val="00E826DE"/>
    <w:rsid w:val="00E83737"/>
    <w:rsid w:val="00E85CFC"/>
    <w:rsid w:val="00E87A9B"/>
    <w:rsid w:val="00E90D06"/>
    <w:rsid w:val="00E90F56"/>
    <w:rsid w:val="00E93D95"/>
    <w:rsid w:val="00E942F9"/>
    <w:rsid w:val="00E9452F"/>
    <w:rsid w:val="00E96DFB"/>
    <w:rsid w:val="00E97141"/>
    <w:rsid w:val="00E971EC"/>
    <w:rsid w:val="00EA03C4"/>
    <w:rsid w:val="00EA2929"/>
    <w:rsid w:val="00EA3297"/>
    <w:rsid w:val="00EA619F"/>
    <w:rsid w:val="00EA70EE"/>
    <w:rsid w:val="00EB00FA"/>
    <w:rsid w:val="00EB0A83"/>
    <w:rsid w:val="00EB18F6"/>
    <w:rsid w:val="00EB1C7C"/>
    <w:rsid w:val="00EB3C9D"/>
    <w:rsid w:val="00EC2563"/>
    <w:rsid w:val="00EC2BEF"/>
    <w:rsid w:val="00EC35D1"/>
    <w:rsid w:val="00EC5E11"/>
    <w:rsid w:val="00ED1AD8"/>
    <w:rsid w:val="00ED363F"/>
    <w:rsid w:val="00ED393D"/>
    <w:rsid w:val="00ED4233"/>
    <w:rsid w:val="00ED54C5"/>
    <w:rsid w:val="00EE01B5"/>
    <w:rsid w:val="00EE0CC1"/>
    <w:rsid w:val="00EE102A"/>
    <w:rsid w:val="00EE20F3"/>
    <w:rsid w:val="00EE28C1"/>
    <w:rsid w:val="00EE2C98"/>
    <w:rsid w:val="00EE3EFC"/>
    <w:rsid w:val="00EE4E5C"/>
    <w:rsid w:val="00EE5019"/>
    <w:rsid w:val="00EF043F"/>
    <w:rsid w:val="00EF07B3"/>
    <w:rsid w:val="00EF0D9B"/>
    <w:rsid w:val="00EF0FC8"/>
    <w:rsid w:val="00EF535D"/>
    <w:rsid w:val="00EF5DAA"/>
    <w:rsid w:val="00EF641C"/>
    <w:rsid w:val="00EF7553"/>
    <w:rsid w:val="00F00487"/>
    <w:rsid w:val="00F02D70"/>
    <w:rsid w:val="00F04DB9"/>
    <w:rsid w:val="00F05E5F"/>
    <w:rsid w:val="00F1004A"/>
    <w:rsid w:val="00F105D7"/>
    <w:rsid w:val="00F108BB"/>
    <w:rsid w:val="00F109D7"/>
    <w:rsid w:val="00F11371"/>
    <w:rsid w:val="00F116A5"/>
    <w:rsid w:val="00F13530"/>
    <w:rsid w:val="00F1739F"/>
    <w:rsid w:val="00F176C4"/>
    <w:rsid w:val="00F20678"/>
    <w:rsid w:val="00F217A5"/>
    <w:rsid w:val="00F241DD"/>
    <w:rsid w:val="00F253D3"/>
    <w:rsid w:val="00F27C93"/>
    <w:rsid w:val="00F31151"/>
    <w:rsid w:val="00F31431"/>
    <w:rsid w:val="00F32D1F"/>
    <w:rsid w:val="00F32FF6"/>
    <w:rsid w:val="00F33941"/>
    <w:rsid w:val="00F34E85"/>
    <w:rsid w:val="00F361FE"/>
    <w:rsid w:val="00F36396"/>
    <w:rsid w:val="00F37431"/>
    <w:rsid w:val="00F404A7"/>
    <w:rsid w:val="00F408A6"/>
    <w:rsid w:val="00F448F0"/>
    <w:rsid w:val="00F451D9"/>
    <w:rsid w:val="00F47176"/>
    <w:rsid w:val="00F4790F"/>
    <w:rsid w:val="00F51FBB"/>
    <w:rsid w:val="00F5308B"/>
    <w:rsid w:val="00F65ED2"/>
    <w:rsid w:val="00F66AD4"/>
    <w:rsid w:val="00F67D43"/>
    <w:rsid w:val="00F74385"/>
    <w:rsid w:val="00F750E3"/>
    <w:rsid w:val="00F761F1"/>
    <w:rsid w:val="00F763BC"/>
    <w:rsid w:val="00F77F3B"/>
    <w:rsid w:val="00F828EE"/>
    <w:rsid w:val="00F84250"/>
    <w:rsid w:val="00F84CC3"/>
    <w:rsid w:val="00F86764"/>
    <w:rsid w:val="00F91550"/>
    <w:rsid w:val="00F924EC"/>
    <w:rsid w:val="00F95C6D"/>
    <w:rsid w:val="00F97522"/>
    <w:rsid w:val="00F9769C"/>
    <w:rsid w:val="00FA295E"/>
    <w:rsid w:val="00FA2F8A"/>
    <w:rsid w:val="00FA31C8"/>
    <w:rsid w:val="00FA47DF"/>
    <w:rsid w:val="00FA56C3"/>
    <w:rsid w:val="00FB0F94"/>
    <w:rsid w:val="00FB34B2"/>
    <w:rsid w:val="00FB3B9A"/>
    <w:rsid w:val="00FB433B"/>
    <w:rsid w:val="00FC0166"/>
    <w:rsid w:val="00FC13EC"/>
    <w:rsid w:val="00FC4A31"/>
    <w:rsid w:val="00FC6072"/>
    <w:rsid w:val="00FD101B"/>
    <w:rsid w:val="00FD15CA"/>
    <w:rsid w:val="00FD4DCA"/>
    <w:rsid w:val="00FD4FF7"/>
    <w:rsid w:val="00FD5C8E"/>
    <w:rsid w:val="00FD5DD0"/>
    <w:rsid w:val="00FD6B6C"/>
    <w:rsid w:val="00FE0C57"/>
    <w:rsid w:val="00FE1AB1"/>
    <w:rsid w:val="00FE228C"/>
    <w:rsid w:val="00FE2D0E"/>
    <w:rsid w:val="00FE78F6"/>
    <w:rsid w:val="00FF11ED"/>
    <w:rsid w:val="00FF2C68"/>
    <w:rsid w:val="00FF3BA3"/>
    <w:rsid w:val="00FF51F0"/>
    <w:rsid w:val="00FF6BA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369AE"/>
    <w:rPr>
      <w:rFonts w:ascii="Arial" w:hAnsi="Arial"/>
      <w:sz w:val="20"/>
      <w:szCs w:val="24"/>
      <w:lang w:eastAsia="en-US"/>
    </w:rPr>
  </w:style>
  <w:style w:type="paragraph" w:styleId="Heading1">
    <w:name w:val="heading 1"/>
    <w:basedOn w:val="Normal"/>
    <w:next w:val="Normal"/>
    <w:link w:val="Heading1Char"/>
    <w:uiPriority w:val="99"/>
    <w:qFormat/>
    <w:rsid w:val="00627458"/>
    <w:pPr>
      <w:keepNext/>
      <w:spacing w:before="240" w:after="320"/>
      <w:outlineLvl w:val="0"/>
    </w:pPr>
    <w:rPr>
      <w:rFonts w:cs="Arial"/>
      <w:b/>
      <w:bCs/>
      <w:kern w:val="28"/>
      <w:sz w:val="32"/>
      <w:szCs w:val="32"/>
    </w:rPr>
  </w:style>
  <w:style w:type="paragraph" w:styleId="Heading2">
    <w:name w:val="heading 2"/>
    <w:basedOn w:val="Normal"/>
    <w:next w:val="Normal"/>
    <w:link w:val="Heading2Char"/>
    <w:uiPriority w:val="99"/>
    <w:qFormat/>
    <w:rsid w:val="00627458"/>
    <w:pPr>
      <w:keepNext/>
      <w:spacing w:before="240" w:after="240"/>
      <w:outlineLvl w:val="1"/>
    </w:pPr>
    <w:rPr>
      <w:rFonts w:cs="Arial"/>
      <w:b/>
      <w:bCs/>
      <w:iCs/>
      <w:kern w:val="28"/>
      <w:sz w:val="28"/>
      <w:szCs w:val="28"/>
    </w:rPr>
  </w:style>
  <w:style w:type="paragraph" w:styleId="Heading3">
    <w:name w:val="heading 3"/>
    <w:basedOn w:val="Normal"/>
    <w:next w:val="Normal"/>
    <w:link w:val="Heading3Char"/>
    <w:uiPriority w:val="99"/>
    <w:qFormat/>
    <w:rsid w:val="00627458"/>
    <w:pPr>
      <w:keepNext/>
      <w:spacing w:before="240" w:after="240"/>
      <w:outlineLvl w:val="2"/>
    </w:pPr>
    <w:rPr>
      <w:rFonts w:cs="Arial"/>
      <w:b/>
      <w:bCs/>
      <w:sz w:val="24"/>
      <w:szCs w:val="26"/>
    </w:rPr>
  </w:style>
  <w:style w:type="paragraph" w:styleId="Heading4">
    <w:name w:val="heading 4"/>
    <w:basedOn w:val="Normal"/>
    <w:next w:val="Normal"/>
    <w:link w:val="Heading4Char"/>
    <w:uiPriority w:val="99"/>
    <w:qFormat/>
    <w:rsid w:val="00C95452"/>
    <w:pPr>
      <w:keepNext/>
      <w:spacing w:before="240" w:after="240"/>
      <w:outlineLvl w:val="3"/>
    </w:pPr>
    <w:rPr>
      <w:b/>
      <w:bCs/>
      <w:sz w:val="22"/>
      <w:szCs w:val="28"/>
    </w:rPr>
  </w:style>
  <w:style w:type="paragraph" w:styleId="Heading5">
    <w:name w:val="heading 5"/>
    <w:basedOn w:val="Normal"/>
    <w:next w:val="Normal"/>
    <w:link w:val="Heading5Char"/>
    <w:uiPriority w:val="99"/>
    <w:qFormat/>
    <w:rsid w:val="00C95452"/>
    <w:pPr>
      <w:keepNext/>
      <w:spacing w:before="240" w:after="120"/>
      <w:outlineLvl w:val="4"/>
    </w:pPr>
    <w:rPr>
      <w:b/>
      <w:bCs/>
      <w:iCs/>
      <w:szCs w:val="26"/>
    </w:rPr>
  </w:style>
  <w:style w:type="paragraph" w:styleId="Heading6">
    <w:name w:val="heading 6"/>
    <w:basedOn w:val="Normal"/>
    <w:next w:val="Normal"/>
    <w:link w:val="Heading6Char"/>
    <w:uiPriority w:val="99"/>
    <w:qFormat/>
    <w:rsid w:val="00931901"/>
    <w:pPr>
      <w:keepNext/>
      <w:spacing w:before="240" w:after="60"/>
      <w:outlineLvl w:val="5"/>
    </w:pPr>
    <w:rPr>
      <w:b/>
      <w:bCs/>
      <w:szCs w:val="22"/>
    </w:rPr>
  </w:style>
  <w:style w:type="paragraph" w:styleId="Heading7">
    <w:name w:val="heading 7"/>
    <w:basedOn w:val="Normal"/>
    <w:next w:val="Normal"/>
    <w:link w:val="Heading7Char"/>
    <w:uiPriority w:val="99"/>
    <w:qFormat/>
    <w:locked/>
    <w:rsid w:val="00A420B3"/>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9"/>
    <w:qFormat/>
    <w:locked/>
    <w:rsid w:val="00A420B3"/>
    <w:pPr>
      <w:keepNext/>
      <w:keepLines/>
      <w:spacing w:before="200"/>
      <w:outlineLvl w:val="7"/>
    </w:pPr>
    <w:rPr>
      <w:rFonts w:ascii="Cambria" w:hAnsi="Cambria"/>
      <w:color w:val="404040"/>
      <w:szCs w:val="20"/>
    </w:rPr>
  </w:style>
  <w:style w:type="paragraph" w:styleId="Heading9">
    <w:name w:val="heading 9"/>
    <w:basedOn w:val="Normal"/>
    <w:next w:val="Normal"/>
    <w:link w:val="Heading9Char"/>
    <w:uiPriority w:val="99"/>
    <w:qFormat/>
    <w:locked/>
    <w:rsid w:val="00A420B3"/>
    <w:pPr>
      <w:keepNext/>
      <w:keepLines/>
      <w:spacing w:before="200"/>
      <w:outlineLvl w:val="8"/>
    </w:pPr>
    <w:rPr>
      <w:rFonts w:ascii="Cambria" w:hAnsi="Cambria"/>
      <w:i/>
      <w:iCs/>
      <w:color w:val="40404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96F34"/>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A96F34"/>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A96F34"/>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A96F34"/>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A96F34"/>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A96F34"/>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A420B3"/>
    <w:rPr>
      <w:rFonts w:ascii="Cambria" w:hAnsi="Cambria" w:cs="Times New Roman"/>
      <w:i/>
      <w:iCs/>
      <w:color w:val="404040"/>
      <w:sz w:val="24"/>
      <w:szCs w:val="24"/>
      <w:lang w:eastAsia="en-US"/>
    </w:rPr>
  </w:style>
  <w:style w:type="character" w:customStyle="1" w:styleId="Heading8Char">
    <w:name w:val="Heading 8 Char"/>
    <w:basedOn w:val="DefaultParagraphFont"/>
    <w:link w:val="Heading8"/>
    <w:uiPriority w:val="99"/>
    <w:semiHidden/>
    <w:locked/>
    <w:rsid w:val="00A420B3"/>
    <w:rPr>
      <w:rFonts w:ascii="Cambria" w:hAnsi="Cambria" w:cs="Times New Roman"/>
      <w:color w:val="404040"/>
      <w:sz w:val="20"/>
      <w:szCs w:val="20"/>
      <w:lang w:eastAsia="en-US"/>
    </w:rPr>
  </w:style>
  <w:style w:type="character" w:customStyle="1" w:styleId="Heading9Char">
    <w:name w:val="Heading 9 Char"/>
    <w:basedOn w:val="DefaultParagraphFont"/>
    <w:link w:val="Heading9"/>
    <w:uiPriority w:val="99"/>
    <w:semiHidden/>
    <w:locked/>
    <w:rsid w:val="00A420B3"/>
    <w:rPr>
      <w:rFonts w:ascii="Cambria" w:hAnsi="Cambria" w:cs="Times New Roman"/>
      <w:i/>
      <w:iCs/>
      <w:color w:val="404040"/>
      <w:sz w:val="20"/>
      <w:szCs w:val="20"/>
      <w:lang w:eastAsia="en-US"/>
    </w:rPr>
  </w:style>
  <w:style w:type="character" w:styleId="PageNumber">
    <w:name w:val="page number"/>
    <w:basedOn w:val="DefaultParagraphFont"/>
    <w:uiPriority w:val="99"/>
    <w:rsid w:val="004A4236"/>
    <w:rPr>
      <w:rFonts w:ascii="Arial" w:hAnsi="Arial" w:cs="Times New Roman"/>
      <w:sz w:val="16"/>
    </w:rPr>
  </w:style>
  <w:style w:type="paragraph" w:styleId="Header">
    <w:name w:val="header"/>
    <w:basedOn w:val="Normal"/>
    <w:link w:val="HeaderChar"/>
    <w:uiPriority w:val="99"/>
    <w:rsid w:val="0006752D"/>
    <w:pPr>
      <w:tabs>
        <w:tab w:val="center" w:pos="4491"/>
        <w:tab w:val="right" w:pos="8998"/>
      </w:tabs>
    </w:pPr>
  </w:style>
  <w:style w:type="character" w:customStyle="1" w:styleId="HeaderChar">
    <w:name w:val="Header Char"/>
    <w:basedOn w:val="DefaultParagraphFont"/>
    <w:link w:val="Header"/>
    <w:uiPriority w:val="99"/>
    <w:semiHidden/>
    <w:locked/>
    <w:rsid w:val="00A96F34"/>
    <w:rPr>
      <w:rFonts w:ascii="Arial" w:hAnsi="Arial" w:cs="Times New Roman"/>
      <w:sz w:val="24"/>
      <w:szCs w:val="24"/>
      <w:lang w:eastAsia="en-US"/>
    </w:rPr>
  </w:style>
  <w:style w:type="paragraph" w:styleId="Footer">
    <w:name w:val="footer"/>
    <w:basedOn w:val="Normal"/>
    <w:link w:val="FooterChar"/>
    <w:uiPriority w:val="99"/>
    <w:rsid w:val="0006752D"/>
    <w:pPr>
      <w:tabs>
        <w:tab w:val="center" w:pos="4491"/>
        <w:tab w:val="right" w:pos="8998"/>
      </w:tabs>
    </w:pPr>
    <w:rPr>
      <w:sz w:val="16"/>
    </w:rPr>
  </w:style>
  <w:style w:type="character" w:customStyle="1" w:styleId="FooterChar">
    <w:name w:val="Footer Char"/>
    <w:basedOn w:val="DefaultParagraphFont"/>
    <w:link w:val="Footer"/>
    <w:uiPriority w:val="99"/>
    <w:locked/>
    <w:rsid w:val="00CD45F7"/>
    <w:rPr>
      <w:rFonts w:ascii="Arial" w:hAnsi="Arial" w:cs="Times New Roman"/>
      <w:sz w:val="24"/>
      <w:lang w:eastAsia="en-US"/>
    </w:rPr>
  </w:style>
  <w:style w:type="paragraph" w:customStyle="1" w:styleId="cc">
    <w:name w:val="cc"/>
    <w:basedOn w:val="Normal"/>
    <w:uiPriority w:val="99"/>
    <w:rsid w:val="00B95857"/>
    <w:pPr>
      <w:jc w:val="center"/>
    </w:pPr>
    <w:rPr>
      <w:b/>
      <w:bCs/>
      <w:sz w:val="24"/>
      <w:lang w:eastAsia="en-GB"/>
    </w:rPr>
  </w:style>
  <w:style w:type="paragraph" w:customStyle="1" w:styleId="cd">
    <w:name w:val="cd"/>
    <w:basedOn w:val="Normal"/>
    <w:uiPriority w:val="99"/>
    <w:rsid w:val="00B95857"/>
    <w:pPr>
      <w:spacing w:line="280" w:lineRule="atLeast"/>
      <w:jc w:val="both"/>
    </w:pPr>
    <w:rPr>
      <w:sz w:val="24"/>
      <w:lang w:eastAsia="en-GB"/>
    </w:rPr>
  </w:style>
  <w:style w:type="character" w:customStyle="1" w:styleId="bu">
    <w:name w:val="bu"/>
    <w:uiPriority w:val="99"/>
    <w:rsid w:val="00B95857"/>
    <w:rPr>
      <w:rFonts w:ascii="Arial" w:hAnsi="Arial"/>
      <w:color w:val="000000"/>
      <w:sz w:val="23"/>
    </w:rPr>
  </w:style>
  <w:style w:type="character" w:customStyle="1" w:styleId="bs">
    <w:name w:val="bs"/>
    <w:uiPriority w:val="99"/>
    <w:rsid w:val="00B95857"/>
    <w:rPr>
      <w:rFonts w:ascii="Arial" w:hAnsi="Arial"/>
      <w:color w:val="000000"/>
      <w:sz w:val="22"/>
    </w:rPr>
  </w:style>
  <w:style w:type="character" w:customStyle="1" w:styleId="bq">
    <w:name w:val="bq"/>
    <w:uiPriority w:val="99"/>
    <w:rsid w:val="00B95857"/>
    <w:rPr>
      <w:rFonts w:ascii="Arial" w:hAnsi="Arial"/>
      <w:sz w:val="20"/>
    </w:rPr>
  </w:style>
  <w:style w:type="character" w:styleId="Hyperlink">
    <w:name w:val="Hyperlink"/>
    <w:basedOn w:val="DefaultParagraphFont"/>
    <w:uiPriority w:val="99"/>
    <w:rsid w:val="00B95857"/>
    <w:rPr>
      <w:rFonts w:cs="Times New Roman"/>
      <w:color w:val="0000FF"/>
      <w:u w:val="single"/>
    </w:rPr>
  </w:style>
  <w:style w:type="paragraph" w:customStyle="1" w:styleId="ce">
    <w:name w:val="ce"/>
    <w:basedOn w:val="Normal"/>
    <w:uiPriority w:val="99"/>
    <w:rsid w:val="00B95857"/>
    <w:pPr>
      <w:spacing w:line="280" w:lineRule="atLeast"/>
      <w:jc w:val="both"/>
    </w:pPr>
    <w:rPr>
      <w:szCs w:val="20"/>
      <w:lang w:eastAsia="en-GB"/>
    </w:rPr>
  </w:style>
  <w:style w:type="paragraph" w:customStyle="1" w:styleId="n">
    <w:name w:val="n"/>
    <w:basedOn w:val="Normal"/>
    <w:uiPriority w:val="99"/>
    <w:rsid w:val="00B95857"/>
    <w:rPr>
      <w:color w:val="000000"/>
      <w:sz w:val="24"/>
      <w:lang w:eastAsia="en-GB"/>
    </w:rPr>
  </w:style>
  <w:style w:type="paragraph" w:customStyle="1" w:styleId="cg">
    <w:name w:val="cg"/>
    <w:basedOn w:val="Normal"/>
    <w:uiPriority w:val="99"/>
    <w:rsid w:val="00B95857"/>
    <w:rPr>
      <w:b/>
      <w:bCs/>
      <w:szCs w:val="20"/>
      <w:lang w:eastAsia="en-GB"/>
    </w:rPr>
  </w:style>
  <w:style w:type="paragraph" w:customStyle="1" w:styleId="cj">
    <w:name w:val="cj"/>
    <w:basedOn w:val="Normal"/>
    <w:uiPriority w:val="99"/>
    <w:rsid w:val="00B95857"/>
    <w:rPr>
      <w:b/>
      <w:bCs/>
      <w:color w:val="000000"/>
      <w:sz w:val="24"/>
      <w:lang w:eastAsia="en-GB"/>
    </w:rPr>
  </w:style>
  <w:style w:type="paragraph" w:customStyle="1" w:styleId="a">
    <w:name w:val="a"/>
    <w:basedOn w:val="Normal"/>
    <w:uiPriority w:val="99"/>
    <w:rsid w:val="00B95857"/>
    <w:rPr>
      <w:szCs w:val="20"/>
      <w:lang w:eastAsia="en-GB"/>
    </w:rPr>
  </w:style>
  <w:style w:type="paragraph" w:customStyle="1" w:styleId="ct">
    <w:name w:val="ct"/>
    <w:basedOn w:val="Normal"/>
    <w:uiPriority w:val="99"/>
    <w:rsid w:val="00B95857"/>
    <w:pPr>
      <w:spacing w:line="280" w:lineRule="atLeast"/>
      <w:jc w:val="both"/>
    </w:pPr>
    <w:rPr>
      <w:b/>
      <w:bCs/>
      <w:i/>
      <w:iCs/>
      <w:szCs w:val="20"/>
      <w:lang w:eastAsia="en-GB"/>
    </w:rPr>
  </w:style>
  <w:style w:type="paragraph" w:customStyle="1" w:styleId="cu">
    <w:name w:val="cu"/>
    <w:basedOn w:val="Normal"/>
    <w:uiPriority w:val="99"/>
    <w:rsid w:val="00B95857"/>
    <w:pPr>
      <w:spacing w:line="280" w:lineRule="atLeast"/>
      <w:jc w:val="both"/>
    </w:pPr>
    <w:rPr>
      <w:i/>
      <w:iCs/>
      <w:szCs w:val="20"/>
      <w:lang w:eastAsia="en-GB"/>
    </w:rPr>
  </w:style>
  <w:style w:type="paragraph" w:customStyle="1" w:styleId="cv">
    <w:name w:val="cv"/>
    <w:basedOn w:val="Normal"/>
    <w:uiPriority w:val="99"/>
    <w:rsid w:val="00B95857"/>
    <w:pPr>
      <w:spacing w:line="280" w:lineRule="atLeast"/>
      <w:ind w:left="720" w:hanging="360"/>
      <w:jc w:val="both"/>
    </w:pPr>
    <w:rPr>
      <w:szCs w:val="20"/>
      <w:lang w:eastAsia="en-GB"/>
    </w:rPr>
  </w:style>
  <w:style w:type="character" w:customStyle="1" w:styleId="v">
    <w:name w:val="v"/>
    <w:uiPriority w:val="99"/>
    <w:rsid w:val="00B95857"/>
    <w:rPr>
      <w:color w:val="0000FF"/>
    </w:rPr>
  </w:style>
  <w:style w:type="table" w:styleId="TableGrid">
    <w:name w:val="Table Grid"/>
    <w:basedOn w:val="TableNormal"/>
    <w:uiPriority w:val="99"/>
    <w:rsid w:val="00024E3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BA6418"/>
    <w:rPr>
      <w:rFonts w:cs="Times New Roman"/>
      <w:color w:val="800080"/>
      <w:u w:val="single"/>
    </w:rPr>
  </w:style>
  <w:style w:type="paragraph" w:styleId="BalloonText">
    <w:name w:val="Balloon Text"/>
    <w:basedOn w:val="Normal"/>
    <w:link w:val="BalloonTextChar"/>
    <w:uiPriority w:val="99"/>
    <w:rsid w:val="00521620"/>
    <w:rPr>
      <w:rFonts w:ascii="Tahoma" w:hAnsi="Tahoma"/>
      <w:sz w:val="16"/>
      <w:szCs w:val="16"/>
    </w:rPr>
  </w:style>
  <w:style w:type="character" w:customStyle="1" w:styleId="BalloonTextChar">
    <w:name w:val="Balloon Text Char"/>
    <w:basedOn w:val="DefaultParagraphFont"/>
    <w:link w:val="BalloonText"/>
    <w:uiPriority w:val="99"/>
    <w:locked/>
    <w:rsid w:val="00521620"/>
    <w:rPr>
      <w:rFonts w:ascii="Tahoma" w:hAnsi="Tahoma" w:cs="Times New Roman"/>
      <w:sz w:val="16"/>
      <w:lang w:eastAsia="en-US"/>
    </w:rPr>
  </w:style>
  <w:style w:type="paragraph" w:customStyle="1" w:styleId="Default">
    <w:name w:val="Default"/>
    <w:uiPriority w:val="99"/>
    <w:rsid w:val="007A16A0"/>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rsid w:val="00D96B79"/>
    <w:rPr>
      <w:rFonts w:cs="Times New Roman"/>
      <w:sz w:val="16"/>
    </w:rPr>
  </w:style>
  <w:style w:type="paragraph" w:styleId="CommentText">
    <w:name w:val="annotation text"/>
    <w:basedOn w:val="Normal"/>
    <w:link w:val="CommentTextChar"/>
    <w:uiPriority w:val="99"/>
    <w:rsid w:val="00D96B79"/>
    <w:rPr>
      <w:szCs w:val="20"/>
    </w:rPr>
  </w:style>
  <w:style w:type="character" w:customStyle="1" w:styleId="CommentTextChar">
    <w:name w:val="Comment Text Char"/>
    <w:basedOn w:val="DefaultParagraphFont"/>
    <w:link w:val="CommentText"/>
    <w:uiPriority w:val="99"/>
    <w:locked/>
    <w:rsid w:val="00D96B79"/>
    <w:rPr>
      <w:rFonts w:ascii="Arial" w:hAnsi="Arial" w:cs="Times New Roman"/>
      <w:lang w:eastAsia="en-US"/>
    </w:rPr>
  </w:style>
  <w:style w:type="paragraph" w:styleId="CommentSubject">
    <w:name w:val="annotation subject"/>
    <w:basedOn w:val="CommentText"/>
    <w:next w:val="CommentText"/>
    <w:link w:val="CommentSubjectChar"/>
    <w:uiPriority w:val="99"/>
    <w:rsid w:val="00D96B79"/>
    <w:rPr>
      <w:b/>
      <w:bCs/>
    </w:rPr>
  </w:style>
  <w:style w:type="character" w:customStyle="1" w:styleId="CommentSubjectChar">
    <w:name w:val="Comment Subject Char"/>
    <w:basedOn w:val="CommentTextChar"/>
    <w:link w:val="CommentSubject"/>
    <w:uiPriority w:val="99"/>
    <w:locked/>
    <w:rsid w:val="00D96B79"/>
    <w:rPr>
      <w:b/>
    </w:rPr>
  </w:style>
  <w:style w:type="paragraph" w:styleId="Revision">
    <w:name w:val="Revision"/>
    <w:hidden/>
    <w:uiPriority w:val="99"/>
    <w:semiHidden/>
    <w:rsid w:val="000D359B"/>
    <w:rPr>
      <w:rFonts w:ascii="Arial" w:hAnsi="Arial"/>
      <w:sz w:val="20"/>
      <w:szCs w:val="24"/>
      <w:lang w:eastAsia="en-US"/>
    </w:rPr>
  </w:style>
  <w:style w:type="paragraph" w:styleId="ListParagraph">
    <w:name w:val="List Paragraph"/>
    <w:basedOn w:val="Normal"/>
    <w:uiPriority w:val="99"/>
    <w:qFormat/>
    <w:rsid w:val="000615F9"/>
    <w:pPr>
      <w:ind w:left="720"/>
    </w:pPr>
  </w:style>
  <w:style w:type="paragraph" w:customStyle="1" w:styleId="Normal6">
    <w:name w:val="Normal_6"/>
    <w:basedOn w:val="Normal"/>
    <w:uiPriority w:val="99"/>
    <w:rsid w:val="00913384"/>
    <w:rPr>
      <w:rFonts w:ascii="Times New Roman" w:hAnsi="Times New Roman"/>
      <w:sz w:val="24"/>
      <w:lang w:eastAsia="en-GB"/>
    </w:rPr>
  </w:style>
  <w:style w:type="table" w:customStyle="1" w:styleId="TableGrid1">
    <w:name w:val="Table Grid1"/>
    <w:uiPriority w:val="99"/>
    <w:rsid w:val="00E766B7"/>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99"/>
    <w:semiHidden/>
    <w:rsid w:val="00A420B3"/>
  </w:style>
  <w:style w:type="paragraph" w:styleId="BlockText">
    <w:name w:val="Block Text"/>
    <w:basedOn w:val="Normal"/>
    <w:uiPriority w:val="99"/>
    <w:semiHidden/>
    <w:rsid w:val="00A420B3"/>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
    <w:name w:val="Body Text"/>
    <w:basedOn w:val="Normal"/>
    <w:link w:val="BodyTextChar"/>
    <w:uiPriority w:val="99"/>
    <w:semiHidden/>
    <w:rsid w:val="00A420B3"/>
    <w:pPr>
      <w:spacing w:after="120"/>
    </w:pPr>
  </w:style>
  <w:style w:type="character" w:customStyle="1" w:styleId="BodyTextChar">
    <w:name w:val="Body Text Char"/>
    <w:basedOn w:val="DefaultParagraphFont"/>
    <w:link w:val="BodyText"/>
    <w:uiPriority w:val="99"/>
    <w:semiHidden/>
    <w:locked/>
    <w:rsid w:val="00A420B3"/>
    <w:rPr>
      <w:rFonts w:ascii="Arial" w:hAnsi="Arial" w:cs="Times New Roman"/>
      <w:sz w:val="24"/>
      <w:szCs w:val="24"/>
      <w:lang w:eastAsia="en-US"/>
    </w:rPr>
  </w:style>
  <w:style w:type="paragraph" w:styleId="BodyText2">
    <w:name w:val="Body Text 2"/>
    <w:basedOn w:val="Normal"/>
    <w:link w:val="BodyText2Char"/>
    <w:uiPriority w:val="99"/>
    <w:semiHidden/>
    <w:rsid w:val="00A420B3"/>
    <w:pPr>
      <w:spacing w:after="120" w:line="480" w:lineRule="auto"/>
    </w:pPr>
  </w:style>
  <w:style w:type="character" w:customStyle="1" w:styleId="BodyText2Char">
    <w:name w:val="Body Text 2 Char"/>
    <w:basedOn w:val="DefaultParagraphFont"/>
    <w:link w:val="BodyText2"/>
    <w:uiPriority w:val="99"/>
    <w:semiHidden/>
    <w:locked/>
    <w:rsid w:val="00A420B3"/>
    <w:rPr>
      <w:rFonts w:ascii="Arial" w:hAnsi="Arial" w:cs="Times New Roman"/>
      <w:sz w:val="24"/>
      <w:szCs w:val="24"/>
      <w:lang w:eastAsia="en-US"/>
    </w:rPr>
  </w:style>
  <w:style w:type="paragraph" w:styleId="BodyText3">
    <w:name w:val="Body Text 3"/>
    <w:basedOn w:val="Normal"/>
    <w:link w:val="BodyText3Char"/>
    <w:uiPriority w:val="99"/>
    <w:semiHidden/>
    <w:rsid w:val="00A420B3"/>
    <w:pPr>
      <w:spacing w:after="120"/>
    </w:pPr>
    <w:rPr>
      <w:sz w:val="16"/>
      <w:szCs w:val="16"/>
    </w:rPr>
  </w:style>
  <w:style w:type="character" w:customStyle="1" w:styleId="BodyText3Char">
    <w:name w:val="Body Text 3 Char"/>
    <w:basedOn w:val="DefaultParagraphFont"/>
    <w:link w:val="BodyText3"/>
    <w:uiPriority w:val="99"/>
    <w:semiHidden/>
    <w:locked/>
    <w:rsid w:val="00A420B3"/>
    <w:rPr>
      <w:rFonts w:ascii="Arial" w:hAnsi="Arial" w:cs="Times New Roman"/>
      <w:sz w:val="16"/>
      <w:szCs w:val="16"/>
      <w:lang w:eastAsia="en-US"/>
    </w:rPr>
  </w:style>
  <w:style w:type="paragraph" w:styleId="BodyTextFirstIndent">
    <w:name w:val="Body Text First Indent"/>
    <w:basedOn w:val="BodyText"/>
    <w:link w:val="BodyTextFirstIndentChar"/>
    <w:uiPriority w:val="99"/>
    <w:semiHidden/>
    <w:rsid w:val="00A420B3"/>
    <w:pPr>
      <w:spacing w:after="0"/>
      <w:ind w:firstLine="360"/>
    </w:pPr>
  </w:style>
  <w:style w:type="character" w:customStyle="1" w:styleId="BodyTextFirstIndentChar">
    <w:name w:val="Body Text First Indent Char"/>
    <w:basedOn w:val="BodyTextChar"/>
    <w:link w:val="BodyTextFirstIndent"/>
    <w:uiPriority w:val="99"/>
    <w:semiHidden/>
    <w:locked/>
    <w:rsid w:val="00A420B3"/>
  </w:style>
  <w:style w:type="paragraph" w:styleId="BodyTextIndent">
    <w:name w:val="Body Text Indent"/>
    <w:basedOn w:val="Normal"/>
    <w:link w:val="BodyTextIndentChar"/>
    <w:uiPriority w:val="99"/>
    <w:semiHidden/>
    <w:rsid w:val="00A420B3"/>
    <w:pPr>
      <w:spacing w:after="120"/>
      <w:ind w:left="283"/>
    </w:pPr>
  </w:style>
  <w:style w:type="character" w:customStyle="1" w:styleId="BodyTextIndentChar">
    <w:name w:val="Body Text Indent Char"/>
    <w:basedOn w:val="DefaultParagraphFont"/>
    <w:link w:val="BodyTextIndent"/>
    <w:uiPriority w:val="99"/>
    <w:semiHidden/>
    <w:locked/>
    <w:rsid w:val="00A420B3"/>
    <w:rPr>
      <w:rFonts w:ascii="Arial" w:hAnsi="Arial" w:cs="Times New Roman"/>
      <w:sz w:val="24"/>
      <w:szCs w:val="24"/>
      <w:lang w:eastAsia="en-US"/>
    </w:rPr>
  </w:style>
  <w:style w:type="paragraph" w:styleId="BodyTextFirstIndent2">
    <w:name w:val="Body Text First Indent 2"/>
    <w:basedOn w:val="BodyTextIndent"/>
    <w:link w:val="BodyTextFirstIndent2Char"/>
    <w:uiPriority w:val="99"/>
    <w:semiHidden/>
    <w:rsid w:val="00A420B3"/>
    <w:pPr>
      <w:spacing w:after="0"/>
      <w:ind w:left="360" w:firstLine="360"/>
    </w:pPr>
  </w:style>
  <w:style w:type="character" w:customStyle="1" w:styleId="BodyTextFirstIndent2Char">
    <w:name w:val="Body Text First Indent 2 Char"/>
    <w:basedOn w:val="BodyTextIndentChar"/>
    <w:link w:val="BodyTextFirstIndent2"/>
    <w:uiPriority w:val="99"/>
    <w:semiHidden/>
    <w:locked/>
    <w:rsid w:val="00A420B3"/>
  </w:style>
  <w:style w:type="paragraph" w:styleId="BodyTextIndent2">
    <w:name w:val="Body Text Indent 2"/>
    <w:basedOn w:val="Normal"/>
    <w:link w:val="BodyTextIndent2Char"/>
    <w:uiPriority w:val="99"/>
    <w:semiHidden/>
    <w:rsid w:val="00A420B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A420B3"/>
    <w:rPr>
      <w:rFonts w:ascii="Arial" w:hAnsi="Arial" w:cs="Times New Roman"/>
      <w:sz w:val="24"/>
      <w:szCs w:val="24"/>
      <w:lang w:eastAsia="en-US"/>
    </w:rPr>
  </w:style>
  <w:style w:type="paragraph" w:styleId="BodyTextIndent3">
    <w:name w:val="Body Text Indent 3"/>
    <w:basedOn w:val="Normal"/>
    <w:link w:val="BodyTextIndent3Char"/>
    <w:uiPriority w:val="99"/>
    <w:semiHidden/>
    <w:rsid w:val="00A420B3"/>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A420B3"/>
    <w:rPr>
      <w:rFonts w:ascii="Arial" w:hAnsi="Arial" w:cs="Times New Roman"/>
      <w:sz w:val="16"/>
      <w:szCs w:val="16"/>
      <w:lang w:eastAsia="en-US"/>
    </w:rPr>
  </w:style>
  <w:style w:type="paragraph" w:styleId="Caption">
    <w:name w:val="caption"/>
    <w:basedOn w:val="Normal"/>
    <w:next w:val="Normal"/>
    <w:uiPriority w:val="99"/>
    <w:qFormat/>
    <w:locked/>
    <w:rsid w:val="00A420B3"/>
    <w:pPr>
      <w:spacing w:after="200"/>
    </w:pPr>
    <w:rPr>
      <w:b/>
      <w:bCs/>
      <w:color w:val="4F81BD"/>
      <w:sz w:val="18"/>
      <w:szCs w:val="18"/>
    </w:rPr>
  </w:style>
  <w:style w:type="paragraph" w:styleId="Closing">
    <w:name w:val="Closing"/>
    <w:basedOn w:val="Normal"/>
    <w:link w:val="ClosingChar"/>
    <w:uiPriority w:val="99"/>
    <w:semiHidden/>
    <w:rsid w:val="00A420B3"/>
    <w:pPr>
      <w:ind w:left="4252"/>
    </w:pPr>
  </w:style>
  <w:style w:type="character" w:customStyle="1" w:styleId="ClosingChar">
    <w:name w:val="Closing Char"/>
    <w:basedOn w:val="DefaultParagraphFont"/>
    <w:link w:val="Closing"/>
    <w:uiPriority w:val="99"/>
    <w:semiHidden/>
    <w:locked/>
    <w:rsid w:val="00A420B3"/>
    <w:rPr>
      <w:rFonts w:ascii="Arial" w:hAnsi="Arial" w:cs="Times New Roman"/>
      <w:sz w:val="24"/>
      <w:szCs w:val="24"/>
      <w:lang w:eastAsia="en-US"/>
    </w:rPr>
  </w:style>
  <w:style w:type="paragraph" w:styleId="Date">
    <w:name w:val="Date"/>
    <w:basedOn w:val="Normal"/>
    <w:next w:val="Normal"/>
    <w:link w:val="DateChar"/>
    <w:uiPriority w:val="99"/>
    <w:semiHidden/>
    <w:rsid w:val="00A420B3"/>
  </w:style>
  <w:style w:type="character" w:customStyle="1" w:styleId="DateChar">
    <w:name w:val="Date Char"/>
    <w:basedOn w:val="DefaultParagraphFont"/>
    <w:link w:val="Date"/>
    <w:uiPriority w:val="99"/>
    <w:semiHidden/>
    <w:locked/>
    <w:rsid w:val="00A420B3"/>
    <w:rPr>
      <w:rFonts w:ascii="Arial" w:hAnsi="Arial" w:cs="Times New Roman"/>
      <w:sz w:val="24"/>
      <w:szCs w:val="24"/>
      <w:lang w:eastAsia="en-US"/>
    </w:rPr>
  </w:style>
  <w:style w:type="paragraph" w:styleId="DocumentMap">
    <w:name w:val="Document Map"/>
    <w:basedOn w:val="Normal"/>
    <w:link w:val="DocumentMapChar"/>
    <w:uiPriority w:val="99"/>
    <w:semiHidden/>
    <w:rsid w:val="00A420B3"/>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A420B3"/>
    <w:rPr>
      <w:rFonts w:ascii="Tahoma" w:hAnsi="Tahoma" w:cs="Tahoma"/>
      <w:sz w:val="16"/>
      <w:szCs w:val="16"/>
      <w:lang w:eastAsia="en-US"/>
    </w:rPr>
  </w:style>
  <w:style w:type="paragraph" w:styleId="E-mailSignature">
    <w:name w:val="E-mail Signature"/>
    <w:basedOn w:val="Normal"/>
    <w:link w:val="E-mailSignatureChar"/>
    <w:uiPriority w:val="99"/>
    <w:semiHidden/>
    <w:rsid w:val="00A420B3"/>
  </w:style>
  <w:style w:type="character" w:customStyle="1" w:styleId="E-mailSignatureChar">
    <w:name w:val="E-mail Signature Char"/>
    <w:basedOn w:val="DefaultParagraphFont"/>
    <w:link w:val="E-mailSignature"/>
    <w:uiPriority w:val="99"/>
    <w:semiHidden/>
    <w:locked/>
    <w:rsid w:val="00A420B3"/>
    <w:rPr>
      <w:rFonts w:ascii="Arial" w:hAnsi="Arial" w:cs="Times New Roman"/>
      <w:sz w:val="24"/>
      <w:szCs w:val="24"/>
      <w:lang w:eastAsia="en-US"/>
    </w:rPr>
  </w:style>
  <w:style w:type="paragraph" w:styleId="EndnoteText">
    <w:name w:val="endnote text"/>
    <w:basedOn w:val="Normal"/>
    <w:link w:val="EndnoteTextChar"/>
    <w:uiPriority w:val="99"/>
    <w:semiHidden/>
    <w:rsid w:val="00A420B3"/>
    <w:rPr>
      <w:szCs w:val="20"/>
    </w:rPr>
  </w:style>
  <w:style w:type="character" w:customStyle="1" w:styleId="EndnoteTextChar">
    <w:name w:val="Endnote Text Char"/>
    <w:basedOn w:val="DefaultParagraphFont"/>
    <w:link w:val="EndnoteText"/>
    <w:uiPriority w:val="99"/>
    <w:semiHidden/>
    <w:locked/>
    <w:rsid w:val="00A420B3"/>
    <w:rPr>
      <w:rFonts w:ascii="Arial" w:hAnsi="Arial" w:cs="Times New Roman"/>
      <w:sz w:val="20"/>
      <w:szCs w:val="20"/>
      <w:lang w:eastAsia="en-US"/>
    </w:rPr>
  </w:style>
  <w:style w:type="paragraph" w:styleId="EnvelopeAddress">
    <w:name w:val="envelope address"/>
    <w:basedOn w:val="Normal"/>
    <w:uiPriority w:val="99"/>
    <w:semiHidden/>
    <w:rsid w:val="00A420B3"/>
    <w:pPr>
      <w:framePr w:w="7920" w:h="1980" w:hRule="exact" w:hSpace="180" w:wrap="auto" w:hAnchor="page" w:xAlign="center" w:yAlign="bottom"/>
      <w:ind w:left="2880"/>
    </w:pPr>
    <w:rPr>
      <w:rFonts w:ascii="Cambria" w:hAnsi="Cambria"/>
      <w:sz w:val="24"/>
    </w:rPr>
  </w:style>
  <w:style w:type="paragraph" w:styleId="EnvelopeReturn">
    <w:name w:val="envelope return"/>
    <w:basedOn w:val="Normal"/>
    <w:uiPriority w:val="99"/>
    <w:semiHidden/>
    <w:rsid w:val="00A420B3"/>
    <w:rPr>
      <w:rFonts w:ascii="Cambria" w:hAnsi="Cambria"/>
      <w:szCs w:val="20"/>
    </w:rPr>
  </w:style>
  <w:style w:type="paragraph" w:styleId="FootnoteText">
    <w:name w:val="footnote text"/>
    <w:basedOn w:val="Normal"/>
    <w:link w:val="FootnoteTextChar"/>
    <w:uiPriority w:val="99"/>
    <w:semiHidden/>
    <w:rsid w:val="00A420B3"/>
    <w:rPr>
      <w:szCs w:val="20"/>
    </w:rPr>
  </w:style>
  <w:style w:type="character" w:customStyle="1" w:styleId="FootnoteTextChar">
    <w:name w:val="Footnote Text Char"/>
    <w:basedOn w:val="DefaultParagraphFont"/>
    <w:link w:val="FootnoteText"/>
    <w:uiPriority w:val="99"/>
    <w:semiHidden/>
    <w:locked/>
    <w:rsid w:val="00A420B3"/>
    <w:rPr>
      <w:rFonts w:ascii="Arial" w:hAnsi="Arial" w:cs="Times New Roman"/>
      <w:sz w:val="20"/>
      <w:szCs w:val="20"/>
      <w:lang w:eastAsia="en-US"/>
    </w:rPr>
  </w:style>
  <w:style w:type="paragraph" w:styleId="HTMLAddress">
    <w:name w:val="HTML Address"/>
    <w:basedOn w:val="Normal"/>
    <w:link w:val="HTMLAddressChar"/>
    <w:uiPriority w:val="99"/>
    <w:semiHidden/>
    <w:rsid w:val="00A420B3"/>
    <w:rPr>
      <w:i/>
      <w:iCs/>
    </w:rPr>
  </w:style>
  <w:style w:type="character" w:customStyle="1" w:styleId="HTMLAddressChar">
    <w:name w:val="HTML Address Char"/>
    <w:basedOn w:val="DefaultParagraphFont"/>
    <w:link w:val="HTMLAddress"/>
    <w:uiPriority w:val="99"/>
    <w:semiHidden/>
    <w:locked/>
    <w:rsid w:val="00A420B3"/>
    <w:rPr>
      <w:rFonts w:ascii="Arial" w:hAnsi="Arial" w:cs="Times New Roman"/>
      <w:i/>
      <w:iCs/>
      <w:sz w:val="24"/>
      <w:szCs w:val="24"/>
      <w:lang w:eastAsia="en-US"/>
    </w:rPr>
  </w:style>
  <w:style w:type="paragraph" w:styleId="HTMLPreformatted">
    <w:name w:val="HTML Preformatted"/>
    <w:basedOn w:val="Normal"/>
    <w:link w:val="HTMLPreformattedChar"/>
    <w:uiPriority w:val="99"/>
    <w:semiHidden/>
    <w:rsid w:val="00A420B3"/>
    <w:rPr>
      <w:rFonts w:ascii="Consolas" w:hAnsi="Consolas"/>
      <w:szCs w:val="20"/>
    </w:rPr>
  </w:style>
  <w:style w:type="character" w:customStyle="1" w:styleId="HTMLPreformattedChar">
    <w:name w:val="HTML Preformatted Char"/>
    <w:basedOn w:val="DefaultParagraphFont"/>
    <w:link w:val="HTMLPreformatted"/>
    <w:uiPriority w:val="99"/>
    <w:semiHidden/>
    <w:locked/>
    <w:rsid w:val="00A420B3"/>
    <w:rPr>
      <w:rFonts w:ascii="Consolas" w:hAnsi="Consolas" w:cs="Times New Roman"/>
      <w:sz w:val="20"/>
      <w:szCs w:val="20"/>
      <w:lang w:eastAsia="en-US"/>
    </w:rPr>
  </w:style>
  <w:style w:type="paragraph" w:styleId="Index1">
    <w:name w:val="index 1"/>
    <w:basedOn w:val="Normal"/>
    <w:next w:val="Normal"/>
    <w:autoRedefine/>
    <w:uiPriority w:val="99"/>
    <w:semiHidden/>
    <w:rsid w:val="00A420B3"/>
    <w:pPr>
      <w:ind w:left="200" w:hanging="200"/>
    </w:pPr>
  </w:style>
  <w:style w:type="paragraph" w:styleId="Index2">
    <w:name w:val="index 2"/>
    <w:basedOn w:val="Normal"/>
    <w:next w:val="Normal"/>
    <w:autoRedefine/>
    <w:uiPriority w:val="99"/>
    <w:semiHidden/>
    <w:rsid w:val="00A420B3"/>
    <w:pPr>
      <w:ind w:left="400" w:hanging="200"/>
    </w:pPr>
  </w:style>
  <w:style w:type="paragraph" w:styleId="Index3">
    <w:name w:val="index 3"/>
    <w:basedOn w:val="Normal"/>
    <w:next w:val="Normal"/>
    <w:autoRedefine/>
    <w:uiPriority w:val="99"/>
    <w:semiHidden/>
    <w:rsid w:val="00A420B3"/>
    <w:pPr>
      <w:ind w:left="600" w:hanging="200"/>
    </w:pPr>
  </w:style>
  <w:style w:type="paragraph" w:styleId="Index4">
    <w:name w:val="index 4"/>
    <w:basedOn w:val="Normal"/>
    <w:next w:val="Normal"/>
    <w:autoRedefine/>
    <w:uiPriority w:val="99"/>
    <w:semiHidden/>
    <w:rsid w:val="00A420B3"/>
    <w:pPr>
      <w:ind w:left="800" w:hanging="200"/>
    </w:pPr>
  </w:style>
  <w:style w:type="paragraph" w:styleId="Index5">
    <w:name w:val="index 5"/>
    <w:basedOn w:val="Normal"/>
    <w:next w:val="Normal"/>
    <w:autoRedefine/>
    <w:uiPriority w:val="99"/>
    <w:semiHidden/>
    <w:rsid w:val="00A420B3"/>
    <w:pPr>
      <w:ind w:left="1000" w:hanging="200"/>
    </w:pPr>
  </w:style>
  <w:style w:type="paragraph" w:styleId="Index6">
    <w:name w:val="index 6"/>
    <w:basedOn w:val="Normal"/>
    <w:next w:val="Normal"/>
    <w:autoRedefine/>
    <w:uiPriority w:val="99"/>
    <w:semiHidden/>
    <w:rsid w:val="00A420B3"/>
    <w:pPr>
      <w:ind w:left="1200" w:hanging="200"/>
    </w:pPr>
  </w:style>
  <w:style w:type="paragraph" w:styleId="Index7">
    <w:name w:val="index 7"/>
    <w:basedOn w:val="Normal"/>
    <w:next w:val="Normal"/>
    <w:autoRedefine/>
    <w:uiPriority w:val="99"/>
    <w:semiHidden/>
    <w:rsid w:val="00A420B3"/>
    <w:pPr>
      <w:ind w:left="1400" w:hanging="200"/>
    </w:pPr>
  </w:style>
  <w:style w:type="paragraph" w:styleId="Index8">
    <w:name w:val="index 8"/>
    <w:basedOn w:val="Normal"/>
    <w:next w:val="Normal"/>
    <w:autoRedefine/>
    <w:uiPriority w:val="99"/>
    <w:semiHidden/>
    <w:rsid w:val="00A420B3"/>
    <w:pPr>
      <w:ind w:left="1600" w:hanging="200"/>
    </w:pPr>
  </w:style>
  <w:style w:type="paragraph" w:styleId="Index9">
    <w:name w:val="index 9"/>
    <w:basedOn w:val="Normal"/>
    <w:next w:val="Normal"/>
    <w:autoRedefine/>
    <w:uiPriority w:val="99"/>
    <w:semiHidden/>
    <w:rsid w:val="00A420B3"/>
    <w:pPr>
      <w:ind w:left="1800" w:hanging="200"/>
    </w:pPr>
  </w:style>
  <w:style w:type="paragraph" w:styleId="IndexHeading">
    <w:name w:val="index heading"/>
    <w:basedOn w:val="Normal"/>
    <w:next w:val="Index1"/>
    <w:uiPriority w:val="99"/>
    <w:semiHidden/>
    <w:rsid w:val="00A420B3"/>
    <w:rPr>
      <w:rFonts w:ascii="Cambria" w:hAnsi="Cambria"/>
      <w:b/>
      <w:bCs/>
    </w:rPr>
  </w:style>
  <w:style w:type="paragraph" w:styleId="IntenseQuote">
    <w:name w:val="Intense Quote"/>
    <w:basedOn w:val="Normal"/>
    <w:next w:val="Normal"/>
    <w:link w:val="IntenseQuoteChar"/>
    <w:uiPriority w:val="99"/>
    <w:qFormat/>
    <w:rsid w:val="00A420B3"/>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A420B3"/>
    <w:rPr>
      <w:rFonts w:ascii="Arial" w:hAnsi="Arial" w:cs="Times New Roman"/>
      <w:b/>
      <w:bCs/>
      <w:i/>
      <w:iCs/>
      <w:color w:val="4F81BD"/>
      <w:sz w:val="24"/>
      <w:szCs w:val="24"/>
      <w:lang w:eastAsia="en-US"/>
    </w:rPr>
  </w:style>
  <w:style w:type="paragraph" w:styleId="List">
    <w:name w:val="List"/>
    <w:basedOn w:val="Normal"/>
    <w:uiPriority w:val="99"/>
    <w:semiHidden/>
    <w:rsid w:val="00A420B3"/>
    <w:pPr>
      <w:ind w:left="283" w:hanging="283"/>
      <w:contextualSpacing/>
    </w:pPr>
  </w:style>
  <w:style w:type="paragraph" w:styleId="List2">
    <w:name w:val="List 2"/>
    <w:basedOn w:val="Normal"/>
    <w:uiPriority w:val="99"/>
    <w:semiHidden/>
    <w:rsid w:val="00A420B3"/>
    <w:pPr>
      <w:ind w:left="566" w:hanging="283"/>
      <w:contextualSpacing/>
    </w:pPr>
  </w:style>
  <w:style w:type="paragraph" w:styleId="List3">
    <w:name w:val="List 3"/>
    <w:basedOn w:val="Normal"/>
    <w:uiPriority w:val="99"/>
    <w:semiHidden/>
    <w:rsid w:val="00A420B3"/>
    <w:pPr>
      <w:ind w:left="849" w:hanging="283"/>
      <w:contextualSpacing/>
    </w:pPr>
  </w:style>
  <w:style w:type="paragraph" w:styleId="List4">
    <w:name w:val="List 4"/>
    <w:basedOn w:val="Normal"/>
    <w:uiPriority w:val="99"/>
    <w:semiHidden/>
    <w:rsid w:val="00A420B3"/>
    <w:pPr>
      <w:ind w:left="1132" w:hanging="283"/>
      <w:contextualSpacing/>
    </w:pPr>
  </w:style>
  <w:style w:type="paragraph" w:styleId="List5">
    <w:name w:val="List 5"/>
    <w:basedOn w:val="Normal"/>
    <w:uiPriority w:val="99"/>
    <w:semiHidden/>
    <w:rsid w:val="00A420B3"/>
    <w:pPr>
      <w:ind w:left="1415" w:hanging="283"/>
      <w:contextualSpacing/>
    </w:pPr>
  </w:style>
  <w:style w:type="paragraph" w:styleId="ListBullet">
    <w:name w:val="List Bullet"/>
    <w:basedOn w:val="Normal"/>
    <w:uiPriority w:val="99"/>
    <w:semiHidden/>
    <w:rsid w:val="00A420B3"/>
    <w:pPr>
      <w:numPr>
        <w:numId w:val="11"/>
      </w:numPr>
      <w:contextualSpacing/>
    </w:pPr>
  </w:style>
  <w:style w:type="paragraph" w:styleId="ListBullet2">
    <w:name w:val="List Bullet 2"/>
    <w:basedOn w:val="Normal"/>
    <w:uiPriority w:val="99"/>
    <w:semiHidden/>
    <w:rsid w:val="00A420B3"/>
    <w:pPr>
      <w:numPr>
        <w:numId w:val="12"/>
      </w:numPr>
      <w:contextualSpacing/>
    </w:pPr>
  </w:style>
  <w:style w:type="paragraph" w:styleId="ListBullet3">
    <w:name w:val="List Bullet 3"/>
    <w:basedOn w:val="Normal"/>
    <w:uiPriority w:val="99"/>
    <w:semiHidden/>
    <w:rsid w:val="00A420B3"/>
    <w:pPr>
      <w:numPr>
        <w:numId w:val="13"/>
      </w:numPr>
      <w:contextualSpacing/>
    </w:pPr>
  </w:style>
  <w:style w:type="paragraph" w:styleId="ListBullet4">
    <w:name w:val="List Bullet 4"/>
    <w:basedOn w:val="Normal"/>
    <w:uiPriority w:val="99"/>
    <w:semiHidden/>
    <w:rsid w:val="00A420B3"/>
    <w:pPr>
      <w:numPr>
        <w:numId w:val="14"/>
      </w:numPr>
      <w:contextualSpacing/>
    </w:pPr>
  </w:style>
  <w:style w:type="paragraph" w:styleId="ListBullet5">
    <w:name w:val="List Bullet 5"/>
    <w:basedOn w:val="Normal"/>
    <w:uiPriority w:val="99"/>
    <w:semiHidden/>
    <w:rsid w:val="00A420B3"/>
    <w:pPr>
      <w:numPr>
        <w:numId w:val="15"/>
      </w:numPr>
      <w:contextualSpacing/>
    </w:pPr>
  </w:style>
  <w:style w:type="paragraph" w:styleId="ListContinue">
    <w:name w:val="List Continue"/>
    <w:basedOn w:val="Normal"/>
    <w:uiPriority w:val="99"/>
    <w:semiHidden/>
    <w:rsid w:val="00A420B3"/>
    <w:pPr>
      <w:spacing w:after="120"/>
      <w:ind w:left="283"/>
      <w:contextualSpacing/>
    </w:pPr>
  </w:style>
  <w:style w:type="paragraph" w:styleId="ListContinue2">
    <w:name w:val="List Continue 2"/>
    <w:basedOn w:val="Normal"/>
    <w:uiPriority w:val="99"/>
    <w:semiHidden/>
    <w:rsid w:val="00A420B3"/>
    <w:pPr>
      <w:spacing w:after="120"/>
      <w:ind w:left="566"/>
      <w:contextualSpacing/>
    </w:pPr>
  </w:style>
  <w:style w:type="paragraph" w:styleId="ListContinue3">
    <w:name w:val="List Continue 3"/>
    <w:basedOn w:val="Normal"/>
    <w:uiPriority w:val="99"/>
    <w:semiHidden/>
    <w:rsid w:val="00A420B3"/>
    <w:pPr>
      <w:spacing w:after="120"/>
      <w:ind w:left="849"/>
      <w:contextualSpacing/>
    </w:pPr>
  </w:style>
  <w:style w:type="paragraph" w:styleId="ListContinue4">
    <w:name w:val="List Continue 4"/>
    <w:basedOn w:val="Normal"/>
    <w:uiPriority w:val="99"/>
    <w:semiHidden/>
    <w:rsid w:val="00A420B3"/>
    <w:pPr>
      <w:spacing w:after="120"/>
      <w:ind w:left="1132"/>
      <w:contextualSpacing/>
    </w:pPr>
  </w:style>
  <w:style w:type="paragraph" w:styleId="ListContinue5">
    <w:name w:val="List Continue 5"/>
    <w:basedOn w:val="Normal"/>
    <w:uiPriority w:val="99"/>
    <w:semiHidden/>
    <w:rsid w:val="00A420B3"/>
    <w:pPr>
      <w:spacing w:after="120"/>
      <w:ind w:left="1415"/>
      <w:contextualSpacing/>
    </w:pPr>
  </w:style>
  <w:style w:type="paragraph" w:styleId="ListNumber">
    <w:name w:val="List Number"/>
    <w:basedOn w:val="Normal"/>
    <w:uiPriority w:val="99"/>
    <w:semiHidden/>
    <w:rsid w:val="00A420B3"/>
    <w:pPr>
      <w:numPr>
        <w:numId w:val="16"/>
      </w:numPr>
      <w:contextualSpacing/>
    </w:pPr>
  </w:style>
  <w:style w:type="paragraph" w:styleId="ListNumber2">
    <w:name w:val="List Number 2"/>
    <w:basedOn w:val="Normal"/>
    <w:uiPriority w:val="99"/>
    <w:semiHidden/>
    <w:rsid w:val="00A420B3"/>
    <w:pPr>
      <w:numPr>
        <w:numId w:val="17"/>
      </w:numPr>
      <w:contextualSpacing/>
    </w:pPr>
  </w:style>
  <w:style w:type="paragraph" w:styleId="ListNumber3">
    <w:name w:val="List Number 3"/>
    <w:basedOn w:val="Normal"/>
    <w:uiPriority w:val="99"/>
    <w:semiHidden/>
    <w:rsid w:val="00A420B3"/>
    <w:pPr>
      <w:numPr>
        <w:numId w:val="18"/>
      </w:numPr>
      <w:contextualSpacing/>
    </w:pPr>
  </w:style>
  <w:style w:type="paragraph" w:styleId="ListNumber4">
    <w:name w:val="List Number 4"/>
    <w:basedOn w:val="Normal"/>
    <w:uiPriority w:val="99"/>
    <w:semiHidden/>
    <w:rsid w:val="00A420B3"/>
    <w:pPr>
      <w:numPr>
        <w:numId w:val="19"/>
      </w:numPr>
      <w:contextualSpacing/>
    </w:pPr>
  </w:style>
  <w:style w:type="paragraph" w:styleId="ListNumber5">
    <w:name w:val="List Number 5"/>
    <w:basedOn w:val="Normal"/>
    <w:uiPriority w:val="99"/>
    <w:semiHidden/>
    <w:rsid w:val="00A420B3"/>
    <w:pPr>
      <w:numPr>
        <w:numId w:val="20"/>
      </w:numPr>
      <w:contextualSpacing/>
    </w:pPr>
  </w:style>
  <w:style w:type="paragraph" w:styleId="MacroText">
    <w:name w:val="macro"/>
    <w:link w:val="MacroTextChar"/>
    <w:uiPriority w:val="99"/>
    <w:semiHidden/>
    <w:rsid w:val="00A420B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eastAsia="en-US"/>
    </w:rPr>
  </w:style>
  <w:style w:type="character" w:customStyle="1" w:styleId="MacroTextChar">
    <w:name w:val="Macro Text Char"/>
    <w:basedOn w:val="DefaultParagraphFont"/>
    <w:link w:val="MacroText"/>
    <w:uiPriority w:val="99"/>
    <w:semiHidden/>
    <w:locked/>
    <w:rsid w:val="00A420B3"/>
    <w:rPr>
      <w:rFonts w:ascii="Consolas" w:hAnsi="Consolas" w:cs="Times New Roman"/>
      <w:lang w:val="en-GB" w:eastAsia="en-US" w:bidi="ar-SA"/>
    </w:rPr>
  </w:style>
  <w:style w:type="paragraph" w:styleId="MessageHeader">
    <w:name w:val="Message Header"/>
    <w:basedOn w:val="Normal"/>
    <w:link w:val="MessageHeaderChar"/>
    <w:uiPriority w:val="99"/>
    <w:semiHidden/>
    <w:rsid w:val="00A420B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MessageHeaderChar">
    <w:name w:val="Message Header Char"/>
    <w:basedOn w:val="DefaultParagraphFont"/>
    <w:link w:val="MessageHeader"/>
    <w:uiPriority w:val="99"/>
    <w:semiHidden/>
    <w:locked/>
    <w:rsid w:val="00A420B3"/>
    <w:rPr>
      <w:rFonts w:ascii="Cambria" w:hAnsi="Cambria" w:cs="Times New Roman"/>
      <w:sz w:val="24"/>
      <w:szCs w:val="24"/>
      <w:shd w:val="pct20" w:color="auto" w:fill="auto"/>
      <w:lang w:eastAsia="en-US"/>
    </w:rPr>
  </w:style>
  <w:style w:type="paragraph" w:styleId="NoSpacing">
    <w:name w:val="No Spacing"/>
    <w:uiPriority w:val="99"/>
    <w:qFormat/>
    <w:rsid w:val="00A420B3"/>
    <w:rPr>
      <w:rFonts w:ascii="Arial" w:hAnsi="Arial"/>
      <w:sz w:val="20"/>
      <w:szCs w:val="24"/>
      <w:lang w:eastAsia="en-US"/>
    </w:rPr>
  </w:style>
  <w:style w:type="paragraph" w:styleId="NormalWeb">
    <w:name w:val="Normal (Web)"/>
    <w:basedOn w:val="Normal"/>
    <w:uiPriority w:val="99"/>
    <w:semiHidden/>
    <w:rsid w:val="00A420B3"/>
    <w:rPr>
      <w:rFonts w:ascii="Times New Roman" w:hAnsi="Times New Roman"/>
      <w:sz w:val="24"/>
    </w:rPr>
  </w:style>
  <w:style w:type="paragraph" w:styleId="NormalIndent">
    <w:name w:val="Normal Indent"/>
    <w:basedOn w:val="Normal"/>
    <w:uiPriority w:val="99"/>
    <w:semiHidden/>
    <w:rsid w:val="00A420B3"/>
    <w:pPr>
      <w:ind w:left="567"/>
    </w:pPr>
  </w:style>
  <w:style w:type="paragraph" w:styleId="NoteHeading">
    <w:name w:val="Note Heading"/>
    <w:basedOn w:val="Normal"/>
    <w:next w:val="Normal"/>
    <w:link w:val="NoteHeadingChar"/>
    <w:uiPriority w:val="99"/>
    <w:semiHidden/>
    <w:rsid w:val="00A420B3"/>
  </w:style>
  <w:style w:type="character" w:customStyle="1" w:styleId="NoteHeadingChar">
    <w:name w:val="Note Heading Char"/>
    <w:basedOn w:val="DefaultParagraphFont"/>
    <w:link w:val="NoteHeading"/>
    <w:uiPriority w:val="99"/>
    <w:semiHidden/>
    <w:locked/>
    <w:rsid w:val="00A420B3"/>
    <w:rPr>
      <w:rFonts w:ascii="Arial" w:hAnsi="Arial" w:cs="Times New Roman"/>
      <w:sz w:val="24"/>
      <w:szCs w:val="24"/>
      <w:lang w:eastAsia="en-US"/>
    </w:rPr>
  </w:style>
  <w:style w:type="paragraph" w:styleId="PlainText">
    <w:name w:val="Plain Text"/>
    <w:basedOn w:val="Normal"/>
    <w:link w:val="PlainTextChar"/>
    <w:uiPriority w:val="99"/>
    <w:semiHidden/>
    <w:rsid w:val="00A420B3"/>
    <w:rPr>
      <w:rFonts w:ascii="Consolas" w:hAnsi="Consolas"/>
      <w:sz w:val="21"/>
      <w:szCs w:val="21"/>
    </w:rPr>
  </w:style>
  <w:style w:type="character" w:customStyle="1" w:styleId="PlainTextChar">
    <w:name w:val="Plain Text Char"/>
    <w:basedOn w:val="DefaultParagraphFont"/>
    <w:link w:val="PlainText"/>
    <w:uiPriority w:val="99"/>
    <w:semiHidden/>
    <w:locked/>
    <w:rsid w:val="00A420B3"/>
    <w:rPr>
      <w:rFonts w:ascii="Consolas" w:hAnsi="Consolas" w:cs="Times New Roman"/>
      <w:sz w:val="21"/>
      <w:szCs w:val="21"/>
      <w:lang w:eastAsia="en-US"/>
    </w:rPr>
  </w:style>
  <w:style w:type="paragraph" w:styleId="Quote">
    <w:name w:val="Quote"/>
    <w:basedOn w:val="Normal"/>
    <w:next w:val="Normal"/>
    <w:link w:val="QuoteChar"/>
    <w:uiPriority w:val="99"/>
    <w:qFormat/>
    <w:rsid w:val="00A420B3"/>
    <w:rPr>
      <w:i/>
      <w:iCs/>
      <w:color w:val="000000"/>
    </w:rPr>
  </w:style>
  <w:style w:type="character" w:customStyle="1" w:styleId="QuoteChar">
    <w:name w:val="Quote Char"/>
    <w:basedOn w:val="DefaultParagraphFont"/>
    <w:link w:val="Quote"/>
    <w:uiPriority w:val="99"/>
    <w:locked/>
    <w:rsid w:val="00A420B3"/>
    <w:rPr>
      <w:rFonts w:ascii="Arial" w:hAnsi="Arial" w:cs="Times New Roman"/>
      <w:i/>
      <w:iCs/>
      <w:color w:val="000000"/>
      <w:sz w:val="24"/>
      <w:szCs w:val="24"/>
      <w:lang w:eastAsia="en-US"/>
    </w:rPr>
  </w:style>
  <w:style w:type="paragraph" w:styleId="Salutation">
    <w:name w:val="Salutation"/>
    <w:basedOn w:val="Normal"/>
    <w:next w:val="Normal"/>
    <w:link w:val="SalutationChar"/>
    <w:uiPriority w:val="99"/>
    <w:semiHidden/>
    <w:rsid w:val="00A420B3"/>
  </w:style>
  <w:style w:type="character" w:customStyle="1" w:styleId="SalutationChar">
    <w:name w:val="Salutation Char"/>
    <w:basedOn w:val="DefaultParagraphFont"/>
    <w:link w:val="Salutation"/>
    <w:uiPriority w:val="99"/>
    <w:semiHidden/>
    <w:locked/>
    <w:rsid w:val="00A420B3"/>
    <w:rPr>
      <w:rFonts w:ascii="Arial" w:hAnsi="Arial" w:cs="Times New Roman"/>
      <w:sz w:val="24"/>
      <w:szCs w:val="24"/>
      <w:lang w:eastAsia="en-US"/>
    </w:rPr>
  </w:style>
  <w:style w:type="paragraph" w:styleId="Signature">
    <w:name w:val="Signature"/>
    <w:basedOn w:val="Normal"/>
    <w:link w:val="SignatureChar"/>
    <w:uiPriority w:val="99"/>
    <w:semiHidden/>
    <w:rsid w:val="00A420B3"/>
    <w:pPr>
      <w:ind w:left="4252"/>
    </w:pPr>
  </w:style>
  <w:style w:type="character" w:customStyle="1" w:styleId="SignatureChar">
    <w:name w:val="Signature Char"/>
    <w:basedOn w:val="DefaultParagraphFont"/>
    <w:link w:val="Signature"/>
    <w:uiPriority w:val="99"/>
    <w:semiHidden/>
    <w:locked/>
    <w:rsid w:val="00A420B3"/>
    <w:rPr>
      <w:rFonts w:ascii="Arial" w:hAnsi="Arial" w:cs="Times New Roman"/>
      <w:sz w:val="24"/>
      <w:szCs w:val="24"/>
      <w:lang w:eastAsia="en-US"/>
    </w:rPr>
  </w:style>
  <w:style w:type="paragraph" w:styleId="Subtitle">
    <w:name w:val="Subtitle"/>
    <w:basedOn w:val="Normal"/>
    <w:next w:val="Normal"/>
    <w:link w:val="SubtitleChar"/>
    <w:uiPriority w:val="99"/>
    <w:qFormat/>
    <w:locked/>
    <w:rsid w:val="00A420B3"/>
    <w:pPr>
      <w:numPr>
        <w:ilvl w:val="1"/>
      </w:numPr>
    </w:pPr>
    <w:rPr>
      <w:rFonts w:ascii="Cambria" w:hAnsi="Cambria"/>
      <w:i/>
      <w:iCs/>
      <w:color w:val="4F81BD"/>
      <w:spacing w:val="15"/>
      <w:sz w:val="24"/>
    </w:rPr>
  </w:style>
  <w:style w:type="character" w:customStyle="1" w:styleId="SubtitleChar">
    <w:name w:val="Subtitle Char"/>
    <w:basedOn w:val="DefaultParagraphFont"/>
    <w:link w:val="Subtitle"/>
    <w:uiPriority w:val="99"/>
    <w:locked/>
    <w:rsid w:val="00A420B3"/>
    <w:rPr>
      <w:rFonts w:ascii="Cambria" w:hAnsi="Cambria" w:cs="Times New Roman"/>
      <w:i/>
      <w:iCs/>
      <w:color w:val="4F81BD"/>
      <w:spacing w:val="15"/>
      <w:sz w:val="24"/>
      <w:szCs w:val="24"/>
      <w:lang w:eastAsia="en-US"/>
    </w:rPr>
  </w:style>
  <w:style w:type="paragraph" w:styleId="TableofAuthorities">
    <w:name w:val="table of authorities"/>
    <w:basedOn w:val="Normal"/>
    <w:next w:val="Normal"/>
    <w:uiPriority w:val="99"/>
    <w:semiHidden/>
    <w:rsid w:val="00A420B3"/>
    <w:pPr>
      <w:ind w:left="200" w:hanging="200"/>
    </w:pPr>
  </w:style>
  <w:style w:type="paragraph" w:styleId="TableofFigures">
    <w:name w:val="table of figures"/>
    <w:basedOn w:val="Normal"/>
    <w:next w:val="Normal"/>
    <w:uiPriority w:val="99"/>
    <w:semiHidden/>
    <w:rsid w:val="00A420B3"/>
  </w:style>
  <w:style w:type="paragraph" w:styleId="Title">
    <w:name w:val="Title"/>
    <w:basedOn w:val="Normal"/>
    <w:next w:val="Normal"/>
    <w:link w:val="TitleChar"/>
    <w:uiPriority w:val="99"/>
    <w:qFormat/>
    <w:locked/>
    <w:rsid w:val="00A420B3"/>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A420B3"/>
    <w:rPr>
      <w:rFonts w:ascii="Cambria" w:hAnsi="Cambria" w:cs="Times New Roman"/>
      <w:color w:val="17365D"/>
      <w:spacing w:val="5"/>
      <w:kern w:val="28"/>
      <w:sz w:val="52"/>
      <w:szCs w:val="52"/>
      <w:lang w:eastAsia="en-US"/>
    </w:rPr>
  </w:style>
  <w:style w:type="paragraph" w:styleId="TOAHeading">
    <w:name w:val="toa heading"/>
    <w:basedOn w:val="Normal"/>
    <w:next w:val="Normal"/>
    <w:uiPriority w:val="99"/>
    <w:semiHidden/>
    <w:rsid w:val="00A420B3"/>
    <w:pPr>
      <w:spacing w:before="120"/>
    </w:pPr>
    <w:rPr>
      <w:rFonts w:ascii="Cambria" w:hAnsi="Cambria"/>
      <w:b/>
      <w:bCs/>
      <w:sz w:val="24"/>
    </w:rPr>
  </w:style>
  <w:style w:type="paragraph" w:styleId="TOC1">
    <w:name w:val="toc 1"/>
    <w:basedOn w:val="Normal"/>
    <w:next w:val="Normal"/>
    <w:autoRedefine/>
    <w:uiPriority w:val="99"/>
    <w:semiHidden/>
    <w:rsid w:val="00A420B3"/>
    <w:pPr>
      <w:spacing w:after="100"/>
    </w:pPr>
  </w:style>
  <w:style w:type="paragraph" w:styleId="TOC2">
    <w:name w:val="toc 2"/>
    <w:basedOn w:val="Normal"/>
    <w:next w:val="Normal"/>
    <w:autoRedefine/>
    <w:uiPriority w:val="99"/>
    <w:semiHidden/>
    <w:rsid w:val="00A420B3"/>
    <w:pPr>
      <w:spacing w:after="100"/>
      <w:ind w:left="200"/>
    </w:pPr>
  </w:style>
  <w:style w:type="paragraph" w:styleId="TOC3">
    <w:name w:val="toc 3"/>
    <w:basedOn w:val="Normal"/>
    <w:next w:val="Normal"/>
    <w:autoRedefine/>
    <w:uiPriority w:val="99"/>
    <w:semiHidden/>
    <w:rsid w:val="00A420B3"/>
    <w:pPr>
      <w:spacing w:after="100"/>
      <w:ind w:left="400"/>
    </w:pPr>
  </w:style>
  <w:style w:type="paragraph" w:styleId="TOC4">
    <w:name w:val="toc 4"/>
    <w:basedOn w:val="Normal"/>
    <w:next w:val="Normal"/>
    <w:autoRedefine/>
    <w:uiPriority w:val="99"/>
    <w:semiHidden/>
    <w:rsid w:val="00A420B3"/>
    <w:pPr>
      <w:spacing w:after="100"/>
      <w:ind w:left="600"/>
    </w:pPr>
  </w:style>
  <w:style w:type="paragraph" w:styleId="TOC5">
    <w:name w:val="toc 5"/>
    <w:basedOn w:val="Normal"/>
    <w:next w:val="Normal"/>
    <w:autoRedefine/>
    <w:uiPriority w:val="99"/>
    <w:semiHidden/>
    <w:rsid w:val="00A420B3"/>
    <w:pPr>
      <w:spacing w:after="100"/>
      <w:ind w:left="800"/>
    </w:pPr>
  </w:style>
  <w:style w:type="paragraph" w:styleId="TOC6">
    <w:name w:val="toc 6"/>
    <w:basedOn w:val="Normal"/>
    <w:next w:val="Normal"/>
    <w:autoRedefine/>
    <w:uiPriority w:val="99"/>
    <w:semiHidden/>
    <w:rsid w:val="00A420B3"/>
    <w:pPr>
      <w:spacing w:after="100"/>
      <w:ind w:left="1000"/>
    </w:pPr>
  </w:style>
  <w:style w:type="paragraph" w:styleId="TOC7">
    <w:name w:val="toc 7"/>
    <w:basedOn w:val="Normal"/>
    <w:next w:val="Normal"/>
    <w:autoRedefine/>
    <w:uiPriority w:val="99"/>
    <w:semiHidden/>
    <w:rsid w:val="00A420B3"/>
    <w:pPr>
      <w:spacing w:after="100"/>
      <w:ind w:left="1200"/>
    </w:pPr>
  </w:style>
  <w:style w:type="paragraph" w:styleId="TOC8">
    <w:name w:val="toc 8"/>
    <w:basedOn w:val="Normal"/>
    <w:next w:val="Normal"/>
    <w:autoRedefine/>
    <w:uiPriority w:val="99"/>
    <w:semiHidden/>
    <w:rsid w:val="00A420B3"/>
    <w:pPr>
      <w:spacing w:after="100"/>
      <w:ind w:left="1400"/>
    </w:pPr>
  </w:style>
  <w:style w:type="paragraph" w:styleId="TOC9">
    <w:name w:val="toc 9"/>
    <w:basedOn w:val="Normal"/>
    <w:next w:val="Normal"/>
    <w:autoRedefine/>
    <w:uiPriority w:val="99"/>
    <w:semiHidden/>
    <w:rsid w:val="00A420B3"/>
    <w:pPr>
      <w:spacing w:after="100"/>
      <w:ind w:left="1600"/>
    </w:pPr>
  </w:style>
  <w:style w:type="paragraph" w:styleId="TOCHeading">
    <w:name w:val="TOC Heading"/>
    <w:basedOn w:val="Heading1"/>
    <w:next w:val="Normal"/>
    <w:uiPriority w:val="99"/>
    <w:qFormat/>
    <w:rsid w:val="00A420B3"/>
    <w:pPr>
      <w:keepLines/>
      <w:spacing w:before="480" w:after="0"/>
      <w:outlineLvl w:val="9"/>
    </w:pPr>
    <w:rPr>
      <w:rFonts w:ascii="Cambria" w:hAnsi="Cambria" w:cs="Times New Roman"/>
      <w:color w:val="365F91"/>
      <w:kern w:val="0"/>
      <w:sz w:val="28"/>
      <w:szCs w:val="28"/>
    </w:rPr>
  </w:style>
</w:styles>
</file>

<file path=word/webSettings.xml><?xml version="1.0" encoding="utf-8"?>
<w:webSettings xmlns:r="http://schemas.openxmlformats.org/officeDocument/2006/relationships" xmlns:w="http://schemas.openxmlformats.org/wordprocessingml/2006/main">
  <w:divs>
    <w:div w:id="1949658079">
      <w:marLeft w:val="0"/>
      <w:marRight w:val="0"/>
      <w:marTop w:val="0"/>
      <w:marBottom w:val="0"/>
      <w:divBdr>
        <w:top w:val="none" w:sz="0" w:space="0" w:color="auto"/>
        <w:left w:val="none" w:sz="0" w:space="0" w:color="auto"/>
        <w:bottom w:val="none" w:sz="0" w:space="0" w:color="auto"/>
        <w:right w:val="none" w:sz="0" w:space="0" w:color="auto"/>
      </w:divBdr>
    </w:div>
    <w:div w:id="1949658080">
      <w:marLeft w:val="0"/>
      <w:marRight w:val="0"/>
      <w:marTop w:val="0"/>
      <w:marBottom w:val="0"/>
      <w:divBdr>
        <w:top w:val="none" w:sz="0" w:space="0" w:color="auto"/>
        <w:left w:val="none" w:sz="0" w:space="0" w:color="auto"/>
        <w:bottom w:val="none" w:sz="0" w:space="0" w:color="auto"/>
        <w:right w:val="none" w:sz="0" w:space="0" w:color="auto"/>
      </w:divBdr>
    </w:div>
    <w:div w:id="1949658081">
      <w:marLeft w:val="0"/>
      <w:marRight w:val="0"/>
      <w:marTop w:val="0"/>
      <w:marBottom w:val="0"/>
      <w:divBdr>
        <w:top w:val="none" w:sz="0" w:space="0" w:color="auto"/>
        <w:left w:val="none" w:sz="0" w:space="0" w:color="auto"/>
        <w:bottom w:val="none" w:sz="0" w:space="0" w:color="auto"/>
        <w:right w:val="none" w:sz="0" w:space="0" w:color="auto"/>
      </w:divBdr>
    </w:div>
    <w:div w:id="1949658082">
      <w:marLeft w:val="0"/>
      <w:marRight w:val="0"/>
      <w:marTop w:val="0"/>
      <w:marBottom w:val="0"/>
      <w:divBdr>
        <w:top w:val="none" w:sz="0" w:space="0" w:color="auto"/>
        <w:left w:val="none" w:sz="0" w:space="0" w:color="auto"/>
        <w:bottom w:val="none" w:sz="0" w:space="0" w:color="auto"/>
        <w:right w:val="none" w:sz="0" w:space="0" w:color="auto"/>
      </w:divBdr>
    </w:div>
    <w:div w:id="1949658083">
      <w:marLeft w:val="0"/>
      <w:marRight w:val="0"/>
      <w:marTop w:val="0"/>
      <w:marBottom w:val="0"/>
      <w:divBdr>
        <w:top w:val="none" w:sz="0" w:space="0" w:color="auto"/>
        <w:left w:val="none" w:sz="0" w:space="0" w:color="auto"/>
        <w:bottom w:val="none" w:sz="0" w:space="0" w:color="auto"/>
        <w:right w:val="none" w:sz="0" w:space="0" w:color="auto"/>
      </w:divBdr>
    </w:div>
    <w:div w:id="1949658084">
      <w:marLeft w:val="0"/>
      <w:marRight w:val="0"/>
      <w:marTop w:val="0"/>
      <w:marBottom w:val="0"/>
      <w:divBdr>
        <w:top w:val="none" w:sz="0" w:space="0" w:color="auto"/>
        <w:left w:val="none" w:sz="0" w:space="0" w:color="auto"/>
        <w:bottom w:val="none" w:sz="0" w:space="0" w:color="auto"/>
        <w:right w:val="none" w:sz="0" w:space="0" w:color="auto"/>
      </w:divBdr>
    </w:div>
    <w:div w:id="1949658086">
      <w:marLeft w:val="0"/>
      <w:marRight w:val="0"/>
      <w:marTop w:val="0"/>
      <w:marBottom w:val="0"/>
      <w:divBdr>
        <w:top w:val="none" w:sz="0" w:space="0" w:color="auto"/>
        <w:left w:val="none" w:sz="0" w:space="0" w:color="auto"/>
        <w:bottom w:val="none" w:sz="0" w:space="0" w:color="auto"/>
        <w:right w:val="none" w:sz="0" w:space="0" w:color="auto"/>
      </w:divBdr>
    </w:div>
    <w:div w:id="1949658087">
      <w:marLeft w:val="0"/>
      <w:marRight w:val="0"/>
      <w:marTop w:val="0"/>
      <w:marBottom w:val="0"/>
      <w:divBdr>
        <w:top w:val="none" w:sz="0" w:space="0" w:color="auto"/>
        <w:left w:val="none" w:sz="0" w:space="0" w:color="auto"/>
        <w:bottom w:val="none" w:sz="0" w:space="0" w:color="auto"/>
        <w:right w:val="none" w:sz="0" w:space="0" w:color="auto"/>
      </w:divBdr>
    </w:div>
    <w:div w:id="1949658090">
      <w:marLeft w:val="0"/>
      <w:marRight w:val="0"/>
      <w:marTop w:val="0"/>
      <w:marBottom w:val="0"/>
      <w:divBdr>
        <w:top w:val="none" w:sz="0" w:space="0" w:color="auto"/>
        <w:left w:val="none" w:sz="0" w:space="0" w:color="auto"/>
        <w:bottom w:val="none" w:sz="0" w:space="0" w:color="auto"/>
        <w:right w:val="none" w:sz="0" w:space="0" w:color="auto"/>
      </w:divBdr>
    </w:div>
    <w:div w:id="1949658093">
      <w:marLeft w:val="0"/>
      <w:marRight w:val="0"/>
      <w:marTop w:val="0"/>
      <w:marBottom w:val="0"/>
      <w:divBdr>
        <w:top w:val="none" w:sz="0" w:space="0" w:color="auto"/>
        <w:left w:val="none" w:sz="0" w:space="0" w:color="auto"/>
        <w:bottom w:val="none" w:sz="0" w:space="0" w:color="auto"/>
        <w:right w:val="none" w:sz="0" w:space="0" w:color="auto"/>
      </w:divBdr>
    </w:div>
    <w:div w:id="1949658094">
      <w:marLeft w:val="0"/>
      <w:marRight w:val="0"/>
      <w:marTop w:val="0"/>
      <w:marBottom w:val="0"/>
      <w:divBdr>
        <w:top w:val="none" w:sz="0" w:space="0" w:color="auto"/>
        <w:left w:val="none" w:sz="0" w:space="0" w:color="auto"/>
        <w:bottom w:val="none" w:sz="0" w:space="0" w:color="auto"/>
        <w:right w:val="none" w:sz="0" w:space="0" w:color="auto"/>
      </w:divBdr>
    </w:div>
    <w:div w:id="1949658095">
      <w:marLeft w:val="0"/>
      <w:marRight w:val="0"/>
      <w:marTop w:val="0"/>
      <w:marBottom w:val="0"/>
      <w:divBdr>
        <w:top w:val="none" w:sz="0" w:space="0" w:color="auto"/>
        <w:left w:val="none" w:sz="0" w:space="0" w:color="auto"/>
        <w:bottom w:val="none" w:sz="0" w:space="0" w:color="auto"/>
        <w:right w:val="none" w:sz="0" w:space="0" w:color="auto"/>
      </w:divBdr>
    </w:div>
    <w:div w:id="1949658096">
      <w:marLeft w:val="0"/>
      <w:marRight w:val="0"/>
      <w:marTop w:val="0"/>
      <w:marBottom w:val="0"/>
      <w:divBdr>
        <w:top w:val="none" w:sz="0" w:space="0" w:color="auto"/>
        <w:left w:val="none" w:sz="0" w:space="0" w:color="auto"/>
        <w:bottom w:val="none" w:sz="0" w:space="0" w:color="auto"/>
        <w:right w:val="none" w:sz="0" w:space="0" w:color="auto"/>
      </w:divBdr>
    </w:div>
    <w:div w:id="1949658097">
      <w:marLeft w:val="0"/>
      <w:marRight w:val="0"/>
      <w:marTop w:val="0"/>
      <w:marBottom w:val="0"/>
      <w:divBdr>
        <w:top w:val="none" w:sz="0" w:space="0" w:color="auto"/>
        <w:left w:val="none" w:sz="0" w:space="0" w:color="auto"/>
        <w:bottom w:val="none" w:sz="0" w:space="0" w:color="auto"/>
        <w:right w:val="none" w:sz="0" w:space="0" w:color="auto"/>
      </w:divBdr>
    </w:div>
    <w:div w:id="1949658100">
      <w:marLeft w:val="0"/>
      <w:marRight w:val="0"/>
      <w:marTop w:val="0"/>
      <w:marBottom w:val="0"/>
      <w:divBdr>
        <w:top w:val="none" w:sz="0" w:space="0" w:color="auto"/>
        <w:left w:val="none" w:sz="0" w:space="0" w:color="auto"/>
        <w:bottom w:val="none" w:sz="0" w:space="0" w:color="auto"/>
        <w:right w:val="none" w:sz="0" w:space="0" w:color="auto"/>
      </w:divBdr>
    </w:div>
    <w:div w:id="1949658101">
      <w:marLeft w:val="0"/>
      <w:marRight w:val="0"/>
      <w:marTop w:val="0"/>
      <w:marBottom w:val="0"/>
      <w:divBdr>
        <w:top w:val="none" w:sz="0" w:space="0" w:color="auto"/>
        <w:left w:val="none" w:sz="0" w:space="0" w:color="auto"/>
        <w:bottom w:val="none" w:sz="0" w:space="0" w:color="auto"/>
        <w:right w:val="none" w:sz="0" w:space="0" w:color="auto"/>
      </w:divBdr>
    </w:div>
    <w:div w:id="1949658102">
      <w:marLeft w:val="0"/>
      <w:marRight w:val="0"/>
      <w:marTop w:val="0"/>
      <w:marBottom w:val="0"/>
      <w:divBdr>
        <w:top w:val="none" w:sz="0" w:space="0" w:color="auto"/>
        <w:left w:val="none" w:sz="0" w:space="0" w:color="auto"/>
        <w:bottom w:val="none" w:sz="0" w:space="0" w:color="auto"/>
        <w:right w:val="none" w:sz="0" w:space="0" w:color="auto"/>
      </w:divBdr>
    </w:div>
    <w:div w:id="1949658104">
      <w:marLeft w:val="0"/>
      <w:marRight w:val="0"/>
      <w:marTop w:val="0"/>
      <w:marBottom w:val="0"/>
      <w:divBdr>
        <w:top w:val="none" w:sz="0" w:space="0" w:color="auto"/>
        <w:left w:val="none" w:sz="0" w:space="0" w:color="auto"/>
        <w:bottom w:val="none" w:sz="0" w:space="0" w:color="auto"/>
        <w:right w:val="none" w:sz="0" w:space="0" w:color="auto"/>
      </w:divBdr>
    </w:div>
    <w:div w:id="1949658106">
      <w:marLeft w:val="0"/>
      <w:marRight w:val="0"/>
      <w:marTop w:val="0"/>
      <w:marBottom w:val="0"/>
      <w:divBdr>
        <w:top w:val="none" w:sz="0" w:space="0" w:color="auto"/>
        <w:left w:val="none" w:sz="0" w:space="0" w:color="auto"/>
        <w:bottom w:val="none" w:sz="0" w:space="0" w:color="auto"/>
        <w:right w:val="none" w:sz="0" w:space="0" w:color="auto"/>
      </w:divBdr>
      <w:divsChild>
        <w:div w:id="1949658092">
          <w:marLeft w:val="1440"/>
          <w:marRight w:val="1440"/>
          <w:marTop w:val="1440"/>
          <w:marBottom w:val="1440"/>
          <w:divBdr>
            <w:top w:val="none" w:sz="0" w:space="0" w:color="auto"/>
            <w:left w:val="none" w:sz="0" w:space="0" w:color="auto"/>
            <w:bottom w:val="none" w:sz="0" w:space="0" w:color="auto"/>
            <w:right w:val="none" w:sz="0" w:space="0" w:color="auto"/>
          </w:divBdr>
        </w:div>
      </w:divsChild>
    </w:div>
    <w:div w:id="1949658107">
      <w:marLeft w:val="0"/>
      <w:marRight w:val="0"/>
      <w:marTop w:val="0"/>
      <w:marBottom w:val="0"/>
      <w:divBdr>
        <w:top w:val="none" w:sz="0" w:space="0" w:color="auto"/>
        <w:left w:val="none" w:sz="0" w:space="0" w:color="auto"/>
        <w:bottom w:val="none" w:sz="0" w:space="0" w:color="auto"/>
        <w:right w:val="none" w:sz="0" w:space="0" w:color="auto"/>
      </w:divBdr>
    </w:div>
    <w:div w:id="1949658109">
      <w:marLeft w:val="0"/>
      <w:marRight w:val="0"/>
      <w:marTop w:val="0"/>
      <w:marBottom w:val="0"/>
      <w:divBdr>
        <w:top w:val="none" w:sz="0" w:space="0" w:color="auto"/>
        <w:left w:val="none" w:sz="0" w:space="0" w:color="auto"/>
        <w:bottom w:val="none" w:sz="0" w:space="0" w:color="auto"/>
        <w:right w:val="none" w:sz="0" w:space="0" w:color="auto"/>
      </w:divBdr>
    </w:div>
    <w:div w:id="1949658112">
      <w:marLeft w:val="0"/>
      <w:marRight w:val="0"/>
      <w:marTop w:val="0"/>
      <w:marBottom w:val="0"/>
      <w:divBdr>
        <w:top w:val="none" w:sz="0" w:space="0" w:color="auto"/>
        <w:left w:val="none" w:sz="0" w:space="0" w:color="auto"/>
        <w:bottom w:val="none" w:sz="0" w:space="0" w:color="auto"/>
        <w:right w:val="none" w:sz="0" w:space="0" w:color="auto"/>
      </w:divBdr>
    </w:div>
    <w:div w:id="1949658113">
      <w:marLeft w:val="0"/>
      <w:marRight w:val="0"/>
      <w:marTop w:val="0"/>
      <w:marBottom w:val="0"/>
      <w:divBdr>
        <w:top w:val="none" w:sz="0" w:space="0" w:color="auto"/>
        <w:left w:val="none" w:sz="0" w:space="0" w:color="auto"/>
        <w:bottom w:val="none" w:sz="0" w:space="0" w:color="auto"/>
        <w:right w:val="none" w:sz="0" w:space="0" w:color="auto"/>
      </w:divBdr>
      <w:divsChild>
        <w:div w:id="1949658133">
          <w:marLeft w:val="1440"/>
          <w:marRight w:val="1440"/>
          <w:marTop w:val="1440"/>
          <w:marBottom w:val="1440"/>
          <w:divBdr>
            <w:top w:val="none" w:sz="0" w:space="0" w:color="auto"/>
            <w:left w:val="none" w:sz="0" w:space="0" w:color="auto"/>
            <w:bottom w:val="none" w:sz="0" w:space="0" w:color="auto"/>
            <w:right w:val="none" w:sz="0" w:space="0" w:color="auto"/>
          </w:divBdr>
        </w:div>
      </w:divsChild>
    </w:div>
    <w:div w:id="1949658114">
      <w:marLeft w:val="0"/>
      <w:marRight w:val="0"/>
      <w:marTop w:val="0"/>
      <w:marBottom w:val="0"/>
      <w:divBdr>
        <w:top w:val="none" w:sz="0" w:space="0" w:color="auto"/>
        <w:left w:val="none" w:sz="0" w:space="0" w:color="auto"/>
        <w:bottom w:val="none" w:sz="0" w:space="0" w:color="auto"/>
        <w:right w:val="none" w:sz="0" w:space="0" w:color="auto"/>
      </w:divBdr>
    </w:div>
    <w:div w:id="1949658115">
      <w:marLeft w:val="0"/>
      <w:marRight w:val="0"/>
      <w:marTop w:val="0"/>
      <w:marBottom w:val="0"/>
      <w:divBdr>
        <w:top w:val="none" w:sz="0" w:space="0" w:color="auto"/>
        <w:left w:val="none" w:sz="0" w:space="0" w:color="auto"/>
        <w:bottom w:val="none" w:sz="0" w:space="0" w:color="auto"/>
        <w:right w:val="none" w:sz="0" w:space="0" w:color="auto"/>
      </w:divBdr>
    </w:div>
    <w:div w:id="1949658117">
      <w:marLeft w:val="0"/>
      <w:marRight w:val="0"/>
      <w:marTop w:val="0"/>
      <w:marBottom w:val="0"/>
      <w:divBdr>
        <w:top w:val="none" w:sz="0" w:space="0" w:color="auto"/>
        <w:left w:val="none" w:sz="0" w:space="0" w:color="auto"/>
        <w:bottom w:val="none" w:sz="0" w:space="0" w:color="auto"/>
        <w:right w:val="none" w:sz="0" w:space="0" w:color="auto"/>
      </w:divBdr>
    </w:div>
    <w:div w:id="1949658118">
      <w:marLeft w:val="0"/>
      <w:marRight w:val="0"/>
      <w:marTop w:val="0"/>
      <w:marBottom w:val="0"/>
      <w:divBdr>
        <w:top w:val="none" w:sz="0" w:space="0" w:color="auto"/>
        <w:left w:val="none" w:sz="0" w:space="0" w:color="auto"/>
        <w:bottom w:val="none" w:sz="0" w:space="0" w:color="auto"/>
        <w:right w:val="none" w:sz="0" w:space="0" w:color="auto"/>
      </w:divBdr>
      <w:divsChild>
        <w:div w:id="1949658088">
          <w:marLeft w:val="446"/>
          <w:marRight w:val="0"/>
          <w:marTop w:val="0"/>
          <w:marBottom w:val="0"/>
          <w:divBdr>
            <w:top w:val="none" w:sz="0" w:space="0" w:color="auto"/>
            <w:left w:val="none" w:sz="0" w:space="0" w:color="auto"/>
            <w:bottom w:val="none" w:sz="0" w:space="0" w:color="auto"/>
            <w:right w:val="none" w:sz="0" w:space="0" w:color="auto"/>
          </w:divBdr>
        </w:div>
        <w:div w:id="1949658091">
          <w:marLeft w:val="446"/>
          <w:marRight w:val="0"/>
          <w:marTop w:val="0"/>
          <w:marBottom w:val="0"/>
          <w:divBdr>
            <w:top w:val="none" w:sz="0" w:space="0" w:color="auto"/>
            <w:left w:val="none" w:sz="0" w:space="0" w:color="auto"/>
            <w:bottom w:val="none" w:sz="0" w:space="0" w:color="auto"/>
            <w:right w:val="none" w:sz="0" w:space="0" w:color="auto"/>
          </w:divBdr>
        </w:div>
        <w:div w:id="1949658105">
          <w:marLeft w:val="446"/>
          <w:marRight w:val="0"/>
          <w:marTop w:val="0"/>
          <w:marBottom w:val="0"/>
          <w:divBdr>
            <w:top w:val="none" w:sz="0" w:space="0" w:color="auto"/>
            <w:left w:val="none" w:sz="0" w:space="0" w:color="auto"/>
            <w:bottom w:val="none" w:sz="0" w:space="0" w:color="auto"/>
            <w:right w:val="none" w:sz="0" w:space="0" w:color="auto"/>
          </w:divBdr>
        </w:div>
        <w:div w:id="1949658111">
          <w:marLeft w:val="446"/>
          <w:marRight w:val="0"/>
          <w:marTop w:val="0"/>
          <w:marBottom w:val="0"/>
          <w:divBdr>
            <w:top w:val="none" w:sz="0" w:space="0" w:color="auto"/>
            <w:left w:val="none" w:sz="0" w:space="0" w:color="auto"/>
            <w:bottom w:val="none" w:sz="0" w:space="0" w:color="auto"/>
            <w:right w:val="none" w:sz="0" w:space="0" w:color="auto"/>
          </w:divBdr>
        </w:div>
        <w:div w:id="1949658120">
          <w:marLeft w:val="446"/>
          <w:marRight w:val="0"/>
          <w:marTop w:val="0"/>
          <w:marBottom w:val="0"/>
          <w:divBdr>
            <w:top w:val="none" w:sz="0" w:space="0" w:color="auto"/>
            <w:left w:val="none" w:sz="0" w:space="0" w:color="auto"/>
            <w:bottom w:val="none" w:sz="0" w:space="0" w:color="auto"/>
            <w:right w:val="none" w:sz="0" w:space="0" w:color="auto"/>
          </w:divBdr>
        </w:div>
        <w:div w:id="1949658123">
          <w:marLeft w:val="446"/>
          <w:marRight w:val="0"/>
          <w:marTop w:val="0"/>
          <w:marBottom w:val="0"/>
          <w:divBdr>
            <w:top w:val="none" w:sz="0" w:space="0" w:color="auto"/>
            <w:left w:val="none" w:sz="0" w:space="0" w:color="auto"/>
            <w:bottom w:val="none" w:sz="0" w:space="0" w:color="auto"/>
            <w:right w:val="none" w:sz="0" w:space="0" w:color="auto"/>
          </w:divBdr>
        </w:div>
        <w:div w:id="1949658124">
          <w:marLeft w:val="446"/>
          <w:marRight w:val="0"/>
          <w:marTop w:val="0"/>
          <w:marBottom w:val="0"/>
          <w:divBdr>
            <w:top w:val="none" w:sz="0" w:space="0" w:color="auto"/>
            <w:left w:val="none" w:sz="0" w:space="0" w:color="auto"/>
            <w:bottom w:val="none" w:sz="0" w:space="0" w:color="auto"/>
            <w:right w:val="none" w:sz="0" w:space="0" w:color="auto"/>
          </w:divBdr>
        </w:div>
        <w:div w:id="1949658125">
          <w:marLeft w:val="446"/>
          <w:marRight w:val="0"/>
          <w:marTop w:val="0"/>
          <w:marBottom w:val="0"/>
          <w:divBdr>
            <w:top w:val="none" w:sz="0" w:space="0" w:color="auto"/>
            <w:left w:val="none" w:sz="0" w:space="0" w:color="auto"/>
            <w:bottom w:val="none" w:sz="0" w:space="0" w:color="auto"/>
            <w:right w:val="none" w:sz="0" w:space="0" w:color="auto"/>
          </w:divBdr>
        </w:div>
        <w:div w:id="1949658129">
          <w:marLeft w:val="446"/>
          <w:marRight w:val="0"/>
          <w:marTop w:val="0"/>
          <w:marBottom w:val="0"/>
          <w:divBdr>
            <w:top w:val="none" w:sz="0" w:space="0" w:color="auto"/>
            <w:left w:val="none" w:sz="0" w:space="0" w:color="auto"/>
            <w:bottom w:val="none" w:sz="0" w:space="0" w:color="auto"/>
            <w:right w:val="none" w:sz="0" w:space="0" w:color="auto"/>
          </w:divBdr>
        </w:div>
        <w:div w:id="1949658137">
          <w:marLeft w:val="446"/>
          <w:marRight w:val="0"/>
          <w:marTop w:val="0"/>
          <w:marBottom w:val="0"/>
          <w:divBdr>
            <w:top w:val="none" w:sz="0" w:space="0" w:color="auto"/>
            <w:left w:val="none" w:sz="0" w:space="0" w:color="auto"/>
            <w:bottom w:val="none" w:sz="0" w:space="0" w:color="auto"/>
            <w:right w:val="none" w:sz="0" w:space="0" w:color="auto"/>
          </w:divBdr>
        </w:div>
      </w:divsChild>
    </w:div>
    <w:div w:id="1949658119">
      <w:marLeft w:val="0"/>
      <w:marRight w:val="0"/>
      <w:marTop w:val="0"/>
      <w:marBottom w:val="0"/>
      <w:divBdr>
        <w:top w:val="none" w:sz="0" w:space="0" w:color="auto"/>
        <w:left w:val="none" w:sz="0" w:space="0" w:color="auto"/>
        <w:bottom w:val="none" w:sz="0" w:space="0" w:color="auto"/>
        <w:right w:val="none" w:sz="0" w:space="0" w:color="auto"/>
      </w:divBdr>
    </w:div>
    <w:div w:id="1949658121">
      <w:marLeft w:val="0"/>
      <w:marRight w:val="0"/>
      <w:marTop w:val="0"/>
      <w:marBottom w:val="0"/>
      <w:divBdr>
        <w:top w:val="none" w:sz="0" w:space="0" w:color="auto"/>
        <w:left w:val="none" w:sz="0" w:space="0" w:color="auto"/>
        <w:bottom w:val="none" w:sz="0" w:space="0" w:color="auto"/>
        <w:right w:val="none" w:sz="0" w:space="0" w:color="auto"/>
      </w:divBdr>
    </w:div>
    <w:div w:id="1949658122">
      <w:marLeft w:val="0"/>
      <w:marRight w:val="0"/>
      <w:marTop w:val="0"/>
      <w:marBottom w:val="0"/>
      <w:divBdr>
        <w:top w:val="none" w:sz="0" w:space="0" w:color="auto"/>
        <w:left w:val="none" w:sz="0" w:space="0" w:color="auto"/>
        <w:bottom w:val="none" w:sz="0" w:space="0" w:color="auto"/>
        <w:right w:val="none" w:sz="0" w:space="0" w:color="auto"/>
      </w:divBdr>
    </w:div>
    <w:div w:id="1949658127">
      <w:marLeft w:val="0"/>
      <w:marRight w:val="0"/>
      <w:marTop w:val="0"/>
      <w:marBottom w:val="0"/>
      <w:divBdr>
        <w:top w:val="none" w:sz="0" w:space="0" w:color="auto"/>
        <w:left w:val="none" w:sz="0" w:space="0" w:color="auto"/>
        <w:bottom w:val="none" w:sz="0" w:space="0" w:color="auto"/>
        <w:right w:val="none" w:sz="0" w:space="0" w:color="auto"/>
      </w:divBdr>
    </w:div>
    <w:div w:id="1949658128">
      <w:marLeft w:val="0"/>
      <w:marRight w:val="0"/>
      <w:marTop w:val="0"/>
      <w:marBottom w:val="0"/>
      <w:divBdr>
        <w:top w:val="none" w:sz="0" w:space="0" w:color="auto"/>
        <w:left w:val="none" w:sz="0" w:space="0" w:color="auto"/>
        <w:bottom w:val="none" w:sz="0" w:space="0" w:color="auto"/>
        <w:right w:val="none" w:sz="0" w:space="0" w:color="auto"/>
      </w:divBdr>
    </w:div>
    <w:div w:id="1949658130">
      <w:marLeft w:val="0"/>
      <w:marRight w:val="0"/>
      <w:marTop w:val="0"/>
      <w:marBottom w:val="0"/>
      <w:divBdr>
        <w:top w:val="none" w:sz="0" w:space="0" w:color="auto"/>
        <w:left w:val="none" w:sz="0" w:space="0" w:color="auto"/>
        <w:bottom w:val="none" w:sz="0" w:space="0" w:color="auto"/>
        <w:right w:val="none" w:sz="0" w:space="0" w:color="auto"/>
      </w:divBdr>
    </w:div>
    <w:div w:id="1949658131">
      <w:marLeft w:val="0"/>
      <w:marRight w:val="0"/>
      <w:marTop w:val="0"/>
      <w:marBottom w:val="0"/>
      <w:divBdr>
        <w:top w:val="none" w:sz="0" w:space="0" w:color="auto"/>
        <w:left w:val="none" w:sz="0" w:space="0" w:color="auto"/>
        <w:bottom w:val="none" w:sz="0" w:space="0" w:color="auto"/>
        <w:right w:val="none" w:sz="0" w:space="0" w:color="auto"/>
      </w:divBdr>
      <w:divsChild>
        <w:div w:id="1949658085">
          <w:marLeft w:val="1440"/>
          <w:marRight w:val="1440"/>
          <w:marTop w:val="1440"/>
          <w:marBottom w:val="1440"/>
          <w:divBdr>
            <w:top w:val="none" w:sz="0" w:space="0" w:color="auto"/>
            <w:left w:val="none" w:sz="0" w:space="0" w:color="auto"/>
            <w:bottom w:val="none" w:sz="0" w:space="0" w:color="auto"/>
            <w:right w:val="none" w:sz="0" w:space="0" w:color="auto"/>
          </w:divBdr>
        </w:div>
      </w:divsChild>
    </w:div>
    <w:div w:id="1949658132">
      <w:marLeft w:val="0"/>
      <w:marRight w:val="0"/>
      <w:marTop w:val="0"/>
      <w:marBottom w:val="0"/>
      <w:divBdr>
        <w:top w:val="none" w:sz="0" w:space="0" w:color="auto"/>
        <w:left w:val="none" w:sz="0" w:space="0" w:color="auto"/>
        <w:bottom w:val="none" w:sz="0" w:space="0" w:color="auto"/>
        <w:right w:val="none" w:sz="0" w:space="0" w:color="auto"/>
      </w:divBdr>
    </w:div>
    <w:div w:id="1949658134">
      <w:marLeft w:val="0"/>
      <w:marRight w:val="0"/>
      <w:marTop w:val="0"/>
      <w:marBottom w:val="0"/>
      <w:divBdr>
        <w:top w:val="none" w:sz="0" w:space="0" w:color="auto"/>
        <w:left w:val="none" w:sz="0" w:space="0" w:color="auto"/>
        <w:bottom w:val="none" w:sz="0" w:space="0" w:color="auto"/>
        <w:right w:val="none" w:sz="0" w:space="0" w:color="auto"/>
      </w:divBdr>
    </w:div>
    <w:div w:id="1949658136">
      <w:marLeft w:val="0"/>
      <w:marRight w:val="0"/>
      <w:marTop w:val="0"/>
      <w:marBottom w:val="0"/>
      <w:divBdr>
        <w:top w:val="none" w:sz="0" w:space="0" w:color="auto"/>
        <w:left w:val="none" w:sz="0" w:space="0" w:color="auto"/>
        <w:bottom w:val="none" w:sz="0" w:space="0" w:color="auto"/>
        <w:right w:val="none" w:sz="0" w:space="0" w:color="auto"/>
      </w:divBdr>
      <w:divsChild>
        <w:div w:id="1949658089">
          <w:marLeft w:val="446"/>
          <w:marRight w:val="0"/>
          <w:marTop w:val="0"/>
          <w:marBottom w:val="0"/>
          <w:divBdr>
            <w:top w:val="none" w:sz="0" w:space="0" w:color="auto"/>
            <w:left w:val="none" w:sz="0" w:space="0" w:color="auto"/>
            <w:bottom w:val="none" w:sz="0" w:space="0" w:color="auto"/>
            <w:right w:val="none" w:sz="0" w:space="0" w:color="auto"/>
          </w:divBdr>
        </w:div>
        <w:div w:id="1949658098">
          <w:marLeft w:val="446"/>
          <w:marRight w:val="0"/>
          <w:marTop w:val="0"/>
          <w:marBottom w:val="0"/>
          <w:divBdr>
            <w:top w:val="none" w:sz="0" w:space="0" w:color="auto"/>
            <w:left w:val="none" w:sz="0" w:space="0" w:color="auto"/>
            <w:bottom w:val="none" w:sz="0" w:space="0" w:color="auto"/>
            <w:right w:val="none" w:sz="0" w:space="0" w:color="auto"/>
          </w:divBdr>
        </w:div>
        <w:div w:id="1949658099">
          <w:marLeft w:val="446"/>
          <w:marRight w:val="0"/>
          <w:marTop w:val="0"/>
          <w:marBottom w:val="0"/>
          <w:divBdr>
            <w:top w:val="none" w:sz="0" w:space="0" w:color="auto"/>
            <w:left w:val="none" w:sz="0" w:space="0" w:color="auto"/>
            <w:bottom w:val="none" w:sz="0" w:space="0" w:color="auto"/>
            <w:right w:val="none" w:sz="0" w:space="0" w:color="auto"/>
          </w:divBdr>
        </w:div>
        <w:div w:id="1949658103">
          <w:marLeft w:val="446"/>
          <w:marRight w:val="0"/>
          <w:marTop w:val="0"/>
          <w:marBottom w:val="0"/>
          <w:divBdr>
            <w:top w:val="none" w:sz="0" w:space="0" w:color="auto"/>
            <w:left w:val="none" w:sz="0" w:space="0" w:color="auto"/>
            <w:bottom w:val="none" w:sz="0" w:space="0" w:color="auto"/>
            <w:right w:val="none" w:sz="0" w:space="0" w:color="auto"/>
          </w:divBdr>
        </w:div>
        <w:div w:id="1949658108">
          <w:marLeft w:val="446"/>
          <w:marRight w:val="0"/>
          <w:marTop w:val="0"/>
          <w:marBottom w:val="0"/>
          <w:divBdr>
            <w:top w:val="none" w:sz="0" w:space="0" w:color="auto"/>
            <w:left w:val="none" w:sz="0" w:space="0" w:color="auto"/>
            <w:bottom w:val="none" w:sz="0" w:space="0" w:color="auto"/>
            <w:right w:val="none" w:sz="0" w:space="0" w:color="auto"/>
          </w:divBdr>
        </w:div>
        <w:div w:id="1949658110">
          <w:marLeft w:val="446"/>
          <w:marRight w:val="0"/>
          <w:marTop w:val="0"/>
          <w:marBottom w:val="0"/>
          <w:divBdr>
            <w:top w:val="none" w:sz="0" w:space="0" w:color="auto"/>
            <w:left w:val="none" w:sz="0" w:space="0" w:color="auto"/>
            <w:bottom w:val="none" w:sz="0" w:space="0" w:color="auto"/>
            <w:right w:val="none" w:sz="0" w:space="0" w:color="auto"/>
          </w:divBdr>
        </w:div>
        <w:div w:id="1949658116">
          <w:marLeft w:val="446"/>
          <w:marRight w:val="0"/>
          <w:marTop w:val="0"/>
          <w:marBottom w:val="0"/>
          <w:divBdr>
            <w:top w:val="none" w:sz="0" w:space="0" w:color="auto"/>
            <w:left w:val="none" w:sz="0" w:space="0" w:color="auto"/>
            <w:bottom w:val="none" w:sz="0" w:space="0" w:color="auto"/>
            <w:right w:val="none" w:sz="0" w:space="0" w:color="auto"/>
          </w:divBdr>
        </w:div>
        <w:div w:id="1949658126">
          <w:marLeft w:val="446"/>
          <w:marRight w:val="0"/>
          <w:marTop w:val="0"/>
          <w:marBottom w:val="0"/>
          <w:divBdr>
            <w:top w:val="none" w:sz="0" w:space="0" w:color="auto"/>
            <w:left w:val="none" w:sz="0" w:space="0" w:color="auto"/>
            <w:bottom w:val="none" w:sz="0" w:space="0" w:color="auto"/>
            <w:right w:val="none" w:sz="0" w:space="0" w:color="auto"/>
          </w:divBdr>
        </w:div>
        <w:div w:id="1949658135">
          <w:marLeft w:val="446"/>
          <w:marRight w:val="0"/>
          <w:marTop w:val="0"/>
          <w:marBottom w:val="0"/>
          <w:divBdr>
            <w:top w:val="none" w:sz="0" w:space="0" w:color="auto"/>
            <w:left w:val="none" w:sz="0" w:space="0" w:color="auto"/>
            <w:bottom w:val="none" w:sz="0" w:space="0" w:color="auto"/>
            <w:right w:val="none" w:sz="0" w:space="0" w:color="auto"/>
          </w:divBdr>
        </w:div>
        <w:div w:id="1949658143">
          <w:marLeft w:val="446"/>
          <w:marRight w:val="0"/>
          <w:marTop w:val="0"/>
          <w:marBottom w:val="0"/>
          <w:divBdr>
            <w:top w:val="none" w:sz="0" w:space="0" w:color="auto"/>
            <w:left w:val="none" w:sz="0" w:space="0" w:color="auto"/>
            <w:bottom w:val="none" w:sz="0" w:space="0" w:color="auto"/>
            <w:right w:val="none" w:sz="0" w:space="0" w:color="auto"/>
          </w:divBdr>
        </w:div>
      </w:divsChild>
    </w:div>
    <w:div w:id="1949658138">
      <w:marLeft w:val="0"/>
      <w:marRight w:val="0"/>
      <w:marTop w:val="0"/>
      <w:marBottom w:val="0"/>
      <w:divBdr>
        <w:top w:val="none" w:sz="0" w:space="0" w:color="auto"/>
        <w:left w:val="none" w:sz="0" w:space="0" w:color="auto"/>
        <w:bottom w:val="none" w:sz="0" w:space="0" w:color="auto"/>
        <w:right w:val="none" w:sz="0" w:space="0" w:color="auto"/>
      </w:divBdr>
    </w:div>
    <w:div w:id="1949658139">
      <w:marLeft w:val="0"/>
      <w:marRight w:val="0"/>
      <w:marTop w:val="0"/>
      <w:marBottom w:val="0"/>
      <w:divBdr>
        <w:top w:val="none" w:sz="0" w:space="0" w:color="auto"/>
        <w:left w:val="none" w:sz="0" w:space="0" w:color="auto"/>
        <w:bottom w:val="none" w:sz="0" w:space="0" w:color="auto"/>
        <w:right w:val="none" w:sz="0" w:space="0" w:color="auto"/>
      </w:divBdr>
    </w:div>
    <w:div w:id="1949658140">
      <w:marLeft w:val="0"/>
      <w:marRight w:val="0"/>
      <w:marTop w:val="0"/>
      <w:marBottom w:val="0"/>
      <w:divBdr>
        <w:top w:val="none" w:sz="0" w:space="0" w:color="auto"/>
        <w:left w:val="none" w:sz="0" w:space="0" w:color="auto"/>
        <w:bottom w:val="none" w:sz="0" w:space="0" w:color="auto"/>
        <w:right w:val="none" w:sz="0" w:space="0" w:color="auto"/>
      </w:divBdr>
    </w:div>
    <w:div w:id="1949658141">
      <w:marLeft w:val="0"/>
      <w:marRight w:val="0"/>
      <w:marTop w:val="0"/>
      <w:marBottom w:val="0"/>
      <w:divBdr>
        <w:top w:val="none" w:sz="0" w:space="0" w:color="auto"/>
        <w:left w:val="none" w:sz="0" w:space="0" w:color="auto"/>
        <w:bottom w:val="none" w:sz="0" w:space="0" w:color="auto"/>
        <w:right w:val="none" w:sz="0" w:space="0" w:color="auto"/>
      </w:divBdr>
    </w:div>
    <w:div w:id="1949658142">
      <w:marLeft w:val="0"/>
      <w:marRight w:val="0"/>
      <w:marTop w:val="0"/>
      <w:marBottom w:val="0"/>
      <w:divBdr>
        <w:top w:val="none" w:sz="0" w:space="0" w:color="auto"/>
        <w:left w:val="none" w:sz="0" w:space="0" w:color="auto"/>
        <w:bottom w:val="none" w:sz="0" w:space="0" w:color="auto"/>
        <w:right w:val="none" w:sz="0" w:space="0" w:color="auto"/>
      </w:divBdr>
    </w:div>
    <w:div w:id="1949658144">
      <w:marLeft w:val="0"/>
      <w:marRight w:val="0"/>
      <w:marTop w:val="0"/>
      <w:marBottom w:val="0"/>
      <w:divBdr>
        <w:top w:val="none" w:sz="0" w:space="0" w:color="auto"/>
        <w:left w:val="none" w:sz="0" w:space="0" w:color="auto"/>
        <w:bottom w:val="none" w:sz="0" w:space="0" w:color="auto"/>
        <w:right w:val="none" w:sz="0" w:space="0" w:color="auto"/>
      </w:divBdr>
    </w:div>
    <w:div w:id="1949658145">
      <w:marLeft w:val="0"/>
      <w:marRight w:val="0"/>
      <w:marTop w:val="0"/>
      <w:marBottom w:val="0"/>
      <w:divBdr>
        <w:top w:val="none" w:sz="0" w:space="0" w:color="auto"/>
        <w:left w:val="none" w:sz="0" w:space="0" w:color="auto"/>
        <w:bottom w:val="none" w:sz="0" w:space="0" w:color="auto"/>
        <w:right w:val="none" w:sz="0" w:space="0" w:color="auto"/>
      </w:divBdr>
    </w:div>
    <w:div w:id="1949658146">
      <w:marLeft w:val="0"/>
      <w:marRight w:val="0"/>
      <w:marTop w:val="0"/>
      <w:marBottom w:val="0"/>
      <w:divBdr>
        <w:top w:val="none" w:sz="0" w:space="0" w:color="auto"/>
        <w:left w:val="none" w:sz="0" w:space="0" w:color="auto"/>
        <w:bottom w:val="none" w:sz="0" w:space="0" w:color="auto"/>
        <w:right w:val="none" w:sz="0" w:space="0" w:color="auto"/>
      </w:divBdr>
    </w:div>
    <w:div w:id="19496581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12</Pages>
  <Words>4064</Words>
  <Characters>23168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mccubya</cp:lastModifiedBy>
  <cp:revision>3</cp:revision>
  <dcterms:created xsi:type="dcterms:W3CDTF">2016-01-27T06:38:00Z</dcterms:created>
  <dcterms:modified xsi:type="dcterms:W3CDTF">2016-01-27T06:41:00Z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-1257150289</vt:i4>
  </property>
  <property fmtid="{D5CDD505-2E9C-101B-9397-08002B2CF9AE}" pid="3" name="_NewReviewCycle">
    <vt:lpwstr/>
  </property>
  <property fmtid="{D5CDD505-2E9C-101B-9397-08002B2CF9AE}" pid="4" name="_EmailSubject">
    <vt:lpwstr>Robin - singed off RNS</vt:lpwstr>
  </property>
  <property fmtid="{D5CDD505-2E9C-101B-9397-08002B2CF9AE}" pid="5" name="_AuthorEmail">
    <vt:lpwstr>Michael.Tylman@rbs.com</vt:lpwstr>
  </property>
  <property fmtid="{D5CDD505-2E9C-101B-9397-08002B2CF9AE}" pid="6" name="_AuthorEmailDisplayName">
    <vt:lpwstr>Tylman, Michael, Investor Relations</vt:lpwstr>
  </property>
  <property fmtid="{D5CDD505-2E9C-101B-9397-08002B2CF9AE}" pid="7" name="_ReviewingToolsShownOnce">
    <vt:lpwstr/>
  </property>
</Properties>
</file>