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C9" w:rsidRDefault="001F04C9" w:rsidP="001F04C9">
      <w:pPr>
        <w:jc w:val="both"/>
        <w:rPr>
          <w:rFonts w:ascii="Arial" w:hAnsi="Arial" w:cs="Arial"/>
          <w:sz w:val="20"/>
          <w:szCs w:val="20"/>
        </w:rPr>
      </w:pPr>
      <w:r>
        <w:rPr>
          <w:rFonts w:ascii="Arial" w:hAnsi="Arial" w:cs="Arial"/>
          <w:sz w:val="20"/>
          <w:szCs w:val="20"/>
        </w:rPr>
        <w:t>22 March 2016</w:t>
      </w:r>
    </w:p>
    <w:p w:rsidR="001F04C9" w:rsidRPr="00940D99" w:rsidRDefault="001F04C9" w:rsidP="001F04C9">
      <w:pPr>
        <w:jc w:val="both"/>
        <w:rPr>
          <w:rFonts w:ascii="Arial" w:hAnsi="Arial" w:cs="Arial"/>
          <w:b/>
          <w:sz w:val="20"/>
          <w:szCs w:val="20"/>
        </w:rPr>
      </w:pPr>
      <w:r w:rsidRPr="00940D99">
        <w:rPr>
          <w:rFonts w:ascii="Arial" w:hAnsi="Arial" w:cs="Arial"/>
          <w:b/>
          <w:sz w:val="20"/>
          <w:szCs w:val="20"/>
        </w:rPr>
        <w:t xml:space="preserve">RBS </w:t>
      </w:r>
      <w:r>
        <w:rPr>
          <w:rFonts w:ascii="Arial" w:hAnsi="Arial" w:cs="Arial"/>
          <w:b/>
          <w:sz w:val="20"/>
          <w:szCs w:val="20"/>
        </w:rPr>
        <w:t>and HMT to retire the DAS</w:t>
      </w:r>
    </w:p>
    <w:p w:rsidR="001F04C9" w:rsidRDefault="001F04C9" w:rsidP="001F04C9">
      <w:pPr>
        <w:jc w:val="both"/>
        <w:rPr>
          <w:rFonts w:ascii="Arial" w:hAnsi="Arial" w:cs="Arial"/>
          <w:sz w:val="20"/>
          <w:szCs w:val="20"/>
        </w:rPr>
      </w:pPr>
      <w:r w:rsidRPr="00940D99">
        <w:rPr>
          <w:rFonts w:ascii="Arial" w:hAnsi="Arial" w:cs="Arial"/>
          <w:sz w:val="20"/>
          <w:szCs w:val="20"/>
        </w:rPr>
        <w:t xml:space="preserve">The Royal Bank of Scotland Group plc </w:t>
      </w:r>
      <w:r>
        <w:rPr>
          <w:rFonts w:ascii="Arial" w:hAnsi="Arial" w:cs="Arial"/>
          <w:sz w:val="20"/>
          <w:szCs w:val="20"/>
        </w:rPr>
        <w:t xml:space="preserve">(‘RBS’) </w:t>
      </w:r>
      <w:r w:rsidRPr="00940D99">
        <w:rPr>
          <w:rFonts w:ascii="Arial" w:hAnsi="Arial" w:cs="Arial"/>
          <w:sz w:val="20"/>
          <w:szCs w:val="20"/>
        </w:rPr>
        <w:t>announce</w:t>
      </w:r>
      <w:r>
        <w:rPr>
          <w:rFonts w:ascii="Arial" w:hAnsi="Arial" w:cs="Arial"/>
          <w:sz w:val="20"/>
          <w:szCs w:val="20"/>
        </w:rPr>
        <w:t>s</w:t>
      </w:r>
      <w:r w:rsidRPr="00940D99">
        <w:rPr>
          <w:rFonts w:ascii="Arial" w:hAnsi="Arial" w:cs="Arial"/>
          <w:sz w:val="20"/>
          <w:szCs w:val="20"/>
        </w:rPr>
        <w:t xml:space="preserve"> </w:t>
      </w:r>
      <w:r>
        <w:rPr>
          <w:rFonts w:ascii="Arial" w:hAnsi="Arial" w:cs="Arial"/>
          <w:sz w:val="20"/>
          <w:szCs w:val="20"/>
        </w:rPr>
        <w:t xml:space="preserve">the payment today of a Dividend Access Share </w:t>
      </w:r>
      <w:r w:rsidRPr="00940D99">
        <w:rPr>
          <w:rFonts w:ascii="Arial" w:hAnsi="Arial" w:cs="Arial"/>
          <w:sz w:val="20"/>
          <w:szCs w:val="20"/>
        </w:rPr>
        <w:t>(‘DAS’</w:t>
      </w:r>
      <w:r>
        <w:rPr>
          <w:rFonts w:ascii="Arial" w:hAnsi="Arial" w:cs="Arial"/>
          <w:sz w:val="20"/>
          <w:szCs w:val="20"/>
        </w:rPr>
        <w:t xml:space="preserve">) dividend of £1.193 billion to </w:t>
      </w:r>
      <w:r w:rsidRPr="00940D99">
        <w:rPr>
          <w:rFonts w:ascii="Arial" w:hAnsi="Arial" w:cs="Arial"/>
          <w:sz w:val="20"/>
          <w:szCs w:val="20"/>
        </w:rPr>
        <w:t>Her Majesty’s Trea</w:t>
      </w:r>
      <w:r>
        <w:rPr>
          <w:rFonts w:ascii="Arial" w:hAnsi="Arial" w:cs="Arial"/>
          <w:sz w:val="20"/>
          <w:szCs w:val="20"/>
        </w:rPr>
        <w:t xml:space="preserve">sury (‘HMT’). The dividend represents the final amount payable to HMT and effects the immediate retirement of the DAS. </w:t>
      </w:r>
    </w:p>
    <w:p w:rsidR="001F04C9" w:rsidRDefault="001F04C9" w:rsidP="001F04C9">
      <w:pPr>
        <w:jc w:val="both"/>
        <w:rPr>
          <w:rFonts w:ascii="Arial" w:hAnsi="Arial" w:cs="Arial"/>
          <w:sz w:val="20"/>
          <w:szCs w:val="20"/>
        </w:rPr>
      </w:pPr>
      <w:r>
        <w:rPr>
          <w:rFonts w:ascii="Arial" w:hAnsi="Arial" w:cs="Arial"/>
          <w:sz w:val="20"/>
          <w:szCs w:val="20"/>
        </w:rPr>
        <w:t>This dividend payment will be reflected in our first quarter 2016 financial statements, reducing Tangible Net Asset</w:t>
      </w:r>
      <w:r w:rsidR="003A3015">
        <w:rPr>
          <w:rFonts w:ascii="Arial" w:hAnsi="Arial" w:cs="Arial"/>
          <w:sz w:val="20"/>
          <w:szCs w:val="20"/>
        </w:rPr>
        <w:t xml:space="preserve"> Value</w:t>
      </w:r>
      <w:r>
        <w:rPr>
          <w:rFonts w:ascii="Arial" w:hAnsi="Arial" w:cs="Arial"/>
          <w:sz w:val="20"/>
          <w:szCs w:val="20"/>
        </w:rPr>
        <w:t xml:space="preserve"> per share by approximately 10 pence</w:t>
      </w:r>
      <w:r w:rsidR="003A3015">
        <w:rPr>
          <w:rFonts w:ascii="Arial" w:hAnsi="Arial" w:cs="Arial"/>
          <w:sz w:val="20"/>
          <w:szCs w:val="20"/>
        </w:rPr>
        <w:t>. The equivalent Common</w:t>
      </w:r>
      <w:r w:rsidR="00263D32">
        <w:rPr>
          <w:rFonts w:ascii="Arial" w:hAnsi="Arial" w:cs="Arial"/>
          <w:sz w:val="20"/>
          <w:szCs w:val="20"/>
        </w:rPr>
        <w:t xml:space="preserve"> Equity Tier 1 impact as at FY 2015 would have been c.</w:t>
      </w:r>
      <w:r w:rsidR="00790299">
        <w:rPr>
          <w:rFonts w:ascii="Arial" w:hAnsi="Arial" w:cs="Arial"/>
          <w:sz w:val="20"/>
          <w:szCs w:val="20"/>
        </w:rPr>
        <w:t>50bps</w:t>
      </w:r>
      <w:r>
        <w:rPr>
          <w:rFonts w:ascii="Arial" w:hAnsi="Arial" w:cs="Arial"/>
          <w:sz w:val="20"/>
          <w:szCs w:val="20"/>
        </w:rPr>
        <w:t xml:space="preserve">. </w:t>
      </w:r>
    </w:p>
    <w:p w:rsidR="001F04C9" w:rsidRDefault="001F04C9" w:rsidP="001F04C9">
      <w:pPr>
        <w:rPr>
          <w:rFonts w:ascii="Arial" w:hAnsi="Arial" w:cs="Arial"/>
          <w:sz w:val="20"/>
          <w:szCs w:val="20"/>
        </w:rPr>
      </w:pPr>
      <w:r>
        <w:rPr>
          <w:rFonts w:ascii="Arial" w:hAnsi="Arial" w:cs="Arial"/>
          <w:sz w:val="20"/>
          <w:szCs w:val="20"/>
        </w:rPr>
        <w:t>On retirement, the DAS will be re-designated as a single B share which will be subsequently cancelled.</w:t>
      </w:r>
      <w:r w:rsidR="001A5664">
        <w:rPr>
          <w:rFonts w:ascii="Arial" w:hAnsi="Arial" w:cs="Arial"/>
          <w:sz w:val="20"/>
          <w:szCs w:val="20"/>
        </w:rPr>
        <w:t xml:space="preserve"> </w:t>
      </w:r>
      <w:r>
        <w:rPr>
          <w:rFonts w:ascii="Arial" w:hAnsi="Arial" w:cs="Arial"/>
          <w:sz w:val="20"/>
          <w:szCs w:val="20"/>
        </w:rPr>
        <w:t xml:space="preserve">Following the conversion in 2015 of the </w:t>
      </w:r>
      <w:r w:rsidR="001A5664">
        <w:rPr>
          <w:rFonts w:ascii="Arial" w:hAnsi="Arial" w:cs="Arial"/>
          <w:sz w:val="20"/>
          <w:szCs w:val="20"/>
        </w:rPr>
        <w:t xml:space="preserve">B </w:t>
      </w:r>
      <w:r>
        <w:rPr>
          <w:rFonts w:ascii="Arial" w:hAnsi="Arial" w:cs="Arial"/>
          <w:sz w:val="20"/>
          <w:szCs w:val="20"/>
        </w:rPr>
        <w:t>shares held by HMT into Ordinary Shares, the retirement of the DAS will complete the normalisation of RBS’s capital structure.</w:t>
      </w:r>
    </w:p>
    <w:p w:rsidR="00001D63" w:rsidRPr="00001D63" w:rsidRDefault="001F04C9" w:rsidP="00001D63">
      <w:pPr>
        <w:rPr>
          <w:rFonts w:asciiTheme="minorHAnsi" w:hAnsiTheme="minorHAnsi" w:cstheme="minorHAnsi"/>
          <w:sz w:val="20"/>
          <w:szCs w:val="20"/>
        </w:rPr>
      </w:pPr>
      <w:r w:rsidRPr="00001D63">
        <w:rPr>
          <w:rFonts w:asciiTheme="minorHAnsi" w:hAnsiTheme="minorHAnsi" w:cstheme="minorHAnsi"/>
          <w:sz w:val="20"/>
          <w:szCs w:val="20"/>
        </w:rPr>
        <w:t xml:space="preserve">Ross McEwan, RBS Group Chief Executive, said: </w:t>
      </w:r>
    </w:p>
    <w:p w:rsidR="00001D63" w:rsidRPr="00001D63" w:rsidRDefault="00AD4F46" w:rsidP="00001D63">
      <w:pPr>
        <w:rPr>
          <w:rFonts w:asciiTheme="minorHAnsi" w:hAnsiTheme="minorHAnsi" w:cstheme="minorHAnsi"/>
          <w:sz w:val="20"/>
          <w:szCs w:val="20"/>
        </w:rPr>
      </w:pPr>
      <w:r>
        <w:rPr>
          <w:rFonts w:asciiTheme="minorHAnsi" w:hAnsiTheme="minorHAnsi" w:cstheme="minorHAnsi"/>
          <w:sz w:val="20"/>
          <w:szCs w:val="20"/>
        </w:rPr>
        <w:t>“</w:t>
      </w:r>
      <w:r w:rsidR="003A3015">
        <w:rPr>
          <w:rFonts w:asciiTheme="minorHAnsi" w:hAnsiTheme="minorHAnsi" w:cstheme="minorHAnsi"/>
          <w:sz w:val="20"/>
          <w:szCs w:val="20"/>
        </w:rPr>
        <w:t>On the back of progress we ha</w:t>
      </w:r>
      <w:r w:rsidR="00001D63" w:rsidRPr="00001D63">
        <w:rPr>
          <w:rFonts w:asciiTheme="minorHAnsi" w:hAnsiTheme="minorHAnsi" w:cstheme="minorHAnsi"/>
          <w:sz w:val="20"/>
          <w:szCs w:val="20"/>
        </w:rPr>
        <w:t>ve made in strengthening the bank's balance sheet in recent years, I am pleased that we are today able</w:t>
      </w:r>
      <w:r w:rsidR="003A3015">
        <w:rPr>
          <w:rFonts w:asciiTheme="minorHAnsi" w:hAnsiTheme="minorHAnsi" w:cstheme="minorHAnsi"/>
          <w:sz w:val="20"/>
          <w:szCs w:val="20"/>
        </w:rPr>
        <w:t xml:space="preserve"> to repay the UK Government £1.193</w:t>
      </w:r>
      <w:r>
        <w:rPr>
          <w:rFonts w:asciiTheme="minorHAnsi" w:hAnsiTheme="minorHAnsi" w:cstheme="minorHAnsi"/>
          <w:sz w:val="20"/>
          <w:szCs w:val="20"/>
        </w:rPr>
        <w:t xml:space="preserve"> billion </w:t>
      </w:r>
      <w:r w:rsidR="00001D63" w:rsidRPr="00001D63">
        <w:rPr>
          <w:rFonts w:asciiTheme="minorHAnsi" w:hAnsiTheme="minorHAnsi" w:cstheme="minorHAnsi"/>
          <w:sz w:val="20"/>
          <w:szCs w:val="20"/>
        </w:rPr>
        <w:t>to finally retire the Dividend Access Share. </w:t>
      </w:r>
    </w:p>
    <w:p w:rsidR="00001D63" w:rsidRPr="00001D63" w:rsidRDefault="00001D63" w:rsidP="00001D63">
      <w:pPr>
        <w:rPr>
          <w:rFonts w:asciiTheme="minorHAnsi" w:hAnsiTheme="minorHAnsi" w:cstheme="minorHAnsi"/>
          <w:sz w:val="20"/>
          <w:szCs w:val="20"/>
        </w:rPr>
      </w:pPr>
      <w:r w:rsidRPr="00001D63">
        <w:rPr>
          <w:rFonts w:asciiTheme="minorHAnsi" w:hAnsiTheme="minorHAnsi" w:cstheme="minorHAnsi"/>
          <w:sz w:val="20"/>
          <w:szCs w:val="20"/>
        </w:rPr>
        <w:t>This is an</w:t>
      </w:r>
      <w:r w:rsidR="00C34156">
        <w:rPr>
          <w:rFonts w:asciiTheme="minorHAnsi" w:hAnsiTheme="minorHAnsi" w:cstheme="minorHAnsi"/>
          <w:sz w:val="20"/>
          <w:szCs w:val="20"/>
        </w:rPr>
        <w:t>other</w:t>
      </w:r>
      <w:r w:rsidRPr="00001D63">
        <w:rPr>
          <w:rFonts w:asciiTheme="minorHAnsi" w:hAnsiTheme="minorHAnsi" w:cstheme="minorHAnsi"/>
          <w:sz w:val="20"/>
          <w:szCs w:val="20"/>
        </w:rPr>
        <w:t xml:space="preserve"> important milestone in our plan to resume capital distributions to our shareholders, and represents one less hurdle in our path to build the number one bank for customer service, trust and advocacy</w:t>
      </w:r>
      <w:r w:rsidR="003A3015">
        <w:rPr>
          <w:rFonts w:asciiTheme="minorHAnsi" w:hAnsiTheme="minorHAnsi" w:cstheme="minorHAnsi"/>
          <w:sz w:val="20"/>
          <w:szCs w:val="20"/>
        </w:rPr>
        <w:t>”.</w:t>
      </w:r>
      <w:r w:rsidRPr="00001D63">
        <w:rPr>
          <w:rFonts w:asciiTheme="minorHAnsi" w:hAnsiTheme="minorHAnsi" w:cstheme="minorHAnsi"/>
          <w:sz w:val="20"/>
          <w:szCs w:val="20"/>
        </w:rPr>
        <w:t> </w:t>
      </w:r>
    </w:p>
    <w:p w:rsidR="001F04C9" w:rsidRPr="00940D99" w:rsidRDefault="001F04C9" w:rsidP="001F04C9">
      <w:pPr>
        <w:jc w:val="both"/>
        <w:rPr>
          <w:rFonts w:ascii="Arial" w:hAnsi="Arial" w:cs="Arial"/>
          <w:b/>
          <w:sz w:val="20"/>
          <w:szCs w:val="20"/>
        </w:rPr>
      </w:pPr>
      <w:r>
        <w:rPr>
          <w:rFonts w:ascii="Arial" w:hAnsi="Arial" w:cs="Arial"/>
          <w:b/>
          <w:sz w:val="20"/>
          <w:szCs w:val="20"/>
        </w:rPr>
        <w:t>Background to</w:t>
      </w:r>
      <w:r w:rsidRPr="00940D99">
        <w:rPr>
          <w:rFonts w:ascii="Arial" w:hAnsi="Arial" w:cs="Arial"/>
          <w:b/>
          <w:sz w:val="20"/>
          <w:szCs w:val="20"/>
        </w:rPr>
        <w:t xml:space="preserve"> the DAS</w:t>
      </w:r>
      <w:r>
        <w:rPr>
          <w:rFonts w:ascii="Arial" w:hAnsi="Arial" w:cs="Arial"/>
          <w:b/>
          <w:sz w:val="20"/>
          <w:szCs w:val="20"/>
        </w:rPr>
        <w:t xml:space="preserve"> </w:t>
      </w:r>
    </w:p>
    <w:p w:rsidR="001F04C9" w:rsidRDefault="001F04C9" w:rsidP="001F04C9">
      <w:pPr>
        <w:jc w:val="both"/>
        <w:rPr>
          <w:rFonts w:ascii="Arial" w:hAnsi="Arial" w:cs="Arial"/>
          <w:sz w:val="20"/>
          <w:szCs w:val="20"/>
        </w:rPr>
      </w:pPr>
      <w:r w:rsidRPr="00940D99">
        <w:rPr>
          <w:rFonts w:ascii="Arial" w:hAnsi="Arial" w:cs="Arial"/>
          <w:sz w:val="20"/>
          <w:szCs w:val="20"/>
        </w:rPr>
        <w:t xml:space="preserve">The DAS was </w:t>
      </w:r>
      <w:r>
        <w:rPr>
          <w:rFonts w:ascii="Arial" w:hAnsi="Arial" w:cs="Arial"/>
          <w:sz w:val="20"/>
          <w:szCs w:val="20"/>
        </w:rPr>
        <w:t>issued</w:t>
      </w:r>
      <w:r w:rsidRPr="00940D99">
        <w:rPr>
          <w:rFonts w:ascii="Arial" w:hAnsi="Arial" w:cs="Arial"/>
          <w:sz w:val="20"/>
          <w:szCs w:val="20"/>
        </w:rPr>
        <w:t xml:space="preserve"> in 2009 when HMT </w:t>
      </w:r>
      <w:r>
        <w:rPr>
          <w:rFonts w:ascii="Arial" w:hAnsi="Arial" w:cs="Arial"/>
          <w:sz w:val="20"/>
          <w:szCs w:val="20"/>
        </w:rPr>
        <w:t>provided</w:t>
      </w:r>
      <w:r w:rsidRPr="00940D99">
        <w:rPr>
          <w:rFonts w:ascii="Arial" w:hAnsi="Arial" w:cs="Arial"/>
          <w:sz w:val="20"/>
          <w:szCs w:val="20"/>
        </w:rPr>
        <w:t xml:space="preserve"> £25.5 billion of equity </w:t>
      </w:r>
      <w:r>
        <w:rPr>
          <w:rFonts w:ascii="Arial" w:hAnsi="Arial" w:cs="Arial"/>
          <w:sz w:val="20"/>
          <w:szCs w:val="20"/>
        </w:rPr>
        <w:t xml:space="preserve">capital </w:t>
      </w:r>
      <w:r w:rsidRPr="00940D99">
        <w:rPr>
          <w:rFonts w:ascii="Arial" w:hAnsi="Arial" w:cs="Arial"/>
          <w:sz w:val="20"/>
          <w:szCs w:val="20"/>
        </w:rPr>
        <w:t xml:space="preserve">to RBS </w:t>
      </w:r>
      <w:r>
        <w:rPr>
          <w:rFonts w:ascii="Arial" w:hAnsi="Arial" w:cs="Arial"/>
          <w:sz w:val="20"/>
          <w:szCs w:val="20"/>
        </w:rPr>
        <w:t xml:space="preserve">in exchange for B shares. </w:t>
      </w:r>
      <w:r w:rsidRPr="00940D99">
        <w:rPr>
          <w:rFonts w:ascii="Arial" w:hAnsi="Arial" w:cs="Arial"/>
          <w:sz w:val="20"/>
          <w:szCs w:val="20"/>
        </w:rPr>
        <w:t xml:space="preserve">RBS </w:t>
      </w:r>
      <w:r>
        <w:rPr>
          <w:rFonts w:ascii="Arial" w:hAnsi="Arial" w:cs="Arial"/>
          <w:sz w:val="20"/>
          <w:szCs w:val="20"/>
        </w:rPr>
        <w:t xml:space="preserve">also </w:t>
      </w:r>
      <w:r w:rsidRPr="00940D99">
        <w:rPr>
          <w:rFonts w:ascii="Arial" w:hAnsi="Arial" w:cs="Arial"/>
          <w:sz w:val="20"/>
          <w:szCs w:val="20"/>
        </w:rPr>
        <w:t xml:space="preserve">entered </w:t>
      </w:r>
      <w:r w:rsidR="00EA433D">
        <w:rPr>
          <w:rFonts w:ascii="Arial" w:hAnsi="Arial" w:cs="Arial"/>
          <w:sz w:val="20"/>
          <w:szCs w:val="20"/>
        </w:rPr>
        <w:t>into the Asset Pr</w:t>
      </w:r>
      <w:r w:rsidRPr="00940D99">
        <w:rPr>
          <w:rFonts w:ascii="Arial" w:hAnsi="Arial" w:cs="Arial"/>
          <w:sz w:val="20"/>
          <w:szCs w:val="20"/>
        </w:rPr>
        <w:t>otection Scheme (‘APS’)</w:t>
      </w:r>
      <w:r>
        <w:rPr>
          <w:rFonts w:ascii="Arial" w:hAnsi="Arial" w:cs="Arial"/>
          <w:sz w:val="20"/>
          <w:szCs w:val="20"/>
        </w:rPr>
        <w:t xml:space="preserve"> and the Contingent Capital Facility (‘CCF’) with HMT</w:t>
      </w:r>
      <w:r w:rsidRPr="00940D99">
        <w:rPr>
          <w:rFonts w:ascii="Arial" w:hAnsi="Arial" w:cs="Arial"/>
          <w:sz w:val="20"/>
          <w:szCs w:val="20"/>
        </w:rPr>
        <w:t xml:space="preserve">. </w:t>
      </w:r>
      <w:r>
        <w:rPr>
          <w:rFonts w:ascii="Arial" w:hAnsi="Arial" w:cs="Arial"/>
          <w:sz w:val="20"/>
          <w:szCs w:val="20"/>
        </w:rPr>
        <w:t xml:space="preserve"> The DAS was created to provide enhanced dividend rights to HMT on the new capital support provided. </w:t>
      </w:r>
      <w:r w:rsidRPr="00940D99">
        <w:rPr>
          <w:rFonts w:ascii="Arial" w:hAnsi="Arial" w:cs="Arial"/>
          <w:sz w:val="20"/>
          <w:szCs w:val="20"/>
        </w:rPr>
        <w:t xml:space="preserve">RBS exited the APS in </w:t>
      </w:r>
      <w:r>
        <w:rPr>
          <w:rFonts w:ascii="Arial" w:hAnsi="Arial" w:cs="Arial"/>
          <w:sz w:val="20"/>
          <w:szCs w:val="20"/>
        </w:rPr>
        <w:t>October</w:t>
      </w:r>
      <w:r w:rsidRPr="00940D99">
        <w:rPr>
          <w:rFonts w:ascii="Arial" w:hAnsi="Arial" w:cs="Arial"/>
          <w:sz w:val="20"/>
          <w:szCs w:val="20"/>
        </w:rPr>
        <w:t xml:space="preserve"> 2012 and</w:t>
      </w:r>
      <w:r>
        <w:rPr>
          <w:rFonts w:ascii="Arial" w:hAnsi="Arial" w:cs="Arial"/>
          <w:sz w:val="20"/>
          <w:szCs w:val="20"/>
        </w:rPr>
        <w:t xml:space="preserve"> terminated</w:t>
      </w:r>
      <w:r w:rsidRPr="00940D99">
        <w:rPr>
          <w:rFonts w:ascii="Arial" w:hAnsi="Arial" w:cs="Arial"/>
          <w:sz w:val="20"/>
          <w:szCs w:val="20"/>
        </w:rPr>
        <w:t xml:space="preserve"> </w:t>
      </w:r>
      <w:r>
        <w:rPr>
          <w:rFonts w:ascii="Arial" w:hAnsi="Arial" w:cs="Arial"/>
          <w:sz w:val="20"/>
          <w:szCs w:val="20"/>
        </w:rPr>
        <w:t>the</w:t>
      </w:r>
      <w:r w:rsidRPr="00940D99">
        <w:rPr>
          <w:rFonts w:ascii="Arial" w:hAnsi="Arial" w:cs="Arial"/>
          <w:sz w:val="20"/>
          <w:szCs w:val="20"/>
        </w:rPr>
        <w:t xml:space="preserve"> CCF </w:t>
      </w:r>
      <w:r>
        <w:rPr>
          <w:rFonts w:ascii="Arial" w:hAnsi="Arial" w:cs="Arial"/>
          <w:sz w:val="20"/>
          <w:szCs w:val="20"/>
        </w:rPr>
        <w:t>in December 2013.</w:t>
      </w:r>
    </w:p>
    <w:p w:rsidR="003C608D" w:rsidRPr="00645D5A" w:rsidRDefault="001F04C9" w:rsidP="001F04C9">
      <w:pPr>
        <w:jc w:val="both"/>
        <w:rPr>
          <w:rFonts w:ascii="Arial" w:hAnsi="Arial" w:cs="Arial"/>
          <w:sz w:val="20"/>
          <w:szCs w:val="20"/>
        </w:rPr>
      </w:pPr>
      <w:r>
        <w:rPr>
          <w:rFonts w:ascii="Arial" w:hAnsi="Arial" w:cs="Arial"/>
          <w:sz w:val="20"/>
          <w:szCs w:val="20"/>
        </w:rPr>
        <w:t>Under the DAS Retirement Agreement</w:t>
      </w:r>
      <w:r w:rsidR="008B3DDD">
        <w:rPr>
          <w:rFonts w:ascii="Arial" w:hAnsi="Arial" w:cs="Arial"/>
          <w:sz w:val="20"/>
          <w:szCs w:val="20"/>
        </w:rPr>
        <w:t xml:space="preserve"> of 2014</w:t>
      </w:r>
      <w:r>
        <w:rPr>
          <w:rFonts w:ascii="Arial" w:hAnsi="Arial" w:cs="Arial"/>
          <w:sz w:val="20"/>
          <w:szCs w:val="20"/>
        </w:rPr>
        <w:t xml:space="preserve">, RBS </w:t>
      </w:r>
      <w:r w:rsidR="008B3DDD">
        <w:rPr>
          <w:rFonts w:ascii="Arial" w:hAnsi="Arial" w:cs="Arial"/>
          <w:sz w:val="20"/>
          <w:szCs w:val="20"/>
        </w:rPr>
        <w:t>agreed to pay</w:t>
      </w:r>
      <w:r>
        <w:rPr>
          <w:rFonts w:ascii="Arial" w:hAnsi="Arial" w:cs="Arial"/>
          <w:sz w:val="20"/>
          <w:szCs w:val="20"/>
        </w:rPr>
        <w:t xml:space="preserve"> </w:t>
      </w:r>
      <w:r w:rsidRPr="00940D99">
        <w:rPr>
          <w:rFonts w:ascii="Arial" w:hAnsi="Arial" w:cs="Arial"/>
          <w:sz w:val="20"/>
          <w:szCs w:val="20"/>
        </w:rPr>
        <w:t>HMT an initial DAS dividend of £320 million</w:t>
      </w:r>
      <w:r w:rsidR="003A3015">
        <w:rPr>
          <w:rFonts w:ascii="Arial" w:hAnsi="Arial" w:cs="Arial"/>
          <w:sz w:val="20"/>
          <w:szCs w:val="20"/>
        </w:rPr>
        <w:t xml:space="preserve"> which was paid </w:t>
      </w:r>
      <w:r w:rsidR="002359D3">
        <w:rPr>
          <w:rFonts w:ascii="Arial" w:hAnsi="Arial" w:cs="Arial"/>
          <w:sz w:val="20"/>
          <w:szCs w:val="20"/>
        </w:rPr>
        <w:t xml:space="preserve">in </w:t>
      </w:r>
      <w:bookmarkStart w:id="0" w:name="_GoBack"/>
      <w:bookmarkEnd w:id="0"/>
      <w:r w:rsidR="003A3015">
        <w:rPr>
          <w:rFonts w:ascii="Arial" w:hAnsi="Arial" w:cs="Arial"/>
          <w:sz w:val="20"/>
          <w:szCs w:val="20"/>
        </w:rPr>
        <w:t>that year</w:t>
      </w:r>
      <w:r>
        <w:rPr>
          <w:rFonts w:ascii="Arial" w:hAnsi="Arial" w:cs="Arial"/>
          <w:sz w:val="20"/>
          <w:szCs w:val="20"/>
        </w:rPr>
        <w:t xml:space="preserve">. A further </w:t>
      </w:r>
      <w:r w:rsidR="001A5664">
        <w:rPr>
          <w:rFonts w:ascii="Arial" w:hAnsi="Arial" w:cs="Arial"/>
          <w:sz w:val="20"/>
          <w:szCs w:val="20"/>
        </w:rPr>
        <w:t>£1.18 billion in DAS dividend</w:t>
      </w:r>
      <w:r>
        <w:rPr>
          <w:rFonts w:ascii="Arial" w:hAnsi="Arial" w:cs="Arial"/>
          <w:sz w:val="20"/>
          <w:szCs w:val="20"/>
        </w:rPr>
        <w:t xml:space="preserve"> to HMT (</w:t>
      </w:r>
      <w:r w:rsidR="003A3015">
        <w:rPr>
          <w:rFonts w:ascii="Arial" w:hAnsi="Arial" w:cs="Arial"/>
          <w:sz w:val="20"/>
          <w:szCs w:val="20"/>
        </w:rPr>
        <w:t xml:space="preserve">plus daily interest </w:t>
      </w:r>
      <w:r>
        <w:rPr>
          <w:rFonts w:ascii="Arial" w:hAnsi="Arial" w:cs="Arial"/>
          <w:sz w:val="20"/>
          <w:szCs w:val="20"/>
        </w:rPr>
        <w:t xml:space="preserve">at a rate of 5% per annum from 1 January 2016) was required to retire the DAS. </w:t>
      </w:r>
    </w:p>
    <w:p w:rsidR="001F04C9" w:rsidRPr="00940D99" w:rsidRDefault="001F04C9" w:rsidP="001F04C9">
      <w:pPr>
        <w:jc w:val="both"/>
        <w:rPr>
          <w:rFonts w:ascii="Arial" w:hAnsi="Arial" w:cs="Arial"/>
          <w:sz w:val="20"/>
          <w:szCs w:val="20"/>
        </w:rPr>
      </w:pPr>
      <w:r w:rsidRPr="00940D99">
        <w:rPr>
          <w:rFonts w:ascii="Arial" w:hAnsi="Arial" w:cs="Arial"/>
          <w:sz w:val="20"/>
          <w:szCs w:val="20"/>
        </w:rPr>
        <w:t>For further information</w:t>
      </w:r>
      <w:r w:rsidR="003A3015">
        <w:rPr>
          <w:rFonts w:ascii="Arial" w:hAnsi="Arial" w:cs="Arial"/>
          <w:sz w:val="20"/>
          <w:szCs w:val="20"/>
        </w:rPr>
        <w:t>:</w:t>
      </w:r>
    </w:p>
    <w:tbl>
      <w:tblPr>
        <w:tblW w:w="0" w:type="auto"/>
        <w:tblLook w:val="00A0" w:firstRow="1" w:lastRow="0" w:firstColumn="1" w:lastColumn="0" w:noHBand="0" w:noVBand="0"/>
      </w:tblPr>
      <w:tblGrid>
        <w:gridCol w:w="4621"/>
        <w:gridCol w:w="4621"/>
      </w:tblGrid>
      <w:tr w:rsidR="001F04C9" w:rsidRPr="00940D99" w:rsidTr="00E17D46">
        <w:tc>
          <w:tcPr>
            <w:tcW w:w="4621" w:type="dxa"/>
          </w:tcPr>
          <w:p w:rsidR="001F04C9" w:rsidRPr="00940D99" w:rsidRDefault="001F04C9" w:rsidP="00E17D46">
            <w:pPr>
              <w:spacing w:after="0" w:line="360" w:lineRule="auto"/>
              <w:jc w:val="both"/>
              <w:rPr>
                <w:rFonts w:ascii="Arial" w:hAnsi="Arial" w:cs="Arial"/>
                <w:b/>
                <w:sz w:val="20"/>
                <w:szCs w:val="20"/>
              </w:rPr>
            </w:pPr>
            <w:r w:rsidRPr="00940D99">
              <w:rPr>
                <w:rFonts w:ascii="Arial" w:hAnsi="Arial" w:cs="Arial"/>
                <w:b/>
                <w:sz w:val="20"/>
                <w:szCs w:val="20"/>
              </w:rPr>
              <w:t>Investors</w:t>
            </w:r>
          </w:p>
          <w:p w:rsidR="001F04C9" w:rsidRPr="00940D99" w:rsidRDefault="001F04C9" w:rsidP="00E17D46">
            <w:pPr>
              <w:spacing w:after="0" w:line="360" w:lineRule="auto"/>
              <w:jc w:val="both"/>
              <w:rPr>
                <w:rFonts w:ascii="Arial" w:hAnsi="Arial" w:cs="Arial"/>
                <w:sz w:val="20"/>
                <w:szCs w:val="20"/>
              </w:rPr>
            </w:pPr>
            <w:r w:rsidRPr="00940D99">
              <w:rPr>
                <w:rFonts w:ascii="Arial" w:hAnsi="Arial" w:cs="Arial"/>
                <w:sz w:val="20"/>
                <w:szCs w:val="20"/>
              </w:rPr>
              <w:t>Richard O'Connor</w:t>
            </w:r>
          </w:p>
          <w:p w:rsidR="001F04C9" w:rsidRPr="00940D99" w:rsidRDefault="001F04C9" w:rsidP="00E17D46">
            <w:pPr>
              <w:spacing w:after="0" w:line="360" w:lineRule="auto"/>
              <w:jc w:val="both"/>
              <w:rPr>
                <w:rFonts w:ascii="Arial" w:hAnsi="Arial" w:cs="Arial"/>
                <w:sz w:val="20"/>
                <w:szCs w:val="20"/>
              </w:rPr>
            </w:pPr>
            <w:r w:rsidRPr="00940D99">
              <w:rPr>
                <w:rFonts w:ascii="Arial" w:hAnsi="Arial" w:cs="Arial"/>
                <w:sz w:val="20"/>
                <w:szCs w:val="20"/>
              </w:rPr>
              <w:t xml:space="preserve">Head of Investor Relations  </w:t>
            </w:r>
          </w:p>
          <w:p w:rsidR="001F04C9" w:rsidRPr="00940D99" w:rsidRDefault="001F04C9" w:rsidP="00E17D46">
            <w:pPr>
              <w:spacing w:after="0" w:line="360" w:lineRule="auto"/>
              <w:jc w:val="both"/>
              <w:rPr>
                <w:rFonts w:ascii="Arial" w:hAnsi="Arial" w:cs="Arial"/>
                <w:sz w:val="20"/>
                <w:szCs w:val="20"/>
              </w:rPr>
            </w:pPr>
            <w:r w:rsidRPr="00940D99">
              <w:rPr>
                <w:rFonts w:ascii="Arial" w:hAnsi="Arial" w:cs="Arial"/>
                <w:sz w:val="20"/>
                <w:szCs w:val="20"/>
              </w:rPr>
              <w:t>+44 (0) 207 672 1758</w:t>
            </w:r>
          </w:p>
          <w:p w:rsidR="001F04C9" w:rsidRPr="00940D99" w:rsidRDefault="001F04C9" w:rsidP="00E17D46">
            <w:pPr>
              <w:spacing w:after="0" w:line="360" w:lineRule="auto"/>
              <w:jc w:val="both"/>
              <w:rPr>
                <w:rFonts w:ascii="Arial" w:hAnsi="Arial" w:cs="Arial"/>
                <w:sz w:val="20"/>
                <w:szCs w:val="20"/>
              </w:rPr>
            </w:pPr>
          </w:p>
        </w:tc>
        <w:tc>
          <w:tcPr>
            <w:tcW w:w="4621" w:type="dxa"/>
          </w:tcPr>
          <w:p w:rsidR="001F04C9" w:rsidRPr="00940D99" w:rsidRDefault="001F04C9" w:rsidP="00E17D46">
            <w:pPr>
              <w:spacing w:after="0" w:line="360" w:lineRule="auto"/>
              <w:jc w:val="both"/>
              <w:rPr>
                <w:rFonts w:ascii="Arial" w:hAnsi="Arial" w:cs="Arial"/>
                <w:b/>
                <w:sz w:val="20"/>
                <w:szCs w:val="20"/>
              </w:rPr>
            </w:pPr>
            <w:r w:rsidRPr="00940D99">
              <w:rPr>
                <w:rFonts w:ascii="Arial" w:hAnsi="Arial" w:cs="Arial"/>
                <w:b/>
                <w:sz w:val="20"/>
                <w:szCs w:val="20"/>
              </w:rPr>
              <w:t>Media</w:t>
            </w:r>
          </w:p>
          <w:p w:rsidR="001F04C9" w:rsidRPr="00940D99" w:rsidRDefault="001F04C9" w:rsidP="00E17D46">
            <w:pPr>
              <w:spacing w:after="0" w:line="360" w:lineRule="auto"/>
              <w:jc w:val="both"/>
              <w:rPr>
                <w:rFonts w:ascii="Arial" w:hAnsi="Arial" w:cs="Arial"/>
                <w:sz w:val="20"/>
                <w:szCs w:val="20"/>
              </w:rPr>
            </w:pPr>
            <w:r w:rsidRPr="00940D99">
              <w:rPr>
                <w:rFonts w:ascii="Arial" w:hAnsi="Arial" w:cs="Arial"/>
                <w:sz w:val="20"/>
                <w:szCs w:val="20"/>
              </w:rPr>
              <w:t>RBS Group Media Relations</w:t>
            </w:r>
          </w:p>
          <w:p w:rsidR="001F04C9" w:rsidRPr="00940D99" w:rsidRDefault="001F04C9" w:rsidP="00E17D46">
            <w:pPr>
              <w:spacing w:after="0" w:line="360" w:lineRule="auto"/>
              <w:jc w:val="both"/>
              <w:rPr>
                <w:rFonts w:ascii="Arial" w:hAnsi="Arial" w:cs="Arial"/>
                <w:sz w:val="20"/>
                <w:szCs w:val="20"/>
              </w:rPr>
            </w:pPr>
            <w:r w:rsidRPr="00940D99">
              <w:rPr>
                <w:rFonts w:ascii="Arial" w:hAnsi="Arial" w:cs="Arial"/>
                <w:sz w:val="20"/>
                <w:szCs w:val="20"/>
              </w:rPr>
              <w:t>+44 (0) 131 523 4205</w:t>
            </w:r>
          </w:p>
          <w:p w:rsidR="001F04C9" w:rsidRPr="00940D99" w:rsidRDefault="001F04C9" w:rsidP="00E17D46">
            <w:pPr>
              <w:spacing w:after="0" w:line="360" w:lineRule="auto"/>
              <w:jc w:val="both"/>
              <w:rPr>
                <w:rFonts w:ascii="Arial" w:hAnsi="Arial" w:cs="Arial"/>
                <w:sz w:val="20"/>
                <w:szCs w:val="20"/>
              </w:rPr>
            </w:pPr>
          </w:p>
        </w:tc>
      </w:tr>
    </w:tbl>
    <w:p w:rsidR="001F04C9" w:rsidRDefault="001F04C9" w:rsidP="001F04C9">
      <w:pPr>
        <w:jc w:val="both"/>
        <w:rPr>
          <w:rFonts w:ascii="Arial" w:hAnsi="Arial" w:cs="Arial"/>
          <w:i/>
          <w:sz w:val="20"/>
          <w:szCs w:val="20"/>
        </w:rPr>
      </w:pPr>
    </w:p>
    <w:p w:rsidR="00600DC3" w:rsidRDefault="00600DC3" w:rsidP="00600DC3">
      <w:pPr>
        <w:pStyle w:val="ce"/>
        <w:spacing w:line="360" w:lineRule="auto"/>
        <w:rPr>
          <w:i/>
          <w:iCs/>
        </w:rPr>
      </w:pPr>
      <w:r>
        <w:rPr>
          <w:b/>
          <w:bCs/>
          <w:i/>
          <w:iCs/>
        </w:rPr>
        <w:t xml:space="preserve">Forward Looking Statements </w:t>
      </w:r>
    </w:p>
    <w:p w:rsidR="00600DC3" w:rsidRDefault="00600DC3" w:rsidP="00600DC3">
      <w:pPr>
        <w:pStyle w:val="cd"/>
        <w:spacing w:line="360" w:lineRule="auto"/>
        <w:rPr>
          <w:i/>
          <w:iCs/>
          <w:sz w:val="20"/>
          <w:szCs w:val="20"/>
        </w:rPr>
      </w:pPr>
      <w:r>
        <w:rPr>
          <w:i/>
          <w:iCs/>
          <w:sz w:val="20"/>
          <w:szCs w:val="20"/>
        </w:rPr>
        <w:t xml:space="preserve">This announcement contains forward-looking statements within the meaning of the United States Private Securities Litigation Reform Act of 1995, including those related to RBS and its subsidiaries’ regulatory capital position and requirements, financial position, future pension funding requirements, on-going litigation and regulatory investigations, profitability, impairment losses and credit exposures under certain specified scenarios. In addition, forward-looking statements may include, without </w:t>
      </w:r>
      <w:r>
        <w:rPr>
          <w:i/>
          <w:iCs/>
          <w:sz w:val="20"/>
          <w:szCs w:val="20"/>
        </w:rPr>
        <w:lastRenderedPageBreak/>
        <w:t>limitation, statements typically containing words such as "intends", "expects", "anticipates", "targets", "plans", “believes”, “risk”, "estimates" and words of similar import.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600DC3" w:rsidRPr="00BE7672" w:rsidRDefault="00600DC3" w:rsidP="00600DC3">
      <w:pPr>
        <w:pStyle w:val="cd"/>
        <w:spacing w:line="360" w:lineRule="auto"/>
        <w:rPr>
          <w:rStyle w:val="bq"/>
          <w:iCs/>
          <w:szCs w:val="20"/>
        </w:rPr>
      </w:pPr>
      <w:r w:rsidRPr="00BE7672">
        <w:rPr>
          <w:rStyle w:val="bq"/>
          <w:iCs/>
          <w:szCs w:val="20"/>
        </w:rPr>
        <w:t>ENDS</w:t>
      </w:r>
    </w:p>
    <w:p w:rsidR="00FD5978" w:rsidRPr="00FD5978" w:rsidRDefault="00FD5978" w:rsidP="00BF4249"/>
    <w:sectPr w:rsidR="00FD5978" w:rsidRPr="00FD5978" w:rsidSect="0055443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4C9" w:rsidRDefault="001F04C9" w:rsidP="00AA4E94">
      <w:r>
        <w:separator/>
      </w:r>
    </w:p>
  </w:endnote>
  <w:endnote w:type="continuationSeparator" w:id="0">
    <w:p w:rsidR="001F04C9" w:rsidRDefault="001F04C9"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62" w:rsidRDefault="00A86027">
    <w:pPr>
      <w:pStyle w:val="Footer"/>
      <w:pBdr>
        <w:top w:val="single" w:sz="4" w:space="1" w:color="D9D9D9"/>
      </w:pBdr>
      <w:jc w:val="right"/>
    </w:pPr>
    <w:r>
      <w:fldChar w:fldCharType="begin"/>
    </w:r>
    <w:r>
      <w:instrText xml:space="preserve"> PAGE   \* MERGEFORMAT </w:instrText>
    </w:r>
    <w:r>
      <w:fldChar w:fldCharType="separate"/>
    </w:r>
    <w:r w:rsidR="002359D3">
      <w:rPr>
        <w:noProof/>
      </w:rPr>
      <w:t>1</w:t>
    </w:r>
    <w:r>
      <w:fldChar w:fldCharType="end"/>
    </w:r>
    <w:r>
      <w:t xml:space="preserve"> | </w:t>
    </w:r>
    <w:r>
      <w:rPr>
        <w:color w:val="808080"/>
        <w:spacing w:val="60"/>
      </w:rPr>
      <w:t>Page</w:t>
    </w:r>
  </w:p>
  <w:p w:rsidR="008C1E62" w:rsidRDefault="0023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4C9" w:rsidRDefault="001F04C9" w:rsidP="00AA4E94">
      <w:r>
        <w:separator/>
      </w:r>
    </w:p>
  </w:footnote>
  <w:footnote w:type="continuationSeparator" w:id="0">
    <w:p w:rsidR="001F04C9" w:rsidRDefault="001F04C9"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C9"/>
    <w:rsid w:val="00001D63"/>
    <w:rsid w:val="00016EE5"/>
    <w:rsid w:val="00050C51"/>
    <w:rsid w:val="00072D44"/>
    <w:rsid w:val="00116EE2"/>
    <w:rsid w:val="001A5664"/>
    <w:rsid w:val="001A76B3"/>
    <w:rsid w:val="001D5067"/>
    <w:rsid w:val="001E2C17"/>
    <w:rsid w:val="001F04C9"/>
    <w:rsid w:val="002359D3"/>
    <w:rsid w:val="002502E0"/>
    <w:rsid w:val="00263D32"/>
    <w:rsid w:val="002A1F66"/>
    <w:rsid w:val="002A388A"/>
    <w:rsid w:val="002E13A6"/>
    <w:rsid w:val="00304DEA"/>
    <w:rsid w:val="003A3015"/>
    <w:rsid w:val="003C608D"/>
    <w:rsid w:val="003F2CD1"/>
    <w:rsid w:val="00544150"/>
    <w:rsid w:val="00600DC3"/>
    <w:rsid w:val="006E252B"/>
    <w:rsid w:val="00752B89"/>
    <w:rsid w:val="00790299"/>
    <w:rsid w:val="007B3990"/>
    <w:rsid w:val="00804F60"/>
    <w:rsid w:val="008220CD"/>
    <w:rsid w:val="00841E4D"/>
    <w:rsid w:val="00864E34"/>
    <w:rsid w:val="00884A01"/>
    <w:rsid w:val="00890423"/>
    <w:rsid w:val="008B3DDD"/>
    <w:rsid w:val="009362ED"/>
    <w:rsid w:val="00951549"/>
    <w:rsid w:val="00966EB6"/>
    <w:rsid w:val="009974C9"/>
    <w:rsid w:val="009F47FB"/>
    <w:rsid w:val="00A26B45"/>
    <w:rsid w:val="00A85E6E"/>
    <w:rsid w:val="00A86027"/>
    <w:rsid w:val="00AA4E94"/>
    <w:rsid w:val="00AD4F46"/>
    <w:rsid w:val="00B55D29"/>
    <w:rsid w:val="00BA75B8"/>
    <w:rsid w:val="00BC7350"/>
    <w:rsid w:val="00BE261A"/>
    <w:rsid w:val="00BF4249"/>
    <w:rsid w:val="00C34156"/>
    <w:rsid w:val="00C37A69"/>
    <w:rsid w:val="00C56376"/>
    <w:rsid w:val="00CB3C4E"/>
    <w:rsid w:val="00CC7B1A"/>
    <w:rsid w:val="00E15C7A"/>
    <w:rsid w:val="00E80952"/>
    <w:rsid w:val="00EA433D"/>
    <w:rsid w:val="00EB6573"/>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F04C9"/>
    <w:rPr>
      <w:rFonts w:ascii="Calibri" w:eastAsia="Times New Roman" w:hAnsi="Calibri" w:cs="Mangal"/>
    </w:rPr>
  </w:style>
  <w:style w:type="paragraph" w:styleId="Heading1">
    <w:name w:val="heading 1"/>
    <w:basedOn w:val="Normal"/>
    <w:next w:val="Normal"/>
    <w:link w:val="Heading1Char"/>
    <w:uiPriority w:val="9"/>
    <w:qFormat/>
    <w:rsid w:val="00CC7B1A"/>
    <w:pPr>
      <w:keepNext/>
      <w:spacing w:before="240" w:after="320" w:line="240" w:lineRule="auto"/>
      <w:outlineLvl w:val="0"/>
    </w:pPr>
    <w:rPr>
      <w:rFonts w:ascii="Arial" w:eastAsiaTheme="majorEastAsia" w:hAnsi="Arial"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line="240" w:lineRule="auto"/>
      <w:outlineLvl w:val="1"/>
    </w:pPr>
    <w:rPr>
      <w:rFonts w:ascii="Arial" w:eastAsiaTheme="majorEastAsia" w:hAnsi="Arial"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line="240" w:lineRule="auto"/>
      <w:outlineLvl w:val="2"/>
    </w:pPr>
    <w:rPr>
      <w:rFonts w:ascii="Arial" w:eastAsiaTheme="majorEastAsia" w:hAnsi="Arial"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line="240" w:lineRule="auto"/>
      <w:outlineLvl w:val="3"/>
    </w:pPr>
    <w:rPr>
      <w:rFonts w:ascii="Arial" w:eastAsiaTheme="majorEastAsia" w:hAnsi="Arial" w:cstheme="majorBidi"/>
      <w:b/>
      <w:bCs/>
      <w:iCs/>
    </w:rPr>
  </w:style>
  <w:style w:type="paragraph" w:styleId="Heading5">
    <w:name w:val="heading 5"/>
    <w:basedOn w:val="Normal"/>
    <w:next w:val="Normal"/>
    <w:link w:val="Heading5Char"/>
    <w:uiPriority w:val="9"/>
    <w:semiHidden/>
    <w:unhideWhenUsed/>
    <w:qFormat/>
    <w:rsid w:val="00864E34"/>
    <w:pPr>
      <w:keepNext/>
      <w:spacing w:before="240" w:after="120" w:line="240" w:lineRule="auto"/>
      <w:outlineLvl w:val="4"/>
    </w:pPr>
    <w:rPr>
      <w:rFonts w:ascii="Arial" w:eastAsiaTheme="majorEastAsia" w:hAnsi="Arial" w:cstheme="majorBidi"/>
      <w:b/>
      <w:sz w:val="20"/>
    </w:rPr>
  </w:style>
  <w:style w:type="paragraph" w:styleId="Heading6">
    <w:name w:val="heading 6"/>
    <w:basedOn w:val="Normal"/>
    <w:next w:val="Normal"/>
    <w:link w:val="Heading6Char"/>
    <w:uiPriority w:val="9"/>
    <w:semiHidden/>
    <w:unhideWhenUsed/>
    <w:qFormat/>
    <w:rsid w:val="00864E34"/>
    <w:pPr>
      <w:keepNext/>
      <w:spacing w:before="240" w:after="60" w:line="240" w:lineRule="auto"/>
      <w:outlineLvl w:val="5"/>
    </w:pPr>
    <w:rPr>
      <w:rFonts w:ascii="Arial" w:eastAsiaTheme="majorEastAsia" w:hAnsi="Arial"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spacing w:after="0" w:line="240" w:lineRule="auto"/>
    </w:pPr>
    <w:rPr>
      <w:rFonts w:ascii="Arial" w:eastAsiaTheme="minorHAnsi" w:hAnsi="Arial" w:cstheme="minorBidi"/>
      <w:sz w:val="20"/>
    </w:r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nhideWhenUsed/>
    <w:rsid w:val="00951549"/>
    <w:pPr>
      <w:tabs>
        <w:tab w:val="center" w:pos="4706"/>
        <w:tab w:val="right" w:pos="9412"/>
      </w:tabs>
      <w:spacing w:after="0" w:line="240" w:lineRule="auto"/>
    </w:pPr>
    <w:rPr>
      <w:rFonts w:ascii="Arial" w:eastAsiaTheme="minorHAnsi" w:hAnsi="Arial" w:cstheme="minorBidi"/>
      <w:sz w:val="16"/>
    </w:rPr>
  </w:style>
  <w:style w:type="character" w:customStyle="1" w:styleId="FooterChar">
    <w:name w:val="Footer Char"/>
    <w:basedOn w:val="DefaultParagraphFont"/>
    <w:link w:val="Footer"/>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after="0" w:line="240" w:lineRule="auto"/>
    </w:pPr>
    <w:rPr>
      <w:rFonts w:ascii="Arial" w:eastAsiaTheme="minorHAnsi" w:hAnsi="Arial" w:cstheme="minorBidi"/>
      <w:b/>
      <w:sz w:val="20"/>
    </w:rPr>
  </w:style>
  <w:style w:type="paragraph" w:styleId="TOC2">
    <w:name w:val="toc 2"/>
    <w:basedOn w:val="Normal"/>
    <w:next w:val="Normal"/>
    <w:uiPriority w:val="39"/>
    <w:semiHidden/>
    <w:unhideWhenUsed/>
    <w:rsid w:val="001A76B3"/>
    <w:pPr>
      <w:spacing w:after="0" w:line="240" w:lineRule="auto"/>
    </w:pPr>
    <w:rPr>
      <w:rFonts w:ascii="Arial" w:eastAsiaTheme="minorHAnsi" w:hAnsi="Arial" w:cstheme="minorBidi"/>
      <w:sz w:val="20"/>
    </w:rPr>
  </w:style>
  <w:style w:type="paragraph" w:styleId="TOC3">
    <w:name w:val="toc 3"/>
    <w:basedOn w:val="Normal"/>
    <w:next w:val="Normal"/>
    <w:uiPriority w:val="39"/>
    <w:semiHidden/>
    <w:unhideWhenUsed/>
    <w:rsid w:val="001A76B3"/>
    <w:pPr>
      <w:spacing w:after="0" w:line="240" w:lineRule="auto"/>
    </w:pPr>
    <w:rPr>
      <w:rFonts w:ascii="Arial" w:eastAsiaTheme="minorHAnsi" w:hAnsi="Arial" w:cstheme="minorBidi"/>
      <w:sz w:val="20"/>
    </w:rPr>
  </w:style>
  <w:style w:type="paragraph" w:styleId="TOC4">
    <w:name w:val="toc 4"/>
    <w:basedOn w:val="Normal"/>
    <w:next w:val="Normal"/>
    <w:uiPriority w:val="39"/>
    <w:semiHidden/>
    <w:unhideWhenUsed/>
    <w:rsid w:val="001A76B3"/>
    <w:pPr>
      <w:spacing w:after="0" w:line="240" w:lineRule="auto"/>
    </w:pPr>
    <w:rPr>
      <w:rFonts w:ascii="Arial" w:eastAsiaTheme="minorHAnsi" w:hAnsi="Arial" w:cstheme="minorBidi"/>
      <w:sz w:val="20"/>
    </w:rPr>
  </w:style>
  <w:style w:type="paragraph" w:styleId="TOC6">
    <w:name w:val="toc 6"/>
    <w:basedOn w:val="Normal"/>
    <w:next w:val="Normal"/>
    <w:uiPriority w:val="39"/>
    <w:semiHidden/>
    <w:unhideWhenUsed/>
    <w:rsid w:val="001A76B3"/>
    <w:pPr>
      <w:spacing w:after="0" w:line="240" w:lineRule="auto"/>
    </w:pPr>
    <w:rPr>
      <w:rFonts w:ascii="Arial" w:eastAsiaTheme="minorHAnsi" w:hAnsi="Arial" w:cstheme="minorBidi"/>
      <w:sz w:val="20"/>
    </w:rPr>
  </w:style>
  <w:style w:type="paragraph" w:styleId="TOC5">
    <w:name w:val="toc 5"/>
    <w:basedOn w:val="Normal"/>
    <w:next w:val="Normal"/>
    <w:uiPriority w:val="39"/>
    <w:semiHidden/>
    <w:unhideWhenUsed/>
    <w:rsid w:val="00072D44"/>
    <w:pPr>
      <w:spacing w:after="0" w:line="240" w:lineRule="auto"/>
    </w:pPr>
    <w:rPr>
      <w:rFonts w:ascii="Arial" w:eastAsiaTheme="minorHAnsi" w:hAnsi="Arial" w:cstheme="minorBidi"/>
      <w:sz w:val="20"/>
    </w:rPr>
  </w:style>
  <w:style w:type="paragraph" w:styleId="TOC7">
    <w:name w:val="toc 7"/>
    <w:basedOn w:val="Normal"/>
    <w:next w:val="Normal"/>
    <w:uiPriority w:val="39"/>
    <w:semiHidden/>
    <w:unhideWhenUsed/>
    <w:rsid w:val="00072D44"/>
    <w:pPr>
      <w:spacing w:after="0" w:line="240" w:lineRule="auto"/>
    </w:pPr>
    <w:rPr>
      <w:rFonts w:ascii="Arial" w:eastAsiaTheme="minorHAnsi" w:hAnsi="Arial" w:cstheme="minorBidi"/>
      <w:sz w:val="20"/>
    </w:rPr>
  </w:style>
  <w:style w:type="paragraph" w:styleId="TOC8">
    <w:name w:val="toc 8"/>
    <w:basedOn w:val="Normal"/>
    <w:next w:val="Normal"/>
    <w:uiPriority w:val="39"/>
    <w:semiHidden/>
    <w:unhideWhenUsed/>
    <w:rsid w:val="00072D44"/>
    <w:pPr>
      <w:spacing w:after="0" w:line="240" w:lineRule="auto"/>
    </w:pPr>
    <w:rPr>
      <w:rFonts w:ascii="Arial" w:eastAsiaTheme="minorHAnsi" w:hAnsi="Arial" w:cstheme="minorBidi"/>
      <w:sz w:val="20"/>
    </w:rPr>
  </w:style>
  <w:style w:type="paragraph" w:styleId="TOC9">
    <w:name w:val="toc 9"/>
    <w:basedOn w:val="Normal"/>
    <w:next w:val="Normal"/>
    <w:uiPriority w:val="39"/>
    <w:semiHidden/>
    <w:unhideWhenUsed/>
    <w:rsid w:val="00072D44"/>
    <w:pPr>
      <w:spacing w:after="0" w:line="240" w:lineRule="auto"/>
    </w:pPr>
    <w:rPr>
      <w:rFonts w:ascii="Arial" w:eastAsiaTheme="minorHAnsi" w:hAnsi="Arial" w:cstheme="minorBidi"/>
      <w:sz w:val="20"/>
    </w:rPr>
  </w:style>
  <w:style w:type="paragraph" w:styleId="ListParagraph">
    <w:name w:val="List Paragraph"/>
    <w:basedOn w:val="Normal"/>
    <w:uiPriority w:val="34"/>
    <w:rsid w:val="00BE261A"/>
    <w:pPr>
      <w:spacing w:after="0" w:line="240" w:lineRule="auto"/>
      <w:ind w:left="720"/>
    </w:pPr>
    <w:rPr>
      <w:rFonts w:ascii="Arial" w:eastAsiaTheme="minorHAnsi" w:hAnsi="Arial" w:cstheme="minorBidi"/>
      <w:sz w:val="20"/>
    </w:rPr>
  </w:style>
  <w:style w:type="paragraph" w:customStyle="1" w:styleId="cd">
    <w:name w:val="cd"/>
    <w:basedOn w:val="Normal"/>
    <w:uiPriority w:val="99"/>
    <w:rsid w:val="00600DC3"/>
    <w:pPr>
      <w:spacing w:after="0" w:line="280" w:lineRule="atLeast"/>
      <w:jc w:val="both"/>
    </w:pPr>
    <w:rPr>
      <w:rFonts w:ascii="Arial" w:hAnsi="Arial" w:cs="Times New Roman"/>
      <w:sz w:val="24"/>
      <w:szCs w:val="24"/>
      <w:lang w:eastAsia="en-GB"/>
    </w:rPr>
  </w:style>
  <w:style w:type="character" w:customStyle="1" w:styleId="bq">
    <w:name w:val="bq"/>
    <w:uiPriority w:val="99"/>
    <w:rsid w:val="00600DC3"/>
    <w:rPr>
      <w:rFonts w:ascii="Arial" w:hAnsi="Arial"/>
      <w:sz w:val="20"/>
    </w:rPr>
  </w:style>
  <w:style w:type="paragraph" w:customStyle="1" w:styleId="ce">
    <w:name w:val="ce"/>
    <w:basedOn w:val="Normal"/>
    <w:uiPriority w:val="99"/>
    <w:rsid w:val="00600DC3"/>
    <w:pPr>
      <w:spacing w:after="0" w:line="280" w:lineRule="atLeast"/>
      <w:jc w:val="both"/>
    </w:pPr>
    <w:rPr>
      <w:rFonts w:ascii="Arial" w:hAnsi="Arial"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F04C9"/>
    <w:rPr>
      <w:rFonts w:ascii="Calibri" w:eastAsia="Times New Roman" w:hAnsi="Calibri" w:cs="Mangal"/>
    </w:rPr>
  </w:style>
  <w:style w:type="paragraph" w:styleId="Heading1">
    <w:name w:val="heading 1"/>
    <w:basedOn w:val="Normal"/>
    <w:next w:val="Normal"/>
    <w:link w:val="Heading1Char"/>
    <w:uiPriority w:val="9"/>
    <w:qFormat/>
    <w:rsid w:val="00CC7B1A"/>
    <w:pPr>
      <w:keepNext/>
      <w:spacing w:before="240" w:after="320" w:line="240" w:lineRule="auto"/>
      <w:outlineLvl w:val="0"/>
    </w:pPr>
    <w:rPr>
      <w:rFonts w:ascii="Arial" w:eastAsiaTheme="majorEastAsia" w:hAnsi="Arial"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line="240" w:lineRule="auto"/>
      <w:outlineLvl w:val="1"/>
    </w:pPr>
    <w:rPr>
      <w:rFonts w:ascii="Arial" w:eastAsiaTheme="majorEastAsia" w:hAnsi="Arial"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line="240" w:lineRule="auto"/>
      <w:outlineLvl w:val="2"/>
    </w:pPr>
    <w:rPr>
      <w:rFonts w:ascii="Arial" w:eastAsiaTheme="majorEastAsia" w:hAnsi="Arial"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line="240" w:lineRule="auto"/>
      <w:outlineLvl w:val="3"/>
    </w:pPr>
    <w:rPr>
      <w:rFonts w:ascii="Arial" w:eastAsiaTheme="majorEastAsia" w:hAnsi="Arial" w:cstheme="majorBidi"/>
      <w:b/>
      <w:bCs/>
      <w:iCs/>
    </w:rPr>
  </w:style>
  <w:style w:type="paragraph" w:styleId="Heading5">
    <w:name w:val="heading 5"/>
    <w:basedOn w:val="Normal"/>
    <w:next w:val="Normal"/>
    <w:link w:val="Heading5Char"/>
    <w:uiPriority w:val="9"/>
    <w:semiHidden/>
    <w:unhideWhenUsed/>
    <w:qFormat/>
    <w:rsid w:val="00864E34"/>
    <w:pPr>
      <w:keepNext/>
      <w:spacing w:before="240" w:after="120" w:line="240" w:lineRule="auto"/>
      <w:outlineLvl w:val="4"/>
    </w:pPr>
    <w:rPr>
      <w:rFonts w:ascii="Arial" w:eastAsiaTheme="majorEastAsia" w:hAnsi="Arial" w:cstheme="majorBidi"/>
      <w:b/>
      <w:sz w:val="20"/>
    </w:rPr>
  </w:style>
  <w:style w:type="paragraph" w:styleId="Heading6">
    <w:name w:val="heading 6"/>
    <w:basedOn w:val="Normal"/>
    <w:next w:val="Normal"/>
    <w:link w:val="Heading6Char"/>
    <w:uiPriority w:val="9"/>
    <w:semiHidden/>
    <w:unhideWhenUsed/>
    <w:qFormat/>
    <w:rsid w:val="00864E34"/>
    <w:pPr>
      <w:keepNext/>
      <w:spacing w:before="240" w:after="60" w:line="240" w:lineRule="auto"/>
      <w:outlineLvl w:val="5"/>
    </w:pPr>
    <w:rPr>
      <w:rFonts w:ascii="Arial" w:eastAsiaTheme="majorEastAsia" w:hAnsi="Arial"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spacing w:after="0" w:line="240" w:lineRule="auto"/>
    </w:pPr>
    <w:rPr>
      <w:rFonts w:ascii="Arial" w:eastAsiaTheme="minorHAnsi" w:hAnsi="Arial" w:cstheme="minorBidi"/>
      <w:sz w:val="20"/>
    </w:r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nhideWhenUsed/>
    <w:rsid w:val="00951549"/>
    <w:pPr>
      <w:tabs>
        <w:tab w:val="center" w:pos="4706"/>
        <w:tab w:val="right" w:pos="9412"/>
      </w:tabs>
      <w:spacing w:after="0" w:line="240" w:lineRule="auto"/>
    </w:pPr>
    <w:rPr>
      <w:rFonts w:ascii="Arial" w:eastAsiaTheme="minorHAnsi" w:hAnsi="Arial" w:cstheme="minorBidi"/>
      <w:sz w:val="16"/>
    </w:rPr>
  </w:style>
  <w:style w:type="character" w:customStyle="1" w:styleId="FooterChar">
    <w:name w:val="Footer Char"/>
    <w:basedOn w:val="DefaultParagraphFont"/>
    <w:link w:val="Footer"/>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after="0" w:line="240" w:lineRule="auto"/>
    </w:pPr>
    <w:rPr>
      <w:rFonts w:ascii="Arial" w:eastAsiaTheme="minorHAnsi" w:hAnsi="Arial" w:cstheme="minorBidi"/>
      <w:b/>
      <w:sz w:val="20"/>
    </w:rPr>
  </w:style>
  <w:style w:type="paragraph" w:styleId="TOC2">
    <w:name w:val="toc 2"/>
    <w:basedOn w:val="Normal"/>
    <w:next w:val="Normal"/>
    <w:uiPriority w:val="39"/>
    <w:semiHidden/>
    <w:unhideWhenUsed/>
    <w:rsid w:val="001A76B3"/>
    <w:pPr>
      <w:spacing w:after="0" w:line="240" w:lineRule="auto"/>
    </w:pPr>
    <w:rPr>
      <w:rFonts w:ascii="Arial" w:eastAsiaTheme="minorHAnsi" w:hAnsi="Arial" w:cstheme="minorBidi"/>
      <w:sz w:val="20"/>
    </w:rPr>
  </w:style>
  <w:style w:type="paragraph" w:styleId="TOC3">
    <w:name w:val="toc 3"/>
    <w:basedOn w:val="Normal"/>
    <w:next w:val="Normal"/>
    <w:uiPriority w:val="39"/>
    <w:semiHidden/>
    <w:unhideWhenUsed/>
    <w:rsid w:val="001A76B3"/>
    <w:pPr>
      <w:spacing w:after="0" w:line="240" w:lineRule="auto"/>
    </w:pPr>
    <w:rPr>
      <w:rFonts w:ascii="Arial" w:eastAsiaTheme="minorHAnsi" w:hAnsi="Arial" w:cstheme="minorBidi"/>
      <w:sz w:val="20"/>
    </w:rPr>
  </w:style>
  <w:style w:type="paragraph" w:styleId="TOC4">
    <w:name w:val="toc 4"/>
    <w:basedOn w:val="Normal"/>
    <w:next w:val="Normal"/>
    <w:uiPriority w:val="39"/>
    <w:semiHidden/>
    <w:unhideWhenUsed/>
    <w:rsid w:val="001A76B3"/>
    <w:pPr>
      <w:spacing w:after="0" w:line="240" w:lineRule="auto"/>
    </w:pPr>
    <w:rPr>
      <w:rFonts w:ascii="Arial" w:eastAsiaTheme="minorHAnsi" w:hAnsi="Arial" w:cstheme="minorBidi"/>
      <w:sz w:val="20"/>
    </w:rPr>
  </w:style>
  <w:style w:type="paragraph" w:styleId="TOC6">
    <w:name w:val="toc 6"/>
    <w:basedOn w:val="Normal"/>
    <w:next w:val="Normal"/>
    <w:uiPriority w:val="39"/>
    <w:semiHidden/>
    <w:unhideWhenUsed/>
    <w:rsid w:val="001A76B3"/>
    <w:pPr>
      <w:spacing w:after="0" w:line="240" w:lineRule="auto"/>
    </w:pPr>
    <w:rPr>
      <w:rFonts w:ascii="Arial" w:eastAsiaTheme="minorHAnsi" w:hAnsi="Arial" w:cstheme="minorBidi"/>
      <w:sz w:val="20"/>
    </w:rPr>
  </w:style>
  <w:style w:type="paragraph" w:styleId="TOC5">
    <w:name w:val="toc 5"/>
    <w:basedOn w:val="Normal"/>
    <w:next w:val="Normal"/>
    <w:uiPriority w:val="39"/>
    <w:semiHidden/>
    <w:unhideWhenUsed/>
    <w:rsid w:val="00072D44"/>
    <w:pPr>
      <w:spacing w:after="0" w:line="240" w:lineRule="auto"/>
    </w:pPr>
    <w:rPr>
      <w:rFonts w:ascii="Arial" w:eastAsiaTheme="minorHAnsi" w:hAnsi="Arial" w:cstheme="minorBidi"/>
      <w:sz w:val="20"/>
    </w:rPr>
  </w:style>
  <w:style w:type="paragraph" w:styleId="TOC7">
    <w:name w:val="toc 7"/>
    <w:basedOn w:val="Normal"/>
    <w:next w:val="Normal"/>
    <w:uiPriority w:val="39"/>
    <w:semiHidden/>
    <w:unhideWhenUsed/>
    <w:rsid w:val="00072D44"/>
    <w:pPr>
      <w:spacing w:after="0" w:line="240" w:lineRule="auto"/>
    </w:pPr>
    <w:rPr>
      <w:rFonts w:ascii="Arial" w:eastAsiaTheme="minorHAnsi" w:hAnsi="Arial" w:cstheme="minorBidi"/>
      <w:sz w:val="20"/>
    </w:rPr>
  </w:style>
  <w:style w:type="paragraph" w:styleId="TOC8">
    <w:name w:val="toc 8"/>
    <w:basedOn w:val="Normal"/>
    <w:next w:val="Normal"/>
    <w:uiPriority w:val="39"/>
    <w:semiHidden/>
    <w:unhideWhenUsed/>
    <w:rsid w:val="00072D44"/>
    <w:pPr>
      <w:spacing w:after="0" w:line="240" w:lineRule="auto"/>
    </w:pPr>
    <w:rPr>
      <w:rFonts w:ascii="Arial" w:eastAsiaTheme="minorHAnsi" w:hAnsi="Arial" w:cstheme="minorBidi"/>
      <w:sz w:val="20"/>
    </w:rPr>
  </w:style>
  <w:style w:type="paragraph" w:styleId="TOC9">
    <w:name w:val="toc 9"/>
    <w:basedOn w:val="Normal"/>
    <w:next w:val="Normal"/>
    <w:uiPriority w:val="39"/>
    <w:semiHidden/>
    <w:unhideWhenUsed/>
    <w:rsid w:val="00072D44"/>
    <w:pPr>
      <w:spacing w:after="0" w:line="240" w:lineRule="auto"/>
    </w:pPr>
    <w:rPr>
      <w:rFonts w:ascii="Arial" w:eastAsiaTheme="minorHAnsi" w:hAnsi="Arial" w:cstheme="minorBidi"/>
      <w:sz w:val="20"/>
    </w:rPr>
  </w:style>
  <w:style w:type="paragraph" w:styleId="ListParagraph">
    <w:name w:val="List Paragraph"/>
    <w:basedOn w:val="Normal"/>
    <w:uiPriority w:val="34"/>
    <w:rsid w:val="00BE261A"/>
    <w:pPr>
      <w:spacing w:after="0" w:line="240" w:lineRule="auto"/>
      <w:ind w:left="720"/>
    </w:pPr>
    <w:rPr>
      <w:rFonts w:ascii="Arial" w:eastAsiaTheme="minorHAnsi" w:hAnsi="Arial" w:cstheme="minorBidi"/>
      <w:sz w:val="20"/>
    </w:rPr>
  </w:style>
  <w:style w:type="paragraph" w:customStyle="1" w:styleId="cd">
    <w:name w:val="cd"/>
    <w:basedOn w:val="Normal"/>
    <w:uiPriority w:val="99"/>
    <w:rsid w:val="00600DC3"/>
    <w:pPr>
      <w:spacing w:after="0" w:line="280" w:lineRule="atLeast"/>
      <w:jc w:val="both"/>
    </w:pPr>
    <w:rPr>
      <w:rFonts w:ascii="Arial" w:hAnsi="Arial" w:cs="Times New Roman"/>
      <w:sz w:val="24"/>
      <w:szCs w:val="24"/>
      <w:lang w:eastAsia="en-GB"/>
    </w:rPr>
  </w:style>
  <w:style w:type="character" w:customStyle="1" w:styleId="bq">
    <w:name w:val="bq"/>
    <w:uiPriority w:val="99"/>
    <w:rsid w:val="00600DC3"/>
    <w:rPr>
      <w:rFonts w:ascii="Arial" w:hAnsi="Arial"/>
      <w:sz w:val="20"/>
    </w:rPr>
  </w:style>
  <w:style w:type="paragraph" w:customStyle="1" w:styleId="ce">
    <w:name w:val="ce"/>
    <w:basedOn w:val="Normal"/>
    <w:uiPriority w:val="99"/>
    <w:rsid w:val="00600DC3"/>
    <w:pPr>
      <w:spacing w:after="0" w:line="280" w:lineRule="atLeast"/>
      <w:jc w:val="both"/>
    </w:pPr>
    <w:rPr>
      <w:rFonts w:ascii="Arial"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85782">
      <w:bodyDiv w:val="1"/>
      <w:marLeft w:val="0"/>
      <w:marRight w:val="0"/>
      <w:marTop w:val="0"/>
      <w:marBottom w:val="0"/>
      <w:divBdr>
        <w:top w:val="none" w:sz="0" w:space="0" w:color="auto"/>
        <w:left w:val="none" w:sz="0" w:space="0" w:color="auto"/>
        <w:bottom w:val="none" w:sz="0" w:space="0" w:color="auto"/>
        <w:right w:val="none" w:sz="0" w:space="0" w:color="auto"/>
      </w:divBdr>
    </w:div>
    <w:div w:id="17832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BS">
  <a:themeElements>
    <a:clrScheme name="RBS">
      <a:dk1>
        <a:sysClr val="windowText" lastClr="000000"/>
      </a:dk1>
      <a:lt1>
        <a:sysClr val="window" lastClr="FFFFFF"/>
      </a:lt1>
      <a:dk2>
        <a:srgbClr val="002469"/>
      </a:dk2>
      <a:lt2>
        <a:srgbClr val="EEECE1"/>
      </a:lt2>
      <a:accent1>
        <a:srgbClr val="5381AC"/>
      </a:accent1>
      <a:accent2>
        <a:srgbClr val="B3B3B3"/>
      </a:accent2>
      <a:accent3>
        <a:srgbClr val="3A7224"/>
      </a:accent3>
      <a:accent4>
        <a:srgbClr val="A7B739"/>
      </a:accent4>
      <a:accent5>
        <a:srgbClr val="F36F21"/>
      </a:accent5>
      <a:accent6>
        <a:srgbClr val="E8C204"/>
      </a:accent6>
      <a:hlink>
        <a:srgbClr val="5381AC"/>
      </a:hlink>
      <a:folHlink>
        <a:srgbClr val="5381AC"/>
      </a:folHlink>
    </a:clrScheme>
    <a:fontScheme name="RBS">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custClrLst>
    <a:custClr name="Accent 1 100%">
      <a:srgbClr val="5381AC"/>
    </a:custClr>
    <a:custClr name="Accent 2 100%">
      <a:srgbClr val="B3B3B3"/>
    </a:custClr>
    <a:custClr name="Accent 3 100%">
      <a:srgbClr val="3A7224"/>
    </a:custClr>
    <a:custClr name="Accent 4 100%">
      <a:srgbClr val="A7B739"/>
    </a:custClr>
    <a:custClr name="Accent 5 100%">
      <a:srgbClr val="F36F21"/>
    </a:custClr>
    <a:custClr name="Accent 6 100%">
      <a:srgbClr val="E8C204"/>
    </a:custClr>
    <a:custClr name="Red 100%">
      <a:srgbClr val="C90008"/>
    </a:custClr>
    <a:custClr name="Orange2 100%">
      <a:srgbClr val="FAA61A"/>
    </a:custClr>
    <a:custClr name="Purple 100%">
      <a:srgbClr val="820EB7"/>
    </a:custClr>
    <a:custClr name="Cyan 100%">
      <a:srgbClr val="3DB7DF"/>
    </a:custClr>
    <a:custClr name="Accent 1 75%">
      <a:srgbClr val="86A1C0"/>
    </a:custClr>
    <a:custClr name="Accent 2 75%">
      <a:srgbClr val="CAC6C2"/>
    </a:custClr>
    <a:custClr name="Accent 3 75%">
      <a:srgbClr val="6B955B"/>
    </a:custClr>
    <a:custClr name="Accent 4 75%">
      <a:srgbClr val="BDC96B"/>
    </a:custClr>
    <a:custClr name="Accent 5 75%">
      <a:srgbClr val="F69359"/>
    </a:custClr>
    <a:custClr name="Accent 6 75%">
      <a:srgbClr val="EED143"/>
    </a:custClr>
    <a:custClr name="Red 75%">
      <a:srgbClr val="D74046"/>
    </a:custClr>
    <a:custClr name="Orange2 75%">
      <a:srgbClr val="FBBC53"/>
    </a:custClr>
    <a:custClr name="Purple 75%">
      <a:srgbClr val="A14AC9"/>
    </a:custClr>
    <a:custClr name="Cyan 75%">
      <a:srgbClr val="6EC9E7"/>
    </a:custClr>
    <a:custClr name="Accent 1 50%">
      <a:srgbClr val="AFC1D5"/>
    </a:custClr>
    <a:custClr name="Accent 2 50%">
      <a:srgbClr val="DCD9D6"/>
    </a:custClr>
    <a:custClr name="Accent 3 50%">
      <a:srgbClr val="9CB891"/>
    </a:custClr>
    <a:custClr name="Accent 4 50%">
      <a:srgbClr val="D3DB9C"/>
    </a:custClr>
    <a:custClr name="Accent 5 50%">
      <a:srgbClr val="F9B790"/>
    </a:custClr>
    <a:custClr name="Accent 6 50%">
      <a:srgbClr val="F3E081"/>
    </a:custClr>
    <a:custClr name="Red 50%">
      <a:srgbClr val="E47F83"/>
    </a:custClr>
    <a:custClr name="Orange2 50%">
      <a:srgbClr val="FCD28C"/>
    </a:custClr>
    <a:custClr name="Purple 50%">
      <a:srgbClr val="C086DB"/>
    </a:custClr>
    <a:custClr name="Cyan 50%">
      <a:srgbClr val="9EDBEF"/>
    </a:custClr>
    <a:custClr name="Accent 1 25%">
      <a:srgbClr val="D7E0EA"/>
    </a:custClr>
    <a:custClr name="Accent 2 25%">
      <a:srgbClr val="EDECEB"/>
    </a:custClr>
    <a:custClr name="Accent 3 25%">
      <a:srgbClr val="CEDCC8"/>
    </a:custClr>
    <a:custClr name="Accent 4 25%">
      <a:srgbClr val="E9EDCD"/>
    </a:custClr>
    <a:custClr name="Accent 5 25%">
      <a:srgbClr val="FCDBC7"/>
    </a:custClr>
    <a:custClr name="Accent 6 25%">
      <a:srgbClr val="F9F0C0"/>
    </a:custClr>
    <a:custClr name="Red 25%">
      <a:srgbClr val="F1BFC1"/>
    </a:custClr>
    <a:custClr name="Orange2 25%">
      <a:srgbClr val="FEE9C6"/>
    </a:custClr>
    <a:custClr name="Purple 25%">
      <a:srgbClr val="E0C3ED"/>
    </a:custClr>
    <a:custClr name="Cyan 25%">
      <a:srgbClr val="CEEDF7"/>
    </a:custClr>
  </a:custClrLst>
</a:theme>
</file>

<file path=docProps/app.xml><?xml version="1.0" encoding="utf-8"?>
<Properties xmlns="http://schemas.openxmlformats.org/officeDocument/2006/extended-properties" xmlns:vt="http://schemas.openxmlformats.org/officeDocument/2006/docPropsVTypes">
  <Template>NORMAL</Template>
  <TotalTime>15</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Lunn, Sarah (Investor Relations)</dc:creator>
  <cp:lastModifiedBy>Lunn, Sarah (Investor Relations)</cp:lastModifiedBy>
  <cp:revision>3</cp:revision>
  <cp:lastPrinted>2016-03-21T15:49:00Z</cp:lastPrinted>
  <dcterms:created xsi:type="dcterms:W3CDTF">2016-03-21T16:45:00Z</dcterms:created>
  <dcterms:modified xsi:type="dcterms:W3CDTF">2016-03-21T16:59:00Z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-1329436394</vt:i4>
  </property>
  <property fmtid="{D5CDD505-2E9C-101B-9397-08002B2CF9AE}" pid="3" name="_NewReviewCycle">
    <vt:lpwstr/>
  </property>
  <property fmtid="{D5CDD505-2E9C-101B-9397-08002B2CF9AE}" pid="4" name="_EmailSubject">
    <vt:lpwstr>Final Document- DAS announcement tomorrow 7.50am</vt:lpwstr>
  </property>
  <property fmtid="{D5CDD505-2E9C-101B-9397-08002B2CF9AE}" pid="5" name="_AuthorEmail">
    <vt:lpwstr>Sarah.Lunn@rbs.com</vt:lpwstr>
  </property>
  <property fmtid="{D5CDD505-2E9C-101B-9397-08002B2CF9AE}" pid="6" name="_AuthorEmailDisplayName">
    <vt:lpwstr>Lunn, Sarah (Investor Relations)</vt:lpwstr>
  </property>
</Properties>
</file>