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F73" w:rsidRPr="009D7F73" w:rsidRDefault="009D7F73" w:rsidP="009D7F73">
      <w:pPr>
        <w:pStyle w:val="Body"/>
        <w:rPr>
          <w:b/>
          <w:bCs/>
        </w:rPr>
      </w:pPr>
      <w:r w:rsidRPr="009D7F73">
        <w:rPr>
          <w:b/>
          <w:bCs/>
        </w:rPr>
        <w:t>NOT FOR RELEASE, PUBLICATION OR DISTRIBUTION IN OR INTO, OR TO ANY PERSON RESIDENT AND/OR LOCATED IN, ANY JURISDICTION WHERE SUCH RELEASE, PUBLICATION OR DISTRIBUTION IS UNLAWFUL (SEE “OFFER AND DISTRIBUTION RESTRICTIONS” BELOW)</w:t>
      </w:r>
    </w:p>
    <w:p w:rsidR="009D7F73" w:rsidRDefault="009D7F73" w:rsidP="009D7F73">
      <w:pPr>
        <w:pStyle w:val="Body"/>
        <w:rPr>
          <w:b/>
        </w:rPr>
      </w:pPr>
      <w:r>
        <w:rPr>
          <w:b/>
        </w:rPr>
        <w:t xml:space="preserve">MARCH </w:t>
      </w:r>
      <w:r w:rsidR="00100A9D">
        <w:rPr>
          <w:b/>
        </w:rPr>
        <w:t>30</w:t>
      </w:r>
      <w:r>
        <w:rPr>
          <w:b/>
        </w:rPr>
        <w:t>, 2016</w:t>
      </w:r>
    </w:p>
    <w:p w:rsidR="009D7F73" w:rsidRPr="00C44661" w:rsidRDefault="009D7F73" w:rsidP="009D7F73">
      <w:pPr>
        <w:pStyle w:val="Head"/>
        <w:jc w:val="center"/>
      </w:pPr>
      <w:r w:rsidRPr="00C44661">
        <w:t xml:space="preserve">THE ROYAL BANK OF SCOTLAND </w:t>
      </w:r>
      <w:r>
        <w:t xml:space="preserve">GROUP </w:t>
      </w:r>
      <w:r w:rsidRPr="00C44661">
        <w:t xml:space="preserve">PLC </w:t>
      </w:r>
      <w:r>
        <w:t xml:space="preserve">AND THE ROYAL BANK OF SCOTLAND PLC </w:t>
      </w:r>
      <w:r w:rsidRPr="00C44661">
        <w:t>LAUNCH CASH TENDER OFFER</w:t>
      </w:r>
      <w:r>
        <w:t>S</w:t>
      </w:r>
      <w:r w:rsidRPr="00C44661">
        <w:t xml:space="preserve"> ON CERTAIN U.S. DOLLAR SECURITIES</w:t>
      </w:r>
    </w:p>
    <w:p w:rsidR="009D7F73" w:rsidRPr="00C44661" w:rsidRDefault="009D7F73" w:rsidP="009D7F73">
      <w:pPr>
        <w:pStyle w:val="Body"/>
      </w:pPr>
      <w:r w:rsidRPr="0089763D">
        <w:t>The Royal Bank of Scotland Group plc (</w:t>
      </w:r>
      <w:r>
        <w:t>“</w:t>
      </w:r>
      <w:r w:rsidRPr="0089763D">
        <w:rPr>
          <w:b/>
          <w:bCs/>
        </w:rPr>
        <w:t>RBSG plc</w:t>
      </w:r>
      <w:r>
        <w:t>”</w:t>
      </w:r>
      <w:r w:rsidRPr="00742681">
        <w:t xml:space="preserve"> and, together with its consolidated subsidiaries, the </w:t>
      </w:r>
      <w:r>
        <w:t>“</w:t>
      </w:r>
      <w:r w:rsidRPr="00742681">
        <w:rPr>
          <w:b/>
          <w:bCs/>
        </w:rPr>
        <w:t>Group</w:t>
      </w:r>
      <w:r>
        <w:t>”</w:t>
      </w:r>
      <w:r w:rsidRPr="0089763D">
        <w:t>)</w:t>
      </w:r>
      <w:r>
        <w:t xml:space="preserve"> and The Royal Bank of Scotland plc (“</w:t>
      </w:r>
      <w:r w:rsidRPr="0047654A">
        <w:rPr>
          <w:b/>
          <w:bCs/>
        </w:rPr>
        <w:t>RBS plc</w:t>
      </w:r>
      <w:r>
        <w:t>”) (each an “</w:t>
      </w:r>
      <w:r w:rsidRPr="0047654A">
        <w:rPr>
          <w:b/>
          <w:bCs/>
        </w:rPr>
        <w:t>Offeror</w:t>
      </w:r>
      <w:r>
        <w:t>” and together, the “</w:t>
      </w:r>
      <w:r w:rsidRPr="0047654A">
        <w:rPr>
          <w:b/>
          <w:bCs/>
        </w:rPr>
        <w:t>Offerors</w:t>
      </w:r>
      <w:r>
        <w:t>”) have today separately invited holders of the securities issued by them and listed below (the “</w:t>
      </w:r>
      <w:r w:rsidRPr="0047654A">
        <w:rPr>
          <w:b/>
          <w:bCs/>
        </w:rPr>
        <w:t>Securities</w:t>
      </w:r>
      <w:r>
        <w:t>”) to tender any and all of their Securities for purchase by the relevant Offeror for cash (each an “</w:t>
      </w:r>
      <w:r w:rsidRPr="0047654A">
        <w:rPr>
          <w:b/>
          <w:bCs/>
        </w:rPr>
        <w:t>Offer</w:t>
      </w:r>
      <w:r>
        <w:t>” and together, the “</w:t>
      </w:r>
      <w:r w:rsidRPr="0047654A">
        <w:rPr>
          <w:b/>
          <w:bCs/>
        </w:rPr>
        <w:t>Offers</w:t>
      </w:r>
      <w:r>
        <w:t>”) on the terms of,</w:t>
      </w:r>
      <w:r w:rsidRPr="0089763D">
        <w:t xml:space="preserve"> and subject to the conditions set forth in th</w:t>
      </w:r>
      <w:r>
        <w:t>e</w:t>
      </w:r>
      <w:r w:rsidRPr="0089763D">
        <w:t xml:space="preserve"> tender offer memorandum </w:t>
      </w:r>
      <w:r>
        <w:t xml:space="preserve">dated March </w:t>
      </w:r>
      <w:r w:rsidR="00100A9D">
        <w:t>30</w:t>
      </w:r>
      <w:r>
        <w:t xml:space="preserve">, 2016 </w:t>
      </w:r>
      <w:r w:rsidRPr="0089763D">
        <w:t xml:space="preserve">(the </w:t>
      </w:r>
      <w:r>
        <w:t>“</w:t>
      </w:r>
      <w:r w:rsidRPr="0089763D">
        <w:rPr>
          <w:b/>
          <w:bCs/>
        </w:rPr>
        <w:t>Tender Offer Memorandum</w:t>
      </w:r>
      <w:r>
        <w:t xml:space="preserve">”). </w:t>
      </w:r>
      <w:r w:rsidRPr="00C44661">
        <w:t>Capitalized terms not otherwise defined in this announcement have the same meaning as assigned to them in the Tender Offer Memorandum.</w:t>
      </w:r>
    </w:p>
    <w:p w:rsidR="009D7F73" w:rsidRDefault="009D7F73" w:rsidP="009D7F73">
      <w:pPr>
        <w:pStyle w:val="SubHead"/>
      </w:pPr>
      <w:r w:rsidRPr="00C44661">
        <w:t>Holders are advised to read carefully the Tender Offer Memorandum for full details of, and information on the procedures for participating in, the Offers.</w:t>
      </w:r>
    </w:p>
    <w:tbl>
      <w:tblPr>
        <w:tblW w:w="9061" w:type="dxa"/>
        <w:tblInd w:w="437" w:type="dxa"/>
        <w:tblLayout w:type="fixed"/>
        <w:tblCellMar>
          <w:left w:w="0" w:type="dxa"/>
          <w:right w:w="0" w:type="dxa"/>
        </w:tblCellMar>
        <w:tblLook w:val="0000" w:firstRow="0" w:lastRow="0" w:firstColumn="0" w:lastColumn="0" w:noHBand="0" w:noVBand="0"/>
      </w:tblPr>
      <w:tblGrid>
        <w:gridCol w:w="2182"/>
        <w:gridCol w:w="226"/>
        <w:gridCol w:w="1133"/>
        <w:gridCol w:w="226"/>
        <w:gridCol w:w="1097"/>
        <w:gridCol w:w="226"/>
        <w:gridCol w:w="906"/>
        <w:gridCol w:w="226"/>
        <w:gridCol w:w="1270"/>
        <w:gridCol w:w="226"/>
        <w:gridCol w:w="1343"/>
      </w:tblGrid>
      <w:tr w:rsidR="00462DBF" w:rsidRPr="009A6E99" w:rsidTr="00462DBF">
        <w:trPr>
          <w:tblHeader/>
        </w:trPr>
        <w:tc>
          <w:tcPr>
            <w:tcW w:w="2182" w:type="dxa"/>
            <w:tcBorders>
              <w:bottom w:val="single" w:sz="4" w:space="0" w:color="auto"/>
            </w:tcBorders>
            <w:vAlign w:val="bottom"/>
          </w:tcPr>
          <w:p w:rsidR="00462DBF" w:rsidRPr="009A6E99" w:rsidRDefault="00462DBF" w:rsidP="00EF70B7">
            <w:pPr>
              <w:pStyle w:val="VSmCellHead"/>
              <w:rPr>
                <w:sz w:val="14"/>
                <w:szCs w:val="14"/>
              </w:rPr>
            </w:pPr>
            <w:r w:rsidRPr="009A6E99">
              <w:rPr>
                <w:sz w:val="14"/>
                <w:szCs w:val="14"/>
              </w:rPr>
              <w:t>Title of Fixed Rate Note</w:t>
            </w:r>
          </w:p>
        </w:tc>
        <w:tc>
          <w:tcPr>
            <w:tcW w:w="226" w:type="dxa"/>
            <w:vAlign w:val="bottom"/>
          </w:tcPr>
          <w:p w:rsidR="00462DBF" w:rsidRPr="009A6E99" w:rsidRDefault="00462DBF" w:rsidP="00EF70B7">
            <w:pPr>
              <w:pStyle w:val="CellRowSpacer"/>
              <w:rPr>
                <w:sz w:val="14"/>
                <w:szCs w:val="14"/>
              </w:rPr>
            </w:pPr>
          </w:p>
        </w:tc>
        <w:tc>
          <w:tcPr>
            <w:tcW w:w="1133" w:type="dxa"/>
            <w:tcBorders>
              <w:bottom w:val="single" w:sz="4" w:space="0" w:color="auto"/>
            </w:tcBorders>
            <w:vAlign w:val="bottom"/>
          </w:tcPr>
          <w:p w:rsidR="00462DBF" w:rsidRPr="009A6E99" w:rsidRDefault="00462DBF" w:rsidP="00EF70B7">
            <w:pPr>
              <w:pStyle w:val="VSmCellHead"/>
              <w:jc w:val="right"/>
              <w:rPr>
                <w:sz w:val="14"/>
                <w:szCs w:val="14"/>
              </w:rPr>
            </w:pPr>
            <w:r w:rsidRPr="009A6E99">
              <w:rPr>
                <w:sz w:val="14"/>
                <w:szCs w:val="14"/>
              </w:rPr>
              <w:t>Issuer and Offeror</w:t>
            </w:r>
          </w:p>
        </w:tc>
        <w:tc>
          <w:tcPr>
            <w:tcW w:w="226" w:type="dxa"/>
            <w:vAlign w:val="bottom"/>
          </w:tcPr>
          <w:p w:rsidR="00462DBF" w:rsidRPr="009A6E99" w:rsidRDefault="00462DBF" w:rsidP="00EF70B7">
            <w:pPr>
              <w:pStyle w:val="CellRowSpacer"/>
              <w:rPr>
                <w:sz w:val="14"/>
                <w:szCs w:val="14"/>
              </w:rPr>
            </w:pPr>
          </w:p>
        </w:tc>
        <w:tc>
          <w:tcPr>
            <w:tcW w:w="1097" w:type="dxa"/>
            <w:tcBorders>
              <w:bottom w:val="single" w:sz="4" w:space="0" w:color="auto"/>
            </w:tcBorders>
            <w:vAlign w:val="bottom"/>
          </w:tcPr>
          <w:p w:rsidR="00462DBF" w:rsidRPr="009A6E99" w:rsidRDefault="00462DBF" w:rsidP="00EF70B7">
            <w:pPr>
              <w:pStyle w:val="VSmCellHead"/>
              <w:jc w:val="right"/>
              <w:rPr>
                <w:sz w:val="14"/>
                <w:szCs w:val="14"/>
              </w:rPr>
            </w:pPr>
            <w:r w:rsidRPr="009A6E99">
              <w:rPr>
                <w:sz w:val="14"/>
                <w:szCs w:val="14"/>
              </w:rPr>
              <w:t>ISIN</w:t>
            </w:r>
          </w:p>
        </w:tc>
        <w:tc>
          <w:tcPr>
            <w:tcW w:w="226" w:type="dxa"/>
            <w:vAlign w:val="bottom"/>
          </w:tcPr>
          <w:p w:rsidR="00462DBF" w:rsidRPr="009A6E99" w:rsidRDefault="00462DBF" w:rsidP="00EF70B7">
            <w:pPr>
              <w:pStyle w:val="CellRowSpacer"/>
              <w:rPr>
                <w:sz w:val="14"/>
                <w:szCs w:val="14"/>
              </w:rPr>
            </w:pPr>
          </w:p>
        </w:tc>
        <w:tc>
          <w:tcPr>
            <w:tcW w:w="906" w:type="dxa"/>
            <w:tcBorders>
              <w:bottom w:val="single" w:sz="4" w:space="0" w:color="auto"/>
            </w:tcBorders>
            <w:vAlign w:val="bottom"/>
          </w:tcPr>
          <w:p w:rsidR="00462DBF" w:rsidRPr="009A6E99" w:rsidRDefault="00462DBF" w:rsidP="00EF70B7">
            <w:pPr>
              <w:pStyle w:val="VSmCellHead"/>
              <w:jc w:val="right"/>
              <w:rPr>
                <w:sz w:val="14"/>
                <w:szCs w:val="14"/>
              </w:rPr>
            </w:pPr>
            <w:r w:rsidRPr="009A6E99">
              <w:rPr>
                <w:sz w:val="14"/>
                <w:szCs w:val="14"/>
              </w:rPr>
              <w:t>CUSIP</w:t>
            </w:r>
          </w:p>
        </w:tc>
        <w:tc>
          <w:tcPr>
            <w:tcW w:w="226" w:type="dxa"/>
            <w:vAlign w:val="bottom"/>
          </w:tcPr>
          <w:p w:rsidR="00462DBF" w:rsidRPr="009A6E99" w:rsidRDefault="00462DBF" w:rsidP="00EF70B7">
            <w:pPr>
              <w:pStyle w:val="CellRowSpacer"/>
              <w:rPr>
                <w:sz w:val="14"/>
                <w:szCs w:val="14"/>
              </w:rPr>
            </w:pPr>
          </w:p>
        </w:tc>
        <w:tc>
          <w:tcPr>
            <w:tcW w:w="1270" w:type="dxa"/>
            <w:tcBorders>
              <w:bottom w:val="single" w:sz="4" w:space="0" w:color="auto"/>
            </w:tcBorders>
            <w:vAlign w:val="bottom"/>
          </w:tcPr>
          <w:p w:rsidR="00462DBF" w:rsidRPr="009A6E99" w:rsidRDefault="00462DBF" w:rsidP="00EF70B7">
            <w:pPr>
              <w:pStyle w:val="VSmCellHead"/>
              <w:jc w:val="right"/>
              <w:rPr>
                <w:sz w:val="14"/>
                <w:szCs w:val="14"/>
              </w:rPr>
            </w:pPr>
            <w:r w:rsidRPr="009A6E99">
              <w:rPr>
                <w:sz w:val="14"/>
                <w:szCs w:val="14"/>
              </w:rPr>
              <w:t xml:space="preserve">Principal Amount </w:t>
            </w:r>
            <w:r w:rsidRPr="009A6E99">
              <w:rPr>
                <w:sz w:val="14"/>
                <w:szCs w:val="14"/>
              </w:rPr>
              <w:br/>
              <w:t>Outstanding</w:t>
            </w:r>
          </w:p>
        </w:tc>
        <w:tc>
          <w:tcPr>
            <w:tcW w:w="226" w:type="dxa"/>
            <w:vAlign w:val="bottom"/>
          </w:tcPr>
          <w:p w:rsidR="00462DBF" w:rsidRPr="009A6E99" w:rsidRDefault="00462DBF" w:rsidP="00EF70B7">
            <w:pPr>
              <w:pStyle w:val="CellRowSpacer"/>
              <w:rPr>
                <w:sz w:val="14"/>
                <w:szCs w:val="14"/>
              </w:rPr>
            </w:pPr>
          </w:p>
        </w:tc>
        <w:tc>
          <w:tcPr>
            <w:tcW w:w="1343" w:type="dxa"/>
            <w:tcBorders>
              <w:bottom w:val="single" w:sz="4" w:space="0" w:color="auto"/>
            </w:tcBorders>
            <w:vAlign w:val="bottom"/>
          </w:tcPr>
          <w:p w:rsidR="00462DBF" w:rsidRPr="009A6E99" w:rsidRDefault="00462DBF" w:rsidP="00EF70B7">
            <w:pPr>
              <w:pStyle w:val="VSmCellHead"/>
              <w:jc w:val="right"/>
              <w:rPr>
                <w:sz w:val="14"/>
                <w:szCs w:val="14"/>
              </w:rPr>
            </w:pPr>
            <w:r w:rsidRPr="009A6E99">
              <w:rPr>
                <w:sz w:val="14"/>
                <w:szCs w:val="14"/>
              </w:rPr>
              <w:t>2017 Notes Purchase Price</w:t>
            </w:r>
          </w:p>
        </w:tc>
      </w:tr>
      <w:tr w:rsidR="00462DBF" w:rsidRPr="009A6E99" w:rsidTr="00462DBF">
        <w:tc>
          <w:tcPr>
            <w:tcW w:w="2182" w:type="dxa"/>
            <w:tcBorders>
              <w:top w:val="single" w:sz="4" w:space="0" w:color="auto"/>
            </w:tcBorders>
            <w:vAlign w:val="bottom"/>
          </w:tcPr>
          <w:p w:rsidR="00462DBF" w:rsidRPr="009A6E99" w:rsidRDefault="00462DBF" w:rsidP="00EF70B7">
            <w:pPr>
              <w:pStyle w:val="VSmCellBody"/>
              <w:tabs>
                <w:tab w:val="left" w:leader="dot" w:pos="3305"/>
              </w:tabs>
              <w:rPr>
                <w:sz w:val="14"/>
                <w:szCs w:val="14"/>
              </w:rPr>
            </w:pPr>
            <w:r w:rsidRPr="009A6E99">
              <w:rPr>
                <w:sz w:val="14"/>
                <w:szCs w:val="14"/>
              </w:rPr>
              <w:t>1.875% Senior Notes due 2017 (“</w:t>
            </w:r>
            <w:r w:rsidRPr="009A6E99">
              <w:rPr>
                <w:b/>
                <w:bCs/>
                <w:sz w:val="14"/>
                <w:szCs w:val="14"/>
              </w:rPr>
              <w:t>2017 Notes</w:t>
            </w:r>
            <w:r w:rsidRPr="009A6E99">
              <w:rPr>
                <w:sz w:val="14"/>
                <w:szCs w:val="14"/>
              </w:rPr>
              <w:t>”)</w:t>
            </w:r>
            <w:r w:rsidRPr="009A6E99">
              <w:rPr>
                <w:sz w:val="14"/>
                <w:szCs w:val="14"/>
              </w:rPr>
              <w:tab/>
            </w:r>
          </w:p>
        </w:tc>
        <w:tc>
          <w:tcPr>
            <w:tcW w:w="226" w:type="dxa"/>
            <w:vAlign w:val="bottom"/>
          </w:tcPr>
          <w:p w:rsidR="00462DBF" w:rsidRPr="009A6E99" w:rsidRDefault="00462DBF" w:rsidP="00EF70B7">
            <w:pPr>
              <w:pStyle w:val="CellRowSpacer"/>
              <w:rPr>
                <w:sz w:val="14"/>
                <w:szCs w:val="14"/>
              </w:rPr>
            </w:pPr>
          </w:p>
        </w:tc>
        <w:tc>
          <w:tcPr>
            <w:tcW w:w="1133" w:type="dxa"/>
            <w:tcBorders>
              <w:top w:val="single" w:sz="4" w:space="0" w:color="auto"/>
            </w:tcBorders>
            <w:vAlign w:val="bottom"/>
          </w:tcPr>
          <w:p w:rsidR="00462DBF" w:rsidRPr="009A6E99" w:rsidRDefault="00462DBF" w:rsidP="00B2431A">
            <w:pPr>
              <w:pStyle w:val="VSmCellBody"/>
              <w:rPr>
                <w:sz w:val="14"/>
                <w:szCs w:val="14"/>
              </w:rPr>
            </w:pPr>
            <w:r w:rsidRPr="009A6E99">
              <w:rPr>
                <w:sz w:val="14"/>
                <w:szCs w:val="14"/>
              </w:rPr>
              <w:t>The Royal Bank of Scotland Group plc</w:t>
            </w:r>
          </w:p>
        </w:tc>
        <w:tc>
          <w:tcPr>
            <w:tcW w:w="226" w:type="dxa"/>
            <w:vAlign w:val="bottom"/>
          </w:tcPr>
          <w:p w:rsidR="00462DBF" w:rsidRPr="009A6E99" w:rsidRDefault="00462DBF" w:rsidP="00EF70B7">
            <w:pPr>
              <w:pStyle w:val="CellRowSpacer"/>
              <w:rPr>
                <w:sz w:val="14"/>
                <w:szCs w:val="14"/>
              </w:rPr>
            </w:pPr>
          </w:p>
        </w:tc>
        <w:tc>
          <w:tcPr>
            <w:tcW w:w="1097" w:type="dxa"/>
            <w:tcBorders>
              <w:top w:val="single" w:sz="4" w:space="0" w:color="auto"/>
            </w:tcBorders>
            <w:vAlign w:val="bottom"/>
          </w:tcPr>
          <w:p w:rsidR="00462DBF" w:rsidRPr="009A6E99" w:rsidRDefault="00462DBF" w:rsidP="00EF70B7">
            <w:pPr>
              <w:pStyle w:val="VSmCellBody"/>
              <w:jc w:val="right"/>
              <w:rPr>
                <w:sz w:val="14"/>
                <w:szCs w:val="14"/>
              </w:rPr>
            </w:pPr>
            <w:r w:rsidRPr="009A6E99">
              <w:rPr>
                <w:sz w:val="14"/>
                <w:szCs w:val="14"/>
              </w:rPr>
              <w:t>US780099CG09</w:t>
            </w:r>
          </w:p>
        </w:tc>
        <w:tc>
          <w:tcPr>
            <w:tcW w:w="226" w:type="dxa"/>
            <w:vAlign w:val="bottom"/>
          </w:tcPr>
          <w:p w:rsidR="00462DBF" w:rsidRPr="009A6E99" w:rsidRDefault="00462DBF" w:rsidP="00EF70B7">
            <w:pPr>
              <w:pStyle w:val="CellRowSpacer"/>
              <w:rPr>
                <w:sz w:val="14"/>
                <w:szCs w:val="14"/>
              </w:rPr>
            </w:pPr>
          </w:p>
        </w:tc>
        <w:tc>
          <w:tcPr>
            <w:tcW w:w="906" w:type="dxa"/>
            <w:tcBorders>
              <w:top w:val="single" w:sz="4" w:space="0" w:color="auto"/>
            </w:tcBorders>
            <w:vAlign w:val="bottom"/>
          </w:tcPr>
          <w:p w:rsidR="00462DBF" w:rsidRPr="009A6E99" w:rsidRDefault="00462DBF" w:rsidP="00EF70B7">
            <w:pPr>
              <w:pStyle w:val="VSmCellBody"/>
              <w:jc w:val="right"/>
              <w:rPr>
                <w:sz w:val="14"/>
                <w:szCs w:val="14"/>
              </w:rPr>
            </w:pPr>
            <w:r w:rsidRPr="009A6E99">
              <w:rPr>
                <w:sz w:val="14"/>
                <w:szCs w:val="14"/>
              </w:rPr>
              <w:t>780099CG0</w:t>
            </w:r>
          </w:p>
        </w:tc>
        <w:tc>
          <w:tcPr>
            <w:tcW w:w="226" w:type="dxa"/>
            <w:vAlign w:val="bottom"/>
          </w:tcPr>
          <w:p w:rsidR="00462DBF" w:rsidRPr="009A6E99" w:rsidRDefault="00462DBF" w:rsidP="00EF70B7">
            <w:pPr>
              <w:pStyle w:val="CellRowSpacer"/>
              <w:rPr>
                <w:sz w:val="14"/>
                <w:szCs w:val="14"/>
              </w:rPr>
            </w:pPr>
          </w:p>
        </w:tc>
        <w:tc>
          <w:tcPr>
            <w:tcW w:w="1270" w:type="dxa"/>
            <w:tcBorders>
              <w:top w:val="single" w:sz="4" w:space="0" w:color="auto"/>
            </w:tcBorders>
            <w:vAlign w:val="bottom"/>
          </w:tcPr>
          <w:p w:rsidR="00462DBF" w:rsidRPr="009A6E99" w:rsidRDefault="00462DBF" w:rsidP="00EF70B7">
            <w:pPr>
              <w:pStyle w:val="VSmCellBody"/>
              <w:jc w:val="right"/>
              <w:rPr>
                <w:sz w:val="14"/>
                <w:szCs w:val="14"/>
              </w:rPr>
            </w:pPr>
            <w:r w:rsidRPr="009A6E99">
              <w:rPr>
                <w:sz w:val="14"/>
                <w:szCs w:val="14"/>
              </w:rPr>
              <w:t>U.S.$700,000,000</w:t>
            </w:r>
          </w:p>
        </w:tc>
        <w:tc>
          <w:tcPr>
            <w:tcW w:w="226" w:type="dxa"/>
            <w:vAlign w:val="bottom"/>
          </w:tcPr>
          <w:p w:rsidR="00462DBF" w:rsidRPr="009A6E99" w:rsidRDefault="00462DBF" w:rsidP="00EF70B7">
            <w:pPr>
              <w:pStyle w:val="CellRowSpacer"/>
              <w:rPr>
                <w:sz w:val="14"/>
                <w:szCs w:val="14"/>
              </w:rPr>
            </w:pPr>
          </w:p>
        </w:tc>
        <w:tc>
          <w:tcPr>
            <w:tcW w:w="1343" w:type="dxa"/>
            <w:tcBorders>
              <w:top w:val="single" w:sz="4" w:space="0" w:color="auto"/>
            </w:tcBorders>
            <w:vAlign w:val="bottom"/>
          </w:tcPr>
          <w:p w:rsidR="00462DBF" w:rsidRPr="009A6E99" w:rsidRDefault="00144274" w:rsidP="00144274">
            <w:pPr>
              <w:pStyle w:val="VSmCellBody"/>
              <w:jc w:val="right"/>
              <w:rPr>
                <w:sz w:val="14"/>
                <w:szCs w:val="14"/>
              </w:rPr>
            </w:pPr>
            <w:r>
              <w:rPr>
                <w:sz w:val="14"/>
                <w:szCs w:val="14"/>
              </w:rPr>
              <w:t>U.S.$1,005</w:t>
            </w:r>
            <w:r w:rsidR="00462DBF" w:rsidRPr="009A6E99">
              <w:rPr>
                <w:sz w:val="14"/>
                <w:szCs w:val="14"/>
              </w:rPr>
              <w:t xml:space="preserve"> per U.S.$1,000 principal amount</w:t>
            </w:r>
          </w:p>
        </w:tc>
      </w:tr>
    </w:tbl>
    <w:p w:rsidR="00B2431A" w:rsidRDefault="00B2431A" w:rsidP="00B2431A">
      <w:pPr>
        <w:pStyle w:val="Body"/>
      </w:pPr>
    </w:p>
    <w:tbl>
      <w:tblPr>
        <w:tblW w:w="9061" w:type="dxa"/>
        <w:tblInd w:w="437" w:type="dxa"/>
        <w:tblLayout w:type="fixed"/>
        <w:tblCellMar>
          <w:left w:w="0" w:type="dxa"/>
          <w:right w:w="0" w:type="dxa"/>
        </w:tblCellMar>
        <w:tblLook w:val="0000" w:firstRow="0" w:lastRow="0" w:firstColumn="0" w:lastColumn="0" w:noHBand="0" w:noVBand="0"/>
      </w:tblPr>
      <w:tblGrid>
        <w:gridCol w:w="1390"/>
        <w:gridCol w:w="226"/>
        <w:gridCol w:w="793"/>
        <w:gridCol w:w="226"/>
        <w:gridCol w:w="1181"/>
        <w:gridCol w:w="142"/>
        <w:gridCol w:w="850"/>
        <w:gridCol w:w="142"/>
        <w:gridCol w:w="1276"/>
        <w:gridCol w:w="141"/>
        <w:gridCol w:w="993"/>
        <w:gridCol w:w="141"/>
        <w:gridCol w:w="709"/>
        <w:gridCol w:w="284"/>
        <w:gridCol w:w="567"/>
      </w:tblGrid>
      <w:tr w:rsidR="00462DBF" w:rsidRPr="00A25639" w:rsidTr="00462DBF">
        <w:trPr>
          <w:tblHeader/>
        </w:trPr>
        <w:tc>
          <w:tcPr>
            <w:tcW w:w="1390" w:type="dxa"/>
            <w:tcBorders>
              <w:bottom w:val="single" w:sz="4" w:space="0" w:color="auto"/>
            </w:tcBorders>
            <w:vAlign w:val="bottom"/>
          </w:tcPr>
          <w:p w:rsidR="00462DBF" w:rsidRPr="00A25639" w:rsidRDefault="00462DBF" w:rsidP="00EF70B7">
            <w:pPr>
              <w:pStyle w:val="VSmCellHead"/>
              <w:rPr>
                <w:sz w:val="14"/>
                <w:szCs w:val="16"/>
              </w:rPr>
            </w:pPr>
            <w:r w:rsidRPr="00A25639">
              <w:rPr>
                <w:sz w:val="14"/>
                <w:szCs w:val="16"/>
              </w:rPr>
              <w:t xml:space="preserve">Title of </w:t>
            </w:r>
            <w:r w:rsidRPr="00A25639">
              <w:rPr>
                <w:sz w:val="14"/>
                <w:szCs w:val="16"/>
              </w:rPr>
              <w:br/>
              <w:t>Fixed Rate Note</w:t>
            </w:r>
          </w:p>
        </w:tc>
        <w:tc>
          <w:tcPr>
            <w:tcW w:w="226" w:type="dxa"/>
            <w:vAlign w:val="bottom"/>
          </w:tcPr>
          <w:p w:rsidR="00462DBF" w:rsidRPr="00A25639" w:rsidRDefault="00462DBF" w:rsidP="00EF70B7">
            <w:pPr>
              <w:pStyle w:val="CellRowSpacer"/>
              <w:rPr>
                <w:sz w:val="14"/>
                <w:szCs w:val="16"/>
              </w:rPr>
            </w:pPr>
          </w:p>
        </w:tc>
        <w:tc>
          <w:tcPr>
            <w:tcW w:w="793" w:type="dxa"/>
            <w:tcBorders>
              <w:bottom w:val="single" w:sz="4" w:space="0" w:color="auto"/>
            </w:tcBorders>
            <w:vAlign w:val="bottom"/>
          </w:tcPr>
          <w:p w:rsidR="00462DBF" w:rsidRPr="00A25639" w:rsidRDefault="00462DBF" w:rsidP="00EF70B7">
            <w:pPr>
              <w:pStyle w:val="VSmCellHead"/>
              <w:jc w:val="right"/>
              <w:rPr>
                <w:sz w:val="14"/>
                <w:szCs w:val="16"/>
              </w:rPr>
            </w:pPr>
            <w:r w:rsidRPr="00A25639">
              <w:rPr>
                <w:sz w:val="14"/>
                <w:szCs w:val="16"/>
              </w:rPr>
              <w:br/>
              <w:t>Issuer and Offeror</w:t>
            </w:r>
          </w:p>
        </w:tc>
        <w:tc>
          <w:tcPr>
            <w:tcW w:w="226" w:type="dxa"/>
            <w:vAlign w:val="bottom"/>
          </w:tcPr>
          <w:p w:rsidR="00462DBF" w:rsidRPr="00A25639" w:rsidRDefault="00462DBF" w:rsidP="00EF70B7">
            <w:pPr>
              <w:pStyle w:val="CellRowSpacer"/>
              <w:rPr>
                <w:sz w:val="14"/>
                <w:szCs w:val="16"/>
              </w:rPr>
            </w:pPr>
          </w:p>
        </w:tc>
        <w:tc>
          <w:tcPr>
            <w:tcW w:w="1181" w:type="dxa"/>
            <w:tcBorders>
              <w:bottom w:val="single" w:sz="4" w:space="0" w:color="auto"/>
            </w:tcBorders>
            <w:vAlign w:val="bottom"/>
          </w:tcPr>
          <w:p w:rsidR="00462DBF" w:rsidRPr="00A25639" w:rsidRDefault="00462DBF" w:rsidP="00EF70B7">
            <w:pPr>
              <w:pStyle w:val="VSmCellHead"/>
              <w:jc w:val="right"/>
              <w:rPr>
                <w:sz w:val="14"/>
                <w:szCs w:val="16"/>
              </w:rPr>
            </w:pPr>
            <w:r w:rsidRPr="00A25639">
              <w:rPr>
                <w:sz w:val="14"/>
                <w:szCs w:val="16"/>
              </w:rPr>
              <w:t>ISIN</w:t>
            </w:r>
          </w:p>
        </w:tc>
        <w:tc>
          <w:tcPr>
            <w:tcW w:w="142" w:type="dxa"/>
            <w:vAlign w:val="bottom"/>
          </w:tcPr>
          <w:p w:rsidR="00462DBF" w:rsidRPr="00A25639" w:rsidRDefault="00462DBF" w:rsidP="00EF70B7">
            <w:pPr>
              <w:pStyle w:val="CellRowSpacer"/>
              <w:rPr>
                <w:sz w:val="14"/>
                <w:szCs w:val="16"/>
              </w:rPr>
            </w:pPr>
          </w:p>
        </w:tc>
        <w:tc>
          <w:tcPr>
            <w:tcW w:w="850" w:type="dxa"/>
            <w:tcBorders>
              <w:bottom w:val="single" w:sz="4" w:space="0" w:color="auto"/>
            </w:tcBorders>
            <w:vAlign w:val="bottom"/>
          </w:tcPr>
          <w:p w:rsidR="00462DBF" w:rsidRPr="00A25639" w:rsidRDefault="00462DBF" w:rsidP="00EF70B7">
            <w:pPr>
              <w:pStyle w:val="VSmCellHead"/>
              <w:jc w:val="right"/>
              <w:rPr>
                <w:sz w:val="14"/>
                <w:szCs w:val="16"/>
              </w:rPr>
            </w:pPr>
            <w:r w:rsidRPr="00A25639">
              <w:rPr>
                <w:sz w:val="14"/>
                <w:szCs w:val="16"/>
              </w:rPr>
              <w:t>CUSIP</w:t>
            </w:r>
          </w:p>
        </w:tc>
        <w:tc>
          <w:tcPr>
            <w:tcW w:w="142" w:type="dxa"/>
            <w:vAlign w:val="bottom"/>
          </w:tcPr>
          <w:p w:rsidR="00462DBF" w:rsidRPr="00A25639" w:rsidRDefault="00462DBF" w:rsidP="00EF70B7">
            <w:pPr>
              <w:pStyle w:val="CellRowSpacer"/>
              <w:rPr>
                <w:sz w:val="14"/>
                <w:szCs w:val="16"/>
              </w:rPr>
            </w:pPr>
          </w:p>
        </w:tc>
        <w:tc>
          <w:tcPr>
            <w:tcW w:w="1276" w:type="dxa"/>
            <w:tcBorders>
              <w:bottom w:val="single" w:sz="4" w:space="0" w:color="auto"/>
            </w:tcBorders>
            <w:vAlign w:val="bottom"/>
          </w:tcPr>
          <w:p w:rsidR="00462DBF" w:rsidRPr="00A25639" w:rsidRDefault="00462DBF" w:rsidP="00EF70B7">
            <w:pPr>
              <w:pStyle w:val="VSmCellHead"/>
              <w:jc w:val="right"/>
              <w:rPr>
                <w:sz w:val="14"/>
                <w:szCs w:val="16"/>
              </w:rPr>
            </w:pPr>
            <w:r w:rsidRPr="00A25639">
              <w:rPr>
                <w:sz w:val="14"/>
                <w:szCs w:val="16"/>
              </w:rPr>
              <w:t xml:space="preserve">Principal Amount </w:t>
            </w:r>
            <w:r w:rsidRPr="00A25639">
              <w:rPr>
                <w:sz w:val="14"/>
                <w:szCs w:val="16"/>
              </w:rPr>
              <w:br/>
              <w:t>Outstanding</w:t>
            </w:r>
          </w:p>
        </w:tc>
        <w:tc>
          <w:tcPr>
            <w:tcW w:w="141" w:type="dxa"/>
            <w:vAlign w:val="bottom"/>
          </w:tcPr>
          <w:p w:rsidR="00462DBF" w:rsidRPr="00A25639" w:rsidRDefault="00462DBF" w:rsidP="00EF70B7">
            <w:pPr>
              <w:pStyle w:val="CellRowSpacer"/>
              <w:rPr>
                <w:sz w:val="14"/>
                <w:szCs w:val="16"/>
              </w:rPr>
            </w:pPr>
          </w:p>
        </w:tc>
        <w:tc>
          <w:tcPr>
            <w:tcW w:w="993" w:type="dxa"/>
            <w:tcBorders>
              <w:bottom w:val="single" w:sz="4" w:space="0" w:color="auto"/>
            </w:tcBorders>
            <w:vAlign w:val="bottom"/>
          </w:tcPr>
          <w:p w:rsidR="00462DBF" w:rsidRPr="00A25639" w:rsidRDefault="00462DBF" w:rsidP="00EF70B7">
            <w:pPr>
              <w:pStyle w:val="VSmCellHead"/>
              <w:jc w:val="right"/>
              <w:rPr>
                <w:sz w:val="14"/>
                <w:szCs w:val="16"/>
              </w:rPr>
            </w:pPr>
            <w:r w:rsidRPr="00A25639">
              <w:rPr>
                <w:sz w:val="14"/>
                <w:szCs w:val="16"/>
              </w:rPr>
              <w:t>Reference U.S. Treasury Security</w:t>
            </w:r>
          </w:p>
        </w:tc>
        <w:tc>
          <w:tcPr>
            <w:tcW w:w="141" w:type="dxa"/>
            <w:vAlign w:val="bottom"/>
          </w:tcPr>
          <w:p w:rsidR="00462DBF" w:rsidRPr="00A25639" w:rsidRDefault="00462DBF" w:rsidP="00EF70B7">
            <w:pPr>
              <w:pStyle w:val="CellRowSpacer"/>
              <w:rPr>
                <w:sz w:val="14"/>
                <w:szCs w:val="16"/>
              </w:rPr>
            </w:pPr>
          </w:p>
        </w:tc>
        <w:tc>
          <w:tcPr>
            <w:tcW w:w="709" w:type="dxa"/>
            <w:tcBorders>
              <w:bottom w:val="single" w:sz="4" w:space="0" w:color="auto"/>
            </w:tcBorders>
            <w:vAlign w:val="bottom"/>
          </w:tcPr>
          <w:p w:rsidR="00462DBF" w:rsidRPr="00A25639" w:rsidRDefault="00462DBF" w:rsidP="00EF70B7">
            <w:pPr>
              <w:pStyle w:val="VSmCellHead"/>
              <w:jc w:val="right"/>
              <w:rPr>
                <w:sz w:val="14"/>
                <w:szCs w:val="16"/>
              </w:rPr>
            </w:pPr>
            <w:r w:rsidRPr="00A25639">
              <w:rPr>
                <w:sz w:val="14"/>
                <w:szCs w:val="16"/>
              </w:rPr>
              <w:t>Bloomberg Reference Page</w:t>
            </w:r>
          </w:p>
        </w:tc>
        <w:tc>
          <w:tcPr>
            <w:tcW w:w="284" w:type="dxa"/>
            <w:vAlign w:val="bottom"/>
          </w:tcPr>
          <w:p w:rsidR="00462DBF" w:rsidRPr="00A25639" w:rsidRDefault="00462DBF" w:rsidP="00EF70B7">
            <w:pPr>
              <w:pStyle w:val="CellRowSpacer"/>
              <w:rPr>
                <w:sz w:val="14"/>
                <w:szCs w:val="16"/>
              </w:rPr>
            </w:pPr>
          </w:p>
        </w:tc>
        <w:tc>
          <w:tcPr>
            <w:tcW w:w="567" w:type="dxa"/>
            <w:tcBorders>
              <w:bottom w:val="single" w:sz="4" w:space="0" w:color="auto"/>
            </w:tcBorders>
            <w:vAlign w:val="bottom"/>
          </w:tcPr>
          <w:p w:rsidR="00462DBF" w:rsidRPr="00A25639" w:rsidRDefault="00462DBF" w:rsidP="00EF70B7">
            <w:pPr>
              <w:pStyle w:val="VSmCellHead"/>
              <w:jc w:val="right"/>
              <w:rPr>
                <w:sz w:val="14"/>
                <w:szCs w:val="16"/>
              </w:rPr>
            </w:pPr>
            <w:r w:rsidRPr="00A25639">
              <w:rPr>
                <w:sz w:val="14"/>
                <w:szCs w:val="16"/>
              </w:rPr>
              <w:t>Fixed Spread</w:t>
            </w:r>
          </w:p>
        </w:tc>
      </w:tr>
      <w:tr w:rsidR="00462DBF" w:rsidRPr="00A25639" w:rsidTr="00462DBF">
        <w:tc>
          <w:tcPr>
            <w:tcW w:w="1390" w:type="dxa"/>
            <w:tcBorders>
              <w:top w:val="single" w:sz="4" w:space="0" w:color="auto"/>
            </w:tcBorders>
            <w:vAlign w:val="bottom"/>
          </w:tcPr>
          <w:p w:rsidR="00462DBF" w:rsidRPr="00A25639" w:rsidRDefault="00462DBF" w:rsidP="00EF70B7">
            <w:pPr>
              <w:pStyle w:val="VSmCellBody"/>
              <w:tabs>
                <w:tab w:val="left" w:leader="dot" w:pos="2115"/>
              </w:tabs>
              <w:rPr>
                <w:sz w:val="14"/>
                <w:szCs w:val="16"/>
              </w:rPr>
            </w:pPr>
            <w:r w:rsidRPr="00A25639">
              <w:rPr>
                <w:sz w:val="14"/>
                <w:szCs w:val="16"/>
              </w:rPr>
              <w:t>6.40% Senior Notes due 2019 (“</w:t>
            </w:r>
            <w:r w:rsidRPr="00A25639">
              <w:rPr>
                <w:b/>
                <w:bCs/>
                <w:sz w:val="14"/>
                <w:szCs w:val="16"/>
              </w:rPr>
              <w:t>2019 Notes</w:t>
            </w:r>
            <w:r w:rsidRPr="00A25639">
              <w:rPr>
                <w:sz w:val="14"/>
                <w:szCs w:val="16"/>
              </w:rPr>
              <w:t>”)</w:t>
            </w:r>
            <w:r w:rsidRPr="00A25639">
              <w:rPr>
                <w:sz w:val="14"/>
                <w:szCs w:val="16"/>
              </w:rPr>
              <w:tab/>
            </w:r>
          </w:p>
        </w:tc>
        <w:tc>
          <w:tcPr>
            <w:tcW w:w="226" w:type="dxa"/>
            <w:vAlign w:val="bottom"/>
          </w:tcPr>
          <w:p w:rsidR="00462DBF" w:rsidRPr="00A25639" w:rsidRDefault="00462DBF" w:rsidP="00EF70B7">
            <w:pPr>
              <w:pStyle w:val="CellRowSpacer"/>
              <w:rPr>
                <w:sz w:val="14"/>
                <w:szCs w:val="16"/>
              </w:rPr>
            </w:pPr>
          </w:p>
        </w:tc>
        <w:tc>
          <w:tcPr>
            <w:tcW w:w="793" w:type="dxa"/>
            <w:tcBorders>
              <w:top w:val="single" w:sz="4" w:space="0" w:color="auto"/>
            </w:tcBorders>
            <w:vAlign w:val="bottom"/>
          </w:tcPr>
          <w:p w:rsidR="00462DBF" w:rsidRPr="00A25639" w:rsidRDefault="00462DBF" w:rsidP="00EF70B7">
            <w:pPr>
              <w:pStyle w:val="VSmCellBody"/>
              <w:rPr>
                <w:sz w:val="14"/>
                <w:szCs w:val="16"/>
              </w:rPr>
            </w:pPr>
            <w:r w:rsidRPr="00A25639">
              <w:rPr>
                <w:sz w:val="14"/>
                <w:szCs w:val="16"/>
              </w:rPr>
              <w:t>The Royal Bank of Scotland Group plc</w:t>
            </w:r>
          </w:p>
        </w:tc>
        <w:tc>
          <w:tcPr>
            <w:tcW w:w="226" w:type="dxa"/>
            <w:vAlign w:val="bottom"/>
          </w:tcPr>
          <w:p w:rsidR="00462DBF" w:rsidRPr="00A25639" w:rsidRDefault="00462DBF" w:rsidP="00EF70B7">
            <w:pPr>
              <w:pStyle w:val="CellRowSpacer"/>
              <w:rPr>
                <w:sz w:val="14"/>
                <w:szCs w:val="16"/>
              </w:rPr>
            </w:pPr>
          </w:p>
        </w:tc>
        <w:tc>
          <w:tcPr>
            <w:tcW w:w="1181" w:type="dxa"/>
            <w:tcBorders>
              <w:top w:val="single" w:sz="4" w:space="0" w:color="auto"/>
            </w:tcBorders>
            <w:vAlign w:val="bottom"/>
          </w:tcPr>
          <w:p w:rsidR="00462DBF" w:rsidRPr="00A25639" w:rsidRDefault="00462DBF" w:rsidP="00EF70B7">
            <w:pPr>
              <w:pStyle w:val="VSmCellBody"/>
              <w:jc w:val="right"/>
              <w:rPr>
                <w:sz w:val="14"/>
                <w:szCs w:val="16"/>
              </w:rPr>
            </w:pPr>
            <w:r w:rsidRPr="00A25639">
              <w:rPr>
                <w:sz w:val="14"/>
                <w:szCs w:val="16"/>
              </w:rPr>
              <w:t>US780097AW11</w:t>
            </w:r>
          </w:p>
        </w:tc>
        <w:tc>
          <w:tcPr>
            <w:tcW w:w="142" w:type="dxa"/>
            <w:vAlign w:val="bottom"/>
          </w:tcPr>
          <w:p w:rsidR="00462DBF" w:rsidRPr="00A25639" w:rsidRDefault="00462DBF" w:rsidP="00EF70B7">
            <w:pPr>
              <w:pStyle w:val="CellRowSpacer"/>
              <w:rPr>
                <w:sz w:val="14"/>
                <w:szCs w:val="16"/>
              </w:rPr>
            </w:pPr>
          </w:p>
        </w:tc>
        <w:tc>
          <w:tcPr>
            <w:tcW w:w="850" w:type="dxa"/>
            <w:tcBorders>
              <w:top w:val="single" w:sz="4" w:space="0" w:color="auto"/>
            </w:tcBorders>
            <w:vAlign w:val="bottom"/>
          </w:tcPr>
          <w:p w:rsidR="00462DBF" w:rsidRPr="00A25639" w:rsidRDefault="00462DBF" w:rsidP="00EF70B7">
            <w:pPr>
              <w:pStyle w:val="VSmCellBody"/>
              <w:jc w:val="right"/>
              <w:rPr>
                <w:sz w:val="14"/>
                <w:szCs w:val="16"/>
              </w:rPr>
            </w:pPr>
            <w:r w:rsidRPr="00A25639">
              <w:rPr>
                <w:sz w:val="14"/>
                <w:szCs w:val="16"/>
              </w:rPr>
              <w:t>780097AW1</w:t>
            </w:r>
          </w:p>
        </w:tc>
        <w:tc>
          <w:tcPr>
            <w:tcW w:w="142" w:type="dxa"/>
            <w:vAlign w:val="bottom"/>
          </w:tcPr>
          <w:p w:rsidR="00462DBF" w:rsidRPr="00A25639" w:rsidRDefault="00462DBF" w:rsidP="00EF70B7">
            <w:pPr>
              <w:pStyle w:val="CellRowSpacer"/>
              <w:rPr>
                <w:sz w:val="14"/>
                <w:szCs w:val="16"/>
              </w:rPr>
            </w:pPr>
          </w:p>
        </w:tc>
        <w:tc>
          <w:tcPr>
            <w:tcW w:w="1276" w:type="dxa"/>
            <w:tcBorders>
              <w:top w:val="single" w:sz="4" w:space="0" w:color="auto"/>
            </w:tcBorders>
            <w:vAlign w:val="bottom"/>
          </w:tcPr>
          <w:p w:rsidR="00462DBF" w:rsidRPr="00A25639" w:rsidRDefault="00462DBF" w:rsidP="00EF70B7">
            <w:pPr>
              <w:pStyle w:val="VSmCellBody"/>
              <w:jc w:val="right"/>
              <w:rPr>
                <w:sz w:val="14"/>
                <w:szCs w:val="16"/>
              </w:rPr>
            </w:pPr>
            <w:r w:rsidRPr="00A25639">
              <w:rPr>
                <w:sz w:val="14"/>
                <w:szCs w:val="16"/>
              </w:rPr>
              <w:t>U.S.$1,500,000,000</w:t>
            </w:r>
          </w:p>
        </w:tc>
        <w:tc>
          <w:tcPr>
            <w:tcW w:w="141" w:type="dxa"/>
            <w:vAlign w:val="bottom"/>
          </w:tcPr>
          <w:p w:rsidR="00462DBF" w:rsidRPr="00A25639" w:rsidRDefault="00462DBF" w:rsidP="00EF70B7">
            <w:pPr>
              <w:pStyle w:val="CellRowSpacer"/>
              <w:rPr>
                <w:sz w:val="14"/>
                <w:szCs w:val="16"/>
              </w:rPr>
            </w:pPr>
          </w:p>
        </w:tc>
        <w:tc>
          <w:tcPr>
            <w:tcW w:w="993" w:type="dxa"/>
            <w:tcBorders>
              <w:top w:val="single" w:sz="4" w:space="0" w:color="auto"/>
            </w:tcBorders>
            <w:vAlign w:val="bottom"/>
          </w:tcPr>
          <w:p w:rsidR="00462DBF" w:rsidRPr="00A25639" w:rsidRDefault="00462DBF" w:rsidP="00EF70B7">
            <w:pPr>
              <w:pStyle w:val="VSmCellBody"/>
              <w:jc w:val="right"/>
              <w:rPr>
                <w:sz w:val="14"/>
                <w:szCs w:val="16"/>
              </w:rPr>
            </w:pPr>
            <w:r w:rsidRPr="00A25639">
              <w:rPr>
                <w:sz w:val="14"/>
                <w:szCs w:val="16"/>
              </w:rPr>
              <w:t>1.000% due March 15, 2019</w:t>
            </w:r>
          </w:p>
        </w:tc>
        <w:tc>
          <w:tcPr>
            <w:tcW w:w="141" w:type="dxa"/>
            <w:vAlign w:val="bottom"/>
          </w:tcPr>
          <w:p w:rsidR="00462DBF" w:rsidRPr="00A25639" w:rsidRDefault="00462DBF" w:rsidP="00EF70B7">
            <w:pPr>
              <w:pStyle w:val="CellRowSpacer"/>
              <w:rPr>
                <w:sz w:val="14"/>
                <w:szCs w:val="16"/>
              </w:rPr>
            </w:pPr>
          </w:p>
        </w:tc>
        <w:tc>
          <w:tcPr>
            <w:tcW w:w="709" w:type="dxa"/>
            <w:tcBorders>
              <w:top w:val="single" w:sz="4" w:space="0" w:color="auto"/>
            </w:tcBorders>
            <w:vAlign w:val="bottom"/>
          </w:tcPr>
          <w:p w:rsidR="00462DBF" w:rsidRPr="00A25639" w:rsidRDefault="00462DBF" w:rsidP="00EF70B7">
            <w:pPr>
              <w:pStyle w:val="VSmCellBody"/>
              <w:jc w:val="right"/>
              <w:rPr>
                <w:sz w:val="14"/>
                <w:szCs w:val="16"/>
              </w:rPr>
            </w:pPr>
            <w:r w:rsidRPr="00A25639">
              <w:rPr>
                <w:sz w:val="14"/>
                <w:szCs w:val="16"/>
              </w:rPr>
              <w:t>FIT1</w:t>
            </w:r>
          </w:p>
        </w:tc>
        <w:tc>
          <w:tcPr>
            <w:tcW w:w="284" w:type="dxa"/>
            <w:vAlign w:val="bottom"/>
          </w:tcPr>
          <w:p w:rsidR="00462DBF" w:rsidRPr="00A25639" w:rsidRDefault="00462DBF" w:rsidP="00EF70B7">
            <w:pPr>
              <w:pStyle w:val="CellRowSpacer"/>
              <w:rPr>
                <w:sz w:val="14"/>
                <w:szCs w:val="16"/>
              </w:rPr>
            </w:pPr>
          </w:p>
        </w:tc>
        <w:tc>
          <w:tcPr>
            <w:tcW w:w="567" w:type="dxa"/>
            <w:tcBorders>
              <w:top w:val="single" w:sz="4" w:space="0" w:color="auto"/>
            </w:tcBorders>
            <w:vAlign w:val="bottom"/>
          </w:tcPr>
          <w:p w:rsidR="00462DBF" w:rsidRPr="00A25639" w:rsidRDefault="00144274" w:rsidP="00EF70B7">
            <w:pPr>
              <w:pStyle w:val="VSmCellBody"/>
              <w:jc w:val="right"/>
              <w:rPr>
                <w:sz w:val="14"/>
                <w:szCs w:val="16"/>
              </w:rPr>
            </w:pPr>
            <w:r>
              <w:rPr>
                <w:sz w:val="14"/>
                <w:szCs w:val="16"/>
              </w:rPr>
              <w:t>+185</w:t>
            </w:r>
            <w:r w:rsidR="00462DBF" w:rsidRPr="00A25639">
              <w:rPr>
                <w:sz w:val="14"/>
                <w:szCs w:val="16"/>
              </w:rPr>
              <w:t xml:space="preserve"> basis points</w:t>
            </w:r>
          </w:p>
        </w:tc>
      </w:tr>
      <w:tr w:rsidR="00462DBF" w:rsidRPr="00A25639" w:rsidTr="00462DBF">
        <w:tc>
          <w:tcPr>
            <w:tcW w:w="1390" w:type="dxa"/>
            <w:vAlign w:val="bottom"/>
          </w:tcPr>
          <w:p w:rsidR="00462DBF" w:rsidRPr="00A25639" w:rsidRDefault="00462DBF" w:rsidP="00EF70B7">
            <w:pPr>
              <w:pStyle w:val="VSmCellBody"/>
              <w:tabs>
                <w:tab w:val="left" w:leader="dot" w:pos="2115"/>
              </w:tabs>
              <w:rPr>
                <w:sz w:val="14"/>
                <w:szCs w:val="16"/>
              </w:rPr>
            </w:pPr>
            <w:r w:rsidRPr="00A25639">
              <w:rPr>
                <w:sz w:val="14"/>
                <w:szCs w:val="16"/>
              </w:rPr>
              <w:t>5.625% Senior Notes due 2020 (“</w:t>
            </w:r>
            <w:r w:rsidRPr="00A25639">
              <w:rPr>
                <w:b/>
                <w:bCs/>
                <w:sz w:val="14"/>
                <w:szCs w:val="16"/>
              </w:rPr>
              <w:t>2020 Notes</w:t>
            </w:r>
            <w:r w:rsidRPr="00A25639">
              <w:rPr>
                <w:sz w:val="14"/>
                <w:szCs w:val="16"/>
              </w:rPr>
              <w:t>”)</w:t>
            </w:r>
            <w:r w:rsidRPr="00A25639">
              <w:rPr>
                <w:sz w:val="14"/>
                <w:szCs w:val="16"/>
              </w:rPr>
              <w:tab/>
            </w:r>
          </w:p>
        </w:tc>
        <w:tc>
          <w:tcPr>
            <w:tcW w:w="226" w:type="dxa"/>
            <w:vAlign w:val="bottom"/>
          </w:tcPr>
          <w:p w:rsidR="00462DBF" w:rsidRPr="00A25639" w:rsidRDefault="00462DBF" w:rsidP="00EF70B7">
            <w:pPr>
              <w:pStyle w:val="CellRowSpacer"/>
              <w:rPr>
                <w:sz w:val="14"/>
                <w:szCs w:val="16"/>
              </w:rPr>
            </w:pPr>
          </w:p>
        </w:tc>
        <w:tc>
          <w:tcPr>
            <w:tcW w:w="793" w:type="dxa"/>
            <w:vAlign w:val="bottom"/>
          </w:tcPr>
          <w:p w:rsidR="00462DBF" w:rsidRPr="00A25639" w:rsidRDefault="00462DBF" w:rsidP="00EF70B7">
            <w:pPr>
              <w:pStyle w:val="VSmCellBody"/>
              <w:rPr>
                <w:sz w:val="14"/>
                <w:szCs w:val="16"/>
              </w:rPr>
            </w:pPr>
            <w:r w:rsidRPr="00A25639">
              <w:rPr>
                <w:sz w:val="14"/>
                <w:szCs w:val="16"/>
              </w:rPr>
              <w:t>The Royal Bank of Scotland plc</w:t>
            </w:r>
          </w:p>
        </w:tc>
        <w:tc>
          <w:tcPr>
            <w:tcW w:w="226" w:type="dxa"/>
            <w:vAlign w:val="bottom"/>
          </w:tcPr>
          <w:p w:rsidR="00462DBF" w:rsidRPr="00A25639" w:rsidRDefault="00462DBF" w:rsidP="00EF70B7">
            <w:pPr>
              <w:pStyle w:val="CellRowSpacer"/>
              <w:rPr>
                <w:sz w:val="14"/>
                <w:szCs w:val="16"/>
              </w:rPr>
            </w:pPr>
          </w:p>
        </w:tc>
        <w:tc>
          <w:tcPr>
            <w:tcW w:w="1181" w:type="dxa"/>
            <w:vAlign w:val="bottom"/>
          </w:tcPr>
          <w:p w:rsidR="00462DBF" w:rsidRPr="00A25639" w:rsidRDefault="00462DBF" w:rsidP="00EF70B7">
            <w:pPr>
              <w:pStyle w:val="VSmCellBody"/>
              <w:jc w:val="right"/>
              <w:rPr>
                <w:sz w:val="14"/>
                <w:szCs w:val="16"/>
              </w:rPr>
            </w:pPr>
            <w:r w:rsidRPr="00A25639">
              <w:rPr>
                <w:sz w:val="14"/>
                <w:szCs w:val="16"/>
              </w:rPr>
              <w:t>US78010XAE13</w:t>
            </w:r>
          </w:p>
        </w:tc>
        <w:tc>
          <w:tcPr>
            <w:tcW w:w="142" w:type="dxa"/>
            <w:vAlign w:val="bottom"/>
          </w:tcPr>
          <w:p w:rsidR="00462DBF" w:rsidRPr="00A25639" w:rsidRDefault="00462DBF" w:rsidP="00EF70B7">
            <w:pPr>
              <w:pStyle w:val="CellRowSpacer"/>
              <w:rPr>
                <w:sz w:val="14"/>
                <w:szCs w:val="16"/>
              </w:rPr>
            </w:pPr>
          </w:p>
        </w:tc>
        <w:tc>
          <w:tcPr>
            <w:tcW w:w="850" w:type="dxa"/>
            <w:vAlign w:val="bottom"/>
          </w:tcPr>
          <w:p w:rsidR="00462DBF" w:rsidRPr="00A25639" w:rsidRDefault="00462DBF" w:rsidP="00EF70B7">
            <w:pPr>
              <w:pStyle w:val="VSmCellBody"/>
              <w:jc w:val="right"/>
              <w:rPr>
                <w:sz w:val="14"/>
                <w:szCs w:val="16"/>
              </w:rPr>
            </w:pPr>
            <w:r w:rsidRPr="00A25639">
              <w:rPr>
                <w:sz w:val="14"/>
                <w:szCs w:val="16"/>
              </w:rPr>
              <w:t>78010XAE1</w:t>
            </w:r>
          </w:p>
        </w:tc>
        <w:tc>
          <w:tcPr>
            <w:tcW w:w="142" w:type="dxa"/>
            <w:vAlign w:val="bottom"/>
          </w:tcPr>
          <w:p w:rsidR="00462DBF" w:rsidRPr="00A25639" w:rsidRDefault="00462DBF" w:rsidP="00EF70B7">
            <w:pPr>
              <w:pStyle w:val="CellRowSpacer"/>
              <w:rPr>
                <w:sz w:val="14"/>
                <w:szCs w:val="16"/>
              </w:rPr>
            </w:pPr>
          </w:p>
        </w:tc>
        <w:tc>
          <w:tcPr>
            <w:tcW w:w="1276" w:type="dxa"/>
            <w:vAlign w:val="bottom"/>
          </w:tcPr>
          <w:p w:rsidR="00462DBF" w:rsidRPr="00A25639" w:rsidRDefault="00462DBF" w:rsidP="00EF70B7">
            <w:pPr>
              <w:pStyle w:val="VSmCellBody"/>
              <w:jc w:val="right"/>
              <w:rPr>
                <w:sz w:val="14"/>
                <w:szCs w:val="16"/>
              </w:rPr>
            </w:pPr>
            <w:r w:rsidRPr="00A25639">
              <w:rPr>
                <w:sz w:val="14"/>
                <w:szCs w:val="16"/>
              </w:rPr>
              <w:t>U.S.$ 429,740,000</w:t>
            </w:r>
          </w:p>
        </w:tc>
        <w:tc>
          <w:tcPr>
            <w:tcW w:w="141" w:type="dxa"/>
            <w:vAlign w:val="bottom"/>
          </w:tcPr>
          <w:p w:rsidR="00462DBF" w:rsidRPr="00A25639" w:rsidRDefault="00462DBF" w:rsidP="00EF70B7">
            <w:pPr>
              <w:pStyle w:val="CellRowSpacer"/>
              <w:rPr>
                <w:sz w:val="14"/>
                <w:szCs w:val="16"/>
              </w:rPr>
            </w:pPr>
          </w:p>
        </w:tc>
        <w:tc>
          <w:tcPr>
            <w:tcW w:w="993" w:type="dxa"/>
            <w:vAlign w:val="bottom"/>
          </w:tcPr>
          <w:p w:rsidR="00462DBF" w:rsidRPr="00A25639" w:rsidRDefault="00462DBF" w:rsidP="00EF70B7">
            <w:pPr>
              <w:pStyle w:val="VSmCellBody"/>
              <w:jc w:val="right"/>
              <w:rPr>
                <w:sz w:val="14"/>
                <w:szCs w:val="16"/>
              </w:rPr>
            </w:pPr>
            <w:r w:rsidRPr="00A25639">
              <w:rPr>
                <w:sz w:val="14"/>
                <w:szCs w:val="16"/>
              </w:rPr>
              <w:t>1.125% due March 15, 2021</w:t>
            </w:r>
          </w:p>
        </w:tc>
        <w:tc>
          <w:tcPr>
            <w:tcW w:w="141" w:type="dxa"/>
            <w:vAlign w:val="bottom"/>
          </w:tcPr>
          <w:p w:rsidR="00462DBF" w:rsidRPr="00A25639" w:rsidRDefault="00462DBF" w:rsidP="00EF70B7">
            <w:pPr>
              <w:pStyle w:val="CellRowSpacer"/>
              <w:rPr>
                <w:sz w:val="14"/>
                <w:szCs w:val="16"/>
              </w:rPr>
            </w:pPr>
          </w:p>
        </w:tc>
        <w:tc>
          <w:tcPr>
            <w:tcW w:w="709" w:type="dxa"/>
            <w:vAlign w:val="bottom"/>
          </w:tcPr>
          <w:p w:rsidR="00462DBF" w:rsidRPr="00A25639" w:rsidRDefault="00462DBF" w:rsidP="00EF70B7">
            <w:pPr>
              <w:pStyle w:val="VSmCellBody"/>
              <w:jc w:val="right"/>
              <w:rPr>
                <w:sz w:val="14"/>
                <w:szCs w:val="16"/>
              </w:rPr>
            </w:pPr>
            <w:r w:rsidRPr="00A25639">
              <w:rPr>
                <w:sz w:val="14"/>
                <w:szCs w:val="16"/>
              </w:rPr>
              <w:t>FIT1</w:t>
            </w:r>
          </w:p>
        </w:tc>
        <w:tc>
          <w:tcPr>
            <w:tcW w:w="284" w:type="dxa"/>
            <w:vAlign w:val="bottom"/>
          </w:tcPr>
          <w:p w:rsidR="00462DBF" w:rsidRPr="00A25639" w:rsidRDefault="00462DBF" w:rsidP="00EF70B7">
            <w:pPr>
              <w:pStyle w:val="CellRowSpacer"/>
              <w:rPr>
                <w:sz w:val="14"/>
                <w:szCs w:val="16"/>
              </w:rPr>
            </w:pPr>
          </w:p>
        </w:tc>
        <w:tc>
          <w:tcPr>
            <w:tcW w:w="567" w:type="dxa"/>
            <w:vAlign w:val="bottom"/>
          </w:tcPr>
          <w:p w:rsidR="00462DBF" w:rsidRPr="00A25639" w:rsidRDefault="00144274" w:rsidP="00144274">
            <w:pPr>
              <w:pStyle w:val="VSmCellBody"/>
              <w:jc w:val="right"/>
              <w:rPr>
                <w:sz w:val="14"/>
                <w:szCs w:val="16"/>
              </w:rPr>
            </w:pPr>
            <w:r>
              <w:rPr>
                <w:sz w:val="14"/>
                <w:szCs w:val="16"/>
              </w:rPr>
              <w:t>+125</w:t>
            </w:r>
            <w:r w:rsidR="00462DBF" w:rsidRPr="00A25639">
              <w:rPr>
                <w:sz w:val="14"/>
                <w:szCs w:val="16"/>
              </w:rPr>
              <w:t xml:space="preserve"> basis points</w:t>
            </w:r>
          </w:p>
        </w:tc>
      </w:tr>
      <w:tr w:rsidR="00462DBF" w:rsidRPr="00A25639" w:rsidTr="00462DBF">
        <w:tc>
          <w:tcPr>
            <w:tcW w:w="1390" w:type="dxa"/>
            <w:vAlign w:val="bottom"/>
          </w:tcPr>
          <w:p w:rsidR="00462DBF" w:rsidRPr="00A25639" w:rsidRDefault="00462DBF" w:rsidP="00EF70B7">
            <w:pPr>
              <w:pStyle w:val="VSmCellBody"/>
              <w:tabs>
                <w:tab w:val="left" w:leader="dot" w:pos="2115"/>
              </w:tabs>
              <w:rPr>
                <w:sz w:val="14"/>
                <w:szCs w:val="16"/>
              </w:rPr>
            </w:pPr>
            <w:r w:rsidRPr="00A25639">
              <w:rPr>
                <w:sz w:val="14"/>
                <w:szCs w:val="16"/>
              </w:rPr>
              <w:t>6.125% Senior Notes due 2021 (“</w:t>
            </w:r>
            <w:r w:rsidRPr="00A25639">
              <w:rPr>
                <w:b/>
                <w:bCs/>
                <w:sz w:val="14"/>
                <w:szCs w:val="16"/>
              </w:rPr>
              <w:t>2021 Notes</w:t>
            </w:r>
            <w:r w:rsidRPr="00A25639">
              <w:rPr>
                <w:sz w:val="14"/>
                <w:szCs w:val="16"/>
              </w:rPr>
              <w:t>”)</w:t>
            </w:r>
            <w:r w:rsidRPr="00A25639">
              <w:rPr>
                <w:sz w:val="14"/>
                <w:szCs w:val="16"/>
              </w:rPr>
              <w:tab/>
            </w:r>
          </w:p>
        </w:tc>
        <w:tc>
          <w:tcPr>
            <w:tcW w:w="226" w:type="dxa"/>
            <w:vAlign w:val="bottom"/>
          </w:tcPr>
          <w:p w:rsidR="00462DBF" w:rsidRPr="00A25639" w:rsidRDefault="00462DBF" w:rsidP="00EF70B7">
            <w:pPr>
              <w:pStyle w:val="CellRowSpacer"/>
              <w:rPr>
                <w:sz w:val="14"/>
                <w:szCs w:val="16"/>
              </w:rPr>
            </w:pPr>
          </w:p>
        </w:tc>
        <w:tc>
          <w:tcPr>
            <w:tcW w:w="793" w:type="dxa"/>
            <w:vAlign w:val="bottom"/>
          </w:tcPr>
          <w:p w:rsidR="00462DBF" w:rsidRPr="00A25639" w:rsidRDefault="00462DBF" w:rsidP="00EF70B7">
            <w:pPr>
              <w:pStyle w:val="VSmCellBody"/>
              <w:rPr>
                <w:sz w:val="14"/>
                <w:szCs w:val="16"/>
              </w:rPr>
            </w:pPr>
            <w:r w:rsidRPr="00A25639">
              <w:rPr>
                <w:sz w:val="14"/>
                <w:szCs w:val="16"/>
              </w:rPr>
              <w:t>The Royal Bank of Scotland plc</w:t>
            </w:r>
          </w:p>
        </w:tc>
        <w:tc>
          <w:tcPr>
            <w:tcW w:w="226" w:type="dxa"/>
            <w:vAlign w:val="bottom"/>
          </w:tcPr>
          <w:p w:rsidR="00462DBF" w:rsidRPr="00A25639" w:rsidRDefault="00462DBF" w:rsidP="00EF70B7">
            <w:pPr>
              <w:pStyle w:val="CellRowSpacer"/>
              <w:rPr>
                <w:sz w:val="14"/>
                <w:szCs w:val="16"/>
              </w:rPr>
            </w:pPr>
          </w:p>
        </w:tc>
        <w:tc>
          <w:tcPr>
            <w:tcW w:w="1181" w:type="dxa"/>
            <w:vAlign w:val="bottom"/>
          </w:tcPr>
          <w:p w:rsidR="00462DBF" w:rsidRPr="00A25639" w:rsidRDefault="00462DBF" w:rsidP="00EF70B7">
            <w:pPr>
              <w:pStyle w:val="VSmCellBody"/>
              <w:jc w:val="right"/>
              <w:rPr>
                <w:sz w:val="14"/>
                <w:szCs w:val="16"/>
              </w:rPr>
            </w:pPr>
            <w:r w:rsidRPr="00A25639">
              <w:rPr>
                <w:sz w:val="14"/>
                <w:szCs w:val="16"/>
              </w:rPr>
              <w:t>US78010XAK72</w:t>
            </w:r>
          </w:p>
        </w:tc>
        <w:tc>
          <w:tcPr>
            <w:tcW w:w="142" w:type="dxa"/>
            <w:vAlign w:val="bottom"/>
          </w:tcPr>
          <w:p w:rsidR="00462DBF" w:rsidRPr="00A25639" w:rsidRDefault="00462DBF" w:rsidP="00EF70B7">
            <w:pPr>
              <w:pStyle w:val="CellRowSpacer"/>
              <w:rPr>
                <w:sz w:val="14"/>
                <w:szCs w:val="16"/>
              </w:rPr>
            </w:pPr>
          </w:p>
        </w:tc>
        <w:tc>
          <w:tcPr>
            <w:tcW w:w="850" w:type="dxa"/>
            <w:vAlign w:val="bottom"/>
          </w:tcPr>
          <w:p w:rsidR="00462DBF" w:rsidRPr="00A25639" w:rsidRDefault="00462DBF" w:rsidP="00EF70B7">
            <w:pPr>
              <w:pStyle w:val="VSmCellBody"/>
              <w:jc w:val="right"/>
              <w:rPr>
                <w:sz w:val="14"/>
                <w:szCs w:val="16"/>
              </w:rPr>
            </w:pPr>
            <w:r w:rsidRPr="00A25639">
              <w:rPr>
                <w:sz w:val="14"/>
                <w:szCs w:val="16"/>
              </w:rPr>
              <w:t>78010XAK7</w:t>
            </w:r>
          </w:p>
        </w:tc>
        <w:tc>
          <w:tcPr>
            <w:tcW w:w="142" w:type="dxa"/>
            <w:vAlign w:val="bottom"/>
          </w:tcPr>
          <w:p w:rsidR="00462DBF" w:rsidRPr="00A25639" w:rsidRDefault="00462DBF" w:rsidP="00EF70B7">
            <w:pPr>
              <w:pStyle w:val="CellRowSpacer"/>
              <w:rPr>
                <w:sz w:val="14"/>
                <w:szCs w:val="16"/>
              </w:rPr>
            </w:pPr>
          </w:p>
        </w:tc>
        <w:tc>
          <w:tcPr>
            <w:tcW w:w="1276" w:type="dxa"/>
            <w:vAlign w:val="bottom"/>
          </w:tcPr>
          <w:p w:rsidR="00462DBF" w:rsidRPr="00A25639" w:rsidRDefault="00462DBF" w:rsidP="00EF70B7">
            <w:pPr>
              <w:pStyle w:val="VSmCellBody"/>
              <w:jc w:val="right"/>
              <w:rPr>
                <w:sz w:val="14"/>
                <w:szCs w:val="16"/>
              </w:rPr>
            </w:pPr>
            <w:r w:rsidRPr="00A25639">
              <w:rPr>
                <w:sz w:val="14"/>
                <w:szCs w:val="16"/>
              </w:rPr>
              <w:t>U.S.$321,248,000</w:t>
            </w:r>
          </w:p>
        </w:tc>
        <w:tc>
          <w:tcPr>
            <w:tcW w:w="141" w:type="dxa"/>
            <w:vAlign w:val="bottom"/>
          </w:tcPr>
          <w:p w:rsidR="00462DBF" w:rsidRPr="00A25639" w:rsidRDefault="00462DBF" w:rsidP="00EF70B7">
            <w:pPr>
              <w:pStyle w:val="CellRowSpacer"/>
              <w:rPr>
                <w:sz w:val="14"/>
                <w:szCs w:val="16"/>
              </w:rPr>
            </w:pPr>
          </w:p>
        </w:tc>
        <w:tc>
          <w:tcPr>
            <w:tcW w:w="993" w:type="dxa"/>
            <w:vAlign w:val="bottom"/>
          </w:tcPr>
          <w:p w:rsidR="00462DBF" w:rsidRPr="00A25639" w:rsidRDefault="00462DBF" w:rsidP="00EF70B7">
            <w:pPr>
              <w:pStyle w:val="VSmCellBody"/>
              <w:jc w:val="right"/>
              <w:rPr>
                <w:sz w:val="14"/>
                <w:szCs w:val="16"/>
              </w:rPr>
            </w:pPr>
            <w:r w:rsidRPr="00A25639">
              <w:rPr>
                <w:sz w:val="14"/>
                <w:szCs w:val="16"/>
              </w:rPr>
              <w:t>1.125% due February 28,  2021</w:t>
            </w:r>
          </w:p>
        </w:tc>
        <w:tc>
          <w:tcPr>
            <w:tcW w:w="141" w:type="dxa"/>
            <w:vAlign w:val="bottom"/>
          </w:tcPr>
          <w:p w:rsidR="00462DBF" w:rsidRPr="00A25639" w:rsidRDefault="00462DBF" w:rsidP="00EF70B7">
            <w:pPr>
              <w:pStyle w:val="CellRowSpacer"/>
              <w:rPr>
                <w:sz w:val="14"/>
                <w:szCs w:val="16"/>
              </w:rPr>
            </w:pPr>
          </w:p>
        </w:tc>
        <w:tc>
          <w:tcPr>
            <w:tcW w:w="709" w:type="dxa"/>
            <w:vAlign w:val="bottom"/>
          </w:tcPr>
          <w:p w:rsidR="00462DBF" w:rsidRPr="00A25639" w:rsidRDefault="00462DBF" w:rsidP="00EF70B7">
            <w:pPr>
              <w:pStyle w:val="VSmCellBody"/>
              <w:jc w:val="right"/>
              <w:rPr>
                <w:sz w:val="14"/>
                <w:szCs w:val="16"/>
              </w:rPr>
            </w:pPr>
            <w:r w:rsidRPr="00A25639">
              <w:rPr>
                <w:sz w:val="14"/>
                <w:szCs w:val="16"/>
              </w:rPr>
              <w:t>FIT1</w:t>
            </w:r>
          </w:p>
        </w:tc>
        <w:tc>
          <w:tcPr>
            <w:tcW w:w="284" w:type="dxa"/>
            <w:vAlign w:val="bottom"/>
          </w:tcPr>
          <w:p w:rsidR="00462DBF" w:rsidRPr="00A25639" w:rsidRDefault="00462DBF" w:rsidP="00EF70B7">
            <w:pPr>
              <w:pStyle w:val="CellRowSpacer"/>
              <w:rPr>
                <w:sz w:val="14"/>
                <w:szCs w:val="16"/>
              </w:rPr>
            </w:pPr>
          </w:p>
        </w:tc>
        <w:tc>
          <w:tcPr>
            <w:tcW w:w="567" w:type="dxa"/>
            <w:vAlign w:val="bottom"/>
          </w:tcPr>
          <w:p w:rsidR="00462DBF" w:rsidRPr="00A25639" w:rsidRDefault="00144274" w:rsidP="00144274">
            <w:pPr>
              <w:pStyle w:val="VSmCellBody"/>
              <w:jc w:val="right"/>
              <w:rPr>
                <w:sz w:val="14"/>
                <w:szCs w:val="16"/>
              </w:rPr>
            </w:pPr>
            <w:r>
              <w:rPr>
                <w:sz w:val="14"/>
                <w:szCs w:val="16"/>
              </w:rPr>
              <w:t>+135</w:t>
            </w:r>
            <w:r w:rsidR="00462DBF" w:rsidRPr="00A25639">
              <w:rPr>
                <w:sz w:val="14"/>
                <w:szCs w:val="16"/>
              </w:rPr>
              <w:t xml:space="preserve"> basis points</w:t>
            </w:r>
          </w:p>
        </w:tc>
      </w:tr>
    </w:tbl>
    <w:p w:rsidR="00B2431A" w:rsidRDefault="00B2431A" w:rsidP="00B2431A">
      <w:pPr>
        <w:pStyle w:val="Body"/>
      </w:pPr>
    </w:p>
    <w:p w:rsidR="009D7F73" w:rsidRPr="0047654A" w:rsidRDefault="009D7F73" w:rsidP="009D7F73">
      <w:pPr>
        <w:pStyle w:val="SubHead"/>
      </w:pPr>
      <w:r w:rsidRPr="0047654A">
        <w:t>Rationale for the Offers</w:t>
      </w:r>
    </w:p>
    <w:p w:rsidR="009D7F73" w:rsidRDefault="009D7F73" w:rsidP="009D7F73">
      <w:pPr>
        <w:pStyle w:val="Body"/>
      </w:pPr>
      <w:r>
        <w:t>The Offerors have today also separately invited holders of certain euro and pounds sterling denominated debt securities issued by them who are outside the United States to tender those securities for purchase by the relevant Offeror (the “</w:t>
      </w:r>
      <w:r w:rsidRPr="0004197D">
        <w:rPr>
          <w:b/>
          <w:bCs/>
        </w:rPr>
        <w:t>Non-U.S. Offers</w:t>
      </w:r>
      <w:r>
        <w:t>”). The Non-U.S. Offers are being made in certain countries outside the United States only.</w:t>
      </w:r>
    </w:p>
    <w:p w:rsidR="009D7F73" w:rsidRDefault="009D7F73" w:rsidP="009D7F73">
      <w:pPr>
        <w:pStyle w:val="Body"/>
      </w:pPr>
      <w:r>
        <w:t xml:space="preserve">The Offers and the Non-U.S. Offers are made as part of the Offerors’ ongoing liability management, with the intention of supporting the ongoing transition of the </w:t>
      </w:r>
      <w:r w:rsidRPr="00742681">
        <w:t>Group</w:t>
      </w:r>
      <w:r>
        <w:t xml:space="preserve"> to a holding company capital and term funding model in line with regulatory requirements.</w:t>
      </w:r>
    </w:p>
    <w:p w:rsidR="009D7F73" w:rsidRDefault="009D7F73" w:rsidP="009D7F73">
      <w:pPr>
        <w:pStyle w:val="Body"/>
      </w:pPr>
      <w:bookmarkStart w:id="0" w:name="_GoBack"/>
      <w:bookmarkEnd w:id="0"/>
      <w:r>
        <w:lastRenderedPageBreak/>
        <w:t>Through the Offers and the Non-U.S. Offers, each Offeror  intends to manage their overall liability composition and mix for value.  In this regard, each Offeror considers future interest expense with reference to its balance sheet whilst maintaining a prudent approach to liquidity and costs.</w:t>
      </w:r>
    </w:p>
    <w:p w:rsidR="009D7F73" w:rsidRDefault="009D7F73" w:rsidP="009D7F73">
      <w:pPr>
        <w:pStyle w:val="Body"/>
      </w:pPr>
      <w:r w:rsidRPr="00784B0F">
        <w:t xml:space="preserve">The Group is offering relevant </w:t>
      </w:r>
      <w:r>
        <w:t xml:space="preserve">holders of </w:t>
      </w:r>
      <w:r w:rsidRPr="00784B0F">
        <w:t>RBS plc</w:t>
      </w:r>
      <w:r>
        <w:t>’s</w:t>
      </w:r>
      <w:r w:rsidRPr="00784B0F">
        <w:t xml:space="preserve"> </w:t>
      </w:r>
      <w:r>
        <w:t xml:space="preserve">Securities </w:t>
      </w:r>
      <w:r w:rsidRPr="00784B0F">
        <w:t xml:space="preserve">a further opportunity to tender their </w:t>
      </w:r>
      <w:r>
        <w:t>Securities</w:t>
      </w:r>
      <w:r w:rsidRPr="00784B0F">
        <w:t>. RBS plc is intended to be one of the future non-ringfenced banking entities of the Group</w:t>
      </w:r>
      <w:r>
        <w:t>.</w:t>
      </w:r>
    </w:p>
    <w:p w:rsidR="009D7F73" w:rsidRDefault="009D7F73" w:rsidP="009D7F73">
      <w:pPr>
        <w:pStyle w:val="Body"/>
      </w:pPr>
      <w:r>
        <w:t>The Offers are not conditional upon any future capital markets issuance.</w:t>
      </w:r>
    </w:p>
    <w:p w:rsidR="009D7F73" w:rsidRPr="009D7F73" w:rsidRDefault="009D7F73" w:rsidP="009D7F73">
      <w:pPr>
        <w:pStyle w:val="Head"/>
      </w:pPr>
      <w:r w:rsidRPr="009D7F73">
        <w:t>Purchase Prices and Accrued Interest</w:t>
      </w:r>
    </w:p>
    <w:p w:rsidR="009D7F73" w:rsidRDefault="009D7F73" w:rsidP="009D7F73">
      <w:pPr>
        <w:pStyle w:val="Body"/>
      </w:pPr>
      <w:r>
        <w:t>In respect of the 2017 Notes, RBSG plc will pay the purchase price of U.S.$</w:t>
      </w:r>
      <w:r w:rsidR="00144274">
        <w:t>1,005</w:t>
      </w:r>
      <w:r>
        <w:t xml:space="preserve"> per U.S.$1,000 principal amount of the 2017 Notes (the “</w:t>
      </w:r>
      <w:r w:rsidRPr="00191ACF">
        <w:rPr>
          <w:b/>
          <w:bCs/>
        </w:rPr>
        <w:t>2017 Notes Purchase Price</w:t>
      </w:r>
      <w:r>
        <w:t>”) validly tendered and accepted for purchase.</w:t>
      </w:r>
    </w:p>
    <w:p w:rsidR="009D7F73" w:rsidRPr="0075555D" w:rsidRDefault="009D7F73" w:rsidP="009D7F73">
      <w:pPr>
        <w:pStyle w:val="Body"/>
      </w:pPr>
      <w:r>
        <w:t>In respect of the 2019 Notes, 2020 Notes and 2021 Notes (together, the “</w:t>
      </w:r>
      <w:r>
        <w:rPr>
          <w:b/>
          <w:bCs/>
        </w:rPr>
        <w:t>Fixed Spread Securities</w:t>
      </w:r>
      <w:r>
        <w:t>”), t</w:t>
      </w:r>
      <w:r w:rsidRPr="0075555D">
        <w:t xml:space="preserve">he relevant Offeror will pay a purchase price (the </w:t>
      </w:r>
      <w:r>
        <w:t>“</w:t>
      </w:r>
      <w:r w:rsidRPr="00191ACF">
        <w:rPr>
          <w:b/>
          <w:bCs/>
        </w:rPr>
        <w:t>Fixed Spread</w:t>
      </w:r>
      <w:r>
        <w:t xml:space="preserve"> </w:t>
      </w:r>
      <w:r w:rsidRPr="0075555D">
        <w:rPr>
          <w:b/>
        </w:rPr>
        <w:t>Purchase Price</w:t>
      </w:r>
      <w:r>
        <w:t>”, and together with the 2017 Notes Purchase Price, each a “</w:t>
      </w:r>
      <w:r w:rsidRPr="00191ACF">
        <w:rPr>
          <w:b/>
          <w:bCs/>
        </w:rPr>
        <w:t>Purchase Price</w:t>
      </w:r>
      <w:r>
        <w:t>”</w:t>
      </w:r>
      <w:r w:rsidRPr="0075555D">
        <w:t xml:space="preserve">) per U.S.$1,000 principal amount of </w:t>
      </w:r>
      <w:r>
        <w:t xml:space="preserve">the Fixed Spread </w:t>
      </w:r>
      <w:r w:rsidRPr="0075555D">
        <w:t xml:space="preserve">Securities validly tendered and accepted by it for purchase (before accrued interest) pursuant to the relevant Offer calculated as described </w:t>
      </w:r>
      <w:r>
        <w:t xml:space="preserve">in the Tender Offer Memorandum </w:t>
      </w:r>
      <w:r w:rsidRPr="0075555D">
        <w:t xml:space="preserve"> in a manner intended to result in a yield to maturity (the </w:t>
      </w:r>
      <w:r>
        <w:t>“</w:t>
      </w:r>
      <w:r w:rsidRPr="0075555D">
        <w:rPr>
          <w:b/>
        </w:rPr>
        <w:t>Repurchase Yield</w:t>
      </w:r>
      <w:r>
        <w:t>”</w:t>
      </w:r>
      <w:r w:rsidRPr="0075555D">
        <w:t>) equal to the sum of:</w:t>
      </w:r>
    </w:p>
    <w:p w:rsidR="009D7F73" w:rsidRPr="0075555D" w:rsidRDefault="009D7F73" w:rsidP="009D7F73">
      <w:pPr>
        <w:pStyle w:val="bullet2"/>
      </w:pPr>
      <w:r w:rsidRPr="0075555D">
        <w:t xml:space="preserve">the yield to maturity (the </w:t>
      </w:r>
      <w:r>
        <w:t>“</w:t>
      </w:r>
      <w:r w:rsidRPr="0075555D">
        <w:rPr>
          <w:b/>
        </w:rPr>
        <w:t>Reference Yield</w:t>
      </w:r>
      <w:r>
        <w:t>”</w:t>
      </w:r>
      <w:r w:rsidRPr="0075555D">
        <w:t xml:space="preserve">) based on the bid-side price of the relevant Reference U.S. Treasury Security specified in the table above (each a </w:t>
      </w:r>
      <w:r>
        <w:t>“</w:t>
      </w:r>
      <w:r w:rsidRPr="0075555D">
        <w:rPr>
          <w:b/>
        </w:rPr>
        <w:t>Reference Treasury Security</w:t>
      </w:r>
      <w:r>
        <w:t>”</w:t>
      </w:r>
      <w:r w:rsidRPr="0075555D">
        <w:t xml:space="preserve">) as reported on the Bloomberg Reference Page specified above at 11.00 a.m., New York City time, on </w:t>
      </w:r>
      <w:r>
        <w:t xml:space="preserve">April </w:t>
      </w:r>
      <w:r w:rsidR="00100A9D">
        <w:t>6</w:t>
      </w:r>
      <w:r w:rsidRPr="0075555D">
        <w:t xml:space="preserve">, 2016, unless such time and date may be extended (the </w:t>
      </w:r>
      <w:r>
        <w:t>“</w:t>
      </w:r>
      <w:r w:rsidRPr="0075555D">
        <w:rPr>
          <w:b/>
        </w:rPr>
        <w:t>Price Determination Time</w:t>
      </w:r>
      <w:r>
        <w:t>”</w:t>
      </w:r>
      <w:r w:rsidRPr="0075555D">
        <w:t>)</w:t>
      </w:r>
      <w:r>
        <w:t>;</w:t>
      </w:r>
      <w:r w:rsidRPr="0075555D">
        <w:t xml:space="preserve"> and</w:t>
      </w:r>
    </w:p>
    <w:p w:rsidR="009D7F73" w:rsidRPr="0075555D" w:rsidRDefault="009D7F73" w:rsidP="009D7F73">
      <w:pPr>
        <w:pStyle w:val="bullet2"/>
      </w:pPr>
      <w:r w:rsidRPr="0075555D">
        <w:t xml:space="preserve">the applicable fixed spread shown in the table above (the </w:t>
      </w:r>
      <w:r>
        <w:t>“</w:t>
      </w:r>
      <w:r w:rsidRPr="0075555D">
        <w:rPr>
          <w:b/>
        </w:rPr>
        <w:t>Fixed Spread</w:t>
      </w:r>
      <w:r>
        <w:t>”</w:t>
      </w:r>
      <w:r w:rsidRPr="0075555D">
        <w:t>).</w:t>
      </w:r>
    </w:p>
    <w:p w:rsidR="009D7F73" w:rsidRPr="0075555D" w:rsidRDefault="009D7F73" w:rsidP="009D7F73">
      <w:pPr>
        <w:pStyle w:val="Body"/>
      </w:pPr>
      <w:r w:rsidRPr="0075555D">
        <w:t xml:space="preserve">In addition to the Purchase Price, the relevant Offeror will also pay any accrued and unpaid interest on each of the Securities purchased pursuant to the relevant Offer up to, but not including, the Settlement Date (the </w:t>
      </w:r>
      <w:r>
        <w:t>“</w:t>
      </w:r>
      <w:r w:rsidRPr="0075555D">
        <w:rPr>
          <w:b/>
        </w:rPr>
        <w:t>Accrued Interest</w:t>
      </w:r>
      <w:r>
        <w:t>”</w:t>
      </w:r>
      <w:r w:rsidRPr="0075555D">
        <w:t>).</w:t>
      </w:r>
    </w:p>
    <w:p w:rsidR="009D7F73" w:rsidRPr="0075555D" w:rsidRDefault="009D7F73" w:rsidP="009D7F73">
      <w:pPr>
        <w:pStyle w:val="Body"/>
      </w:pPr>
      <w:r w:rsidRPr="0075555D">
        <w:t>Securities repurchased by the Offerors pursuant to the Offers will be immediately cancelled. Securities that have not been validly tendered and/or accepted for purchase, or which have been tendered and validly withdrawn, pursuant to the Offers will remain outstanding after the Settlement Date.</w:t>
      </w:r>
    </w:p>
    <w:p w:rsidR="009D7F73" w:rsidRPr="009D7F73" w:rsidRDefault="009D7F73" w:rsidP="009D7F73">
      <w:pPr>
        <w:pStyle w:val="SubHead"/>
      </w:pPr>
      <w:r w:rsidRPr="009D7F73">
        <w:t>Offer Period and Results</w:t>
      </w:r>
    </w:p>
    <w:p w:rsidR="009D7F73" w:rsidRPr="0075555D" w:rsidRDefault="009D7F73" w:rsidP="009D7F73">
      <w:pPr>
        <w:pStyle w:val="Body"/>
      </w:pPr>
      <w:r w:rsidRPr="0075555D">
        <w:t xml:space="preserve">The Offers commenced today, </w:t>
      </w:r>
      <w:r>
        <w:t xml:space="preserve">March </w:t>
      </w:r>
      <w:r w:rsidR="00100A9D">
        <w:t>30</w:t>
      </w:r>
      <w:r w:rsidRPr="0075555D">
        <w:t xml:space="preserve">, 2016  and will end at 5:00 p.m. (New York City time) on April </w:t>
      </w:r>
      <w:r w:rsidR="00100A9D">
        <w:t>6</w:t>
      </w:r>
      <w:r w:rsidRPr="0075555D">
        <w:t xml:space="preserve">, 2016  (the </w:t>
      </w:r>
      <w:r>
        <w:t>“</w:t>
      </w:r>
      <w:r w:rsidRPr="0075555D">
        <w:rPr>
          <w:b/>
          <w:bCs/>
        </w:rPr>
        <w:t>Expiration Deadline</w:t>
      </w:r>
      <w:r>
        <w:t>”</w:t>
      </w:r>
      <w:r w:rsidRPr="0075555D">
        <w:t>), unless extended, re-opened, and/or terminated as provided in the Tender Offer Memorandum.</w:t>
      </w:r>
    </w:p>
    <w:p w:rsidR="009D7F73" w:rsidRPr="009D7F73" w:rsidRDefault="009D7F73" w:rsidP="009D7F73">
      <w:pPr>
        <w:pStyle w:val="SubHead"/>
      </w:pPr>
      <w:r w:rsidRPr="009D7F73">
        <w:t>The relevant deadline set by any intermediary or DTC for the submission of Tender Instructions may be earlier than this deadline.</w:t>
      </w:r>
    </w:p>
    <w:p w:rsidR="009D7F73" w:rsidRPr="0075555D" w:rsidRDefault="009D7F73" w:rsidP="009D7F73">
      <w:pPr>
        <w:pStyle w:val="Body"/>
      </w:pPr>
      <w:r w:rsidRPr="0075555D">
        <w:t xml:space="preserve">The results of the Offers are expected to be announced on April </w:t>
      </w:r>
      <w:r w:rsidR="00100A9D">
        <w:t>7</w:t>
      </w:r>
      <w:r w:rsidRPr="0075555D">
        <w:t xml:space="preserve">, 2016. The acceptance of Securities for purchase is conditional on the satisfaction of the conditions of the Offers as provided in the Tender Offer Memorandum. Settlement of the relevant Purchase Price and, where applicable, Accrued Interest is expected to take place on April </w:t>
      </w:r>
      <w:r w:rsidR="00100A9D">
        <w:t>11</w:t>
      </w:r>
      <w:r w:rsidRPr="0075555D">
        <w:t>, 2016.</w:t>
      </w:r>
    </w:p>
    <w:p w:rsidR="009D7F73" w:rsidRPr="0075555D" w:rsidRDefault="009D7F73" w:rsidP="009D7F73">
      <w:pPr>
        <w:pStyle w:val="Body"/>
      </w:pPr>
      <w:r w:rsidRPr="0075555D">
        <w:t xml:space="preserve">In order to receive the Purchase Price and Accrued Interest, holders of Securities must validly tender their Securities by the Expiration Deadline, by delivering, or arranging to have delivered on their behalf, a valid Tender Instruction that is received by the Tender Agent by the Expiration Deadline. Any submission amount </w:t>
      </w:r>
      <w:r w:rsidRPr="0075555D">
        <w:lastRenderedPageBreak/>
        <w:t>must be equal to or greater than the relevant Security</w:t>
      </w:r>
      <w:r>
        <w:t>’</w:t>
      </w:r>
      <w:r w:rsidRPr="0075555D">
        <w:t>s Minimum Denomination. See the Tender Offer Memorandum for further details on submitting a Tender Instruction.</w:t>
      </w:r>
    </w:p>
    <w:p w:rsidR="009D7F73" w:rsidRPr="0075555D" w:rsidRDefault="009D7F73" w:rsidP="009D7F73">
      <w:pPr>
        <w:pStyle w:val="Body"/>
      </w:pPr>
      <w:r w:rsidRPr="0075555D">
        <w:t xml:space="preserve">Once the </w:t>
      </w:r>
      <w:r>
        <w:t>Offerors have</w:t>
      </w:r>
      <w:r w:rsidRPr="0075555D">
        <w:t xml:space="preserve"> announced the results of the Offers in acco</w:t>
      </w:r>
      <w:r>
        <w:t>rdance with applicable law, each Offeror’s</w:t>
      </w:r>
      <w:r w:rsidRPr="0075555D">
        <w:t xml:space="preserve"> acceptance of Tender Instructions in accordance with the terms of the Offer will be irrevocable. Tender Instructions which are so accepted will constitute binding obligations of the submitting Holders and the </w:t>
      </w:r>
      <w:r>
        <w:t xml:space="preserve">relevant </w:t>
      </w:r>
      <w:r w:rsidRPr="0075555D">
        <w:t>Offeror to settle the Offers.</w:t>
      </w:r>
    </w:p>
    <w:p w:rsidR="009D7F73" w:rsidRPr="0075555D" w:rsidRDefault="009D7F73" w:rsidP="009D7F73">
      <w:pPr>
        <w:pStyle w:val="Body"/>
      </w:pPr>
      <w:r w:rsidRPr="0075555D">
        <w:t>Announcements in connection with the Offers will be made by the issue of a press release through the relevant Reuters Insider Screen, Notifying News Service and by the delivery of notices to DTC, for communication to Direct Participants. Copies of all announcements, notices and press releases can also be obtained from the Tender Agent, the contact details for which are set out below.</w:t>
      </w:r>
    </w:p>
    <w:p w:rsidR="009D7F73" w:rsidRPr="0075555D" w:rsidRDefault="009D7F73" w:rsidP="009D7F73">
      <w:pPr>
        <w:pStyle w:val="Body"/>
        <w:rPr>
          <w:b/>
        </w:rPr>
      </w:pPr>
      <w:r w:rsidRPr="0075555D">
        <w:rPr>
          <w:b/>
        </w:rPr>
        <w:t>INDICATIVE TIMETABLE</w:t>
      </w:r>
    </w:p>
    <w:p w:rsidR="009D7F73" w:rsidRDefault="009D7F73" w:rsidP="009D7F73">
      <w:pPr>
        <w:pStyle w:val="Body"/>
      </w:pPr>
      <w:r w:rsidRPr="0075555D">
        <w:t>The following table sets out the expected dates and times of the key events relating to the Offers. This is an indicative timetable and is subject to change.</w:t>
      </w:r>
    </w:p>
    <w:tbl>
      <w:tblPr>
        <w:tblW w:w="8785" w:type="dxa"/>
        <w:tblInd w:w="437" w:type="dxa"/>
        <w:tblLayout w:type="fixed"/>
        <w:tblCellMar>
          <w:left w:w="0" w:type="dxa"/>
          <w:right w:w="0" w:type="dxa"/>
        </w:tblCellMar>
        <w:tblLook w:val="0000" w:firstRow="0" w:lastRow="0" w:firstColumn="0" w:lastColumn="0" w:noHBand="0" w:noVBand="0"/>
      </w:tblPr>
      <w:tblGrid>
        <w:gridCol w:w="4234"/>
        <w:gridCol w:w="4325"/>
        <w:gridCol w:w="226"/>
      </w:tblGrid>
      <w:tr w:rsidR="004E0BE2" w:rsidTr="004E0BE2">
        <w:trPr>
          <w:tblHeader/>
        </w:trPr>
        <w:tc>
          <w:tcPr>
            <w:tcW w:w="4234" w:type="dxa"/>
            <w:tcBorders>
              <w:bottom w:val="single" w:sz="4" w:space="0" w:color="auto"/>
            </w:tcBorders>
            <w:vAlign w:val="bottom"/>
          </w:tcPr>
          <w:p w:rsidR="004E0BE2" w:rsidRPr="0065110B" w:rsidRDefault="004E0BE2" w:rsidP="00EF70B7">
            <w:pPr>
              <w:pStyle w:val="CellHead"/>
            </w:pPr>
            <w:r>
              <w:t>Date and Time</w:t>
            </w:r>
          </w:p>
        </w:tc>
        <w:tc>
          <w:tcPr>
            <w:tcW w:w="4325" w:type="dxa"/>
            <w:tcBorders>
              <w:bottom w:val="single" w:sz="4" w:space="0" w:color="auto"/>
            </w:tcBorders>
            <w:vAlign w:val="bottom"/>
          </w:tcPr>
          <w:p w:rsidR="004E0BE2" w:rsidRPr="0065110B" w:rsidRDefault="004E0BE2" w:rsidP="00EF70B7">
            <w:pPr>
              <w:pStyle w:val="CellHead"/>
            </w:pPr>
            <w:r>
              <w:t>Action</w:t>
            </w:r>
          </w:p>
        </w:tc>
        <w:tc>
          <w:tcPr>
            <w:tcW w:w="226" w:type="dxa"/>
            <w:vAlign w:val="bottom"/>
          </w:tcPr>
          <w:p w:rsidR="004E0BE2" w:rsidRPr="0065110B" w:rsidRDefault="004E0BE2" w:rsidP="00EF70B7">
            <w:pPr>
              <w:pStyle w:val="CellRowSpacer"/>
            </w:pPr>
          </w:p>
        </w:tc>
      </w:tr>
      <w:tr w:rsidR="004E0BE2" w:rsidTr="004E0BE2">
        <w:tc>
          <w:tcPr>
            <w:tcW w:w="4234" w:type="dxa"/>
            <w:tcBorders>
              <w:top w:val="single" w:sz="4" w:space="0" w:color="auto"/>
            </w:tcBorders>
          </w:tcPr>
          <w:p w:rsidR="004E0BE2" w:rsidRPr="0065110B" w:rsidRDefault="004E0BE2" w:rsidP="00100A9D">
            <w:pPr>
              <w:pStyle w:val="CellBody"/>
              <w:tabs>
                <w:tab w:val="left" w:leader="dot" w:pos="7404"/>
              </w:tabs>
            </w:pPr>
            <w:bookmarkStart w:id="1" w:name="bodyrow1"/>
            <w:bookmarkEnd w:id="1"/>
            <w:r>
              <w:t>March 30, 2016</w:t>
            </w:r>
            <w:r>
              <w:tab/>
            </w:r>
          </w:p>
        </w:tc>
        <w:tc>
          <w:tcPr>
            <w:tcW w:w="4325" w:type="dxa"/>
            <w:tcBorders>
              <w:top w:val="single" w:sz="4" w:space="0" w:color="auto"/>
            </w:tcBorders>
            <w:vAlign w:val="bottom"/>
          </w:tcPr>
          <w:p w:rsidR="004E0BE2" w:rsidRPr="0065110B" w:rsidRDefault="004E0BE2" w:rsidP="00EF70B7">
            <w:pPr>
              <w:pStyle w:val="CellBody"/>
              <w:rPr>
                <w:b/>
                <w:bCs/>
                <w:i/>
                <w:iCs/>
              </w:rPr>
            </w:pPr>
            <w:r w:rsidRPr="0065110B">
              <w:rPr>
                <w:b/>
                <w:bCs/>
                <w:i/>
                <w:iCs/>
              </w:rPr>
              <w:t>Commencement of the Offers</w:t>
            </w:r>
          </w:p>
          <w:p w:rsidR="004E0BE2" w:rsidRPr="0065110B" w:rsidRDefault="004E0BE2" w:rsidP="00EF70B7">
            <w:pPr>
              <w:pStyle w:val="CellBody"/>
            </w:pPr>
            <w:r>
              <w:t>Offers announced through the relevant Reuters Insider Screen, DTC and by publication on a recognized financial news service or services (e.g. Reuters/Bloomberg) as selected by the Offerors (a “Notifying News Service”).Tender Offer Memorandum available from the Tender Agent.</w:t>
            </w:r>
          </w:p>
        </w:tc>
        <w:tc>
          <w:tcPr>
            <w:tcW w:w="226" w:type="dxa"/>
            <w:vAlign w:val="bottom"/>
          </w:tcPr>
          <w:p w:rsidR="004E0BE2" w:rsidRPr="0065110B" w:rsidRDefault="004E0BE2" w:rsidP="00EF70B7">
            <w:pPr>
              <w:pStyle w:val="CellRowSpacer"/>
            </w:pPr>
          </w:p>
        </w:tc>
      </w:tr>
      <w:tr w:rsidR="004E0BE2" w:rsidTr="004E0BE2">
        <w:tc>
          <w:tcPr>
            <w:tcW w:w="4234" w:type="dxa"/>
          </w:tcPr>
          <w:p w:rsidR="004E0BE2" w:rsidRPr="0065110B" w:rsidRDefault="004E0BE2" w:rsidP="00100A9D">
            <w:pPr>
              <w:pStyle w:val="CellBody"/>
              <w:tabs>
                <w:tab w:val="left" w:leader="dot" w:pos="7404"/>
              </w:tabs>
            </w:pPr>
            <w:r>
              <w:t>April 6, 2016, 11:00 a.m. (New York City time)</w:t>
            </w:r>
            <w:r>
              <w:tab/>
            </w:r>
          </w:p>
        </w:tc>
        <w:tc>
          <w:tcPr>
            <w:tcW w:w="4325" w:type="dxa"/>
            <w:vAlign w:val="bottom"/>
          </w:tcPr>
          <w:p w:rsidR="004E0BE2" w:rsidRPr="0065110B" w:rsidRDefault="004E0BE2" w:rsidP="00EF70B7">
            <w:pPr>
              <w:pStyle w:val="CellBody"/>
              <w:rPr>
                <w:b/>
                <w:bCs/>
                <w:i/>
                <w:iCs/>
              </w:rPr>
            </w:pPr>
            <w:r w:rsidRPr="0065110B">
              <w:rPr>
                <w:b/>
                <w:bCs/>
                <w:i/>
                <w:iCs/>
              </w:rPr>
              <w:t>Price Determination Time</w:t>
            </w:r>
          </w:p>
          <w:p w:rsidR="004E0BE2" w:rsidRPr="0065110B" w:rsidRDefault="004E0BE2" w:rsidP="00EF70B7">
            <w:pPr>
              <w:pStyle w:val="CellBody"/>
            </w:pPr>
            <w:r>
              <w:t>The Dealer Managers will calculate the Fixed Spread Purchase Price in respect of each series of Fixed Spread Securities in the manner described in the Tender Offer Memorandum at the Price Determination Time. The Offerors will announce the Fixed Spread Purchase Price in respect of each series of Fixed Spread Securities as soon as reasonably practicable following the Price Determination Time.</w:t>
            </w:r>
          </w:p>
        </w:tc>
        <w:tc>
          <w:tcPr>
            <w:tcW w:w="226" w:type="dxa"/>
            <w:vAlign w:val="bottom"/>
          </w:tcPr>
          <w:p w:rsidR="004E0BE2" w:rsidRPr="0065110B" w:rsidRDefault="004E0BE2" w:rsidP="00EF70B7">
            <w:pPr>
              <w:pStyle w:val="CellRowSpacer"/>
            </w:pPr>
          </w:p>
        </w:tc>
      </w:tr>
      <w:tr w:rsidR="004E0BE2" w:rsidTr="004E0BE2">
        <w:tc>
          <w:tcPr>
            <w:tcW w:w="4234" w:type="dxa"/>
          </w:tcPr>
          <w:p w:rsidR="004E0BE2" w:rsidRPr="0065110B" w:rsidRDefault="004E0BE2" w:rsidP="00EF70B7">
            <w:pPr>
              <w:pStyle w:val="CellBody"/>
              <w:tabs>
                <w:tab w:val="left" w:leader="dot" w:pos="7404"/>
              </w:tabs>
            </w:pPr>
            <w:r>
              <w:t>April 6, 2016, 5:00 p.m. (New York City time)</w:t>
            </w:r>
            <w:r>
              <w:tab/>
            </w:r>
          </w:p>
        </w:tc>
        <w:tc>
          <w:tcPr>
            <w:tcW w:w="4325" w:type="dxa"/>
            <w:vAlign w:val="bottom"/>
          </w:tcPr>
          <w:p w:rsidR="004E0BE2" w:rsidRPr="0065110B" w:rsidRDefault="004E0BE2" w:rsidP="00EF70B7">
            <w:pPr>
              <w:pStyle w:val="CellBody"/>
              <w:rPr>
                <w:b/>
                <w:bCs/>
                <w:i/>
                <w:iCs/>
              </w:rPr>
            </w:pPr>
            <w:r w:rsidRPr="0065110B">
              <w:rPr>
                <w:b/>
                <w:bCs/>
                <w:i/>
                <w:iCs/>
              </w:rPr>
              <w:t>Expiration Deadline</w:t>
            </w:r>
          </w:p>
          <w:p w:rsidR="004E0BE2" w:rsidRDefault="004E0BE2" w:rsidP="00EF70B7">
            <w:pPr>
              <w:pStyle w:val="CellBody"/>
            </w:pPr>
            <w:r>
              <w:t>The last time and date for Holders to tender Securities in order to be able to participate in the Offers and to be eligible to receive the relevant Purchase Price and Accrued Interest on the Settlement Date.</w:t>
            </w:r>
          </w:p>
          <w:p w:rsidR="004E0BE2" w:rsidRPr="0065110B" w:rsidRDefault="004E0BE2" w:rsidP="00EF70B7">
            <w:pPr>
              <w:pStyle w:val="CellBody"/>
            </w:pPr>
            <w:r>
              <w:t>This is also the deadline for Holders who have tendered Securities in the Offers to be able to validly withdraw such Securities.</w:t>
            </w:r>
          </w:p>
        </w:tc>
        <w:tc>
          <w:tcPr>
            <w:tcW w:w="226" w:type="dxa"/>
            <w:vAlign w:val="bottom"/>
          </w:tcPr>
          <w:p w:rsidR="004E0BE2" w:rsidRPr="0065110B" w:rsidRDefault="004E0BE2" w:rsidP="00EF70B7">
            <w:pPr>
              <w:pStyle w:val="CellRowSpacer"/>
            </w:pPr>
          </w:p>
        </w:tc>
      </w:tr>
      <w:tr w:rsidR="004E0BE2" w:rsidTr="004E0BE2">
        <w:tc>
          <w:tcPr>
            <w:tcW w:w="4234" w:type="dxa"/>
          </w:tcPr>
          <w:p w:rsidR="004E0BE2" w:rsidRPr="0065110B" w:rsidRDefault="004E0BE2" w:rsidP="00100A9D">
            <w:pPr>
              <w:pStyle w:val="CellBody"/>
              <w:tabs>
                <w:tab w:val="left" w:leader="dot" w:pos="7404"/>
              </w:tabs>
            </w:pPr>
            <w:r>
              <w:t>April 7, 2016</w:t>
            </w:r>
            <w:r>
              <w:tab/>
            </w:r>
          </w:p>
        </w:tc>
        <w:tc>
          <w:tcPr>
            <w:tcW w:w="4325" w:type="dxa"/>
            <w:vAlign w:val="bottom"/>
          </w:tcPr>
          <w:p w:rsidR="004E0BE2" w:rsidRPr="0065110B" w:rsidRDefault="004E0BE2" w:rsidP="00EF70B7">
            <w:pPr>
              <w:pStyle w:val="CellBody"/>
              <w:rPr>
                <w:b/>
                <w:bCs/>
                <w:i/>
                <w:iCs/>
              </w:rPr>
            </w:pPr>
            <w:r w:rsidRPr="0065110B">
              <w:rPr>
                <w:b/>
                <w:bCs/>
                <w:i/>
                <w:iCs/>
              </w:rPr>
              <w:t>Announcement of Results of the Offers</w:t>
            </w:r>
          </w:p>
          <w:p w:rsidR="004E0BE2" w:rsidRPr="0065110B" w:rsidRDefault="004E0BE2" w:rsidP="00EF70B7">
            <w:pPr>
              <w:pStyle w:val="CellBody"/>
            </w:pPr>
            <w:r>
              <w:t>The Offerors expect to announce the final aggregate principal amount of each series of Securities accepted for purchase.</w:t>
            </w:r>
          </w:p>
        </w:tc>
        <w:tc>
          <w:tcPr>
            <w:tcW w:w="226" w:type="dxa"/>
            <w:vAlign w:val="bottom"/>
          </w:tcPr>
          <w:p w:rsidR="004E0BE2" w:rsidRPr="0065110B" w:rsidRDefault="004E0BE2" w:rsidP="00EF70B7">
            <w:pPr>
              <w:pStyle w:val="CellRowSpacer"/>
            </w:pPr>
          </w:p>
        </w:tc>
      </w:tr>
      <w:tr w:rsidR="004E0BE2" w:rsidTr="004E0BE2">
        <w:tc>
          <w:tcPr>
            <w:tcW w:w="4234" w:type="dxa"/>
          </w:tcPr>
          <w:p w:rsidR="004E0BE2" w:rsidRPr="0065110B" w:rsidRDefault="004E0BE2" w:rsidP="00100A9D">
            <w:pPr>
              <w:pStyle w:val="CellBody"/>
              <w:tabs>
                <w:tab w:val="left" w:leader="dot" w:pos="7404"/>
              </w:tabs>
            </w:pPr>
            <w:r>
              <w:lastRenderedPageBreak/>
              <w:t>April 11, 2016</w:t>
            </w:r>
            <w:r>
              <w:tab/>
            </w:r>
          </w:p>
        </w:tc>
        <w:tc>
          <w:tcPr>
            <w:tcW w:w="4325" w:type="dxa"/>
            <w:vAlign w:val="bottom"/>
          </w:tcPr>
          <w:p w:rsidR="004E0BE2" w:rsidRPr="0065110B" w:rsidRDefault="004E0BE2" w:rsidP="00EF70B7">
            <w:pPr>
              <w:pStyle w:val="CellBody"/>
              <w:rPr>
                <w:b/>
                <w:bCs/>
                <w:i/>
                <w:iCs/>
              </w:rPr>
            </w:pPr>
            <w:r w:rsidRPr="0065110B">
              <w:rPr>
                <w:b/>
                <w:bCs/>
                <w:i/>
                <w:iCs/>
              </w:rPr>
              <w:t>Settlement Date</w:t>
            </w:r>
          </w:p>
          <w:p w:rsidR="004E0BE2" w:rsidRPr="0065110B" w:rsidRDefault="004E0BE2" w:rsidP="00EF70B7">
            <w:pPr>
              <w:pStyle w:val="CellBody"/>
            </w:pPr>
            <w:r>
              <w:t>Expected Settlement Date for Securities validly tendered and accepted by the relevant Offeror. Payment of the relevant Purchase Price and any Accrued Interest in respect of any such Securities.</w:t>
            </w:r>
          </w:p>
        </w:tc>
        <w:tc>
          <w:tcPr>
            <w:tcW w:w="226" w:type="dxa"/>
            <w:vAlign w:val="bottom"/>
          </w:tcPr>
          <w:p w:rsidR="004E0BE2" w:rsidRPr="0065110B" w:rsidRDefault="004E0BE2" w:rsidP="00EF70B7">
            <w:pPr>
              <w:pStyle w:val="CellRowSpacer"/>
            </w:pPr>
          </w:p>
        </w:tc>
      </w:tr>
    </w:tbl>
    <w:p w:rsidR="009D7F73" w:rsidRDefault="009D7F73" w:rsidP="009D7F73">
      <w:pPr>
        <w:pStyle w:val="Body"/>
      </w:pPr>
    </w:p>
    <w:p w:rsidR="009D7F73" w:rsidRPr="0075555D" w:rsidRDefault="009D7F73" w:rsidP="009D7F73">
      <w:pPr>
        <w:pStyle w:val="Body"/>
      </w:pPr>
      <w:r w:rsidRPr="0075555D">
        <w:t>The above dates and times are subject, whe</w:t>
      </w:r>
      <w:r>
        <w:t>re applicable, to the right of each</w:t>
      </w:r>
      <w:r w:rsidRPr="0075555D">
        <w:t xml:space="preserve"> Offeror to extend, re-open, amend, and/or terminate the relevant Offers, subject to applicable laws. Holders of Securities are advised to check with any bank, securities broker or other intermediary through which they hold Securities when such intermediary would require to receive instructions to participate in, or withdraw their instruction to participate in, the Offers before the deadlines set out above.</w:t>
      </w:r>
    </w:p>
    <w:p w:rsidR="009D7F73" w:rsidRPr="0075555D" w:rsidRDefault="009D7F73" w:rsidP="009D7F73">
      <w:pPr>
        <w:pStyle w:val="Body"/>
      </w:pPr>
      <w:r w:rsidRPr="0075555D">
        <w:t>Holders of Securities are advised to read carefully the Tender Offer Memorandum for full details of and information on the procedures for participating in the Offers.</w:t>
      </w:r>
    </w:p>
    <w:p w:rsidR="009D7F73" w:rsidRPr="0075555D" w:rsidRDefault="009D7F73" w:rsidP="009D7F73">
      <w:pPr>
        <w:pStyle w:val="Body"/>
        <w:rPr>
          <w:b/>
        </w:rPr>
      </w:pPr>
      <w:r w:rsidRPr="0075555D">
        <w:rPr>
          <w:b/>
        </w:rPr>
        <w:t>FURTHER INFORMATION</w:t>
      </w:r>
    </w:p>
    <w:p w:rsidR="009D7F73" w:rsidRPr="0075555D" w:rsidRDefault="009D7F73" w:rsidP="009D7F73">
      <w:pPr>
        <w:pStyle w:val="Body"/>
      </w:pPr>
      <w:r w:rsidRPr="0075555D">
        <w:rPr>
          <w:bCs/>
        </w:rPr>
        <w:t>Lucid Issuer Services Limited</w:t>
      </w:r>
      <w:r w:rsidRPr="0075555D">
        <w:t xml:space="preserve"> has been appointed by the Offerors as Tender Agent (the </w:t>
      </w:r>
      <w:r>
        <w:t>“</w:t>
      </w:r>
      <w:r w:rsidRPr="0075555D">
        <w:rPr>
          <w:b/>
          <w:bCs/>
        </w:rPr>
        <w:t>Tender Agent</w:t>
      </w:r>
      <w:r>
        <w:t>”</w:t>
      </w:r>
      <w:r w:rsidRPr="0075555D">
        <w:t>) for the purposes of the Offers.</w:t>
      </w:r>
    </w:p>
    <w:p w:rsidR="009D7F73" w:rsidRPr="0075555D" w:rsidRDefault="009D7F73" w:rsidP="009D7F73">
      <w:pPr>
        <w:pStyle w:val="Body"/>
      </w:pPr>
      <w:r w:rsidRPr="0075555D">
        <w:t>RBS Securities Inc., an affiliate of the Offerors, has been appointed as Global Arranger and Lead Dealer Manager in connection with the Offers. Goldman</w:t>
      </w:r>
      <w:r>
        <w:t>, Sachs &amp; Co.</w:t>
      </w:r>
      <w:r w:rsidRPr="0075555D">
        <w:t xml:space="preserve"> has been appointed as Dealer Manager for the purposes of the Offers (the Dealer Manager and, together with the Global Arranger and Lead Dealer Manager</w:t>
      </w:r>
      <w:r>
        <w:t xml:space="preserve"> and any entity that may subsequently be appointed as a co-dealer manager in connection with the Offers</w:t>
      </w:r>
      <w:r w:rsidRPr="0075555D">
        <w:t xml:space="preserve">, the </w:t>
      </w:r>
      <w:r>
        <w:t>“</w:t>
      </w:r>
      <w:r w:rsidRPr="0075555D">
        <w:rPr>
          <w:b/>
          <w:bCs/>
        </w:rPr>
        <w:t>Dealer Managers</w:t>
      </w:r>
      <w:r>
        <w:t>”</w:t>
      </w:r>
      <w:r w:rsidRPr="0075555D">
        <w:t>).</w:t>
      </w:r>
    </w:p>
    <w:p w:rsidR="009D7F73" w:rsidRPr="0075555D" w:rsidRDefault="009D7F73" w:rsidP="009D7F73">
      <w:pPr>
        <w:pStyle w:val="Body"/>
      </w:pPr>
      <w:r w:rsidRPr="0075555D">
        <w:t>Holders of Securities may access the Tender Offer Memorandum and the form of notice of guaranteed delivery (as described in the Tender Offer Memorandum) at http://www.lucid-is.com/rbs.</w:t>
      </w:r>
    </w:p>
    <w:p w:rsidR="009D7F73" w:rsidRDefault="009D7F73">
      <w:pPr>
        <w:spacing w:after="0" w:line="240" w:lineRule="auto"/>
      </w:pPr>
      <w:r>
        <w:br w:type="page"/>
      </w:r>
    </w:p>
    <w:p w:rsidR="009D7F73" w:rsidRDefault="009D7F73" w:rsidP="009D7F73">
      <w:pPr>
        <w:pStyle w:val="Body"/>
      </w:pPr>
      <w:r w:rsidRPr="0075555D">
        <w:lastRenderedPageBreak/>
        <w:t>Requests for information in relation to the Offers sh</w:t>
      </w:r>
      <w:r>
        <w:t>ould be directed to:</w:t>
      </w:r>
    </w:p>
    <w:p w:rsidR="009D7F73" w:rsidRPr="0075555D" w:rsidRDefault="009D7F73" w:rsidP="009D7F73">
      <w:pPr>
        <w:spacing w:before="200"/>
        <w:ind w:left="-284"/>
        <w:jc w:val="center"/>
        <w:rPr>
          <w:b/>
        </w:rPr>
      </w:pPr>
      <w:r w:rsidRPr="0075555D">
        <w:rPr>
          <w:b/>
        </w:rPr>
        <w:t>GLOBAL ARRANGER AND LEAD DEALER MANAGER</w:t>
      </w:r>
      <w:r w:rsidRPr="0075555D">
        <w:rPr>
          <w:b/>
        </w:rPr>
        <w:br/>
      </w:r>
    </w:p>
    <w:p w:rsidR="009D7F73" w:rsidRPr="0075555D" w:rsidRDefault="009D7F73" w:rsidP="009D7F73">
      <w:pPr>
        <w:ind w:left="-284"/>
        <w:jc w:val="center"/>
      </w:pPr>
      <w:r w:rsidRPr="0075555D">
        <w:rPr>
          <w:b/>
        </w:rPr>
        <w:t>RBS Securities Inc.</w:t>
      </w:r>
      <w:r w:rsidRPr="0075555D">
        <w:t xml:space="preserve"> </w:t>
      </w:r>
      <w:r w:rsidRPr="0075555D">
        <w:br/>
        <w:t>600 Washington Boulevard</w:t>
      </w:r>
      <w:r w:rsidRPr="0075555D">
        <w:br/>
        <w:t>Stamford, CT 06901</w:t>
      </w:r>
      <w:r w:rsidRPr="0075555D">
        <w:br/>
        <w:t>United States</w:t>
      </w:r>
      <w:r w:rsidRPr="0075555D">
        <w:br/>
        <w:t>Attention: Liability Management</w:t>
      </w:r>
      <w:r w:rsidRPr="0075555D">
        <w:br/>
        <w:t>Email: USliabilitymanagement@rbs.com</w:t>
      </w:r>
      <w:r w:rsidRPr="0075555D">
        <w:br/>
      </w:r>
      <w:r>
        <w:t xml:space="preserve">In the U.S.: </w:t>
      </w:r>
      <w:r w:rsidRPr="0075555D">
        <w:t>+1 (203) 897-2963</w:t>
      </w:r>
      <w:r>
        <w:br/>
        <w:t>In Europe: +44 (0) 20 7085 3781</w:t>
      </w:r>
      <w:r w:rsidRPr="0075555D">
        <w:br/>
      </w:r>
      <w:r w:rsidRPr="0075555D">
        <w:br/>
      </w:r>
      <w:r w:rsidRPr="0075555D">
        <w:br/>
      </w:r>
      <w:r w:rsidRPr="0075555D">
        <w:rPr>
          <w:b/>
          <w:bCs/>
        </w:rPr>
        <w:t>DEALER MANAGER</w:t>
      </w:r>
    </w:p>
    <w:p w:rsidR="009D7F73" w:rsidRPr="00AD4847" w:rsidRDefault="009D7F73" w:rsidP="009D7F73">
      <w:pPr>
        <w:ind w:left="-284"/>
        <w:jc w:val="center"/>
      </w:pPr>
      <w:r w:rsidRPr="00AD4847">
        <w:rPr>
          <w:b/>
          <w:bCs/>
        </w:rPr>
        <w:t>Goldman, Sachs &amp; Co</w:t>
      </w:r>
      <w:r>
        <w:t>.</w:t>
      </w:r>
      <w:r>
        <w:br/>
      </w:r>
      <w:r w:rsidRPr="00AD4847">
        <w:t>200 West Street</w:t>
      </w:r>
    </w:p>
    <w:p w:rsidR="009D7F73" w:rsidRPr="00AD4847" w:rsidRDefault="009D7F73" w:rsidP="009D7F73">
      <w:pPr>
        <w:ind w:left="-284"/>
        <w:jc w:val="center"/>
      </w:pPr>
      <w:r w:rsidRPr="00AD4847">
        <w:t>New York, NY 10282</w:t>
      </w:r>
      <w:r w:rsidRPr="00AD4847">
        <w:br/>
        <w:t>United States</w:t>
      </w:r>
    </w:p>
    <w:p w:rsidR="009D7F73" w:rsidRPr="0075555D" w:rsidRDefault="009D7F73" w:rsidP="009D7F73">
      <w:pPr>
        <w:ind w:left="-284"/>
        <w:jc w:val="center"/>
      </w:pPr>
      <w:r w:rsidRPr="0022291A">
        <w:t xml:space="preserve">Attention: Liability Management Group </w:t>
      </w:r>
      <w:r>
        <w:br/>
      </w:r>
      <w:r w:rsidRPr="0022291A">
        <w:t xml:space="preserve">In the United States: </w:t>
      </w:r>
      <w:r>
        <w:br/>
      </w:r>
      <w:r w:rsidRPr="0022291A">
        <w:t xml:space="preserve">Toll Free: +1 (800) 828-3182 </w:t>
      </w:r>
      <w:r>
        <w:br/>
      </w:r>
      <w:r w:rsidRPr="0022291A">
        <w:t xml:space="preserve">Collect: +1 (212) 902-5183 </w:t>
      </w:r>
      <w:r>
        <w:br/>
      </w:r>
      <w:r w:rsidRPr="0022291A">
        <w:t xml:space="preserve">In Europe: Telephone: +44 (0) 20 7774 9862 </w:t>
      </w:r>
      <w:r>
        <w:br/>
      </w:r>
      <w:r w:rsidRPr="0022291A">
        <w:t>E-mail: liabilitymanagement.eu@gs.com</w:t>
      </w:r>
    </w:p>
    <w:p w:rsidR="009D7F73" w:rsidRDefault="009D7F73" w:rsidP="009D7F73">
      <w:r w:rsidRPr="00E14112">
        <w:t>Requests for information in relation to the procedures for tendering Securities in, and for any documents or materials relating to, the Offers should be directed to:</w:t>
      </w:r>
    </w:p>
    <w:p w:rsidR="009D7F73" w:rsidRDefault="009D7F73" w:rsidP="009D7F73">
      <w:pPr>
        <w:jc w:val="center"/>
        <w:rPr>
          <w:b/>
        </w:rPr>
      </w:pPr>
      <w:r w:rsidRPr="00E14112">
        <w:rPr>
          <w:b/>
        </w:rPr>
        <w:t>TENDER AGENT</w:t>
      </w:r>
    </w:p>
    <w:p w:rsidR="009D7F73" w:rsidRPr="00E14112" w:rsidRDefault="009D7F73" w:rsidP="009D7F73">
      <w:pPr>
        <w:ind w:left="-284" w:right="-432"/>
        <w:jc w:val="center"/>
      </w:pPr>
      <w:r w:rsidRPr="00E14112">
        <w:rPr>
          <w:b/>
        </w:rPr>
        <w:t>Lucid Issuer Services Limited</w:t>
      </w:r>
      <w:r w:rsidRPr="00E14112">
        <w:br/>
        <w:t>Leroy House</w:t>
      </w:r>
      <w:r w:rsidRPr="00E14112">
        <w:br/>
        <w:t>436 Essex Road</w:t>
      </w:r>
    </w:p>
    <w:p w:rsidR="009D7F73" w:rsidRPr="00E14112" w:rsidRDefault="009D7F73" w:rsidP="009D7F73">
      <w:pPr>
        <w:ind w:left="-284" w:right="-432"/>
        <w:jc w:val="center"/>
      </w:pPr>
      <w:r w:rsidRPr="00E14112">
        <w:t>London N1 3QP</w:t>
      </w:r>
      <w:r w:rsidRPr="00E14112">
        <w:br/>
        <w:t>United Kingdom</w:t>
      </w:r>
      <w:r w:rsidRPr="00E14112">
        <w:br/>
        <w:t>+44 20 7704 0880</w:t>
      </w:r>
    </w:p>
    <w:p w:rsidR="009D7F73" w:rsidRDefault="009D7F73" w:rsidP="009D7F73">
      <w:pPr>
        <w:jc w:val="center"/>
      </w:pPr>
      <w:r w:rsidRPr="00E14112">
        <w:t>Attention: David Shilson</w:t>
      </w:r>
      <w:r w:rsidRPr="00E14112">
        <w:br/>
        <w:t>Email: rbs@lucid-is.com</w:t>
      </w:r>
    </w:p>
    <w:p w:rsidR="009D7F73" w:rsidRDefault="009D7F73">
      <w:pPr>
        <w:spacing w:after="0" w:line="240" w:lineRule="auto"/>
        <w:rPr>
          <w:b/>
        </w:rPr>
      </w:pPr>
      <w:r>
        <w:rPr>
          <w:b/>
        </w:rPr>
        <w:br w:type="page"/>
      </w:r>
    </w:p>
    <w:p w:rsidR="009D7F73" w:rsidRPr="0075555D" w:rsidRDefault="009D7F73" w:rsidP="009D7F73">
      <w:pPr>
        <w:pStyle w:val="Body"/>
        <w:rPr>
          <w:b/>
        </w:rPr>
      </w:pPr>
      <w:r w:rsidRPr="0075555D">
        <w:rPr>
          <w:b/>
        </w:rPr>
        <w:lastRenderedPageBreak/>
        <w:t>NOTICE AND DISCLAIMER</w:t>
      </w:r>
    </w:p>
    <w:p w:rsidR="009D7F73" w:rsidRPr="0075555D" w:rsidRDefault="009D7F73" w:rsidP="009D7F73">
      <w:pPr>
        <w:pStyle w:val="Body"/>
      </w:pPr>
      <w:r w:rsidRPr="0075555D">
        <w:t xml:space="preserve">Subject to applicable law, each Offeror or any of </w:t>
      </w:r>
      <w:r>
        <w:t>its</w:t>
      </w:r>
      <w:r w:rsidRPr="0075555D">
        <w:t xml:space="preserve"> affiliates may at any time and from time to time following completion of the relevant Offers purchase remaining outstanding Securities issued by it by tender, in the open market, by private agreement or otherwise on such terms and at such prices as such Offeror or, if applicable, its affiliates may determine. Such terms, consideration and prices may be more or less favorable than those offered pursuant to the Offers.</w:t>
      </w:r>
    </w:p>
    <w:p w:rsidR="009D7F73" w:rsidRPr="0075555D" w:rsidRDefault="009D7F73" w:rsidP="009D7F73">
      <w:pPr>
        <w:pStyle w:val="Body"/>
      </w:pPr>
      <w:r w:rsidRPr="0075555D">
        <w:t>This announcement must be read in conjunction with the Tender Offer Memorandum. This announcement and the Tender Offer Memorandum contain important information which must be read carefully before any decision is made with respect to the Offers. If any holder of Securities is in any doubt as to the action it should take, it is recommended to seek its own legal, accounting and financial advice, including as to any tax consequences, immediately from its stockbroker, bank manager, attorney, accountant or other independent financial adviser. Any individual or company whose Securities are held on its behalf by a broker, dealer, bank, custodian, trust company or other nominee or intermediary must contact such entity if it wishes to participate in the Offers. None of the Offerors, the Dealer Managers, the Tender Agent and any person who controls, or is a director, officer, employee or agent of such persons, or any affiliate of such persons, makes any recommendation as to whether holders of Securities should participate in the Offers.</w:t>
      </w:r>
    </w:p>
    <w:p w:rsidR="009D7F73" w:rsidRPr="0075555D" w:rsidRDefault="009D7F73" w:rsidP="009D7F73">
      <w:pPr>
        <w:pStyle w:val="Body"/>
        <w:rPr>
          <w:b/>
        </w:rPr>
      </w:pPr>
      <w:r w:rsidRPr="0075555D">
        <w:rPr>
          <w:b/>
        </w:rPr>
        <w:t>OFFER AND DISTRIBUTION RESTRICTIONS</w:t>
      </w:r>
    </w:p>
    <w:p w:rsidR="009D7F73" w:rsidRPr="0075555D" w:rsidRDefault="009D7F73" w:rsidP="009D7F73">
      <w:pPr>
        <w:pStyle w:val="Body"/>
      </w:pPr>
      <w:r w:rsidRPr="0075555D">
        <w:t>This announcement and the Tender Offer Memorandum do not constitute an offer or an invitation to participate in the Offers in any jurisdiction in which, or to any person to or from whom, it is unlawful to make such offer or invitation or for there to be such participation under applicable laws. The distribution of this announcement and the Tender Offer Memorandum in certain jurisdictions may be restricted by law. Persons into whose possession this announcement or the Tender Offer Memorandum co</w:t>
      </w:r>
      <w:r>
        <w:t xml:space="preserve">mes are required by the </w:t>
      </w:r>
      <w:r w:rsidRPr="0075555D">
        <w:t>Offeror</w:t>
      </w:r>
      <w:r>
        <w:t>s</w:t>
      </w:r>
      <w:r w:rsidRPr="0075555D">
        <w:t>, the Dealer Managers and the Tender Agent to inform themselves about and to observe any such restrictions.</w:t>
      </w:r>
    </w:p>
    <w:p w:rsidR="009D7F73" w:rsidRPr="009D7F73" w:rsidRDefault="009D7F73" w:rsidP="009D7F73">
      <w:pPr>
        <w:pStyle w:val="SubHead"/>
      </w:pPr>
      <w:r w:rsidRPr="0075555D">
        <w:t>United Kingdom</w:t>
      </w:r>
    </w:p>
    <w:p w:rsidR="009D7F73" w:rsidRPr="0075555D" w:rsidRDefault="009D7F73" w:rsidP="009D7F73">
      <w:pPr>
        <w:pStyle w:val="Body"/>
      </w:pPr>
      <w:r>
        <w:t>This announcement, the</w:t>
      </w:r>
      <w:r w:rsidRPr="0075555D">
        <w:t xml:space="preserve"> Tender Offer Memorandum and any other documents or materials relating to the Offers have not been approved by an authorized person for the purposes of section 21 of the Financial Services and Markets Act 2000 (the </w:t>
      </w:r>
      <w:r>
        <w:t>“</w:t>
      </w:r>
      <w:r w:rsidRPr="0075555D">
        <w:rPr>
          <w:b/>
        </w:rPr>
        <w:t>FSMA</w:t>
      </w:r>
      <w:r>
        <w:t>”</w:t>
      </w:r>
      <w:r w:rsidRPr="0075555D">
        <w:t>). Accordingly, such documents and/or materials are not being distributed to, and must not be passed on to, the general public in the United Kingdom. The communication of such documents and/or materials is exempt from the restriction on financial promotions under section 21 of the FSMA on the basis that it is only directed at and may only be communicated to (1) those persons who are existing members or creditors of either Offeror or other persons within Article 43 of the Financial Services and Markets Act 2000 (Financial Promotion) Order 2005, and (2) any other persons to whom these documents and/or materials may lawfully be communicated.</w:t>
      </w:r>
    </w:p>
    <w:p w:rsidR="009D7F73" w:rsidRPr="0075555D" w:rsidRDefault="009D7F73" w:rsidP="009D7F73">
      <w:pPr>
        <w:pStyle w:val="Body"/>
        <w:rPr>
          <w:bCs/>
        </w:rPr>
      </w:pPr>
      <w:r>
        <w:rPr>
          <w:bCs/>
        </w:rPr>
        <w:t xml:space="preserve">Neither this announcement nor the Tender Offer Memorandum is </w:t>
      </w:r>
      <w:r w:rsidRPr="0075555D">
        <w:rPr>
          <w:bCs/>
        </w:rPr>
        <w:t>addressed to or directed at any other person, including any retail clients within the meaning of the rules, regulations and guidance issued by the Financial Conduct Authority and such other persons should not act or rely upon it.</w:t>
      </w:r>
    </w:p>
    <w:p w:rsidR="009D7F73" w:rsidRPr="009D7F73" w:rsidRDefault="009D7F73" w:rsidP="009D7F73">
      <w:pPr>
        <w:pStyle w:val="SubHead"/>
      </w:pPr>
      <w:r w:rsidRPr="0075555D">
        <w:t>Belgium</w:t>
      </w:r>
    </w:p>
    <w:p w:rsidR="009D7F73" w:rsidRPr="009065D1" w:rsidRDefault="009D7F73" w:rsidP="009D7F73">
      <w:pPr>
        <w:pStyle w:val="Body"/>
        <w:rPr>
          <w:bCs/>
        </w:rPr>
      </w:pPr>
      <w:r w:rsidRPr="009065D1">
        <w:rPr>
          <w:bCs/>
        </w:rPr>
        <w:t>None of this announcement, the Tender Offer Memorandum or any other documents or materials relating to the Offers have been submitted to or will be submitted for approval or recognition to the Financial Services and Markets Authority (</w:t>
      </w:r>
      <w:r w:rsidRPr="009065D1">
        <w:rPr>
          <w:bCs/>
          <w:i/>
          <w:iCs/>
        </w:rPr>
        <w:t>Autorité des services et marchés financiers / Autoriteit financiële diensten en markten</w:t>
      </w:r>
      <w:r w:rsidRPr="009065D1">
        <w:rPr>
          <w:bCs/>
        </w:rPr>
        <w:t xml:space="preserve">) and, accordingly, the Offers may not be made in Belgium by way of a public offering, as defined in Articles </w:t>
      </w:r>
      <w:r>
        <w:rPr>
          <w:bCs/>
        </w:rPr>
        <w:t xml:space="preserve">3 and 6 of the Belgian Law of </w:t>
      </w:r>
      <w:r w:rsidRPr="009065D1">
        <w:rPr>
          <w:bCs/>
        </w:rPr>
        <w:t>April</w:t>
      </w:r>
      <w:r>
        <w:rPr>
          <w:bCs/>
        </w:rPr>
        <w:t xml:space="preserve"> 1,</w:t>
      </w:r>
      <w:r w:rsidRPr="009065D1">
        <w:rPr>
          <w:bCs/>
        </w:rPr>
        <w:t xml:space="preserve"> 2007 on public takeover bids as amended or replaced from time to time. Accordingly, the Offers may not be advertised and the Offers will not be extended, and none of </w:t>
      </w:r>
      <w:r w:rsidRPr="009065D1">
        <w:rPr>
          <w:bCs/>
        </w:rPr>
        <w:lastRenderedPageBreak/>
        <w:t xml:space="preserve">this announcement, the Tender Offer Memorandum or any other documents or materials relating to the Offers (including any memorandum, information circular, brochure or any similar documents) has been or shall be distributed or made available, directly or indirectly, to any person in Belgium other than </w:t>
      </w:r>
      <w:r>
        <w:rPr>
          <w:bCs/>
        </w:rPr>
        <w:t>“</w:t>
      </w:r>
      <w:r w:rsidRPr="009065D1">
        <w:rPr>
          <w:bCs/>
        </w:rPr>
        <w:t>qualified investors</w:t>
      </w:r>
      <w:r>
        <w:rPr>
          <w:bCs/>
        </w:rPr>
        <w:t>”</w:t>
      </w:r>
      <w:r w:rsidRPr="009065D1">
        <w:rPr>
          <w:bCs/>
        </w:rPr>
        <w:t xml:space="preserve"> in the sense of Art</w:t>
      </w:r>
      <w:r>
        <w:rPr>
          <w:bCs/>
        </w:rPr>
        <w:t>icle 10 of the Belgian Law of</w:t>
      </w:r>
      <w:r w:rsidRPr="009065D1">
        <w:rPr>
          <w:bCs/>
        </w:rPr>
        <w:t xml:space="preserve"> June </w:t>
      </w:r>
      <w:r>
        <w:rPr>
          <w:bCs/>
        </w:rPr>
        <w:t xml:space="preserve">16, </w:t>
      </w:r>
      <w:r w:rsidRPr="009065D1">
        <w:rPr>
          <w:bCs/>
        </w:rPr>
        <w:t>2006 on the public offer of placement instruments and the admission to trading of placement instruments on regulated markets, acting on their own account. This announcement and/or the Tender Offer Memorandum have been issued only for the personal use of the above qualified investors and exclusively for the purpose of the Offers. Accordingly, the information contained in this announcement and/or the Tender Offer Memorandum may not be used for any other purpose or disclosed to any other person in Belgium.</w:t>
      </w:r>
    </w:p>
    <w:p w:rsidR="009D7F73" w:rsidRPr="009D7F73" w:rsidRDefault="009D7F73" w:rsidP="009D7F73">
      <w:pPr>
        <w:pStyle w:val="SubHead"/>
      </w:pPr>
      <w:r w:rsidRPr="0075555D">
        <w:t>France</w:t>
      </w:r>
    </w:p>
    <w:p w:rsidR="009D7F73" w:rsidRPr="0075555D" w:rsidRDefault="009D7F73" w:rsidP="009D7F73">
      <w:pPr>
        <w:pStyle w:val="Body"/>
      </w:pPr>
      <w:r w:rsidRPr="0075555D">
        <w:t xml:space="preserve">The Offers are not being made, directly or indirectly, to the public in France. </w:t>
      </w:r>
      <w:r>
        <w:t xml:space="preserve">None of this announcement, the </w:t>
      </w:r>
      <w:r w:rsidRPr="0075555D">
        <w:t xml:space="preserve"> Tender Offer Memorandum nor any other documents or offering materials relating to the Offers, has been or shall be distributed to the public in France and only (i) providers of investment services relating to portfolio management for the account of third parties (</w:t>
      </w:r>
      <w:r w:rsidRPr="0075555D">
        <w:rPr>
          <w:i/>
        </w:rPr>
        <w:t>personnes fournissant le service d</w:t>
      </w:r>
      <w:r>
        <w:rPr>
          <w:i/>
        </w:rPr>
        <w:t>’</w:t>
      </w:r>
      <w:r w:rsidRPr="0075555D">
        <w:rPr>
          <w:i/>
        </w:rPr>
        <w:t>investissement de gestion de portefeuille pour compte de tiers</w:t>
      </w:r>
      <w:r w:rsidRPr="0075555D">
        <w:t>) and/or (ii) qualified investors (</w:t>
      </w:r>
      <w:r w:rsidRPr="0075555D">
        <w:rPr>
          <w:i/>
        </w:rPr>
        <w:t>investisseurs qualifiés</w:t>
      </w:r>
      <w:r w:rsidRPr="0075555D">
        <w:t xml:space="preserve">), other than individuals, all as defined in, and in accordance with, Articles L.411-1, L.411-2 and D.411-1 of the French </w:t>
      </w:r>
      <w:r w:rsidRPr="0075555D">
        <w:rPr>
          <w:i/>
        </w:rPr>
        <w:t>Code monétaire et financier</w:t>
      </w:r>
      <w:r w:rsidRPr="0075555D">
        <w:t xml:space="preserve">, are eligible to </w:t>
      </w:r>
      <w:r>
        <w:t>participate in the Offers. Neither this announcement nor the Tender Offer Memorandum has</w:t>
      </w:r>
      <w:r w:rsidRPr="0075555D">
        <w:t xml:space="preserve"> been submitted to the clearance procedures (</w:t>
      </w:r>
      <w:r w:rsidRPr="0075555D">
        <w:rPr>
          <w:i/>
        </w:rPr>
        <w:t>visa</w:t>
      </w:r>
      <w:r w:rsidRPr="0075555D">
        <w:t xml:space="preserve">) of the </w:t>
      </w:r>
      <w:r w:rsidRPr="0075555D">
        <w:rPr>
          <w:i/>
        </w:rPr>
        <w:t>Autorité des marchés financiers</w:t>
      </w:r>
      <w:r w:rsidRPr="0075555D">
        <w:t>.</w:t>
      </w:r>
    </w:p>
    <w:p w:rsidR="009D7F73" w:rsidRPr="009D7F73" w:rsidRDefault="009D7F73" w:rsidP="009D7F73">
      <w:pPr>
        <w:pStyle w:val="SubHead"/>
      </w:pPr>
      <w:r w:rsidRPr="0075555D">
        <w:t>Italy</w:t>
      </w:r>
    </w:p>
    <w:p w:rsidR="009D7F73" w:rsidRPr="009065D1" w:rsidRDefault="009D7F73" w:rsidP="009D7F73">
      <w:pPr>
        <w:pStyle w:val="Body"/>
      </w:pPr>
      <w:r w:rsidRPr="009065D1">
        <w:t>None of the Offers, this announcement, the Tender Offer Memorandum or any other document or materials relating to the Offers has been or will be submitted to the clearance procedures of the Commissione Nazionale per le Società e la Borsa (</w:t>
      </w:r>
      <w:r>
        <w:t>“</w:t>
      </w:r>
      <w:r w:rsidRPr="009065D1">
        <w:t>CONSOB</w:t>
      </w:r>
      <w:r>
        <w:t>”</w:t>
      </w:r>
      <w:r w:rsidRPr="009065D1">
        <w:t>) pursuant to Italian laws and regulations.</w:t>
      </w:r>
    </w:p>
    <w:p w:rsidR="009D7F73" w:rsidRPr="009065D1" w:rsidRDefault="009D7F73" w:rsidP="009D7F73">
      <w:pPr>
        <w:pStyle w:val="Body"/>
      </w:pPr>
      <w:r w:rsidRPr="009065D1">
        <w:t>Each Offer is being carried out in Italy as an exempted offer pursuant to article 101-bis, paragraph 3-bis of the Legislative Decree No. 58 of February</w:t>
      </w:r>
      <w:r>
        <w:t xml:space="preserve"> 24,</w:t>
      </w:r>
      <w:r w:rsidRPr="009065D1">
        <w:t xml:space="preserve"> 1998, as amended (the </w:t>
      </w:r>
      <w:r>
        <w:t>“</w:t>
      </w:r>
      <w:r w:rsidRPr="009065D1">
        <w:t>Financial Services Act</w:t>
      </w:r>
      <w:r>
        <w:t>”</w:t>
      </w:r>
      <w:r w:rsidRPr="009065D1">
        <w:t>) and article 35-bis, paragraph 4 of CO</w:t>
      </w:r>
      <w:r>
        <w:t xml:space="preserve">NSOB Regulation No. 11971 of </w:t>
      </w:r>
      <w:r w:rsidRPr="009065D1">
        <w:t>May</w:t>
      </w:r>
      <w:r>
        <w:t xml:space="preserve"> 14,</w:t>
      </w:r>
      <w:r w:rsidRPr="009065D1">
        <w:t xml:space="preserve"> 1999, as amended. Holders or beneficial owners of the </w:t>
      </w:r>
      <w:r>
        <w:t xml:space="preserve">Securities </w:t>
      </w:r>
      <w:r w:rsidRPr="009065D1">
        <w:t xml:space="preserve">that are located in Italy can tender </w:t>
      </w:r>
      <w:r>
        <w:t xml:space="preserve">Securities </w:t>
      </w:r>
      <w:r w:rsidRPr="009065D1">
        <w:t>for purchase in the Offers through authorised persons (such as investment firms, banks or financial intermediaries permitted to conduct such activities in Italy in accordance with the Financial Services Act, CO</w:t>
      </w:r>
      <w:r>
        <w:t xml:space="preserve">NSOB Regulation No. 16190 of </w:t>
      </w:r>
      <w:r w:rsidRPr="009065D1">
        <w:t>October</w:t>
      </w:r>
      <w:r>
        <w:t xml:space="preserve"> 29,</w:t>
      </w:r>
      <w:r w:rsidRPr="009065D1">
        <w:t xml:space="preserve"> 2007, as amended from time to time, and </w:t>
      </w:r>
      <w:r>
        <w:t xml:space="preserve">Legislative Decree No. 385 of </w:t>
      </w:r>
      <w:r w:rsidRPr="009065D1">
        <w:t>September</w:t>
      </w:r>
      <w:r>
        <w:t xml:space="preserve"> 1,</w:t>
      </w:r>
      <w:r w:rsidRPr="009065D1">
        <w:t xml:space="preserve"> 1993, as amended) and in compliance with applicable laws and regulations or with requirements imposed by CONSOB or any other Italian authority.</w:t>
      </w:r>
    </w:p>
    <w:p w:rsidR="009D7F73" w:rsidRPr="00A41D62" w:rsidRDefault="009D7F73" w:rsidP="009D7F73">
      <w:pPr>
        <w:pStyle w:val="Body"/>
        <w:rPr>
          <w:lang w:eastAsia="en-GB"/>
        </w:rPr>
      </w:pPr>
      <w:r w:rsidRPr="00A41D62">
        <w:rPr>
          <w:lang w:eastAsia="en-GB"/>
        </w:rPr>
        <w:t xml:space="preserve">Each intermediary must comply with the applicable laws and regulations concerning information duties </w:t>
      </w:r>
      <w:r w:rsidRPr="00BC1CC7">
        <w:rPr>
          <w:i/>
          <w:iCs/>
          <w:lang w:eastAsia="en-GB"/>
        </w:rPr>
        <w:t>vis-à-vis</w:t>
      </w:r>
      <w:r w:rsidRPr="00A41D62">
        <w:rPr>
          <w:lang w:eastAsia="en-GB"/>
        </w:rPr>
        <w:t xml:space="preserve"> its clients in connection with the </w:t>
      </w:r>
      <w:r>
        <w:rPr>
          <w:lang w:eastAsia="en-GB"/>
        </w:rPr>
        <w:t>Securities</w:t>
      </w:r>
      <w:r w:rsidRPr="00A41D62">
        <w:rPr>
          <w:lang w:eastAsia="en-GB"/>
        </w:rPr>
        <w:t xml:space="preserve"> or the Offers.</w:t>
      </w:r>
    </w:p>
    <w:p w:rsidR="009D7F73" w:rsidRPr="009D7F73" w:rsidRDefault="009D7F73" w:rsidP="009D7F73">
      <w:pPr>
        <w:pStyle w:val="SubHead"/>
      </w:pPr>
      <w:r w:rsidRPr="0075555D">
        <w:t>Switzerland</w:t>
      </w:r>
    </w:p>
    <w:p w:rsidR="009D7F73" w:rsidRDefault="009D7F73" w:rsidP="009D7F73">
      <w:pPr>
        <w:pStyle w:val="Body"/>
      </w:pPr>
      <w:r w:rsidRPr="009065D1">
        <w:t xml:space="preserve">None of this announcement, the Tender Offer Memorandum or any other offering or marketing material relating to the </w:t>
      </w:r>
      <w:r>
        <w:t>Securities</w:t>
      </w:r>
      <w:r w:rsidRPr="009065D1">
        <w:t xml:space="preserve"> constitutes a prospectus as such term is understood pursuant to article 652a or article 1156 of the Swiss Federal Code of Obligations or a listing prospectus within the meaning of the listing rules of the SIX Swiss Exchange. Accordingly, the investor protection rules otherwise applicable to investors in Switzerland do not apply to the Offers. When in doubt, investors based in Switzerland are recommended to contact their legal, financial or tax adviser with respect to the Offers.</w:t>
      </w:r>
    </w:p>
    <w:p w:rsidR="009D7F73" w:rsidRPr="009D7F73" w:rsidRDefault="009D7F73" w:rsidP="009D7F73">
      <w:pPr>
        <w:pStyle w:val="SubHead"/>
      </w:pPr>
      <w:r w:rsidRPr="0075555D">
        <w:t>General</w:t>
      </w:r>
    </w:p>
    <w:p w:rsidR="009D7F73" w:rsidRPr="0075555D" w:rsidRDefault="009D7F73" w:rsidP="009D7F73">
      <w:pPr>
        <w:pStyle w:val="Body"/>
      </w:pPr>
      <w:r w:rsidRPr="0075555D">
        <w:t xml:space="preserve">The Offers do not constitute an offer to buy or the solicitation of an offer to sell Securities in any circumstances in which such offer or solicitation is unlawful. In those jurisdictions where the securities or </w:t>
      </w:r>
      <w:r w:rsidRPr="0075555D">
        <w:lastRenderedPageBreak/>
        <w:t xml:space="preserve">other laws require </w:t>
      </w:r>
      <w:r>
        <w:t xml:space="preserve">the </w:t>
      </w:r>
      <w:r w:rsidRPr="0075555D">
        <w:t>Offer</w:t>
      </w:r>
      <w:r>
        <w:t>s</w:t>
      </w:r>
      <w:r w:rsidRPr="0075555D">
        <w:t xml:space="preserve"> to be made by a licensed broker or dealer and any of the Dealer Managers or, where the context so requires, any of </w:t>
      </w:r>
      <w:r>
        <w:t>their</w:t>
      </w:r>
      <w:r w:rsidRPr="0075555D">
        <w:t xml:space="preserve"> respective affiliates is such a licensed broker or dealer in </w:t>
      </w:r>
      <w:r>
        <w:t xml:space="preserve">that jurisdiction, the </w:t>
      </w:r>
      <w:r w:rsidRPr="0075555D">
        <w:t>Offer shall be deemed to be made on behalf of the relevant Offeror by such Dealer Manager or affiliate (as the case may be) in such jurisdiction.</w:t>
      </w:r>
    </w:p>
    <w:p w:rsidR="009D7F73" w:rsidRPr="00F43731" w:rsidRDefault="009D7F73" w:rsidP="009D7F73">
      <w:pPr>
        <w:pStyle w:val="Body"/>
      </w:pPr>
      <w:r w:rsidRPr="0075555D">
        <w:t xml:space="preserve">Each Holder participating in an Offer will be deemed to give certain representations in respect of the jurisdictions referred to above and generally as set out in </w:t>
      </w:r>
      <w:r>
        <w:t>“</w:t>
      </w:r>
      <w:r w:rsidRPr="0075555D">
        <w:rPr>
          <w:i/>
        </w:rPr>
        <w:t>Procedures for Participating in the Offers</w:t>
      </w:r>
      <w:r>
        <w:t>” in the Tender Offer Memorandum</w:t>
      </w:r>
      <w:r w:rsidRPr="0075555D">
        <w:t>. Any tender of Securities for purchase pursuant to an Offer from a Holder that is unable to make these representations may be rejected. Each of the Offerors, the Dealer Managers and the Tender Agent reserves the right, in their absolute discretion, to investigate, in relation to any tender of Securities for purchase pursuant to an Offer, whether any such representation given by a Holder is correct and, if such investigation is undertaken and as a result the relevant Offeror determines (for any reason) that such representation is not correct, such tender may be rejected.</w:t>
      </w:r>
    </w:p>
    <w:p w:rsidR="00C45822" w:rsidRDefault="00C45822" w:rsidP="00E73D69">
      <w:pPr>
        <w:pStyle w:val="Body"/>
      </w:pPr>
    </w:p>
    <w:sectPr w:rsidR="00C45822">
      <w:footerReference w:type="default" r:id="rId9"/>
      <w:footerReference w:type="first" r:id="rId10"/>
      <w:pgSz w:w="11907" w:h="16840" w:code="9"/>
      <w:pgMar w:top="1412" w:right="1367" w:bottom="1985" w:left="1281" w:header="1049" w:footer="87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F73" w:rsidRDefault="009D7F73">
      <w:r>
        <w:separator/>
      </w:r>
    </w:p>
  </w:endnote>
  <w:endnote w:type="continuationSeparator" w:id="0">
    <w:p w:rsidR="009D7F73" w:rsidRDefault="009D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8" w:rsidRDefault="00BA6688" w:rsidP="00605EB4">
    <w:pPr>
      <w:pStyle w:val="Footer"/>
    </w:pPr>
    <w:r>
      <w:tab/>
    </w:r>
    <w:r>
      <w:rPr>
        <w:rStyle w:val="PageNumber"/>
        <w:sz w:val="20"/>
      </w:rPr>
      <w:fldChar w:fldCharType="begin"/>
    </w:r>
    <w:r>
      <w:rPr>
        <w:rStyle w:val="PageNumber"/>
        <w:sz w:val="20"/>
      </w:rPr>
      <w:instrText xml:space="preserve"> PAGE </w:instrText>
    </w:r>
    <w:r>
      <w:rPr>
        <w:rStyle w:val="PageNumber"/>
        <w:sz w:val="20"/>
      </w:rPr>
      <w:fldChar w:fldCharType="separate"/>
    </w:r>
    <w:r w:rsidR="00BE6E3E">
      <w:rPr>
        <w:rStyle w:val="PageNumber"/>
        <w:noProof/>
        <w:sz w:val="20"/>
      </w:rPr>
      <w:t>2</w:t>
    </w:r>
    <w:r>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688" w:rsidRDefault="00BA6688" w:rsidP="00B17B3B">
    <w:pPr>
      <w:pStyle w:val="Footer"/>
    </w:pPr>
    <w:r>
      <w:tab/>
    </w:r>
    <w:r>
      <w:rPr>
        <w:rStyle w:val="PageNumber"/>
        <w:sz w:val="20"/>
      </w:rPr>
      <w:fldChar w:fldCharType="begin"/>
    </w:r>
    <w:r>
      <w:rPr>
        <w:rStyle w:val="PageNumber"/>
        <w:sz w:val="20"/>
      </w:rPr>
      <w:instrText xml:space="preserve"> PAGE </w:instrText>
    </w:r>
    <w:r>
      <w:rPr>
        <w:rStyle w:val="PageNumber"/>
        <w:sz w:val="20"/>
      </w:rPr>
      <w:fldChar w:fldCharType="separate"/>
    </w:r>
    <w:r w:rsidR="00BE6E3E">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F73" w:rsidRDefault="009D7F73">
      <w:r>
        <w:separator/>
      </w:r>
    </w:p>
  </w:footnote>
  <w:footnote w:type="continuationSeparator" w:id="0">
    <w:p w:rsidR="009D7F73" w:rsidRDefault="009D7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BB9"/>
    <w:multiLevelType w:val="singleLevel"/>
    <w:tmpl w:val="AD24A92E"/>
    <w:lvl w:ilvl="0">
      <w:start w:val="1"/>
      <w:numFmt w:val="decimal"/>
      <w:pStyle w:val="SmCellNumber"/>
      <w:lvlText w:val="%1"/>
      <w:lvlJc w:val="left"/>
      <w:pPr>
        <w:tabs>
          <w:tab w:val="num" w:pos="425"/>
        </w:tabs>
        <w:ind w:left="425" w:hanging="425"/>
      </w:pPr>
    </w:lvl>
  </w:abstractNum>
  <w:abstractNum w:abstractNumId="1">
    <w:nsid w:val="018A3407"/>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nsid w:val="039D5640"/>
    <w:multiLevelType w:val="hybridMultilevel"/>
    <w:tmpl w:val="38D6FD94"/>
    <w:lvl w:ilvl="0" w:tplc="ADC878F0">
      <w:start w:val="1"/>
      <w:numFmt w:val="upperLetter"/>
      <w:pStyle w:val="Alpha3-Aitalic"/>
      <w:lvlText w:val="(%1)"/>
      <w:lvlJc w:val="left"/>
      <w:pPr>
        <w:tabs>
          <w:tab w:val="num" w:pos="1559"/>
        </w:tabs>
        <w:ind w:left="1559"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667DCF"/>
    <w:multiLevelType w:val="singleLevel"/>
    <w:tmpl w:val="ABB6E0E2"/>
    <w:lvl w:ilvl="0">
      <w:start w:val="1"/>
      <w:numFmt w:val="decimal"/>
      <w:pStyle w:val="VSmCellNumber"/>
      <w:lvlText w:val="%1"/>
      <w:lvlJc w:val="left"/>
      <w:pPr>
        <w:tabs>
          <w:tab w:val="num" w:pos="425"/>
        </w:tabs>
        <w:ind w:left="425" w:hanging="425"/>
      </w:pPr>
    </w:lvl>
  </w:abstractNum>
  <w:abstractNum w:abstractNumId="4">
    <w:nsid w:val="04C94037"/>
    <w:multiLevelType w:val="hybridMultilevel"/>
    <w:tmpl w:val="61E4DA6C"/>
    <w:lvl w:ilvl="0" w:tplc="10BE930E">
      <w:start w:val="1"/>
      <w:numFmt w:val="lowerRoman"/>
      <w:pStyle w:val="Roman2-i"/>
      <w:lvlText w:val="(%1)"/>
      <w:lvlJc w:val="left"/>
      <w:pPr>
        <w:tabs>
          <w:tab w:val="num" w:pos="992"/>
        </w:tabs>
        <w:ind w:left="992"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1076B7"/>
    <w:multiLevelType w:val="hybridMultilevel"/>
    <w:tmpl w:val="466AB0A8"/>
    <w:lvl w:ilvl="0" w:tplc="54C68D74">
      <w:start w:val="1"/>
      <w:numFmt w:val="decimal"/>
      <w:pStyle w:val="Arabic2-1"/>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1A3148"/>
    <w:multiLevelType w:val="multilevel"/>
    <w:tmpl w:val="D5B65C7A"/>
    <w:lvl w:ilvl="0">
      <w:start w:val="1"/>
      <w:numFmt w:val="bullet"/>
      <w:pStyle w:val="bullet6"/>
      <w:lvlText w:val=""/>
      <w:lvlJc w:val="left"/>
      <w:pPr>
        <w:tabs>
          <w:tab w:val="num" w:pos="3260"/>
        </w:tabs>
        <w:ind w:left="3260" w:hanging="567"/>
      </w:pPr>
      <w:rPr>
        <w:rFonts w:ascii="Symbol" w:hAnsi="Symbol" w:hint="default"/>
        <w:b/>
        <w:i w:val="0"/>
        <w:sz w:val="20"/>
      </w:rPr>
    </w:lvl>
    <w:lvl w:ilvl="1">
      <w:start w:val="1"/>
      <w:numFmt w:val="bullet"/>
      <w:lvlText w:val=""/>
      <w:lvlJc w:val="left"/>
      <w:pPr>
        <w:tabs>
          <w:tab w:val="num" w:pos="3685"/>
        </w:tabs>
        <w:ind w:left="3685" w:hanging="567"/>
      </w:pPr>
      <w:rPr>
        <w:rFonts w:ascii="Symbol" w:hAnsi="Symbol" w:hint="default"/>
        <w:sz w:val="20"/>
      </w:rPr>
    </w:lvl>
    <w:lvl w:ilvl="2">
      <w:start w:val="1"/>
      <w:numFmt w:val="bullet"/>
      <w:lvlText w:val=""/>
      <w:lvlJc w:val="left"/>
      <w:pPr>
        <w:tabs>
          <w:tab w:val="num" w:pos="4252"/>
        </w:tabs>
        <w:ind w:left="4252" w:hanging="567"/>
      </w:pPr>
      <w:rPr>
        <w:rFonts w:ascii="Symbol" w:hAnsi="Symbol" w:hint="default"/>
        <w:sz w:val="17"/>
      </w:rPr>
    </w:lvl>
    <w:lvl w:ilvl="3">
      <w:start w:val="1"/>
      <w:numFmt w:val="bullet"/>
      <w:lvlText w:val=""/>
      <w:lvlJc w:val="left"/>
      <w:pPr>
        <w:tabs>
          <w:tab w:val="num" w:pos="4819"/>
        </w:tabs>
        <w:ind w:left="4819" w:hanging="567"/>
      </w:pPr>
      <w:rPr>
        <w:rFonts w:ascii="Symbol" w:hAnsi="Symbol" w:hint="default"/>
        <w:sz w:val="19"/>
      </w:rPr>
    </w:lvl>
    <w:lvl w:ilvl="4">
      <w:start w:val="1"/>
      <w:numFmt w:val="bullet"/>
      <w:lvlText w:val=""/>
      <w:lvlJc w:val="left"/>
      <w:pPr>
        <w:tabs>
          <w:tab w:val="num" w:pos="5386"/>
        </w:tabs>
        <w:ind w:left="5386" w:hanging="567"/>
      </w:pPr>
      <w:rPr>
        <w:rFonts w:ascii="Symbol" w:hAnsi="Symbol" w:hint="default"/>
        <w:sz w:val="19"/>
      </w:rPr>
    </w:lvl>
    <w:lvl w:ilvl="5">
      <w:start w:val="1"/>
      <w:numFmt w:val="upperLetter"/>
      <w:lvlText w:val="(%6)"/>
      <w:lvlJc w:val="left"/>
      <w:pPr>
        <w:tabs>
          <w:tab w:val="num" w:pos="5953"/>
        </w:tabs>
        <w:ind w:left="5953" w:hanging="567"/>
      </w:pPr>
      <w:rPr>
        <w:rFonts w:hint="default"/>
        <w:sz w:val="19"/>
      </w:rPr>
    </w:lvl>
    <w:lvl w:ilvl="6">
      <w:start w:val="1"/>
      <w:numFmt w:val="decimal"/>
      <w:lvlText w:val="%1.%2.%3.%4.%5.%6.%7"/>
      <w:lvlJc w:val="left"/>
      <w:pPr>
        <w:tabs>
          <w:tab w:val="num" w:pos="6520"/>
        </w:tabs>
        <w:ind w:left="6520" w:hanging="3827"/>
      </w:pPr>
      <w:rPr>
        <w:rFonts w:hint="default"/>
      </w:rPr>
    </w:lvl>
    <w:lvl w:ilvl="7">
      <w:start w:val="1"/>
      <w:numFmt w:val="decimal"/>
      <w:lvlText w:val="%1.%2.%3.%4.%5.%6.%7.%8"/>
      <w:lvlJc w:val="left"/>
      <w:pPr>
        <w:tabs>
          <w:tab w:val="num" w:pos="4133"/>
        </w:tabs>
        <w:ind w:left="4133" w:hanging="1440"/>
      </w:pPr>
      <w:rPr>
        <w:rFonts w:hint="default"/>
      </w:rPr>
    </w:lvl>
    <w:lvl w:ilvl="8">
      <w:start w:val="1"/>
      <w:numFmt w:val="decimal"/>
      <w:lvlText w:val="%1.%2.%3.%4.%5.%6.%7.%8.%9"/>
      <w:lvlJc w:val="left"/>
      <w:pPr>
        <w:tabs>
          <w:tab w:val="num" w:pos="4493"/>
        </w:tabs>
        <w:ind w:left="4277" w:hanging="1584"/>
      </w:pPr>
      <w:rPr>
        <w:rFonts w:hint="default"/>
      </w:rPr>
    </w:lvl>
  </w:abstractNum>
  <w:abstractNum w:abstractNumId="7">
    <w:nsid w:val="06BE5611"/>
    <w:multiLevelType w:val="hybridMultilevel"/>
    <w:tmpl w:val="2960B452"/>
    <w:lvl w:ilvl="0" w:tplc="AD201522">
      <w:start w:val="1"/>
      <w:numFmt w:val="lowerRoman"/>
      <w:pStyle w:val="Roman3-i"/>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06F21B9D"/>
    <w:multiLevelType w:val="hybridMultilevel"/>
    <w:tmpl w:val="2B12B6DA"/>
    <w:lvl w:ilvl="0" w:tplc="11346DDC">
      <w:start w:val="1"/>
      <w:numFmt w:val="decimal"/>
      <w:pStyle w:val="Arabic5-1"/>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EE5F0B"/>
    <w:multiLevelType w:val="hybridMultilevel"/>
    <w:tmpl w:val="3A483FCA"/>
    <w:lvl w:ilvl="0" w:tplc="79C28C1A">
      <w:start w:val="1"/>
      <w:numFmt w:val="lowerLetter"/>
      <w:pStyle w:val="TableAlpha"/>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7A161E"/>
    <w:multiLevelType w:val="hybridMultilevel"/>
    <w:tmpl w:val="B750E5BC"/>
    <w:lvl w:ilvl="0" w:tplc="1CD467E2">
      <w:start w:val="1"/>
      <w:numFmt w:val="upperLetter"/>
      <w:pStyle w:val="Alpha5-A"/>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FE6D9F"/>
    <w:multiLevelType w:val="hybridMultilevel"/>
    <w:tmpl w:val="A5A6668C"/>
    <w:lvl w:ilvl="0" w:tplc="9010552A">
      <w:start w:val="1"/>
      <w:numFmt w:val="lowerLetter"/>
      <w:pStyle w:val="Alpha5-a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C177F5A"/>
    <w:multiLevelType w:val="hybridMultilevel"/>
    <w:tmpl w:val="CE4CD726"/>
    <w:lvl w:ilvl="0" w:tplc="3DD810D4">
      <w:start w:val="1"/>
      <w:numFmt w:val="upperLetter"/>
      <w:pStyle w:val="Alpha5-Aitalic"/>
      <w:lvlText w:val="(%1)"/>
      <w:lvlJc w:val="left"/>
      <w:pPr>
        <w:tabs>
          <w:tab w:val="num" w:pos="2693"/>
        </w:tabs>
        <w:ind w:left="2693"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1E19BE"/>
    <w:multiLevelType w:val="multilevel"/>
    <w:tmpl w:val="44246E30"/>
    <w:lvl w:ilvl="0">
      <w:start w:val="1"/>
      <w:numFmt w:val="upperRoman"/>
      <w:lvlText w:val="(%1)"/>
      <w:lvlJc w:val="right"/>
      <w:pPr>
        <w:tabs>
          <w:tab w:val="num" w:pos="1559"/>
        </w:tabs>
        <w:ind w:left="155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CBF1B4C"/>
    <w:multiLevelType w:val="singleLevel"/>
    <w:tmpl w:val="DF9AC7CE"/>
    <w:lvl w:ilvl="0">
      <w:start w:val="1"/>
      <w:numFmt w:val="upperRoman"/>
      <w:pStyle w:val="Roman2-I0"/>
      <w:lvlText w:val="%1"/>
      <w:lvlJc w:val="left"/>
      <w:pPr>
        <w:tabs>
          <w:tab w:val="num" w:pos="992"/>
        </w:tabs>
        <w:ind w:left="992" w:hanging="567"/>
      </w:pPr>
      <w:rPr>
        <w:rFonts w:hint="default"/>
      </w:rPr>
    </w:lvl>
  </w:abstractNum>
  <w:abstractNum w:abstractNumId="15">
    <w:nsid w:val="10CC09DF"/>
    <w:multiLevelType w:val="hybridMultilevel"/>
    <w:tmpl w:val="B3BA89CC"/>
    <w:lvl w:ilvl="0" w:tplc="3C747E9C">
      <w:start w:val="1"/>
      <w:numFmt w:val="upperRoman"/>
      <w:pStyle w:val="Roman6-I"/>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148A18C7"/>
    <w:multiLevelType w:val="multilevel"/>
    <w:tmpl w:val="77580EE0"/>
    <w:lvl w:ilvl="0">
      <w:start w:val="1"/>
      <w:numFmt w:val="decimal"/>
      <w:pStyle w:val="Level1"/>
      <w:lvlText w:val="%1"/>
      <w:lvlJc w:val="left"/>
      <w:pPr>
        <w:tabs>
          <w:tab w:val="num" w:pos="425"/>
        </w:tabs>
        <w:ind w:left="425" w:hanging="425"/>
      </w:pPr>
      <w:rPr>
        <w:rFonts w:hint="default"/>
        <w:b/>
        <w:i w:val="0"/>
        <w:sz w:val="20"/>
        <w:szCs w:val="22"/>
      </w:rPr>
    </w:lvl>
    <w:lvl w:ilvl="1">
      <w:start w:val="1"/>
      <w:numFmt w:val="decimal"/>
      <w:pStyle w:val="Level2"/>
      <w:lvlText w:val="%1.%2"/>
      <w:lvlJc w:val="left"/>
      <w:pPr>
        <w:tabs>
          <w:tab w:val="num" w:pos="992"/>
        </w:tabs>
        <w:ind w:left="992" w:hanging="567"/>
      </w:pPr>
      <w:rPr>
        <w:rFonts w:hint="default"/>
        <w:sz w:val="20"/>
      </w:rPr>
    </w:lvl>
    <w:lvl w:ilvl="2">
      <w:start w:val="1"/>
      <w:numFmt w:val="decimal"/>
      <w:pStyle w:val="Level3"/>
      <w:lvlText w:val="%1.%2.%3"/>
      <w:lvlJc w:val="left"/>
      <w:pPr>
        <w:tabs>
          <w:tab w:val="num" w:pos="1559"/>
        </w:tabs>
        <w:ind w:left="1559" w:hanging="567"/>
      </w:pPr>
      <w:rPr>
        <w:rFonts w:hint="default"/>
        <w:sz w:val="17"/>
      </w:rPr>
    </w:lvl>
    <w:lvl w:ilvl="3">
      <w:start w:val="1"/>
      <w:numFmt w:val="lowerLetter"/>
      <w:pStyle w:val="Level4"/>
      <w:lvlText w:val="(%4)"/>
      <w:lvlJc w:val="left"/>
      <w:pPr>
        <w:tabs>
          <w:tab w:val="num" w:pos="2126"/>
        </w:tabs>
        <w:ind w:left="2126" w:hanging="567"/>
      </w:pPr>
      <w:rPr>
        <w:rFonts w:hint="default"/>
        <w:sz w:val="19"/>
      </w:rPr>
    </w:lvl>
    <w:lvl w:ilvl="4">
      <w:start w:val="1"/>
      <w:numFmt w:val="upperRoman"/>
      <w:pStyle w:val="Level5"/>
      <w:lvlText w:val="(%5)"/>
      <w:lvlJc w:val="left"/>
      <w:pPr>
        <w:tabs>
          <w:tab w:val="num" w:pos="2693"/>
        </w:tabs>
        <w:ind w:left="2693" w:hanging="567"/>
      </w:pPr>
      <w:rPr>
        <w:rFonts w:hint="default"/>
        <w:sz w:val="19"/>
      </w:rPr>
    </w:lvl>
    <w:lvl w:ilvl="5">
      <w:start w:val="1"/>
      <w:numFmt w:val="upperLetter"/>
      <w:pStyle w:val="Level6"/>
      <w:lvlText w:val="(%6)"/>
      <w:lvlJc w:val="left"/>
      <w:pPr>
        <w:tabs>
          <w:tab w:val="num" w:pos="3260"/>
        </w:tabs>
        <w:ind w:left="3260" w:hanging="567"/>
      </w:pPr>
      <w:rPr>
        <w:rFonts w:hint="default"/>
        <w:sz w:val="19"/>
      </w:rPr>
    </w:lvl>
    <w:lvl w:ilvl="6">
      <w:start w:val="1"/>
      <w:numFmt w:val="decimal"/>
      <w:lvlText w:val="%1.%2.%3.%4.%5.%6.%7"/>
      <w:lvlJc w:val="left"/>
      <w:pPr>
        <w:tabs>
          <w:tab w:val="num" w:pos="3827"/>
        </w:tabs>
        <w:ind w:left="3827" w:hanging="382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7">
    <w:nsid w:val="15B45773"/>
    <w:multiLevelType w:val="multilevel"/>
    <w:tmpl w:val="5740BC78"/>
    <w:lvl w:ilvl="0">
      <w:start w:val="1"/>
      <w:numFmt w:val="bullet"/>
      <w:pStyle w:val="bullet5"/>
      <w:lvlText w:val=""/>
      <w:lvlJc w:val="left"/>
      <w:pPr>
        <w:tabs>
          <w:tab w:val="num" w:pos="2693"/>
        </w:tabs>
        <w:ind w:left="2693" w:hanging="567"/>
      </w:pPr>
      <w:rPr>
        <w:rFonts w:ascii="Symbol" w:hAnsi="Symbol" w:hint="default"/>
        <w:b/>
        <w:i w:val="0"/>
        <w:sz w:val="20"/>
      </w:rPr>
    </w:lvl>
    <w:lvl w:ilvl="1">
      <w:start w:val="1"/>
      <w:numFmt w:val="bullet"/>
      <w:lvlText w:val=""/>
      <w:lvlJc w:val="left"/>
      <w:pPr>
        <w:tabs>
          <w:tab w:val="num" w:pos="3118"/>
        </w:tabs>
        <w:ind w:left="3118" w:hanging="567"/>
      </w:pPr>
      <w:rPr>
        <w:rFonts w:ascii="Symbol" w:hAnsi="Symbol" w:hint="default"/>
        <w:sz w:val="20"/>
      </w:rPr>
    </w:lvl>
    <w:lvl w:ilvl="2">
      <w:start w:val="1"/>
      <w:numFmt w:val="bullet"/>
      <w:lvlText w:val=""/>
      <w:lvlJc w:val="left"/>
      <w:pPr>
        <w:tabs>
          <w:tab w:val="num" w:pos="3685"/>
        </w:tabs>
        <w:ind w:left="3685" w:hanging="567"/>
      </w:pPr>
      <w:rPr>
        <w:rFonts w:ascii="Symbol" w:hAnsi="Symbol" w:hint="default"/>
        <w:sz w:val="17"/>
      </w:rPr>
    </w:lvl>
    <w:lvl w:ilvl="3">
      <w:start w:val="1"/>
      <w:numFmt w:val="bullet"/>
      <w:lvlText w:val=""/>
      <w:lvlJc w:val="left"/>
      <w:pPr>
        <w:tabs>
          <w:tab w:val="num" w:pos="4252"/>
        </w:tabs>
        <w:ind w:left="4252" w:hanging="567"/>
      </w:pPr>
      <w:rPr>
        <w:rFonts w:ascii="Symbol" w:hAnsi="Symbol" w:hint="default"/>
        <w:sz w:val="19"/>
      </w:rPr>
    </w:lvl>
    <w:lvl w:ilvl="4">
      <w:start w:val="1"/>
      <w:numFmt w:val="bullet"/>
      <w:lvlText w:val=""/>
      <w:lvlJc w:val="left"/>
      <w:pPr>
        <w:tabs>
          <w:tab w:val="num" w:pos="4819"/>
        </w:tabs>
        <w:ind w:left="4819" w:hanging="567"/>
      </w:pPr>
      <w:rPr>
        <w:rFonts w:ascii="Symbol" w:hAnsi="Symbol" w:hint="default"/>
        <w:sz w:val="19"/>
      </w:rPr>
    </w:lvl>
    <w:lvl w:ilvl="5">
      <w:start w:val="1"/>
      <w:numFmt w:val="upperLetter"/>
      <w:lvlText w:val="(%6)"/>
      <w:lvlJc w:val="left"/>
      <w:pPr>
        <w:tabs>
          <w:tab w:val="num" w:pos="5386"/>
        </w:tabs>
        <w:ind w:left="5386" w:hanging="567"/>
      </w:pPr>
      <w:rPr>
        <w:rFonts w:hint="default"/>
        <w:sz w:val="19"/>
      </w:rPr>
    </w:lvl>
    <w:lvl w:ilvl="6">
      <w:start w:val="1"/>
      <w:numFmt w:val="decimal"/>
      <w:lvlText w:val="%1.%2.%3.%4.%5.%6.%7"/>
      <w:lvlJc w:val="left"/>
      <w:pPr>
        <w:tabs>
          <w:tab w:val="num" w:pos="5953"/>
        </w:tabs>
        <w:ind w:left="5953" w:hanging="3827"/>
      </w:pPr>
      <w:rPr>
        <w:rFonts w:hint="default"/>
      </w:rPr>
    </w:lvl>
    <w:lvl w:ilvl="7">
      <w:start w:val="1"/>
      <w:numFmt w:val="decimal"/>
      <w:lvlText w:val="%1.%2.%3.%4.%5.%6.%7.%8"/>
      <w:lvlJc w:val="left"/>
      <w:pPr>
        <w:tabs>
          <w:tab w:val="num" w:pos="3566"/>
        </w:tabs>
        <w:ind w:left="3566" w:hanging="1440"/>
      </w:pPr>
      <w:rPr>
        <w:rFonts w:hint="default"/>
      </w:rPr>
    </w:lvl>
    <w:lvl w:ilvl="8">
      <w:start w:val="1"/>
      <w:numFmt w:val="decimal"/>
      <w:lvlText w:val="%1.%2.%3.%4.%5.%6.%7.%8.%9"/>
      <w:lvlJc w:val="left"/>
      <w:pPr>
        <w:tabs>
          <w:tab w:val="num" w:pos="3926"/>
        </w:tabs>
        <w:ind w:left="3710" w:hanging="1584"/>
      </w:pPr>
      <w:rPr>
        <w:rFonts w:hint="default"/>
      </w:rPr>
    </w:lvl>
  </w:abstractNum>
  <w:abstractNum w:abstractNumId="18">
    <w:nsid w:val="1822010C"/>
    <w:multiLevelType w:val="hybridMultilevel"/>
    <w:tmpl w:val="AF74A5C6"/>
    <w:lvl w:ilvl="0" w:tplc="6194F23C">
      <w:start w:val="1"/>
      <w:numFmt w:val="upperRoman"/>
      <w:pStyle w:val="Roman5-I"/>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1B2A5100"/>
    <w:multiLevelType w:val="singleLevel"/>
    <w:tmpl w:val="37B4483E"/>
    <w:lvl w:ilvl="0">
      <w:start w:val="1"/>
      <w:numFmt w:val="lowerLetter"/>
      <w:pStyle w:val="Alpha2-abolditalic"/>
      <w:lvlText w:val="(%1)"/>
      <w:lvlJc w:val="left"/>
      <w:pPr>
        <w:tabs>
          <w:tab w:val="num" w:pos="992"/>
        </w:tabs>
        <w:ind w:left="992" w:hanging="567"/>
      </w:pPr>
      <w:rPr>
        <w:rFonts w:hint="default"/>
      </w:rPr>
    </w:lvl>
  </w:abstractNum>
  <w:abstractNum w:abstractNumId="20">
    <w:nsid w:val="1BB63D06"/>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BF71723"/>
    <w:multiLevelType w:val="hybridMultilevel"/>
    <w:tmpl w:val="A73427BC"/>
    <w:lvl w:ilvl="0" w:tplc="0B20427E">
      <w:start w:val="1"/>
      <w:numFmt w:val="upperRoman"/>
      <w:pStyle w:val="Roman6-I0"/>
      <w:lvlText w:val="%1"/>
      <w:lvlJc w:val="left"/>
      <w:pPr>
        <w:tabs>
          <w:tab w:val="num" w:pos="2693"/>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227F2D31"/>
    <w:multiLevelType w:val="singleLevel"/>
    <w:tmpl w:val="C4A46844"/>
    <w:lvl w:ilvl="0">
      <w:start w:val="1"/>
      <w:numFmt w:val="upperLetter"/>
      <w:pStyle w:val="Alpha1-Aitalic"/>
      <w:lvlText w:val="(%1)"/>
      <w:lvlJc w:val="left"/>
      <w:pPr>
        <w:tabs>
          <w:tab w:val="num" w:pos="425"/>
        </w:tabs>
        <w:ind w:left="425" w:hanging="425"/>
      </w:pPr>
      <w:rPr>
        <w:rFonts w:hint="default"/>
        <w:sz w:val="22"/>
      </w:rPr>
    </w:lvl>
  </w:abstractNum>
  <w:abstractNum w:abstractNumId="23">
    <w:nsid w:val="23745916"/>
    <w:multiLevelType w:val="singleLevel"/>
    <w:tmpl w:val="1CB4A816"/>
    <w:lvl w:ilvl="0">
      <w:start w:val="1"/>
      <w:numFmt w:val="decimal"/>
      <w:pStyle w:val="Arabic3-1"/>
      <w:lvlText w:val="(%1)"/>
      <w:lvlJc w:val="left"/>
      <w:pPr>
        <w:tabs>
          <w:tab w:val="num" w:pos="1559"/>
        </w:tabs>
        <w:ind w:left="1559" w:hanging="567"/>
      </w:pPr>
      <w:rPr>
        <w:rFonts w:hint="default"/>
      </w:rPr>
    </w:lvl>
  </w:abstractNum>
  <w:abstractNum w:abstractNumId="24">
    <w:nsid w:val="26151EF8"/>
    <w:multiLevelType w:val="singleLevel"/>
    <w:tmpl w:val="50E49316"/>
    <w:lvl w:ilvl="0">
      <w:start w:val="1"/>
      <w:numFmt w:val="lowerLetter"/>
      <w:pStyle w:val="Alpha2-abold"/>
      <w:lvlText w:val="(%1)"/>
      <w:lvlJc w:val="left"/>
      <w:pPr>
        <w:tabs>
          <w:tab w:val="num" w:pos="992"/>
        </w:tabs>
        <w:ind w:left="992" w:hanging="567"/>
      </w:pPr>
      <w:rPr>
        <w:rFonts w:hint="default"/>
      </w:rPr>
    </w:lvl>
  </w:abstractNum>
  <w:abstractNum w:abstractNumId="25">
    <w:nsid w:val="263D3B13"/>
    <w:multiLevelType w:val="hybridMultilevel"/>
    <w:tmpl w:val="F15A9424"/>
    <w:lvl w:ilvl="0" w:tplc="8B0CD4B2">
      <w:start w:val="1"/>
      <w:numFmt w:val="decimal"/>
      <w:pStyle w:val="Arabic6-1"/>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8545890"/>
    <w:multiLevelType w:val="hybridMultilevel"/>
    <w:tmpl w:val="AACCEBA0"/>
    <w:lvl w:ilvl="0" w:tplc="FE2C952E">
      <w:start w:val="1"/>
      <w:numFmt w:val="upperLetter"/>
      <w:pStyle w:val="Alpha3-Abold"/>
      <w:lvlText w:val="(%1)"/>
      <w:lvlJc w:val="left"/>
      <w:pPr>
        <w:tabs>
          <w:tab w:val="num" w:pos="1559"/>
        </w:tabs>
        <w:ind w:left="1559" w:hanging="567"/>
      </w:pPr>
      <w:rPr>
        <w:rFonts w:hint="default"/>
      </w:rPr>
    </w:lvl>
    <w:lvl w:ilvl="1" w:tplc="04090019" w:tentative="1">
      <w:start w:val="1"/>
      <w:numFmt w:val="lowerLetter"/>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27">
    <w:nsid w:val="28ED50AE"/>
    <w:multiLevelType w:val="hybridMultilevel"/>
    <w:tmpl w:val="CCB4A3DC"/>
    <w:lvl w:ilvl="0" w:tplc="85FA26E4">
      <w:start w:val="1"/>
      <w:numFmt w:val="lowerRoman"/>
      <w:pStyle w:val="Roman5-i0"/>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2BF63519"/>
    <w:multiLevelType w:val="multilevel"/>
    <w:tmpl w:val="CB228756"/>
    <w:lvl w:ilvl="0">
      <w:start w:val="1"/>
      <w:numFmt w:val="lowerRoman"/>
      <w:lvlText w:val="(%1)"/>
      <w:lvlJc w:val="left"/>
      <w:pPr>
        <w:tabs>
          <w:tab w:val="num" w:pos="1559"/>
        </w:tabs>
        <w:ind w:left="1559" w:hanging="567"/>
      </w:pPr>
      <w:rPr>
        <w:rFonts w:ascii="Arial" w:hAnsi="Arial" w:hint="default"/>
        <w:b w:val="0"/>
        <w:i w:val="0"/>
        <w:sz w:val="20"/>
      </w:rPr>
    </w:lvl>
    <w:lvl w:ilvl="1">
      <w:start w:val="1"/>
      <w:numFmt w:val="lowerRoman"/>
      <w:lvlText w:val="(%2)"/>
      <w:lvlJc w:val="left"/>
      <w:pPr>
        <w:tabs>
          <w:tab w:val="num" w:pos="3584"/>
        </w:tabs>
        <w:ind w:left="3584" w:hanging="432"/>
      </w:pPr>
      <w:rPr>
        <w:rFonts w:hint="default"/>
      </w:rPr>
    </w:lvl>
    <w:lvl w:ilvl="2">
      <w:start w:val="1"/>
      <w:numFmt w:val="upperRoman"/>
      <w:pStyle w:val="3Level-Iblock"/>
      <w:lvlText w:val="(%3)"/>
      <w:lvlJc w:val="left"/>
      <w:pPr>
        <w:tabs>
          <w:tab w:val="num" w:pos="2288"/>
        </w:tabs>
        <w:ind w:left="2288" w:hanging="432"/>
      </w:pPr>
      <w:rPr>
        <w:rFonts w:hint="default"/>
      </w:rPr>
    </w:lvl>
    <w:lvl w:ilvl="3">
      <w:start w:val="1"/>
      <w:numFmt w:val="lowerRoman"/>
      <w:lvlText w:val="(%4)"/>
      <w:lvlJc w:val="left"/>
      <w:pPr>
        <w:tabs>
          <w:tab w:val="num" w:pos="3584"/>
        </w:tabs>
        <w:ind w:left="3584" w:hanging="432"/>
      </w:pPr>
      <w:rPr>
        <w:rFonts w:hint="default"/>
      </w:rPr>
    </w:lvl>
    <w:lvl w:ilvl="4">
      <w:start w:val="1"/>
      <w:numFmt w:val="lowerRoman"/>
      <w:lvlText w:val="(%5)"/>
      <w:lvlJc w:val="left"/>
      <w:pPr>
        <w:tabs>
          <w:tab w:val="num" w:pos="3584"/>
        </w:tabs>
        <w:ind w:left="3584" w:hanging="432"/>
      </w:pPr>
      <w:rPr>
        <w:rFonts w:hint="default"/>
      </w:rPr>
    </w:lvl>
    <w:lvl w:ilvl="5">
      <w:start w:val="1"/>
      <w:numFmt w:val="lowerRoman"/>
      <w:lvlText w:val="(%6)"/>
      <w:lvlJc w:val="left"/>
      <w:pPr>
        <w:tabs>
          <w:tab w:val="num" w:pos="5312"/>
        </w:tabs>
        <w:ind w:left="5312" w:hanging="360"/>
      </w:pPr>
      <w:rPr>
        <w:rFonts w:hint="default"/>
      </w:rPr>
    </w:lvl>
    <w:lvl w:ilvl="6">
      <w:start w:val="1"/>
      <w:numFmt w:val="decimal"/>
      <w:lvlText w:val="%7."/>
      <w:lvlJc w:val="left"/>
      <w:pPr>
        <w:tabs>
          <w:tab w:val="num" w:pos="5672"/>
        </w:tabs>
        <w:ind w:left="5672" w:hanging="360"/>
      </w:pPr>
      <w:rPr>
        <w:rFonts w:hint="default"/>
      </w:rPr>
    </w:lvl>
    <w:lvl w:ilvl="7">
      <w:start w:val="1"/>
      <w:numFmt w:val="lowerLetter"/>
      <w:lvlText w:val="%8."/>
      <w:lvlJc w:val="left"/>
      <w:pPr>
        <w:tabs>
          <w:tab w:val="num" w:pos="6032"/>
        </w:tabs>
        <w:ind w:left="6032" w:hanging="360"/>
      </w:pPr>
      <w:rPr>
        <w:rFonts w:hint="default"/>
      </w:rPr>
    </w:lvl>
    <w:lvl w:ilvl="8">
      <w:start w:val="1"/>
      <w:numFmt w:val="lowerRoman"/>
      <w:lvlText w:val="%9."/>
      <w:lvlJc w:val="left"/>
      <w:pPr>
        <w:tabs>
          <w:tab w:val="num" w:pos="6392"/>
        </w:tabs>
        <w:ind w:left="6392" w:hanging="360"/>
      </w:pPr>
      <w:rPr>
        <w:rFonts w:hint="default"/>
      </w:rPr>
    </w:lvl>
  </w:abstractNum>
  <w:abstractNum w:abstractNumId="29">
    <w:nsid w:val="2CC83560"/>
    <w:multiLevelType w:val="hybridMultilevel"/>
    <w:tmpl w:val="909C5CA2"/>
    <w:lvl w:ilvl="0" w:tplc="3B98C68C">
      <w:start w:val="1"/>
      <w:numFmt w:val="lowerLetter"/>
      <w:pStyle w:val="Alpha3-a"/>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E2917BE"/>
    <w:multiLevelType w:val="singleLevel"/>
    <w:tmpl w:val="68D4F4A4"/>
    <w:lvl w:ilvl="0">
      <w:start w:val="1"/>
      <w:numFmt w:val="upperLetter"/>
      <w:pStyle w:val="Alpha2-A"/>
      <w:lvlText w:val="(%1)"/>
      <w:lvlJc w:val="left"/>
      <w:pPr>
        <w:tabs>
          <w:tab w:val="num" w:pos="992"/>
        </w:tabs>
        <w:ind w:left="992" w:hanging="567"/>
      </w:pPr>
      <w:rPr>
        <w:rFonts w:hint="default"/>
      </w:rPr>
    </w:lvl>
  </w:abstractNum>
  <w:abstractNum w:abstractNumId="31">
    <w:nsid w:val="2EC736D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0AF581B"/>
    <w:multiLevelType w:val="hybridMultilevel"/>
    <w:tmpl w:val="AEB0081A"/>
    <w:lvl w:ilvl="0" w:tplc="C4C0AD1A">
      <w:start w:val="1"/>
      <w:numFmt w:val="upperRoman"/>
      <w:pStyle w:val="Roman3-I0"/>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30D34226"/>
    <w:multiLevelType w:val="hybridMultilevel"/>
    <w:tmpl w:val="C5D061AC"/>
    <w:lvl w:ilvl="0" w:tplc="5BF8BC32">
      <w:start w:val="1"/>
      <w:numFmt w:val="bullet"/>
      <w:pStyle w:val="TableBullet"/>
      <w:lvlText w:val=""/>
      <w:lvlJc w:val="left"/>
      <w:pPr>
        <w:tabs>
          <w:tab w:val="num" w:pos="425"/>
        </w:tabs>
        <w:ind w:left="425" w:hanging="425"/>
      </w:pPr>
      <w:rPr>
        <w:rFonts w:ascii="Symbol" w:hAnsi="Symbol" w:hint="default"/>
        <w:sz w:val="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33BF6B96"/>
    <w:multiLevelType w:val="hybridMultilevel"/>
    <w:tmpl w:val="518029CA"/>
    <w:lvl w:ilvl="0" w:tplc="617EA79A">
      <w:start w:val="1"/>
      <w:numFmt w:val="lowerLetter"/>
      <w:pStyle w:val="Alpha2-aitalic"/>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8A01AA1"/>
    <w:multiLevelType w:val="hybridMultilevel"/>
    <w:tmpl w:val="89B0B002"/>
    <w:lvl w:ilvl="0" w:tplc="E1DA12FA">
      <w:start w:val="1"/>
      <w:numFmt w:val="lowerRoman"/>
      <w:pStyle w:val="TableRoman"/>
      <w:lvlText w:val="(%1)"/>
      <w:lvlJc w:val="left"/>
      <w:pPr>
        <w:tabs>
          <w:tab w:val="num" w:pos="720"/>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9A65F3E"/>
    <w:multiLevelType w:val="hybridMultilevel"/>
    <w:tmpl w:val="267605D6"/>
    <w:lvl w:ilvl="0" w:tplc="78B68378">
      <w:start w:val="1"/>
      <w:numFmt w:val="upperRoman"/>
      <w:pStyle w:val="Roman3-I1"/>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3A5468C7"/>
    <w:multiLevelType w:val="hybridMultilevel"/>
    <w:tmpl w:val="41000300"/>
    <w:lvl w:ilvl="0" w:tplc="089481A0">
      <w:start w:val="1"/>
      <w:numFmt w:val="upperLetter"/>
      <w:pStyle w:val="Alpha2-Aitalic0"/>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B1606E9"/>
    <w:multiLevelType w:val="hybridMultilevel"/>
    <w:tmpl w:val="3B382C80"/>
    <w:lvl w:ilvl="0" w:tplc="D6D2E3D0">
      <w:start w:val="1"/>
      <w:numFmt w:val="decimal"/>
      <w:pStyle w:val="Arabic5-1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D19169C"/>
    <w:multiLevelType w:val="hybridMultilevel"/>
    <w:tmpl w:val="34089BE8"/>
    <w:lvl w:ilvl="0" w:tplc="74160094">
      <w:start w:val="1"/>
      <w:numFmt w:val="decimal"/>
      <w:pStyle w:val="Arabic4-1"/>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E2A1603"/>
    <w:multiLevelType w:val="singleLevel"/>
    <w:tmpl w:val="1BC0003A"/>
    <w:lvl w:ilvl="0">
      <w:start w:val="1"/>
      <w:numFmt w:val="upperLetter"/>
      <w:pStyle w:val="Alpha2-Abold0"/>
      <w:lvlText w:val="(%1)"/>
      <w:lvlJc w:val="left"/>
      <w:pPr>
        <w:tabs>
          <w:tab w:val="num" w:pos="992"/>
        </w:tabs>
        <w:ind w:left="992" w:hanging="567"/>
      </w:pPr>
      <w:rPr>
        <w:rFonts w:hint="default"/>
      </w:rPr>
    </w:lvl>
  </w:abstractNum>
  <w:abstractNum w:abstractNumId="41">
    <w:nsid w:val="3F130F3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2A6173E"/>
    <w:multiLevelType w:val="hybridMultilevel"/>
    <w:tmpl w:val="C17E9724"/>
    <w:lvl w:ilvl="0" w:tplc="E1EA765E">
      <w:start w:val="1"/>
      <w:numFmt w:val="upperRoman"/>
      <w:pStyle w:val="Roman4-I"/>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43B95F26"/>
    <w:multiLevelType w:val="singleLevel"/>
    <w:tmpl w:val="EDF08F36"/>
    <w:lvl w:ilvl="0">
      <w:start w:val="1"/>
      <w:numFmt w:val="upperLetter"/>
      <w:pStyle w:val="Alpha4-Abold"/>
      <w:lvlText w:val="(%1)"/>
      <w:lvlJc w:val="left"/>
      <w:pPr>
        <w:tabs>
          <w:tab w:val="num" w:pos="2126"/>
        </w:tabs>
        <w:ind w:left="2126" w:hanging="567"/>
      </w:pPr>
      <w:rPr>
        <w:rFonts w:hint="default"/>
      </w:rPr>
    </w:lvl>
  </w:abstractNum>
  <w:abstractNum w:abstractNumId="44">
    <w:nsid w:val="44FD6F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7DA3A4C"/>
    <w:multiLevelType w:val="hybridMultilevel"/>
    <w:tmpl w:val="5B02BACC"/>
    <w:lvl w:ilvl="0" w:tplc="D00C1072">
      <w:start w:val="1"/>
      <w:numFmt w:val="lowerLetter"/>
      <w:pStyle w:val="Alpha2-a0"/>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D4476FE"/>
    <w:multiLevelType w:val="hybridMultilevel"/>
    <w:tmpl w:val="4DA8AB02"/>
    <w:lvl w:ilvl="0" w:tplc="AED00ECE">
      <w:start w:val="1"/>
      <w:numFmt w:val="decimal"/>
      <w:pStyle w:val="Arabic2-10"/>
      <w:lvlText w:val="(%1)"/>
      <w:lvlJc w:val="left"/>
      <w:pPr>
        <w:tabs>
          <w:tab w:val="num" w:pos="992"/>
        </w:tabs>
        <w:ind w:left="992" w:hanging="567"/>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47">
    <w:nsid w:val="4F663D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FAC3619"/>
    <w:multiLevelType w:val="singleLevel"/>
    <w:tmpl w:val="1DB4C2AE"/>
    <w:lvl w:ilvl="0">
      <w:start w:val="1"/>
      <w:numFmt w:val="upperRoman"/>
      <w:pStyle w:val="Roman2-I1"/>
      <w:lvlText w:val="(%1)"/>
      <w:lvlJc w:val="left"/>
      <w:pPr>
        <w:tabs>
          <w:tab w:val="num" w:pos="992"/>
        </w:tabs>
        <w:ind w:left="992" w:hanging="567"/>
      </w:pPr>
      <w:rPr>
        <w:rFonts w:hint="default"/>
      </w:rPr>
    </w:lvl>
  </w:abstractNum>
  <w:abstractNum w:abstractNumId="49">
    <w:nsid w:val="50A22FDC"/>
    <w:multiLevelType w:val="multilevel"/>
    <w:tmpl w:val="599C2E58"/>
    <w:lvl w:ilvl="0">
      <w:start w:val="1"/>
      <w:numFmt w:val="bullet"/>
      <w:pStyle w:val="bullet4"/>
      <w:lvlText w:val=""/>
      <w:lvlJc w:val="left"/>
      <w:pPr>
        <w:tabs>
          <w:tab w:val="num" w:pos="2126"/>
        </w:tabs>
        <w:ind w:left="2126" w:hanging="567"/>
      </w:pPr>
      <w:rPr>
        <w:rFonts w:ascii="Symbol" w:hAnsi="Symbol" w:hint="default"/>
        <w:b/>
        <w:i w:val="0"/>
        <w:sz w:val="20"/>
      </w:rPr>
    </w:lvl>
    <w:lvl w:ilvl="1">
      <w:start w:val="1"/>
      <w:numFmt w:val="bullet"/>
      <w:lvlText w:val=""/>
      <w:lvlJc w:val="left"/>
      <w:pPr>
        <w:tabs>
          <w:tab w:val="num" w:pos="2551"/>
        </w:tabs>
        <w:ind w:left="2551" w:hanging="567"/>
      </w:pPr>
      <w:rPr>
        <w:rFonts w:ascii="Symbol" w:hAnsi="Symbol" w:hint="default"/>
        <w:sz w:val="20"/>
      </w:rPr>
    </w:lvl>
    <w:lvl w:ilvl="2">
      <w:start w:val="1"/>
      <w:numFmt w:val="bullet"/>
      <w:lvlText w:val=""/>
      <w:lvlJc w:val="left"/>
      <w:pPr>
        <w:tabs>
          <w:tab w:val="num" w:pos="3118"/>
        </w:tabs>
        <w:ind w:left="3118" w:hanging="567"/>
      </w:pPr>
      <w:rPr>
        <w:rFonts w:ascii="Symbol" w:hAnsi="Symbol" w:hint="default"/>
        <w:sz w:val="17"/>
      </w:rPr>
    </w:lvl>
    <w:lvl w:ilvl="3">
      <w:start w:val="1"/>
      <w:numFmt w:val="bullet"/>
      <w:lvlText w:val=""/>
      <w:lvlJc w:val="left"/>
      <w:pPr>
        <w:tabs>
          <w:tab w:val="num" w:pos="3685"/>
        </w:tabs>
        <w:ind w:left="3685" w:hanging="567"/>
      </w:pPr>
      <w:rPr>
        <w:rFonts w:ascii="Symbol" w:hAnsi="Symbol" w:hint="default"/>
        <w:sz w:val="19"/>
      </w:rPr>
    </w:lvl>
    <w:lvl w:ilvl="4">
      <w:start w:val="1"/>
      <w:numFmt w:val="bullet"/>
      <w:lvlText w:val=""/>
      <w:lvlJc w:val="left"/>
      <w:pPr>
        <w:tabs>
          <w:tab w:val="num" w:pos="4252"/>
        </w:tabs>
        <w:ind w:left="4252" w:hanging="567"/>
      </w:pPr>
      <w:rPr>
        <w:rFonts w:ascii="Symbol" w:hAnsi="Symbol" w:hint="default"/>
        <w:sz w:val="19"/>
      </w:rPr>
    </w:lvl>
    <w:lvl w:ilvl="5">
      <w:start w:val="1"/>
      <w:numFmt w:val="upperLetter"/>
      <w:lvlText w:val="(%6)"/>
      <w:lvlJc w:val="left"/>
      <w:pPr>
        <w:tabs>
          <w:tab w:val="num" w:pos="4819"/>
        </w:tabs>
        <w:ind w:left="4819" w:hanging="567"/>
      </w:pPr>
      <w:rPr>
        <w:rFonts w:hint="default"/>
        <w:sz w:val="19"/>
      </w:rPr>
    </w:lvl>
    <w:lvl w:ilvl="6">
      <w:start w:val="1"/>
      <w:numFmt w:val="decimal"/>
      <w:lvlText w:val="%1.%2.%3.%4.%5.%6.%7"/>
      <w:lvlJc w:val="left"/>
      <w:pPr>
        <w:tabs>
          <w:tab w:val="num" w:pos="5386"/>
        </w:tabs>
        <w:ind w:left="5386" w:hanging="3827"/>
      </w:pPr>
      <w:rPr>
        <w:rFonts w:hint="default"/>
      </w:rPr>
    </w:lvl>
    <w:lvl w:ilvl="7">
      <w:start w:val="1"/>
      <w:numFmt w:val="decimal"/>
      <w:lvlText w:val="%1.%2.%3.%4.%5.%6.%7.%8"/>
      <w:lvlJc w:val="left"/>
      <w:pPr>
        <w:tabs>
          <w:tab w:val="num" w:pos="2999"/>
        </w:tabs>
        <w:ind w:left="2999" w:hanging="1440"/>
      </w:pPr>
      <w:rPr>
        <w:rFonts w:hint="default"/>
      </w:rPr>
    </w:lvl>
    <w:lvl w:ilvl="8">
      <w:start w:val="1"/>
      <w:numFmt w:val="decimal"/>
      <w:lvlText w:val="%1.%2.%3.%4.%5.%6.%7.%8.%9"/>
      <w:lvlJc w:val="left"/>
      <w:pPr>
        <w:tabs>
          <w:tab w:val="num" w:pos="3359"/>
        </w:tabs>
        <w:ind w:left="3143" w:hanging="1584"/>
      </w:pPr>
      <w:rPr>
        <w:rFonts w:hint="default"/>
      </w:rPr>
    </w:lvl>
  </w:abstractNum>
  <w:abstractNum w:abstractNumId="50">
    <w:nsid w:val="52107FBD"/>
    <w:multiLevelType w:val="hybridMultilevel"/>
    <w:tmpl w:val="8B76CFBC"/>
    <w:lvl w:ilvl="0" w:tplc="8B06F5F6">
      <w:start w:val="1"/>
      <w:numFmt w:val="decimal"/>
      <w:pStyle w:val="Arabic6-10"/>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26F327D"/>
    <w:multiLevelType w:val="multilevel"/>
    <w:tmpl w:val="43905C74"/>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417"/>
        </w:tabs>
        <w:ind w:left="1417" w:hanging="567"/>
      </w:pPr>
      <w:rPr>
        <w:rFonts w:ascii="Symbol" w:hAnsi="Symbol" w:hint="default"/>
        <w:sz w:val="20"/>
      </w:rPr>
    </w:lvl>
    <w:lvl w:ilvl="2">
      <w:start w:val="1"/>
      <w:numFmt w:val="bullet"/>
      <w:lvlText w:val=""/>
      <w:lvlJc w:val="left"/>
      <w:pPr>
        <w:tabs>
          <w:tab w:val="num" w:pos="1984"/>
        </w:tabs>
        <w:ind w:left="1984"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rFonts w:hint="default"/>
        <w:sz w:val="19"/>
      </w:rPr>
    </w:lvl>
    <w:lvl w:ilvl="6">
      <w:start w:val="1"/>
      <w:numFmt w:val="decimal"/>
      <w:lvlText w:val="%1.%2.%3.%4.%5.%6.%7"/>
      <w:lvlJc w:val="left"/>
      <w:pPr>
        <w:tabs>
          <w:tab w:val="num" w:pos="4252"/>
        </w:tabs>
        <w:ind w:left="4252" w:hanging="3827"/>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225"/>
        </w:tabs>
        <w:ind w:left="2009" w:hanging="1584"/>
      </w:pPr>
      <w:rPr>
        <w:rFonts w:hint="default"/>
      </w:rPr>
    </w:lvl>
  </w:abstractNum>
  <w:abstractNum w:abstractNumId="52">
    <w:nsid w:val="582C6602"/>
    <w:multiLevelType w:val="singleLevel"/>
    <w:tmpl w:val="D06E86F4"/>
    <w:lvl w:ilvl="0">
      <w:start w:val="1"/>
      <w:numFmt w:val="upperLetter"/>
      <w:pStyle w:val="Alpha2-Abolditalic0"/>
      <w:lvlText w:val="(%1)"/>
      <w:lvlJc w:val="left"/>
      <w:pPr>
        <w:tabs>
          <w:tab w:val="num" w:pos="992"/>
        </w:tabs>
        <w:ind w:left="992" w:hanging="567"/>
      </w:pPr>
      <w:rPr>
        <w:rFonts w:hint="default"/>
      </w:rPr>
    </w:lvl>
  </w:abstractNum>
  <w:abstractNum w:abstractNumId="53">
    <w:nsid w:val="58E351C1"/>
    <w:multiLevelType w:val="singleLevel"/>
    <w:tmpl w:val="1D0EFCDE"/>
    <w:lvl w:ilvl="0">
      <w:start w:val="1"/>
      <w:numFmt w:val="upperLetter"/>
      <w:pStyle w:val="Alpha3-A0"/>
      <w:lvlText w:val="(%1)"/>
      <w:lvlJc w:val="left"/>
      <w:pPr>
        <w:tabs>
          <w:tab w:val="num" w:pos="1559"/>
        </w:tabs>
        <w:ind w:left="1559" w:hanging="567"/>
      </w:pPr>
      <w:rPr>
        <w:rFonts w:hint="default"/>
      </w:rPr>
    </w:lvl>
  </w:abstractNum>
  <w:abstractNum w:abstractNumId="54">
    <w:nsid w:val="5A21768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5BBB4E10"/>
    <w:multiLevelType w:val="hybridMultilevel"/>
    <w:tmpl w:val="E1FE8B66"/>
    <w:lvl w:ilvl="0" w:tplc="674C4EDC">
      <w:start w:val="1"/>
      <w:numFmt w:val="upperLetter"/>
      <w:pStyle w:val="Alpha5-Abold"/>
      <w:lvlText w:val="(%1)"/>
      <w:lvlJc w:val="left"/>
      <w:pPr>
        <w:tabs>
          <w:tab w:val="num" w:pos="2693"/>
        </w:tabs>
        <w:ind w:left="2693"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C41788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6011350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08B7E63"/>
    <w:multiLevelType w:val="singleLevel"/>
    <w:tmpl w:val="1B9E0494"/>
    <w:lvl w:ilvl="0">
      <w:start w:val="1"/>
      <w:numFmt w:val="decimal"/>
      <w:pStyle w:val="Note"/>
      <w:lvlText w:val="(%1)"/>
      <w:lvlJc w:val="left"/>
      <w:pPr>
        <w:tabs>
          <w:tab w:val="num" w:pos="425"/>
        </w:tabs>
        <w:ind w:left="425" w:hanging="425"/>
      </w:pPr>
    </w:lvl>
  </w:abstractNum>
  <w:abstractNum w:abstractNumId="59">
    <w:nsid w:val="61746202"/>
    <w:multiLevelType w:val="hybridMultilevel"/>
    <w:tmpl w:val="70282F64"/>
    <w:lvl w:ilvl="0" w:tplc="FF24D4FE">
      <w:start w:val="1"/>
      <w:numFmt w:val="lowerRoman"/>
      <w:pStyle w:val="Roman6-i1"/>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61913453"/>
    <w:multiLevelType w:val="hybridMultilevel"/>
    <w:tmpl w:val="01EE607E"/>
    <w:lvl w:ilvl="0" w:tplc="FEB4DA0E">
      <w:start w:val="1"/>
      <w:numFmt w:val="upperRoman"/>
      <w:pStyle w:val="Roman4-I0"/>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nsid w:val="66841215"/>
    <w:multiLevelType w:val="hybridMultilevel"/>
    <w:tmpl w:val="C93A2CD2"/>
    <w:lvl w:ilvl="0" w:tplc="07A49A7A">
      <w:start w:val="1"/>
      <w:numFmt w:val="decimal"/>
      <w:pStyle w:val="Arabic4-1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9EF4378"/>
    <w:multiLevelType w:val="hybridMultilevel"/>
    <w:tmpl w:val="2F5ADFA4"/>
    <w:lvl w:ilvl="0" w:tplc="0B16C53C">
      <w:start w:val="1"/>
      <w:numFmt w:val="upperLetter"/>
      <w:pStyle w:val="Alpha4-A"/>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BBB44DA"/>
    <w:multiLevelType w:val="multilevel"/>
    <w:tmpl w:val="DEFAB320"/>
    <w:lvl w:ilvl="0">
      <w:start w:val="1"/>
      <w:numFmt w:val="bullet"/>
      <w:pStyle w:val="bullet3"/>
      <w:lvlText w:val=""/>
      <w:lvlJc w:val="left"/>
      <w:pPr>
        <w:tabs>
          <w:tab w:val="num" w:pos="1559"/>
        </w:tabs>
        <w:ind w:left="1559" w:hanging="567"/>
      </w:pPr>
      <w:rPr>
        <w:rFonts w:ascii="Symbol" w:hAnsi="Symbol" w:hint="default"/>
        <w:b/>
        <w:i w:val="0"/>
        <w:sz w:val="20"/>
      </w:rPr>
    </w:lvl>
    <w:lvl w:ilvl="1">
      <w:start w:val="1"/>
      <w:numFmt w:val="bullet"/>
      <w:lvlText w:val=""/>
      <w:lvlJc w:val="left"/>
      <w:pPr>
        <w:tabs>
          <w:tab w:val="num" w:pos="1984"/>
        </w:tabs>
        <w:ind w:left="1984" w:hanging="567"/>
      </w:pPr>
      <w:rPr>
        <w:rFonts w:ascii="Symbol" w:hAnsi="Symbol" w:hint="default"/>
        <w:sz w:val="20"/>
      </w:rPr>
    </w:lvl>
    <w:lvl w:ilvl="2">
      <w:start w:val="1"/>
      <w:numFmt w:val="bullet"/>
      <w:lvlText w:val=""/>
      <w:lvlJc w:val="left"/>
      <w:pPr>
        <w:tabs>
          <w:tab w:val="num" w:pos="2551"/>
        </w:tabs>
        <w:ind w:left="2551" w:hanging="567"/>
      </w:pPr>
      <w:rPr>
        <w:rFonts w:ascii="Symbol" w:hAnsi="Symbol" w:hint="default"/>
        <w:sz w:val="17"/>
      </w:rPr>
    </w:lvl>
    <w:lvl w:ilvl="3">
      <w:start w:val="1"/>
      <w:numFmt w:val="bullet"/>
      <w:lvlText w:val=""/>
      <w:lvlJc w:val="left"/>
      <w:pPr>
        <w:tabs>
          <w:tab w:val="num" w:pos="3118"/>
        </w:tabs>
        <w:ind w:left="3118" w:hanging="567"/>
      </w:pPr>
      <w:rPr>
        <w:rFonts w:ascii="Symbol" w:hAnsi="Symbol" w:hint="default"/>
        <w:sz w:val="19"/>
      </w:rPr>
    </w:lvl>
    <w:lvl w:ilvl="4">
      <w:start w:val="1"/>
      <w:numFmt w:val="bullet"/>
      <w:lvlText w:val=""/>
      <w:lvlJc w:val="left"/>
      <w:pPr>
        <w:tabs>
          <w:tab w:val="num" w:pos="3685"/>
        </w:tabs>
        <w:ind w:left="3685" w:hanging="567"/>
      </w:pPr>
      <w:rPr>
        <w:rFonts w:ascii="Symbol" w:hAnsi="Symbol" w:hint="default"/>
        <w:sz w:val="19"/>
      </w:rPr>
    </w:lvl>
    <w:lvl w:ilvl="5">
      <w:start w:val="1"/>
      <w:numFmt w:val="upperLetter"/>
      <w:lvlText w:val="(%6)"/>
      <w:lvlJc w:val="left"/>
      <w:pPr>
        <w:tabs>
          <w:tab w:val="num" w:pos="4252"/>
        </w:tabs>
        <w:ind w:left="4252" w:hanging="567"/>
      </w:pPr>
      <w:rPr>
        <w:rFonts w:hint="default"/>
        <w:sz w:val="19"/>
      </w:rPr>
    </w:lvl>
    <w:lvl w:ilvl="6">
      <w:start w:val="1"/>
      <w:numFmt w:val="decimal"/>
      <w:lvlText w:val="%1.%2.%3.%4.%5.%6.%7"/>
      <w:lvlJc w:val="left"/>
      <w:pPr>
        <w:tabs>
          <w:tab w:val="num" w:pos="4819"/>
        </w:tabs>
        <w:ind w:left="4819" w:hanging="3827"/>
      </w:pPr>
      <w:rPr>
        <w:rFonts w:hint="default"/>
      </w:rPr>
    </w:lvl>
    <w:lvl w:ilvl="7">
      <w:start w:val="1"/>
      <w:numFmt w:val="decimal"/>
      <w:lvlText w:val="%1.%2.%3.%4.%5.%6.%7.%8"/>
      <w:lvlJc w:val="left"/>
      <w:pPr>
        <w:tabs>
          <w:tab w:val="num" w:pos="2432"/>
        </w:tabs>
        <w:ind w:left="2432" w:hanging="1440"/>
      </w:pPr>
      <w:rPr>
        <w:rFonts w:hint="default"/>
      </w:rPr>
    </w:lvl>
    <w:lvl w:ilvl="8">
      <w:start w:val="1"/>
      <w:numFmt w:val="decimal"/>
      <w:lvlText w:val="%1.%2.%3.%4.%5.%6.%7.%8.%9"/>
      <w:lvlJc w:val="left"/>
      <w:pPr>
        <w:tabs>
          <w:tab w:val="num" w:pos="2792"/>
        </w:tabs>
        <w:ind w:left="2576" w:hanging="1584"/>
      </w:pPr>
      <w:rPr>
        <w:rFonts w:hint="default"/>
      </w:rPr>
    </w:lvl>
  </w:abstractNum>
  <w:abstractNum w:abstractNumId="64">
    <w:nsid w:val="6C1C448F"/>
    <w:multiLevelType w:val="singleLevel"/>
    <w:tmpl w:val="474A6D54"/>
    <w:lvl w:ilvl="0">
      <w:start w:val="1"/>
      <w:numFmt w:val="decimal"/>
      <w:pStyle w:val="CellNumber"/>
      <w:lvlText w:val="%1"/>
      <w:lvlJc w:val="left"/>
      <w:pPr>
        <w:tabs>
          <w:tab w:val="num" w:pos="425"/>
        </w:tabs>
        <w:ind w:left="425" w:hanging="425"/>
      </w:pPr>
    </w:lvl>
  </w:abstractNum>
  <w:abstractNum w:abstractNumId="65">
    <w:nsid w:val="6F9E5C60"/>
    <w:multiLevelType w:val="singleLevel"/>
    <w:tmpl w:val="FC5C03D6"/>
    <w:lvl w:ilvl="0">
      <w:start w:val="1"/>
      <w:numFmt w:val="upperLetter"/>
      <w:pStyle w:val="Alpha1G-Aitalic"/>
      <w:lvlText w:val="(%1)"/>
      <w:lvlJc w:val="left"/>
      <w:pPr>
        <w:tabs>
          <w:tab w:val="num" w:pos="425"/>
        </w:tabs>
        <w:ind w:left="425" w:hanging="425"/>
      </w:pPr>
      <w:rPr>
        <w:rFonts w:hint="default"/>
      </w:rPr>
    </w:lvl>
  </w:abstractNum>
  <w:abstractNum w:abstractNumId="66">
    <w:nsid w:val="71911479"/>
    <w:multiLevelType w:val="hybridMultilevel"/>
    <w:tmpl w:val="0F6C12BA"/>
    <w:lvl w:ilvl="0" w:tplc="54E8A734">
      <w:start w:val="1"/>
      <w:numFmt w:val="upperLetter"/>
      <w:pStyle w:val="Alpha4-Aitalic"/>
      <w:lvlText w:val="(%1)"/>
      <w:lvlJc w:val="left"/>
      <w:pPr>
        <w:tabs>
          <w:tab w:val="num" w:pos="2126"/>
        </w:tabs>
        <w:ind w:left="2126"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2904889"/>
    <w:multiLevelType w:val="hybridMultilevel"/>
    <w:tmpl w:val="EEB677B2"/>
    <w:lvl w:ilvl="0" w:tplc="61765234">
      <w:start w:val="1"/>
      <w:numFmt w:val="decimal"/>
      <w:pStyle w:val="Arabic3-10"/>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470420D"/>
    <w:multiLevelType w:val="singleLevel"/>
    <w:tmpl w:val="10CA9982"/>
    <w:lvl w:ilvl="0">
      <w:start w:val="1"/>
      <w:numFmt w:val="lowerLetter"/>
      <w:pStyle w:val="Alpha2aitalicnum"/>
      <w:lvlText w:val="(%1)"/>
      <w:lvlJc w:val="left"/>
      <w:pPr>
        <w:tabs>
          <w:tab w:val="num" w:pos="992"/>
        </w:tabs>
        <w:ind w:left="992" w:hanging="567"/>
      </w:pPr>
      <w:rPr>
        <w:rFonts w:hint="default"/>
        <w:b w:val="0"/>
        <w:i/>
      </w:rPr>
    </w:lvl>
  </w:abstractNum>
  <w:abstractNum w:abstractNumId="69">
    <w:nsid w:val="76DB0DF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nsid w:val="77280355"/>
    <w:multiLevelType w:val="hybridMultilevel"/>
    <w:tmpl w:val="F948FE22"/>
    <w:lvl w:ilvl="0" w:tplc="B836A386">
      <w:start w:val="1"/>
      <w:numFmt w:val="upperRoman"/>
      <w:pStyle w:val="Roman5-I1"/>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nsid w:val="778275B5"/>
    <w:multiLevelType w:val="hybridMultilevel"/>
    <w:tmpl w:val="06122BD2"/>
    <w:lvl w:ilvl="0" w:tplc="3EDCDBAC">
      <w:start w:val="1"/>
      <w:numFmt w:val="lowerRoman"/>
      <w:pStyle w:val="Roman4-i1"/>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nsid w:val="7F0955DC"/>
    <w:multiLevelType w:val="hybridMultilevel"/>
    <w:tmpl w:val="F0324C8C"/>
    <w:lvl w:ilvl="0" w:tplc="6DCA3768">
      <w:start w:val="1"/>
      <w:numFmt w:val="lowerLetter"/>
      <w:pStyle w:val="Alpha4-a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8"/>
  </w:num>
  <w:num w:numId="2">
    <w:abstractNumId w:val="1"/>
  </w:num>
  <w:num w:numId="3">
    <w:abstractNumId w:val="48"/>
  </w:num>
  <w:num w:numId="4">
    <w:abstractNumId w:val="14"/>
  </w:num>
  <w:num w:numId="5">
    <w:abstractNumId w:val="0"/>
  </w:num>
  <w:num w:numId="6">
    <w:abstractNumId w:val="3"/>
  </w:num>
  <w:num w:numId="7">
    <w:abstractNumId w:val="23"/>
  </w:num>
  <w:num w:numId="8">
    <w:abstractNumId w:val="64"/>
  </w:num>
  <w:num w:numId="9">
    <w:abstractNumId w:val="35"/>
  </w:num>
  <w:num w:numId="10">
    <w:abstractNumId w:val="16"/>
  </w:num>
  <w:num w:numId="11">
    <w:abstractNumId w:val="46"/>
  </w:num>
  <w:num w:numId="12">
    <w:abstractNumId w:val="5"/>
  </w:num>
  <w:num w:numId="13">
    <w:abstractNumId w:val="67"/>
  </w:num>
  <w:num w:numId="14">
    <w:abstractNumId w:val="61"/>
  </w:num>
  <w:num w:numId="15">
    <w:abstractNumId w:val="39"/>
  </w:num>
  <w:num w:numId="16">
    <w:abstractNumId w:val="38"/>
  </w:num>
  <w:num w:numId="17">
    <w:abstractNumId w:val="8"/>
  </w:num>
  <w:num w:numId="18">
    <w:abstractNumId w:val="50"/>
  </w:num>
  <w:num w:numId="19">
    <w:abstractNumId w:val="25"/>
  </w:num>
  <w:num w:numId="20">
    <w:abstractNumId w:val="51"/>
  </w:num>
  <w:num w:numId="21">
    <w:abstractNumId w:val="63"/>
  </w:num>
  <w:num w:numId="22">
    <w:abstractNumId w:val="49"/>
  </w:num>
  <w:num w:numId="23">
    <w:abstractNumId w:val="17"/>
  </w:num>
  <w:num w:numId="24">
    <w:abstractNumId w:val="6"/>
  </w:num>
  <w:num w:numId="25">
    <w:abstractNumId w:val="9"/>
  </w:num>
  <w:num w:numId="26">
    <w:abstractNumId w:val="40"/>
  </w:num>
  <w:num w:numId="27">
    <w:abstractNumId w:val="24"/>
  </w:num>
  <w:num w:numId="28">
    <w:abstractNumId w:val="19"/>
  </w:num>
  <w:num w:numId="29">
    <w:abstractNumId w:val="68"/>
  </w:num>
  <w:num w:numId="30">
    <w:abstractNumId w:val="53"/>
  </w:num>
  <w:num w:numId="31">
    <w:abstractNumId w:val="29"/>
  </w:num>
  <w:num w:numId="32">
    <w:abstractNumId w:val="26"/>
  </w:num>
  <w:num w:numId="33">
    <w:abstractNumId w:val="72"/>
  </w:num>
  <w:num w:numId="34">
    <w:abstractNumId w:val="62"/>
  </w:num>
  <w:num w:numId="35">
    <w:abstractNumId w:val="43"/>
  </w:num>
  <w:num w:numId="36">
    <w:abstractNumId w:val="10"/>
  </w:num>
  <w:num w:numId="37">
    <w:abstractNumId w:val="11"/>
  </w:num>
  <w:num w:numId="38">
    <w:abstractNumId w:val="22"/>
  </w:num>
  <w:num w:numId="39">
    <w:abstractNumId w:val="65"/>
  </w:num>
  <w:num w:numId="40">
    <w:abstractNumId w:val="45"/>
  </w:num>
  <w:num w:numId="41">
    <w:abstractNumId w:val="30"/>
  </w:num>
  <w:num w:numId="42">
    <w:abstractNumId w:val="52"/>
  </w:num>
  <w:num w:numId="43">
    <w:abstractNumId w:val="37"/>
  </w:num>
  <w:num w:numId="44">
    <w:abstractNumId w:val="34"/>
  </w:num>
  <w:num w:numId="45">
    <w:abstractNumId w:val="2"/>
  </w:num>
  <w:num w:numId="46">
    <w:abstractNumId w:val="66"/>
  </w:num>
  <w:num w:numId="47">
    <w:abstractNumId w:val="55"/>
  </w:num>
  <w:num w:numId="48">
    <w:abstractNumId w:val="12"/>
  </w:num>
  <w:num w:numId="49">
    <w:abstractNumId w:val="28"/>
  </w:num>
  <w:num w:numId="50">
    <w:abstractNumId w:val="33"/>
  </w:num>
  <w:num w:numId="51">
    <w:abstractNumId w:val="4"/>
  </w:num>
  <w:num w:numId="52">
    <w:abstractNumId w:val="36"/>
  </w:num>
  <w:num w:numId="53">
    <w:abstractNumId w:val="7"/>
  </w:num>
  <w:num w:numId="54">
    <w:abstractNumId w:val="32"/>
  </w:num>
  <w:num w:numId="55">
    <w:abstractNumId w:val="60"/>
  </w:num>
  <w:num w:numId="56">
    <w:abstractNumId w:val="71"/>
  </w:num>
  <w:num w:numId="57">
    <w:abstractNumId w:val="42"/>
  </w:num>
  <w:num w:numId="58">
    <w:abstractNumId w:val="18"/>
  </w:num>
  <w:num w:numId="59">
    <w:abstractNumId w:val="27"/>
  </w:num>
  <w:num w:numId="60">
    <w:abstractNumId w:val="70"/>
  </w:num>
  <w:num w:numId="61">
    <w:abstractNumId w:val="15"/>
  </w:num>
  <w:num w:numId="62">
    <w:abstractNumId w:val="59"/>
  </w:num>
  <w:num w:numId="63">
    <w:abstractNumId w:val="21"/>
  </w:num>
  <w:num w:numId="64">
    <w:abstractNumId w:val="13"/>
  </w:num>
  <w:num w:numId="65">
    <w:abstractNumId w:val="41"/>
  </w:num>
  <w:num w:numId="66">
    <w:abstractNumId w:val="57"/>
  </w:num>
  <w:num w:numId="67">
    <w:abstractNumId w:val="44"/>
  </w:num>
  <w:num w:numId="68">
    <w:abstractNumId w:val="20"/>
  </w:num>
  <w:num w:numId="69">
    <w:abstractNumId w:val="47"/>
  </w:num>
  <w:num w:numId="70">
    <w:abstractNumId w:val="31"/>
  </w:num>
  <w:num w:numId="71">
    <w:abstractNumId w:val="56"/>
  </w:num>
  <w:num w:numId="72">
    <w:abstractNumId w:val="54"/>
  </w:num>
  <w:num w:numId="73">
    <w:abstractNumId w:val="6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GB" w:vendorID="64" w:dllVersion="131078" w:nlCheck="1" w:checkStyle="0"/>
  <w:activeWritingStyle w:appName="MSWord" w:lang="en-US" w:vendorID="64" w:dllVersion="131078" w:nlCheck="1"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oNotTrackMoves/>
  <w:doNotTrackFormatting/>
  <w:defaultTabStop w:val="864"/>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9D7F73"/>
    <w:rsid w:val="0000210A"/>
    <w:rsid w:val="000042D0"/>
    <w:rsid w:val="00026C12"/>
    <w:rsid w:val="000464DE"/>
    <w:rsid w:val="000542CF"/>
    <w:rsid w:val="00065DAD"/>
    <w:rsid w:val="00083549"/>
    <w:rsid w:val="000A0EAE"/>
    <w:rsid w:val="000A28E8"/>
    <w:rsid w:val="000B021B"/>
    <w:rsid w:val="000C327A"/>
    <w:rsid w:val="000C3DF5"/>
    <w:rsid w:val="000C663B"/>
    <w:rsid w:val="000C792E"/>
    <w:rsid w:val="000E0D5F"/>
    <w:rsid w:val="000E5662"/>
    <w:rsid w:val="000E57C2"/>
    <w:rsid w:val="000F2524"/>
    <w:rsid w:val="000F28BB"/>
    <w:rsid w:val="00100A9D"/>
    <w:rsid w:val="00104ABB"/>
    <w:rsid w:val="00106D11"/>
    <w:rsid w:val="00107389"/>
    <w:rsid w:val="00112650"/>
    <w:rsid w:val="00113B47"/>
    <w:rsid w:val="001221F7"/>
    <w:rsid w:val="00122E16"/>
    <w:rsid w:val="00125C1B"/>
    <w:rsid w:val="0013110D"/>
    <w:rsid w:val="00135CBB"/>
    <w:rsid w:val="00144274"/>
    <w:rsid w:val="00145028"/>
    <w:rsid w:val="0015399A"/>
    <w:rsid w:val="001656F5"/>
    <w:rsid w:val="001720BC"/>
    <w:rsid w:val="0017588A"/>
    <w:rsid w:val="00181BA3"/>
    <w:rsid w:val="00182EEE"/>
    <w:rsid w:val="001962EF"/>
    <w:rsid w:val="001966E1"/>
    <w:rsid w:val="001B7A56"/>
    <w:rsid w:val="001C090D"/>
    <w:rsid w:val="001D0555"/>
    <w:rsid w:val="001D3E75"/>
    <w:rsid w:val="001E2EBF"/>
    <w:rsid w:val="001E6661"/>
    <w:rsid w:val="001F78DD"/>
    <w:rsid w:val="00211296"/>
    <w:rsid w:val="00221B59"/>
    <w:rsid w:val="00263222"/>
    <w:rsid w:val="00264F78"/>
    <w:rsid w:val="0026604B"/>
    <w:rsid w:val="0027199E"/>
    <w:rsid w:val="00274664"/>
    <w:rsid w:val="002846E1"/>
    <w:rsid w:val="00285602"/>
    <w:rsid w:val="002A7C82"/>
    <w:rsid w:val="002B067E"/>
    <w:rsid w:val="002B30EE"/>
    <w:rsid w:val="002B7CDF"/>
    <w:rsid w:val="002C3245"/>
    <w:rsid w:val="002E0CD0"/>
    <w:rsid w:val="002F35BF"/>
    <w:rsid w:val="002F735C"/>
    <w:rsid w:val="003153CA"/>
    <w:rsid w:val="00330C58"/>
    <w:rsid w:val="00343207"/>
    <w:rsid w:val="00345AEE"/>
    <w:rsid w:val="00354F50"/>
    <w:rsid w:val="00356FE0"/>
    <w:rsid w:val="003610FF"/>
    <w:rsid w:val="0036189F"/>
    <w:rsid w:val="003772EF"/>
    <w:rsid w:val="00380F94"/>
    <w:rsid w:val="00386937"/>
    <w:rsid w:val="0039099F"/>
    <w:rsid w:val="00393247"/>
    <w:rsid w:val="00396B61"/>
    <w:rsid w:val="003C5EDB"/>
    <w:rsid w:val="003D6710"/>
    <w:rsid w:val="00403295"/>
    <w:rsid w:val="00421656"/>
    <w:rsid w:val="004618FE"/>
    <w:rsid w:val="00462DBF"/>
    <w:rsid w:val="00474DFA"/>
    <w:rsid w:val="00477D6B"/>
    <w:rsid w:val="00487AB4"/>
    <w:rsid w:val="004B3284"/>
    <w:rsid w:val="004B4B2C"/>
    <w:rsid w:val="004C1548"/>
    <w:rsid w:val="004C5078"/>
    <w:rsid w:val="004E048C"/>
    <w:rsid w:val="004E0BE2"/>
    <w:rsid w:val="00517852"/>
    <w:rsid w:val="0052507A"/>
    <w:rsid w:val="0053328E"/>
    <w:rsid w:val="00536A09"/>
    <w:rsid w:val="00562A23"/>
    <w:rsid w:val="00570005"/>
    <w:rsid w:val="00575B9F"/>
    <w:rsid w:val="00576B24"/>
    <w:rsid w:val="005812CC"/>
    <w:rsid w:val="00582216"/>
    <w:rsid w:val="005B7B1D"/>
    <w:rsid w:val="005C6868"/>
    <w:rsid w:val="005D6EF1"/>
    <w:rsid w:val="005F44F5"/>
    <w:rsid w:val="005F69FF"/>
    <w:rsid w:val="005F71B4"/>
    <w:rsid w:val="00605EB4"/>
    <w:rsid w:val="00606233"/>
    <w:rsid w:val="00614E98"/>
    <w:rsid w:val="00622977"/>
    <w:rsid w:val="006265DC"/>
    <w:rsid w:val="0063019A"/>
    <w:rsid w:val="00630435"/>
    <w:rsid w:val="00632EC9"/>
    <w:rsid w:val="0067349D"/>
    <w:rsid w:val="00674380"/>
    <w:rsid w:val="0067698F"/>
    <w:rsid w:val="00681FF4"/>
    <w:rsid w:val="00692C5F"/>
    <w:rsid w:val="00696749"/>
    <w:rsid w:val="006A28FC"/>
    <w:rsid w:val="006B4FC1"/>
    <w:rsid w:val="006B7010"/>
    <w:rsid w:val="006D0830"/>
    <w:rsid w:val="006D374A"/>
    <w:rsid w:val="006D45D6"/>
    <w:rsid w:val="006F5794"/>
    <w:rsid w:val="00746835"/>
    <w:rsid w:val="007504A3"/>
    <w:rsid w:val="00753FDC"/>
    <w:rsid w:val="007613CE"/>
    <w:rsid w:val="007627FB"/>
    <w:rsid w:val="007664F5"/>
    <w:rsid w:val="00766E5F"/>
    <w:rsid w:val="00785F93"/>
    <w:rsid w:val="007870A5"/>
    <w:rsid w:val="007A269C"/>
    <w:rsid w:val="007A53A5"/>
    <w:rsid w:val="007D5EA9"/>
    <w:rsid w:val="007E2139"/>
    <w:rsid w:val="007F45B5"/>
    <w:rsid w:val="007F73F7"/>
    <w:rsid w:val="00805E78"/>
    <w:rsid w:val="00824228"/>
    <w:rsid w:val="00841FF0"/>
    <w:rsid w:val="008423B3"/>
    <w:rsid w:val="00856D30"/>
    <w:rsid w:val="00871D33"/>
    <w:rsid w:val="00873B91"/>
    <w:rsid w:val="00887E1D"/>
    <w:rsid w:val="008941FF"/>
    <w:rsid w:val="00895358"/>
    <w:rsid w:val="008A13B5"/>
    <w:rsid w:val="008A5DC0"/>
    <w:rsid w:val="008C77F3"/>
    <w:rsid w:val="008D2230"/>
    <w:rsid w:val="008D2B8E"/>
    <w:rsid w:val="008D5A6B"/>
    <w:rsid w:val="008E6198"/>
    <w:rsid w:val="008F021B"/>
    <w:rsid w:val="008F13F7"/>
    <w:rsid w:val="008F2BAB"/>
    <w:rsid w:val="008F5C61"/>
    <w:rsid w:val="009060C0"/>
    <w:rsid w:val="00910171"/>
    <w:rsid w:val="0091339A"/>
    <w:rsid w:val="00927019"/>
    <w:rsid w:val="009346CB"/>
    <w:rsid w:val="00955418"/>
    <w:rsid w:val="00970D4B"/>
    <w:rsid w:val="009740F2"/>
    <w:rsid w:val="00981186"/>
    <w:rsid w:val="00997776"/>
    <w:rsid w:val="009A5E78"/>
    <w:rsid w:val="009A6E99"/>
    <w:rsid w:val="009B24A1"/>
    <w:rsid w:val="009B3760"/>
    <w:rsid w:val="009C3944"/>
    <w:rsid w:val="009C6DAB"/>
    <w:rsid w:val="009D3B82"/>
    <w:rsid w:val="009D4F6C"/>
    <w:rsid w:val="009D7F73"/>
    <w:rsid w:val="009E7715"/>
    <w:rsid w:val="009F14F4"/>
    <w:rsid w:val="00A02A06"/>
    <w:rsid w:val="00A05DC7"/>
    <w:rsid w:val="00A1312C"/>
    <w:rsid w:val="00A418AA"/>
    <w:rsid w:val="00A47F8D"/>
    <w:rsid w:val="00A52B17"/>
    <w:rsid w:val="00A53740"/>
    <w:rsid w:val="00A54663"/>
    <w:rsid w:val="00A605D3"/>
    <w:rsid w:val="00A8315E"/>
    <w:rsid w:val="00A861DA"/>
    <w:rsid w:val="00A95592"/>
    <w:rsid w:val="00A96892"/>
    <w:rsid w:val="00AB08F2"/>
    <w:rsid w:val="00AB7915"/>
    <w:rsid w:val="00AC3669"/>
    <w:rsid w:val="00AC59C6"/>
    <w:rsid w:val="00AD1763"/>
    <w:rsid w:val="00AD4844"/>
    <w:rsid w:val="00AE0AEA"/>
    <w:rsid w:val="00AE5D04"/>
    <w:rsid w:val="00AF0089"/>
    <w:rsid w:val="00AF405F"/>
    <w:rsid w:val="00B00DA2"/>
    <w:rsid w:val="00B04404"/>
    <w:rsid w:val="00B124F1"/>
    <w:rsid w:val="00B17B3B"/>
    <w:rsid w:val="00B22C21"/>
    <w:rsid w:val="00B2431A"/>
    <w:rsid w:val="00B4377B"/>
    <w:rsid w:val="00B537D7"/>
    <w:rsid w:val="00B63EA2"/>
    <w:rsid w:val="00B6653A"/>
    <w:rsid w:val="00B6725E"/>
    <w:rsid w:val="00B808AD"/>
    <w:rsid w:val="00B825F8"/>
    <w:rsid w:val="00B8676C"/>
    <w:rsid w:val="00B90D64"/>
    <w:rsid w:val="00BA6688"/>
    <w:rsid w:val="00BC5227"/>
    <w:rsid w:val="00BC5660"/>
    <w:rsid w:val="00BD1F0C"/>
    <w:rsid w:val="00BD2E0C"/>
    <w:rsid w:val="00BD3C94"/>
    <w:rsid w:val="00BE6E3E"/>
    <w:rsid w:val="00BF6DC8"/>
    <w:rsid w:val="00C107F3"/>
    <w:rsid w:val="00C33FDE"/>
    <w:rsid w:val="00C45822"/>
    <w:rsid w:val="00C664EC"/>
    <w:rsid w:val="00C84780"/>
    <w:rsid w:val="00C97A9A"/>
    <w:rsid w:val="00CB580E"/>
    <w:rsid w:val="00CD0640"/>
    <w:rsid w:val="00CE1A85"/>
    <w:rsid w:val="00CE43C8"/>
    <w:rsid w:val="00CE764C"/>
    <w:rsid w:val="00CF30B0"/>
    <w:rsid w:val="00CF6155"/>
    <w:rsid w:val="00D01AE5"/>
    <w:rsid w:val="00D14698"/>
    <w:rsid w:val="00D31D14"/>
    <w:rsid w:val="00D42875"/>
    <w:rsid w:val="00D55DD2"/>
    <w:rsid w:val="00D66714"/>
    <w:rsid w:val="00D90E47"/>
    <w:rsid w:val="00DA05AA"/>
    <w:rsid w:val="00DA7552"/>
    <w:rsid w:val="00DB42B0"/>
    <w:rsid w:val="00DB7079"/>
    <w:rsid w:val="00DB7A16"/>
    <w:rsid w:val="00DC184C"/>
    <w:rsid w:val="00DC2166"/>
    <w:rsid w:val="00DC4B0B"/>
    <w:rsid w:val="00DC52B1"/>
    <w:rsid w:val="00DD6520"/>
    <w:rsid w:val="00DF08C5"/>
    <w:rsid w:val="00DF19D3"/>
    <w:rsid w:val="00DF1BEF"/>
    <w:rsid w:val="00E000BC"/>
    <w:rsid w:val="00E35142"/>
    <w:rsid w:val="00E55B78"/>
    <w:rsid w:val="00E57364"/>
    <w:rsid w:val="00E60E0E"/>
    <w:rsid w:val="00E636C3"/>
    <w:rsid w:val="00E63972"/>
    <w:rsid w:val="00E65E72"/>
    <w:rsid w:val="00E72159"/>
    <w:rsid w:val="00E73D69"/>
    <w:rsid w:val="00E744DC"/>
    <w:rsid w:val="00E85512"/>
    <w:rsid w:val="00E87010"/>
    <w:rsid w:val="00E96E8F"/>
    <w:rsid w:val="00EA25B0"/>
    <w:rsid w:val="00EA2810"/>
    <w:rsid w:val="00EA4288"/>
    <w:rsid w:val="00EA465C"/>
    <w:rsid w:val="00EA63EA"/>
    <w:rsid w:val="00EC592E"/>
    <w:rsid w:val="00EE7A87"/>
    <w:rsid w:val="00EF05B1"/>
    <w:rsid w:val="00F02347"/>
    <w:rsid w:val="00F50D35"/>
    <w:rsid w:val="00F54FE6"/>
    <w:rsid w:val="00F55A75"/>
    <w:rsid w:val="00F63979"/>
    <w:rsid w:val="00F76F76"/>
    <w:rsid w:val="00F86633"/>
    <w:rsid w:val="00F92218"/>
    <w:rsid w:val="00F94566"/>
    <w:rsid w:val="00F97DD4"/>
    <w:rsid w:val="00FE1478"/>
    <w:rsid w:val="00FE612E"/>
    <w:rsid w:val="00FF50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663"/>
    <w:pPr>
      <w:spacing w:after="140" w:line="290" w:lineRule="auto"/>
    </w:pPr>
    <w:rPr>
      <w:rFonts w:eastAsia="Times New Roman"/>
      <w:kern w:val="20"/>
      <w:lang w:eastAsia="en-US"/>
    </w:rPr>
  </w:style>
  <w:style w:type="paragraph" w:styleId="Heading1">
    <w:name w:val="heading 1"/>
    <w:basedOn w:val="Normal"/>
    <w:next w:val="Normal"/>
    <w:qFormat/>
    <w:pPr>
      <w:numPr>
        <w:numId w:val="2"/>
      </w:numPr>
      <w:spacing w:line="240" w:lineRule="auto"/>
      <w:outlineLvl w:val="0"/>
    </w:pPr>
  </w:style>
  <w:style w:type="paragraph" w:styleId="Heading2">
    <w:name w:val="heading 2"/>
    <w:basedOn w:val="Normal"/>
    <w:next w:val="Normal"/>
    <w:qFormat/>
    <w:pPr>
      <w:numPr>
        <w:ilvl w:val="1"/>
        <w:numId w:val="2"/>
      </w:numPr>
      <w:spacing w:line="240" w:lineRule="auto"/>
      <w:outlineLvl w:val="1"/>
    </w:pPr>
  </w:style>
  <w:style w:type="paragraph" w:styleId="Heading3">
    <w:name w:val="heading 3"/>
    <w:basedOn w:val="Normal"/>
    <w:next w:val="Normal"/>
    <w:qFormat/>
    <w:pPr>
      <w:numPr>
        <w:ilvl w:val="2"/>
        <w:numId w:val="2"/>
      </w:numPr>
      <w:spacing w:line="240" w:lineRule="auto"/>
      <w:outlineLvl w:val="2"/>
    </w:pPr>
  </w:style>
  <w:style w:type="paragraph" w:styleId="Heading4">
    <w:name w:val="heading 4"/>
    <w:basedOn w:val="Normal"/>
    <w:next w:val="Normal"/>
    <w:qFormat/>
    <w:pPr>
      <w:numPr>
        <w:ilvl w:val="3"/>
        <w:numId w:val="2"/>
      </w:numPr>
      <w:spacing w:line="240" w:lineRule="auto"/>
      <w:outlineLvl w:val="3"/>
    </w:pPr>
  </w:style>
  <w:style w:type="paragraph" w:styleId="Heading5">
    <w:name w:val="heading 5"/>
    <w:basedOn w:val="Normal"/>
    <w:next w:val="Normal"/>
    <w:qFormat/>
    <w:pPr>
      <w:numPr>
        <w:ilvl w:val="4"/>
        <w:numId w:val="2"/>
      </w:numPr>
      <w:spacing w:line="240" w:lineRule="auto"/>
      <w:outlineLvl w:val="4"/>
    </w:pPr>
  </w:style>
  <w:style w:type="paragraph" w:styleId="Heading6">
    <w:name w:val="heading 6"/>
    <w:basedOn w:val="Normal"/>
    <w:next w:val="Normal"/>
    <w:qFormat/>
    <w:pPr>
      <w:numPr>
        <w:ilvl w:val="5"/>
        <w:numId w:val="2"/>
      </w:numPr>
      <w:spacing w:line="240" w:lineRule="auto"/>
      <w:outlineLvl w:val="5"/>
    </w:pPr>
  </w:style>
  <w:style w:type="paragraph" w:styleId="Heading7">
    <w:name w:val="heading 7"/>
    <w:basedOn w:val="Normal"/>
    <w:next w:val="Normal"/>
    <w:qFormat/>
    <w:pPr>
      <w:numPr>
        <w:ilvl w:val="6"/>
        <w:numId w:val="2"/>
      </w:numPr>
      <w:spacing w:line="240" w:lineRule="auto"/>
      <w:outlineLvl w:val="6"/>
    </w:pPr>
  </w:style>
  <w:style w:type="paragraph" w:styleId="Heading8">
    <w:name w:val="heading 8"/>
    <w:basedOn w:val="Normal"/>
    <w:next w:val="Normal"/>
    <w:qFormat/>
    <w:pPr>
      <w:numPr>
        <w:ilvl w:val="7"/>
        <w:numId w:val="2"/>
      </w:numPr>
      <w:spacing w:line="240" w:lineRule="auto"/>
      <w:outlineLvl w:val="7"/>
    </w:pPr>
  </w:style>
  <w:style w:type="paragraph" w:styleId="Heading9">
    <w:name w:val="heading 9"/>
    <w:basedOn w:val="Normal"/>
    <w:next w:val="Normal"/>
    <w:qFormat/>
    <w:pPr>
      <w:numPr>
        <w:ilvl w:val="8"/>
        <w:numId w:val="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ind w:left="425"/>
      <w:jc w:val="both"/>
    </w:pPr>
  </w:style>
  <w:style w:type="paragraph" w:styleId="Footer">
    <w:name w:val="footer"/>
    <w:basedOn w:val="Normal"/>
    <w:pPr>
      <w:tabs>
        <w:tab w:val="center" w:pos="4536"/>
        <w:tab w:val="right" w:pos="9072"/>
      </w:tabs>
      <w:spacing w:after="0" w:line="240" w:lineRule="auto"/>
    </w:pPr>
    <w:rPr>
      <w:sz w:val="17"/>
    </w:rPr>
  </w:style>
  <w:style w:type="paragraph" w:customStyle="1" w:styleId="Head">
    <w:name w:val="Head"/>
    <w:basedOn w:val="Normal"/>
    <w:next w:val="Body"/>
    <w:rsid w:val="00B825F8"/>
    <w:pPr>
      <w:keepNext/>
      <w:spacing w:before="295" w:after="175"/>
      <w:ind w:left="425"/>
      <w:jc w:val="both"/>
      <w:outlineLvl w:val="0"/>
    </w:pPr>
    <w:rPr>
      <w:b/>
      <w:sz w:val="22"/>
    </w:rPr>
  </w:style>
  <w:style w:type="paragraph" w:styleId="Header">
    <w:name w:val="header"/>
    <w:basedOn w:val="Normal"/>
    <w:pPr>
      <w:tabs>
        <w:tab w:val="center" w:pos="4536"/>
        <w:tab w:val="right" w:pos="9072"/>
      </w:tabs>
      <w:spacing w:line="240" w:lineRule="auto"/>
    </w:pPr>
    <w:rPr>
      <w:sz w:val="19"/>
    </w:rPr>
  </w:style>
  <w:style w:type="character" w:styleId="PageNumber">
    <w:name w:val="page number"/>
    <w:basedOn w:val="DefaultParagraphFont"/>
  </w:style>
  <w:style w:type="paragraph" w:styleId="TOC1">
    <w:name w:val="toc 1"/>
    <w:basedOn w:val="Normal"/>
    <w:next w:val="Normal"/>
    <w:semiHidden/>
    <w:pPr>
      <w:spacing w:before="140"/>
      <w:ind w:left="850" w:hanging="425"/>
    </w:pPr>
  </w:style>
  <w:style w:type="paragraph" w:customStyle="1" w:styleId="Title22">
    <w:name w:val="Title22"/>
    <w:basedOn w:val="Normal"/>
    <w:rsid w:val="00570005"/>
    <w:pPr>
      <w:keepNext/>
      <w:keepLines/>
      <w:spacing w:after="120"/>
      <w:jc w:val="center"/>
      <w:outlineLvl w:val="0"/>
    </w:pPr>
    <w:rPr>
      <w:b/>
      <w:sz w:val="44"/>
    </w:rPr>
  </w:style>
  <w:style w:type="paragraph" w:customStyle="1" w:styleId="Roman3-i">
    <w:name w:val="Roman 3-(i)"/>
    <w:basedOn w:val="Normal"/>
    <w:rsid w:val="006D45D6"/>
    <w:pPr>
      <w:numPr>
        <w:numId w:val="53"/>
      </w:numPr>
      <w:jc w:val="both"/>
    </w:pPr>
  </w:style>
  <w:style w:type="paragraph" w:customStyle="1" w:styleId="Title18">
    <w:name w:val="Title18"/>
    <w:basedOn w:val="Normal"/>
    <w:rsid w:val="00570005"/>
    <w:pPr>
      <w:keepNext/>
      <w:keepLines/>
      <w:spacing w:after="0"/>
      <w:jc w:val="center"/>
      <w:outlineLvl w:val="0"/>
    </w:pPr>
    <w:rPr>
      <w:b/>
      <w:sz w:val="36"/>
    </w:rPr>
  </w:style>
  <w:style w:type="paragraph" w:customStyle="1" w:styleId="Titleitalic">
    <w:name w:val="Title italic"/>
    <w:basedOn w:val="Normal"/>
    <w:rsid w:val="00570005"/>
    <w:pPr>
      <w:keepNext/>
      <w:keepLines/>
      <w:spacing w:after="240"/>
      <w:jc w:val="center"/>
      <w:outlineLvl w:val="0"/>
    </w:pPr>
    <w:rPr>
      <w:i/>
    </w:rPr>
  </w:style>
  <w:style w:type="paragraph" w:customStyle="1" w:styleId="Title16">
    <w:name w:val="Title16"/>
    <w:basedOn w:val="Normal"/>
    <w:rsid w:val="00570005"/>
    <w:pPr>
      <w:keepNext/>
      <w:keepLines/>
      <w:spacing w:after="120"/>
      <w:jc w:val="center"/>
      <w:outlineLvl w:val="0"/>
    </w:pPr>
    <w:rPr>
      <w:b/>
      <w:sz w:val="32"/>
    </w:rPr>
  </w:style>
  <w:style w:type="paragraph" w:customStyle="1" w:styleId="FPTableLeft">
    <w:name w:val="FP Table Left"/>
    <w:basedOn w:val="Normal"/>
    <w:rsid w:val="00D66714"/>
    <w:pPr>
      <w:keepNext/>
      <w:keepLines/>
      <w:spacing w:after="120"/>
      <w:outlineLvl w:val="0"/>
    </w:pPr>
    <w:rPr>
      <w:b/>
    </w:rPr>
  </w:style>
  <w:style w:type="paragraph" w:customStyle="1" w:styleId="FPTableRight">
    <w:name w:val="FP Table Right"/>
    <w:basedOn w:val="Normal"/>
    <w:rsid w:val="00D66714"/>
    <w:pPr>
      <w:keepNext/>
      <w:keepLines/>
      <w:spacing w:after="120"/>
      <w:jc w:val="right"/>
      <w:outlineLvl w:val="0"/>
    </w:pPr>
    <w:rPr>
      <w:b/>
    </w:rPr>
  </w:style>
  <w:style w:type="paragraph" w:customStyle="1" w:styleId="Covertext">
    <w:name w:val="Covertext"/>
    <w:basedOn w:val="Body"/>
    <w:pPr>
      <w:ind w:left="0"/>
    </w:pPr>
    <w:rPr>
      <w:sz w:val="18"/>
    </w:rPr>
  </w:style>
  <w:style w:type="character" w:styleId="Hyperlink">
    <w:name w:val="Hyperlink"/>
    <w:rPr>
      <w:color w:val="AF005F"/>
      <w:u w:val="none"/>
    </w:rPr>
  </w:style>
  <w:style w:type="paragraph" w:customStyle="1" w:styleId="TOCHead">
    <w:name w:val="TOCHead"/>
    <w:basedOn w:val="Head"/>
    <w:next w:val="Body"/>
    <w:rsid w:val="00EA63EA"/>
    <w:pPr>
      <w:jc w:val="center"/>
    </w:pPr>
  </w:style>
  <w:style w:type="paragraph" w:customStyle="1" w:styleId="Alpha1-Aitalic">
    <w:name w:val="Alpha 1-(A) italic"/>
    <w:basedOn w:val="Normal"/>
    <w:rsid w:val="00354F50"/>
    <w:pPr>
      <w:keepNext/>
      <w:numPr>
        <w:numId w:val="38"/>
      </w:numPr>
      <w:jc w:val="both"/>
    </w:pPr>
    <w:rPr>
      <w:i/>
      <w:sz w:val="22"/>
    </w:rPr>
  </w:style>
  <w:style w:type="paragraph" w:customStyle="1" w:styleId="Alpha1G-Aitalic">
    <w:name w:val="Alpha 1G-(A) italic"/>
    <w:basedOn w:val="Normal"/>
    <w:rsid w:val="00487AB4"/>
    <w:pPr>
      <w:numPr>
        <w:numId w:val="39"/>
      </w:numPr>
      <w:tabs>
        <w:tab w:val="clear" w:pos="425"/>
        <w:tab w:val="num" w:pos="360"/>
      </w:tabs>
      <w:ind w:left="0" w:firstLine="0"/>
      <w:jc w:val="both"/>
    </w:pPr>
    <w:rPr>
      <w:i/>
      <w:lang w:val="de-DE"/>
    </w:rPr>
  </w:style>
  <w:style w:type="paragraph" w:customStyle="1" w:styleId="Alpha2-a0">
    <w:name w:val="Alpha 2-(a)"/>
    <w:basedOn w:val="Normal"/>
    <w:rsid w:val="0053328E"/>
    <w:pPr>
      <w:numPr>
        <w:numId w:val="40"/>
      </w:numPr>
      <w:jc w:val="both"/>
    </w:pPr>
  </w:style>
  <w:style w:type="paragraph" w:customStyle="1" w:styleId="Alpha2-A">
    <w:name w:val="Alpha 2-(A)"/>
    <w:basedOn w:val="Normal"/>
    <w:rsid w:val="005812CC"/>
    <w:pPr>
      <w:numPr>
        <w:numId w:val="41"/>
      </w:numPr>
      <w:jc w:val="both"/>
    </w:pPr>
  </w:style>
  <w:style w:type="paragraph" w:customStyle="1" w:styleId="Alpha2aitalicnum">
    <w:name w:val="Alpha 2(a) italicnum"/>
    <w:basedOn w:val="Alpha2-a0"/>
    <w:rsid w:val="00997776"/>
    <w:pPr>
      <w:numPr>
        <w:numId w:val="29"/>
      </w:numPr>
    </w:pPr>
  </w:style>
  <w:style w:type="paragraph" w:customStyle="1" w:styleId="Alpha2-Abold0">
    <w:name w:val="Alpha 2-(A) bold"/>
    <w:basedOn w:val="Normal"/>
    <w:next w:val="Body2"/>
    <w:rsid w:val="0053328E"/>
    <w:pPr>
      <w:keepNext/>
      <w:numPr>
        <w:numId w:val="26"/>
      </w:numPr>
      <w:spacing w:before="120"/>
    </w:pPr>
    <w:rPr>
      <w:b/>
      <w:sz w:val="21"/>
    </w:rPr>
  </w:style>
  <w:style w:type="paragraph" w:customStyle="1" w:styleId="Body2">
    <w:name w:val="Body 2"/>
    <w:basedOn w:val="Body"/>
    <w:rsid w:val="00396B61"/>
    <w:pPr>
      <w:ind w:left="992"/>
    </w:pPr>
  </w:style>
  <w:style w:type="paragraph" w:customStyle="1" w:styleId="Alpha2-abold">
    <w:name w:val="Alpha 2-(a) bold"/>
    <w:basedOn w:val="Normal"/>
    <w:next w:val="Body2"/>
    <w:rsid w:val="0053328E"/>
    <w:pPr>
      <w:keepNext/>
      <w:numPr>
        <w:numId w:val="27"/>
      </w:numPr>
      <w:spacing w:before="120"/>
    </w:pPr>
    <w:rPr>
      <w:b/>
      <w:sz w:val="21"/>
    </w:rPr>
  </w:style>
  <w:style w:type="paragraph" w:customStyle="1" w:styleId="Alpha2-Abolditalic0">
    <w:name w:val="Alpha 2-(A) bolditalic"/>
    <w:basedOn w:val="Normal"/>
    <w:next w:val="Body2"/>
    <w:rsid w:val="0039099F"/>
    <w:pPr>
      <w:keepNext/>
      <w:numPr>
        <w:numId w:val="42"/>
      </w:numPr>
    </w:pPr>
    <w:rPr>
      <w:b/>
      <w:i/>
      <w:sz w:val="21"/>
    </w:rPr>
  </w:style>
  <w:style w:type="paragraph" w:customStyle="1" w:styleId="Alpha2-abolditalic">
    <w:name w:val="Alpha 2-(a) bolditalic"/>
    <w:basedOn w:val="Normal"/>
    <w:next w:val="Body2"/>
    <w:rsid w:val="0053328E"/>
    <w:pPr>
      <w:keepNext/>
      <w:numPr>
        <w:numId w:val="28"/>
      </w:numPr>
    </w:pPr>
    <w:rPr>
      <w:b/>
      <w:i/>
      <w:sz w:val="21"/>
    </w:rPr>
  </w:style>
  <w:style w:type="paragraph" w:customStyle="1" w:styleId="Alpha2-aitalic">
    <w:name w:val="Alpha 2-(a) italic"/>
    <w:basedOn w:val="Normal"/>
    <w:next w:val="Body2"/>
    <w:rsid w:val="00DC52B1"/>
    <w:pPr>
      <w:keepNext/>
      <w:numPr>
        <w:numId w:val="44"/>
      </w:numPr>
      <w:jc w:val="both"/>
    </w:pPr>
    <w:rPr>
      <w:i/>
      <w:sz w:val="21"/>
    </w:rPr>
  </w:style>
  <w:style w:type="paragraph" w:customStyle="1" w:styleId="Alpha2-Aitalic0">
    <w:name w:val="Alpha 2-(A) italic"/>
    <w:basedOn w:val="Normal"/>
    <w:next w:val="Body2"/>
    <w:rsid w:val="00354F50"/>
    <w:pPr>
      <w:numPr>
        <w:numId w:val="43"/>
      </w:numPr>
      <w:jc w:val="both"/>
    </w:pPr>
    <w:rPr>
      <w:i/>
      <w:sz w:val="21"/>
    </w:rPr>
  </w:style>
  <w:style w:type="paragraph" w:customStyle="1" w:styleId="Alpha3-A0">
    <w:name w:val="Alpha 3-(A)"/>
    <w:basedOn w:val="Normal"/>
    <w:rsid w:val="00487AB4"/>
    <w:pPr>
      <w:numPr>
        <w:numId w:val="30"/>
      </w:numPr>
      <w:jc w:val="both"/>
    </w:pPr>
  </w:style>
  <w:style w:type="paragraph" w:customStyle="1" w:styleId="Alpha3-Abold">
    <w:name w:val="Alpha 3-(A) bold"/>
    <w:basedOn w:val="Alpha3-A0"/>
    <w:next w:val="Body3"/>
    <w:rsid w:val="00264F78"/>
    <w:pPr>
      <w:keepNext/>
      <w:numPr>
        <w:numId w:val="32"/>
      </w:numPr>
    </w:pPr>
    <w:rPr>
      <w:b/>
    </w:rPr>
  </w:style>
  <w:style w:type="paragraph" w:customStyle="1" w:styleId="Body3">
    <w:name w:val="Body 3"/>
    <w:basedOn w:val="Body"/>
    <w:pPr>
      <w:ind w:left="1559"/>
    </w:pPr>
  </w:style>
  <w:style w:type="paragraph" w:customStyle="1" w:styleId="Alpha4-a0">
    <w:name w:val="Alpha 4-(a)"/>
    <w:basedOn w:val="Normal"/>
    <w:rsid w:val="001F78DD"/>
    <w:pPr>
      <w:numPr>
        <w:numId w:val="33"/>
      </w:numPr>
      <w:jc w:val="both"/>
    </w:pPr>
  </w:style>
  <w:style w:type="paragraph" w:customStyle="1" w:styleId="Alpha4-A">
    <w:name w:val="Alpha 4-(A)"/>
    <w:basedOn w:val="Normal"/>
    <w:rsid w:val="001F78DD"/>
    <w:pPr>
      <w:numPr>
        <w:numId w:val="34"/>
      </w:numPr>
      <w:jc w:val="both"/>
    </w:pPr>
  </w:style>
  <w:style w:type="paragraph" w:customStyle="1" w:styleId="Alpha4-Abold">
    <w:name w:val="Alpha 4-(A) bold"/>
    <w:basedOn w:val="Alpha4-A"/>
    <w:next w:val="Body4"/>
    <w:rsid w:val="001F78DD"/>
    <w:pPr>
      <w:keepNext/>
      <w:numPr>
        <w:numId w:val="35"/>
      </w:numPr>
    </w:pPr>
    <w:rPr>
      <w:b/>
    </w:rPr>
  </w:style>
  <w:style w:type="paragraph" w:customStyle="1" w:styleId="Body4">
    <w:name w:val="Body 4"/>
    <w:basedOn w:val="Body"/>
    <w:pPr>
      <w:ind w:left="2126"/>
    </w:pPr>
  </w:style>
  <w:style w:type="paragraph" w:customStyle="1" w:styleId="Alpha5-a0">
    <w:name w:val="Alpha 5-(a)"/>
    <w:basedOn w:val="Normal"/>
    <w:rsid w:val="00380F94"/>
    <w:pPr>
      <w:numPr>
        <w:numId w:val="37"/>
      </w:numPr>
      <w:jc w:val="both"/>
    </w:pPr>
  </w:style>
  <w:style w:type="paragraph" w:customStyle="1" w:styleId="Alpha5-A">
    <w:name w:val="Alpha 5-(A)"/>
    <w:basedOn w:val="Normal"/>
    <w:rsid w:val="00380F94"/>
    <w:pPr>
      <w:numPr>
        <w:numId w:val="36"/>
      </w:numPr>
      <w:jc w:val="both"/>
    </w:pPr>
  </w:style>
  <w:style w:type="paragraph" w:customStyle="1" w:styleId="Alpha5-Abold">
    <w:name w:val="Alpha 5-(A) bold"/>
    <w:basedOn w:val="Alpha5-A"/>
    <w:next w:val="Body5"/>
    <w:rsid w:val="00380F94"/>
    <w:pPr>
      <w:keepNext/>
      <w:numPr>
        <w:numId w:val="47"/>
      </w:numPr>
    </w:pPr>
    <w:rPr>
      <w:b/>
    </w:rPr>
  </w:style>
  <w:style w:type="paragraph" w:customStyle="1" w:styleId="Body5">
    <w:name w:val="Body 5"/>
    <w:basedOn w:val="Body"/>
    <w:pPr>
      <w:ind w:left="2693"/>
    </w:pPr>
  </w:style>
  <w:style w:type="paragraph" w:customStyle="1" w:styleId="Arabic2-10">
    <w:name w:val="Arabic 2-(1)"/>
    <w:basedOn w:val="Normal"/>
    <w:rsid w:val="009060C0"/>
    <w:pPr>
      <w:numPr>
        <w:numId w:val="11"/>
      </w:numPr>
      <w:jc w:val="both"/>
    </w:pPr>
  </w:style>
  <w:style w:type="paragraph" w:customStyle="1" w:styleId="Arabic2-1">
    <w:name w:val="Arabic 2-1."/>
    <w:basedOn w:val="Normal"/>
    <w:rsid w:val="009060C0"/>
    <w:pPr>
      <w:numPr>
        <w:numId w:val="12"/>
      </w:numPr>
      <w:jc w:val="both"/>
    </w:pPr>
  </w:style>
  <w:style w:type="paragraph" w:customStyle="1" w:styleId="Arabic3-1">
    <w:name w:val="Arabic 3-(1)"/>
    <w:basedOn w:val="Normal"/>
    <w:rsid w:val="00D31D14"/>
    <w:pPr>
      <w:numPr>
        <w:numId w:val="7"/>
      </w:numPr>
      <w:jc w:val="both"/>
    </w:pPr>
  </w:style>
  <w:style w:type="paragraph" w:customStyle="1" w:styleId="Arabic3-10">
    <w:name w:val="Arabic 3-1."/>
    <w:basedOn w:val="Normal"/>
    <w:rsid w:val="009060C0"/>
    <w:pPr>
      <w:numPr>
        <w:numId w:val="13"/>
      </w:numPr>
      <w:jc w:val="both"/>
    </w:pPr>
  </w:style>
  <w:style w:type="paragraph" w:customStyle="1" w:styleId="Arabic4-10">
    <w:name w:val="Arabic 4-(1)"/>
    <w:basedOn w:val="Normal"/>
    <w:rsid w:val="009060C0"/>
    <w:pPr>
      <w:numPr>
        <w:numId w:val="14"/>
      </w:numPr>
      <w:jc w:val="both"/>
    </w:pPr>
  </w:style>
  <w:style w:type="paragraph" w:customStyle="1" w:styleId="Arabic4-1">
    <w:name w:val="Arabic 4-1."/>
    <w:basedOn w:val="Normal"/>
    <w:rsid w:val="009060C0"/>
    <w:pPr>
      <w:numPr>
        <w:numId w:val="15"/>
      </w:numPr>
      <w:jc w:val="both"/>
    </w:pPr>
  </w:style>
  <w:style w:type="paragraph" w:customStyle="1" w:styleId="Arabic5-10">
    <w:name w:val="Arabic 5-(1)"/>
    <w:basedOn w:val="Normal"/>
    <w:rsid w:val="009060C0"/>
    <w:pPr>
      <w:numPr>
        <w:numId w:val="16"/>
      </w:numPr>
      <w:jc w:val="both"/>
    </w:pPr>
  </w:style>
  <w:style w:type="paragraph" w:customStyle="1" w:styleId="Arabic5-1">
    <w:name w:val="Arabic 5-1."/>
    <w:basedOn w:val="Normal"/>
    <w:rsid w:val="009060C0"/>
    <w:pPr>
      <w:numPr>
        <w:numId w:val="17"/>
      </w:numPr>
      <w:jc w:val="both"/>
    </w:pPr>
  </w:style>
  <w:style w:type="paragraph" w:customStyle="1" w:styleId="Arabic6-10">
    <w:name w:val="Arabic 6-(1)"/>
    <w:basedOn w:val="Normal"/>
    <w:rsid w:val="009060C0"/>
    <w:pPr>
      <w:numPr>
        <w:numId w:val="18"/>
      </w:numPr>
      <w:jc w:val="both"/>
    </w:pPr>
  </w:style>
  <w:style w:type="paragraph" w:customStyle="1" w:styleId="Arabic6-1">
    <w:name w:val="Arabic 6-1."/>
    <w:basedOn w:val="Normal"/>
    <w:rsid w:val="009060C0"/>
    <w:pPr>
      <w:numPr>
        <w:numId w:val="19"/>
      </w:numPr>
      <w:jc w:val="both"/>
    </w:pPr>
  </w:style>
  <w:style w:type="paragraph" w:customStyle="1" w:styleId="Body1">
    <w:name w:val="Body 1"/>
    <w:basedOn w:val="Body"/>
    <w:rsid w:val="00396B61"/>
  </w:style>
  <w:style w:type="paragraph" w:customStyle="1" w:styleId="Body6">
    <w:name w:val="Body 6"/>
    <w:basedOn w:val="Body"/>
    <w:pPr>
      <w:ind w:left="3260"/>
    </w:pPr>
  </w:style>
  <w:style w:type="paragraph" w:customStyle="1" w:styleId="Body-G">
    <w:name w:val="Body-G"/>
    <w:basedOn w:val="Normal"/>
    <w:pPr>
      <w:tabs>
        <w:tab w:val="left" w:pos="851"/>
      </w:tabs>
      <w:spacing w:after="120"/>
      <w:ind w:firstLine="425"/>
      <w:jc w:val="both"/>
    </w:pPr>
    <w:rPr>
      <w:lang w:val="de-DE"/>
    </w:rPr>
  </w:style>
  <w:style w:type="paragraph" w:customStyle="1" w:styleId="BodyIndent">
    <w:name w:val="Body Indent"/>
    <w:basedOn w:val="Body-G"/>
    <w:pPr>
      <w:ind w:left="425" w:firstLine="567"/>
    </w:pPr>
    <w:rPr>
      <w:lang w:val="en-GB"/>
    </w:rPr>
  </w:style>
  <w:style w:type="paragraph" w:customStyle="1" w:styleId="bullet2">
    <w:name w:val="bullet 2"/>
    <w:basedOn w:val="Normal"/>
    <w:rsid w:val="001C090D"/>
    <w:pPr>
      <w:numPr>
        <w:numId w:val="20"/>
      </w:numPr>
      <w:jc w:val="both"/>
    </w:pPr>
  </w:style>
  <w:style w:type="paragraph" w:customStyle="1" w:styleId="bullet3">
    <w:name w:val="bullet 3"/>
    <w:basedOn w:val="Normal"/>
    <w:rsid w:val="001C090D"/>
    <w:pPr>
      <w:numPr>
        <w:numId w:val="21"/>
      </w:numPr>
      <w:jc w:val="both"/>
    </w:pPr>
  </w:style>
  <w:style w:type="paragraph" w:customStyle="1" w:styleId="bullet4">
    <w:name w:val="bullet 4"/>
    <w:basedOn w:val="Normal"/>
    <w:rsid w:val="001C090D"/>
    <w:pPr>
      <w:numPr>
        <w:numId w:val="22"/>
      </w:numPr>
      <w:jc w:val="both"/>
    </w:pPr>
  </w:style>
  <w:style w:type="paragraph" w:customStyle="1" w:styleId="bullet5">
    <w:name w:val="bullet 5"/>
    <w:basedOn w:val="Normal"/>
    <w:rsid w:val="001C090D"/>
    <w:pPr>
      <w:numPr>
        <w:numId w:val="23"/>
      </w:numPr>
      <w:jc w:val="both"/>
    </w:pPr>
  </w:style>
  <w:style w:type="paragraph" w:customStyle="1" w:styleId="bullet6">
    <w:name w:val="bullet 6"/>
    <w:basedOn w:val="Normal"/>
    <w:rsid w:val="001C090D"/>
    <w:pPr>
      <w:numPr>
        <w:numId w:val="24"/>
      </w:numPr>
      <w:jc w:val="both"/>
    </w:pPr>
  </w:style>
  <w:style w:type="paragraph" w:customStyle="1" w:styleId="CellBody">
    <w:name w:val="CellBody"/>
    <w:basedOn w:val="Normal"/>
    <w:pPr>
      <w:spacing w:before="40" w:after="40"/>
    </w:pPr>
  </w:style>
  <w:style w:type="paragraph" w:customStyle="1" w:styleId="CellHead">
    <w:name w:val="CellHead"/>
    <w:basedOn w:val="Normal"/>
    <w:pPr>
      <w:keepNext/>
      <w:spacing w:before="40" w:after="120"/>
    </w:pPr>
    <w:rPr>
      <w:b/>
    </w:rPr>
  </w:style>
  <w:style w:type="paragraph" w:customStyle="1" w:styleId="Cell-Headitalic">
    <w:name w:val="Cell-Headitalic"/>
    <w:basedOn w:val="CellHead"/>
    <w:pPr>
      <w:jc w:val="center"/>
    </w:pPr>
    <w:rPr>
      <w:b w:val="0"/>
      <w:i/>
    </w:rPr>
  </w:style>
  <w:style w:type="paragraph" w:customStyle="1" w:styleId="CellNumber">
    <w:name w:val="CellNumber"/>
    <w:basedOn w:val="CellBody"/>
    <w:rsid w:val="00D31D14"/>
    <w:pPr>
      <w:numPr>
        <w:numId w:val="8"/>
      </w:numPr>
    </w:pPr>
  </w:style>
  <w:style w:type="paragraph" w:customStyle="1" w:styleId="CellRowSpacer">
    <w:name w:val="CellRowSpacer"/>
    <w:basedOn w:val="Normal"/>
    <w:rsid w:val="00D31D14"/>
    <w:pPr>
      <w:spacing w:before="40" w:after="40"/>
    </w:pPr>
  </w:style>
  <w:style w:type="paragraph" w:customStyle="1" w:styleId="Parties">
    <w:name w:val="Parties"/>
    <w:basedOn w:val="FPTableLeft"/>
    <w:pPr>
      <w:spacing w:after="140"/>
      <w:jc w:val="center"/>
    </w:pPr>
    <w:rPr>
      <w:sz w:val="17"/>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semiHidden/>
    <w:rPr>
      <w:rFonts w:ascii="Arial" w:hAnsi="Arial"/>
      <w:vertAlign w:val="superscript"/>
    </w:rPr>
  </w:style>
  <w:style w:type="paragraph" w:styleId="EndnoteText">
    <w:name w:val="endnote text"/>
    <w:basedOn w:val="Normal"/>
    <w:semiHidden/>
  </w:style>
  <w:style w:type="character" w:styleId="FollowedHyperlink">
    <w:name w:val="FollowedHyperlink"/>
    <w:rPr>
      <w:color w:val="AF005F"/>
      <w:u w:val="none"/>
    </w:rPr>
  </w:style>
  <w:style w:type="character" w:styleId="FootnoteReference">
    <w:name w:val="footnote reference"/>
    <w:semiHidden/>
    <w:rPr>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sz w:val="16"/>
    </w:rPr>
  </w:style>
  <w:style w:type="paragraph" w:customStyle="1" w:styleId="Head-C">
    <w:name w:val="Head - C"/>
    <w:basedOn w:val="Normal"/>
    <w:next w:val="Body"/>
    <w:rsid w:val="00B825F8"/>
    <w:pPr>
      <w:keepNext/>
      <w:pageBreakBefore/>
      <w:spacing w:before="295" w:after="180"/>
      <w:ind w:left="425"/>
      <w:jc w:val="center"/>
      <w:outlineLvl w:val="0"/>
    </w:pPr>
    <w:rPr>
      <w:b/>
      <w:sz w:val="22"/>
    </w:rPr>
  </w:style>
  <w:style w:type="paragraph" w:customStyle="1" w:styleId="CellBodyIndent1">
    <w:name w:val="CellBody Indent 1"/>
    <w:basedOn w:val="CellBody"/>
    <w:rsid w:val="003C5EDB"/>
    <w:pPr>
      <w:ind w:left="170"/>
    </w:pPr>
  </w:style>
  <w:style w:type="paragraph" w:customStyle="1" w:styleId="CellBodyIndent2">
    <w:name w:val="CellBody Indent 2"/>
    <w:basedOn w:val="CellBody"/>
    <w:rsid w:val="003C5EDB"/>
    <w:pPr>
      <w:ind w:left="340"/>
    </w:pPr>
  </w:style>
  <w:style w:type="paragraph" w:customStyle="1" w:styleId="CellBodyIndent3">
    <w:name w:val="CellBody Indent 3"/>
    <w:basedOn w:val="CellBody"/>
    <w:rsid w:val="003C5EDB"/>
    <w:pPr>
      <w:ind w:left="510"/>
    </w:pPr>
  </w:style>
  <w:style w:type="paragraph" w:customStyle="1" w:styleId="Level1">
    <w:name w:val="Level 1"/>
    <w:basedOn w:val="Normal"/>
    <w:rsid w:val="00145028"/>
    <w:pPr>
      <w:numPr>
        <w:numId w:val="10"/>
      </w:numPr>
      <w:jc w:val="both"/>
      <w:outlineLvl w:val="0"/>
    </w:pPr>
    <w:rPr>
      <w:bCs/>
    </w:rPr>
  </w:style>
  <w:style w:type="paragraph" w:customStyle="1" w:styleId="Level2">
    <w:name w:val="Level 2"/>
    <w:basedOn w:val="Normal"/>
    <w:rsid w:val="00145028"/>
    <w:pPr>
      <w:numPr>
        <w:ilvl w:val="1"/>
        <w:numId w:val="10"/>
      </w:numPr>
      <w:jc w:val="both"/>
    </w:pPr>
    <w:rPr>
      <w:szCs w:val="28"/>
    </w:rPr>
  </w:style>
  <w:style w:type="paragraph" w:customStyle="1" w:styleId="Level3">
    <w:name w:val="Level 3"/>
    <w:basedOn w:val="Normal"/>
    <w:rsid w:val="00145028"/>
    <w:pPr>
      <w:numPr>
        <w:ilvl w:val="2"/>
        <w:numId w:val="10"/>
      </w:numPr>
      <w:jc w:val="both"/>
    </w:pPr>
    <w:rPr>
      <w:szCs w:val="28"/>
    </w:rPr>
  </w:style>
  <w:style w:type="paragraph" w:customStyle="1" w:styleId="Level4">
    <w:name w:val="Level 4"/>
    <w:basedOn w:val="Normal"/>
    <w:rsid w:val="00145028"/>
    <w:pPr>
      <w:numPr>
        <w:ilvl w:val="3"/>
        <w:numId w:val="10"/>
      </w:numPr>
      <w:jc w:val="both"/>
    </w:pPr>
  </w:style>
  <w:style w:type="paragraph" w:customStyle="1" w:styleId="Level5">
    <w:name w:val="Level 5"/>
    <w:basedOn w:val="Normal"/>
    <w:rsid w:val="00145028"/>
    <w:pPr>
      <w:numPr>
        <w:ilvl w:val="4"/>
        <w:numId w:val="10"/>
      </w:numPr>
      <w:jc w:val="both"/>
    </w:pPr>
  </w:style>
  <w:style w:type="paragraph" w:customStyle="1" w:styleId="Level6">
    <w:name w:val="Level 6"/>
    <w:basedOn w:val="Normal"/>
    <w:rsid w:val="00145028"/>
    <w:pPr>
      <w:numPr>
        <w:ilvl w:val="5"/>
        <w:numId w:val="10"/>
      </w:numPr>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eastAsia="Times New Roman" w:hAnsi="Courier New" w:cs="Courier New"/>
      <w:kern w:val="20"/>
      <w:lang w:eastAsia="en-US"/>
    </w:rPr>
  </w:style>
  <w:style w:type="paragraph" w:customStyle="1" w:styleId="Note">
    <w:name w:val="Note"/>
    <w:basedOn w:val="Normal"/>
    <w:rsid w:val="00B17B3B"/>
    <w:pPr>
      <w:numPr>
        <w:numId w:val="1"/>
      </w:numPr>
      <w:spacing w:before="40" w:after="40"/>
      <w:jc w:val="both"/>
    </w:pPr>
    <w:rPr>
      <w:sz w:val="18"/>
    </w:rPr>
  </w:style>
  <w:style w:type="paragraph" w:customStyle="1" w:styleId="NoteBody">
    <w:name w:val="NoteBody"/>
    <w:basedOn w:val="Body"/>
    <w:rsid w:val="00A861DA"/>
    <w:pPr>
      <w:spacing w:before="40" w:after="40"/>
      <w:ind w:left="0"/>
    </w:pPr>
    <w:rPr>
      <w:sz w:val="18"/>
    </w:rPr>
  </w:style>
  <w:style w:type="paragraph" w:customStyle="1" w:styleId="Roman3-I1">
    <w:name w:val="Roman 3-(I)"/>
    <w:basedOn w:val="Normal"/>
    <w:rsid w:val="00C45822"/>
    <w:pPr>
      <w:numPr>
        <w:numId w:val="52"/>
      </w:numPr>
      <w:jc w:val="both"/>
    </w:pPr>
  </w:style>
  <w:style w:type="paragraph" w:customStyle="1" w:styleId="Roman3-I0">
    <w:name w:val="Roman 3-I"/>
    <w:basedOn w:val="Normal"/>
    <w:rsid w:val="006D45D6"/>
    <w:pPr>
      <w:numPr>
        <w:numId w:val="54"/>
      </w:numPr>
      <w:jc w:val="both"/>
    </w:pPr>
  </w:style>
  <w:style w:type="paragraph" w:customStyle="1" w:styleId="Roman2-i">
    <w:name w:val="Roman 2-(i)"/>
    <w:basedOn w:val="Normal"/>
    <w:rsid w:val="002B30EE"/>
    <w:pPr>
      <w:numPr>
        <w:numId w:val="51"/>
      </w:numPr>
      <w:jc w:val="both"/>
    </w:pPr>
  </w:style>
  <w:style w:type="paragraph" w:customStyle="1" w:styleId="Roman2-I1">
    <w:name w:val="Roman 2-(I)"/>
    <w:basedOn w:val="Normal"/>
    <w:rsid w:val="00083549"/>
    <w:pPr>
      <w:numPr>
        <w:numId w:val="3"/>
      </w:numPr>
      <w:jc w:val="both"/>
    </w:pPr>
  </w:style>
  <w:style w:type="paragraph" w:customStyle="1" w:styleId="Roman2-I0">
    <w:name w:val="Roman 2-I"/>
    <w:basedOn w:val="Normal"/>
    <w:rsid w:val="00083549"/>
    <w:pPr>
      <w:numPr>
        <w:numId w:val="4"/>
      </w:numPr>
      <w:jc w:val="both"/>
    </w:pPr>
  </w:style>
  <w:style w:type="paragraph" w:customStyle="1" w:styleId="Roman4-i1">
    <w:name w:val="Roman 4-(i)"/>
    <w:basedOn w:val="Normal"/>
    <w:rsid w:val="006D45D6"/>
    <w:pPr>
      <w:numPr>
        <w:numId w:val="56"/>
      </w:numPr>
      <w:jc w:val="both"/>
    </w:pPr>
  </w:style>
  <w:style w:type="paragraph" w:customStyle="1" w:styleId="Roman4-I0">
    <w:name w:val="Roman 4-(I)"/>
    <w:basedOn w:val="Normal"/>
    <w:rsid w:val="009D3B82"/>
    <w:pPr>
      <w:numPr>
        <w:numId w:val="55"/>
      </w:numPr>
      <w:jc w:val="both"/>
    </w:pPr>
  </w:style>
  <w:style w:type="paragraph" w:customStyle="1" w:styleId="Roman4-I">
    <w:name w:val="Roman 4-I"/>
    <w:basedOn w:val="Normal"/>
    <w:rsid w:val="006D45D6"/>
    <w:pPr>
      <w:numPr>
        <w:numId w:val="57"/>
      </w:numPr>
      <w:jc w:val="both"/>
    </w:pPr>
  </w:style>
  <w:style w:type="paragraph" w:customStyle="1" w:styleId="Roman5-i0">
    <w:name w:val="Roman 5-(i)"/>
    <w:basedOn w:val="Normal"/>
    <w:rsid w:val="006D45D6"/>
    <w:pPr>
      <w:numPr>
        <w:numId w:val="59"/>
      </w:numPr>
      <w:jc w:val="both"/>
    </w:pPr>
  </w:style>
  <w:style w:type="paragraph" w:customStyle="1" w:styleId="Roman5-I">
    <w:name w:val="Roman 5-(I)"/>
    <w:basedOn w:val="Normal"/>
    <w:rsid w:val="009D3B82"/>
    <w:pPr>
      <w:numPr>
        <w:numId w:val="58"/>
      </w:numPr>
      <w:jc w:val="both"/>
    </w:pPr>
  </w:style>
  <w:style w:type="paragraph" w:customStyle="1" w:styleId="Roman5-I1">
    <w:name w:val="Roman 5-I"/>
    <w:basedOn w:val="Normal"/>
    <w:rsid w:val="006D45D6"/>
    <w:pPr>
      <w:numPr>
        <w:numId w:val="60"/>
      </w:numPr>
      <w:jc w:val="both"/>
    </w:pPr>
  </w:style>
  <w:style w:type="paragraph" w:customStyle="1" w:styleId="Roman6-i1">
    <w:name w:val="Roman 6-(i)"/>
    <w:basedOn w:val="Normal"/>
    <w:rsid w:val="006D45D6"/>
    <w:pPr>
      <w:numPr>
        <w:numId w:val="62"/>
      </w:numPr>
      <w:jc w:val="both"/>
    </w:pPr>
  </w:style>
  <w:style w:type="paragraph" w:customStyle="1" w:styleId="Roman6-I">
    <w:name w:val="Roman 6-(I)"/>
    <w:basedOn w:val="Normal"/>
    <w:rsid w:val="009D3B82"/>
    <w:pPr>
      <w:numPr>
        <w:numId w:val="61"/>
      </w:numPr>
      <w:jc w:val="both"/>
    </w:pPr>
  </w:style>
  <w:style w:type="paragraph" w:customStyle="1" w:styleId="Roman6-I0">
    <w:name w:val="Roman 6-I"/>
    <w:basedOn w:val="Normal"/>
    <w:rsid w:val="006D45D6"/>
    <w:pPr>
      <w:numPr>
        <w:numId w:val="63"/>
      </w:numPr>
      <w:jc w:val="both"/>
    </w:pPr>
  </w:style>
  <w:style w:type="paragraph" w:customStyle="1" w:styleId="SmCellBody">
    <w:name w:val="SmCellBody"/>
    <w:basedOn w:val="CellBody"/>
    <w:rsid w:val="00B808AD"/>
    <w:rPr>
      <w:sz w:val="18"/>
    </w:rPr>
  </w:style>
  <w:style w:type="paragraph" w:customStyle="1" w:styleId="SmCellHead">
    <w:name w:val="SmCellHead"/>
    <w:basedOn w:val="CellHead"/>
    <w:rsid w:val="00B808AD"/>
    <w:rPr>
      <w:sz w:val="18"/>
    </w:rPr>
  </w:style>
  <w:style w:type="paragraph" w:customStyle="1" w:styleId="SmCell-Headitalic">
    <w:name w:val="SmCell-Headitalic"/>
    <w:basedOn w:val="CellHead"/>
    <w:rsid w:val="00B808AD"/>
    <w:pPr>
      <w:jc w:val="center"/>
    </w:pPr>
    <w:rPr>
      <w:b w:val="0"/>
      <w:i/>
      <w:sz w:val="18"/>
    </w:rPr>
  </w:style>
  <w:style w:type="paragraph" w:customStyle="1" w:styleId="SmCellNumber">
    <w:name w:val="SmCellNumber"/>
    <w:basedOn w:val="SmCellBody"/>
    <w:rsid w:val="00B808AD"/>
    <w:pPr>
      <w:numPr>
        <w:numId w:val="5"/>
      </w:numPr>
    </w:pPr>
  </w:style>
  <w:style w:type="paragraph" w:customStyle="1" w:styleId="SubHead">
    <w:name w:val="SubHead"/>
    <w:basedOn w:val="Normal"/>
    <w:next w:val="Body"/>
    <w:rsid w:val="00F54FE6"/>
    <w:pPr>
      <w:keepNext/>
      <w:spacing w:before="175" w:after="35"/>
      <w:ind w:left="425"/>
      <w:jc w:val="both"/>
      <w:outlineLvl w:val="1"/>
    </w:pPr>
    <w:rPr>
      <w:b/>
      <w:sz w:val="21"/>
    </w:rPr>
  </w:style>
  <w:style w:type="paragraph" w:customStyle="1" w:styleId="SubHeadItalic">
    <w:name w:val="SubHeadItalic"/>
    <w:basedOn w:val="SubHead"/>
    <w:next w:val="Body"/>
    <w:rsid w:val="00B825F8"/>
    <w:rPr>
      <w:b w:val="0"/>
      <w:i/>
    </w:rPr>
  </w:style>
  <w:style w:type="paragraph" w:customStyle="1" w:styleId="SubHeadItalicBold">
    <w:name w:val="SubHeadItalicBold"/>
    <w:basedOn w:val="SubHead"/>
    <w:next w:val="Body"/>
    <w:rPr>
      <w:i/>
    </w:rPr>
  </w:style>
  <w:style w:type="paragraph" w:customStyle="1" w:styleId="TableAlpha">
    <w:name w:val="Table Alpha"/>
    <w:basedOn w:val="CellBody"/>
    <w:rsid w:val="00BC5227"/>
    <w:pPr>
      <w:numPr>
        <w:numId w:val="25"/>
      </w:numPr>
      <w:jc w:val="both"/>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customStyle="1" w:styleId="TableRoman">
    <w:name w:val="Table Roman"/>
    <w:basedOn w:val="CellBody"/>
    <w:rsid w:val="00D31D14"/>
    <w:pPr>
      <w:numPr>
        <w:numId w:val="9"/>
      </w:numPr>
      <w:tabs>
        <w:tab w:val="left" w:pos="425"/>
      </w:tabs>
      <w:jc w:val="both"/>
    </w:pPr>
  </w:style>
  <w:style w:type="paragraph" w:customStyle="1" w:styleId="FPTableCentre">
    <w:name w:val="FP Table Centre"/>
    <w:basedOn w:val="Normal"/>
    <w:rsid w:val="00D66714"/>
    <w:pPr>
      <w:keepNext/>
      <w:keepLines/>
      <w:spacing w:after="120"/>
      <w:jc w:val="center"/>
      <w:outlineLvl w:val="0"/>
    </w:pPr>
    <w:rPr>
      <w:b/>
    </w:r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semiHidden/>
    <w:pPr>
      <w:spacing w:before="60" w:after="60"/>
      <w:ind w:left="992"/>
    </w:pPr>
  </w:style>
  <w:style w:type="paragraph" w:styleId="TOC3">
    <w:name w:val="toc 3"/>
    <w:basedOn w:val="Normal"/>
    <w:next w:val="Normal"/>
    <w:semiHidden/>
    <w:pPr>
      <w:spacing w:before="60" w:after="60"/>
      <w:ind w:left="1843"/>
    </w:pPr>
  </w:style>
  <w:style w:type="paragraph" w:styleId="TOC4">
    <w:name w:val="toc 4"/>
    <w:basedOn w:val="Normal"/>
    <w:next w:val="Normal"/>
    <w:semiHidden/>
    <w:pPr>
      <w:spacing w:before="40" w:after="40"/>
      <w:ind w:left="2268"/>
    </w:pPr>
    <w:rPr>
      <w:sz w:val="18"/>
    </w:rPr>
  </w:style>
  <w:style w:type="paragraph" w:styleId="TOC5">
    <w:name w:val="toc 5"/>
    <w:basedOn w:val="Normal"/>
    <w:next w:val="Normal"/>
    <w:semiHidden/>
    <w:pPr>
      <w:ind w:left="2693"/>
    </w:pPr>
  </w:style>
  <w:style w:type="paragraph" w:styleId="TOC6">
    <w:name w:val="toc 6"/>
    <w:basedOn w:val="Normal"/>
    <w:next w:val="Normal"/>
    <w:semiHidden/>
    <w:pPr>
      <w:ind w:left="3119"/>
    </w:pPr>
  </w:style>
  <w:style w:type="paragraph" w:styleId="TOC7">
    <w:name w:val="toc 7"/>
    <w:basedOn w:val="Normal"/>
    <w:next w:val="Normal"/>
    <w:semiHidden/>
    <w:pPr>
      <w:ind w:left="1200"/>
    </w:pPr>
    <w:rPr>
      <w:sz w:val="18"/>
    </w:rPr>
  </w:style>
  <w:style w:type="paragraph" w:styleId="TOC8">
    <w:name w:val="toc 8"/>
    <w:basedOn w:val="Normal"/>
    <w:next w:val="Normal"/>
    <w:semiHidden/>
    <w:pPr>
      <w:ind w:left="1400"/>
    </w:pPr>
    <w:rPr>
      <w:sz w:val="18"/>
    </w:rPr>
  </w:style>
  <w:style w:type="paragraph" w:styleId="TOC9">
    <w:name w:val="toc 9"/>
    <w:basedOn w:val="Normal"/>
    <w:next w:val="Normal"/>
    <w:semiHidden/>
    <w:pPr>
      <w:ind w:left="1600"/>
    </w:pPr>
    <w:rPr>
      <w:sz w:val="18"/>
    </w:rPr>
  </w:style>
  <w:style w:type="paragraph" w:customStyle="1" w:styleId="VSmCellBody">
    <w:name w:val="VSmCellBody"/>
    <w:basedOn w:val="CellBody"/>
    <w:rsid w:val="00A52B17"/>
    <w:rPr>
      <w:sz w:val="17"/>
    </w:rPr>
  </w:style>
  <w:style w:type="paragraph" w:customStyle="1" w:styleId="VSmCellHead">
    <w:name w:val="VSmCellHead"/>
    <w:basedOn w:val="CellHead"/>
    <w:rsid w:val="00B808AD"/>
    <w:rPr>
      <w:sz w:val="17"/>
    </w:rPr>
  </w:style>
  <w:style w:type="paragraph" w:customStyle="1" w:styleId="VSmCell-Headitalic">
    <w:name w:val="VSmCell-Headitalic"/>
    <w:basedOn w:val="CellHead"/>
    <w:rsid w:val="006B4FC1"/>
    <w:pPr>
      <w:jc w:val="center"/>
    </w:pPr>
    <w:rPr>
      <w:b w:val="0"/>
      <w:i/>
      <w:sz w:val="17"/>
    </w:rPr>
  </w:style>
  <w:style w:type="paragraph" w:customStyle="1" w:styleId="VSmCellNumber">
    <w:name w:val="VSmCellNumber"/>
    <w:basedOn w:val="Normal"/>
    <w:rsid w:val="00A52B17"/>
    <w:pPr>
      <w:numPr>
        <w:numId w:val="6"/>
      </w:numPr>
      <w:spacing w:before="40" w:after="40"/>
    </w:pPr>
    <w:rPr>
      <w:sz w:val="17"/>
    </w:rPr>
  </w:style>
  <w:style w:type="paragraph" w:customStyle="1" w:styleId="Alpha3-a">
    <w:name w:val="Alpha 3-(a)"/>
    <w:basedOn w:val="Body"/>
    <w:rsid w:val="001F78DD"/>
    <w:pPr>
      <w:numPr>
        <w:numId w:val="31"/>
      </w:numPr>
    </w:pPr>
  </w:style>
  <w:style w:type="paragraph" w:customStyle="1" w:styleId="Alpha3-Aitalic">
    <w:name w:val="Alpha 3-(A) italic"/>
    <w:basedOn w:val="Normal"/>
    <w:rsid w:val="001F78DD"/>
    <w:pPr>
      <w:numPr>
        <w:numId w:val="45"/>
      </w:numPr>
      <w:jc w:val="both"/>
    </w:pPr>
    <w:rPr>
      <w:i/>
    </w:rPr>
  </w:style>
  <w:style w:type="paragraph" w:customStyle="1" w:styleId="Alpha4-Aitalic">
    <w:name w:val="Alpha 4-(A) italic"/>
    <w:basedOn w:val="Normal"/>
    <w:rsid w:val="001F78DD"/>
    <w:pPr>
      <w:numPr>
        <w:numId w:val="46"/>
      </w:numPr>
      <w:jc w:val="both"/>
    </w:pPr>
    <w:rPr>
      <w:i/>
    </w:rPr>
  </w:style>
  <w:style w:type="paragraph" w:customStyle="1" w:styleId="Alpha5-Aitalic">
    <w:name w:val="Alpha 5-(A) italic"/>
    <w:basedOn w:val="Normal"/>
    <w:rsid w:val="00380F94"/>
    <w:pPr>
      <w:numPr>
        <w:numId w:val="48"/>
      </w:numPr>
      <w:jc w:val="both"/>
    </w:pPr>
    <w:rPr>
      <w:i/>
    </w:rPr>
  </w:style>
  <w:style w:type="paragraph" w:styleId="Title">
    <w:name w:val="Title"/>
    <w:basedOn w:val="Normal"/>
    <w:qFormat/>
    <w:rsid w:val="00B17B3B"/>
    <w:pPr>
      <w:spacing w:before="240" w:after="60"/>
      <w:jc w:val="center"/>
      <w:outlineLvl w:val="0"/>
    </w:pPr>
    <w:rPr>
      <w:b/>
      <w:bCs/>
      <w:kern w:val="28"/>
      <w:sz w:val="25"/>
      <w:szCs w:val="32"/>
    </w:rPr>
  </w:style>
  <w:style w:type="table" w:styleId="TableGrid">
    <w:name w:val="Table Grid"/>
    <w:basedOn w:val="TableNormal"/>
    <w:rsid w:val="00CE1A85"/>
    <w:pPr>
      <w:spacing w:after="140" w:line="29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evel-Iblock">
    <w:name w:val="3Level-(I)block"/>
    <w:basedOn w:val="Normal"/>
    <w:rsid w:val="00A53740"/>
    <w:pPr>
      <w:numPr>
        <w:ilvl w:val="2"/>
        <w:numId w:val="49"/>
      </w:numPr>
    </w:pPr>
  </w:style>
  <w:style w:type="paragraph" w:customStyle="1" w:styleId="TableBullet">
    <w:name w:val="Table Bullet"/>
    <w:basedOn w:val="CellBody"/>
    <w:rsid w:val="008D2B8E"/>
    <w:pPr>
      <w:numPr>
        <w:numId w:val="50"/>
      </w:num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4663"/>
    <w:pPr>
      <w:spacing w:after="140" w:line="290" w:lineRule="auto"/>
    </w:pPr>
    <w:rPr>
      <w:rFonts w:eastAsia="Times New Roman"/>
      <w:kern w:val="20"/>
      <w:lang w:eastAsia="en-US"/>
    </w:rPr>
  </w:style>
  <w:style w:type="paragraph" w:styleId="Heading1">
    <w:name w:val="heading 1"/>
    <w:basedOn w:val="Normal"/>
    <w:next w:val="Normal"/>
    <w:qFormat/>
    <w:pPr>
      <w:numPr>
        <w:numId w:val="2"/>
      </w:numPr>
      <w:spacing w:line="240" w:lineRule="auto"/>
      <w:outlineLvl w:val="0"/>
    </w:pPr>
  </w:style>
  <w:style w:type="paragraph" w:styleId="Heading2">
    <w:name w:val="heading 2"/>
    <w:basedOn w:val="Normal"/>
    <w:next w:val="Normal"/>
    <w:qFormat/>
    <w:pPr>
      <w:numPr>
        <w:ilvl w:val="1"/>
        <w:numId w:val="2"/>
      </w:numPr>
      <w:spacing w:line="240" w:lineRule="auto"/>
      <w:outlineLvl w:val="1"/>
    </w:pPr>
  </w:style>
  <w:style w:type="paragraph" w:styleId="Heading3">
    <w:name w:val="heading 3"/>
    <w:basedOn w:val="Normal"/>
    <w:next w:val="Normal"/>
    <w:qFormat/>
    <w:pPr>
      <w:numPr>
        <w:ilvl w:val="2"/>
        <w:numId w:val="2"/>
      </w:numPr>
      <w:spacing w:line="240" w:lineRule="auto"/>
      <w:outlineLvl w:val="2"/>
    </w:pPr>
  </w:style>
  <w:style w:type="paragraph" w:styleId="Heading4">
    <w:name w:val="heading 4"/>
    <w:basedOn w:val="Normal"/>
    <w:next w:val="Normal"/>
    <w:qFormat/>
    <w:pPr>
      <w:numPr>
        <w:ilvl w:val="3"/>
        <w:numId w:val="2"/>
      </w:numPr>
      <w:spacing w:line="240" w:lineRule="auto"/>
      <w:outlineLvl w:val="3"/>
    </w:pPr>
  </w:style>
  <w:style w:type="paragraph" w:styleId="Heading5">
    <w:name w:val="heading 5"/>
    <w:basedOn w:val="Normal"/>
    <w:next w:val="Normal"/>
    <w:qFormat/>
    <w:pPr>
      <w:numPr>
        <w:ilvl w:val="4"/>
        <w:numId w:val="2"/>
      </w:numPr>
      <w:spacing w:line="240" w:lineRule="auto"/>
      <w:outlineLvl w:val="4"/>
    </w:pPr>
  </w:style>
  <w:style w:type="paragraph" w:styleId="Heading6">
    <w:name w:val="heading 6"/>
    <w:basedOn w:val="Normal"/>
    <w:next w:val="Normal"/>
    <w:qFormat/>
    <w:pPr>
      <w:numPr>
        <w:ilvl w:val="5"/>
        <w:numId w:val="2"/>
      </w:numPr>
      <w:spacing w:line="240" w:lineRule="auto"/>
      <w:outlineLvl w:val="5"/>
    </w:pPr>
  </w:style>
  <w:style w:type="paragraph" w:styleId="Heading7">
    <w:name w:val="heading 7"/>
    <w:basedOn w:val="Normal"/>
    <w:next w:val="Normal"/>
    <w:qFormat/>
    <w:pPr>
      <w:numPr>
        <w:ilvl w:val="6"/>
        <w:numId w:val="2"/>
      </w:numPr>
      <w:spacing w:line="240" w:lineRule="auto"/>
      <w:outlineLvl w:val="6"/>
    </w:pPr>
  </w:style>
  <w:style w:type="paragraph" w:styleId="Heading8">
    <w:name w:val="heading 8"/>
    <w:basedOn w:val="Normal"/>
    <w:next w:val="Normal"/>
    <w:qFormat/>
    <w:pPr>
      <w:numPr>
        <w:ilvl w:val="7"/>
        <w:numId w:val="2"/>
      </w:numPr>
      <w:spacing w:line="240" w:lineRule="auto"/>
      <w:outlineLvl w:val="7"/>
    </w:pPr>
  </w:style>
  <w:style w:type="paragraph" w:styleId="Heading9">
    <w:name w:val="heading 9"/>
    <w:basedOn w:val="Normal"/>
    <w:next w:val="Normal"/>
    <w:qFormat/>
    <w:pPr>
      <w:numPr>
        <w:ilvl w:val="8"/>
        <w:numId w:val="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ind w:left="425"/>
      <w:jc w:val="both"/>
    </w:pPr>
  </w:style>
  <w:style w:type="paragraph" w:styleId="Footer">
    <w:name w:val="footer"/>
    <w:basedOn w:val="Normal"/>
    <w:pPr>
      <w:tabs>
        <w:tab w:val="center" w:pos="4536"/>
        <w:tab w:val="right" w:pos="9072"/>
      </w:tabs>
      <w:spacing w:after="0" w:line="240" w:lineRule="auto"/>
    </w:pPr>
    <w:rPr>
      <w:sz w:val="17"/>
    </w:rPr>
  </w:style>
  <w:style w:type="paragraph" w:customStyle="1" w:styleId="Head">
    <w:name w:val="Head"/>
    <w:basedOn w:val="Normal"/>
    <w:next w:val="Body"/>
    <w:rsid w:val="00B825F8"/>
    <w:pPr>
      <w:keepNext/>
      <w:spacing w:before="295" w:after="175"/>
      <w:ind w:left="425"/>
      <w:jc w:val="both"/>
      <w:outlineLvl w:val="0"/>
    </w:pPr>
    <w:rPr>
      <w:b/>
      <w:sz w:val="22"/>
    </w:rPr>
  </w:style>
  <w:style w:type="paragraph" w:styleId="Header">
    <w:name w:val="header"/>
    <w:basedOn w:val="Normal"/>
    <w:pPr>
      <w:tabs>
        <w:tab w:val="center" w:pos="4536"/>
        <w:tab w:val="right" w:pos="9072"/>
      </w:tabs>
      <w:spacing w:line="240" w:lineRule="auto"/>
    </w:pPr>
    <w:rPr>
      <w:sz w:val="19"/>
    </w:rPr>
  </w:style>
  <w:style w:type="character" w:styleId="PageNumber">
    <w:name w:val="page number"/>
    <w:basedOn w:val="DefaultParagraphFont"/>
  </w:style>
  <w:style w:type="paragraph" w:styleId="TOC1">
    <w:name w:val="toc 1"/>
    <w:basedOn w:val="Normal"/>
    <w:next w:val="Normal"/>
    <w:semiHidden/>
    <w:pPr>
      <w:spacing w:before="140"/>
      <w:ind w:left="850" w:hanging="425"/>
    </w:pPr>
  </w:style>
  <w:style w:type="paragraph" w:customStyle="1" w:styleId="Title22">
    <w:name w:val="Title22"/>
    <w:basedOn w:val="Normal"/>
    <w:rsid w:val="00570005"/>
    <w:pPr>
      <w:keepNext/>
      <w:keepLines/>
      <w:spacing w:after="120"/>
      <w:jc w:val="center"/>
      <w:outlineLvl w:val="0"/>
    </w:pPr>
    <w:rPr>
      <w:b/>
      <w:sz w:val="44"/>
    </w:rPr>
  </w:style>
  <w:style w:type="paragraph" w:customStyle="1" w:styleId="Roman3-i">
    <w:name w:val="Roman 3-(i)"/>
    <w:basedOn w:val="Normal"/>
    <w:rsid w:val="006D45D6"/>
    <w:pPr>
      <w:numPr>
        <w:numId w:val="53"/>
      </w:numPr>
      <w:jc w:val="both"/>
    </w:pPr>
  </w:style>
  <w:style w:type="paragraph" w:customStyle="1" w:styleId="Title18">
    <w:name w:val="Title18"/>
    <w:basedOn w:val="Normal"/>
    <w:rsid w:val="00570005"/>
    <w:pPr>
      <w:keepNext/>
      <w:keepLines/>
      <w:spacing w:after="0"/>
      <w:jc w:val="center"/>
      <w:outlineLvl w:val="0"/>
    </w:pPr>
    <w:rPr>
      <w:b/>
      <w:sz w:val="36"/>
    </w:rPr>
  </w:style>
  <w:style w:type="paragraph" w:customStyle="1" w:styleId="Titleitalic">
    <w:name w:val="Title italic"/>
    <w:basedOn w:val="Normal"/>
    <w:rsid w:val="00570005"/>
    <w:pPr>
      <w:keepNext/>
      <w:keepLines/>
      <w:spacing w:after="240"/>
      <w:jc w:val="center"/>
      <w:outlineLvl w:val="0"/>
    </w:pPr>
    <w:rPr>
      <w:i/>
    </w:rPr>
  </w:style>
  <w:style w:type="paragraph" w:customStyle="1" w:styleId="Title16">
    <w:name w:val="Title16"/>
    <w:basedOn w:val="Normal"/>
    <w:rsid w:val="00570005"/>
    <w:pPr>
      <w:keepNext/>
      <w:keepLines/>
      <w:spacing w:after="120"/>
      <w:jc w:val="center"/>
      <w:outlineLvl w:val="0"/>
    </w:pPr>
    <w:rPr>
      <w:b/>
      <w:sz w:val="32"/>
    </w:rPr>
  </w:style>
  <w:style w:type="paragraph" w:customStyle="1" w:styleId="FPTableLeft">
    <w:name w:val="FP Table Left"/>
    <w:basedOn w:val="Normal"/>
    <w:rsid w:val="00D66714"/>
    <w:pPr>
      <w:keepNext/>
      <w:keepLines/>
      <w:spacing w:after="120"/>
      <w:outlineLvl w:val="0"/>
    </w:pPr>
    <w:rPr>
      <w:b/>
    </w:rPr>
  </w:style>
  <w:style w:type="paragraph" w:customStyle="1" w:styleId="FPTableRight">
    <w:name w:val="FP Table Right"/>
    <w:basedOn w:val="Normal"/>
    <w:rsid w:val="00D66714"/>
    <w:pPr>
      <w:keepNext/>
      <w:keepLines/>
      <w:spacing w:after="120"/>
      <w:jc w:val="right"/>
      <w:outlineLvl w:val="0"/>
    </w:pPr>
    <w:rPr>
      <w:b/>
    </w:rPr>
  </w:style>
  <w:style w:type="paragraph" w:customStyle="1" w:styleId="Covertext">
    <w:name w:val="Covertext"/>
    <w:basedOn w:val="Body"/>
    <w:pPr>
      <w:ind w:left="0"/>
    </w:pPr>
    <w:rPr>
      <w:sz w:val="18"/>
    </w:rPr>
  </w:style>
  <w:style w:type="character" w:styleId="Hyperlink">
    <w:name w:val="Hyperlink"/>
    <w:rPr>
      <w:color w:val="AF005F"/>
      <w:u w:val="none"/>
    </w:rPr>
  </w:style>
  <w:style w:type="paragraph" w:customStyle="1" w:styleId="TOCHead">
    <w:name w:val="TOCHead"/>
    <w:basedOn w:val="Head"/>
    <w:next w:val="Body"/>
    <w:rsid w:val="00EA63EA"/>
    <w:pPr>
      <w:jc w:val="center"/>
    </w:pPr>
  </w:style>
  <w:style w:type="paragraph" w:customStyle="1" w:styleId="Alpha1-Aitalic">
    <w:name w:val="Alpha 1-(A) italic"/>
    <w:basedOn w:val="Normal"/>
    <w:rsid w:val="00354F50"/>
    <w:pPr>
      <w:keepNext/>
      <w:numPr>
        <w:numId w:val="38"/>
      </w:numPr>
      <w:jc w:val="both"/>
    </w:pPr>
    <w:rPr>
      <w:i/>
      <w:sz w:val="22"/>
    </w:rPr>
  </w:style>
  <w:style w:type="paragraph" w:customStyle="1" w:styleId="Alpha1G-Aitalic">
    <w:name w:val="Alpha 1G-(A) italic"/>
    <w:basedOn w:val="Normal"/>
    <w:rsid w:val="00487AB4"/>
    <w:pPr>
      <w:numPr>
        <w:numId w:val="39"/>
      </w:numPr>
      <w:tabs>
        <w:tab w:val="clear" w:pos="425"/>
        <w:tab w:val="num" w:pos="360"/>
      </w:tabs>
      <w:ind w:left="0" w:firstLine="0"/>
      <w:jc w:val="both"/>
    </w:pPr>
    <w:rPr>
      <w:i/>
      <w:lang w:val="de-DE"/>
    </w:rPr>
  </w:style>
  <w:style w:type="paragraph" w:customStyle="1" w:styleId="Alpha2-a0">
    <w:name w:val="Alpha 2-(a)"/>
    <w:basedOn w:val="Normal"/>
    <w:rsid w:val="0053328E"/>
    <w:pPr>
      <w:numPr>
        <w:numId w:val="40"/>
      </w:numPr>
      <w:jc w:val="both"/>
    </w:pPr>
  </w:style>
  <w:style w:type="paragraph" w:customStyle="1" w:styleId="Alpha2-A">
    <w:name w:val="Alpha 2-(A)"/>
    <w:basedOn w:val="Normal"/>
    <w:rsid w:val="005812CC"/>
    <w:pPr>
      <w:numPr>
        <w:numId w:val="41"/>
      </w:numPr>
      <w:jc w:val="both"/>
    </w:pPr>
  </w:style>
  <w:style w:type="paragraph" w:customStyle="1" w:styleId="Alpha2aitalicnum">
    <w:name w:val="Alpha 2(a) italicnum"/>
    <w:basedOn w:val="Alpha2-a0"/>
    <w:rsid w:val="00997776"/>
    <w:pPr>
      <w:numPr>
        <w:numId w:val="29"/>
      </w:numPr>
    </w:pPr>
  </w:style>
  <w:style w:type="paragraph" w:customStyle="1" w:styleId="Alpha2-Abold0">
    <w:name w:val="Alpha 2-(A) bold"/>
    <w:basedOn w:val="Normal"/>
    <w:next w:val="Body2"/>
    <w:rsid w:val="0053328E"/>
    <w:pPr>
      <w:keepNext/>
      <w:numPr>
        <w:numId w:val="26"/>
      </w:numPr>
      <w:spacing w:before="120"/>
    </w:pPr>
    <w:rPr>
      <w:b/>
      <w:sz w:val="21"/>
    </w:rPr>
  </w:style>
  <w:style w:type="paragraph" w:customStyle="1" w:styleId="Body2">
    <w:name w:val="Body 2"/>
    <w:basedOn w:val="Body"/>
    <w:rsid w:val="00396B61"/>
    <w:pPr>
      <w:ind w:left="992"/>
    </w:pPr>
  </w:style>
  <w:style w:type="paragraph" w:customStyle="1" w:styleId="Alpha2-abold">
    <w:name w:val="Alpha 2-(a) bold"/>
    <w:basedOn w:val="Normal"/>
    <w:next w:val="Body2"/>
    <w:rsid w:val="0053328E"/>
    <w:pPr>
      <w:keepNext/>
      <w:numPr>
        <w:numId w:val="27"/>
      </w:numPr>
      <w:spacing w:before="120"/>
    </w:pPr>
    <w:rPr>
      <w:b/>
      <w:sz w:val="21"/>
    </w:rPr>
  </w:style>
  <w:style w:type="paragraph" w:customStyle="1" w:styleId="Alpha2-Abolditalic0">
    <w:name w:val="Alpha 2-(A) bolditalic"/>
    <w:basedOn w:val="Normal"/>
    <w:next w:val="Body2"/>
    <w:rsid w:val="0039099F"/>
    <w:pPr>
      <w:keepNext/>
      <w:numPr>
        <w:numId w:val="42"/>
      </w:numPr>
    </w:pPr>
    <w:rPr>
      <w:b/>
      <w:i/>
      <w:sz w:val="21"/>
    </w:rPr>
  </w:style>
  <w:style w:type="paragraph" w:customStyle="1" w:styleId="Alpha2-abolditalic">
    <w:name w:val="Alpha 2-(a) bolditalic"/>
    <w:basedOn w:val="Normal"/>
    <w:next w:val="Body2"/>
    <w:rsid w:val="0053328E"/>
    <w:pPr>
      <w:keepNext/>
      <w:numPr>
        <w:numId w:val="28"/>
      </w:numPr>
    </w:pPr>
    <w:rPr>
      <w:b/>
      <w:i/>
      <w:sz w:val="21"/>
    </w:rPr>
  </w:style>
  <w:style w:type="paragraph" w:customStyle="1" w:styleId="Alpha2-aitalic">
    <w:name w:val="Alpha 2-(a) italic"/>
    <w:basedOn w:val="Normal"/>
    <w:next w:val="Body2"/>
    <w:rsid w:val="00DC52B1"/>
    <w:pPr>
      <w:keepNext/>
      <w:numPr>
        <w:numId w:val="44"/>
      </w:numPr>
      <w:jc w:val="both"/>
    </w:pPr>
    <w:rPr>
      <w:i/>
      <w:sz w:val="21"/>
    </w:rPr>
  </w:style>
  <w:style w:type="paragraph" w:customStyle="1" w:styleId="Alpha2-Aitalic0">
    <w:name w:val="Alpha 2-(A) italic"/>
    <w:basedOn w:val="Normal"/>
    <w:next w:val="Body2"/>
    <w:rsid w:val="00354F50"/>
    <w:pPr>
      <w:numPr>
        <w:numId w:val="43"/>
      </w:numPr>
      <w:jc w:val="both"/>
    </w:pPr>
    <w:rPr>
      <w:i/>
      <w:sz w:val="21"/>
    </w:rPr>
  </w:style>
  <w:style w:type="paragraph" w:customStyle="1" w:styleId="Alpha3-A0">
    <w:name w:val="Alpha 3-(A)"/>
    <w:basedOn w:val="Normal"/>
    <w:rsid w:val="00487AB4"/>
    <w:pPr>
      <w:numPr>
        <w:numId w:val="30"/>
      </w:numPr>
      <w:jc w:val="both"/>
    </w:pPr>
  </w:style>
  <w:style w:type="paragraph" w:customStyle="1" w:styleId="Alpha3-Abold">
    <w:name w:val="Alpha 3-(A) bold"/>
    <w:basedOn w:val="Alpha3-A0"/>
    <w:next w:val="Body3"/>
    <w:rsid w:val="00264F78"/>
    <w:pPr>
      <w:keepNext/>
      <w:numPr>
        <w:numId w:val="32"/>
      </w:numPr>
    </w:pPr>
    <w:rPr>
      <w:b/>
    </w:rPr>
  </w:style>
  <w:style w:type="paragraph" w:customStyle="1" w:styleId="Body3">
    <w:name w:val="Body 3"/>
    <w:basedOn w:val="Body"/>
    <w:pPr>
      <w:ind w:left="1559"/>
    </w:pPr>
  </w:style>
  <w:style w:type="paragraph" w:customStyle="1" w:styleId="Alpha4-a0">
    <w:name w:val="Alpha 4-(a)"/>
    <w:basedOn w:val="Normal"/>
    <w:rsid w:val="001F78DD"/>
    <w:pPr>
      <w:numPr>
        <w:numId w:val="33"/>
      </w:numPr>
      <w:jc w:val="both"/>
    </w:pPr>
  </w:style>
  <w:style w:type="paragraph" w:customStyle="1" w:styleId="Alpha4-A">
    <w:name w:val="Alpha 4-(A)"/>
    <w:basedOn w:val="Normal"/>
    <w:rsid w:val="001F78DD"/>
    <w:pPr>
      <w:numPr>
        <w:numId w:val="34"/>
      </w:numPr>
      <w:jc w:val="both"/>
    </w:pPr>
  </w:style>
  <w:style w:type="paragraph" w:customStyle="1" w:styleId="Alpha4-Abold">
    <w:name w:val="Alpha 4-(A) bold"/>
    <w:basedOn w:val="Alpha4-A"/>
    <w:next w:val="Body4"/>
    <w:rsid w:val="001F78DD"/>
    <w:pPr>
      <w:keepNext/>
      <w:numPr>
        <w:numId w:val="35"/>
      </w:numPr>
    </w:pPr>
    <w:rPr>
      <w:b/>
    </w:rPr>
  </w:style>
  <w:style w:type="paragraph" w:customStyle="1" w:styleId="Body4">
    <w:name w:val="Body 4"/>
    <w:basedOn w:val="Body"/>
    <w:pPr>
      <w:ind w:left="2126"/>
    </w:pPr>
  </w:style>
  <w:style w:type="paragraph" w:customStyle="1" w:styleId="Alpha5-a0">
    <w:name w:val="Alpha 5-(a)"/>
    <w:basedOn w:val="Normal"/>
    <w:rsid w:val="00380F94"/>
    <w:pPr>
      <w:numPr>
        <w:numId w:val="37"/>
      </w:numPr>
      <w:jc w:val="both"/>
    </w:pPr>
  </w:style>
  <w:style w:type="paragraph" w:customStyle="1" w:styleId="Alpha5-A">
    <w:name w:val="Alpha 5-(A)"/>
    <w:basedOn w:val="Normal"/>
    <w:rsid w:val="00380F94"/>
    <w:pPr>
      <w:numPr>
        <w:numId w:val="36"/>
      </w:numPr>
      <w:jc w:val="both"/>
    </w:pPr>
  </w:style>
  <w:style w:type="paragraph" w:customStyle="1" w:styleId="Alpha5-Abold">
    <w:name w:val="Alpha 5-(A) bold"/>
    <w:basedOn w:val="Alpha5-A"/>
    <w:next w:val="Body5"/>
    <w:rsid w:val="00380F94"/>
    <w:pPr>
      <w:keepNext/>
      <w:numPr>
        <w:numId w:val="47"/>
      </w:numPr>
    </w:pPr>
    <w:rPr>
      <w:b/>
    </w:rPr>
  </w:style>
  <w:style w:type="paragraph" w:customStyle="1" w:styleId="Body5">
    <w:name w:val="Body 5"/>
    <w:basedOn w:val="Body"/>
    <w:pPr>
      <w:ind w:left="2693"/>
    </w:pPr>
  </w:style>
  <w:style w:type="paragraph" w:customStyle="1" w:styleId="Arabic2-10">
    <w:name w:val="Arabic 2-(1)"/>
    <w:basedOn w:val="Normal"/>
    <w:rsid w:val="009060C0"/>
    <w:pPr>
      <w:numPr>
        <w:numId w:val="11"/>
      </w:numPr>
      <w:jc w:val="both"/>
    </w:pPr>
  </w:style>
  <w:style w:type="paragraph" w:customStyle="1" w:styleId="Arabic2-1">
    <w:name w:val="Arabic 2-1."/>
    <w:basedOn w:val="Normal"/>
    <w:rsid w:val="009060C0"/>
    <w:pPr>
      <w:numPr>
        <w:numId w:val="12"/>
      </w:numPr>
      <w:jc w:val="both"/>
    </w:pPr>
  </w:style>
  <w:style w:type="paragraph" w:customStyle="1" w:styleId="Arabic3-1">
    <w:name w:val="Arabic 3-(1)"/>
    <w:basedOn w:val="Normal"/>
    <w:rsid w:val="00D31D14"/>
    <w:pPr>
      <w:numPr>
        <w:numId w:val="7"/>
      </w:numPr>
      <w:jc w:val="both"/>
    </w:pPr>
  </w:style>
  <w:style w:type="paragraph" w:customStyle="1" w:styleId="Arabic3-10">
    <w:name w:val="Arabic 3-1."/>
    <w:basedOn w:val="Normal"/>
    <w:rsid w:val="009060C0"/>
    <w:pPr>
      <w:numPr>
        <w:numId w:val="13"/>
      </w:numPr>
      <w:jc w:val="both"/>
    </w:pPr>
  </w:style>
  <w:style w:type="paragraph" w:customStyle="1" w:styleId="Arabic4-10">
    <w:name w:val="Arabic 4-(1)"/>
    <w:basedOn w:val="Normal"/>
    <w:rsid w:val="009060C0"/>
    <w:pPr>
      <w:numPr>
        <w:numId w:val="14"/>
      </w:numPr>
      <w:jc w:val="both"/>
    </w:pPr>
  </w:style>
  <w:style w:type="paragraph" w:customStyle="1" w:styleId="Arabic4-1">
    <w:name w:val="Arabic 4-1."/>
    <w:basedOn w:val="Normal"/>
    <w:rsid w:val="009060C0"/>
    <w:pPr>
      <w:numPr>
        <w:numId w:val="15"/>
      </w:numPr>
      <w:jc w:val="both"/>
    </w:pPr>
  </w:style>
  <w:style w:type="paragraph" w:customStyle="1" w:styleId="Arabic5-10">
    <w:name w:val="Arabic 5-(1)"/>
    <w:basedOn w:val="Normal"/>
    <w:rsid w:val="009060C0"/>
    <w:pPr>
      <w:numPr>
        <w:numId w:val="16"/>
      </w:numPr>
      <w:jc w:val="both"/>
    </w:pPr>
  </w:style>
  <w:style w:type="paragraph" w:customStyle="1" w:styleId="Arabic5-1">
    <w:name w:val="Arabic 5-1."/>
    <w:basedOn w:val="Normal"/>
    <w:rsid w:val="009060C0"/>
    <w:pPr>
      <w:numPr>
        <w:numId w:val="17"/>
      </w:numPr>
      <w:jc w:val="both"/>
    </w:pPr>
  </w:style>
  <w:style w:type="paragraph" w:customStyle="1" w:styleId="Arabic6-10">
    <w:name w:val="Arabic 6-(1)"/>
    <w:basedOn w:val="Normal"/>
    <w:rsid w:val="009060C0"/>
    <w:pPr>
      <w:numPr>
        <w:numId w:val="18"/>
      </w:numPr>
      <w:jc w:val="both"/>
    </w:pPr>
  </w:style>
  <w:style w:type="paragraph" w:customStyle="1" w:styleId="Arabic6-1">
    <w:name w:val="Arabic 6-1."/>
    <w:basedOn w:val="Normal"/>
    <w:rsid w:val="009060C0"/>
    <w:pPr>
      <w:numPr>
        <w:numId w:val="19"/>
      </w:numPr>
      <w:jc w:val="both"/>
    </w:pPr>
  </w:style>
  <w:style w:type="paragraph" w:customStyle="1" w:styleId="Body1">
    <w:name w:val="Body 1"/>
    <w:basedOn w:val="Body"/>
    <w:rsid w:val="00396B61"/>
  </w:style>
  <w:style w:type="paragraph" w:customStyle="1" w:styleId="Body6">
    <w:name w:val="Body 6"/>
    <w:basedOn w:val="Body"/>
    <w:pPr>
      <w:ind w:left="3260"/>
    </w:pPr>
  </w:style>
  <w:style w:type="paragraph" w:customStyle="1" w:styleId="Body-G">
    <w:name w:val="Body-G"/>
    <w:basedOn w:val="Normal"/>
    <w:pPr>
      <w:tabs>
        <w:tab w:val="left" w:pos="851"/>
      </w:tabs>
      <w:spacing w:after="120"/>
      <w:ind w:firstLine="425"/>
      <w:jc w:val="both"/>
    </w:pPr>
    <w:rPr>
      <w:lang w:val="de-DE"/>
    </w:rPr>
  </w:style>
  <w:style w:type="paragraph" w:customStyle="1" w:styleId="BodyIndent">
    <w:name w:val="Body Indent"/>
    <w:basedOn w:val="Body-G"/>
    <w:pPr>
      <w:ind w:left="425" w:firstLine="567"/>
    </w:pPr>
    <w:rPr>
      <w:lang w:val="en-GB"/>
    </w:rPr>
  </w:style>
  <w:style w:type="paragraph" w:customStyle="1" w:styleId="bullet2">
    <w:name w:val="bullet 2"/>
    <w:basedOn w:val="Normal"/>
    <w:rsid w:val="001C090D"/>
    <w:pPr>
      <w:numPr>
        <w:numId w:val="20"/>
      </w:numPr>
      <w:jc w:val="both"/>
    </w:pPr>
  </w:style>
  <w:style w:type="paragraph" w:customStyle="1" w:styleId="bullet3">
    <w:name w:val="bullet 3"/>
    <w:basedOn w:val="Normal"/>
    <w:rsid w:val="001C090D"/>
    <w:pPr>
      <w:numPr>
        <w:numId w:val="21"/>
      </w:numPr>
      <w:jc w:val="both"/>
    </w:pPr>
  </w:style>
  <w:style w:type="paragraph" w:customStyle="1" w:styleId="bullet4">
    <w:name w:val="bullet 4"/>
    <w:basedOn w:val="Normal"/>
    <w:rsid w:val="001C090D"/>
    <w:pPr>
      <w:numPr>
        <w:numId w:val="22"/>
      </w:numPr>
      <w:jc w:val="both"/>
    </w:pPr>
  </w:style>
  <w:style w:type="paragraph" w:customStyle="1" w:styleId="bullet5">
    <w:name w:val="bullet 5"/>
    <w:basedOn w:val="Normal"/>
    <w:rsid w:val="001C090D"/>
    <w:pPr>
      <w:numPr>
        <w:numId w:val="23"/>
      </w:numPr>
      <w:jc w:val="both"/>
    </w:pPr>
  </w:style>
  <w:style w:type="paragraph" w:customStyle="1" w:styleId="bullet6">
    <w:name w:val="bullet 6"/>
    <w:basedOn w:val="Normal"/>
    <w:rsid w:val="001C090D"/>
    <w:pPr>
      <w:numPr>
        <w:numId w:val="24"/>
      </w:numPr>
      <w:jc w:val="both"/>
    </w:pPr>
  </w:style>
  <w:style w:type="paragraph" w:customStyle="1" w:styleId="CellBody">
    <w:name w:val="CellBody"/>
    <w:basedOn w:val="Normal"/>
    <w:pPr>
      <w:spacing w:before="40" w:after="40"/>
    </w:pPr>
  </w:style>
  <w:style w:type="paragraph" w:customStyle="1" w:styleId="CellHead">
    <w:name w:val="CellHead"/>
    <w:basedOn w:val="Normal"/>
    <w:pPr>
      <w:keepNext/>
      <w:spacing w:before="40" w:after="120"/>
    </w:pPr>
    <w:rPr>
      <w:b/>
    </w:rPr>
  </w:style>
  <w:style w:type="paragraph" w:customStyle="1" w:styleId="Cell-Headitalic">
    <w:name w:val="Cell-Headitalic"/>
    <w:basedOn w:val="CellHead"/>
    <w:pPr>
      <w:jc w:val="center"/>
    </w:pPr>
    <w:rPr>
      <w:b w:val="0"/>
      <w:i/>
    </w:rPr>
  </w:style>
  <w:style w:type="paragraph" w:customStyle="1" w:styleId="CellNumber">
    <w:name w:val="CellNumber"/>
    <w:basedOn w:val="CellBody"/>
    <w:rsid w:val="00D31D14"/>
    <w:pPr>
      <w:numPr>
        <w:numId w:val="8"/>
      </w:numPr>
    </w:pPr>
  </w:style>
  <w:style w:type="paragraph" w:customStyle="1" w:styleId="CellRowSpacer">
    <w:name w:val="CellRowSpacer"/>
    <w:basedOn w:val="Normal"/>
    <w:rsid w:val="00D31D14"/>
    <w:pPr>
      <w:spacing w:before="40" w:after="40"/>
    </w:pPr>
  </w:style>
  <w:style w:type="paragraph" w:customStyle="1" w:styleId="Parties">
    <w:name w:val="Parties"/>
    <w:basedOn w:val="FPTableLeft"/>
    <w:pPr>
      <w:spacing w:after="140"/>
      <w:jc w:val="center"/>
    </w:pPr>
    <w:rPr>
      <w:sz w:val="17"/>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semiHidden/>
    <w:rPr>
      <w:rFonts w:ascii="Arial" w:hAnsi="Arial"/>
      <w:vertAlign w:val="superscript"/>
    </w:rPr>
  </w:style>
  <w:style w:type="paragraph" w:styleId="EndnoteText">
    <w:name w:val="endnote text"/>
    <w:basedOn w:val="Normal"/>
    <w:semiHidden/>
  </w:style>
  <w:style w:type="character" w:styleId="FollowedHyperlink">
    <w:name w:val="FollowedHyperlink"/>
    <w:rPr>
      <w:color w:val="AF005F"/>
      <w:u w:val="none"/>
    </w:rPr>
  </w:style>
  <w:style w:type="character" w:styleId="FootnoteReference">
    <w:name w:val="footnote reference"/>
    <w:semiHidden/>
    <w:rPr>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sz w:val="16"/>
    </w:rPr>
  </w:style>
  <w:style w:type="paragraph" w:customStyle="1" w:styleId="Head-C">
    <w:name w:val="Head - C"/>
    <w:basedOn w:val="Normal"/>
    <w:next w:val="Body"/>
    <w:rsid w:val="00B825F8"/>
    <w:pPr>
      <w:keepNext/>
      <w:pageBreakBefore/>
      <w:spacing w:before="295" w:after="180"/>
      <w:ind w:left="425"/>
      <w:jc w:val="center"/>
      <w:outlineLvl w:val="0"/>
    </w:pPr>
    <w:rPr>
      <w:b/>
      <w:sz w:val="22"/>
    </w:rPr>
  </w:style>
  <w:style w:type="paragraph" w:customStyle="1" w:styleId="CellBodyIndent1">
    <w:name w:val="CellBody Indent 1"/>
    <w:basedOn w:val="CellBody"/>
    <w:rsid w:val="003C5EDB"/>
    <w:pPr>
      <w:ind w:left="170"/>
    </w:pPr>
  </w:style>
  <w:style w:type="paragraph" w:customStyle="1" w:styleId="CellBodyIndent2">
    <w:name w:val="CellBody Indent 2"/>
    <w:basedOn w:val="CellBody"/>
    <w:rsid w:val="003C5EDB"/>
    <w:pPr>
      <w:ind w:left="340"/>
    </w:pPr>
  </w:style>
  <w:style w:type="paragraph" w:customStyle="1" w:styleId="CellBodyIndent3">
    <w:name w:val="CellBody Indent 3"/>
    <w:basedOn w:val="CellBody"/>
    <w:rsid w:val="003C5EDB"/>
    <w:pPr>
      <w:ind w:left="510"/>
    </w:pPr>
  </w:style>
  <w:style w:type="paragraph" w:customStyle="1" w:styleId="Level1">
    <w:name w:val="Level 1"/>
    <w:basedOn w:val="Normal"/>
    <w:rsid w:val="00145028"/>
    <w:pPr>
      <w:numPr>
        <w:numId w:val="10"/>
      </w:numPr>
      <w:jc w:val="both"/>
      <w:outlineLvl w:val="0"/>
    </w:pPr>
    <w:rPr>
      <w:bCs/>
    </w:rPr>
  </w:style>
  <w:style w:type="paragraph" w:customStyle="1" w:styleId="Level2">
    <w:name w:val="Level 2"/>
    <w:basedOn w:val="Normal"/>
    <w:rsid w:val="00145028"/>
    <w:pPr>
      <w:numPr>
        <w:ilvl w:val="1"/>
        <w:numId w:val="10"/>
      </w:numPr>
      <w:jc w:val="both"/>
    </w:pPr>
    <w:rPr>
      <w:szCs w:val="28"/>
    </w:rPr>
  </w:style>
  <w:style w:type="paragraph" w:customStyle="1" w:styleId="Level3">
    <w:name w:val="Level 3"/>
    <w:basedOn w:val="Normal"/>
    <w:rsid w:val="00145028"/>
    <w:pPr>
      <w:numPr>
        <w:ilvl w:val="2"/>
        <w:numId w:val="10"/>
      </w:numPr>
      <w:jc w:val="both"/>
    </w:pPr>
    <w:rPr>
      <w:szCs w:val="28"/>
    </w:rPr>
  </w:style>
  <w:style w:type="paragraph" w:customStyle="1" w:styleId="Level4">
    <w:name w:val="Level 4"/>
    <w:basedOn w:val="Normal"/>
    <w:rsid w:val="00145028"/>
    <w:pPr>
      <w:numPr>
        <w:ilvl w:val="3"/>
        <w:numId w:val="10"/>
      </w:numPr>
      <w:jc w:val="both"/>
    </w:pPr>
  </w:style>
  <w:style w:type="paragraph" w:customStyle="1" w:styleId="Level5">
    <w:name w:val="Level 5"/>
    <w:basedOn w:val="Normal"/>
    <w:rsid w:val="00145028"/>
    <w:pPr>
      <w:numPr>
        <w:ilvl w:val="4"/>
        <w:numId w:val="10"/>
      </w:numPr>
      <w:jc w:val="both"/>
    </w:pPr>
  </w:style>
  <w:style w:type="paragraph" w:customStyle="1" w:styleId="Level6">
    <w:name w:val="Level 6"/>
    <w:basedOn w:val="Normal"/>
    <w:rsid w:val="00145028"/>
    <w:pPr>
      <w:numPr>
        <w:ilvl w:val="5"/>
        <w:numId w:val="10"/>
      </w:numPr>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eastAsia="Times New Roman" w:hAnsi="Courier New" w:cs="Courier New"/>
      <w:kern w:val="20"/>
      <w:lang w:eastAsia="en-US"/>
    </w:rPr>
  </w:style>
  <w:style w:type="paragraph" w:customStyle="1" w:styleId="Note">
    <w:name w:val="Note"/>
    <w:basedOn w:val="Normal"/>
    <w:rsid w:val="00B17B3B"/>
    <w:pPr>
      <w:numPr>
        <w:numId w:val="1"/>
      </w:numPr>
      <w:spacing w:before="40" w:after="40"/>
      <w:jc w:val="both"/>
    </w:pPr>
    <w:rPr>
      <w:sz w:val="18"/>
    </w:rPr>
  </w:style>
  <w:style w:type="paragraph" w:customStyle="1" w:styleId="NoteBody">
    <w:name w:val="NoteBody"/>
    <w:basedOn w:val="Body"/>
    <w:rsid w:val="00A861DA"/>
    <w:pPr>
      <w:spacing w:before="40" w:after="40"/>
      <w:ind w:left="0"/>
    </w:pPr>
    <w:rPr>
      <w:sz w:val="18"/>
    </w:rPr>
  </w:style>
  <w:style w:type="paragraph" w:customStyle="1" w:styleId="Roman3-I1">
    <w:name w:val="Roman 3-(I)"/>
    <w:basedOn w:val="Normal"/>
    <w:rsid w:val="00C45822"/>
    <w:pPr>
      <w:numPr>
        <w:numId w:val="52"/>
      </w:numPr>
      <w:jc w:val="both"/>
    </w:pPr>
  </w:style>
  <w:style w:type="paragraph" w:customStyle="1" w:styleId="Roman3-I0">
    <w:name w:val="Roman 3-I"/>
    <w:basedOn w:val="Normal"/>
    <w:rsid w:val="006D45D6"/>
    <w:pPr>
      <w:numPr>
        <w:numId w:val="54"/>
      </w:numPr>
      <w:jc w:val="both"/>
    </w:pPr>
  </w:style>
  <w:style w:type="paragraph" w:customStyle="1" w:styleId="Roman2-i">
    <w:name w:val="Roman 2-(i)"/>
    <w:basedOn w:val="Normal"/>
    <w:rsid w:val="002B30EE"/>
    <w:pPr>
      <w:numPr>
        <w:numId w:val="51"/>
      </w:numPr>
      <w:jc w:val="both"/>
    </w:pPr>
  </w:style>
  <w:style w:type="paragraph" w:customStyle="1" w:styleId="Roman2-I1">
    <w:name w:val="Roman 2-(I)"/>
    <w:basedOn w:val="Normal"/>
    <w:rsid w:val="00083549"/>
    <w:pPr>
      <w:numPr>
        <w:numId w:val="3"/>
      </w:numPr>
      <w:jc w:val="both"/>
    </w:pPr>
  </w:style>
  <w:style w:type="paragraph" w:customStyle="1" w:styleId="Roman2-I0">
    <w:name w:val="Roman 2-I"/>
    <w:basedOn w:val="Normal"/>
    <w:rsid w:val="00083549"/>
    <w:pPr>
      <w:numPr>
        <w:numId w:val="4"/>
      </w:numPr>
      <w:jc w:val="both"/>
    </w:pPr>
  </w:style>
  <w:style w:type="paragraph" w:customStyle="1" w:styleId="Roman4-i1">
    <w:name w:val="Roman 4-(i)"/>
    <w:basedOn w:val="Normal"/>
    <w:rsid w:val="006D45D6"/>
    <w:pPr>
      <w:numPr>
        <w:numId w:val="56"/>
      </w:numPr>
      <w:jc w:val="both"/>
    </w:pPr>
  </w:style>
  <w:style w:type="paragraph" w:customStyle="1" w:styleId="Roman4-I0">
    <w:name w:val="Roman 4-(I)"/>
    <w:basedOn w:val="Normal"/>
    <w:rsid w:val="009D3B82"/>
    <w:pPr>
      <w:numPr>
        <w:numId w:val="55"/>
      </w:numPr>
      <w:jc w:val="both"/>
    </w:pPr>
  </w:style>
  <w:style w:type="paragraph" w:customStyle="1" w:styleId="Roman4-I">
    <w:name w:val="Roman 4-I"/>
    <w:basedOn w:val="Normal"/>
    <w:rsid w:val="006D45D6"/>
    <w:pPr>
      <w:numPr>
        <w:numId w:val="57"/>
      </w:numPr>
      <w:jc w:val="both"/>
    </w:pPr>
  </w:style>
  <w:style w:type="paragraph" w:customStyle="1" w:styleId="Roman5-i0">
    <w:name w:val="Roman 5-(i)"/>
    <w:basedOn w:val="Normal"/>
    <w:rsid w:val="006D45D6"/>
    <w:pPr>
      <w:numPr>
        <w:numId w:val="59"/>
      </w:numPr>
      <w:jc w:val="both"/>
    </w:pPr>
  </w:style>
  <w:style w:type="paragraph" w:customStyle="1" w:styleId="Roman5-I">
    <w:name w:val="Roman 5-(I)"/>
    <w:basedOn w:val="Normal"/>
    <w:rsid w:val="009D3B82"/>
    <w:pPr>
      <w:numPr>
        <w:numId w:val="58"/>
      </w:numPr>
      <w:jc w:val="both"/>
    </w:pPr>
  </w:style>
  <w:style w:type="paragraph" w:customStyle="1" w:styleId="Roman5-I1">
    <w:name w:val="Roman 5-I"/>
    <w:basedOn w:val="Normal"/>
    <w:rsid w:val="006D45D6"/>
    <w:pPr>
      <w:numPr>
        <w:numId w:val="60"/>
      </w:numPr>
      <w:jc w:val="both"/>
    </w:pPr>
  </w:style>
  <w:style w:type="paragraph" w:customStyle="1" w:styleId="Roman6-i1">
    <w:name w:val="Roman 6-(i)"/>
    <w:basedOn w:val="Normal"/>
    <w:rsid w:val="006D45D6"/>
    <w:pPr>
      <w:numPr>
        <w:numId w:val="62"/>
      </w:numPr>
      <w:jc w:val="both"/>
    </w:pPr>
  </w:style>
  <w:style w:type="paragraph" w:customStyle="1" w:styleId="Roman6-I">
    <w:name w:val="Roman 6-(I)"/>
    <w:basedOn w:val="Normal"/>
    <w:rsid w:val="009D3B82"/>
    <w:pPr>
      <w:numPr>
        <w:numId w:val="61"/>
      </w:numPr>
      <w:jc w:val="both"/>
    </w:pPr>
  </w:style>
  <w:style w:type="paragraph" w:customStyle="1" w:styleId="Roman6-I0">
    <w:name w:val="Roman 6-I"/>
    <w:basedOn w:val="Normal"/>
    <w:rsid w:val="006D45D6"/>
    <w:pPr>
      <w:numPr>
        <w:numId w:val="63"/>
      </w:numPr>
      <w:jc w:val="both"/>
    </w:pPr>
  </w:style>
  <w:style w:type="paragraph" w:customStyle="1" w:styleId="SmCellBody">
    <w:name w:val="SmCellBody"/>
    <w:basedOn w:val="CellBody"/>
    <w:rsid w:val="00B808AD"/>
    <w:rPr>
      <w:sz w:val="18"/>
    </w:rPr>
  </w:style>
  <w:style w:type="paragraph" w:customStyle="1" w:styleId="SmCellHead">
    <w:name w:val="SmCellHead"/>
    <w:basedOn w:val="CellHead"/>
    <w:rsid w:val="00B808AD"/>
    <w:rPr>
      <w:sz w:val="18"/>
    </w:rPr>
  </w:style>
  <w:style w:type="paragraph" w:customStyle="1" w:styleId="SmCell-Headitalic">
    <w:name w:val="SmCell-Headitalic"/>
    <w:basedOn w:val="CellHead"/>
    <w:rsid w:val="00B808AD"/>
    <w:pPr>
      <w:jc w:val="center"/>
    </w:pPr>
    <w:rPr>
      <w:b w:val="0"/>
      <w:i/>
      <w:sz w:val="18"/>
    </w:rPr>
  </w:style>
  <w:style w:type="paragraph" w:customStyle="1" w:styleId="SmCellNumber">
    <w:name w:val="SmCellNumber"/>
    <w:basedOn w:val="SmCellBody"/>
    <w:rsid w:val="00B808AD"/>
    <w:pPr>
      <w:numPr>
        <w:numId w:val="5"/>
      </w:numPr>
    </w:pPr>
  </w:style>
  <w:style w:type="paragraph" w:customStyle="1" w:styleId="SubHead">
    <w:name w:val="SubHead"/>
    <w:basedOn w:val="Normal"/>
    <w:next w:val="Body"/>
    <w:rsid w:val="00F54FE6"/>
    <w:pPr>
      <w:keepNext/>
      <w:spacing w:before="175" w:after="35"/>
      <w:ind w:left="425"/>
      <w:jc w:val="both"/>
      <w:outlineLvl w:val="1"/>
    </w:pPr>
    <w:rPr>
      <w:b/>
      <w:sz w:val="21"/>
    </w:rPr>
  </w:style>
  <w:style w:type="paragraph" w:customStyle="1" w:styleId="SubHeadItalic">
    <w:name w:val="SubHeadItalic"/>
    <w:basedOn w:val="SubHead"/>
    <w:next w:val="Body"/>
    <w:rsid w:val="00B825F8"/>
    <w:rPr>
      <w:b w:val="0"/>
      <w:i/>
    </w:rPr>
  </w:style>
  <w:style w:type="paragraph" w:customStyle="1" w:styleId="SubHeadItalicBold">
    <w:name w:val="SubHeadItalicBold"/>
    <w:basedOn w:val="SubHead"/>
    <w:next w:val="Body"/>
    <w:rPr>
      <w:i/>
    </w:rPr>
  </w:style>
  <w:style w:type="paragraph" w:customStyle="1" w:styleId="TableAlpha">
    <w:name w:val="Table Alpha"/>
    <w:basedOn w:val="CellBody"/>
    <w:rsid w:val="00BC5227"/>
    <w:pPr>
      <w:numPr>
        <w:numId w:val="25"/>
      </w:numPr>
      <w:jc w:val="both"/>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customStyle="1" w:styleId="TableRoman">
    <w:name w:val="Table Roman"/>
    <w:basedOn w:val="CellBody"/>
    <w:rsid w:val="00D31D14"/>
    <w:pPr>
      <w:numPr>
        <w:numId w:val="9"/>
      </w:numPr>
      <w:tabs>
        <w:tab w:val="left" w:pos="425"/>
      </w:tabs>
      <w:jc w:val="both"/>
    </w:pPr>
  </w:style>
  <w:style w:type="paragraph" w:customStyle="1" w:styleId="FPTableCentre">
    <w:name w:val="FP Table Centre"/>
    <w:basedOn w:val="Normal"/>
    <w:rsid w:val="00D66714"/>
    <w:pPr>
      <w:keepNext/>
      <w:keepLines/>
      <w:spacing w:after="120"/>
      <w:jc w:val="center"/>
      <w:outlineLvl w:val="0"/>
    </w:pPr>
    <w:rPr>
      <w:b/>
    </w:r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semiHidden/>
    <w:pPr>
      <w:spacing w:before="60" w:after="60"/>
      <w:ind w:left="992"/>
    </w:pPr>
  </w:style>
  <w:style w:type="paragraph" w:styleId="TOC3">
    <w:name w:val="toc 3"/>
    <w:basedOn w:val="Normal"/>
    <w:next w:val="Normal"/>
    <w:semiHidden/>
    <w:pPr>
      <w:spacing w:before="60" w:after="60"/>
      <w:ind w:left="1843"/>
    </w:pPr>
  </w:style>
  <w:style w:type="paragraph" w:styleId="TOC4">
    <w:name w:val="toc 4"/>
    <w:basedOn w:val="Normal"/>
    <w:next w:val="Normal"/>
    <w:semiHidden/>
    <w:pPr>
      <w:spacing w:before="40" w:after="40"/>
      <w:ind w:left="2268"/>
    </w:pPr>
    <w:rPr>
      <w:sz w:val="18"/>
    </w:rPr>
  </w:style>
  <w:style w:type="paragraph" w:styleId="TOC5">
    <w:name w:val="toc 5"/>
    <w:basedOn w:val="Normal"/>
    <w:next w:val="Normal"/>
    <w:semiHidden/>
    <w:pPr>
      <w:ind w:left="2693"/>
    </w:pPr>
  </w:style>
  <w:style w:type="paragraph" w:styleId="TOC6">
    <w:name w:val="toc 6"/>
    <w:basedOn w:val="Normal"/>
    <w:next w:val="Normal"/>
    <w:semiHidden/>
    <w:pPr>
      <w:ind w:left="3119"/>
    </w:pPr>
  </w:style>
  <w:style w:type="paragraph" w:styleId="TOC7">
    <w:name w:val="toc 7"/>
    <w:basedOn w:val="Normal"/>
    <w:next w:val="Normal"/>
    <w:semiHidden/>
    <w:pPr>
      <w:ind w:left="1200"/>
    </w:pPr>
    <w:rPr>
      <w:sz w:val="18"/>
    </w:rPr>
  </w:style>
  <w:style w:type="paragraph" w:styleId="TOC8">
    <w:name w:val="toc 8"/>
    <w:basedOn w:val="Normal"/>
    <w:next w:val="Normal"/>
    <w:semiHidden/>
    <w:pPr>
      <w:ind w:left="1400"/>
    </w:pPr>
    <w:rPr>
      <w:sz w:val="18"/>
    </w:rPr>
  </w:style>
  <w:style w:type="paragraph" w:styleId="TOC9">
    <w:name w:val="toc 9"/>
    <w:basedOn w:val="Normal"/>
    <w:next w:val="Normal"/>
    <w:semiHidden/>
    <w:pPr>
      <w:ind w:left="1600"/>
    </w:pPr>
    <w:rPr>
      <w:sz w:val="18"/>
    </w:rPr>
  </w:style>
  <w:style w:type="paragraph" w:customStyle="1" w:styleId="VSmCellBody">
    <w:name w:val="VSmCellBody"/>
    <w:basedOn w:val="CellBody"/>
    <w:rsid w:val="00A52B17"/>
    <w:rPr>
      <w:sz w:val="17"/>
    </w:rPr>
  </w:style>
  <w:style w:type="paragraph" w:customStyle="1" w:styleId="VSmCellHead">
    <w:name w:val="VSmCellHead"/>
    <w:basedOn w:val="CellHead"/>
    <w:rsid w:val="00B808AD"/>
    <w:rPr>
      <w:sz w:val="17"/>
    </w:rPr>
  </w:style>
  <w:style w:type="paragraph" w:customStyle="1" w:styleId="VSmCell-Headitalic">
    <w:name w:val="VSmCell-Headitalic"/>
    <w:basedOn w:val="CellHead"/>
    <w:rsid w:val="006B4FC1"/>
    <w:pPr>
      <w:jc w:val="center"/>
    </w:pPr>
    <w:rPr>
      <w:b w:val="0"/>
      <w:i/>
      <w:sz w:val="17"/>
    </w:rPr>
  </w:style>
  <w:style w:type="paragraph" w:customStyle="1" w:styleId="VSmCellNumber">
    <w:name w:val="VSmCellNumber"/>
    <w:basedOn w:val="Normal"/>
    <w:rsid w:val="00A52B17"/>
    <w:pPr>
      <w:numPr>
        <w:numId w:val="6"/>
      </w:numPr>
      <w:spacing w:before="40" w:after="40"/>
    </w:pPr>
    <w:rPr>
      <w:sz w:val="17"/>
    </w:rPr>
  </w:style>
  <w:style w:type="paragraph" w:customStyle="1" w:styleId="Alpha3-a">
    <w:name w:val="Alpha 3-(a)"/>
    <w:basedOn w:val="Body"/>
    <w:rsid w:val="001F78DD"/>
    <w:pPr>
      <w:numPr>
        <w:numId w:val="31"/>
      </w:numPr>
    </w:pPr>
  </w:style>
  <w:style w:type="paragraph" w:customStyle="1" w:styleId="Alpha3-Aitalic">
    <w:name w:val="Alpha 3-(A) italic"/>
    <w:basedOn w:val="Normal"/>
    <w:rsid w:val="001F78DD"/>
    <w:pPr>
      <w:numPr>
        <w:numId w:val="45"/>
      </w:numPr>
      <w:jc w:val="both"/>
    </w:pPr>
    <w:rPr>
      <w:i/>
    </w:rPr>
  </w:style>
  <w:style w:type="paragraph" w:customStyle="1" w:styleId="Alpha4-Aitalic">
    <w:name w:val="Alpha 4-(A) italic"/>
    <w:basedOn w:val="Normal"/>
    <w:rsid w:val="001F78DD"/>
    <w:pPr>
      <w:numPr>
        <w:numId w:val="46"/>
      </w:numPr>
      <w:jc w:val="both"/>
    </w:pPr>
    <w:rPr>
      <w:i/>
    </w:rPr>
  </w:style>
  <w:style w:type="paragraph" w:customStyle="1" w:styleId="Alpha5-Aitalic">
    <w:name w:val="Alpha 5-(A) italic"/>
    <w:basedOn w:val="Normal"/>
    <w:rsid w:val="00380F94"/>
    <w:pPr>
      <w:numPr>
        <w:numId w:val="48"/>
      </w:numPr>
      <w:jc w:val="both"/>
    </w:pPr>
    <w:rPr>
      <w:i/>
    </w:rPr>
  </w:style>
  <w:style w:type="paragraph" w:styleId="Title">
    <w:name w:val="Title"/>
    <w:basedOn w:val="Normal"/>
    <w:qFormat/>
    <w:rsid w:val="00B17B3B"/>
    <w:pPr>
      <w:spacing w:before="240" w:after="60"/>
      <w:jc w:val="center"/>
      <w:outlineLvl w:val="0"/>
    </w:pPr>
    <w:rPr>
      <w:b/>
      <w:bCs/>
      <w:kern w:val="28"/>
      <w:sz w:val="25"/>
      <w:szCs w:val="32"/>
    </w:rPr>
  </w:style>
  <w:style w:type="table" w:styleId="TableGrid">
    <w:name w:val="Table Grid"/>
    <w:basedOn w:val="TableNormal"/>
    <w:rsid w:val="00CE1A85"/>
    <w:pPr>
      <w:spacing w:after="140" w:line="29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evel-Iblock">
    <w:name w:val="3Level-(I)block"/>
    <w:basedOn w:val="Normal"/>
    <w:rsid w:val="00A53740"/>
    <w:pPr>
      <w:numPr>
        <w:ilvl w:val="2"/>
        <w:numId w:val="49"/>
      </w:numPr>
    </w:pPr>
  </w:style>
  <w:style w:type="paragraph" w:customStyle="1" w:styleId="TableBullet">
    <w:name w:val="Table Bullet"/>
    <w:basedOn w:val="CellBody"/>
    <w:rsid w:val="008D2B8E"/>
    <w:pPr>
      <w:numPr>
        <w:numId w:val="50"/>
      </w:num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OfferingCircular.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D9AF8CBD-1C0B-44F2-BB88-58D8E4953CB2}">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OfferingCircular.dotx</Template>
  <TotalTime>0</TotalTime>
  <Pages>8</Pages>
  <Words>3247</Words>
  <Characters>17386</Characters>
  <Application>Microsoft Office Word</Application>
  <DocSecurity>0</DocSecurity>
  <Lines>404</Lines>
  <Paragraphs>150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OfferingCircular</vt:lpstr>
      <vt:lpstr>THE ROYAL BANK OF SCOTLAND GROUP PLC AND THE ROYAL BANK OF SCOTLAND PLC LAUNCH C</vt:lpstr>
      <vt:lpstr>    Holders are advised to read carefully the Tender Offer Memorandum for full detai</vt:lpstr>
      <vt:lpstr>    Rationale for the Offers</vt:lpstr>
      <vt:lpstr>Purchase Prices and Accrued Interest</vt:lpstr>
      <vt:lpstr>    Offer Period and Results</vt:lpstr>
      <vt:lpstr>    The relevant deadline set by any intermediary or DTC for the submission of Tende</vt:lpstr>
      <vt:lpstr>    United Kingdom</vt:lpstr>
      <vt:lpstr>    Belgium</vt:lpstr>
      <vt:lpstr>    France</vt:lpstr>
      <vt:lpstr>    Italy</vt:lpstr>
      <vt:lpstr>    Switzerland</vt:lpstr>
      <vt:lpstr>    General</vt:lpstr>
    </vt:vector>
  </TitlesOfParts>
  <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OfferingCircular</dc:title>
  <dc:creator>Any Authorised User</dc:creator>
  <cp:lastModifiedBy>Any Authorised User</cp:lastModifiedBy>
  <cp:revision>11</cp:revision>
  <dcterms:created xsi:type="dcterms:W3CDTF">2016-03-29T00:37:00Z</dcterms:created>
  <dcterms:modified xsi:type="dcterms:W3CDTF">2016-03-30T11:25:00Z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0.33</vt:lpwstr>
  </property>
  <property fmtid="{D5CDD505-2E9C-101B-9397-08002B2CF9AE}" pid="3" name="Template Version">
    <vt:lpwstr>R.60</vt:lpwstr>
  </property>
  <property fmtid="{D5CDD505-2E9C-101B-9397-08002B2CF9AE}" pid="4" name="Last Modified">
    <vt:lpwstr>30 Mar 2016</vt:lpwstr>
  </property>
  <property fmtid="{D5CDD505-2E9C-101B-9397-08002B2CF9AE}" pid="5" name="Document Number">
    <vt:lpwstr>A31528291</vt:lpwstr>
  </property>
  <property fmtid="{D5CDD505-2E9C-101B-9397-08002B2CF9AE}" pid="6" name="Client Code">
    <vt:lpwstr>10011696</vt:lpwstr>
  </property>
  <property fmtid="{D5CDD505-2E9C-101B-9397-08002B2CF9AE}" pid="7" name="DEDocumentLocation">
    <vt:lpwstr>H:\Documentum\__Attachments\A31528291 v0.33 Murrayfield U.S. Launch Announcement.docx</vt:lpwstr>
  </property>
  <property fmtid="{D5CDD505-2E9C-101B-9397-08002B2CF9AE}" pid="8" name="Matter Number">
    <vt:lpwstr>L-246798</vt:lpwstr>
  </property>
  <property fmtid="{D5CDD505-2E9C-101B-9397-08002B2CF9AE}" pid="9" name="Mode">
    <vt:lpwstr>SendAs</vt:lpwstr>
  </property>
  <property fmtid="{D5CDD505-2E9C-101B-9397-08002B2CF9AE}" pid="10" name="ObjectID">
    <vt:lpwstr>09001dc88eae1a2d</vt:lpwstr>
  </property>
  <property fmtid="{D5CDD505-2E9C-101B-9397-08002B2CF9AE}" pid="11" name="_AdHocReviewCycleID">
    <vt:i4>-1864354969</vt:i4>
  </property>
  <property fmtid="{D5CDD505-2E9C-101B-9397-08002B2CF9AE}" pid="12" name="_NewReviewCycle">
    <vt:lpwstr/>
  </property>
  <property fmtid="{D5CDD505-2E9C-101B-9397-08002B2CF9AE}" pid="13" name="_EmailSubject">
    <vt:lpwstr>RNS</vt:lpwstr>
  </property>
  <property fmtid="{D5CDD505-2E9C-101B-9397-08002B2CF9AE}" pid="14" name="_AuthorEmail">
    <vt:lpwstr>Matthew.Richardson@RBS.com</vt:lpwstr>
  </property>
  <property fmtid="{D5CDD505-2E9C-101B-9397-08002B2CF9AE}" pid="15" name="_AuthorEmailDisplayName">
    <vt:lpwstr>RICHARDSON, Matthew, Investor Relations</vt:lpwstr>
  </property>
</Properties>
</file>