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EA" w:rsidRPr="00436EB9" w:rsidRDefault="009E5500" w:rsidP="00C8074E">
      <w:pPr>
        <w:pStyle w:val="Body"/>
        <w:rPr>
          <w:rFonts w:ascii="Times New Roman" w:hAnsi="Times New Roman"/>
          <w:b/>
          <w:bCs/>
        </w:rPr>
      </w:pPr>
      <w:bookmarkStart w:id="0" w:name="bmkStart"/>
      <w:bookmarkEnd w:id="0"/>
      <w:r w:rsidRPr="00436EB9">
        <w:rPr>
          <w:rFonts w:ascii="Times New Roman" w:hAnsi="Times New Roman"/>
          <w:b/>
          <w:bCs/>
        </w:rPr>
        <w:t xml:space="preserve">NOT FOR DISTRIBUTION IN OR INTO OR TO ANY PERSON LOCATED OR RESIDENT IN THE UNITED STATES, ITS TERRITORIES AND POSSESSIONS (INCLUDING PUERTO RICO, THE U.S. VIRGIN ISLANDS, GUAM, AMERICAN SAMOA, WAKE ISLAND AND THE NORTHERN MARIANA ISLANDS), </w:t>
      </w:r>
      <w:r w:rsidR="00BB7594">
        <w:rPr>
          <w:rFonts w:ascii="Times New Roman" w:hAnsi="Times New Roman"/>
          <w:b/>
          <w:bCs/>
        </w:rPr>
        <w:t xml:space="preserve"> </w:t>
      </w:r>
      <w:r w:rsidRPr="00436EB9">
        <w:rPr>
          <w:rFonts w:ascii="Times New Roman" w:hAnsi="Times New Roman"/>
          <w:b/>
          <w:bCs/>
        </w:rPr>
        <w:t>ANY STATE OF THE UNITED STATES OR THE DISTRICT OF COLUMBIA (</w:t>
      </w:r>
      <w:r>
        <w:rPr>
          <w:rFonts w:ascii="Times New Roman" w:hAnsi="Times New Roman"/>
          <w:b/>
          <w:bCs/>
        </w:rPr>
        <w:t>THE “UNITED STATES”</w:t>
      </w:r>
      <w:r w:rsidRPr="00436EB9">
        <w:rPr>
          <w:rFonts w:ascii="Times New Roman" w:hAnsi="Times New Roman"/>
          <w:b/>
          <w:bCs/>
        </w:rPr>
        <w:t>) OR IN A</w:t>
      </w:r>
      <w:bookmarkStart w:id="1" w:name="_GoBack"/>
      <w:bookmarkEnd w:id="1"/>
      <w:r w:rsidRPr="00436EB9">
        <w:rPr>
          <w:rFonts w:ascii="Times New Roman" w:hAnsi="Times New Roman"/>
          <w:b/>
          <w:bCs/>
        </w:rPr>
        <w:t>NY JURISDICTION WHERE IT IS UNLAWFUL TO RELEASE, PUBLISH OR DISTRIBUTE THIS DOCUMENT.</w:t>
      </w:r>
    </w:p>
    <w:p w:rsidR="000D2647" w:rsidRDefault="008C430D" w:rsidP="00C8074E">
      <w:pPr>
        <w:pStyle w:val="Body"/>
        <w:rPr>
          <w:rFonts w:ascii="Times New Roman" w:hAnsi="Times New Roman"/>
        </w:rPr>
      </w:pPr>
      <w:r>
        <w:rPr>
          <w:rFonts w:ascii="Times New Roman" w:hAnsi="Times New Roman"/>
        </w:rPr>
        <w:t>7 April 2016</w:t>
      </w:r>
    </w:p>
    <w:p w:rsidR="00436EB9" w:rsidRDefault="009E5500" w:rsidP="00436EB9">
      <w:pPr>
        <w:pStyle w:val="Body"/>
        <w:jc w:val="center"/>
        <w:rPr>
          <w:rFonts w:ascii="Times New Roman" w:hAnsi="Times New Roman"/>
          <w:b/>
          <w:bCs/>
        </w:rPr>
      </w:pPr>
      <w:r w:rsidRPr="00436EB9">
        <w:rPr>
          <w:rFonts w:ascii="Times New Roman" w:hAnsi="Times New Roman"/>
          <w:b/>
          <w:bCs/>
        </w:rPr>
        <w:t xml:space="preserve">THE ROYAL BANK OF SCOTLAND </w:t>
      </w:r>
      <w:r w:rsidR="0038437A">
        <w:rPr>
          <w:rFonts w:ascii="Times New Roman" w:hAnsi="Times New Roman"/>
          <w:b/>
          <w:bCs/>
        </w:rPr>
        <w:t xml:space="preserve">GROUP </w:t>
      </w:r>
      <w:r w:rsidRPr="00436EB9">
        <w:rPr>
          <w:rFonts w:ascii="Times New Roman" w:hAnsi="Times New Roman"/>
          <w:b/>
          <w:bCs/>
        </w:rPr>
        <w:t>PLC</w:t>
      </w:r>
      <w:r w:rsidR="0038437A">
        <w:rPr>
          <w:rFonts w:ascii="Times New Roman" w:hAnsi="Times New Roman"/>
          <w:b/>
          <w:bCs/>
        </w:rPr>
        <w:t xml:space="preserve"> AND THE ROYAL BANK OF SCOTLAND PLC</w:t>
      </w:r>
      <w:r w:rsidRPr="00436EB9">
        <w:rPr>
          <w:rFonts w:ascii="Times New Roman" w:hAnsi="Times New Roman"/>
          <w:b/>
          <w:bCs/>
        </w:rPr>
        <w:t xml:space="preserve"> </w:t>
      </w:r>
      <w:r>
        <w:rPr>
          <w:rFonts w:ascii="Times New Roman" w:hAnsi="Times New Roman"/>
          <w:b/>
          <w:bCs/>
        </w:rPr>
        <w:t xml:space="preserve">ANNOUNCE PRICING AND FINAL RESULTS OF </w:t>
      </w:r>
      <w:r w:rsidRPr="00436EB9">
        <w:rPr>
          <w:rFonts w:ascii="Times New Roman" w:hAnsi="Times New Roman"/>
          <w:b/>
          <w:bCs/>
        </w:rPr>
        <w:t xml:space="preserve">CASH TENDER OFFERS FOR CERTAIN EURO AND POUNDS STERLING </w:t>
      </w:r>
      <w:r>
        <w:rPr>
          <w:rFonts w:ascii="Times New Roman" w:hAnsi="Times New Roman"/>
          <w:b/>
          <w:bCs/>
        </w:rPr>
        <w:t>NOTES</w:t>
      </w:r>
      <w:r w:rsidRPr="00436EB9">
        <w:rPr>
          <w:rFonts w:ascii="Times New Roman" w:hAnsi="Times New Roman"/>
          <w:b/>
          <w:bCs/>
        </w:rPr>
        <w:t xml:space="preserve"> </w:t>
      </w:r>
    </w:p>
    <w:p w:rsidR="009945FB" w:rsidRDefault="009E5500" w:rsidP="00A206BA">
      <w:pPr>
        <w:pStyle w:val="Body"/>
        <w:rPr>
          <w:rFonts w:ascii="Times New Roman" w:hAnsi="Times New Roman"/>
        </w:rPr>
      </w:pPr>
      <w:r>
        <w:rPr>
          <w:rFonts w:ascii="Times New Roman" w:hAnsi="Times New Roman"/>
        </w:rPr>
        <w:t xml:space="preserve">On </w:t>
      </w:r>
      <w:r w:rsidR="008C430D">
        <w:rPr>
          <w:rFonts w:ascii="Times New Roman" w:hAnsi="Times New Roman"/>
        </w:rPr>
        <w:t>30 March 2016</w:t>
      </w:r>
      <w:r>
        <w:rPr>
          <w:rFonts w:ascii="Times New Roman" w:hAnsi="Times New Roman"/>
        </w:rPr>
        <w:t xml:space="preserve">, </w:t>
      </w:r>
      <w:r w:rsidR="008C430D">
        <w:rPr>
          <w:rFonts w:ascii="Times New Roman" w:hAnsi="Times New Roman"/>
        </w:rPr>
        <w:t>The Royal Bank of Scotland Group plc (“</w:t>
      </w:r>
      <w:proofErr w:type="spellStart"/>
      <w:r w:rsidR="008C430D" w:rsidRPr="008C430D">
        <w:rPr>
          <w:rFonts w:ascii="Times New Roman" w:hAnsi="Times New Roman"/>
          <w:b/>
          <w:bCs/>
        </w:rPr>
        <w:t>RBSG</w:t>
      </w:r>
      <w:proofErr w:type="spellEnd"/>
      <w:r w:rsidR="008C430D" w:rsidRPr="008C430D">
        <w:rPr>
          <w:rFonts w:ascii="Times New Roman" w:hAnsi="Times New Roman"/>
          <w:b/>
          <w:bCs/>
        </w:rPr>
        <w:t xml:space="preserve"> plc</w:t>
      </w:r>
      <w:r w:rsidR="008C430D">
        <w:rPr>
          <w:rFonts w:ascii="Times New Roman" w:hAnsi="Times New Roman"/>
        </w:rPr>
        <w:t xml:space="preserve">”) and </w:t>
      </w:r>
      <w:r>
        <w:rPr>
          <w:rFonts w:ascii="Times New Roman" w:hAnsi="Times New Roman"/>
        </w:rPr>
        <w:t xml:space="preserve">The Royal Bank of Scotland plc </w:t>
      </w:r>
      <w:r w:rsidR="008C430D">
        <w:rPr>
          <w:rFonts w:ascii="Times New Roman" w:hAnsi="Times New Roman"/>
        </w:rPr>
        <w:t>(“</w:t>
      </w:r>
      <w:proofErr w:type="spellStart"/>
      <w:r w:rsidR="008C430D" w:rsidRPr="008C430D">
        <w:rPr>
          <w:rFonts w:ascii="Times New Roman" w:hAnsi="Times New Roman"/>
          <w:b/>
          <w:bCs/>
        </w:rPr>
        <w:t>RBS</w:t>
      </w:r>
      <w:proofErr w:type="spellEnd"/>
      <w:r w:rsidR="008C430D" w:rsidRPr="008C430D">
        <w:rPr>
          <w:rFonts w:ascii="Times New Roman" w:hAnsi="Times New Roman"/>
          <w:b/>
          <w:bCs/>
        </w:rPr>
        <w:t xml:space="preserve"> plc</w:t>
      </w:r>
      <w:r w:rsidR="008C430D">
        <w:rPr>
          <w:rFonts w:ascii="Times New Roman" w:hAnsi="Times New Roman"/>
        </w:rPr>
        <w:t>”) (each an “</w:t>
      </w:r>
      <w:r w:rsidR="008C430D" w:rsidRPr="008C430D">
        <w:rPr>
          <w:rFonts w:ascii="Times New Roman" w:hAnsi="Times New Roman"/>
          <w:b/>
          <w:bCs/>
        </w:rPr>
        <w:t>Offeror</w:t>
      </w:r>
      <w:r w:rsidR="008C430D" w:rsidRPr="008C430D">
        <w:rPr>
          <w:rFonts w:ascii="Times New Roman" w:hAnsi="Times New Roman"/>
        </w:rPr>
        <w:t>”</w:t>
      </w:r>
      <w:r w:rsidR="008C430D">
        <w:rPr>
          <w:rFonts w:ascii="Times New Roman" w:hAnsi="Times New Roman"/>
        </w:rPr>
        <w:t>, and together the “</w:t>
      </w:r>
      <w:r w:rsidR="008C430D" w:rsidRPr="008C430D">
        <w:rPr>
          <w:rFonts w:ascii="Times New Roman" w:hAnsi="Times New Roman"/>
          <w:b/>
          <w:bCs/>
        </w:rPr>
        <w:t>Offerors</w:t>
      </w:r>
      <w:r w:rsidR="008C430D">
        <w:rPr>
          <w:rFonts w:ascii="Times New Roman" w:hAnsi="Times New Roman"/>
        </w:rPr>
        <w:t xml:space="preserve">”) separately </w:t>
      </w:r>
      <w:r>
        <w:rPr>
          <w:rFonts w:ascii="Times New Roman" w:hAnsi="Times New Roman"/>
        </w:rPr>
        <w:t xml:space="preserve">invited Holders of the notes </w:t>
      </w:r>
      <w:r w:rsidR="008C430D">
        <w:rPr>
          <w:rFonts w:ascii="Times New Roman" w:hAnsi="Times New Roman"/>
        </w:rPr>
        <w:t>issued by them and listed below</w:t>
      </w:r>
      <w:r>
        <w:rPr>
          <w:rFonts w:ascii="Times New Roman" w:hAnsi="Times New Roman"/>
        </w:rPr>
        <w:t xml:space="preserve"> (</w:t>
      </w:r>
      <w:r w:rsidR="008C430D">
        <w:rPr>
          <w:rFonts w:ascii="Times New Roman" w:hAnsi="Times New Roman"/>
        </w:rPr>
        <w:t xml:space="preserve">together </w:t>
      </w:r>
      <w:r>
        <w:rPr>
          <w:rFonts w:ascii="Times New Roman" w:hAnsi="Times New Roman"/>
        </w:rPr>
        <w:t>the “</w:t>
      </w:r>
      <w:r>
        <w:rPr>
          <w:rFonts w:ascii="Times New Roman" w:hAnsi="Times New Roman"/>
          <w:b/>
          <w:bCs/>
        </w:rPr>
        <w:t>Notes</w:t>
      </w:r>
      <w:r>
        <w:rPr>
          <w:rFonts w:ascii="Times New Roman" w:hAnsi="Times New Roman"/>
        </w:rPr>
        <w:t>”</w:t>
      </w:r>
      <w:r w:rsidR="008C430D">
        <w:rPr>
          <w:rFonts w:ascii="Times New Roman" w:hAnsi="Times New Roman"/>
        </w:rPr>
        <w:t>, and each a “</w:t>
      </w:r>
      <w:r w:rsidR="008C430D" w:rsidRPr="008C430D">
        <w:rPr>
          <w:rFonts w:ascii="Times New Roman" w:hAnsi="Times New Roman"/>
          <w:b/>
          <w:bCs/>
        </w:rPr>
        <w:t>Series</w:t>
      </w:r>
      <w:r w:rsidR="008C430D">
        <w:rPr>
          <w:rFonts w:ascii="Times New Roman" w:hAnsi="Times New Roman"/>
        </w:rPr>
        <w:t>”</w:t>
      </w:r>
      <w:r>
        <w:rPr>
          <w:rFonts w:ascii="Times New Roman" w:hAnsi="Times New Roman"/>
        </w:rPr>
        <w:t xml:space="preserve">) to tender their Notes for purchase by the </w:t>
      </w:r>
      <w:r w:rsidR="008C430D">
        <w:rPr>
          <w:rFonts w:ascii="Times New Roman" w:hAnsi="Times New Roman"/>
        </w:rPr>
        <w:t xml:space="preserve">relevant </w:t>
      </w:r>
      <w:r>
        <w:rPr>
          <w:rFonts w:ascii="Times New Roman" w:hAnsi="Times New Roman"/>
        </w:rPr>
        <w:t>Offeror for cash (</w:t>
      </w:r>
      <w:r w:rsidR="008C430D">
        <w:rPr>
          <w:rFonts w:ascii="Times New Roman" w:hAnsi="Times New Roman"/>
        </w:rPr>
        <w:t>each an “</w:t>
      </w:r>
      <w:r w:rsidR="008C430D" w:rsidRPr="003B4255">
        <w:rPr>
          <w:rFonts w:ascii="Times New Roman" w:hAnsi="Times New Roman"/>
          <w:b/>
          <w:bCs/>
        </w:rPr>
        <w:t>Offer</w:t>
      </w:r>
      <w:r w:rsidR="008C430D">
        <w:rPr>
          <w:rFonts w:ascii="Times New Roman" w:hAnsi="Times New Roman"/>
        </w:rPr>
        <w:t xml:space="preserve">”, and together, </w:t>
      </w:r>
      <w:r>
        <w:rPr>
          <w:rFonts w:ascii="Times New Roman" w:hAnsi="Times New Roman"/>
        </w:rPr>
        <w:t>the “</w:t>
      </w:r>
      <w:r w:rsidRPr="009B63D7">
        <w:rPr>
          <w:rFonts w:ascii="Times New Roman" w:hAnsi="Times New Roman"/>
          <w:b/>
          <w:bCs/>
        </w:rPr>
        <w:t>Offers</w:t>
      </w:r>
      <w:r>
        <w:rPr>
          <w:rFonts w:ascii="Times New Roman" w:hAnsi="Times New Roman"/>
        </w:rPr>
        <w:t xml:space="preserve">”) on the terms of, and subject to the conditions contained in, a tender offer memorandum dated </w:t>
      </w:r>
      <w:r w:rsidR="003B4255">
        <w:rPr>
          <w:rFonts w:ascii="Times New Roman" w:hAnsi="Times New Roman"/>
        </w:rPr>
        <w:t>30 March 2016</w:t>
      </w:r>
      <w:r>
        <w:rPr>
          <w:rFonts w:ascii="Times New Roman" w:hAnsi="Times New Roman"/>
        </w:rPr>
        <w:t xml:space="preserve"> (the “</w:t>
      </w:r>
      <w:r w:rsidRPr="009B63D7">
        <w:rPr>
          <w:rFonts w:ascii="Times New Roman" w:hAnsi="Times New Roman"/>
          <w:b/>
          <w:bCs/>
        </w:rPr>
        <w:t>Tender Offer Memorandum</w:t>
      </w:r>
      <w:r>
        <w:rPr>
          <w:rFonts w:ascii="Times New Roman" w:hAnsi="Times New Roman"/>
        </w:rPr>
        <w:t xml:space="preserve">”). </w:t>
      </w:r>
    </w:p>
    <w:p w:rsidR="00436EB9" w:rsidRDefault="009E5500" w:rsidP="00A206BA">
      <w:pPr>
        <w:pStyle w:val="Body"/>
        <w:rPr>
          <w:rFonts w:ascii="Times New Roman" w:hAnsi="Times New Roman"/>
        </w:rPr>
      </w:pPr>
      <w:r>
        <w:rPr>
          <w:rFonts w:ascii="Times New Roman" w:hAnsi="Times New Roman"/>
        </w:rPr>
        <w:t xml:space="preserve">Capitalised terms used but not otherwise defined in this announcement have the same meaning as assigned to them in the Tender Offer Memorandum. </w:t>
      </w:r>
    </w:p>
    <w:p w:rsidR="00697824" w:rsidRDefault="003B4255" w:rsidP="00006392">
      <w:pPr>
        <w:pStyle w:val="Body"/>
        <w:rPr>
          <w:rFonts w:ascii="Times New Roman" w:hAnsi="Times New Roman"/>
        </w:rPr>
      </w:pPr>
      <w:r>
        <w:rPr>
          <w:rFonts w:ascii="Times New Roman" w:hAnsi="Times New Roman"/>
        </w:rPr>
        <w:t xml:space="preserve">Each </w:t>
      </w:r>
      <w:r w:rsidR="009E5500">
        <w:rPr>
          <w:rFonts w:ascii="Times New Roman" w:hAnsi="Times New Roman"/>
        </w:rPr>
        <w:t>Offeror hereby announces that it will accept for purchase all Notes validly tendered under the relevant Offers and that:</w:t>
      </w:r>
    </w:p>
    <w:p w:rsidR="009945FB" w:rsidRPr="00414EDF" w:rsidRDefault="009E5500" w:rsidP="00414EDF">
      <w:pPr>
        <w:pStyle w:val="roman1"/>
        <w:rPr>
          <w:rFonts w:ascii="Times New Roman" w:hAnsi="Times New Roman"/>
        </w:rPr>
      </w:pPr>
      <w:r>
        <w:rPr>
          <w:rFonts w:ascii="Times New Roman" w:hAnsi="Times New Roman"/>
        </w:rPr>
        <w:t>the aggregate principal amount of each Series of Notes validly accepted for purchase</w:t>
      </w:r>
      <w:r w:rsidRPr="00414EDF">
        <w:rPr>
          <w:rFonts w:ascii="Times New Roman" w:hAnsi="Times New Roman"/>
        </w:rPr>
        <w:t xml:space="preserve">; </w:t>
      </w:r>
    </w:p>
    <w:p w:rsidR="008B7675" w:rsidRPr="008B3D58" w:rsidRDefault="009E5500" w:rsidP="00BA19D6">
      <w:pPr>
        <w:pStyle w:val="roman1"/>
        <w:rPr>
          <w:rFonts w:ascii="Times New Roman" w:hAnsi="Times New Roman"/>
        </w:rPr>
      </w:pPr>
      <w:r>
        <w:rPr>
          <w:rFonts w:ascii="Times New Roman" w:hAnsi="Times New Roman"/>
        </w:rPr>
        <w:t xml:space="preserve">the relevant Purchase Price </w:t>
      </w:r>
      <w:r w:rsidRPr="00F03CA0">
        <w:rPr>
          <w:rFonts w:ascii="Times New Roman" w:hAnsi="Times New Roman"/>
        </w:rPr>
        <w:t>in respect of each Series</w:t>
      </w:r>
      <w:r>
        <w:rPr>
          <w:rFonts w:ascii="Times New Roman" w:hAnsi="Times New Roman"/>
        </w:rPr>
        <w:t xml:space="preserve"> of Notes so accepted; and</w:t>
      </w:r>
    </w:p>
    <w:p w:rsidR="007D02C0" w:rsidRDefault="009E5500" w:rsidP="00697824">
      <w:pPr>
        <w:pStyle w:val="roman1"/>
        <w:rPr>
          <w:rFonts w:ascii="Times New Roman" w:hAnsi="Times New Roman"/>
        </w:rPr>
      </w:pPr>
      <w:r w:rsidRPr="007D02C0">
        <w:rPr>
          <w:rFonts w:ascii="Times New Roman" w:hAnsi="Times New Roman"/>
        </w:rPr>
        <w:t xml:space="preserve">the relevant </w:t>
      </w:r>
      <w:r w:rsidR="003B4255">
        <w:rPr>
          <w:rFonts w:ascii="Times New Roman" w:hAnsi="Times New Roman"/>
        </w:rPr>
        <w:t xml:space="preserve">Fixed </w:t>
      </w:r>
      <w:r w:rsidR="00F90404">
        <w:rPr>
          <w:rFonts w:ascii="Times New Roman" w:hAnsi="Times New Roman"/>
        </w:rPr>
        <w:t xml:space="preserve">Spread Note </w:t>
      </w:r>
      <w:r w:rsidR="003B4255">
        <w:rPr>
          <w:rFonts w:ascii="Times New Roman" w:hAnsi="Times New Roman"/>
        </w:rPr>
        <w:t xml:space="preserve">Purchase </w:t>
      </w:r>
      <w:r w:rsidR="00F90404">
        <w:rPr>
          <w:rFonts w:ascii="Times New Roman" w:hAnsi="Times New Roman"/>
        </w:rPr>
        <w:t>Yield</w:t>
      </w:r>
      <w:r w:rsidRPr="007D02C0">
        <w:rPr>
          <w:rFonts w:ascii="Times New Roman" w:hAnsi="Times New Roman"/>
        </w:rPr>
        <w:t xml:space="preserve"> </w:t>
      </w:r>
      <w:r>
        <w:rPr>
          <w:rFonts w:ascii="Times New Roman" w:hAnsi="Times New Roman"/>
        </w:rPr>
        <w:t xml:space="preserve">and Benchmark Rate </w:t>
      </w:r>
      <w:r w:rsidRPr="007D02C0">
        <w:rPr>
          <w:rFonts w:ascii="Times New Roman" w:hAnsi="Times New Roman"/>
        </w:rPr>
        <w:t xml:space="preserve">for each Series of the </w:t>
      </w:r>
      <w:r w:rsidR="003B4255">
        <w:rPr>
          <w:rFonts w:ascii="Times New Roman" w:hAnsi="Times New Roman"/>
        </w:rPr>
        <w:t>Fixed Spread</w:t>
      </w:r>
      <w:r w:rsidR="003B4255" w:rsidRPr="007D02C0">
        <w:rPr>
          <w:rFonts w:ascii="Times New Roman" w:hAnsi="Times New Roman"/>
        </w:rPr>
        <w:t xml:space="preserve"> </w:t>
      </w:r>
      <w:r w:rsidRPr="007D02C0">
        <w:rPr>
          <w:rFonts w:ascii="Times New Roman" w:hAnsi="Times New Roman"/>
        </w:rPr>
        <w:t>Notes so accepted</w:t>
      </w:r>
      <w:r>
        <w:rPr>
          <w:rFonts w:ascii="Times New Roman" w:hAnsi="Times New Roman"/>
        </w:rPr>
        <w:t>,</w:t>
      </w:r>
    </w:p>
    <w:p w:rsidR="00ED42A7" w:rsidRPr="007D02C0" w:rsidRDefault="009E5500" w:rsidP="007D02C0">
      <w:pPr>
        <w:pStyle w:val="roman1"/>
        <w:numPr>
          <w:ilvl w:val="0"/>
          <w:numId w:val="0"/>
        </w:numPr>
        <w:ind w:left="680"/>
        <w:rPr>
          <w:rFonts w:ascii="Times New Roman" w:hAnsi="Times New Roman"/>
        </w:rPr>
      </w:pPr>
      <w:r w:rsidRPr="007D02C0">
        <w:rPr>
          <w:rFonts w:ascii="Times New Roman" w:hAnsi="Times New Roman"/>
        </w:rPr>
        <w:t xml:space="preserve">are as follows: </w:t>
      </w:r>
    </w:p>
    <w:tbl>
      <w:tblPr>
        <w:tblW w:w="8947" w:type="dxa"/>
        <w:jc w:val="center"/>
        <w:tblLayout w:type="fixed"/>
        <w:tblLook w:val="01E0" w:firstRow="1" w:lastRow="1" w:firstColumn="1" w:lastColumn="1" w:noHBand="0" w:noVBand="0"/>
      </w:tblPr>
      <w:tblGrid>
        <w:gridCol w:w="1101"/>
        <w:gridCol w:w="1274"/>
        <w:gridCol w:w="993"/>
        <w:gridCol w:w="1276"/>
        <w:gridCol w:w="993"/>
        <w:gridCol w:w="991"/>
        <w:gridCol w:w="846"/>
        <w:gridCol w:w="750"/>
        <w:gridCol w:w="723"/>
      </w:tblGrid>
      <w:tr w:rsidR="009A3352" w:rsidTr="00CF7E19">
        <w:trPr>
          <w:cantSplit/>
          <w:trHeight w:val="472"/>
          <w:jc w:val="center"/>
        </w:trPr>
        <w:tc>
          <w:tcPr>
            <w:tcW w:w="615" w:type="pct"/>
            <w:tcBorders>
              <w:bottom w:val="single" w:sz="4" w:space="0" w:color="auto"/>
              <w:right w:val="single" w:sz="4" w:space="0" w:color="auto"/>
            </w:tcBorders>
            <w:shd w:val="clear" w:color="auto" w:fill="auto"/>
          </w:tcPr>
          <w:p w:rsidR="003B4255" w:rsidRPr="00785F84" w:rsidRDefault="003B4255" w:rsidP="008B3D58">
            <w:pPr>
              <w:pStyle w:val="AODocTxt"/>
              <w:numPr>
                <w:ilvl w:val="0"/>
                <w:numId w:val="0"/>
              </w:numPr>
              <w:spacing w:before="60" w:line="240" w:lineRule="auto"/>
              <w:jc w:val="center"/>
              <w:rPr>
                <w:b/>
                <w:sz w:val="13"/>
                <w:szCs w:val="13"/>
              </w:rPr>
            </w:pPr>
            <w:r w:rsidRPr="00785F84">
              <w:rPr>
                <w:b/>
                <w:sz w:val="13"/>
                <w:szCs w:val="13"/>
              </w:rPr>
              <w:t>Title of Series</w:t>
            </w:r>
          </w:p>
        </w:tc>
        <w:tc>
          <w:tcPr>
            <w:tcW w:w="712" w:type="pct"/>
            <w:tcBorders>
              <w:left w:val="single" w:sz="4" w:space="0" w:color="auto"/>
              <w:bottom w:val="single" w:sz="4" w:space="0" w:color="auto"/>
              <w:right w:val="single" w:sz="4" w:space="0" w:color="auto"/>
            </w:tcBorders>
            <w:shd w:val="clear" w:color="auto" w:fill="auto"/>
          </w:tcPr>
          <w:p w:rsidR="003B4255" w:rsidRPr="00785F84" w:rsidRDefault="003B4255" w:rsidP="008B3D58">
            <w:pPr>
              <w:pStyle w:val="AODocTxt"/>
              <w:numPr>
                <w:ilvl w:val="0"/>
                <w:numId w:val="0"/>
              </w:numPr>
              <w:spacing w:before="60" w:line="240" w:lineRule="auto"/>
              <w:jc w:val="center"/>
              <w:rPr>
                <w:b/>
                <w:sz w:val="13"/>
                <w:szCs w:val="13"/>
              </w:rPr>
            </w:pPr>
            <w:r w:rsidRPr="00785F84">
              <w:rPr>
                <w:b/>
                <w:sz w:val="13"/>
                <w:szCs w:val="13"/>
              </w:rPr>
              <w:t>ISIN</w:t>
            </w:r>
            <w:r>
              <w:rPr>
                <w:b/>
                <w:sz w:val="13"/>
                <w:szCs w:val="13"/>
              </w:rPr>
              <w:t xml:space="preserve"> / Common Code</w:t>
            </w:r>
          </w:p>
        </w:tc>
        <w:tc>
          <w:tcPr>
            <w:tcW w:w="555" w:type="pct"/>
            <w:tcBorders>
              <w:left w:val="single" w:sz="4" w:space="0" w:color="auto"/>
              <w:bottom w:val="single" w:sz="4" w:space="0" w:color="auto"/>
              <w:right w:val="single" w:sz="4" w:space="0" w:color="auto"/>
            </w:tcBorders>
          </w:tcPr>
          <w:p w:rsidR="003B4255" w:rsidRPr="00785F84" w:rsidRDefault="003B4255" w:rsidP="001F3761">
            <w:pPr>
              <w:pStyle w:val="AODocTxt"/>
              <w:spacing w:before="60" w:line="240" w:lineRule="auto"/>
              <w:jc w:val="center"/>
              <w:rPr>
                <w:b/>
                <w:sz w:val="13"/>
                <w:szCs w:val="13"/>
              </w:rPr>
            </w:pPr>
            <w:r>
              <w:rPr>
                <w:b/>
                <w:sz w:val="13"/>
                <w:szCs w:val="13"/>
              </w:rPr>
              <w:t>Issuer and Offeror</w:t>
            </w:r>
          </w:p>
        </w:tc>
        <w:tc>
          <w:tcPr>
            <w:tcW w:w="713" w:type="pct"/>
            <w:tcBorders>
              <w:left w:val="single" w:sz="4" w:space="0" w:color="auto"/>
              <w:bottom w:val="single" w:sz="4" w:space="0" w:color="auto"/>
              <w:right w:val="single" w:sz="4" w:space="0" w:color="auto"/>
            </w:tcBorders>
          </w:tcPr>
          <w:p w:rsidR="003B4255" w:rsidRPr="00785F84" w:rsidRDefault="003B4255" w:rsidP="001F3761">
            <w:pPr>
              <w:pStyle w:val="AODocTxt"/>
              <w:spacing w:before="60" w:line="240" w:lineRule="auto"/>
              <w:jc w:val="center"/>
              <w:rPr>
                <w:b/>
                <w:sz w:val="13"/>
                <w:szCs w:val="13"/>
              </w:rPr>
            </w:pPr>
            <w:r w:rsidRPr="00785F84">
              <w:rPr>
                <w:b/>
                <w:sz w:val="13"/>
                <w:szCs w:val="13"/>
              </w:rPr>
              <w:t>Current Principal Amount Outstanding (Principal Amount Outstanding post-settlement of the Offers)</w:t>
            </w:r>
          </w:p>
        </w:tc>
        <w:tc>
          <w:tcPr>
            <w:tcW w:w="555" w:type="pct"/>
            <w:tcBorders>
              <w:left w:val="single" w:sz="4" w:space="0" w:color="auto"/>
              <w:bottom w:val="single" w:sz="4" w:space="0" w:color="auto"/>
              <w:right w:val="single" w:sz="4" w:space="0" w:color="auto"/>
            </w:tcBorders>
          </w:tcPr>
          <w:p w:rsidR="003B4255" w:rsidRPr="00785F84" w:rsidRDefault="003B4255" w:rsidP="00844373">
            <w:pPr>
              <w:pStyle w:val="AODocTxt"/>
              <w:spacing w:before="60" w:line="240" w:lineRule="auto"/>
              <w:jc w:val="center"/>
              <w:rPr>
                <w:b/>
                <w:sz w:val="13"/>
                <w:szCs w:val="13"/>
              </w:rPr>
            </w:pPr>
            <w:r>
              <w:rPr>
                <w:b/>
                <w:sz w:val="13"/>
                <w:szCs w:val="13"/>
              </w:rPr>
              <w:t>Aggregate Principal Amount accepted for purchase</w:t>
            </w:r>
          </w:p>
        </w:tc>
        <w:tc>
          <w:tcPr>
            <w:tcW w:w="554" w:type="pct"/>
            <w:tcBorders>
              <w:left w:val="single" w:sz="4" w:space="0" w:color="auto"/>
              <w:bottom w:val="single" w:sz="4" w:space="0" w:color="auto"/>
            </w:tcBorders>
          </w:tcPr>
          <w:p w:rsidR="003B4255" w:rsidRPr="00785F84" w:rsidRDefault="003B4255" w:rsidP="003B7400">
            <w:pPr>
              <w:pStyle w:val="AODocTxt"/>
              <w:spacing w:before="60" w:line="240" w:lineRule="auto"/>
              <w:jc w:val="center"/>
              <w:rPr>
                <w:bCs/>
                <w:sz w:val="13"/>
                <w:szCs w:val="13"/>
              </w:rPr>
            </w:pPr>
            <w:r w:rsidRPr="00785F84">
              <w:rPr>
                <w:b/>
                <w:sz w:val="13"/>
                <w:szCs w:val="13"/>
              </w:rPr>
              <w:t xml:space="preserve">Relevant Benchmark </w:t>
            </w:r>
            <w:r>
              <w:rPr>
                <w:b/>
                <w:sz w:val="13"/>
                <w:szCs w:val="13"/>
              </w:rPr>
              <w:t>Rate</w:t>
            </w:r>
          </w:p>
        </w:tc>
        <w:tc>
          <w:tcPr>
            <w:tcW w:w="473" w:type="pct"/>
            <w:tcBorders>
              <w:left w:val="single" w:sz="4" w:space="0" w:color="auto"/>
              <w:bottom w:val="single" w:sz="4" w:space="0" w:color="auto"/>
              <w:right w:val="single" w:sz="4" w:space="0" w:color="auto"/>
            </w:tcBorders>
          </w:tcPr>
          <w:p w:rsidR="003B4255" w:rsidRPr="00785F84" w:rsidRDefault="003B4255" w:rsidP="00F90404">
            <w:pPr>
              <w:pStyle w:val="AODocTxt"/>
              <w:numPr>
                <w:ilvl w:val="0"/>
                <w:numId w:val="0"/>
              </w:numPr>
              <w:spacing w:before="60" w:line="240" w:lineRule="auto"/>
              <w:jc w:val="center"/>
              <w:rPr>
                <w:b/>
                <w:sz w:val="13"/>
                <w:szCs w:val="13"/>
              </w:rPr>
            </w:pPr>
            <w:r>
              <w:rPr>
                <w:b/>
                <w:sz w:val="13"/>
                <w:szCs w:val="13"/>
              </w:rPr>
              <w:t xml:space="preserve">Fixed </w:t>
            </w:r>
            <w:r w:rsidR="00F90404">
              <w:rPr>
                <w:b/>
                <w:sz w:val="13"/>
                <w:szCs w:val="13"/>
              </w:rPr>
              <w:t xml:space="preserve">Spread Note </w:t>
            </w:r>
            <w:r>
              <w:rPr>
                <w:b/>
                <w:sz w:val="13"/>
                <w:szCs w:val="13"/>
              </w:rPr>
              <w:t xml:space="preserve">Purchase </w:t>
            </w:r>
            <w:r w:rsidR="00F90404">
              <w:rPr>
                <w:b/>
                <w:sz w:val="13"/>
                <w:szCs w:val="13"/>
              </w:rPr>
              <w:t>Yield</w:t>
            </w:r>
            <w:r>
              <w:rPr>
                <w:b/>
                <w:sz w:val="13"/>
                <w:szCs w:val="13"/>
              </w:rPr>
              <w:t xml:space="preserve"> </w:t>
            </w:r>
          </w:p>
        </w:tc>
        <w:tc>
          <w:tcPr>
            <w:tcW w:w="419" w:type="pct"/>
            <w:tcBorders>
              <w:left w:val="single" w:sz="4" w:space="0" w:color="auto"/>
              <w:bottom w:val="single" w:sz="4" w:space="0" w:color="auto"/>
            </w:tcBorders>
          </w:tcPr>
          <w:p w:rsidR="003B4255" w:rsidRPr="00785F84" w:rsidRDefault="003B4255" w:rsidP="00B51A77">
            <w:pPr>
              <w:pStyle w:val="AODocTxt"/>
              <w:numPr>
                <w:ilvl w:val="0"/>
                <w:numId w:val="0"/>
              </w:numPr>
              <w:spacing w:before="60" w:line="240" w:lineRule="auto"/>
              <w:jc w:val="center"/>
              <w:rPr>
                <w:b/>
                <w:sz w:val="13"/>
                <w:szCs w:val="13"/>
                <w:vertAlign w:val="superscript"/>
              </w:rPr>
            </w:pPr>
            <w:r w:rsidRPr="00785F84">
              <w:rPr>
                <w:b/>
                <w:sz w:val="13"/>
                <w:szCs w:val="13"/>
              </w:rPr>
              <w:t>Purchase Price*</w:t>
            </w:r>
          </w:p>
        </w:tc>
        <w:tc>
          <w:tcPr>
            <w:tcW w:w="404" w:type="pct"/>
            <w:tcBorders>
              <w:left w:val="single" w:sz="4" w:space="0" w:color="auto"/>
              <w:bottom w:val="single" w:sz="4" w:space="0" w:color="auto"/>
            </w:tcBorders>
          </w:tcPr>
          <w:p w:rsidR="003B4255" w:rsidRPr="00785F84" w:rsidRDefault="003B4255" w:rsidP="008B3D58">
            <w:pPr>
              <w:pStyle w:val="AODocTxt"/>
              <w:numPr>
                <w:ilvl w:val="0"/>
                <w:numId w:val="0"/>
              </w:numPr>
              <w:spacing w:before="60" w:line="240" w:lineRule="auto"/>
              <w:jc w:val="center"/>
              <w:rPr>
                <w:b/>
                <w:sz w:val="13"/>
                <w:szCs w:val="13"/>
                <w:vertAlign w:val="superscript"/>
              </w:rPr>
            </w:pPr>
            <w:r w:rsidRPr="00785F84">
              <w:rPr>
                <w:b/>
                <w:sz w:val="13"/>
                <w:szCs w:val="13"/>
              </w:rPr>
              <w:t>Accrued Interest**</w:t>
            </w:r>
          </w:p>
        </w:tc>
      </w:tr>
      <w:tr w:rsidR="003B4255" w:rsidTr="003B4255">
        <w:trPr>
          <w:cantSplit/>
          <w:trHeight w:val="302"/>
          <w:jc w:val="center"/>
        </w:trPr>
        <w:tc>
          <w:tcPr>
            <w:tcW w:w="5000" w:type="pct"/>
            <w:gridSpan w:val="9"/>
            <w:tcBorders>
              <w:bottom w:val="single" w:sz="4" w:space="0" w:color="auto"/>
            </w:tcBorders>
          </w:tcPr>
          <w:p w:rsidR="003B4255" w:rsidRPr="00785F84" w:rsidRDefault="003B4255" w:rsidP="00FB1FC1">
            <w:pPr>
              <w:pStyle w:val="AODocTxt"/>
              <w:numPr>
                <w:ilvl w:val="0"/>
                <w:numId w:val="0"/>
              </w:numPr>
              <w:spacing w:before="60" w:line="240" w:lineRule="auto"/>
              <w:jc w:val="left"/>
              <w:rPr>
                <w:b/>
                <w:sz w:val="13"/>
                <w:szCs w:val="13"/>
              </w:rPr>
            </w:pPr>
            <w:r>
              <w:rPr>
                <w:b/>
                <w:sz w:val="13"/>
                <w:szCs w:val="13"/>
              </w:rPr>
              <w:t>Fixed Yield Notes</w:t>
            </w:r>
          </w:p>
        </w:tc>
      </w:tr>
      <w:tr w:rsidR="009A3352" w:rsidTr="00CF7E19">
        <w:trPr>
          <w:cantSplit/>
          <w:trHeight w:val="472"/>
          <w:jc w:val="center"/>
        </w:trPr>
        <w:tc>
          <w:tcPr>
            <w:tcW w:w="615" w:type="pct"/>
            <w:tcBorders>
              <w:top w:val="single" w:sz="4" w:space="0" w:color="auto"/>
              <w:bottom w:val="single" w:sz="4" w:space="0" w:color="auto"/>
              <w:right w:val="single" w:sz="4" w:space="0" w:color="auto"/>
            </w:tcBorders>
            <w:shd w:val="clear" w:color="auto" w:fill="auto"/>
            <w:vAlign w:val="center"/>
          </w:tcPr>
          <w:p w:rsidR="00C85DF6" w:rsidRPr="00CE3F88" w:rsidRDefault="00C85DF6" w:rsidP="00AD1D56">
            <w:pPr>
              <w:pStyle w:val="AODocTxt"/>
              <w:numPr>
                <w:ilvl w:val="0"/>
                <w:numId w:val="0"/>
              </w:numPr>
              <w:spacing w:before="60" w:line="240" w:lineRule="auto"/>
              <w:jc w:val="center"/>
              <w:rPr>
                <w:bCs/>
                <w:sz w:val="13"/>
                <w:szCs w:val="13"/>
              </w:rPr>
            </w:pPr>
            <w:r w:rsidRPr="00C85DF6">
              <w:rPr>
                <w:bCs/>
                <w:sz w:val="13"/>
                <w:szCs w:val="13"/>
              </w:rPr>
              <w:t>€1,250,000,000 1.50 per cent. Notes due 2016</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85DF6" w:rsidRPr="00CD346A" w:rsidRDefault="00C85DF6" w:rsidP="00440B9E">
            <w:pPr>
              <w:pStyle w:val="AODocTxt"/>
              <w:numPr>
                <w:ilvl w:val="0"/>
                <w:numId w:val="0"/>
              </w:numPr>
              <w:spacing w:before="60" w:line="240" w:lineRule="auto"/>
              <w:jc w:val="center"/>
              <w:rPr>
                <w:bCs/>
                <w:sz w:val="13"/>
                <w:szCs w:val="13"/>
              </w:rPr>
            </w:pPr>
            <w:r w:rsidRPr="00C85DF6">
              <w:rPr>
                <w:bCs/>
                <w:sz w:val="13"/>
                <w:szCs w:val="13"/>
              </w:rPr>
              <w:t>XS0997797054 / 099779705</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C85DF6" w:rsidP="003B4255">
            <w:pPr>
              <w:pStyle w:val="AODocTxt"/>
              <w:numPr>
                <w:ilvl w:val="0"/>
                <w:numId w:val="0"/>
              </w:numPr>
              <w:spacing w:before="60" w:line="240" w:lineRule="auto"/>
              <w:jc w:val="center"/>
              <w:rPr>
                <w:bCs/>
                <w:sz w:val="13"/>
                <w:szCs w:val="13"/>
              </w:rPr>
            </w:pPr>
            <w:proofErr w:type="spellStart"/>
            <w:r>
              <w:rPr>
                <w:bCs/>
                <w:sz w:val="13"/>
                <w:szCs w:val="13"/>
              </w:rPr>
              <w:t>RBSG</w:t>
            </w:r>
            <w:proofErr w:type="spellEnd"/>
            <w:r>
              <w:rPr>
                <w:bCs/>
                <w:sz w:val="13"/>
                <w:szCs w:val="13"/>
              </w:rPr>
              <w:t xml:space="preserve"> plc</w:t>
            </w:r>
          </w:p>
        </w:tc>
        <w:tc>
          <w:tcPr>
            <w:tcW w:w="713" w:type="pct"/>
            <w:tcBorders>
              <w:top w:val="single" w:sz="4" w:space="0" w:color="auto"/>
              <w:left w:val="single" w:sz="4" w:space="0" w:color="auto"/>
              <w:bottom w:val="single" w:sz="4" w:space="0" w:color="auto"/>
              <w:right w:val="single" w:sz="4" w:space="0" w:color="auto"/>
            </w:tcBorders>
            <w:vAlign w:val="center"/>
          </w:tcPr>
          <w:p w:rsidR="00C85DF6" w:rsidRPr="00CD346A" w:rsidRDefault="00A65AE0" w:rsidP="00C85DF6">
            <w:pPr>
              <w:pStyle w:val="AODocTxt"/>
              <w:numPr>
                <w:ilvl w:val="0"/>
                <w:numId w:val="0"/>
              </w:numPr>
              <w:spacing w:before="60" w:line="240" w:lineRule="auto"/>
              <w:jc w:val="center"/>
              <w:rPr>
                <w:bCs/>
                <w:sz w:val="13"/>
                <w:szCs w:val="13"/>
              </w:rPr>
            </w:pPr>
            <w:r w:rsidRPr="00CD346A">
              <w:rPr>
                <w:bCs/>
                <w:sz w:val="13"/>
                <w:szCs w:val="13"/>
              </w:rPr>
              <w:t>€</w:t>
            </w:r>
            <w:r>
              <w:rPr>
                <w:bCs/>
                <w:sz w:val="13"/>
                <w:szCs w:val="13"/>
              </w:rPr>
              <w:t>1,250,000,000</w:t>
            </w:r>
          </w:p>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406,113,000</w:t>
            </w:r>
            <w:r w:rsidRPr="00CD346A">
              <w:rPr>
                <w:bCs/>
                <w:sz w:val="13"/>
                <w:szCs w:val="13"/>
              </w:rPr>
              <w:t>)</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DF0F32"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843,887,000</w:t>
            </w:r>
          </w:p>
        </w:tc>
        <w:tc>
          <w:tcPr>
            <w:tcW w:w="554" w:type="pct"/>
            <w:tcBorders>
              <w:top w:val="single" w:sz="4" w:space="0" w:color="auto"/>
              <w:left w:val="single" w:sz="4" w:space="0" w:color="auto"/>
              <w:bottom w:val="single" w:sz="4" w:space="0" w:color="auto"/>
            </w:tcBorders>
            <w:vAlign w:val="center"/>
          </w:tcPr>
          <w:p w:rsidR="00C85DF6" w:rsidRPr="00CD346A" w:rsidRDefault="00C85DF6" w:rsidP="00B51A77">
            <w:pPr>
              <w:pStyle w:val="AODocTxt"/>
              <w:numPr>
                <w:ilvl w:val="0"/>
                <w:numId w:val="0"/>
              </w:numPr>
              <w:spacing w:before="60" w:line="240" w:lineRule="auto"/>
              <w:jc w:val="center"/>
              <w:rPr>
                <w:bCs/>
                <w:sz w:val="13"/>
                <w:szCs w:val="13"/>
              </w:rPr>
            </w:pPr>
            <w:r>
              <w:rPr>
                <w:bCs/>
                <w:sz w:val="13"/>
                <w:szCs w:val="13"/>
              </w:rPr>
              <w:t>N/A</w:t>
            </w:r>
          </w:p>
        </w:tc>
        <w:tc>
          <w:tcPr>
            <w:tcW w:w="473" w:type="pct"/>
            <w:tcBorders>
              <w:top w:val="single" w:sz="4" w:space="0" w:color="auto"/>
              <w:left w:val="single" w:sz="4" w:space="0" w:color="auto"/>
              <w:bottom w:val="single" w:sz="4" w:space="0" w:color="auto"/>
              <w:right w:val="single" w:sz="4" w:space="0" w:color="auto"/>
            </w:tcBorders>
            <w:vAlign w:val="center"/>
          </w:tcPr>
          <w:p w:rsidR="00C85DF6" w:rsidRPr="00CD346A" w:rsidRDefault="00C85DF6" w:rsidP="00B51A77">
            <w:pPr>
              <w:pStyle w:val="AODocTxt"/>
              <w:numPr>
                <w:ilvl w:val="0"/>
                <w:numId w:val="0"/>
              </w:numPr>
              <w:spacing w:before="60" w:line="240" w:lineRule="auto"/>
              <w:jc w:val="center"/>
              <w:rPr>
                <w:bCs/>
                <w:sz w:val="13"/>
                <w:szCs w:val="13"/>
              </w:rPr>
            </w:pPr>
            <w:r>
              <w:rPr>
                <w:bCs/>
                <w:sz w:val="13"/>
                <w:szCs w:val="13"/>
              </w:rPr>
              <w:t>N/A</w:t>
            </w:r>
          </w:p>
        </w:tc>
        <w:tc>
          <w:tcPr>
            <w:tcW w:w="419" w:type="pct"/>
            <w:tcBorders>
              <w:top w:val="single" w:sz="4" w:space="0" w:color="auto"/>
              <w:left w:val="single" w:sz="4" w:space="0" w:color="auto"/>
              <w:bottom w:val="single" w:sz="4" w:space="0" w:color="auto"/>
            </w:tcBorders>
            <w:vAlign w:val="center"/>
          </w:tcPr>
          <w:p w:rsidR="00C85DF6" w:rsidRDefault="00A65AE0" w:rsidP="00A57840">
            <w:pPr>
              <w:pStyle w:val="AODocTxt"/>
              <w:numPr>
                <w:ilvl w:val="0"/>
                <w:numId w:val="0"/>
              </w:numPr>
              <w:spacing w:before="60" w:line="240" w:lineRule="auto"/>
              <w:jc w:val="center"/>
              <w:rPr>
                <w:bCs/>
                <w:sz w:val="13"/>
                <w:szCs w:val="13"/>
              </w:rPr>
            </w:pPr>
            <w:r>
              <w:rPr>
                <w:bCs/>
                <w:sz w:val="13"/>
                <w:szCs w:val="13"/>
              </w:rPr>
              <w:t>100.947</w:t>
            </w:r>
            <w:r w:rsidRPr="00CD346A">
              <w:rPr>
                <w:bCs/>
                <w:sz w:val="13"/>
                <w:szCs w:val="13"/>
              </w:rPr>
              <w:t>%</w:t>
            </w:r>
          </w:p>
        </w:tc>
        <w:tc>
          <w:tcPr>
            <w:tcW w:w="404" w:type="pct"/>
            <w:tcBorders>
              <w:top w:val="single" w:sz="4" w:space="0" w:color="auto"/>
              <w:left w:val="single" w:sz="4" w:space="0" w:color="auto"/>
              <w:bottom w:val="single" w:sz="4" w:space="0" w:color="auto"/>
            </w:tcBorders>
            <w:vAlign w:val="center"/>
          </w:tcPr>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5.53</w:t>
            </w:r>
          </w:p>
        </w:tc>
      </w:tr>
      <w:tr w:rsidR="009A3352" w:rsidTr="00CF7E19">
        <w:trPr>
          <w:cantSplit/>
          <w:trHeight w:val="472"/>
          <w:jc w:val="center"/>
        </w:trPr>
        <w:tc>
          <w:tcPr>
            <w:tcW w:w="615" w:type="pct"/>
            <w:tcBorders>
              <w:top w:val="single" w:sz="4" w:space="0" w:color="auto"/>
              <w:bottom w:val="single" w:sz="4" w:space="0" w:color="auto"/>
              <w:right w:val="single" w:sz="4" w:space="0" w:color="auto"/>
            </w:tcBorders>
            <w:shd w:val="clear" w:color="auto" w:fill="auto"/>
            <w:vAlign w:val="center"/>
          </w:tcPr>
          <w:p w:rsidR="003B4255" w:rsidRPr="00785F84" w:rsidRDefault="003B4255" w:rsidP="00AD1D56">
            <w:pPr>
              <w:pStyle w:val="AODocTxt"/>
              <w:numPr>
                <w:ilvl w:val="0"/>
                <w:numId w:val="0"/>
              </w:numPr>
              <w:spacing w:before="60" w:line="240" w:lineRule="auto"/>
              <w:jc w:val="center"/>
              <w:rPr>
                <w:bCs/>
                <w:sz w:val="13"/>
                <w:szCs w:val="13"/>
              </w:rPr>
            </w:pPr>
            <w:r w:rsidRPr="00CE3F88">
              <w:rPr>
                <w:bCs/>
                <w:sz w:val="13"/>
                <w:szCs w:val="13"/>
              </w:rPr>
              <w:t>€2,000,000,000 4.875 per cent. Notes due 2017</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3B4255" w:rsidRPr="00CD346A" w:rsidRDefault="003B4255" w:rsidP="00440B9E">
            <w:pPr>
              <w:pStyle w:val="AODocTxt"/>
              <w:numPr>
                <w:ilvl w:val="0"/>
                <w:numId w:val="0"/>
              </w:numPr>
              <w:spacing w:before="60" w:line="240" w:lineRule="auto"/>
              <w:jc w:val="center"/>
              <w:rPr>
                <w:bCs/>
                <w:sz w:val="13"/>
                <w:szCs w:val="13"/>
              </w:rPr>
            </w:pPr>
            <w:r w:rsidRPr="00CD346A">
              <w:rPr>
                <w:bCs/>
                <w:sz w:val="13"/>
                <w:szCs w:val="13"/>
              </w:rPr>
              <w:t>XS0480133338 / 048013333</w:t>
            </w:r>
          </w:p>
        </w:tc>
        <w:tc>
          <w:tcPr>
            <w:tcW w:w="555" w:type="pct"/>
            <w:tcBorders>
              <w:top w:val="single" w:sz="4" w:space="0" w:color="auto"/>
              <w:left w:val="single" w:sz="4" w:space="0" w:color="auto"/>
              <w:bottom w:val="single" w:sz="4" w:space="0" w:color="auto"/>
              <w:right w:val="single" w:sz="4" w:space="0" w:color="auto"/>
            </w:tcBorders>
            <w:vAlign w:val="center"/>
          </w:tcPr>
          <w:p w:rsidR="003B4255" w:rsidRPr="00CD346A" w:rsidRDefault="00C85DF6" w:rsidP="003B4255">
            <w:pPr>
              <w:pStyle w:val="AODocTxt"/>
              <w:numPr>
                <w:ilvl w:val="0"/>
                <w:numId w:val="0"/>
              </w:numPr>
              <w:spacing w:before="60" w:line="240" w:lineRule="auto"/>
              <w:jc w:val="center"/>
              <w:rPr>
                <w:bCs/>
                <w:sz w:val="13"/>
                <w:szCs w:val="13"/>
              </w:rPr>
            </w:pPr>
            <w:proofErr w:type="spellStart"/>
            <w:r>
              <w:rPr>
                <w:bCs/>
                <w:sz w:val="13"/>
                <w:szCs w:val="13"/>
              </w:rPr>
              <w:t>RBS</w:t>
            </w:r>
            <w:proofErr w:type="spellEnd"/>
            <w:r>
              <w:rPr>
                <w:bCs/>
                <w:sz w:val="13"/>
                <w:szCs w:val="13"/>
              </w:rPr>
              <w:t xml:space="preserve"> plc</w:t>
            </w:r>
          </w:p>
        </w:tc>
        <w:tc>
          <w:tcPr>
            <w:tcW w:w="713" w:type="pct"/>
            <w:tcBorders>
              <w:top w:val="single" w:sz="4" w:space="0" w:color="auto"/>
              <w:left w:val="single" w:sz="4" w:space="0" w:color="auto"/>
              <w:bottom w:val="single" w:sz="4" w:space="0" w:color="auto"/>
              <w:right w:val="single" w:sz="4" w:space="0" w:color="auto"/>
            </w:tcBorders>
            <w:vAlign w:val="center"/>
          </w:tcPr>
          <w:p w:rsidR="003B4255" w:rsidRPr="00CD346A" w:rsidRDefault="00A65AE0" w:rsidP="00E3565B">
            <w:pPr>
              <w:pStyle w:val="AODocTxt"/>
              <w:numPr>
                <w:ilvl w:val="0"/>
                <w:numId w:val="0"/>
              </w:numPr>
              <w:spacing w:before="60" w:line="240" w:lineRule="auto"/>
              <w:jc w:val="center"/>
              <w:rPr>
                <w:bCs/>
                <w:sz w:val="13"/>
                <w:szCs w:val="13"/>
              </w:rPr>
            </w:pPr>
            <w:r w:rsidRPr="00CD346A">
              <w:rPr>
                <w:bCs/>
                <w:sz w:val="13"/>
                <w:szCs w:val="13"/>
              </w:rPr>
              <w:t>€</w:t>
            </w:r>
            <w:r>
              <w:rPr>
                <w:bCs/>
                <w:sz w:val="13"/>
                <w:szCs w:val="13"/>
              </w:rPr>
              <w:t>890,250,000</w:t>
            </w:r>
          </w:p>
          <w:p w:rsidR="003B4255"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799,800,000</w:t>
            </w:r>
            <w:r w:rsidRPr="00CD346A">
              <w:rPr>
                <w:bCs/>
                <w:sz w:val="13"/>
                <w:szCs w:val="13"/>
              </w:rPr>
              <w:t>)</w:t>
            </w:r>
          </w:p>
        </w:tc>
        <w:tc>
          <w:tcPr>
            <w:tcW w:w="555" w:type="pct"/>
            <w:tcBorders>
              <w:top w:val="single" w:sz="4" w:space="0" w:color="auto"/>
              <w:left w:val="single" w:sz="4" w:space="0" w:color="auto"/>
              <w:bottom w:val="single" w:sz="4" w:space="0" w:color="auto"/>
              <w:right w:val="single" w:sz="4" w:space="0" w:color="auto"/>
            </w:tcBorders>
            <w:vAlign w:val="center"/>
          </w:tcPr>
          <w:p w:rsidR="003B4255" w:rsidRPr="00CD346A" w:rsidRDefault="00A65AE0" w:rsidP="00A65AE0">
            <w:pPr>
              <w:pStyle w:val="AODocTxt"/>
              <w:numPr>
                <w:ilvl w:val="0"/>
                <w:numId w:val="0"/>
              </w:numPr>
              <w:spacing w:before="60" w:line="240" w:lineRule="auto"/>
              <w:jc w:val="center"/>
              <w:rPr>
                <w:bCs/>
                <w:sz w:val="13"/>
                <w:szCs w:val="13"/>
              </w:rPr>
            </w:pPr>
            <w:r w:rsidRPr="00DF0F32">
              <w:rPr>
                <w:bCs/>
                <w:sz w:val="13"/>
                <w:szCs w:val="13"/>
              </w:rPr>
              <w:t>€</w:t>
            </w:r>
            <w:r>
              <w:rPr>
                <w:bCs/>
                <w:sz w:val="13"/>
                <w:szCs w:val="13"/>
              </w:rPr>
              <w:t>90,450,000</w:t>
            </w:r>
          </w:p>
        </w:tc>
        <w:tc>
          <w:tcPr>
            <w:tcW w:w="554" w:type="pct"/>
            <w:tcBorders>
              <w:top w:val="single" w:sz="4" w:space="0" w:color="auto"/>
              <w:left w:val="single" w:sz="4" w:space="0" w:color="auto"/>
              <w:bottom w:val="single" w:sz="4" w:space="0" w:color="auto"/>
            </w:tcBorders>
            <w:vAlign w:val="center"/>
          </w:tcPr>
          <w:p w:rsidR="003B4255" w:rsidRPr="00CD346A" w:rsidRDefault="003B4255" w:rsidP="00B51A77">
            <w:pPr>
              <w:pStyle w:val="AODocTxt"/>
              <w:numPr>
                <w:ilvl w:val="0"/>
                <w:numId w:val="0"/>
              </w:numPr>
              <w:spacing w:before="60" w:line="240" w:lineRule="auto"/>
              <w:jc w:val="center"/>
              <w:rPr>
                <w:bCs/>
                <w:sz w:val="13"/>
                <w:szCs w:val="13"/>
              </w:rPr>
            </w:pPr>
            <w:r w:rsidRPr="00CD346A">
              <w:rPr>
                <w:bCs/>
                <w:sz w:val="13"/>
                <w:szCs w:val="13"/>
              </w:rPr>
              <w:t>N/A</w:t>
            </w:r>
          </w:p>
        </w:tc>
        <w:tc>
          <w:tcPr>
            <w:tcW w:w="473" w:type="pct"/>
            <w:tcBorders>
              <w:top w:val="single" w:sz="4" w:space="0" w:color="auto"/>
              <w:left w:val="single" w:sz="4" w:space="0" w:color="auto"/>
              <w:bottom w:val="single" w:sz="4" w:space="0" w:color="auto"/>
              <w:right w:val="single" w:sz="4" w:space="0" w:color="auto"/>
            </w:tcBorders>
            <w:vAlign w:val="center"/>
          </w:tcPr>
          <w:p w:rsidR="003B4255" w:rsidRPr="00CD346A" w:rsidRDefault="003B4255" w:rsidP="00B51A77">
            <w:pPr>
              <w:pStyle w:val="AODocTxt"/>
              <w:numPr>
                <w:ilvl w:val="0"/>
                <w:numId w:val="0"/>
              </w:numPr>
              <w:spacing w:before="60" w:line="240" w:lineRule="auto"/>
              <w:jc w:val="center"/>
              <w:rPr>
                <w:bCs/>
                <w:sz w:val="13"/>
                <w:szCs w:val="13"/>
              </w:rPr>
            </w:pPr>
            <w:r w:rsidRPr="00CD346A">
              <w:rPr>
                <w:bCs/>
                <w:sz w:val="13"/>
                <w:szCs w:val="13"/>
              </w:rPr>
              <w:t>N/A</w:t>
            </w:r>
            <w:r w:rsidRPr="00CD346A">
              <w:rPr>
                <w:rFonts w:hint="eastAsia"/>
                <w:bCs/>
                <w:sz w:val="13"/>
                <w:szCs w:val="13"/>
              </w:rPr>
              <w:t xml:space="preserve"> </w:t>
            </w:r>
          </w:p>
        </w:tc>
        <w:tc>
          <w:tcPr>
            <w:tcW w:w="419" w:type="pct"/>
            <w:tcBorders>
              <w:top w:val="single" w:sz="4" w:space="0" w:color="auto"/>
              <w:left w:val="single" w:sz="4" w:space="0" w:color="auto"/>
              <w:bottom w:val="single" w:sz="4" w:space="0" w:color="auto"/>
            </w:tcBorders>
            <w:vAlign w:val="center"/>
          </w:tcPr>
          <w:p w:rsidR="003B4255" w:rsidRPr="00CD346A" w:rsidRDefault="00A65AE0" w:rsidP="00712FAA">
            <w:pPr>
              <w:pStyle w:val="AODocTxt"/>
              <w:numPr>
                <w:ilvl w:val="0"/>
                <w:numId w:val="0"/>
              </w:numPr>
              <w:spacing w:before="60" w:line="240" w:lineRule="auto"/>
              <w:jc w:val="center"/>
              <w:rPr>
                <w:bCs/>
                <w:sz w:val="13"/>
                <w:szCs w:val="13"/>
              </w:rPr>
            </w:pPr>
            <w:r>
              <w:rPr>
                <w:bCs/>
                <w:sz w:val="13"/>
                <w:szCs w:val="13"/>
              </w:rPr>
              <w:t>103</w:t>
            </w:r>
            <w:r w:rsidR="00712FAA">
              <w:rPr>
                <w:bCs/>
                <w:sz w:val="13"/>
                <w:szCs w:val="13"/>
              </w:rPr>
              <w:t>.</w:t>
            </w:r>
            <w:r>
              <w:rPr>
                <w:bCs/>
                <w:sz w:val="13"/>
                <w:szCs w:val="13"/>
              </w:rPr>
              <w:t>783</w:t>
            </w:r>
            <w:r w:rsidRPr="00CD346A">
              <w:rPr>
                <w:bCs/>
                <w:sz w:val="13"/>
                <w:szCs w:val="13"/>
              </w:rPr>
              <w:t>%</w:t>
            </w:r>
          </w:p>
        </w:tc>
        <w:tc>
          <w:tcPr>
            <w:tcW w:w="404" w:type="pct"/>
            <w:tcBorders>
              <w:top w:val="single" w:sz="4" w:space="0" w:color="auto"/>
              <w:left w:val="single" w:sz="4" w:space="0" w:color="auto"/>
              <w:bottom w:val="single" w:sz="4" w:space="0" w:color="auto"/>
            </w:tcBorders>
            <w:vAlign w:val="center"/>
          </w:tcPr>
          <w:p w:rsidR="003B4255"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10.92</w:t>
            </w:r>
          </w:p>
        </w:tc>
      </w:tr>
      <w:tr w:rsidR="003B4255" w:rsidTr="003B4255">
        <w:trPr>
          <w:cantSplit/>
          <w:trHeight w:val="301"/>
          <w:jc w:val="center"/>
        </w:trPr>
        <w:tc>
          <w:tcPr>
            <w:tcW w:w="5000" w:type="pct"/>
            <w:gridSpan w:val="9"/>
            <w:tcBorders>
              <w:bottom w:val="single" w:sz="4" w:space="0" w:color="auto"/>
            </w:tcBorders>
          </w:tcPr>
          <w:p w:rsidR="003B4255" w:rsidRPr="00785F84" w:rsidRDefault="003B4255" w:rsidP="00D14DA8">
            <w:pPr>
              <w:pStyle w:val="AODocTxt"/>
              <w:numPr>
                <w:ilvl w:val="0"/>
                <w:numId w:val="0"/>
              </w:numPr>
              <w:spacing w:before="60" w:line="240" w:lineRule="auto"/>
              <w:jc w:val="left"/>
              <w:rPr>
                <w:b/>
                <w:sz w:val="13"/>
                <w:szCs w:val="13"/>
              </w:rPr>
            </w:pPr>
            <w:r>
              <w:rPr>
                <w:b/>
                <w:sz w:val="13"/>
                <w:szCs w:val="13"/>
              </w:rPr>
              <w:t>Fixed Spread Notes</w:t>
            </w:r>
          </w:p>
        </w:tc>
      </w:tr>
      <w:tr w:rsidR="009A3352" w:rsidTr="00CF7E19">
        <w:trPr>
          <w:cantSplit/>
          <w:trHeight w:val="616"/>
          <w:jc w:val="center"/>
        </w:trPr>
        <w:tc>
          <w:tcPr>
            <w:tcW w:w="615" w:type="pct"/>
            <w:tcBorders>
              <w:top w:val="single" w:sz="4" w:space="0" w:color="auto"/>
              <w:bottom w:val="single" w:sz="4" w:space="0" w:color="auto"/>
              <w:right w:val="single" w:sz="4" w:space="0" w:color="auto"/>
            </w:tcBorders>
            <w:shd w:val="clear" w:color="auto" w:fill="auto"/>
            <w:vAlign w:val="center"/>
          </w:tcPr>
          <w:p w:rsidR="00C85DF6" w:rsidRPr="00785F84" w:rsidRDefault="00C85DF6" w:rsidP="00AD1D56">
            <w:pPr>
              <w:pStyle w:val="AODocTxt"/>
              <w:numPr>
                <w:ilvl w:val="0"/>
                <w:numId w:val="0"/>
              </w:numPr>
              <w:spacing w:before="60" w:line="240" w:lineRule="auto"/>
              <w:jc w:val="center"/>
              <w:rPr>
                <w:bCs/>
                <w:sz w:val="13"/>
                <w:szCs w:val="13"/>
              </w:rPr>
            </w:pPr>
            <w:r w:rsidRPr="00CE3F88">
              <w:rPr>
                <w:bCs/>
                <w:sz w:val="13"/>
                <w:szCs w:val="13"/>
              </w:rPr>
              <w:t>£519,943,000 6.00 per cent. Notes due 2017</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85DF6" w:rsidRPr="00CD346A" w:rsidRDefault="00C85DF6" w:rsidP="00440B9E">
            <w:pPr>
              <w:pStyle w:val="AODocTxt"/>
              <w:numPr>
                <w:ilvl w:val="0"/>
                <w:numId w:val="0"/>
              </w:numPr>
              <w:spacing w:before="60" w:line="240" w:lineRule="auto"/>
              <w:jc w:val="center"/>
              <w:rPr>
                <w:bCs/>
                <w:sz w:val="13"/>
                <w:szCs w:val="13"/>
              </w:rPr>
            </w:pPr>
            <w:r w:rsidRPr="00CD346A">
              <w:rPr>
                <w:bCs/>
                <w:sz w:val="13"/>
                <w:szCs w:val="13"/>
              </w:rPr>
              <w:t>XS0497707744 / 049770774</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C85DF6" w:rsidP="003B4255">
            <w:pPr>
              <w:pStyle w:val="AODocTxt"/>
              <w:numPr>
                <w:ilvl w:val="0"/>
                <w:numId w:val="0"/>
              </w:numPr>
              <w:spacing w:before="60" w:line="240" w:lineRule="auto"/>
              <w:jc w:val="center"/>
              <w:rPr>
                <w:bCs/>
                <w:sz w:val="13"/>
                <w:szCs w:val="13"/>
              </w:rPr>
            </w:pPr>
            <w:proofErr w:type="spellStart"/>
            <w:r>
              <w:rPr>
                <w:bCs/>
                <w:sz w:val="13"/>
                <w:szCs w:val="13"/>
              </w:rPr>
              <w:t>RBS</w:t>
            </w:r>
            <w:proofErr w:type="spellEnd"/>
            <w:r>
              <w:rPr>
                <w:bCs/>
                <w:sz w:val="13"/>
                <w:szCs w:val="13"/>
              </w:rPr>
              <w:t xml:space="preserve"> plc</w:t>
            </w:r>
          </w:p>
        </w:tc>
        <w:tc>
          <w:tcPr>
            <w:tcW w:w="713" w:type="pct"/>
            <w:tcBorders>
              <w:top w:val="single" w:sz="4" w:space="0" w:color="auto"/>
              <w:left w:val="single" w:sz="4" w:space="0" w:color="auto"/>
              <w:bottom w:val="single" w:sz="4" w:space="0" w:color="auto"/>
              <w:right w:val="single" w:sz="4" w:space="0" w:color="auto"/>
            </w:tcBorders>
            <w:vAlign w:val="center"/>
          </w:tcPr>
          <w:p w:rsidR="00042B88" w:rsidRDefault="00A65AE0" w:rsidP="00A57840">
            <w:pPr>
              <w:pStyle w:val="AODocTxt"/>
              <w:numPr>
                <w:ilvl w:val="0"/>
                <w:numId w:val="0"/>
              </w:numPr>
              <w:spacing w:before="60" w:line="240" w:lineRule="auto"/>
              <w:jc w:val="center"/>
              <w:rPr>
                <w:bCs/>
                <w:sz w:val="13"/>
                <w:szCs w:val="13"/>
              </w:rPr>
            </w:pPr>
            <w:r w:rsidRPr="00CD346A">
              <w:rPr>
                <w:bCs/>
                <w:sz w:val="13"/>
                <w:szCs w:val="13"/>
              </w:rPr>
              <w:t>£</w:t>
            </w:r>
            <w:r>
              <w:rPr>
                <w:bCs/>
                <w:sz w:val="13"/>
                <w:szCs w:val="13"/>
              </w:rPr>
              <w:t>148,445,000</w:t>
            </w:r>
            <w:r w:rsidRPr="00CD346A" w:rsidDel="00E95E35">
              <w:rPr>
                <w:bCs/>
                <w:sz w:val="13"/>
                <w:szCs w:val="13"/>
              </w:rPr>
              <w:t xml:space="preserve"> </w:t>
            </w:r>
          </w:p>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132,173,000</w:t>
            </w:r>
            <w:r w:rsidRPr="00CD346A">
              <w:rPr>
                <w:bCs/>
                <w:sz w:val="13"/>
                <w:szCs w:val="13"/>
              </w:rPr>
              <w:t>)</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A65AE0" w:rsidP="00A65AE0">
            <w:pPr>
              <w:pStyle w:val="AODocTxt"/>
              <w:numPr>
                <w:ilvl w:val="0"/>
                <w:numId w:val="0"/>
              </w:numPr>
              <w:spacing w:before="60" w:line="240" w:lineRule="auto"/>
              <w:jc w:val="center"/>
              <w:rPr>
                <w:bCs/>
                <w:sz w:val="13"/>
                <w:szCs w:val="13"/>
              </w:rPr>
            </w:pPr>
            <w:r>
              <w:rPr>
                <w:bCs/>
                <w:sz w:val="13"/>
                <w:szCs w:val="13"/>
              </w:rPr>
              <w:t>£16,272,000</w:t>
            </w:r>
          </w:p>
        </w:tc>
        <w:tc>
          <w:tcPr>
            <w:tcW w:w="554" w:type="pct"/>
            <w:tcBorders>
              <w:top w:val="single" w:sz="4" w:space="0" w:color="auto"/>
              <w:left w:val="single" w:sz="4" w:space="0" w:color="auto"/>
              <w:bottom w:val="single" w:sz="4" w:space="0" w:color="auto"/>
            </w:tcBorders>
            <w:vAlign w:val="center"/>
          </w:tcPr>
          <w:p w:rsidR="00C85DF6" w:rsidRPr="00CD346A" w:rsidRDefault="00712FAA" w:rsidP="00B51A77">
            <w:pPr>
              <w:pStyle w:val="AODocTxt"/>
              <w:numPr>
                <w:ilvl w:val="0"/>
                <w:numId w:val="0"/>
              </w:numPr>
              <w:spacing w:before="60" w:line="240" w:lineRule="auto"/>
              <w:jc w:val="center"/>
              <w:rPr>
                <w:bCs/>
                <w:sz w:val="13"/>
                <w:szCs w:val="13"/>
              </w:rPr>
            </w:pPr>
            <w:r>
              <w:rPr>
                <w:bCs/>
                <w:sz w:val="13"/>
                <w:szCs w:val="13"/>
              </w:rPr>
              <w:t>0.365</w:t>
            </w:r>
            <w:r w:rsidRPr="00697824">
              <w:rPr>
                <w:bCs/>
                <w:sz w:val="13"/>
                <w:szCs w:val="13"/>
              </w:rPr>
              <w:t>%</w:t>
            </w:r>
            <w:r w:rsidRPr="00CD346A">
              <w:rPr>
                <w:rFonts w:hint="eastAsia"/>
                <w:bCs/>
                <w:sz w:val="13"/>
                <w:szCs w:val="13"/>
              </w:rPr>
              <w:t xml:space="preserve"> </w:t>
            </w:r>
          </w:p>
        </w:tc>
        <w:tc>
          <w:tcPr>
            <w:tcW w:w="473" w:type="pct"/>
            <w:tcBorders>
              <w:top w:val="single" w:sz="4" w:space="0" w:color="auto"/>
              <w:left w:val="single" w:sz="4" w:space="0" w:color="auto"/>
              <w:bottom w:val="single" w:sz="4" w:space="0" w:color="auto"/>
              <w:right w:val="single" w:sz="4" w:space="0" w:color="auto"/>
            </w:tcBorders>
            <w:vAlign w:val="center"/>
          </w:tcPr>
          <w:p w:rsidR="00C85DF6" w:rsidRPr="00CD346A" w:rsidRDefault="00712FAA" w:rsidP="00E13B83">
            <w:pPr>
              <w:pStyle w:val="AODocTxt"/>
              <w:numPr>
                <w:ilvl w:val="0"/>
                <w:numId w:val="0"/>
              </w:numPr>
              <w:spacing w:before="60" w:line="240" w:lineRule="auto"/>
              <w:jc w:val="center"/>
              <w:rPr>
                <w:bCs/>
                <w:sz w:val="13"/>
                <w:szCs w:val="13"/>
              </w:rPr>
            </w:pPr>
            <w:r>
              <w:rPr>
                <w:bCs/>
                <w:sz w:val="13"/>
                <w:szCs w:val="13"/>
              </w:rPr>
              <w:t>1.018</w:t>
            </w:r>
            <w:r w:rsidRPr="00697824">
              <w:rPr>
                <w:bCs/>
                <w:sz w:val="13"/>
                <w:szCs w:val="13"/>
              </w:rPr>
              <w:t>%</w:t>
            </w:r>
          </w:p>
        </w:tc>
        <w:tc>
          <w:tcPr>
            <w:tcW w:w="419" w:type="pct"/>
            <w:tcBorders>
              <w:top w:val="single" w:sz="4" w:space="0" w:color="auto"/>
              <w:left w:val="single" w:sz="4" w:space="0" w:color="auto"/>
              <w:bottom w:val="single" w:sz="4" w:space="0" w:color="auto"/>
            </w:tcBorders>
            <w:vAlign w:val="center"/>
          </w:tcPr>
          <w:p w:rsidR="00C85DF6" w:rsidRPr="00CD346A" w:rsidRDefault="00712FAA" w:rsidP="00A57840">
            <w:pPr>
              <w:pStyle w:val="AODocTxt"/>
              <w:numPr>
                <w:ilvl w:val="0"/>
                <w:numId w:val="0"/>
              </w:numPr>
              <w:spacing w:before="60" w:line="240" w:lineRule="auto"/>
              <w:jc w:val="center"/>
              <w:rPr>
                <w:bCs/>
                <w:sz w:val="13"/>
                <w:szCs w:val="13"/>
              </w:rPr>
            </w:pPr>
            <w:r>
              <w:rPr>
                <w:bCs/>
                <w:sz w:val="13"/>
                <w:szCs w:val="13"/>
              </w:rPr>
              <w:t>105.412</w:t>
            </w:r>
            <w:r w:rsidRPr="00CD346A">
              <w:rPr>
                <w:bCs/>
                <w:sz w:val="13"/>
                <w:szCs w:val="13"/>
              </w:rPr>
              <w:t>%</w:t>
            </w:r>
          </w:p>
        </w:tc>
        <w:tc>
          <w:tcPr>
            <w:tcW w:w="404" w:type="pct"/>
            <w:tcBorders>
              <w:top w:val="single" w:sz="4" w:space="0" w:color="auto"/>
              <w:left w:val="single" w:sz="4" w:space="0" w:color="auto"/>
              <w:bottom w:val="single" w:sz="4" w:space="0" w:color="auto"/>
            </w:tcBorders>
            <w:vAlign w:val="center"/>
          </w:tcPr>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54.10</w:t>
            </w:r>
          </w:p>
        </w:tc>
      </w:tr>
      <w:tr w:rsidR="009A3352" w:rsidTr="00CF7E19">
        <w:trPr>
          <w:cantSplit/>
          <w:trHeight w:val="330"/>
          <w:jc w:val="center"/>
        </w:trPr>
        <w:tc>
          <w:tcPr>
            <w:tcW w:w="615" w:type="pct"/>
            <w:tcBorders>
              <w:top w:val="single" w:sz="4" w:space="0" w:color="auto"/>
              <w:bottom w:val="single" w:sz="4" w:space="0" w:color="auto"/>
              <w:right w:val="single" w:sz="4" w:space="0" w:color="auto"/>
            </w:tcBorders>
            <w:shd w:val="clear" w:color="auto" w:fill="auto"/>
            <w:vAlign w:val="center"/>
          </w:tcPr>
          <w:p w:rsidR="00C85DF6" w:rsidRPr="00CD346A" w:rsidRDefault="00C85DF6" w:rsidP="003B4255">
            <w:pPr>
              <w:pStyle w:val="AODocTxt"/>
              <w:numPr>
                <w:ilvl w:val="0"/>
                <w:numId w:val="0"/>
              </w:numPr>
              <w:spacing w:before="60" w:line="240" w:lineRule="auto"/>
              <w:jc w:val="left"/>
              <w:rPr>
                <w:bCs/>
                <w:sz w:val="13"/>
                <w:szCs w:val="13"/>
              </w:rPr>
            </w:pPr>
            <w:r w:rsidRPr="00C85DF6">
              <w:rPr>
                <w:bCs/>
                <w:sz w:val="13"/>
                <w:szCs w:val="13"/>
              </w:rPr>
              <w:t>€1,000,000,000 1.625 per cent. Notes due 2019</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85DF6" w:rsidRPr="00CD346A" w:rsidRDefault="00C85DF6" w:rsidP="00CD346A">
            <w:pPr>
              <w:pStyle w:val="AODocTxt"/>
              <w:numPr>
                <w:ilvl w:val="0"/>
                <w:numId w:val="0"/>
              </w:numPr>
              <w:spacing w:before="60" w:line="240" w:lineRule="auto"/>
              <w:jc w:val="center"/>
              <w:rPr>
                <w:bCs/>
                <w:sz w:val="13"/>
                <w:szCs w:val="13"/>
              </w:rPr>
            </w:pPr>
            <w:r w:rsidRPr="00C85DF6">
              <w:rPr>
                <w:bCs/>
                <w:sz w:val="13"/>
                <w:szCs w:val="13"/>
              </w:rPr>
              <w:t>XS1080952960 / 108095296</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C85DF6" w:rsidP="003B4255">
            <w:pPr>
              <w:pStyle w:val="AODocTxt"/>
              <w:numPr>
                <w:ilvl w:val="0"/>
                <w:numId w:val="0"/>
              </w:numPr>
              <w:spacing w:before="60" w:line="240" w:lineRule="auto"/>
              <w:jc w:val="center"/>
              <w:rPr>
                <w:bCs/>
                <w:sz w:val="13"/>
                <w:szCs w:val="13"/>
              </w:rPr>
            </w:pPr>
            <w:proofErr w:type="spellStart"/>
            <w:r>
              <w:rPr>
                <w:bCs/>
                <w:sz w:val="13"/>
                <w:szCs w:val="13"/>
              </w:rPr>
              <w:t>RBSG</w:t>
            </w:r>
            <w:proofErr w:type="spellEnd"/>
            <w:r>
              <w:rPr>
                <w:bCs/>
                <w:sz w:val="13"/>
                <w:szCs w:val="13"/>
              </w:rPr>
              <w:t xml:space="preserve"> plc</w:t>
            </w:r>
          </w:p>
        </w:tc>
        <w:tc>
          <w:tcPr>
            <w:tcW w:w="713" w:type="pct"/>
            <w:tcBorders>
              <w:top w:val="single" w:sz="4" w:space="0" w:color="auto"/>
              <w:left w:val="single" w:sz="4" w:space="0" w:color="auto"/>
              <w:bottom w:val="single" w:sz="4" w:space="0" w:color="auto"/>
              <w:right w:val="single" w:sz="4" w:space="0" w:color="auto"/>
            </w:tcBorders>
            <w:vAlign w:val="center"/>
          </w:tcPr>
          <w:p w:rsidR="00C85DF6" w:rsidRPr="00CD346A" w:rsidRDefault="00A65AE0" w:rsidP="000871CC">
            <w:pPr>
              <w:pStyle w:val="AODocTxt"/>
              <w:numPr>
                <w:ilvl w:val="0"/>
                <w:numId w:val="0"/>
              </w:numPr>
              <w:spacing w:before="60" w:line="240" w:lineRule="auto"/>
              <w:jc w:val="center"/>
              <w:rPr>
                <w:bCs/>
                <w:sz w:val="13"/>
                <w:szCs w:val="13"/>
              </w:rPr>
            </w:pPr>
            <w:r w:rsidRPr="00CD346A">
              <w:rPr>
                <w:bCs/>
                <w:sz w:val="13"/>
                <w:szCs w:val="13"/>
              </w:rPr>
              <w:t>€</w:t>
            </w:r>
            <w:r>
              <w:rPr>
                <w:bCs/>
                <w:sz w:val="13"/>
                <w:szCs w:val="13"/>
              </w:rPr>
              <w:t>1,000,000,000</w:t>
            </w:r>
          </w:p>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582,979,000</w:t>
            </w:r>
            <w:r w:rsidRPr="00CD346A">
              <w:rPr>
                <w:bCs/>
                <w:sz w:val="13"/>
                <w:szCs w:val="13"/>
              </w:rPr>
              <w:t>)</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Default="00A65AE0" w:rsidP="00A65AE0">
            <w:pPr>
              <w:pStyle w:val="AODocTxt"/>
              <w:spacing w:before="60" w:line="240" w:lineRule="auto"/>
              <w:jc w:val="center"/>
              <w:rPr>
                <w:bCs/>
                <w:sz w:val="13"/>
                <w:szCs w:val="13"/>
              </w:rPr>
            </w:pPr>
            <w:r w:rsidRPr="00CD346A">
              <w:rPr>
                <w:bCs/>
                <w:sz w:val="13"/>
                <w:szCs w:val="13"/>
              </w:rPr>
              <w:t>€</w:t>
            </w:r>
            <w:r>
              <w:rPr>
                <w:bCs/>
                <w:sz w:val="13"/>
                <w:szCs w:val="13"/>
              </w:rPr>
              <w:t>417,021,000</w:t>
            </w:r>
          </w:p>
        </w:tc>
        <w:tc>
          <w:tcPr>
            <w:tcW w:w="554" w:type="pct"/>
            <w:tcBorders>
              <w:top w:val="single" w:sz="4" w:space="0" w:color="auto"/>
              <w:left w:val="single" w:sz="4" w:space="0" w:color="auto"/>
              <w:bottom w:val="single" w:sz="4" w:space="0" w:color="auto"/>
            </w:tcBorders>
            <w:vAlign w:val="center"/>
          </w:tcPr>
          <w:p w:rsidR="00C85DF6" w:rsidRDefault="00712FAA" w:rsidP="001F3384">
            <w:pPr>
              <w:pStyle w:val="AODocTxt"/>
              <w:numPr>
                <w:ilvl w:val="0"/>
                <w:numId w:val="0"/>
              </w:numPr>
              <w:spacing w:before="60" w:line="240" w:lineRule="auto"/>
              <w:jc w:val="center"/>
              <w:rPr>
                <w:bCs/>
                <w:sz w:val="13"/>
                <w:szCs w:val="13"/>
              </w:rPr>
            </w:pPr>
            <w:r>
              <w:rPr>
                <w:bCs/>
                <w:sz w:val="13"/>
                <w:szCs w:val="13"/>
              </w:rPr>
              <w:t>-0.118</w:t>
            </w:r>
            <w:r w:rsidRPr="00697824">
              <w:rPr>
                <w:bCs/>
                <w:sz w:val="13"/>
                <w:szCs w:val="13"/>
              </w:rPr>
              <w:t>%</w:t>
            </w:r>
            <w:r w:rsidRPr="00CD346A">
              <w:rPr>
                <w:rFonts w:hint="eastAsia"/>
                <w:bCs/>
                <w:sz w:val="13"/>
                <w:szCs w:val="13"/>
              </w:rPr>
              <w:t xml:space="preserve"> </w:t>
            </w:r>
          </w:p>
        </w:tc>
        <w:tc>
          <w:tcPr>
            <w:tcW w:w="473" w:type="pct"/>
            <w:tcBorders>
              <w:top w:val="single" w:sz="4" w:space="0" w:color="auto"/>
              <w:left w:val="single" w:sz="4" w:space="0" w:color="auto"/>
              <w:bottom w:val="single" w:sz="4" w:space="0" w:color="auto"/>
              <w:right w:val="single" w:sz="4" w:space="0" w:color="auto"/>
            </w:tcBorders>
            <w:vAlign w:val="center"/>
          </w:tcPr>
          <w:p w:rsidR="00C85DF6" w:rsidRDefault="00712FAA" w:rsidP="00B51A77">
            <w:pPr>
              <w:pStyle w:val="AODocTxt"/>
              <w:numPr>
                <w:ilvl w:val="0"/>
                <w:numId w:val="0"/>
              </w:numPr>
              <w:spacing w:before="60" w:line="240" w:lineRule="auto"/>
              <w:jc w:val="center"/>
              <w:rPr>
                <w:bCs/>
                <w:sz w:val="13"/>
                <w:szCs w:val="13"/>
              </w:rPr>
            </w:pPr>
            <w:r>
              <w:rPr>
                <w:bCs/>
                <w:sz w:val="13"/>
                <w:szCs w:val="13"/>
              </w:rPr>
              <w:t>1.032</w:t>
            </w:r>
            <w:r w:rsidRPr="00697824">
              <w:rPr>
                <w:bCs/>
                <w:sz w:val="13"/>
                <w:szCs w:val="13"/>
              </w:rPr>
              <w:t>%</w:t>
            </w:r>
            <w:r w:rsidRPr="00CD346A">
              <w:rPr>
                <w:rFonts w:hint="eastAsia"/>
                <w:bCs/>
                <w:sz w:val="13"/>
                <w:szCs w:val="13"/>
              </w:rPr>
              <w:t xml:space="preserve"> </w:t>
            </w:r>
          </w:p>
        </w:tc>
        <w:tc>
          <w:tcPr>
            <w:tcW w:w="419" w:type="pct"/>
            <w:tcBorders>
              <w:top w:val="single" w:sz="4" w:space="0" w:color="auto"/>
              <w:left w:val="single" w:sz="4" w:space="0" w:color="auto"/>
              <w:bottom w:val="single" w:sz="4" w:space="0" w:color="auto"/>
            </w:tcBorders>
            <w:vAlign w:val="center"/>
          </w:tcPr>
          <w:p w:rsidR="00C85DF6" w:rsidRDefault="00712FAA" w:rsidP="00A57840">
            <w:pPr>
              <w:pStyle w:val="AODocTxt"/>
              <w:numPr>
                <w:ilvl w:val="0"/>
                <w:numId w:val="0"/>
              </w:numPr>
              <w:spacing w:before="60" w:line="240" w:lineRule="auto"/>
              <w:jc w:val="center"/>
              <w:rPr>
                <w:bCs/>
                <w:sz w:val="13"/>
                <w:szCs w:val="13"/>
              </w:rPr>
            </w:pPr>
            <w:r>
              <w:rPr>
                <w:bCs/>
                <w:sz w:val="13"/>
                <w:szCs w:val="13"/>
              </w:rPr>
              <w:t>101.859</w:t>
            </w:r>
            <w:r w:rsidRPr="00697824">
              <w:rPr>
                <w:bCs/>
                <w:sz w:val="13"/>
                <w:szCs w:val="13"/>
              </w:rPr>
              <w:t>%</w:t>
            </w:r>
            <w:r w:rsidRPr="00CD346A">
              <w:rPr>
                <w:rFonts w:hint="eastAsia"/>
                <w:bCs/>
                <w:sz w:val="13"/>
                <w:szCs w:val="13"/>
              </w:rPr>
              <w:t xml:space="preserve"> </w:t>
            </w:r>
          </w:p>
        </w:tc>
        <w:tc>
          <w:tcPr>
            <w:tcW w:w="404" w:type="pct"/>
            <w:tcBorders>
              <w:top w:val="single" w:sz="4" w:space="0" w:color="auto"/>
              <w:left w:val="single" w:sz="4" w:space="0" w:color="auto"/>
              <w:bottom w:val="single" w:sz="4" w:space="0" w:color="auto"/>
            </w:tcBorders>
            <w:vAlign w:val="center"/>
          </w:tcPr>
          <w:p w:rsidR="00C85DF6" w:rsidRPr="00CD346A" w:rsidRDefault="00A65AE0" w:rsidP="00712FAA">
            <w:pPr>
              <w:pStyle w:val="AODocTxt"/>
              <w:numPr>
                <w:ilvl w:val="0"/>
                <w:numId w:val="0"/>
              </w:numPr>
              <w:spacing w:before="60" w:line="240" w:lineRule="auto"/>
              <w:jc w:val="center"/>
              <w:rPr>
                <w:bCs/>
                <w:sz w:val="13"/>
                <w:szCs w:val="13"/>
              </w:rPr>
            </w:pPr>
            <w:r w:rsidRPr="00CD346A">
              <w:rPr>
                <w:bCs/>
                <w:sz w:val="13"/>
                <w:szCs w:val="13"/>
              </w:rPr>
              <w:t>€</w:t>
            </w:r>
            <w:r>
              <w:rPr>
                <w:bCs/>
                <w:sz w:val="13"/>
                <w:szCs w:val="13"/>
              </w:rPr>
              <w:t>12</w:t>
            </w:r>
            <w:r w:rsidR="00712FAA">
              <w:rPr>
                <w:bCs/>
                <w:sz w:val="13"/>
                <w:szCs w:val="13"/>
              </w:rPr>
              <w:t>.</w:t>
            </w:r>
            <w:r>
              <w:rPr>
                <w:bCs/>
                <w:sz w:val="13"/>
                <w:szCs w:val="13"/>
              </w:rPr>
              <w:t>92</w:t>
            </w:r>
          </w:p>
        </w:tc>
      </w:tr>
      <w:tr w:rsidR="009A3352" w:rsidTr="00CF7E19">
        <w:trPr>
          <w:cantSplit/>
          <w:trHeight w:val="660"/>
          <w:jc w:val="center"/>
        </w:trPr>
        <w:tc>
          <w:tcPr>
            <w:tcW w:w="615" w:type="pct"/>
            <w:tcBorders>
              <w:top w:val="single" w:sz="4" w:space="0" w:color="auto"/>
              <w:bottom w:val="single" w:sz="4" w:space="0" w:color="auto"/>
              <w:right w:val="single" w:sz="4" w:space="0" w:color="auto"/>
            </w:tcBorders>
            <w:shd w:val="clear" w:color="auto" w:fill="auto"/>
            <w:vAlign w:val="center"/>
          </w:tcPr>
          <w:p w:rsidR="00C85DF6" w:rsidRPr="00785F84" w:rsidRDefault="00C85DF6" w:rsidP="00CD346A">
            <w:pPr>
              <w:pStyle w:val="AODocTxt"/>
              <w:numPr>
                <w:ilvl w:val="0"/>
                <w:numId w:val="0"/>
              </w:numPr>
              <w:spacing w:before="60" w:line="240" w:lineRule="auto"/>
              <w:jc w:val="center"/>
              <w:rPr>
                <w:bCs/>
                <w:sz w:val="13"/>
                <w:szCs w:val="13"/>
              </w:rPr>
            </w:pPr>
            <w:r w:rsidRPr="00CD346A">
              <w:rPr>
                <w:bCs/>
                <w:sz w:val="13"/>
                <w:szCs w:val="13"/>
              </w:rPr>
              <w:t>£924,613,000 7.50 per cent. Notes due 2024</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85DF6" w:rsidRPr="00CD346A" w:rsidRDefault="00C85DF6" w:rsidP="00CD346A">
            <w:pPr>
              <w:pStyle w:val="AODocTxt"/>
              <w:numPr>
                <w:ilvl w:val="0"/>
                <w:numId w:val="0"/>
              </w:numPr>
              <w:spacing w:before="60" w:line="240" w:lineRule="auto"/>
              <w:jc w:val="center"/>
              <w:rPr>
                <w:bCs/>
                <w:sz w:val="13"/>
                <w:szCs w:val="13"/>
              </w:rPr>
            </w:pPr>
            <w:r w:rsidRPr="00CD346A">
              <w:rPr>
                <w:bCs/>
                <w:sz w:val="13"/>
                <w:szCs w:val="13"/>
              </w:rPr>
              <w:t>XS0423325181 / 042332518</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C85DF6" w:rsidP="003B4255">
            <w:pPr>
              <w:pStyle w:val="AODocTxt"/>
              <w:numPr>
                <w:ilvl w:val="0"/>
                <w:numId w:val="0"/>
              </w:numPr>
              <w:spacing w:before="60" w:line="240" w:lineRule="auto"/>
              <w:jc w:val="center"/>
              <w:rPr>
                <w:bCs/>
                <w:sz w:val="13"/>
                <w:szCs w:val="13"/>
              </w:rPr>
            </w:pPr>
            <w:proofErr w:type="spellStart"/>
            <w:r>
              <w:rPr>
                <w:bCs/>
                <w:sz w:val="13"/>
                <w:szCs w:val="13"/>
              </w:rPr>
              <w:t>RBS</w:t>
            </w:r>
            <w:proofErr w:type="spellEnd"/>
            <w:r>
              <w:rPr>
                <w:bCs/>
                <w:sz w:val="13"/>
                <w:szCs w:val="13"/>
              </w:rPr>
              <w:t xml:space="preserve"> plc</w:t>
            </w:r>
          </w:p>
        </w:tc>
        <w:tc>
          <w:tcPr>
            <w:tcW w:w="713" w:type="pct"/>
            <w:tcBorders>
              <w:top w:val="single" w:sz="4" w:space="0" w:color="auto"/>
              <w:left w:val="single" w:sz="4" w:space="0" w:color="auto"/>
              <w:bottom w:val="single" w:sz="4" w:space="0" w:color="auto"/>
              <w:right w:val="single" w:sz="4" w:space="0" w:color="auto"/>
            </w:tcBorders>
            <w:vAlign w:val="center"/>
          </w:tcPr>
          <w:p w:rsidR="00C85DF6" w:rsidRDefault="00A65AE0" w:rsidP="00E3565B">
            <w:pPr>
              <w:pStyle w:val="AODocTxt"/>
              <w:numPr>
                <w:ilvl w:val="0"/>
                <w:numId w:val="0"/>
              </w:numPr>
              <w:spacing w:before="60" w:line="240" w:lineRule="auto"/>
              <w:jc w:val="center"/>
              <w:rPr>
                <w:bCs/>
                <w:sz w:val="13"/>
                <w:szCs w:val="13"/>
              </w:rPr>
            </w:pPr>
            <w:r w:rsidRPr="00CD346A">
              <w:rPr>
                <w:bCs/>
                <w:sz w:val="13"/>
                <w:szCs w:val="13"/>
              </w:rPr>
              <w:t>£</w:t>
            </w:r>
            <w:r>
              <w:rPr>
                <w:bCs/>
                <w:sz w:val="13"/>
                <w:szCs w:val="13"/>
              </w:rPr>
              <w:t>306,186,000</w:t>
            </w:r>
          </w:p>
          <w:p w:rsidR="00C85DF6" w:rsidRPr="00CD346A" w:rsidRDefault="00A65AE0" w:rsidP="00A65AE0">
            <w:pPr>
              <w:pStyle w:val="AODocTxt"/>
              <w:numPr>
                <w:ilvl w:val="0"/>
                <w:numId w:val="0"/>
              </w:numPr>
              <w:spacing w:before="60" w:line="240" w:lineRule="auto"/>
              <w:jc w:val="center"/>
              <w:rPr>
                <w:bCs/>
                <w:sz w:val="13"/>
                <w:szCs w:val="13"/>
              </w:rPr>
            </w:pPr>
            <w:r>
              <w:rPr>
                <w:bCs/>
                <w:sz w:val="13"/>
                <w:szCs w:val="13"/>
              </w:rPr>
              <w:t>(</w:t>
            </w:r>
            <w:r w:rsidRPr="00CD346A">
              <w:rPr>
                <w:bCs/>
                <w:sz w:val="13"/>
                <w:szCs w:val="13"/>
              </w:rPr>
              <w:t>£</w:t>
            </w:r>
            <w:r>
              <w:rPr>
                <w:bCs/>
                <w:sz w:val="13"/>
                <w:szCs w:val="13"/>
              </w:rPr>
              <w:t>96,252,000</w:t>
            </w:r>
            <w:r w:rsidRPr="00CD346A">
              <w:rPr>
                <w:bCs/>
                <w:sz w:val="13"/>
                <w:szCs w:val="13"/>
              </w:rPr>
              <w:t>)</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A65AE0" w:rsidP="00A65AE0">
            <w:pPr>
              <w:pStyle w:val="AODocTxt"/>
              <w:spacing w:before="60" w:line="240" w:lineRule="auto"/>
              <w:jc w:val="center"/>
              <w:rPr>
                <w:bCs/>
                <w:sz w:val="13"/>
                <w:szCs w:val="13"/>
              </w:rPr>
            </w:pPr>
            <w:r>
              <w:rPr>
                <w:bCs/>
                <w:sz w:val="13"/>
                <w:szCs w:val="13"/>
              </w:rPr>
              <w:t>£209,934,000</w:t>
            </w:r>
          </w:p>
        </w:tc>
        <w:tc>
          <w:tcPr>
            <w:tcW w:w="554" w:type="pct"/>
            <w:tcBorders>
              <w:top w:val="single" w:sz="4" w:space="0" w:color="auto"/>
              <w:left w:val="single" w:sz="4" w:space="0" w:color="auto"/>
              <w:bottom w:val="single" w:sz="4" w:space="0" w:color="auto"/>
            </w:tcBorders>
            <w:vAlign w:val="center"/>
          </w:tcPr>
          <w:p w:rsidR="00C85DF6" w:rsidRPr="00CD346A" w:rsidRDefault="00712FAA" w:rsidP="001F3384">
            <w:pPr>
              <w:pStyle w:val="AODocTxt"/>
              <w:numPr>
                <w:ilvl w:val="0"/>
                <w:numId w:val="0"/>
              </w:numPr>
              <w:spacing w:before="60" w:line="240" w:lineRule="auto"/>
              <w:jc w:val="center"/>
              <w:rPr>
                <w:bCs/>
                <w:sz w:val="13"/>
                <w:szCs w:val="13"/>
              </w:rPr>
            </w:pPr>
            <w:r>
              <w:rPr>
                <w:bCs/>
                <w:sz w:val="13"/>
                <w:szCs w:val="13"/>
              </w:rPr>
              <w:t>1.271</w:t>
            </w:r>
            <w:r w:rsidRPr="00697824">
              <w:rPr>
                <w:bCs/>
                <w:sz w:val="13"/>
                <w:szCs w:val="13"/>
              </w:rPr>
              <w:t>%</w:t>
            </w:r>
            <w:r w:rsidRPr="00CD346A">
              <w:rPr>
                <w:rFonts w:hint="eastAsia"/>
                <w:bCs/>
                <w:sz w:val="13"/>
                <w:szCs w:val="13"/>
              </w:rPr>
              <w:t xml:space="preserve"> </w:t>
            </w:r>
          </w:p>
        </w:tc>
        <w:tc>
          <w:tcPr>
            <w:tcW w:w="473" w:type="pct"/>
            <w:tcBorders>
              <w:top w:val="single" w:sz="4" w:space="0" w:color="auto"/>
              <w:left w:val="single" w:sz="4" w:space="0" w:color="auto"/>
              <w:bottom w:val="single" w:sz="4" w:space="0" w:color="auto"/>
              <w:right w:val="single" w:sz="4" w:space="0" w:color="auto"/>
            </w:tcBorders>
            <w:vAlign w:val="center"/>
          </w:tcPr>
          <w:p w:rsidR="00C85DF6" w:rsidRPr="00CD346A" w:rsidRDefault="00712FAA" w:rsidP="00B51A77">
            <w:pPr>
              <w:pStyle w:val="AODocTxt"/>
              <w:numPr>
                <w:ilvl w:val="0"/>
                <w:numId w:val="0"/>
              </w:numPr>
              <w:spacing w:before="60" w:line="240" w:lineRule="auto"/>
              <w:jc w:val="center"/>
              <w:rPr>
                <w:bCs/>
                <w:sz w:val="13"/>
                <w:szCs w:val="13"/>
              </w:rPr>
            </w:pPr>
            <w:r>
              <w:rPr>
                <w:bCs/>
                <w:sz w:val="13"/>
                <w:szCs w:val="13"/>
              </w:rPr>
              <w:t>2.471</w:t>
            </w:r>
            <w:r w:rsidRPr="00697824">
              <w:rPr>
                <w:bCs/>
                <w:sz w:val="13"/>
                <w:szCs w:val="13"/>
              </w:rPr>
              <w:t>%</w:t>
            </w:r>
          </w:p>
        </w:tc>
        <w:tc>
          <w:tcPr>
            <w:tcW w:w="419" w:type="pct"/>
            <w:tcBorders>
              <w:top w:val="single" w:sz="4" w:space="0" w:color="auto"/>
              <w:left w:val="single" w:sz="4" w:space="0" w:color="auto"/>
              <w:bottom w:val="single" w:sz="4" w:space="0" w:color="auto"/>
            </w:tcBorders>
            <w:vAlign w:val="center"/>
          </w:tcPr>
          <w:p w:rsidR="00C85DF6" w:rsidRPr="00CD346A" w:rsidRDefault="00712FAA" w:rsidP="00A57840">
            <w:pPr>
              <w:pStyle w:val="AODocTxt"/>
              <w:numPr>
                <w:ilvl w:val="0"/>
                <w:numId w:val="0"/>
              </w:numPr>
              <w:spacing w:before="60" w:line="240" w:lineRule="auto"/>
              <w:jc w:val="center"/>
              <w:rPr>
                <w:bCs/>
                <w:sz w:val="13"/>
                <w:szCs w:val="13"/>
              </w:rPr>
            </w:pPr>
            <w:r>
              <w:rPr>
                <w:bCs/>
                <w:sz w:val="13"/>
                <w:szCs w:val="13"/>
              </w:rPr>
              <w:t>136.502</w:t>
            </w:r>
            <w:r w:rsidRPr="00CD346A">
              <w:rPr>
                <w:bCs/>
                <w:sz w:val="13"/>
                <w:szCs w:val="13"/>
              </w:rPr>
              <w:t>%</w:t>
            </w:r>
          </w:p>
        </w:tc>
        <w:tc>
          <w:tcPr>
            <w:tcW w:w="404" w:type="pct"/>
            <w:tcBorders>
              <w:top w:val="single" w:sz="4" w:space="0" w:color="auto"/>
              <w:left w:val="single" w:sz="4" w:space="0" w:color="auto"/>
              <w:bottom w:val="single" w:sz="4" w:space="0" w:color="auto"/>
            </w:tcBorders>
            <w:vAlign w:val="center"/>
          </w:tcPr>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33.81</w:t>
            </w:r>
          </w:p>
        </w:tc>
      </w:tr>
      <w:tr w:rsidR="009A3352" w:rsidTr="00CF7E19">
        <w:trPr>
          <w:cantSplit/>
          <w:trHeight w:val="660"/>
          <w:jc w:val="center"/>
        </w:trPr>
        <w:tc>
          <w:tcPr>
            <w:tcW w:w="615" w:type="pct"/>
            <w:tcBorders>
              <w:top w:val="single" w:sz="4" w:space="0" w:color="auto"/>
              <w:bottom w:val="single" w:sz="4" w:space="0" w:color="auto"/>
              <w:right w:val="single" w:sz="4" w:space="0" w:color="auto"/>
            </w:tcBorders>
            <w:shd w:val="clear" w:color="auto" w:fill="auto"/>
            <w:vAlign w:val="center"/>
          </w:tcPr>
          <w:p w:rsidR="00C85DF6" w:rsidRPr="00785F84" w:rsidRDefault="00C85DF6" w:rsidP="00CD346A">
            <w:pPr>
              <w:pStyle w:val="AODocTxt"/>
              <w:numPr>
                <w:ilvl w:val="0"/>
                <w:numId w:val="0"/>
              </w:numPr>
              <w:spacing w:before="60" w:line="240" w:lineRule="auto"/>
              <w:jc w:val="center"/>
              <w:rPr>
                <w:bCs/>
                <w:sz w:val="13"/>
                <w:szCs w:val="13"/>
              </w:rPr>
            </w:pPr>
            <w:r w:rsidRPr="00CD346A">
              <w:rPr>
                <w:bCs/>
                <w:sz w:val="13"/>
                <w:szCs w:val="13"/>
              </w:rPr>
              <w:t>£739,033,000 6.875 per cent. Notes due 2025</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85DF6" w:rsidRPr="00CD346A" w:rsidRDefault="00C85DF6" w:rsidP="00CD346A">
            <w:pPr>
              <w:pStyle w:val="AODocTxt"/>
              <w:numPr>
                <w:ilvl w:val="0"/>
                <w:numId w:val="0"/>
              </w:numPr>
              <w:spacing w:before="60" w:line="240" w:lineRule="auto"/>
              <w:jc w:val="center"/>
              <w:rPr>
                <w:bCs/>
                <w:sz w:val="13"/>
                <w:szCs w:val="13"/>
              </w:rPr>
            </w:pPr>
            <w:r w:rsidRPr="00CD346A">
              <w:rPr>
                <w:bCs/>
                <w:sz w:val="13"/>
                <w:szCs w:val="13"/>
              </w:rPr>
              <w:t>XS0497709286 / 049770928</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C85DF6" w:rsidP="003B4255">
            <w:pPr>
              <w:pStyle w:val="AODocTxt"/>
              <w:numPr>
                <w:ilvl w:val="0"/>
                <w:numId w:val="0"/>
              </w:numPr>
              <w:spacing w:before="60" w:line="240" w:lineRule="auto"/>
              <w:jc w:val="center"/>
              <w:rPr>
                <w:bCs/>
                <w:sz w:val="13"/>
                <w:szCs w:val="13"/>
              </w:rPr>
            </w:pPr>
            <w:proofErr w:type="spellStart"/>
            <w:r>
              <w:rPr>
                <w:bCs/>
                <w:sz w:val="13"/>
                <w:szCs w:val="13"/>
              </w:rPr>
              <w:t>RBS</w:t>
            </w:r>
            <w:proofErr w:type="spellEnd"/>
            <w:r>
              <w:rPr>
                <w:bCs/>
                <w:sz w:val="13"/>
                <w:szCs w:val="13"/>
              </w:rPr>
              <w:t xml:space="preserve"> plc</w:t>
            </w:r>
          </w:p>
        </w:tc>
        <w:tc>
          <w:tcPr>
            <w:tcW w:w="713" w:type="pct"/>
            <w:tcBorders>
              <w:top w:val="single" w:sz="4" w:space="0" w:color="auto"/>
              <w:left w:val="single" w:sz="4" w:space="0" w:color="auto"/>
              <w:bottom w:val="single" w:sz="4" w:space="0" w:color="auto"/>
              <w:right w:val="single" w:sz="4" w:space="0" w:color="auto"/>
            </w:tcBorders>
            <w:vAlign w:val="center"/>
          </w:tcPr>
          <w:p w:rsidR="00C85DF6" w:rsidRPr="00CD346A" w:rsidRDefault="00A65AE0" w:rsidP="00E3565B">
            <w:pPr>
              <w:pStyle w:val="AODocTxt"/>
              <w:numPr>
                <w:ilvl w:val="0"/>
                <w:numId w:val="0"/>
              </w:numPr>
              <w:spacing w:before="60" w:line="240" w:lineRule="auto"/>
              <w:jc w:val="center"/>
              <w:rPr>
                <w:bCs/>
                <w:sz w:val="13"/>
                <w:szCs w:val="13"/>
              </w:rPr>
            </w:pPr>
            <w:r w:rsidRPr="00CD346A">
              <w:rPr>
                <w:bCs/>
                <w:sz w:val="13"/>
                <w:szCs w:val="13"/>
              </w:rPr>
              <w:t>£</w:t>
            </w:r>
            <w:r>
              <w:rPr>
                <w:bCs/>
                <w:sz w:val="13"/>
                <w:szCs w:val="13"/>
              </w:rPr>
              <w:t>219,620,000</w:t>
            </w:r>
          </w:p>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77,351,000</w:t>
            </w:r>
            <w:r w:rsidRPr="00CD346A">
              <w:rPr>
                <w:bCs/>
                <w:sz w:val="13"/>
                <w:szCs w:val="13"/>
              </w:rPr>
              <w:t>)</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A65AE0" w:rsidP="00A65AE0">
            <w:pPr>
              <w:pStyle w:val="AODocTxt"/>
              <w:numPr>
                <w:ilvl w:val="0"/>
                <w:numId w:val="0"/>
              </w:numPr>
              <w:spacing w:before="60" w:line="240" w:lineRule="auto"/>
              <w:jc w:val="center"/>
              <w:rPr>
                <w:bCs/>
                <w:sz w:val="13"/>
                <w:szCs w:val="13"/>
              </w:rPr>
            </w:pPr>
            <w:r>
              <w:rPr>
                <w:bCs/>
                <w:sz w:val="13"/>
                <w:szCs w:val="13"/>
              </w:rPr>
              <w:t>£142,269,000</w:t>
            </w:r>
          </w:p>
        </w:tc>
        <w:tc>
          <w:tcPr>
            <w:tcW w:w="554" w:type="pct"/>
            <w:tcBorders>
              <w:top w:val="single" w:sz="4" w:space="0" w:color="auto"/>
              <w:left w:val="single" w:sz="4" w:space="0" w:color="auto"/>
              <w:bottom w:val="single" w:sz="4" w:space="0" w:color="auto"/>
            </w:tcBorders>
            <w:vAlign w:val="center"/>
          </w:tcPr>
          <w:p w:rsidR="00C85DF6" w:rsidRPr="00CD346A" w:rsidRDefault="00712FAA" w:rsidP="001F3384">
            <w:pPr>
              <w:pStyle w:val="AODocTxt"/>
              <w:numPr>
                <w:ilvl w:val="0"/>
                <w:numId w:val="0"/>
              </w:numPr>
              <w:spacing w:before="60" w:line="240" w:lineRule="auto"/>
              <w:jc w:val="center"/>
              <w:rPr>
                <w:bCs/>
                <w:sz w:val="13"/>
                <w:szCs w:val="13"/>
              </w:rPr>
            </w:pPr>
            <w:r>
              <w:rPr>
                <w:bCs/>
                <w:sz w:val="13"/>
                <w:szCs w:val="13"/>
              </w:rPr>
              <w:t>1.254</w:t>
            </w:r>
            <w:r w:rsidRPr="00697824">
              <w:rPr>
                <w:bCs/>
                <w:sz w:val="13"/>
                <w:szCs w:val="13"/>
              </w:rPr>
              <w:t>%</w:t>
            </w:r>
            <w:r w:rsidRPr="00CD346A">
              <w:rPr>
                <w:rFonts w:hint="eastAsia"/>
                <w:bCs/>
                <w:sz w:val="13"/>
                <w:szCs w:val="13"/>
              </w:rPr>
              <w:t xml:space="preserve"> </w:t>
            </w:r>
          </w:p>
        </w:tc>
        <w:tc>
          <w:tcPr>
            <w:tcW w:w="473" w:type="pct"/>
            <w:tcBorders>
              <w:top w:val="single" w:sz="4" w:space="0" w:color="auto"/>
              <w:left w:val="single" w:sz="4" w:space="0" w:color="auto"/>
              <w:bottom w:val="single" w:sz="4" w:space="0" w:color="auto"/>
              <w:right w:val="single" w:sz="4" w:space="0" w:color="auto"/>
            </w:tcBorders>
            <w:vAlign w:val="center"/>
          </w:tcPr>
          <w:p w:rsidR="00C85DF6" w:rsidRPr="00CD346A" w:rsidRDefault="00712FAA" w:rsidP="001F3384">
            <w:pPr>
              <w:pStyle w:val="AODocTxt"/>
              <w:numPr>
                <w:ilvl w:val="0"/>
                <w:numId w:val="0"/>
              </w:numPr>
              <w:spacing w:before="60" w:line="240" w:lineRule="auto"/>
              <w:jc w:val="center"/>
              <w:rPr>
                <w:bCs/>
                <w:sz w:val="13"/>
                <w:szCs w:val="13"/>
              </w:rPr>
            </w:pPr>
            <w:r>
              <w:rPr>
                <w:bCs/>
                <w:sz w:val="13"/>
                <w:szCs w:val="13"/>
              </w:rPr>
              <w:t>2.722</w:t>
            </w:r>
            <w:r w:rsidRPr="00697824">
              <w:rPr>
                <w:bCs/>
                <w:sz w:val="13"/>
                <w:szCs w:val="13"/>
              </w:rPr>
              <w:t>%</w:t>
            </w:r>
          </w:p>
        </w:tc>
        <w:tc>
          <w:tcPr>
            <w:tcW w:w="419" w:type="pct"/>
            <w:tcBorders>
              <w:top w:val="single" w:sz="4" w:space="0" w:color="auto"/>
              <w:left w:val="single" w:sz="4" w:space="0" w:color="auto"/>
              <w:bottom w:val="single" w:sz="4" w:space="0" w:color="auto"/>
            </w:tcBorders>
            <w:vAlign w:val="center"/>
          </w:tcPr>
          <w:p w:rsidR="00C85DF6" w:rsidRPr="00CD346A" w:rsidRDefault="00712FAA" w:rsidP="00A57840">
            <w:pPr>
              <w:pStyle w:val="AODocTxt"/>
              <w:numPr>
                <w:ilvl w:val="0"/>
                <w:numId w:val="0"/>
              </w:numPr>
              <w:spacing w:before="60" w:line="240" w:lineRule="auto"/>
              <w:jc w:val="center"/>
              <w:rPr>
                <w:bCs/>
                <w:sz w:val="13"/>
                <w:szCs w:val="13"/>
              </w:rPr>
            </w:pPr>
            <w:r>
              <w:rPr>
                <w:bCs/>
                <w:sz w:val="13"/>
                <w:szCs w:val="13"/>
              </w:rPr>
              <w:t>133.064</w:t>
            </w:r>
            <w:r w:rsidRPr="00CD346A">
              <w:rPr>
                <w:bCs/>
                <w:sz w:val="13"/>
                <w:szCs w:val="13"/>
              </w:rPr>
              <w:t>%</w:t>
            </w:r>
          </w:p>
        </w:tc>
        <w:tc>
          <w:tcPr>
            <w:tcW w:w="404" w:type="pct"/>
            <w:tcBorders>
              <w:top w:val="single" w:sz="4" w:space="0" w:color="auto"/>
              <w:left w:val="single" w:sz="4" w:space="0" w:color="auto"/>
              <w:bottom w:val="single" w:sz="4" w:space="0" w:color="auto"/>
            </w:tcBorders>
            <w:vAlign w:val="center"/>
          </w:tcPr>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61.99</w:t>
            </w:r>
          </w:p>
        </w:tc>
      </w:tr>
      <w:tr w:rsidR="009A3352" w:rsidTr="00CF7E19">
        <w:trPr>
          <w:cantSplit/>
          <w:trHeight w:val="660"/>
          <w:jc w:val="center"/>
        </w:trPr>
        <w:tc>
          <w:tcPr>
            <w:tcW w:w="615" w:type="pct"/>
            <w:tcBorders>
              <w:top w:val="single" w:sz="4" w:space="0" w:color="auto"/>
              <w:bottom w:val="single" w:sz="4" w:space="0" w:color="auto"/>
              <w:right w:val="single" w:sz="4" w:space="0" w:color="auto"/>
            </w:tcBorders>
            <w:shd w:val="clear" w:color="auto" w:fill="auto"/>
            <w:vAlign w:val="center"/>
          </w:tcPr>
          <w:p w:rsidR="00C85DF6" w:rsidRPr="00785F84" w:rsidRDefault="00C85DF6" w:rsidP="00CD346A">
            <w:pPr>
              <w:pStyle w:val="AODocTxt"/>
              <w:numPr>
                <w:ilvl w:val="0"/>
                <w:numId w:val="0"/>
              </w:numPr>
              <w:spacing w:before="60" w:line="240" w:lineRule="auto"/>
              <w:jc w:val="center"/>
              <w:rPr>
                <w:bCs/>
                <w:sz w:val="13"/>
                <w:szCs w:val="13"/>
              </w:rPr>
            </w:pPr>
            <w:r w:rsidRPr="00CD346A">
              <w:rPr>
                <w:bCs/>
                <w:sz w:val="13"/>
                <w:szCs w:val="13"/>
              </w:rPr>
              <w:lastRenderedPageBreak/>
              <w:t>£125,000,000 6.375 per cent. Notes due 2028</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C85DF6" w:rsidRPr="00CD346A" w:rsidRDefault="00C85DF6" w:rsidP="00CD346A">
            <w:pPr>
              <w:pStyle w:val="AODocTxt"/>
              <w:numPr>
                <w:ilvl w:val="0"/>
                <w:numId w:val="0"/>
              </w:numPr>
              <w:spacing w:before="60" w:line="240" w:lineRule="auto"/>
              <w:jc w:val="center"/>
              <w:rPr>
                <w:bCs/>
                <w:sz w:val="13"/>
                <w:szCs w:val="13"/>
              </w:rPr>
            </w:pPr>
            <w:r w:rsidRPr="00CD346A">
              <w:rPr>
                <w:bCs/>
                <w:sz w:val="13"/>
                <w:szCs w:val="13"/>
              </w:rPr>
              <w:t xml:space="preserve">XS0107382532 / </w:t>
            </w:r>
            <w:r>
              <w:rPr>
                <w:bCs/>
                <w:sz w:val="13"/>
                <w:szCs w:val="13"/>
              </w:rPr>
              <w:t>0</w:t>
            </w:r>
            <w:r w:rsidRPr="00CD346A">
              <w:rPr>
                <w:bCs/>
                <w:sz w:val="13"/>
                <w:szCs w:val="13"/>
              </w:rPr>
              <w:t>10738253</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C85DF6" w:rsidP="00A57840">
            <w:pPr>
              <w:pStyle w:val="AODocTxt"/>
              <w:numPr>
                <w:ilvl w:val="0"/>
                <w:numId w:val="0"/>
              </w:numPr>
              <w:spacing w:before="60" w:line="240" w:lineRule="auto"/>
              <w:jc w:val="center"/>
              <w:rPr>
                <w:bCs/>
                <w:sz w:val="13"/>
                <w:szCs w:val="13"/>
              </w:rPr>
            </w:pPr>
            <w:proofErr w:type="spellStart"/>
            <w:r>
              <w:rPr>
                <w:bCs/>
                <w:sz w:val="13"/>
                <w:szCs w:val="13"/>
              </w:rPr>
              <w:t>RBS</w:t>
            </w:r>
            <w:proofErr w:type="spellEnd"/>
            <w:r>
              <w:rPr>
                <w:bCs/>
                <w:sz w:val="13"/>
                <w:szCs w:val="13"/>
              </w:rPr>
              <w:t xml:space="preserve"> plc</w:t>
            </w:r>
          </w:p>
        </w:tc>
        <w:tc>
          <w:tcPr>
            <w:tcW w:w="713" w:type="pct"/>
            <w:tcBorders>
              <w:top w:val="single" w:sz="4" w:space="0" w:color="auto"/>
              <w:left w:val="single" w:sz="4" w:space="0" w:color="auto"/>
              <w:bottom w:val="single" w:sz="4" w:space="0" w:color="auto"/>
              <w:right w:val="single" w:sz="4" w:space="0" w:color="auto"/>
            </w:tcBorders>
            <w:vAlign w:val="center"/>
          </w:tcPr>
          <w:p w:rsidR="00042B88" w:rsidRDefault="00A65AE0" w:rsidP="00A57840">
            <w:pPr>
              <w:pStyle w:val="AODocTxt"/>
              <w:numPr>
                <w:ilvl w:val="0"/>
                <w:numId w:val="0"/>
              </w:numPr>
              <w:spacing w:before="60" w:line="240" w:lineRule="auto"/>
              <w:jc w:val="center"/>
              <w:rPr>
                <w:bCs/>
                <w:sz w:val="13"/>
                <w:szCs w:val="13"/>
              </w:rPr>
            </w:pPr>
            <w:r w:rsidRPr="00CD346A">
              <w:rPr>
                <w:bCs/>
                <w:sz w:val="13"/>
                <w:szCs w:val="13"/>
              </w:rPr>
              <w:t>£</w:t>
            </w:r>
            <w:r>
              <w:rPr>
                <w:bCs/>
                <w:sz w:val="13"/>
                <w:szCs w:val="13"/>
              </w:rPr>
              <w:t>45,216,000</w:t>
            </w:r>
            <w:r w:rsidRPr="00CD346A" w:rsidDel="00E95E35">
              <w:rPr>
                <w:bCs/>
                <w:sz w:val="13"/>
                <w:szCs w:val="13"/>
              </w:rPr>
              <w:t xml:space="preserve"> </w:t>
            </w:r>
          </w:p>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34,425,000</w:t>
            </w:r>
            <w:r w:rsidRPr="00CD346A">
              <w:rPr>
                <w:bCs/>
                <w:sz w:val="13"/>
                <w:szCs w:val="13"/>
              </w:rPr>
              <w:t>)</w:t>
            </w:r>
          </w:p>
        </w:tc>
        <w:tc>
          <w:tcPr>
            <w:tcW w:w="555" w:type="pct"/>
            <w:tcBorders>
              <w:top w:val="single" w:sz="4" w:space="0" w:color="auto"/>
              <w:left w:val="single" w:sz="4" w:space="0" w:color="auto"/>
              <w:bottom w:val="single" w:sz="4" w:space="0" w:color="auto"/>
              <w:right w:val="single" w:sz="4" w:space="0" w:color="auto"/>
            </w:tcBorders>
            <w:vAlign w:val="center"/>
          </w:tcPr>
          <w:p w:rsidR="00C85DF6" w:rsidRPr="00CD346A" w:rsidRDefault="00A65AE0" w:rsidP="00A65AE0">
            <w:pPr>
              <w:pStyle w:val="AODocTxt"/>
              <w:numPr>
                <w:ilvl w:val="0"/>
                <w:numId w:val="0"/>
              </w:numPr>
              <w:spacing w:before="60" w:line="240" w:lineRule="auto"/>
              <w:jc w:val="center"/>
              <w:rPr>
                <w:bCs/>
                <w:sz w:val="13"/>
                <w:szCs w:val="13"/>
              </w:rPr>
            </w:pPr>
            <w:r>
              <w:rPr>
                <w:bCs/>
                <w:sz w:val="13"/>
                <w:szCs w:val="13"/>
              </w:rPr>
              <w:t>£10,791,000</w:t>
            </w:r>
          </w:p>
        </w:tc>
        <w:tc>
          <w:tcPr>
            <w:tcW w:w="554" w:type="pct"/>
            <w:tcBorders>
              <w:top w:val="single" w:sz="4" w:space="0" w:color="auto"/>
              <w:left w:val="single" w:sz="4" w:space="0" w:color="auto"/>
              <w:bottom w:val="single" w:sz="4" w:space="0" w:color="auto"/>
            </w:tcBorders>
            <w:vAlign w:val="center"/>
          </w:tcPr>
          <w:p w:rsidR="00C85DF6" w:rsidRPr="00CD346A" w:rsidRDefault="00712FAA" w:rsidP="001F3384">
            <w:pPr>
              <w:pStyle w:val="AODocTxt"/>
              <w:numPr>
                <w:ilvl w:val="0"/>
                <w:numId w:val="0"/>
              </w:numPr>
              <w:spacing w:before="60" w:line="240" w:lineRule="auto"/>
              <w:jc w:val="center"/>
              <w:rPr>
                <w:bCs/>
                <w:sz w:val="13"/>
                <w:szCs w:val="13"/>
              </w:rPr>
            </w:pPr>
            <w:r>
              <w:rPr>
                <w:bCs/>
                <w:sz w:val="13"/>
                <w:szCs w:val="13"/>
              </w:rPr>
              <w:t>1.560</w:t>
            </w:r>
            <w:r w:rsidRPr="00697824">
              <w:rPr>
                <w:bCs/>
                <w:sz w:val="13"/>
                <w:szCs w:val="13"/>
              </w:rPr>
              <w:t>%</w:t>
            </w:r>
            <w:r w:rsidRPr="00CD346A">
              <w:rPr>
                <w:rFonts w:hint="eastAsia"/>
                <w:bCs/>
                <w:sz w:val="13"/>
                <w:szCs w:val="13"/>
              </w:rPr>
              <w:t xml:space="preserve"> </w:t>
            </w:r>
          </w:p>
        </w:tc>
        <w:tc>
          <w:tcPr>
            <w:tcW w:w="473" w:type="pct"/>
            <w:tcBorders>
              <w:top w:val="single" w:sz="4" w:space="0" w:color="auto"/>
              <w:left w:val="single" w:sz="4" w:space="0" w:color="auto"/>
              <w:bottom w:val="single" w:sz="4" w:space="0" w:color="auto"/>
              <w:right w:val="single" w:sz="4" w:space="0" w:color="auto"/>
            </w:tcBorders>
            <w:vAlign w:val="center"/>
          </w:tcPr>
          <w:p w:rsidR="00C85DF6" w:rsidRPr="00CD346A" w:rsidRDefault="00712FAA" w:rsidP="001F3384">
            <w:pPr>
              <w:pStyle w:val="AODocTxt"/>
              <w:numPr>
                <w:ilvl w:val="0"/>
                <w:numId w:val="0"/>
              </w:numPr>
              <w:spacing w:before="60" w:line="240" w:lineRule="auto"/>
              <w:jc w:val="center"/>
              <w:rPr>
                <w:bCs/>
                <w:sz w:val="13"/>
                <w:szCs w:val="13"/>
              </w:rPr>
            </w:pPr>
            <w:r>
              <w:rPr>
                <w:bCs/>
                <w:sz w:val="13"/>
                <w:szCs w:val="13"/>
              </w:rPr>
              <w:t>3.236</w:t>
            </w:r>
            <w:r w:rsidRPr="00697824">
              <w:rPr>
                <w:bCs/>
                <w:sz w:val="13"/>
                <w:szCs w:val="13"/>
              </w:rPr>
              <w:t>%</w:t>
            </w:r>
          </w:p>
        </w:tc>
        <w:tc>
          <w:tcPr>
            <w:tcW w:w="419" w:type="pct"/>
            <w:tcBorders>
              <w:top w:val="single" w:sz="4" w:space="0" w:color="auto"/>
              <w:left w:val="single" w:sz="4" w:space="0" w:color="auto"/>
              <w:bottom w:val="single" w:sz="4" w:space="0" w:color="auto"/>
            </w:tcBorders>
            <w:vAlign w:val="center"/>
          </w:tcPr>
          <w:p w:rsidR="00C85DF6" w:rsidRPr="00CD346A" w:rsidRDefault="00712FAA" w:rsidP="00A57840">
            <w:pPr>
              <w:pStyle w:val="AODocTxt"/>
              <w:numPr>
                <w:ilvl w:val="0"/>
                <w:numId w:val="0"/>
              </w:numPr>
              <w:spacing w:before="60" w:line="240" w:lineRule="auto"/>
              <w:jc w:val="center"/>
              <w:rPr>
                <w:bCs/>
                <w:sz w:val="13"/>
                <w:szCs w:val="13"/>
              </w:rPr>
            </w:pPr>
            <w:r>
              <w:rPr>
                <w:bCs/>
                <w:sz w:val="13"/>
                <w:szCs w:val="13"/>
              </w:rPr>
              <w:t>132.158</w:t>
            </w:r>
            <w:r w:rsidRPr="00CD346A">
              <w:rPr>
                <w:bCs/>
                <w:sz w:val="13"/>
                <w:szCs w:val="13"/>
              </w:rPr>
              <w:t>%</w:t>
            </w:r>
          </w:p>
        </w:tc>
        <w:tc>
          <w:tcPr>
            <w:tcW w:w="404" w:type="pct"/>
            <w:tcBorders>
              <w:top w:val="single" w:sz="4" w:space="0" w:color="auto"/>
              <w:left w:val="single" w:sz="4" w:space="0" w:color="auto"/>
              <w:bottom w:val="single" w:sz="4" w:space="0" w:color="auto"/>
            </w:tcBorders>
            <w:vAlign w:val="center"/>
          </w:tcPr>
          <w:p w:rsidR="00C85DF6" w:rsidRPr="00CD346A" w:rsidRDefault="00A65AE0" w:rsidP="00A65AE0">
            <w:pPr>
              <w:pStyle w:val="AODocTxt"/>
              <w:numPr>
                <w:ilvl w:val="0"/>
                <w:numId w:val="0"/>
              </w:numPr>
              <w:spacing w:before="60" w:line="240" w:lineRule="auto"/>
              <w:jc w:val="center"/>
              <w:rPr>
                <w:bCs/>
                <w:sz w:val="13"/>
                <w:szCs w:val="13"/>
              </w:rPr>
            </w:pPr>
            <w:r w:rsidRPr="00CD346A">
              <w:rPr>
                <w:bCs/>
                <w:sz w:val="13"/>
                <w:szCs w:val="13"/>
              </w:rPr>
              <w:t>£</w:t>
            </w:r>
            <w:r>
              <w:rPr>
                <w:bCs/>
                <w:sz w:val="13"/>
                <w:szCs w:val="13"/>
              </w:rPr>
              <w:t>21.96</w:t>
            </w:r>
          </w:p>
        </w:tc>
      </w:tr>
    </w:tbl>
    <w:p w:rsidR="009945FB" w:rsidRDefault="00CF7E19" w:rsidP="00A206BA">
      <w:pPr>
        <w:pStyle w:val="Body"/>
        <w:rPr>
          <w:rFonts w:ascii="Times New Roman" w:hAnsi="Times New Roman"/>
          <w:b/>
          <w:bCs/>
        </w:rPr>
      </w:pPr>
    </w:p>
    <w:p w:rsidR="00ED42A7" w:rsidRDefault="009E5500" w:rsidP="00A206BA">
      <w:pPr>
        <w:pStyle w:val="Body"/>
        <w:rPr>
          <w:rFonts w:ascii="Times New Roman" w:hAnsi="Times New Roman"/>
          <w:i/>
          <w:iCs/>
          <w:sz w:val="16"/>
          <w:szCs w:val="16"/>
        </w:rPr>
      </w:pPr>
      <w:r>
        <w:rPr>
          <w:rFonts w:ascii="Times New Roman" w:hAnsi="Times New Roman"/>
          <w:i/>
          <w:iCs/>
          <w:sz w:val="16"/>
          <w:szCs w:val="16"/>
        </w:rPr>
        <w:t>* ex</w:t>
      </w:r>
      <w:r w:rsidRPr="008B3D58">
        <w:rPr>
          <w:rFonts w:ascii="Times New Roman" w:hAnsi="Times New Roman"/>
          <w:i/>
          <w:iCs/>
          <w:sz w:val="16"/>
          <w:szCs w:val="16"/>
        </w:rPr>
        <w:t>pressed as a percentage of the principal amount of the relevant Notes accepted for purchase pursuant to the relevant Offer</w:t>
      </w:r>
    </w:p>
    <w:p w:rsidR="00E3565B" w:rsidRDefault="009E5500" w:rsidP="00A206BA">
      <w:pPr>
        <w:pStyle w:val="Body"/>
        <w:rPr>
          <w:rFonts w:ascii="Times New Roman" w:hAnsi="Times New Roman"/>
          <w:i/>
          <w:iCs/>
          <w:sz w:val="16"/>
          <w:szCs w:val="16"/>
        </w:rPr>
      </w:pPr>
      <w:r>
        <w:rPr>
          <w:rFonts w:ascii="Times New Roman" w:hAnsi="Times New Roman"/>
          <w:i/>
          <w:iCs/>
          <w:sz w:val="16"/>
          <w:szCs w:val="16"/>
          <w:vertAlign w:val="superscript"/>
        </w:rPr>
        <w:t xml:space="preserve">** </w:t>
      </w:r>
      <w:r>
        <w:rPr>
          <w:rFonts w:ascii="Times New Roman" w:hAnsi="Times New Roman"/>
          <w:i/>
          <w:iCs/>
          <w:sz w:val="16"/>
          <w:szCs w:val="16"/>
        </w:rPr>
        <w:t xml:space="preserve">Accrued Interest per €1,000 or £1,000, as applicable, in principal amount of the relevant Notes. Accrued Interest represents interest accrued and unpaid on the relevant Notes from (and including) the immediately preceding interest payment date for such Notes to (but excluding) the Settlement Date. </w:t>
      </w:r>
    </w:p>
    <w:p w:rsidR="002A6407" w:rsidRPr="002A6407" w:rsidRDefault="009E5500" w:rsidP="00C91790">
      <w:pPr>
        <w:pStyle w:val="Body"/>
        <w:keepNext/>
        <w:keepLines/>
        <w:rPr>
          <w:rFonts w:ascii="Times New Roman" w:hAnsi="Times New Roman"/>
          <w:b/>
          <w:bCs/>
        </w:rPr>
      </w:pPr>
      <w:r w:rsidRPr="002A6407">
        <w:rPr>
          <w:rFonts w:ascii="Times New Roman" w:hAnsi="Times New Roman"/>
          <w:b/>
          <w:bCs/>
        </w:rPr>
        <w:t xml:space="preserve">General </w:t>
      </w:r>
    </w:p>
    <w:p w:rsidR="008B3D58" w:rsidRDefault="009E5500" w:rsidP="008B3D58">
      <w:pPr>
        <w:pStyle w:val="Body"/>
        <w:rPr>
          <w:rFonts w:ascii="Times New Roman" w:hAnsi="Times New Roman"/>
        </w:rPr>
      </w:pPr>
      <w:r>
        <w:rPr>
          <w:rFonts w:ascii="Times New Roman" w:hAnsi="Times New Roman"/>
        </w:rPr>
        <w:t xml:space="preserve">Payment of the relevant Purchase Price and applicable Accrued Interest in respect of Notes accepted pursuant to the Offers is expected to take place on </w:t>
      </w:r>
      <w:r w:rsidR="00E95E35">
        <w:rPr>
          <w:rFonts w:ascii="Times New Roman" w:hAnsi="Times New Roman"/>
        </w:rPr>
        <w:t>11 April 2016</w:t>
      </w:r>
      <w:r>
        <w:rPr>
          <w:rFonts w:ascii="Times New Roman" w:hAnsi="Times New Roman"/>
        </w:rPr>
        <w:t xml:space="preserve">. Following settlement of the Offers, </w:t>
      </w:r>
      <w:r w:rsidR="00E95E35">
        <w:rPr>
          <w:rFonts w:ascii="Times New Roman" w:hAnsi="Times New Roman"/>
        </w:rPr>
        <w:t xml:space="preserve">each </w:t>
      </w:r>
      <w:r>
        <w:rPr>
          <w:rFonts w:ascii="Times New Roman" w:hAnsi="Times New Roman"/>
        </w:rPr>
        <w:t>Offeror intends to cancel any Notes purchased pursuant to the Offers.</w:t>
      </w:r>
    </w:p>
    <w:p w:rsidR="00971150" w:rsidRDefault="009E5500" w:rsidP="009C2D31">
      <w:pPr>
        <w:pStyle w:val="Body"/>
        <w:rPr>
          <w:rFonts w:ascii="Times New Roman" w:hAnsi="Times New Roman"/>
        </w:rPr>
      </w:pPr>
      <w:r>
        <w:rPr>
          <w:rFonts w:ascii="Times New Roman" w:hAnsi="Times New Roman"/>
        </w:rPr>
        <w:t>Notes</w:t>
      </w:r>
      <w:r w:rsidRPr="00971150">
        <w:rPr>
          <w:rFonts w:ascii="Times New Roman" w:hAnsi="Times New Roman"/>
        </w:rPr>
        <w:t xml:space="preserve"> that are not tendered or accepted for purchase pursuant to the relevant Offer will remain outstanding.</w:t>
      </w:r>
    </w:p>
    <w:p w:rsidR="001464F1" w:rsidRPr="00A3671C" w:rsidRDefault="009E5500" w:rsidP="00447CBD">
      <w:pPr>
        <w:pStyle w:val="Body"/>
        <w:keepNext/>
        <w:rPr>
          <w:rFonts w:ascii="Times New Roman" w:hAnsi="Times New Roman"/>
          <w:b/>
          <w:bCs/>
        </w:rPr>
      </w:pPr>
      <w:r w:rsidRPr="00A3671C">
        <w:rPr>
          <w:rFonts w:ascii="Times New Roman" w:hAnsi="Times New Roman"/>
          <w:b/>
          <w:bCs/>
        </w:rPr>
        <w:t xml:space="preserve">FURTHER INFORMATION </w:t>
      </w:r>
    </w:p>
    <w:p w:rsidR="001464F1" w:rsidRDefault="009E5500" w:rsidP="00447CBD">
      <w:pPr>
        <w:pStyle w:val="Body"/>
        <w:keepNext/>
        <w:rPr>
          <w:rFonts w:ascii="Times New Roman" w:hAnsi="Times New Roman"/>
        </w:rPr>
      </w:pPr>
      <w:r>
        <w:rPr>
          <w:rFonts w:ascii="Times New Roman" w:hAnsi="Times New Roman"/>
        </w:rPr>
        <w:t>Lucid Issuer Services Limited has been appointed by the Offeror as Tender Agent (the “</w:t>
      </w:r>
      <w:r w:rsidRPr="001464F1">
        <w:rPr>
          <w:rFonts w:ascii="Times New Roman" w:hAnsi="Times New Roman"/>
          <w:b/>
          <w:bCs/>
        </w:rPr>
        <w:t>Tender Agent</w:t>
      </w:r>
      <w:r>
        <w:rPr>
          <w:rFonts w:ascii="Times New Roman" w:hAnsi="Times New Roman"/>
        </w:rPr>
        <w:t xml:space="preserve">”) for the purposes of the Offers. </w:t>
      </w:r>
    </w:p>
    <w:p w:rsidR="001464F1" w:rsidRDefault="009E5500" w:rsidP="00821CDB">
      <w:pPr>
        <w:pStyle w:val="Body"/>
        <w:rPr>
          <w:rFonts w:ascii="Times New Roman" w:hAnsi="Times New Roman"/>
        </w:rPr>
      </w:pPr>
      <w:r w:rsidRPr="001464F1">
        <w:rPr>
          <w:rFonts w:ascii="Times New Roman" w:hAnsi="Times New Roman"/>
        </w:rPr>
        <w:t>The Royal Bank of Scotland plc</w:t>
      </w:r>
      <w:r>
        <w:rPr>
          <w:rFonts w:ascii="Times New Roman" w:hAnsi="Times New Roman"/>
        </w:rPr>
        <w:t xml:space="preserve"> has been appointed</w:t>
      </w:r>
      <w:r w:rsidRPr="001464F1">
        <w:rPr>
          <w:rFonts w:ascii="Times New Roman" w:hAnsi="Times New Roman"/>
        </w:rPr>
        <w:t xml:space="preserve"> as Global Arranger and Lead Dealer Manager</w:t>
      </w:r>
      <w:r w:rsidR="00E95E35">
        <w:rPr>
          <w:rFonts w:ascii="Times New Roman" w:hAnsi="Times New Roman"/>
        </w:rPr>
        <w:t>,</w:t>
      </w:r>
      <w:r>
        <w:rPr>
          <w:rFonts w:ascii="Times New Roman" w:hAnsi="Times New Roman"/>
        </w:rPr>
        <w:t xml:space="preserve"> </w:t>
      </w:r>
      <w:r w:rsidR="00E95E35">
        <w:rPr>
          <w:rFonts w:ascii="Times New Roman" w:hAnsi="Times New Roman"/>
        </w:rPr>
        <w:t xml:space="preserve">Goldman Sachs International has </w:t>
      </w:r>
      <w:r>
        <w:rPr>
          <w:rFonts w:ascii="Times New Roman" w:hAnsi="Times New Roman"/>
        </w:rPr>
        <w:t>been appointed as Joint Dealer Manager</w:t>
      </w:r>
      <w:r w:rsidR="00E95E35">
        <w:rPr>
          <w:rFonts w:ascii="Times New Roman" w:hAnsi="Times New Roman"/>
        </w:rPr>
        <w:t xml:space="preserve"> and </w:t>
      </w:r>
      <w:r w:rsidR="008F56F7">
        <w:rPr>
          <w:rFonts w:ascii="Times New Roman" w:hAnsi="Times New Roman"/>
        </w:rPr>
        <w:t xml:space="preserve">ABN </w:t>
      </w:r>
      <w:proofErr w:type="spellStart"/>
      <w:r w:rsidR="008F56F7">
        <w:rPr>
          <w:rFonts w:ascii="Times New Roman" w:hAnsi="Times New Roman"/>
        </w:rPr>
        <w:t>AMRO</w:t>
      </w:r>
      <w:proofErr w:type="spellEnd"/>
      <w:r w:rsidR="008F56F7">
        <w:rPr>
          <w:rFonts w:ascii="Times New Roman" w:hAnsi="Times New Roman"/>
        </w:rPr>
        <w:t xml:space="preserve"> Bank N.V., Banca IMI S.p.A., </w:t>
      </w:r>
      <w:proofErr w:type="spellStart"/>
      <w:r w:rsidR="008F56F7">
        <w:rPr>
          <w:rFonts w:ascii="Times New Roman" w:hAnsi="Times New Roman"/>
        </w:rPr>
        <w:t>Société</w:t>
      </w:r>
      <w:proofErr w:type="spellEnd"/>
      <w:r w:rsidR="008F56F7">
        <w:rPr>
          <w:rFonts w:ascii="Times New Roman" w:hAnsi="Times New Roman"/>
        </w:rPr>
        <w:t xml:space="preserve"> </w:t>
      </w:r>
      <w:proofErr w:type="spellStart"/>
      <w:r w:rsidR="008F56F7">
        <w:rPr>
          <w:rFonts w:ascii="Times New Roman" w:hAnsi="Times New Roman"/>
        </w:rPr>
        <w:t>Générale</w:t>
      </w:r>
      <w:proofErr w:type="spellEnd"/>
      <w:r w:rsidR="008F56F7">
        <w:rPr>
          <w:rFonts w:ascii="Times New Roman" w:hAnsi="Times New Roman"/>
        </w:rPr>
        <w:t xml:space="preserve"> and </w:t>
      </w:r>
      <w:proofErr w:type="spellStart"/>
      <w:r w:rsidR="008F56F7">
        <w:rPr>
          <w:rFonts w:ascii="Times New Roman" w:hAnsi="Times New Roman"/>
        </w:rPr>
        <w:t>UniCredit</w:t>
      </w:r>
      <w:proofErr w:type="spellEnd"/>
      <w:r w:rsidR="008F56F7">
        <w:rPr>
          <w:rFonts w:ascii="Times New Roman" w:hAnsi="Times New Roman"/>
        </w:rPr>
        <w:t xml:space="preserve"> Bank AG</w:t>
      </w:r>
      <w:r w:rsidR="00E95E35">
        <w:rPr>
          <w:rFonts w:ascii="Times New Roman" w:hAnsi="Times New Roman"/>
        </w:rPr>
        <w:t xml:space="preserve"> have been appointed as the Co-Dealer Managers (the “</w:t>
      </w:r>
      <w:r w:rsidR="00E95E35" w:rsidRPr="00E95E35">
        <w:rPr>
          <w:rFonts w:ascii="Times New Roman" w:hAnsi="Times New Roman"/>
          <w:b/>
          <w:bCs/>
        </w:rPr>
        <w:t>Co-Dealer Managers</w:t>
      </w:r>
      <w:r w:rsidR="00E95E35">
        <w:rPr>
          <w:rFonts w:ascii="Times New Roman" w:hAnsi="Times New Roman"/>
        </w:rPr>
        <w:t>”)</w:t>
      </w:r>
      <w:r>
        <w:rPr>
          <w:rFonts w:ascii="Times New Roman" w:hAnsi="Times New Roman"/>
        </w:rPr>
        <w:t xml:space="preserve"> (together, with the </w:t>
      </w:r>
      <w:r w:rsidRPr="00697824">
        <w:rPr>
          <w:rFonts w:ascii="Times New Roman" w:hAnsi="Times New Roman"/>
        </w:rPr>
        <w:t>Global Arranger and Lead Dealer Manager</w:t>
      </w:r>
      <w:r w:rsidR="00E95E35">
        <w:rPr>
          <w:rFonts w:ascii="Times New Roman" w:hAnsi="Times New Roman"/>
        </w:rPr>
        <w:t xml:space="preserve"> and </w:t>
      </w:r>
      <w:r w:rsidR="00C85DF6">
        <w:rPr>
          <w:rFonts w:ascii="Times New Roman" w:hAnsi="Times New Roman"/>
        </w:rPr>
        <w:t xml:space="preserve">the </w:t>
      </w:r>
      <w:r w:rsidR="00A26241">
        <w:rPr>
          <w:rFonts w:ascii="Times New Roman" w:hAnsi="Times New Roman"/>
        </w:rPr>
        <w:t xml:space="preserve">Joint </w:t>
      </w:r>
      <w:r w:rsidR="00C85DF6">
        <w:rPr>
          <w:rFonts w:ascii="Times New Roman" w:hAnsi="Times New Roman"/>
        </w:rPr>
        <w:t>Dealer Manager</w:t>
      </w:r>
      <w:r>
        <w:rPr>
          <w:rFonts w:ascii="Times New Roman" w:hAnsi="Times New Roman"/>
        </w:rPr>
        <w:t>,</w:t>
      </w:r>
      <w:r w:rsidRPr="00697824">
        <w:rPr>
          <w:rFonts w:ascii="Times New Roman" w:hAnsi="Times New Roman"/>
        </w:rPr>
        <w:t xml:space="preserve"> </w:t>
      </w:r>
      <w:r>
        <w:rPr>
          <w:rFonts w:ascii="Times New Roman" w:hAnsi="Times New Roman"/>
        </w:rPr>
        <w:t>the “</w:t>
      </w:r>
      <w:r w:rsidRPr="001B6919">
        <w:rPr>
          <w:rFonts w:ascii="Times New Roman" w:hAnsi="Times New Roman"/>
          <w:b/>
          <w:bCs/>
        </w:rPr>
        <w:t>Dealer Managers</w:t>
      </w:r>
      <w:r>
        <w:rPr>
          <w:rFonts w:ascii="Times New Roman" w:hAnsi="Times New Roman"/>
        </w:rPr>
        <w:t>”) in connection with the Offers.</w:t>
      </w:r>
      <w:r w:rsidRPr="001464F1">
        <w:rPr>
          <w:rFonts w:ascii="Times New Roman" w:hAnsi="Times New Roman"/>
        </w:rPr>
        <w:t xml:space="preserve"> </w:t>
      </w:r>
    </w:p>
    <w:p w:rsidR="001464F1" w:rsidRDefault="009E5500" w:rsidP="00821CDB">
      <w:pPr>
        <w:pStyle w:val="Body"/>
        <w:rPr>
          <w:rFonts w:ascii="Times New Roman" w:hAnsi="Times New Roman"/>
        </w:rPr>
      </w:pPr>
      <w:r>
        <w:rPr>
          <w:rFonts w:ascii="Times New Roman" w:hAnsi="Times New Roman"/>
        </w:rPr>
        <w:t xml:space="preserve">Requests for information and for any documents or materials relating to the Offers should be directed to: </w:t>
      </w:r>
    </w:p>
    <w:tbl>
      <w:tblPr>
        <w:tblW w:w="9782" w:type="dxa"/>
        <w:tblInd w:w="-318" w:type="dxa"/>
        <w:tblLayout w:type="fixed"/>
        <w:tblLook w:val="00A0" w:firstRow="1" w:lastRow="0" w:firstColumn="1" w:lastColumn="0" w:noHBand="0" w:noVBand="0"/>
      </w:tblPr>
      <w:tblGrid>
        <w:gridCol w:w="9782"/>
      </w:tblGrid>
      <w:tr w:rsidR="00B51E77" w:rsidTr="00EF63D2">
        <w:tc>
          <w:tcPr>
            <w:tcW w:w="9782" w:type="dxa"/>
            <w:shd w:val="clear" w:color="auto" w:fill="auto"/>
          </w:tcPr>
          <w:p w:rsidR="001464F1" w:rsidRPr="00043AA2" w:rsidRDefault="009E5500" w:rsidP="009D3EB1">
            <w:pPr>
              <w:pStyle w:val="AODocTxt"/>
              <w:spacing w:before="120"/>
              <w:jc w:val="center"/>
              <w:rPr>
                <w:b/>
                <w:bCs/>
                <w:sz w:val="20"/>
                <w:szCs w:val="20"/>
              </w:rPr>
            </w:pPr>
            <w:r w:rsidRPr="00043AA2">
              <w:rPr>
                <w:b/>
                <w:bCs/>
                <w:sz w:val="20"/>
                <w:szCs w:val="20"/>
              </w:rPr>
              <w:t>GLOBAL ARRANGER AND LEAD DEALER MANAGER</w:t>
            </w:r>
          </w:p>
        </w:tc>
      </w:tr>
      <w:tr w:rsidR="00B51E77" w:rsidTr="00EF63D2">
        <w:tc>
          <w:tcPr>
            <w:tcW w:w="9782" w:type="dxa"/>
            <w:shd w:val="clear" w:color="auto" w:fill="auto"/>
          </w:tcPr>
          <w:p w:rsidR="001464F1" w:rsidRPr="00043AA2" w:rsidRDefault="009E5500" w:rsidP="0058542E">
            <w:pPr>
              <w:pStyle w:val="AODocTxt"/>
              <w:spacing w:before="120" w:line="240" w:lineRule="auto"/>
              <w:jc w:val="center"/>
              <w:rPr>
                <w:b/>
                <w:bCs/>
                <w:sz w:val="20"/>
                <w:szCs w:val="20"/>
              </w:rPr>
            </w:pPr>
            <w:r w:rsidRPr="00043AA2">
              <w:rPr>
                <w:b/>
                <w:bCs/>
                <w:sz w:val="20"/>
                <w:szCs w:val="20"/>
              </w:rPr>
              <w:t>The Royal Bank of Scotland plc</w:t>
            </w:r>
          </w:p>
          <w:p w:rsidR="001464F1" w:rsidRPr="00043AA2" w:rsidRDefault="009E5500" w:rsidP="0058542E">
            <w:pPr>
              <w:pStyle w:val="AODocTxt"/>
              <w:spacing w:before="0" w:line="240" w:lineRule="auto"/>
              <w:jc w:val="center"/>
              <w:rPr>
                <w:sz w:val="20"/>
                <w:szCs w:val="20"/>
              </w:rPr>
            </w:pPr>
            <w:r w:rsidRPr="00043AA2">
              <w:rPr>
                <w:sz w:val="20"/>
                <w:szCs w:val="20"/>
              </w:rPr>
              <w:t>135 Bishopsgate</w:t>
            </w:r>
          </w:p>
          <w:p w:rsidR="001464F1" w:rsidRPr="00043AA2" w:rsidRDefault="009E5500" w:rsidP="0058542E">
            <w:pPr>
              <w:pStyle w:val="AODocTxt"/>
              <w:spacing w:before="0" w:line="240" w:lineRule="auto"/>
              <w:jc w:val="center"/>
              <w:rPr>
                <w:sz w:val="20"/>
                <w:szCs w:val="20"/>
              </w:rPr>
            </w:pPr>
            <w:r w:rsidRPr="00043AA2">
              <w:rPr>
                <w:sz w:val="20"/>
                <w:szCs w:val="20"/>
              </w:rPr>
              <w:t>London  EC2M 3UR</w:t>
            </w:r>
            <w:r w:rsidR="00B61A09">
              <w:rPr>
                <w:sz w:val="20"/>
                <w:szCs w:val="20"/>
              </w:rPr>
              <w:br/>
              <w:t>United Kingdom</w:t>
            </w:r>
          </w:p>
          <w:p w:rsidR="001464F1" w:rsidRPr="00043AA2" w:rsidRDefault="009E5500" w:rsidP="0058542E">
            <w:pPr>
              <w:pStyle w:val="AODocTxt"/>
              <w:spacing w:before="120" w:line="240" w:lineRule="auto"/>
              <w:jc w:val="center"/>
              <w:rPr>
                <w:bCs/>
                <w:sz w:val="20"/>
                <w:szCs w:val="20"/>
              </w:rPr>
            </w:pPr>
            <w:r w:rsidRPr="00043AA2">
              <w:rPr>
                <w:bCs/>
                <w:sz w:val="20"/>
                <w:szCs w:val="20"/>
              </w:rPr>
              <w:t xml:space="preserve">Telephone: +44 20 7085 </w:t>
            </w:r>
            <w:r>
              <w:rPr>
                <w:bCs/>
                <w:sz w:val="20"/>
                <w:szCs w:val="20"/>
              </w:rPr>
              <w:t>3781</w:t>
            </w:r>
          </w:p>
          <w:p w:rsidR="001464F1" w:rsidRPr="00043AA2" w:rsidRDefault="009E5500" w:rsidP="0058542E">
            <w:pPr>
              <w:pStyle w:val="AODocTxt"/>
              <w:spacing w:before="0" w:line="240" w:lineRule="auto"/>
              <w:jc w:val="center"/>
              <w:rPr>
                <w:bCs/>
                <w:sz w:val="20"/>
                <w:szCs w:val="20"/>
              </w:rPr>
            </w:pPr>
            <w:r w:rsidRPr="00043AA2">
              <w:rPr>
                <w:bCs/>
                <w:sz w:val="20"/>
                <w:szCs w:val="20"/>
              </w:rPr>
              <w:t>Attention:  Liability Management Group</w:t>
            </w:r>
          </w:p>
          <w:p w:rsidR="001464F1" w:rsidRPr="00043AA2" w:rsidRDefault="009E5500" w:rsidP="00120500">
            <w:pPr>
              <w:pStyle w:val="AODocTxt"/>
              <w:spacing w:before="0" w:line="240" w:lineRule="auto"/>
              <w:jc w:val="center"/>
              <w:rPr>
                <w:b/>
                <w:bCs/>
                <w:sz w:val="20"/>
                <w:szCs w:val="20"/>
              </w:rPr>
            </w:pPr>
            <w:r w:rsidRPr="00043AA2">
              <w:rPr>
                <w:bCs/>
                <w:sz w:val="20"/>
                <w:szCs w:val="20"/>
              </w:rPr>
              <w:t>Email:  liabilitymanagement@rbs.com</w:t>
            </w:r>
          </w:p>
        </w:tc>
      </w:tr>
      <w:tr w:rsidR="00EF63D2" w:rsidTr="00EF63D2">
        <w:tc>
          <w:tcPr>
            <w:tcW w:w="9782" w:type="dxa"/>
            <w:shd w:val="clear" w:color="auto" w:fill="auto"/>
          </w:tcPr>
          <w:p w:rsidR="00EF63D2" w:rsidRPr="00EF63D2" w:rsidDel="00EF63D2" w:rsidRDefault="00C85DF6" w:rsidP="00EF63D2">
            <w:pPr>
              <w:pStyle w:val="AODocTxt"/>
              <w:spacing w:before="120"/>
              <w:jc w:val="center"/>
              <w:rPr>
                <w:b/>
                <w:bCs/>
                <w:sz w:val="20"/>
                <w:szCs w:val="20"/>
              </w:rPr>
            </w:pPr>
            <w:r>
              <w:rPr>
                <w:b/>
                <w:bCs/>
                <w:sz w:val="20"/>
                <w:szCs w:val="20"/>
              </w:rPr>
              <w:t xml:space="preserve">JOINT </w:t>
            </w:r>
            <w:r w:rsidR="00EF63D2" w:rsidRPr="00EF63D2">
              <w:rPr>
                <w:b/>
                <w:bCs/>
                <w:sz w:val="20"/>
                <w:szCs w:val="20"/>
              </w:rPr>
              <w:t>DEALER MANAGER</w:t>
            </w:r>
          </w:p>
        </w:tc>
      </w:tr>
      <w:tr w:rsidR="00EF63D2" w:rsidTr="00EF63D2">
        <w:tc>
          <w:tcPr>
            <w:tcW w:w="9782" w:type="dxa"/>
            <w:shd w:val="clear" w:color="auto" w:fill="auto"/>
          </w:tcPr>
          <w:p w:rsidR="00EF63D2" w:rsidRPr="00EF63D2" w:rsidRDefault="00EF63D2" w:rsidP="007417F9">
            <w:pPr>
              <w:pStyle w:val="AODocTxt"/>
              <w:spacing w:before="120" w:line="240" w:lineRule="auto"/>
              <w:jc w:val="center"/>
              <w:rPr>
                <w:bCs/>
                <w:sz w:val="20"/>
                <w:szCs w:val="20"/>
              </w:rPr>
            </w:pPr>
            <w:r w:rsidRPr="00EF63D2">
              <w:rPr>
                <w:b/>
                <w:bCs/>
                <w:sz w:val="20"/>
                <w:szCs w:val="20"/>
              </w:rPr>
              <w:t>Goldman Sachs International</w:t>
            </w:r>
            <w:r w:rsidRPr="00EF63D2">
              <w:rPr>
                <w:b/>
                <w:bCs/>
                <w:sz w:val="20"/>
                <w:szCs w:val="20"/>
              </w:rPr>
              <w:br/>
            </w:r>
            <w:r w:rsidRPr="00EF63D2">
              <w:rPr>
                <w:sz w:val="20"/>
                <w:szCs w:val="20"/>
              </w:rPr>
              <w:t>Peterborough Court</w:t>
            </w:r>
            <w:r w:rsidRPr="00EF63D2">
              <w:rPr>
                <w:sz w:val="20"/>
                <w:szCs w:val="20"/>
              </w:rPr>
              <w:br/>
              <w:t>133 Fleet Street</w:t>
            </w:r>
            <w:r w:rsidRPr="00EF63D2">
              <w:rPr>
                <w:sz w:val="20"/>
                <w:szCs w:val="20"/>
              </w:rPr>
              <w:br/>
              <w:t>London EC4A 2BB</w:t>
            </w:r>
            <w:r w:rsidR="00B61A09">
              <w:rPr>
                <w:sz w:val="20"/>
                <w:szCs w:val="20"/>
              </w:rPr>
              <w:br/>
              <w:t>United Kingdom</w:t>
            </w:r>
          </w:p>
          <w:p w:rsidR="00EF63D2" w:rsidRPr="00EF63D2" w:rsidDel="00EF63D2" w:rsidRDefault="00EF63D2" w:rsidP="00EF63D2">
            <w:pPr>
              <w:pStyle w:val="AODocTxt"/>
              <w:spacing w:before="0"/>
              <w:jc w:val="center"/>
              <w:rPr>
                <w:bCs/>
                <w:sz w:val="20"/>
                <w:szCs w:val="20"/>
              </w:rPr>
            </w:pPr>
            <w:r w:rsidRPr="00EF63D2">
              <w:rPr>
                <w:sz w:val="20"/>
                <w:szCs w:val="20"/>
              </w:rPr>
              <w:br/>
              <w:t>Telephone: +44 20 7774 9862</w:t>
            </w:r>
            <w:r w:rsidRPr="00EF63D2">
              <w:rPr>
                <w:sz w:val="20"/>
                <w:szCs w:val="20"/>
              </w:rPr>
              <w:br/>
              <w:t>Attention: Liability Management Group</w:t>
            </w:r>
            <w:r w:rsidRPr="00EF63D2">
              <w:rPr>
                <w:sz w:val="20"/>
                <w:szCs w:val="20"/>
              </w:rPr>
              <w:br/>
              <w:t>Email: liabilitymanagement.eu@gs.com</w:t>
            </w:r>
          </w:p>
        </w:tc>
      </w:tr>
    </w:tbl>
    <w:p w:rsidR="001464F1" w:rsidRDefault="00CF7E19" w:rsidP="00821CDB">
      <w:pPr>
        <w:pStyle w:val="Body"/>
        <w:rPr>
          <w:rFonts w:ascii="Times New Roman" w:hAnsi="Times New Roman"/>
        </w:rPr>
      </w:pPr>
    </w:p>
    <w:tbl>
      <w:tblPr>
        <w:tblW w:w="9782" w:type="dxa"/>
        <w:tblInd w:w="-318" w:type="dxa"/>
        <w:tblLayout w:type="fixed"/>
        <w:tblLook w:val="00A0" w:firstRow="1" w:lastRow="0" w:firstColumn="1" w:lastColumn="0" w:noHBand="0" w:noVBand="0"/>
      </w:tblPr>
      <w:tblGrid>
        <w:gridCol w:w="9782"/>
      </w:tblGrid>
      <w:tr w:rsidR="00B51E77" w:rsidTr="0058542E">
        <w:trPr>
          <w:trHeight w:val="106"/>
        </w:trPr>
        <w:tc>
          <w:tcPr>
            <w:tcW w:w="9782" w:type="dxa"/>
            <w:shd w:val="clear" w:color="auto" w:fill="auto"/>
          </w:tcPr>
          <w:p w:rsidR="001464F1" w:rsidRPr="00043AA2" w:rsidRDefault="009E5500" w:rsidP="0058542E">
            <w:pPr>
              <w:pStyle w:val="AODocTxt"/>
              <w:spacing w:before="120" w:line="240" w:lineRule="auto"/>
              <w:jc w:val="center"/>
              <w:rPr>
                <w:b/>
                <w:bCs/>
                <w:sz w:val="20"/>
                <w:szCs w:val="20"/>
              </w:rPr>
            </w:pPr>
            <w:r w:rsidRPr="00043AA2">
              <w:rPr>
                <w:b/>
                <w:bCs/>
                <w:sz w:val="20"/>
                <w:szCs w:val="20"/>
              </w:rPr>
              <w:t>TENDER AGENT</w:t>
            </w:r>
          </w:p>
        </w:tc>
      </w:tr>
      <w:tr w:rsidR="00B51E77" w:rsidTr="0058542E">
        <w:trPr>
          <w:trHeight w:val="71"/>
        </w:trPr>
        <w:tc>
          <w:tcPr>
            <w:tcW w:w="9782" w:type="dxa"/>
            <w:shd w:val="clear" w:color="auto" w:fill="auto"/>
          </w:tcPr>
          <w:p w:rsidR="001464F1" w:rsidRPr="00043AA2" w:rsidRDefault="009E5500" w:rsidP="0058542E">
            <w:pPr>
              <w:pStyle w:val="AODocTxt"/>
              <w:spacing w:before="120" w:line="240" w:lineRule="auto"/>
              <w:jc w:val="center"/>
              <w:rPr>
                <w:b/>
                <w:bCs/>
                <w:sz w:val="20"/>
                <w:szCs w:val="20"/>
              </w:rPr>
            </w:pPr>
            <w:r w:rsidRPr="00043AA2">
              <w:rPr>
                <w:b/>
                <w:bCs/>
                <w:sz w:val="20"/>
                <w:szCs w:val="20"/>
              </w:rPr>
              <w:t>Lucid Issuer Services Limited</w:t>
            </w:r>
          </w:p>
          <w:p w:rsidR="003A23D2" w:rsidRPr="003A23D2" w:rsidRDefault="009E5500" w:rsidP="003A23D2">
            <w:pPr>
              <w:pStyle w:val="AODocTxt"/>
              <w:spacing w:before="0"/>
              <w:jc w:val="center"/>
              <w:rPr>
                <w:sz w:val="20"/>
                <w:szCs w:val="20"/>
              </w:rPr>
            </w:pPr>
            <w:r w:rsidRPr="003A23D2">
              <w:rPr>
                <w:sz w:val="20"/>
                <w:szCs w:val="20"/>
              </w:rPr>
              <w:t>Tankerton Works</w:t>
            </w:r>
          </w:p>
          <w:p w:rsidR="003A23D2" w:rsidRPr="003A23D2" w:rsidRDefault="009E5500" w:rsidP="003A23D2">
            <w:pPr>
              <w:pStyle w:val="AODocTxt"/>
              <w:spacing w:before="0"/>
              <w:jc w:val="center"/>
              <w:rPr>
                <w:sz w:val="20"/>
                <w:szCs w:val="20"/>
              </w:rPr>
            </w:pPr>
            <w:r w:rsidRPr="003A23D2">
              <w:rPr>
                <w:sz w:val="20"/>
                <w:szCs w:val="20"/>
              </w:rPr>
              <w:t>12 Argyle Walk</w:t>
            </w:r>
          </w:p>
          <w:p w:rsidR="003A23D2" w:rsidRPr="003A23D2" w:rsidRDefault="009E5500" w:rsidP="003A23D2">
            <w:pPr>
              <w:pStyle w:val="AODocTxt"/>
              <w:spacing w:before="0"/>
              <w:jc w:val="center"/>
              <w:rPr>
                <w:sz w:val="20"/>
                <w:szCs w:val="20"/>
              </w:rPr>
            </w:pPr>
            <w:r w:rsidRPr="003A23D2">
              <w:rPr>
                <w:sz w:val="20"/>
                <w:szCs w:val="20"/>
              </w:rPr>
              <w:lastRenderedPageBreak/>
              <w:t>London</w:t>
            </w:r>
            <w:r w:rsidR="00B61A09">
              <w:rPr>
                <w:sz w:val="20"/>
                <w:szCs w:val="20"/>
              </w:rPr>
              <w:t xml:space="preserve"> </w:t>
            </w:r>
            <w:r w:rsidR="00B61A09" w:rsidRPr="003A23D2">
              <w:rPr>
                <w:sz w:val="20"/>
                <w:szCs w:val="20"/>
              </w:rPr>
              <w:t>WC1H 8HA</w:t>
            </w:r>
          </w:p>
          <w:p w:rsidR="001464F1" w:rsidRPr="00043AA2" w:rsidRDefault="00B61A09" w:rsidP="003A23D2">
            <w:pPr>
              <w:pStyle w:val="AODocTxt"/>
              <w:spacing w:before="0"/>
              <w:jc w:val="center"/>
              <w:rPr>
                <w:sz w:val="20"/>
                <w:szCs w:val="20"/>
              </w:rPr>
            </w:pPr>
            <w:r>
              <w:rPr>
                <w:sz w:val="20"/>
                <w:szCs w:val="20"/>
              </w:rPr>
              <w:t>United Kingdom</w:t>
            </w:r>
          </w:p>
          <w:p w:rsidR="001464F1" w:rsidRPr="00043AA2" w:rsidRDefault="009E5500" w:rsidP="0058542E">
            <w:pPr>
              <w:pStyle w:val="AODocTxt"/>
              <w:spacing w:line="240" w:lineRule="auto"/>
              <w:jc w:val="center"/>
              <w:rPr>
                <w:bCs/>
                <w:sz w:val="20"/>
                <w:szCs w:val="20"/>
              </w:rPr>
            </w:pPr>
            <w:r w:rsidRPr="00043AA2">
              <w:rPr>
                <w:bCs/>
                <w:sz w:val="20"/>
                <w:szCs w:val="20"/>
              </w:rPr>
              <w:t>Telephone:  +44 20 7704 0880</w:t>
            </w:r>
          </w:p>
          <w:p w:rsidR="001464F1" w:rsidRPr="00043AA2" w:rsidRDefault="009E5500" w:rsidP="0058542E">
            <w:pPr>
              <w:pStyle w:val="AODocTxt"/>
              <w:spacing w:before="0" w:line="240" w:lineRule="auto"/>
              <w:jc w:val="center"/>
              <w:rPr>
                <w:bCs/>
                <w:sz w:val="20"/>
                <w:szCs w:val="20"/>
              </w:rPr>
            </w:pPr>
            <w:r w:rsidRPr="00043AA2">
              <w:rPr>
                <w:bCs/>
                <w:sz w:val="20"/>
                <w:szCs w:val="20"/>
              </w:rPr>
              <w:t xml:space="preserve">Attention: </w:t>
            </w:r>
            <w:r>
              <w:rPr>
                <w:bCs/>
                <w:sz w:val="20"/>
                <w:szCs w:val="20"/>
              </w:rPr>
              <w:t>David Shilson</w:t>
            </w:r>
          </w:p>
          <w:p w:rsidR="001464F1" w:rsidRPr="00043AA2" w:rsidRDefault="009E5500" w:rsidP="0058542E">
            <w:pPr>
              <w:pStyle w:val="text2"/>
              <w:spacing w:before="0" w:line="240" w:lineRule="auto"/>
              <w:jc w:val="center"/>
              <w:rPr>
                <w:b/>
                <w:sz w:val="20"/>
                <w:szCs w:val="20"/>
              </w:rPr>
            </w:pPr>
            <w:r w:rsidRPr="00043AA2">
              <w:rPr>
                <w:bCs/>
                <w:sz w:val="20"/>
                <w:szCs w:val="20"/>
              </w:rPr>
              <w:t>Email:  rbs@lucid-is.com</w:t>
            </w:r>
          </w:p>
          <w:p w:rsidR="001464F1" w:rsidRPr="00043AA2" w:rsidRDefault="00CF7E19" w:rsidP="0058542E">
            <w:pPr>
              <w:pStyle w:val="text2"/>
              <w:spacing w:before="0" w:line="240" w:lineRule="auto"/>
              <w:jc w:val="center"/>
              <w:rPr>
                <w:b/>
                <w:sz w:val="20"/>
                <w:szCs w:val="20"/>
              </w:rPr>
            </w:pPr>
          </w:p>
        </w:tc>
      </w:tr>
    </w:tbl>
    <w:p w:rsidR="00D96C3B" w:rsidRDefault="00CF7E19" w:rsidP="00821CDB">
      <w:pPr>
        <w:pStyle w:val="Body"/>
        <w:rPr>
          <w:rFonts w:ascii="Times New Roman" w:hAnsi="Times New Roman"/>
        </w:rPr>
      </w:pPr>
    </w:p>
    <w:p w:rsidR="00D96C3B" w:rsidRDefault="009E5500">
      <w:pPr>
        <w:rPr>
          <w:rFonts w:ascii="Times New Roman" w:hAnsi="Times New Roman"/>
          <w:kern w:val="20"/>
        </w:rPr>
      </w:pPr>
      <w:r>
        <w:rPr>
          <w:rFonts w:ascii="Times New Roman" w:hAnsi="Times New Roman"/>
        </w:rPr>
        <w:br w:type="page"/>
      </w:r>
    </w:p>
    <w:p w:rsidR="001464F1" w:rsidRPr="00A41D62" w:rsidRDefault="009E5500" w:rsidP="00821CDB">
      <w:pPr>
        <w:pStyle w:val="Body"/>
        <w:rPr>
          <w:rFonts w:ascii="Times New Roman" w:hAnsi="Times New Roman"/>
          <w:b/>
          <w:bCs/>
        </w:rPr>
      </w:pPr>
      <w:r w:rsidRPr="00A41D62">
        <w:rPr>
          <w:rFonts w:ascii="Times New Roman" w:hAnsi="Times New Roman"/>
          <w:b/>
          <w:bCs/>
        </w:rPr>
        <w:lastRenderedPageBreak/>
        <w:t xml:space="preserve">DISCLAIMER </w:t>
      </w:r>
    </w:p>
    <w:p w:rsidR="00C11B47" w:rsidRDefault="009E5500" w:rsidP="00C11B47">
      <w:pPr>
        <w:pStyle w:val="Body"/>
        <w:rPr>
          <w:rFonts w:ascii="Times New Roman" w:hAnsi="Times New Roman"/>
        </w:rPr>
      </w:pPr>
      <w:r w:rsidRPr="00C11B47">
        <w:rPr>
          <w:rFonts w:ascii="Times New Roman" w:hAnsi="Times New Roman"/>
        </w:rPr>
        <w:t>Subject to applicable law, the Offeror</w:t>
      </w:r>
      <w:r w:rsidR="007417F9">
        <w:rPr>
          <w:rFonts w:ascii="Times New Roman" w:hAnsi="Times New Roman"/>
        </w:rPr>
        <w:t>s</w:t>
      </w:r>
      <w:r w:rsidRPr="00C11B47">
        <w:rPr>
          <w:rFonts w:ascii="Times New Roman" w:hAnsi="Times New Roman"/>
        </w:rPr>
        <w:t xml:space="preserve"> or any of </w:t>
      </w:r>
      <w:r w:rsidR="00C85DF6">
        <w:rPr>
          <w:rFonts w:ascii="Times New Roman" w:hAnsi="Times New Roman"/>
        </w:rPr>
        <w:t>their respective</w:t>
      </w:r>
      <w:r w:rsidR="007417F9" w:rsidRPr="00C11B47">
        <w:rPr>
          <w:rFonts w:ascii="Times New Roman" w:hAnsi="Times New Roman"/>
        </w:rPr>
        <w:t xml:space="preserve"> </w:t>
      </w:r>
      <w:r w:rsidRPr="00C11B47">
        <w:rPr>
          <w:rFonts w:ascii="Times New Roman" w:hAnsi="Times New Roman"/>
        </w:rPr>
        <w:t>affiliates may at any time and from time to time</w:t>
      </w:r>
      <w:r>
        <w:rPr>
          <w:rFonts w:ascii="Times New Roman" w:hAnsi="Times New Roman"/>
        </w:rPr>
        <w:t xml:space="preserve"> </w:t>
      </w:r>
      <w:r w:rsidRPr="00C11B47">
        <w:rPr>
          <w:rFonts w:ascii="Times New Roman" w:hAnsi="Times New Roman"/>
        </w:rPr>
        <w:t xml:space="preserve">following completion of the Offers purchase remaining outstanding </w:t>
      </w:r>
      <w:r>
        <w:rPr>
          <w:rFonts w:ascii="Times New Roman" w:hAnsi="Times New Roman"/>
        </w:rPr>
        <w:t xml:space="preserve">Notes </w:t>
      </w:r>
      <w:r w:rsidRPr="00C11B47">
        <w:rPr>
          <w:rFonts w:ascii="Times New Roman" w:hAnsi="Times New Roman"/>
        </w:rPr>
        <w:t>by tender, in the open</w:t>
      </w:r>
      <w:r>
        <w:rPr>
          <w:rFonts w:ascii="Times New Roman" w:hAnsi="Times New Roman"/>
        </w:rPr>
        <w:t xml:space="preserve"> </w:t>
      </w:r>
      <w:r w:rsidRPr="00C11B47">
        <w:rPr>
          <w:rFonts w:ascii="Times New Roman" w:hAnsi="Times New Roman"/>
        </w:rPr>
        <w:t>market, by private agreement or otherwise on such terms and at such prices as the</w:t>
      </w:r>
      <w:r w:rsidR="007417F9">
        <w:rPr>
          <w:rFonts w:ascii="Times New Roman" w:hAnsi="Times New Roman"/>
        </w:rPr>
        <w:t xml:space="preserve"> relevant</w:t>
      </w:r>
      <w:r w:rsidRPr="00C11B47">
        <w:rPr>
          <w:rFonts w:ascii="Times New Roman" w:hAnsi="Times New Roman"/>
        </w:rPr>
        <w:t xml:space="preserve"> Offeror, or if applicable,</w:t>
      </w:r>
      <w:r>
        <w:rPr>
          <w:rFonts w:ascii="Times New Roman" w:hAnsi="Times New Roman"/>
        </w:rPr>
        <w:t xml:space="preserve"> </w:t>
      </w:r>
      <w:r w:rsidRPr="00C11B47">
        <w:rPr>
          <w:rFonts w:ascii="Times New Roman" w:hAnsi="Times New Roman"/>
        </w:rPr>
        <w:t>its affiliates may determine. Such terms, consideration and prices may be more or less favourable than</w:t>
      </w:r>
      <w:r>
        <w:rPr>
          <w:rFonts w:ascii="Times New Roman" w:hAnsi="Times New Roman"/>
        </w:rPr>
        <w:t xml:space="preserve"> </w:t>
      </w:r>
      <w:r w:rsidRPr="00C11B47">
        <w:rPr>
          <w:rFonts w:ascii="Times New Roman" w:hAnsi="Times New Roman"/>
        </w:rPr>
        <w:t>those offered pursuant to the Offers.</w:t>
      </w:r>
    </w:p>
    <w:p w:rsidR="001464F1" w:rsidRDefault="009E5500" w:rsidP="00A41D62">
      <w:pPr>
        <w:pStyle w:val="Body"/>
        <w:rPr>
          <w:rFonts w:ascii="Times New Roman" w:hAnsi="Times New Roman"/>
        </w:rPr>
      </w:pPr>
      <w:r w:rsidRPr="00A41D62">
        <w:rPr>
          <w:rFonts w:ascii="Times New Roman" w:hAnsi="Times New Roman"/>
        </w:rPr>
        <w:t>This announcement must be read in conjunction with the Tender Offer Memorandum. This announcement</w:t>
      </w:r>
      <w:r>
        <w:rPr>
          <w:rFonts w:ascii="Times New Roman" w:hAnsi="Times New Roman"/>
        </w:rPr>
        <w:t xml:space="preserve"> </w:t>
      </w:r>
      <w:r w:rsidRPr="00A41D62">
        <w:rPr>
          <w:rFonts w:ascii="Times New Roman" w:hAnsi="Times New Roman"/>
        </w:rPr>
        <w:t xml:space="preserve">and the Tender Offer Memorandum contain important information which must be read carefully. If any holder of </w:t>
      </w:r>
      <w:r>
        <w:rPr>
          <w:rFonts w:ascii="Times New Roman" w:hAnsi="Times New Roman"/>
        </w:rPr>
        <w:t>Notes</w:t>
      </w:r>
      <w:r w:rsidRPr="00A41D62">
        <w:rPr>
          <w:rFonts w:ascii="Times New Roman" w:hAnsi="Times New Roman"/>
        </w:rPr>
        <w:t xml:space="preserve"> is in any doubt as to the action it</w:t>
      </w:r>
      <w:r>
        <w:rPr>
          <w:rFonts w:ascii="Times New Roman" w:hAnsi="Times New Roman"/>
        </w:rPr>
        <w:t xml:space="preserve"> </w:t>
      </w:r>
      <w:r w:rsidRPr="00A41D62">
        <w:rPr>
          <w:rFonts w:ascii="Times New Roman" w:hAnsi="Times New Roman"/>
        </w:rPr>
        <w:t>should take, it is recommended to seek its own legal, tax, accounting and financial advice, including as to</w:t>
      </w:r>
      <w:r>
        <w:rPr>
          <w:rFonts w:ascii="Times New Roman" w:hAnsi="Times New Roman"/>
        </w:rPr>
        <w:t xml:space="preserve"> </w:t>
      </w:r>
      <w:r w:rsidRPr="00A41D62">
        <w:rPr>
          <w:rFonts w:ascii="Times New Roman" w:hAnsi="Times New Roman"/>
        </w:rPr>
        <w:t>any tax consequences, from its broker, bank manager, solicitor, accountant or other independent</w:t>
      </w:r>
      <w:r>
        <w:rPr>
          <w:rFonts w:ascii="Times New Roman" w:hAnsi="Times New Roman"/>
        </w:rPr>
        <w:t xml:space="preserve"> </w:t>
      </w:r>
      <w:r w:rsidRPr="00A41D62">
        <w:rPr>
          <w:rFonts w:ascii="Times New Roman" w:hAnsi="Times New Roman"/>
        </w:rPr>
        <w:t>financial or legal adviser. None of the Offeror</w:t>
      </w:r>
      <w:r w:rsidR="007417F9">
        <w:rPr>
          <w:rFonts w:ascii="Times New Roman" w:hAnsi="Times New Roman"/>
        </w:rPr>
        <w:t>s</w:t>
      </w:r>
      <w:r w:rsidRPr="00A41D62">
        <w:rPr>
          <w:rFonts w:ascii="Times New Roman" w:hAnsi="Times New Roman"/>
        </w:rPr>
        <w:t>, the Dealer Managers, the Tender Agent and any person who controls, or</w:t>
      </w:r>
      <w:r>
        <w:rPr>
          <w:rFonts w:ascii="Times New Roman" w:hAnsi="Times New Roman"/>
        </w:rPr>
        <w:t xml:space="preserve"> </w:t>
      </w:r>
      <w:r w:rsidRPr="00A41D62">
        <w:rPr>
          <w:rFonts w:ascii="Times New Roman" w:hAnsi="Times New Roman"/>
        </w:rPr>
        <w:t>is a director, officer, employee or agent of such persons, or any affiliate of such persons, makes any</w:t>
      </w:r>
      <w:r>
        <w:rPr>
          <w:rFonts w:ascii="Times New Roman" w:hAnsi="Times New Roman"/>
        </w:rPr>
        <w:t xml:space="preserve"> </w:t>
      </w:r>
      <w:r w:rsidRPr="00A41D62">
        <w:rPr>
          <w:rFonts w:ascii="Times New Roman" w:hAnsi="Times New Roman"/>
        </w:rPr>
        <w:t xml:space="preserve">recommendation in </w:t>
      </w:r>
      <w:r>
        <w:rPr>
          <w:rFonts w:ascii="Times New Roman" w:hAnsi="Times New Roman"/>
        </w:rPr>
        <w:t xml:space="preserve">connection with </w:t>
      </w:r>
      <w:r w:rsidRPr="00A41D62">
        <w:rPr>
          <w:rFonts w:ascii="Times New Roman" w:hAnsi="Times New Roman"/>
        </w:rPr>
        <w:t>the Offers.</w:t>
      </w:r>
    </w:p>
    <w:p w:rsidR="00A41D62" w:rsidRPr="00A41D62" w:rsidRDefault="009E5500" w:rsidP="00575E6E">
      <w:pPr>
        <w:pStyle w:val="Body"/>
        <w:keepNext/>
        <w:keepLines/>
        <w:rPr>
          <w:rFonts w:ascii="Times New Roman" w:hAnsi="Times New Roman"/>
          <w:b/>
          <w:bCs/>
        </w:rPr>
      </w:pPr>
      <w:r w:rsidRPr="00A41D62">
        <w:rPr>
          <w:rFonts w:ascii="Times New Roman" w:hAnsi="Times New Roman"/>
          <w:b/>
          <w:bCs/>
        </w:rPr>
        <w:t xml:space="preserve">OFFER AND DISTRIBUTION RESTRICTIONS </w:t>
      </w:r>
    </w:p>
    <w:p w:rsidR="00A41D62" w:rsidRPr="00A41D62" w:rsidRDefault="009E5500" w:rsidP="00C91790">
      <w:pPr>
        <w:pStyle w:val="Body"/>
        <w:rPr>
          <w:rFonts w:ascii="Times New Roman" w:hAnsi="Times New Roman"/>
        </w:rPr>
      </w:pPr>
      <w:r w:rsidRPr="00A41D62">
        <w:rPr>
          <w:rFonts w:ascii="Times New Roman" w:hAnsi="Times New Roman"/>
        </w:rPr>
        <w:t xml:space="preserve">This </w:t>
      </w:r>
      <w:r>
        <w:rPr>
          <w:rFonts w:ascii="Times New Roman" w:hAnsi="Times New Roman"/>
        </w:rPr>
        <w:t xml:space="preserve">announcement and the </w:t>
      </w:r>
      <w:r w:rsidRPr="00A41D62">
        <w:rPr>
          <w:rFonts w:ascii="Times New Roman" w:hAnsi="Times New Roman"/>
        </w:rPr>
        <w:t xml:space="preserve">Tender Offer Memorandum </w:t>
      </w:r>
      <w:r>
        <w:rPr>
          <w:rFonts w:ascii="Times New Roman" w:hAnsi="Times New Roman"/>
        </w:rPr>
        <w:t>do</w:t>
      </w:r>
      <w:r w:rsidRPr="00A41D62">
        <w:rPr>
          <w:rFonts w:ascii="Times New Roman" w:hAnsi="Times New Roman"/>
        </w:rPr>
        <w:t xml:space="preserve"> not constitute an offer or an invitation to participate in the Offers in the United States or in any other jurisdiction in which, or to any person to or from whom, it is unlawful to make such offer or invitation or for there to be such participation under applicable securities laws. The distribution of this </w:t>
      </w:r>
      <w:r>
        <w:rPr>
          <w:rFonts w:ascii="Times New Roman" w:hAnsi="Times New Roman"/>
        </w:rPr>
        <w:t xml:space="preserve">announcement and/or the </w:t>
      </w:r>
      <w:r w:rsidRPr="00A41D62">
        <w:rPr>
          <w:rFonts w:ascii="Times New Roman" w:hAnsi="Times New Roman"/>
        </w:rPr>
        <w:t xml:space="preserve">Tender Offer Memorandum in certain jurisdictions may be restricted by law. Persons into whose possession this </w:t>
      </w:r>
      <w:r>
        <w:rPr>
          <w:rFonts w:ascii="Times New Roman" w:hAnsi="Times New Roman"/>
        </w:rPr>
        <w:t xml:space="preserve">announcement and/or the </w:t>
      </w:r>
      <w:r w:rsidRPr="00A41D62">
        <w:rPr>
          <w:rFonts w:ascii="Times New Roman" w:hAnsi="Times New Roman"/>
        </w:rPr>
        <w:t>Tender Offer Memorandum comes are required by each of the Offeror</w:t>
      </w:r>
      <w:r w:rsidR="007417F9">
        <w:rPr>
          <w:rFonts w:ascii="Times New Roman" w:hAnsi="Times New Roman"/>
        </w:rPr>
        <w:t>s</w:t>
      </w:r>
      <w:r w:rsidRPr="00A41D62">
        <w:rPr>
          <w:rFonts w:ascii="Times New Roman" w:hAnsi="Times New Roman"/>
        </w:rPr>
        <w:t>, the Dealer Managers and the Tender Agent to inform themselves about, and to observe, any such restrictions.</w:t>
      </w:r>
    </w:p>
    <w:p w:rsidR="002E1684" w:rsidRPr="001464F1" w:rsidRDefault="00CF7E19" w:rsidP="002E1684">
      <w:pPr>
        <w:pStyle w:val="Body"/>
        <w:rPr>
          <w:rFonts w:ascii="Times New Roman" w:hAnsi="Times New Roman"/>
        </w:rPr>
      </w:pPr>
    </w:p>
    <w:sectPr w:rsidR="002E1684" w:rsidRPr="001464F1" w:rsidSect="00712C32">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F6" w:rsidRDefault="009E5500">
      <w:r>
        <w:separator/>
      </w:r>
    </w:p>
  </w:endnote>
  <w:endnote w:type="continuationSeparator" w:id="0">
    <w:p w:rsidR="001225F6" w:rsidRDefault="009E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21" w:rsidRDefault="00586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21" w:rsidRDefault="00586B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21" w:rsidRDefault="00586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F6" w:rsidRDefault="009E5500">
      <w:r>
        <w:separator/>
      </w:r>
    </w:p>
  </w:footnote>
  <w:footnote w:type="continuationSeparator" w:id="0">
    <w:p w:rsidR="001225F6" w:rsidRDefault="009E5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21" w:rsidRDefault="00586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21" w:rsidRDefault="00586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A" w:rsidRPr="0038437A" w:rsidRDefault="0004261A">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8">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75B3203"/>
    <w:multiLevelType w:val="multilevel"/>
    <w:tmpl w:val="6096DEFC"/>
    <w:name w:val="AOGen32"/>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2">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3">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4">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9">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AF711EC"/>
    <w:multiLevelType w:val="singleLevel"/>
    <w:tmpl w:val="E0BC232A"/>
    <w:lvl w:ilvl="0">
      <w:start w:val="1"/>
      <w:numFmt w:val="lowerRoman"/>
      <w:pStyle w:val="roman1"/>
      <w:lvlText w:val="(%1)"/>
      <w:lvlJc w:val="left"/>
      <w:pPr>
        <w:tabs>
          <w:tab w:val="num" w:pos="680"/>
        </w:tabs>
        <w:ind w:left="680" w:hanging="680"/>
      </w:pPr>
      <w:rPr>
        <w:rFonts w:ascii="Times New Roman" w:hAnsi="Times New Roman" w:cs="Times New Roman" w:hint="default"/>
        <w:b w:val="0"/>
        <w:i w:val="0"/>
        <w:sz w:val="20"/>
      </w:rPr>
    </w:lvl>
  </w:abstractNum>
  <w:abstractNum w:abstractNumId="31">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2">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4">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5">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0">
    <w:nsid w:val="7169173D"/>
    <w:multiLevelType w:val="singleLevel"/>
    <w:tmpl w:val="9354838E"/>
    <w:lvl w:ilvl="0">
      <w:start w:val="1"/>
      <w:numFmt w:val="lowerLetter"/>
      <w:pStyle w:val="alpha2"/>
      <w:lvlText w:val="(%1)"/>
      <w:lvlJc w:val="left"/>
      <w:pPr>
        <w:tabs>
          <w:tab w:val="num" w:pos="1361"/>
        </w:tabs>
        <w:ind w:left="1361" w:hanging="681"/>
      </w:pPr>
      <w:rPr>
        <w:rFonts w:ascii="Times New Roman" w:hAnsi="Times New Roman" w:cs="Times New Roman" w:hint="default"/>
        <w:b w:val="0"/>
        <w:i w:val="0"/>
        <w:sz w:val="20"/>
      </w:rPr>
    </w:lvl>
  </w:abstractNum>
  <w:abstractNum w:abstractNumId="41">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2">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3">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3"/>
  </w:num>
  <w:num w:numId="2">
    <w:abstractNumId w:val="40"/>
  </w:num>
  <w:num w:numId="3">
    <w:abstractNumId w:val="14"/>
  </w:num>
  <w:num w:numId="4">
    <w:abstractNumId w:val="5"/>
  </w:num>
  <w:num w:numId="5">
    <w:abstractNumId w:val="22"/>
  </w:num>
  <w:num w:numId="6">
    <w:abstractNumId w:val="17"/>
  </w:num>
  <w:num w:numId="7">
    <w:abstractNumId w:val="6"/>
  </w:num>
  <w:num w:numId="8">
    <w:abstractNumId w:val="13"/>
  </w:num>
  <w:num w:numId="9">
    <w:abstractNumId w:val="11"/>
  </w:num>
  <w:num w:numId="10">
    <w:abstractNumId w:val="29"/>
  </w:num>
  <w:num w:numId="11">
    <w:abstractNumId w:val="43"/>
  </w:num>
  <w:num w:numId="12">
    <w:abstractNumId w:val="7"/>
  </w:num>
  <w:num w:numId="13">
    <w:abstractNumId w:val="18"/>
  </w:num>
  <w:num w:numId="14">
    <w:abstractNumId w:val="26"/>
  </w:num>
  <w:num w:numId="15">
    <w:abstractNumId w:val="20"/>
  </w:num>
  <w:num w:numId="16">
    <w:abstractNumId w:val="25"/>
  </w:num>
  <w:num w:numId="17">
    <w:abstractNumId w:val="24"/>
  </w:num>
  <w:num w:numId="18">
    <w:abstractNumId w:val="8"/>
  </w:num>
  <w:num w:numId="19">
    <w:abstractNumId w:val="37"/>
  </w:num>
  <w:num w:numId="20">
    <w:abstractNumId w:val="36"/>
  </w:num>
  <w:num w:numId="21">
    <w:abstractNumId w:val="44"/>
  </w:num>
  <w:num w:numId="22">
    <w:abstractNumId w:val="1"/>
  </w:num>
  <w:num w:numId="23">
    <w:abstractNumId w:val="32"/>
  </w:num>
  <w:num w:numId="24">
    <w:abstractNumId w:val="30"/>
  </w:num>
  <w:num w:numId="25">
    <w:abstractNumId w:val="42"/>
  </w:num>
  <w:num w:numId="26">
    <w:abstractNumId w:val="33"/>
  </w:num>
  <w:num w:numId="27">
    <w:abstractNumId w:val="28"/>
  </w:num>
  <w:num w:numId="28">
    <w:abstractNumId w:val="41"/>
  </w:num>
  <w:num w:numId="29">
    <w:abstractNumId w:val="39"/>
  </w:num>
  <w:num w:numId="30">
    <w:abstractNumId w:val="16"/>
  </w:num>
  <w:num w:numId="31">
    <w:abstractNumId w:val="4"/>
  </w:num>
  <w:num w:numId="32">
    <w:abstractNumId w:val="12"/>
  </w:num>
  <w:num w:numId="33">
    <w:abstractNumId w:val="2"/>
  </w:num>
  <w:num w:numId="34">
    <w:abstractNumId w:val="34"/>
  </w:num>
  <w:num w:numId="35">
    <w:abstractNumId w:val="0"/>
  </w:num>
  <w:num w:numId="36">
    <w:abstractNumId w:val="15"/>
  </w:num>
  <w:num w:numId="37">
    <w:abstractNumId w:val="35"/>
  </w:num>
  <w:num w:numId="38">
    <w:abstractNumId w:val="10"/>
  </w:num>
  <w:num w:numId="39">
    <w:abstractNumId w:val="19"/>
  </w:num>
  <w:num w:numId="40">
    <w:abstractNumId w:val="38"/>
  </w:num>
  <w:num w:numId="41">
    <w:abstractNumId w:val="9"/>
  </w:num>
  <w:num w:numId="42">
    <w:abstractNumId w:val="27"/>
  </w:num>
  <w:num w:numId="43">
    <w:abstractNumId w:val="31"/>
  </w:num>
  <w:num w:numId="44">
    <w:abstractNumId w:val="3"/>
  </w:num>
  <w:num w:numId="4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oNotTrackFormatting/>
  <w:defaultTabStop w:val="680"/>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B51E77"/>
    <w:rsid w:val="0004261A"/>
    <w:rsid w:val="00042B88"/>
    <w:rsid w:val="001225F6"/>
    <w:rsid w:val="001F3384"/>
    <w:rsid w:val="00226F50"/>
    <w:rsid w:val="002E274F"/>
    <w:rsid w:val="0038437A"/>
    <w:rsid w:val="003B4255"/>
    <w:rsid w:val="003D621F"/>
    <w:rsid w:val="00586B21"/>
    <w:rsid w:val="006E31A3"/>
    <w:rsid w:val="00712FAA"/>
    <w:rsid w:val="007417F9"/>
    <w:rsid w:val="007D43C1"/>
    <w:rsid w:val="008C430D"/>
    <w:rsid w:val="008F56F7"/>
    <w:rsid w:val="00990B03"/>
    <w:rsid w:val="009A3352"/>
    <w:rsid w:val="009E5500"/>
    <w:rsid w:val="00A26241"/>
    <w:rsid w:val="00A57840"/>
    <w:rsid w:val="00A65AE0"/>
    <w:rsid w:val="00B51E77"/>
    <w:rsid w:val="00B61A09"/>
    <w:rsid w:val="00BB7594"/>
    <w:rsid w:val="00C31153"/>
    <w:rsid w:val="00C85DF6"/>
    <w:rsid w:val="00CF7E19"/>
    <w:rsid w:val="00E56BCA"/>
    <w:rsid w:val="00E76AD6"/>
    <w:rsid w:val="00E95E35"/>
    <w:rsid w:val="00ED50A5"/>
    <w:rsid w:val="00EF63D2"/>
    <w:rsid w:val="00F0783F"/>
    <w:rsid w:val="00F90404"/>
    <w:rsid w:val="00FE77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paragraph" w:customStyle="1" w:styleId="AODocTxt">
    <w:name w:val="AODocTxt"/>
    <w:basedOn w:val="Normal"/>
    <w:link w:val="AODocTxtChar"/>
    <w:rsid w:val="006F0E62"/>
    <w:pPr>
      <w:numPr>
        <w:numId w:val="45"/>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6F0E62"/>
    <w:pPr>
      <w:numPr>
        <w:ilvl w:val="1"/>
      </w:numPr>
      <w:tabs>
        <w:tab w:val="num" w:pos="1440"/>
      </w:tabs>
      <w:ind w:left="1440" w:hanging="360"/>
    </w:pPr>
  </w:style>
  <w:style w:type="paragraph" w:customStyle="1" w:styleId="AODocTxtL2">
    <w:name w:val="AODocTxtL2"/>
    <w:basedOn w:val="AODocTxt"/>
    <w:rsid w:val="006F0E62"/>
    <w:pPr>
      <w:numPr>
        <w:ilvl w:val="2"/>
      </w:numPr>
      <w:tabs>
        <w:tab w:val="num" w:pos="2160"/>
      </w:tabs>
      <w:ind w:left="2160" w:hanging="360"/>
    </w:pPr>
  </w:style>
  <w:style w:type="paragraph" w:customStyle="1" w:styleId="AODocTxtL3">
    <w:name w:val="AODocTxtL3"/>
    <w:basedOn w:val="AODocTxt"/>
    <w:rsid w:val="006F0E62"/>
    <w:pPr>
      <w:numPr>
        <w:ilvl w:val="3"/>
      </w:numPr>
      <w:tabs>
        <w:tab w:val="num" w:pos="2880"/>
      </w:tabs>
      <w:ind w:left="2880" w:hanging="360"/>
    </w:pPr>
  </w:style>
  <w:style w:type="paragraph" w:customStyle="1" w:styleId="AODocTxtL4">
    <w:name w:val="AODocTxtL4"/>
    <w:basedOn w:val="AODocTxt"/>
    <w:rsid w:val="006F0E62"/>
    <w:pPr>
      <w:numPr>
        <w:ilvl w:val="4"/>
      </w:numPr>
      <w:tabs>
        <w:tab w:val="num" w:pos="3600"/>
      </w:tabs>
      <w:ind w:left="3600" w:hanging="360"/>
    </w:pPr>
  </w:style>
  <w:style w:type="paragraph" w:customStyle="1" w:styleId="AODocTxtL5">
    <w:name w:val="AODocTxtL5"/>
    <w:basedOn w:val="AODocTxt"/>
    <w:rsid w:val="006F0E62"/>
    <w:pPr>
      <w:numPr>
        <w:ilvl w:val="5"/>
      </w:numPr>
      <w:tabs>
        <w:tab w:val="num" w:pos="4320"/>
      </w:tabs>
      <w:ind w:left="4320" w:hanging="360"/>
    </w:pPr>
  </w:style>
  <w:style w:type="paragraph" w:customStyle="1" w:styleId="AODocTxtL6">
    <w:name w:val="AODocTxtL6"/>
    <w:basedOn w:val="AODocTxt"/>
    <w:rsid w:val="006F0E62"/>
    <w:pPr>
      <w:numPr>
        <w:ilvl w:val="6"/>
      </w:numPr>
      <w:tabs>
        <w:tab w:val="num" w:pos="5040"/>
      </w:tabs>
      <w:ind w:left="5040" w:hanging="360"/>
    </w:pPr>
  </w:style>
  <w:style w:type="paragraph" w:customStyle="1" w:styleId="AODocTxtL7">
    <w:name w:val="AODocTxtL7"/>
    <w:basedOn w:val="AODocTxt"/>
    <w:rsid w:val="006F0E62"/>
    <w:pPr>
      <w:numPr>
        <w:ilvl w:val="7"/>
      </w:numPr>
      <w:tabs>
        <w:tab w:val="num" w:pos="5760"/>
      </w:tabs>
      <w:ind w:left="5760" w:hanging="360"/>
    </w:pPr>
  </w:style>
  <w:style w:type="paragraph" w:customStyle="1" w:styleId="AODocTxtL8">
    <w:name w:val="AODocTxtL8"/>
    <w:basedOn w:val="AODocTxt"/>
    <w:rsid w:val="006F0E62"/>
    <w:pPr>
      <w:numPr>
        <w:ilvl w:val="8"/>
      </w:numPr>
      <w:tabs>
        <w:tab w:val="num" w:pos="6480"/>
      </w:tabs>
      <w:ind w:left="6480" w:hanging="360"/>
    </w:pPr>
  </w:style>
  <w:style w:type="character" w:customStyle="1" w:styleId="AODocTxtChar">
    <w:name w:val="AODocTxt Char"/>
    <w:link w:val="AODocTxt"/>
    <w:rsid w:val="006F0E62"/>
    <w:rPr>
      <w:rFonts w:eastAsia="SimSun"/>
      <w:sz w:val="22"/>
      <w:szCs w:val="22"/>
      <w:lang w:eastAsia="en-US"/>
    </w:rPr>
  </w:style>
  <w:style w:type="paragraph" w:customStyle="1" w:styleId="AONormal">
    <w:name w:val="AONormal"/>
    <w:rsid w:val="001464F1"/>
    <w:pPr>
      <w:spacing w:line="260" w:lineRule="atLeast"/>
    </w:pPr>
    <w:rPr>
      <w:rFonts w:eastAsia="SimSun"/>
      <w:sz w:val="22"/>
      <w:szCs w:val="22"/>
      <w:lang w:eastAsia="en-US"/>
    </w:rPr>
  </w:style>
  <w:style w:type="paragraph" w:customStyle="1" w:styleId="text2">
    <w:name w:val="text2"/>
    <w:aliases w:val="t2"/>
    <w:rsid w:val="001464F1"/>
    <w:pPr>
      <w:spacing w:before="120" w:line="260" w:lineRule="atLeast"/>
      <w:jc w:val="both"/>
    </w:pPr>
    <w:rPr>
      <w:rFonts w:eastAsia="SimSu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paragraph" w:customStyle="1" w:styleId="AODocTxt">
    <w:name w:val="AODocTxt"/>
    <w:basedOn w:val="Normal"/>
    <w:link w:val="AODocTxtChar"/>
    <w:rsid w:val="006F0E62"/>
    <w:pPr>
      <w:numPr>
        <w:numId w:val="45"/>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6F0E62"/>
    <w:pPr>
      <w:numPr>
        <w:ilvl w:val="1"/>
      </w:numPr>
      <w:tabs>
        <w:tab w:val="num" w:pos="1440"/>
      </w:tabs>
      <w:ind w:left="1440" w:hanging="360"/>
    </w:pPr>
  </w:style>
  <w:style w:type="paragraph" w:customStyle="1" w:styleId="AODocTxtL2">
    <w:name w:val="AODocTxtL2"/>
    <w:basedOn w:val="AODocTxt"/>
    <w:rsid w:val="006F0E62"/>
    <w:pPr>
      <w:numPr>
        <w:ilvl w:val="2"/>
      </w:numPr>
      <w:tabs>
        <w:tab w:val="num" w:pos="2160"/>
      </w:tabs>
      <w:ind w:left="2160" w:hanging="360"/>
    </w:pPr>
  </w:style>
  <w:style w:type="paragraph" w:customStyle="1" w:styleId="AODocTxtL3">
    <w:name w:val="AODocTxtL3"/>
    <w:basedOn w:val="AODocTxt"/>
    <w:rsid w:val="006F0E62"/>
    <w:pPr>
      <w:numPr>
        <w:ilvl w:val="3"/>
      </w:numPr>
      <w:tabs>
        <w:tab w:val="num" w:pos="2880"/>
      </w:tabs>
      <w:ind w:left="2880" w:hanging="360"/>
    </w:pPr>
  </w:style>
  <w:style w:type="paragraph" w:customStyle="1" w:styleId="AODocTxtL4">
    <w:name w:val="AODocTxtL4"/>
    <w:basedOn w:val="AODocTxt"/>
    <w:rsid w:val="006F0E62"/>
    <w:pPr>
      <w:numPr>
        <w:ilvl w:val="4"/>
      </w:numPr>
      <w:tabs>
        <w:tab w:val="num" w:pos="3600"/>
      </w:tabs>
      <w:ind w:left="3600" w:hanging="360"/>
    </w:pPr>
  </w:style>
  <w:style w:type="paragraph" w:customStyle="1" w:styleId="AODocTxtL5">
    <w:name w:val="AODocTxtL5"/>
    <w:basedOn w:val="AODocTxt"/>
    <w:rsid w:val="006F0E62"/>
    <w:pPr>
      <w:numPr>
        <w:ilvl w:val="5"/>
      </w:numPr>
      <w:tabs>
        <w:tab w:val="num" w:pos="4320"/>
      </w:tabs>
      <w:ind w:left="4320" w:hanging="360"/>
    </w:pPr>
  </w:style>
  <w:style w:type="paragraph" w:customStyle="1" w:styleId="AODocTxtL6">
    <w:name w:val="AODocTxtL6"/>
    <w:basedOn w:val="AODocTxt"/>
    <w:rsid w:val="006F0E62"/>
    <w:pPr>
      <w:numPr>
        <w:ilvl w:val="6"/>
      </w:numPr>
      <w:tabs>
        <w:tab w:val="num" w:pos="5040"/>
      </w:tabs>
      <w:ind w:left="5040" w:hanging="360"/>
    </w:pPr>
  </w:style>
  <w:style w:type="paragraph" w:customStyle="1" w:styleId="AODocTxtL7">
    <w:name w:val="AODocTxtL7"/>
    <w:basedOn w:val="AODocTxt"/>
    <w:rsid w:val="006F0E62"/>
    <w:pPr>
      <w:numPr>
        <w:ilvl w:val="7"/>
      </w:numPr>
      <w:tabs>
        <w:tab w:val="num" w:pos="5760"/>
      </w:tabs>
      <w:ind w:left="5760" w:hanging="360"/>
    </w:pPr>
  </w:style>
  <w:style w:type="paragraph" w:customStyle="1" w:styleId="AODocTxtL8">
    <w:name w:val="AODocTxtL8"/>
    <w:basedOn w:val="AODocTxt"/>
    <w:rsid w:val="006F0E62"/>
    <w:pPr>
      <w:numPr>
        <w:ilvl w:val="8"/>
      </w:numPr>
      <w:tabs>
        <w:tab w:val="num" w:pos="6480"/>
      </w:tabs>
      <w:ind w:left="6480" w:hanging="360"/>
    </w:pPr>
  </w:style>
  <w:style w:type="character" w:customStyle="1" w:styleId="AODocTxtChar">
    <w:name w:val="AODocTxt Char"/>
    <w:link w:val="AODocTxt"/>
    <w:rsid w:val="006F0E62"/>
    <w:rPr>
      <w:rFonts w:eastAsia="SimSun"/>
      <w:sz w:val="22"/>
      <w:szCs w:val="22"/>
      <w:lang w:eastAsia="en-US"/>
    </w:rPr>
  </w:style>
  <w:style w:type="paragraph" w:customStyle="1" w:styleId="AONormal">
    <w:name w:val="AONormal"/>
    <w:rsid w:val="001464F1"/>
    <w:pPr>
      <w:spacing w:line="260" w:lineRule="atLeast"/>
    </w:pPr>
    <w:rPr>
      <w:rFonts w:eastAsia="SimSun"/>
      <w:sz w:val="22"/>
      <w:szCs w:val="22"/>
      <w:lang w:eastAsia="en-US"/>
    </w:rPr>
  </w:style>
  <w:style w:type="paragraph" w:customStyle="1" w:styleId="text2">
    <w:name w:val="text2"/>
    <w:aliases w:val="t2"/>
    <w:rsid w:val="001464F1"/>
    <w:pPr>
      <w:spacing w:before="120" w:line="260" w:lineRule="atLeast"/>
      <w:jc w:val="both"/>
    </w:pPr>
    <w:rPr>
      <w:rFonts w:eastAsia="SimSu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09105-06DF-4D58-A356-B9C04FDC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HouseStyle.dotx</Template>
  <TotalTime>0</TotalTime>
  <Pages>4</Pages>
  <Words>1106</Words>
  <Characters>6111</Characters>
  <Application>Microsoft Office Word</Application>
  <DocSecurity>0</DocSecurity>
  <Lines>235</Lines>
  <Paragraphs>144</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183</cp:revision>
  <cp:lastPrinted>2015-11-25T12:29:00Z</cp:lastPrinted>
  <dcterms:created xsi:type="dcterms:W3CDTF">2013-11-18T10:55:00Z</dcterms:created>
  <dcterms:modified xsi:type="dcterms:W3CDTF">2016-04-07T10:32:00Z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H:\Documentum\__Attachments\A31563392 v0.12 Murrayfield_Non US Results Announcement.docx</vt:lpwstr>
  </property>
  <property fmtid="{D5CDD505-2E9C-101B-9397-08002B2CF9AE}" pid="6" name="Document Number">
    <vt:lpwstr>A31563392</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07 Apr 2016</vt:lpwstr>
  </property>
  <property fmtid="{D5CDD505-2E9C-101B-9397-08002B2CF9AE}" pid="13" name="Lineleader">
    <vt:lpwstr>No</vt:lpwstr>
  </property>
  <property fmtid="{D5CDD505-2E9C-101B-9397-08002B2CF9AE}" pid="14" name="Matter Number">
    <vt:lpwstr>L-246798</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0.12</vt:lpwstr>
  </property>
  <property fmtid="{D5CDD505-2E9C-101B-9397-08002B2CF9AE}" pid="22" name="ObjectID">
    <vt:lpwstr>09001dc88eb682c7</vt:lpwstr>
  </property>
  <property fmtid="{D5CDD505-2E9C-101B-9397-08002B2CF9AE}" pid="23" name="_AdHocReviewCycleID">
    <vt:i4>1991699908</vt:i4>
  </property>
  <property fmtid="{D5CDD505-2E9C-101B-9397-08002B2CF9AE}" pid="24" name="_NewReviewCycle">
    <vt:lpwstr/>
  </property>
  <property fmtid="{D5CDD505-2E9C-101B-9397-08002B2CF9AE}" pid="25" name="_EmailSubject">
    <vt:lpwstr>Murrayfield - EDC required for RNS?</vt:lpwstr>
  </property>
  <property fmtid="{D5CDD505-2E9C-101B-9397-08002B2CF9AE}" pid="26" name="_AuthorEmail">
    <vt:lpwstr>Andrew.BUTCHART@rbs.com</vt:lpwstr>
  </property>
  <property fmtid="{D5CDD505-2E9C-101B-9397-08002B2CF9AE}" pid="27" name="_AuthorEmailDisplayName">
    <vt:lpwstr>Butchart, Andrew, RBS Legal</vt:lpwstr>
  </property>
</Properties>
</file>