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FB8" w:rsidRPr="00327FB8" w:rsidRDefault="00327FB8" w:rsidP="00327FB8">
      <w:pPr>
        <w:rPr>
          <w:b/>
          <w:bCs/>
        </w:rPr>
      </w:pPr>
      <w:bookmarkStart w:id="0" w:name="_GoBack"/>
      <w:bookmarkEnd w:id="0"/>
      <w:r w:rsidRPr="00327FB8">
        <w:rPr>
          <w:b/>
          <w:bCs/>
        </w:rPr>
        <w:t>The Royal Bank of Scotland Group plc</w:t>
      </w:r>
    </w:p>
    <w:p w:rsidR="00327FB8" w:rsidRDefault="00327FB8" w:rsidP="00327FB8">
      <w:pPr>
        <w:rPr>
          <w:b/>
          <w:bCs/>
        </w:rPr>
      </w:pPr>
    </w:p>
    <w:p w:rsidR="00327FB8" w:rsidRPr="00327FB8" w:rsidRDefault="00327FB8" w:rsidP="00327FB8">
      <w:pPr>
        <w:rPr>
          <w:b/>
          <w:bCs/>
        </w:rPr>
      </w:pPr>
      <w:r w:rsidRPr="00327FB8">
        <w:rPr>
          <w:b/>
          <w:bCs/>
        </w:rPr>
        <w:t>Impact of recent Liability Management Exercise</w:t>
      </w:r>
    </w:p>
    <w:p w:rsidR="00327FB8" w:rsidRDefault="00327FB8" w:rsidP="00327FB8"/>
    <w:p w:rsidR="00327FB8" w:rsidRPr="00327FB8" w:rsidRDefault="009F2B6A" w:rsidP="00327FB8">
      <w:r>
        <w:t>8</w:t>
      </w:r>
      <w:r w:rsidR="008B14F1">
        <w:t xml:space="preserve"> April</w:t>
      </w:r>
      <w:r w:rsidR="00327FB8" w:rsidRPr="00327FB8">
        <w:t xml:space="preserve"> 201</w:t>
      </w:r>
      <w:r w:rsidR="008B14F1">
        <w:t>6</w:t>
      </w:r>
    </w:p>
    <w:p w:rsidR="002B3B90" w:rsidRPr="002B3B90" w:rsidRDefault="002B3B90" w:rsidP="002B3B90">
      <w:pPr>
        <w:rPr>
          <w:iCs/>
        </w:rPr>
      </w:pPr>
      <w:r w:rsidRPr="002B3B90">
        <w:rPr>
          <w:iCs/>
        </w:rPr>
        <w:t> </w:t>
      </w:r>
    </w:p>
    <w:p w:rsidR="002B3B90" w:rsidRPr="002B3B90" w:rsidRDefault="002B3B90" w:rsidP="002B3B90">
      <w:pPr>
        <w:rPr>
          <w:iCs/>
        </w:rPr>
      </w:pPr>
      <w:r w:rsidRPr="002B3B90">
        <w:rPr>
          <w:iCs/>
        </w:rPr>
        <w:t>The Royal Bank of Scotland Group plc ("RBSG plc") and The Royal Bank of Scotland plc (“RBS plc”) have completed their recent cash tenders of certain of their US dollar, sterling and euro senior debt securities (the “Tender Offers”). The Tender Offers are part of the on-going transition to a holding company capital and term funding model in li</w:t>
      </w:r>
      <w:r>
        <w:rPr>
          <w:iCs/>
        </w:rPr>
        <w:t xml:space="preserve">ne with regulatory requirements </w:t>
      </w:r>
      <w:r w:rsidRPr="002B3B90">
        <w:rPr>
          <w:iCs/>
        </w:rPr>
        <w:t xml:space="preserve">and included securities that are considered by RBSG plc to be non-compliant for TLAC/MREL purposes. </w:t>
      </w:r>
      <w:r w:rsidRPr="002B3B90">
        <w:rPr>
          <w:iCs/>
        </w:rPr>
        <w:br/>
      </w:r>
      <w:r w:rsidRPr="002B3B90">
        <w:rPr>
          <w:iCs/>
        </w:rPr>
        <w:br/>
        <w:t xml:space="preserve">The overall take up rate of the Tender Offers was 43.5% with a total of £2.3 billion (equivalent) tendered. Upon settlement of the Tender Offers RBSG plc will recognise a loss of c. £66.1 million in its Q2 </w:t>
      </w:r>
      <w:r>
        <w:rPr>
          <w:iCs/>
        </w:rPr>
        <w:t>2016 results on a consolidated </w:t>
      </w:r>
      <w:r w:rsidRPr="002B3B90">
        <w:rPr>
          <w:iCs/>
        </w:rPr>
        <w:t>basis and the completion of the Tender Offers is expected to result in combined interest savings to RBSG plc and RBS plc of c.£171.8m over the life of the relevant debt securities (which have maturities falling between 2016 and 2025). The initial loss will be off-set by interest savings over a period of c.2.3 years. The impact of the Tender Offers is not considered to be material to either RBSG plc or RBS plc.</w:t>
      </w:r>
    </w:p>
    <w:p w:rsidR="002B3B90" w:rsidRPr="002B3B90" w:rsidRDefault="002B3B90" w:rsidP="002B3B90">
      <w:pPr>
        <w:rPr>
          <w:iCs/>
        </w:rPr>
      </w:pPr>
      <w:r w:rsidRPr="002B3B90">
        <w:rPr>
          <w:iCs/>
        </w:rPr>
        <w:t> </w:t>
      </w:r>
    </w:p>
    <w:p w:rsidR="002B3B90" w:rsidRPr="002B3B90" w:rsidRDefault="002B3B90" w:rsidP="002B3B90">
      <w:pPr>
        <w:rPr>
          <w:iCs/>
        </w:rPr>
      </w:pPr>
      <w:r w:rsidRPr="002B3B90">
        <w:rPr>
          <w:iCs/>
        </w:rPr>
        <w:t>RBSG plc will announce first quarter results for 2016 on 29 April.</w:t>
      </w:r>
    </w:p>
    <w:p w:rsidR="00327FB8" w:rsidRDefault="00327FB8" w:rsidP="00327FB8"/>
    <w:p w:rsidR="00327FB8" w:rsidRPr="00327FB8" w:rsidRDefault="00327FB8" w:rsidP="00327FB8">
      <w:r w:rsidRPr="00327FB8">
        <w:t>For further information, please contact:</w:t>
      </w:r>
    </w:p>
    <w:p w:rsidR="00327FB8" w:rsidRDefault="00327FB8" w:rsidP="00327FB8">
      <w:pPr>
        <w:rPr>
          <w:b/>
          <w:bCs/>
        </w:rPr>
      </w:pPr>
    </w:p>
    <w:p w:rsidR="00327FB8" w:rsidRPr="00327FB8" w:rsidRDefault="00327FB8" w:rsidP="00327FB8">
      <w:pPr>
        <w:rPr>
          <w:b/>
          <w:bCs/>
        </w:rPr>
      </w:pPr>
      <w:r w:rsidRPr="00327FB8">
        <w:rPr>
          <w:b/>
          <w:bCs/>
        </w:rPr>
        <w:t>Investor Relations</w:t>
      </w:r>
    </w:p>
    <w:p w:rsidR="00327FB8" w:rsidRPr="00327FB8" w:rsidRDefault="00327FB8" w:rsidP="00327FB8">
      <w:r w:rsidRPr="00327FB8">
        <w:t>Richard O'Connor</w:t>
      </w:r>
    </w:p>
    <w:p w:rsidR="00327FB8" w:rsidRPr="00327FB8" w:rsidRDefault="00327FB8" w:rsidP="00327FB8">
      <w:r w:rsidRPr="00327FB8">
        <w:t>Head of Investor Relations</w:t>
      </w:r>
    </w:p>
    <w:p w:rsidR="00327FB8" w:rsidRPr="00327FB8" w:rsidRDefault="00327FB8" w:rsidP="00327FB8">
      <w:r w:rsidRPr="00327FB8">
        <w:t>+44 (0) 20 7672 1758</w:t>
      </w:r>
    </w:p>
    <w:p w:rsidR="00327FB8" w:rsidRDefault="00327FB8" w:rsidP="00327FB8">
      <w:pPr>
        <w:rPr>
          <w:b/>
          <w:bCs/>
        </w:rPr>
      </w:pPr>
    </w:p>
    <w:p w:rsidR="00327FB8" w:rsidRPr="00327FB8" w:rsidRDefault="00327FB8" w:rsidP="00327FB8">
      <w:pPr>
        <w:rPr>
          <w:b/>
          <w:bCs/>
        </w:rPr>
      </w:pPr>
      <w:r w:rsidRPr="00327FB8">
        <w:rPr>
          <w:b/>
          <w:bCs/>
        </w:rPr>
        <w:t>RBS Media Relations</w:t>
      </w:r>
    </w:p>
    <w:p w:rsidR="00FD5978" w:rsidRDefault="00327FB8" w:rsidP="00327FB8">
      <w:r w:rsidRPr="00327FB8">
        <w:t>+44 (0) 131 523 4205</w:t>
      </w:r>
    </w:p>
    <w:p w:rsidR="008B14F1" w:rsidRDefault="008B14F1" w:rsidP="00327FB8"/>
    <w:p w:rsidR="002B3B90" w:rsidRDefault="002B3B90" w:rsidP="00327FB8"/>
    <w:p w:rsidR="00CA7BA5" w:rsidRDefault="00CA7BA5" w:rsidP="003D3D39">
      <w:pPr>
        <w:pStyle w:val="ce"/>
        <w:spacing w:line="240" w:lineRule="auto"/>
        <w:rPr>
          <w:i/>
          <w:iCs/>
        </w:rPr>
      </w:pPr>
      <w:r>
        <w:rPr>
          <w:b/>
          <w:bCs/>
          <w:i/>
          <w:iCs/>
        </w:rPr>
        <w:t xml:space="preserve">Forward Looking Statements </w:t>
      </w:r>
    </w:p>
    <w:p w:rsidR="00CA7BA5" w:rsidRDefault="00CA7BA5" w:rsidP="003D3D39">
      <w:pPr>
        <w:pStyle w:val="cd"/>
        <w:spacing w:line="240" w:lineRule="auto"/>
        <w:rPr>
          <w:i/>
          <w:iCs/>
          <w:sz w:val="20"/>
          <w:szCs w:val="20"/>
        </w:rPr>
      </w:pPr>
      <w:r>
        <w:rPr>
          <w:i/>
          <w:iCs/>
          <w:sz w:val="20"/>
          <w:szCs w:val="20"/>
        </w:rPr>
        <w:t>This announcement contains forward-looking statements within the meaning of the United States Private Securities Litigation Reform Act of 1995, including those related to RBS and its subsidiaries’ regulatory capital position and requirements, financial position, future pension funding requirements, on-going litigation and regulatory investigations, profitability, impairment losses and credit exposures under certain specified scenarios. In addition, forward-looking statements may include, without limitation, statements typically containing words such as "intends", "expects", "anticipates", "targets", "plans", “believes”, “risk”, "estimates" and words of similar import.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accounting standards, competitive conditions, technological developments, exchange rate fluctuations and general economic conditions. These and other factors, risks and uncertainties that may impact any forward-looking statement or RBS’s actual results are discussed in RBS's UK Annual Report and Accounts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8B14F1" w:rsidRPr="00FD5978" w:rsidRDefault="008B14F1" w:rsidP="00CA7BA5"/>
    <w:sectPr w:rsidR="008B14F1" w:rsidRPr="00FD5978" w:rsidSect="00050C51">
      <w:headerReference w:type="default" r:id="rId8"/>
      <w:footerReference w:type="default" r:id="rId9"/>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FB8" w:rsidRDefault="00327FB8" w:rsidP="00AA4E94">
      <w:r>
        <w:separator/>
      </w:r>
    </w:p>
  </w:endnote>
  <w:endnote w:type="continuationSeparator" w:id="0">
    <w:p w:rsidR="00327FB8" w:rsidRDefault="00327FB8" w:rsidP="00AA4E94">
      <w:r>
        <w:continuationSeparator/>
      </w:r>
    </w:p>
  </w:endnote>
  <w:endnote w:type="continuationNotice" w:id="1">
    <w:p w:rsidR="008C7FEF" w:rsidRDefault="008C7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FEF" w:rsidRDefault="008C7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FB8" w:rsidRDefault="00327FB8" w:rsidP="00AA4E94">
      <w:r>
        <w:separator/>
      </w:r>
    </w:p>
  </w:footnote>
  <w:footnote w:type="continuationSeparator" w:id="0">
    <w:p w:rsidR="00327FB8" w:rsidRDefault="00327FB8" w:rsidP="00AA4E94">
      <w:r>
        <w:continuationSeparator/>
      </w:r>
    </w:p>
  </w:footnote>
  <w:footnote w:type="continuationNotice" w:id="1">
    <w:p w:rsidR="008C7FEF" w:rsidRDefault="008C7F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FEF" w:rsidRDefault="008C7F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FB8"/>
    <w:rsid w:val="00050C51"/>
    <w:rsid w:val="00072D44"/>
    <w:rsid w:val="00116EE2"/>
    <w:rsid w:val="001A76B3"/>
    <w:rsid w:val="001D5067"/>
    <w:rsid w:val="001E2C17"/>
    <w:rsid w:val="002502E0"/>
    <w:rsid w:val="002678B1"/>
    <w:rsid w:val="002A1F66"/>
    <w:rsid w:val="002B3B90"/>
    <w:rsid w:val="002E13A6"/>
    <w:rsid w:val="00304DEA"/>
    <w:rsid w:val="00327FB8"/>
    <w:rsid w:val="003D3D39"/>
    <w:rsid w:val="00544150"/>
    <w:rsid w:val="00555767"/>
    <w:rsid w:val="006E252B"/>
    <w:rsid w:val="00752B89"/>
    <w:rsid w:val="00804F60"/>
    <w:rsid w:val="00841E4D"/>
    <w:rsid w:val="00864E34"/>
    <w:rsid w:val="00884A01"/>
    <w:rsid w:val="00890423"/>
    <w:rsid w:val="008B14F1"/>
    <w:rsid w:val="008B3CB2"/>
    <w:rsid w:val="008C7FEF"/>
    <w:rsid w:val="009362ED"/>
    <w:rsid w:val="00951549"/>
    <w:rsid w:val="009974C9"/>
    <w:rsid w:val="009F2B6A"/>
    <w:rsid w:val="00A26B45"/>
    <w:rsid w:val="00A85E6E"/>
    <w:rsid w:val="00AA4E94"/>
    <w:rsid w:val="00B55D29"/>
    <w:rsid w:val="00BA75B8"/>
    <w:rsid w:val="00BC7350"/>
    <w:rsid w:val="00BE261A"/>
    <w:rsid w:val="00BF4249"/>
    <w:rsid w:val="00C37A69"/>
    <w:rsid w:val="00C56376"/>
    <w:rsid w:val="00CA7BA5"/>
    <w:rsid w:val="00CB3C4E"/>
    <w:rsid w:val="00CC7B1A"/>
    <w:rsid w:val="00E15C7A"/>
    <w:rsid w:val="00E80952"/>
    <w:rsid w:val="00EB6573"/>
    <w:rsid w:val="00EE0E95"/>
    <w:rsid w:val="00F17785"/>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customStyle="1" w:styleId="cd">
    <w:name w:val="cd"/>
    <w:basedOn w:val="Normal"/>
    <w:uiPriority w:val="99"/>
    <w:rsid w:val="00CA7BA5"/>
    <w:pPr>
      <w:spacing w:line="280" w:lineRule="atLeast"/>
      <w:jc w:val="both"/>
    </w:pPr>
    <w:rPr>
      <w:rFonts w:cs="Arial"/>
      <w:sz w:val="24"/>
      <w:szCs w:val="24"/>
      <w:lang w:eastAsia="en-GB"/>
    </w:rPr>
  </w:style>
  <w:style w:type="paragraph" w:customStyle="1" w:styleId="ce">
    <w:name w:val="ce"/>
    <w:basedOn w:val="Normal"/>
    <w:uiPriority w:val="99"/>
    <w:rsid w:val="00CA7BA5"/>
    <w:pPr>
      <w:spacing w:line="280" w:lineRule="atLeast"/>
      <w:jc w:val="both"/>
    </w:pPr>
    <w:rPr>
      <w:rFonts w:cs="Arial"/>
      <w:szCs w:val="20"/>
      <w:lang w:eastAsia="en-GB"/>
    </w:rPr>
  </w:style>
  <w:style w:type="paragraph" w:styleId="BalloonText">
    <w:name w:val="Balloon Text"/>
    <w:basedOn w:val="Normal"/>
    <w:link w:val="BalloonTextChar"/>
    <w:uiPriority w:val="99"/>
    <w:semiHidden/>
    <w:unhideWhenUsed/>
    <w:rsid w:val="002678B1"/>
    <w:rPr>
      <w:rFonts w:ascii="Tahoma" w:hAnsi="Tahoma" w:cs="Tahoma"/>
      <w:sz w:val="16"/>
      <w:szCs w:val="16"/>
    </w:rPr>
  </w:style>
  <w:style w:type="character" w:customStyle="1" w:styleId="BalloonTextChar">
    <w:name w:val="Balloon Text Char"/>
    <w:basedOn w:val="DefaultParagraphFont"/>
    <w:link w:val="BalloonText"/>
    <w:uiPriority w:val="99"/>
    <w:semiHidden/>
    <w:rsid w:val="002678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customStyle="1" w:styleId="cd">
    <w:name w:val="cd"/>
    <w:basedOn w:val="Normal"/>
    <w:uiPriority w:val="99"/>
    <w:rsid w:val="00CA7BA5"/>
    <w:pPr>
      <w:spacing w:line="280" w:lineRule="atLeast"/>
      <w:jc w:val="both"/>
    </w:pPr>
    <w:rPr>
      <w:rFonts w:cs="Arial"/>
      <w:sz w:val="24"/>
      <w:szCs w:val="24"/>
      <w:lang w:eastAsia="en-GB"/>
    </w:rPr>
  </w:style>
  <w:style w:type="paragraph" w:customStyle="1" w:styleId="ce">
    <w:name w:val="ce"/>
    <w:basedOn w:val="Normal"/>
    <w:uiPriority w:val="99"/>
    <w:rsid w:val="00CA7BA5"/>
    <w:pPr>
      <w:spacing w:line="280" w:lineRule="atLeast"/>
      <w:jc w:val="both"/>
    </w:pPr>
    <w:rPr>
      <w:rFonts w:cs="Arial"/>
      <w:szCs w:val="20"/>
      <w:lang w:eastAsia="en-GB"/>
    </w:rPr>
  </w:style>
  <w:style w:type="paragraph" w:styleId="BalloonText">
    <w:name w:val="Balloon Text"/>
    <w:basedOn w:val="Normal"/>
    <w:link w:val="BalloonTextChar"/>
    <w:uiPriority w:val="99"/>
    <w:semiHidden/>
    <w:unhideWhenUsed/>
    <w:rsid w:val="002678B1"/>
    <w:rPr>
      <w:rFonts w:ascii="Tahoma" w:hAnsi="Tahoma" w:cs="Tahoma"/>
      <w:sz w:val="16"/>
      <w:szCs w:val="16"/>
    </w:rPr>
  </w:style>
  <w:style w:type="character" w:customStyle="1" w:styleId="BalloonTextChar">
    <w:name w:val="Balloon Text Char"/>
    <w:basedOn w:val="DefaultParagraphFont"/>
    <w:link w:val="BalloonText"/>
    <w:uiPriority w:val="99"/>
    <w:semiHidden/>
    <w:rsid w:val="00267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56220">
      <w:bodyDiv w:val="1"/>
      <w:marLeft w:val="0"/>
      <w:marRight w:val="0"/>
      <w:marTop w:val="0"/>
      <w:marBottom w:val="0"/>
      <w:divBdr>
        <w:top w:val="none" w:sz="0" w:space="0" w:color="auto"/>
        <w:left w:val="none" w:sz="0" w:space="0" w:color="auto"/>
        <w:bottom w:val="none" w:sz="0" w:space="0" w:color="auto"/>
        <w:right w:val="none" w:sz="0" w:space="0" w:color="auto"/>
      </w:divBdr>
    </w:div>
    <w:div w:id="914631980">
      <w:bodyDiv w:val="1"/>
      <w:marLeft w:val="0"/>
      <w:marRight w:val="0"/>
      <w:marTop w:val="0"/>
      <w:marBottom w:val="0"/>
      <w:divBdr>
        <w:top w:val="none" w:sz="0" w:space="0" w:color="auto"/>
        <w:left w:val="none" w:sz="0" w:space="0" w:color="auto"/>
        <w:bottom w:val="none" w:sz="0" w:space="0" w:color="auto"/>
        <w:right w:val="none" w:sz="0" w:space="0" w:color="auto"/>
      </w:divBdr>
    </w:div>
    <w:div w:id="1031342452">
      <w:bodyDiv w:val="1"/>
      <w:marLeft w:val="0"/>
      <w:marRight w:val="0"/>
      <w:marTop w:val="0"/>
      <w:marBottom w:val="0"/>
      <w:divBdr>
        <w:top w:val="none" w:sz="0" w:space="0" w:color="auto"/>
        <w:left w:val="none" w:sz="0" w:space="0" w:color="auto"/>
        <w:bottom w:val="none" w:sz="0" w:space="0" w:color="auto"/>
        <w:right w:val="none" w:sz="0" w:space="0" w:color="auto"/>
      </w:divBdr>
    </w:div>
    <w:div w:id="1139542091">
      <w:bodyDiv w:val="1"/>
      <w:marLeft w:val="0"/>
      <w:marRight w:val="0"/>
      <w:marTop w:val="0"/>
      <w:marBottom w:val="0"/>
      <w:divBdr>
        <w:top w:val="none" w:sz="0" w:space="0" w:color="auto"/>
        <w:left w:val="none" w:sz="0" w:space="0" w:color="auto"/>
        <w:bottom w:val="none" w:sz="0" w:space="0" w:color="auto"/>
        <w:right w:val="none" w:sz="0" w:space="0" w:color="auto"/>
      </w:divBdr>
    </w:div>
    <w:div w:id="17605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BS">
  <a:themeElements>
    <a:clrScheme name="RBS">
      <a:dk1>
        <a:sysClr val="windowText" lastClr="000000"/>
      </a:dk1>
      <a:lt1>
        <a:sysClr val="window" lastClr="FFFFFF"/>
      </a:lt1>
      <a:dk2>
        <a:srgbClr val="002469"/>
      </a:dk2>
      <a:lt2>
        <a:srgbClr val="EEECE1"/>
      </a:lt2>
      <a:accent1>
        <a:srgbClr val="5381AC"/>
      </a:accent1>
      <a:accent2>
        <a:srgbClr val="B3B3B3"/>
      </a:accent2>
      <a:accent3>
        <a:srgbClr val="3A7224"/>
      </a:accent3>
      <a:accent4>
        <a:srgbClr val="A7B739"/>
      </a:accent4>
      <a:accent5>
        <a:srgbClr val="F36F21"/>
      </a:accent5>
      <a:accent6>
        <a:srgbClr val="E8C204"/>
      </a:accent6>
      <a:hlink>
        <a:srgbClr val="5381AC"/>
      </a:hlink>
      <a:folHlink>
        <a:srgbClr val="5381AC"/>
      </a:folHlink>
    </a:clrScheme>
    <a:fontScheme name="RBS">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custClrLst>
    <a:custClr name="Accent 1 100%">
      <a:srgbClr val="5381AC"/>
    </a:custClr>
    <a:custClr name="Accent 2 100%">
      <a:srgbClr val="B3B3B3"/>
    </a:custClr>
    <a:custClr name="Accent 3 100%">
      <a:srgbClr val="3A7224"/>
    </a:custClr>
    <a:custClr name="Accent 4 100%">
      <a:srgbClr val="A7B739"/>
    </a:custClr>
    <a:custClr name="Accent 5 100%">
      <a:srgbClr val="F36F21"/>
    </a:custClr>
    <a:custClr name="Accent 6 100%">
      <a:srgbClr val="E8C204"/>
    </a:custClr>
    <a:custClr name="Red 100%">
      <a:srgbClr val="C90008"/>
    </a:custClr>
    <a:custClr name="Orange2 100%">
      <a:srgbClr val="FAA61A"/>
    </a:custClr>
    <a:custClr name="Purple 100%">
      <a:srgbClr val="820EB7"/>
    </a:custClr>
    <a:custClr name="Cyan 100%">
      <a:srgbClr val="3DB7DF"/>
    </a:custClr>
    <a:custClr name="Accent 1 75%">
      <a:srgbClr val="86A1C0"/>
    </a:custClr>
    <a:custClr name="Accent 2 75%">
      <a:srgbClr val="CAC6C2"/>
    </a:custClr>
    <a:custClr name="Accent 3 75%">
      <a:srgbClr val="6B955B"/>
    </a:custClr>
    <a:custClr name="Accent 4 75%">
      <a:srgbClr val="BDC96B"/>
    </a:custClr>
    <a:custClr name="Accent 5 75%">
      <a:srgbClr val="F69359"/>
    </a:custClr>
    <a:custClr name="Accent 6 75%">
      <a:srgbClr val="EED143"/>
    </a:custClr>
    <a:custClr name="Red 75%">
      <a:srgbClr val="D74046"/>
    </a:custClr>
    <a:custClr name="Orange2 75%">
      <a:srgbClr val="FBBC53"/>
    </a:custClr>
    <a:custClr name="Purple 75%">
      <a:srgbClr val="A14AC9"/>
    </a:custClr>
    <a:custClr name="Cyan 75%">
      <a:srgbClr val="6EC9E7"/>
    </a:custClr>
    <a:custClr name="Accent 1 50%">
      <a:srgbClr val="AFC1D5"/>
    </a:custClr>
    <a:custClr name="Accent 2 50%">
      <a:srgbClr val="DCD9D6"/>
    </a:custClr>
    <a:custClr name="Accent 3 50%">
      <a:srgbClr val="9CB891"/>
    </a:custClr>
    <a:custClr name="Accent 4 50%">
      <a:srgbClr val="D3DB9C"/>
    </a:custClr>
    <a:custClr name="Accent 5 50%">
      <a:srgbClr val="F9B790"/>
    </a:custClr>
    <a:custClr name="Accent 6 50%">
      <a:srgbClr val="F3E081"/>
    </a:custClr>
    <a:custClr name="Red 50%">
      <a:srgbClr val="E47F83"/>
    </a:custClr>
    <a:custClr name="Orange2 50%">
      <a:srgbClr val="FCD28C"/>
    </a:custClr>
    <a:custClr name="Purple 50%">
      <a:srgbClr val="C086DB"/>
    </a:custClr>
    <a:custClr name="Cyan 50%">
      <a:srgbClr val="9EDBEF"/>
    </a:custClr>
    <a:custClr name="Accent 1 25%">
      <a:srgbClr val="D7E0EA"/>
    </a:custClr>
    <a:custClr name="Accent 2 25%">
      <a:srgbClr val="EDECEB"/>
    </a:custClr>
    <a:custClr name="Accent 3 25%">
      <a:srgbClr val="CEDCC8"/>
    </a:custClr>
    <a:custClr name="Accent 4 25%">
      <a:srgbClr val="E9EDCD"/>
    </a:custClr>
    <a:custClr name="Accent 5 25%">
      <a:srgbClr val="FCDBC7"/>
    </a:custClr>
    <a:custClr name="Accent 6 25%">
      <a:srgbClr val="F9F0C0"/>
    </a:custClr>
    <a:custClr name="Red 25%">
      <a:srgbClr val="F1BFC1"/>
    </a:custClr>
    <a:custClr name="Orange2 25%">
      <a:srgbClr val="FEE9C6"/>
    </a:custClr>
    <a:custClr name="Purple 25%">
      <a:srgbClr val="E0C3ED"/>
    </a:custClr>
    <a:custClr name="Cyan 25%">
      <a:srgbClr val="CEEDF7"/>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BUTCHART, Andrew, M&amp;IB</dc:creator>
  <cp:lastModifiedBy>patteja</cp:lastModifiedBy>
  <cp:revision>2</cp:revision>
  <dcterms:created xsi:type="dcterms:W3CDTF">2016-04-11T07:24:00Z</dcterms:created>
  <dcterms:modified xsi:type="dcterms:W3CDTF">2016-04-11T07:24:00Z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-1553385747</vt:i4>
  </property>
  <property fmtid="{D5CDD505-2E9C-101B-9397-08002B2CF9AE}" pid="3" name="_NewReviewCycle">
    <vt:lpwstr/>
  </property>
  <property fmtid="{D5CDD505-2E9C-101B-9397-08002B2CF9AE}" pid="4" name="_EmailSubject">
    <vt:lpwstr>EDC - RNS announcement for approval - updated version</vt:lpwstr>
  </property>
  <property fmtid="{D5CDD505-2E9C-101B-9397-08002B2CF9AE}" pid="5" name="_AuthorEmail">
    <vt:lpwstr>Stephanie.C.Lynch@rbs.co.uk</vt:lpwstr>
  </property>
  <property fmtid="{D5CDD505-2E9C-101B-9397-08002B2CF9AE}" pid="6" name="_AuthorEmailDisplayName">
    <vt:lpwstr>Lynch, Stephanie (Corporate Governance and Secretariat)</vt:lpwstr>
  </property>
  <property fmtid="{D5CDD505-2E9C-101B-9397-08002B2CF9AE}" pid="7" name="_PreviousAdHocReviewCycleID">
    <vt:i4>998105095</vt:i4>
  </property>
  <property fmtid="{D5CDD505-2E9C-101B-9397-08002B2CF9AE}" pid="8" name="_ReviewingToolsShownOnce">
    <vt:lpwstr/>
  </property>
</Properties>
</file>