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8C" w:rsidRPr="00FD458C" w:rsidRDefault="00FD458C" w:rsidP="00FD458C">
      <w:pPr>
        <w:rPr>
          <w:b/>
        </w:rPr>
      </w:pPr>
      <w:r w:rsidRPr="00FD458C">
        <w:rPr>
          <w:b/>
        </w:rPr>
        <w:t>THE ROYAL BANK OF SCOTLAND GROUP plc</w:t>
      </w:r>
    </w:p>
    <w:p w:rsidR="00FD458C" w:rsidRPr="00FD458C" w:rsidRDefault="00FD458C" w:rsidP="00FD458C">
      <w:pPr>
        <w:rPr>
          <w:b/>
        </w:rPr>
      </w:pPr>
    </w:p>
    <w:p w:rsidR="00E17626" w:rsidRDefault="00E17626" w:rsidP="00FD458C">
      <w:pPr>
        <w:rPr>
          <w:b/>
        </w:rPr>
      </w:pPr>
      <w:r w:rsidRPr="00E17626">
        <w:rPr>
          <w:b/>
        </w:rPr>
        <w:t xml:space="preserve">Correction to dividends on Series </w:t>
      </w:r>
      <w:r>
        <w:rPr>
          <w:b/>
        </w:rPr>
        <w:t>F</w:t>
      </w:r>
      <w:r w:rsidRPr="00E17626">
        <w:rPr>
          <w:b/>
        </w:rPr>
        <w:t xml:space="preserve"> non-cumulative preference shares of US$0</w:t>
      </w:r>
      <w:r>
        <w:rPr>
          <w:b/>
        </w:rPr>
        <w:t>.01</w:t>
      </w:r>
      <w:r w:rsidRPr="00E17626">
        <w:rPr>
          <w:b/>
        </w:rPr>
        <w:t xml:space="preserve"> for the three months to </w:t>
      </w:r>
      <w:r>
        <w:rPr>
          <w:b/>
        </w:rPr>
        <w:t>30</w:t>
      </w:r>
      <w:r w:rsidRPr="00E17626">
        <w:rPr>
          <w:b/>
        </w:rPr>
        <w:t xml:space="preserve"> Ju</w:t>
      </w:r>
      <w:r>
        <w:rPr>
          <w:b/>
        </w:rPr>
        <w:t>ne</w:t>
      </w:r>
      <w:r w:rsidRPr="00E17626">
        <w:rPr>
          <w:b/>
        </w:rPr>
        <w:t xml:space="preserve"> 2016</w:t>
      </w:r>
      <w:r>
        <w:rPr>
          <w:b/>
        </w:rPr>
        <w:t xml:space="preserve"> </w:t>
      </w:r>
    </w:p>
    <w:p w:rsidR="00E17626" w:rsidRDefault="00E17626" w:rsidP="00E17626"/>
    <w:p w:rsidR="00E17626" w:rsidRDefault="00E17626" w:rsidP="00E17626">
      <w:r>
        <w:t>27 June 2016</w:t>
      </w:r>
    </w:p>
    <w:p w:rsidR="00E17626" w:rsidRDefault="00E17626" w:rsidP="00FD458C">
      <w:pPr>
        <w:rPr>
          <w:b/>
        </w:rPr>
      </w:pPr>
    </w:p>
    <w:p w:rsidR="00E17626" w:rsidRDefault="0042141E" w:rsidP="00FD458C">
      <w:pPr>
        <w:jc w:val="both"/>
      </w:pPr>
      <w:r>
        <w:t xml:space="preserve">The </w:t>
      </w:r>
      <w:r w:rsidR="00FD458C" w:rsidRPr="00FD458C">
        <w:t xml:space="preserve">previous </w:t>
      </w:r>
      <w:r w:rsidR="00433535" w:rsidRPr="00433535">
        <w:t>announcement</w:t>
      </w:r>
      <w:r w:rsidR="00433535">
        <w:t xml:space="preserve"> </w:t>
      </w:r>
      <w:r>
        <w:t xml:space="preserve">of the dividend on the Series F non-cumulative preference shares of </w:t>
      </w:r>
      <w:r w:rsidRPr="0042141E">
        <w:t>U</w:t>
      </w:r>
      <w:bookmarkStart w:id="0" w:name="_GoBack"/>
      <w:bookmarkEnd w:id="0"/>
      <w:r w:rsidRPr="0042141E">
        <w:t xml:space="preserve">S$0.01 </w:t>
      </w:r>
      <w:r>
        <w:t xml:space="preserve">for the three months to 30 June 2016 </w:t>
      </w:r>
      <w:r w:rsidR="00433535">
        <w:t>(</w:t>
      </w:r>
      <w:r>
        <w:t>dated 26 May 2016</w:t>
      </w:r>
      <w:r w:rsidR="00433535">
        <w:t>)</w:t>
      </w:r>
      <w:r>
        <w:t xml:space="preserve"> </w:t>
      </w:r>
      <w:r w:rsidR="00FD458C" w:rsidRPr="00FD458C">
        <w:t xml:space="preserve">contained an incorrect dividend </w:t>
      </w:r>
      <w:r w:rsidR="00750C74">
        <w:t xml:space="preserve">amount </w:t>
      </w:r>
      <w:r w:rsidRPr="0042141E">
        <w:t>payable per share</w:t>
      </w:r>
      <w:r w:rsidR="00FD458C" w:rsidRPr="00FD458C">
        <w:t xml:space="preserve">. </w:t>
      </w:r>
    </w:p>
    <w:p w:rsidR="00E17626" w:rsidRDefault="00E17626" w:rsidP="00FD458C">
      <w:pPr>
        <w:jc w:val="both"/>
      </w:pPr>
    </w:p>
    <w:p w:rsidR="00FD458C" w:rsidRDefault="00FD458C" w:rsidP="00FD458C">
      <w:pPr>
        <w:jc w:val="both"/>
      </w:pPr>
      <w:r>
        <w:t xml:space="preserve">The Directors have </w:t>
      </w:r>
      <w:r w:rsidR="0042141E">
        <w:t xml:space="preserve">since </w:t>
      </w:r>
      <w:r>
        <w:t xml:space="preserve">declared the </w:t>
      </w:r>
      <w:r w:rsidR="00433535">
        <w:t xml:space="preserve">revised </w:t>
      </w:r>
      <w:r>
        <w:t xml:space="preserve">dividends on the Series </w:t>
      </w:r>
      <w:r w:rsidR="0042141E">
        <w:t>F</w:t>
      </w:r>
      <w:r>
        <w:t xml:space="preserve"> non-cumulative preference shares of US$0.01 each, all of which are represented by American Depositary Shares, for the three months to 30 June 2016. The dividends will be paid on 30 June 2016 at the undernoted rate to holders on the register at the close of business on 15 June 2016.</w:t>
      </w:r>
      <w:r w:rsidR="0042141E">
        <w:t xml:space="preserve"> </w:t>
      </w:r>
    </w:p>
    <w:p w:rsidR="00FD458C" w:rsidRDefault="00FD458C" w:rsidP="00FD458C">
      <w:pPr>
        <w:jc w:val="both"/>
      </w:pPr>
    </w:p>
    <w:p w:rsidR="00FD458C" w:rsidRDefault="00FD458C" w:rsidP="00FD45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D458C" w:rsidTr="00FD458C">
        <w:tc>
          <w:tcPr>
            <w:tcW w:w="4814" w:type="dxa"/>
          </w:tcPr>
          <w:p w:rsidR="00FD458C" w:rsidRDefault="00FD458C" w:rsidP="00FD458C">
            <w:pPr>
              <w:spacing w:before="120" w:after="120"/>
            </w:pPr>
          </w:p>
        </w:tc>
        <w:tc>
          <w:tcPr>
            <w:tcW w:w="4814" w:type="dxa"/>
          </w:tcPr>
          <w:p w:rsidR="00FD458C" w:rsidRDefault="00FD458C" w:rsidP="00FD458C">
            <w:pPr>
              <w:spacing w:before="120" w:after="120"/>
            </w:pPr>
            <w:r>
              <w:t>Dividend payable per share</w:t>
            </w:r>
          </w:p>
        </w:tc>
      </w:tr>
      <w:tr w:rsidR="00FD458C" w:rsidTr="00FD458C">
        <w:tc>
          <w:tcPr>
            <w:tcW w:w="4814" w:type="dxa"/>
          </w:tcPr>
          <w:p w:rsidR="00FD458C" w:rsidRDefault="00FD458C" w:rsidP="00FD458C">
            <w:pPr>
              <w:spacing w:before="120" w:after="120"/>
            </w:pPr>
            <w:r>
              <w:t>Series F</w:t>
            </w:r>
          </w:p>
        </w:tc>
        <w:tc>
          <w:tcPr>
            <w:tcW w:w="4814" w:type="dxa"/>
          </w:tcPr>
          <w:p w:rsidR="00FD458C" w:rsidRDefault="00FD458C" w:rsidP="00111C5B">
            <w:pPr>
              <w:spacing w:before="120" w:after="120"/>
            </w:pPr>
            <w:r>
              <w:t>US$</w:t>
            </w:r>
            <w:r w:rsidR="00C45056" w:rsidRPr="00C45056">
              <w:t>0.53125</w:t>
            </w:r>
          </w:p>
        </w:tc>
      </w:tr>
    </w:tbl>
    <w:p w:rsidR="00FD458C" w:rsidRDefault="00FD458C" w:rsidP="00FD458C"/>
    <w:p w:rsidR="00FD458C" w:rsidRDefault="00FD458C" w:rsidP="00FD458C"/>
    <w:p w:rsidR="00E17626" w:rsidRPr="00E17626" w:rsidRDefault="00E17626" w:rsidP="00E17626">
      <w:pPr>
        <w:rPr>
          <w:lang w:val="en-US"/>
        </w:rPr>
      </w:pPr>
      <w:r w:rsidRPr="00E17626">
        <w:rPr>
          <w:lang w:val="en-US"/>
        </w:rPr>
        <w:t>For further information, please contact:</w:t>
      </w:r>
    </w:p>
    <w:p w:rsidR="00E17626" w:rsidRPr="00E17626" w:rsidRDefault="00E17626" w:rsidP="00E17626">
      <w:pPr>
        <w:rPr>
          <w:lang w:val="en-US"/>
        </w:rPr>
      </w:pPr>
    </w:p>
    <w:p w:rsidR="00E17626" w:rsidRPr="00E17626" w:rsidRDefault="00E17626" w:rsidP="00E17626">
      <w:pPr>
        <w:rPr>
          <w:lang w:val="en-US"/>
        </w:rPr>
      </w:pPr>
      <w:r w:rsidRPr="00E17626">
        <w:rPr>
          <w:lang w:val="en-US"/>
        </w:rPr>
        <w:t>RBS Investor Relations</w:t>
      </w:r>
    </w:p>
    <w:p w:rsidR="00E17626" w:rsidRPr="00E17626" w:rsidRDefault="00E17626" w:rsidP="00E17626">
      <w:pPr>
        <w:rPr>
          <w:lang w:val="en-US"/>
        </w:rPr>
      </w:pPr>
      <w:r w:rsidRPr="00E17626">
        <w:rPr>
          <w:lang w:val="en-US"/>
        </w:rPr>
        <w:t>Matthew Richardson</w:t>
      </w:r>
    </w:p>
    <w:p w:rsidR="00E17626" w:rsidRPr="00E17626" w:rsidRDefault="00E17626" w:rsidP="00E17626">
      <w:pPr>
        <w:rPr>
          <w:lang w:val="en-US"/>
        </w:rPr>
      </w:pPr>
      <w:r w:rsidRPr="00E17626">
        <w:rPr>
          <w:lang w:val="en-US"/>
        </w:rPr>
        <w:t>Head of Fixed Income Investor Relations</w:t>
      </w:r>
    </w:p>
    <w:p w:rsidR="00E17626" w:rsidRPr="00E17626" w:rsidRDefault="00E17626" w:rsidP="00E17626">
      <w:r w:rsidRPr="00E17626">
        <w:rPr>
          <w:lang w:val="en-US"/>
        </w:rPr>
        <w:t>Tel: +44 (0)20 7678 1800</w:t>
      </w:r>
      <w:r>
        <w:rPr>
          <w:lang w:val="en-US"/>
        </w:rPr>
        <w:t xml:space="preserve"> </w:t>
      </w:r>
    </w:p>
    <w:p w:rsidR="00FD5978" w:rsidRDefault="00FD5978" w:rsidP="00FD458C"/>
    <w:p w:rsidR="00E17626" w:rsidRDefault="00E17626" w:rsidP="00FD458C"/>
    <w:p w:rsidR="00E17626" w:rsidRPr="00FD458C" w:rsidRDefault="00E17626" w:rsidP="00FD458C"/>
    <w:sectPr w:rsidR="00E17626" w:rsidRPr="00FD458C"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8DE" w:rsidRDefault="001958DE" w:rsidP="00AA4E94">
      <w:r>
        <w:separator/>
      </w:r>
    </w:p>
  </w:endnote>
  <w:endnote w:type="continuationSeparator" w:id="0">
    <w:p w:rsidR="001958DE" w:rsidRDefault="001958DE"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8DE" w:rsidRDefault="001958DE" w:rsidP="00AA4E94">
      <w:r>
        <w:separator/>
      </w:r>
    </w:p>
  </w:footnote>
  <w:footnote w:type="continuationSeparator" w:id="0">
    <w:p w:rsidR="001958DE" w:rsidRDefault="001958DE"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8DE"/>
    <w:rsid w:val="00050677"/>
    <w:rsid w:val="00050C51"/>
    <w:rsid w:val="00072D44"/>
    <w:rsid w:val="000C7DBE"/>
    <w:rsid w:val="00111C5B"/>
    <w:rsid w:val="00116EE2"/>
    <w:rsid w:val="001958DE"/>
    <w:rsid w:val="001A76B3"/>
    <w:rsid w:val="001D5067"/>
    <w:rsid w:val="001E2C17"/>
    <w:rsid w:val="002502E0"/>
    <w:rsid w:val="002A1F66"/>
    <w:rsid w:val="002E13A6"/>
    <w:rsid w:val="00304DEA"/>
    <w:rsid w:val="0042141E"/>
    <w:rsid w:val="00433535"/>
    <w:rsid w:val="0045780C"/>
    <w:rsid w:val="00544150"/>
    <w:rsid w:val="006E252B"/>
    <w:rsid w:val="00750C74"/>
    <w:rsid w:val="00752B89"/>
    <w:rsid w:val="00804F60"/>
    <w:rsid w:val="00841E4D"/>
    <w:rsid w:val="0086300F"/>
    <w:rsid w:val="00864E34"/>
    <w:rsid w:val="00884A01"/>
    <w:rsid w:val="00890423"/>
    <w:rsid w:val="009362ED"/>
    <w:rsid w:val="00941BA2"/>
    <w:rsid w:val="00951549"/>
    <w:rsid w:val="009974C9"/>
    <w:rsid w:val="00A26B45"/>
    <w:rsid w:val="00A56627"/>
    <w:rsid w:val="00A85E6E"/>
    <w:rsid w:val="00AA4E94"/>
    <w:rsid w:val="00B55D29"/>
    <w:rsid w:val="00BA75B8"/>
    <w:rsid w:val="00BC7350"/>
    <w:rsid w:val="00BE261A"/>
    <w:rsid w:val="00BF4249"/>
    <w:rsid w:val="00C37A69"/>
    <w:rsid w:val="00C45056"/>
    <w:rsid w:val="00C56376"/>
    <w:rsid w:val="00CB3C4E"/>
    <w:rsid w:val="00CC7B1A"/>
    <w:rsid w:val="00E15C7A"/>
    <w:rsid w:val="00E17626"/>
    <w:rsid w:val="00E80952"/>
    <w:rsid w:val="00EB6573"/>
    <w:rsid w:val="00FD458C"/>
    <w:rsid w:val="00FD5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table" w:styleId="TableGrid">
    <w:name w:val="Table Grid"/>
    <w:basedOn w:val="TableNormal"/>
    <w:uiPriority w:val="59"/>
    <w:rsid w:val="00FD4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B55D29"/>
    <w:pPr>
      <w:spacing w:after="0" w:line="240" w:lineRule="auto"/>
    </w:pPr>
    <w:rPr>
      <w:rFonts w:ascii="Arial" w:hAnsi="Arial"/>
      <w:sz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table" w:styleId="TableGrid">
    <w:name w:val="Table Grid"/>
    <w:basedOn w:val="TableNormal"/>
    <w:uiPriority w:val="59"/>
    <w:rsid w:val="00FD4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93528">
      <w:bodyDiv w:val="1"/>
      <w:marLeft w:val="0"/>
      <w:marRight w:val="0"/>
      <w:marTop w:val="0"/>
      <w:marBottom w:val="0"/>
      <w:divBdr>
        <w:top w:val="none" w:sz="0" w:space="0" w:color="auto"/>
        <w:left w:val="none" w:sz="0" w:space="0" w:color="auto"/>
        <w:bottom w:val="none" w:sz="0" w:space="0" w:color="auto"/>
        <w:right w:val="none" w:sz="0" w:space="0" w:color="auto"/>
      </w:divBdr>
      <w:divsChild>
        <w:div w:id="1341085846">
          <w:marLeft w:val="0"/>
          <w:marRight w:val="0"/>
          <w:marTop w:val="0"/>
          <w:marBottom w:val="0"/>
          <w:divBdr>
            <w:top w:val="none" w:sz="0" w:space="0" w:color="auto"/>
            <w:left w:val="none" w:sz="0" w:space="0" w:color="auto"/>
            <w:bottom w:val="none" w:sz="0" w:space="0" w:color="auto"/>
            <w:right w:val="none" w:sz="0" w:space="0" w:color="auto"/>
          </w:divBdr>
          <w:divsChild>
            <w:div w:id="1809199393">
              <w:marLeft w:val="0"/>
              <w:marRight w:val="0"/>
              <w:marTop w:val="0"/>
              <w:marBottom w:val="150"/>
              <w:divBdr>
                <w:top w:val="none" w:sz="0" w:space="0" w:color="auto"/>
                <w:left w:val="none" w:sz="0" w:space="0" w:color="auto"/>
                <w:bottom w:val="single" w:sz="6" w:space="0" w:color="CCCCCC"/>
                <w:right w:val="none" w:sz="0" w:space="0" w:color="auto"/>
              </w:divBdr>
              <w:divsChild>
                <w:div w:id="1329410047">
                  <w:marLeft w:val="0"/>
                  <w:marRight w:val="0"/>
                  <w:marTop w:val="0"/>
                  <w:marBottom w:val="0"/>
                  <w:divBdr>
                    <w:top w:val="none" w:sz="0" w:space="0" w:color="auto"/>
                    <w:left w:val="none" w:sz="0" w:space="0" w:color="auto"/>
                    <w:bottom w:val="none" w:sz="0" w:space="0" w:color="auto"/>
                    <w:right w:val="none" w:sz="0" w:space="0" w:color="auto"/>
                  </w:divBdr>
                  <w:divsChild>
                    <w:div w:id="9221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BS">
  <a:themeElements>
    <a:clrScheme name="RBS">
      <a:dk1>
        <a:sysClr val="windowText" lastClr="000000"/>
      </a:dk1>
      <a:lt1>
        <a:sysClr val="window" lastClr="FFFFFF"/>
      </a:lt1>
      <a:dk2>
        <a:srgbClr val="002469"/>
      </a:dk2>
      <a:lt2>
        <a:srgbClr val="EEECE1"/>
      </a:lt2>
      <a:accent1>
        <a:srgbClr val="5381AC"/>
      </a:accent1>
      <a:accent2>
        <a:srgbClr val="B3B3B3"/>
      </a:accent2>
      <a:accent3>
        <a:srgbClr val="3A7224"/>
      </a:accent3>
      <a:accent4>
        <a:srgbClr val="A7B739"/>
      </a:accent4>
      <a:accent5>
        <a:srgbClr val="F36F21"/>
      </a:accent5>
      <a:accent6>
        <a:srgbClr val="E8C204"/>
      </a:accent6>
      <a:hlink>
        <a:srgbClr val="5381AC"/>
      </a:hlink>
      <a:folHlink>
        <a:srgbClr val="5381AC"/>
      </a:folHlink>
    </a:clrScheme>
    <a:fontScheme name="RBS">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custClrLst>
    <a:custClr name="Accent 1 100%">
      <a:srgbClr val="5381AC"/>
    </a:custClr>
    <a:custClr name="Accent 2 100%">
      <a:srgbClr val="B3B3B3"/>
    </a:custClr>
    <a:custClr name="Accent 3 100%">
      <a:srgbClr val="3A7224"/>
    </a:custClr>
    <a:custClr name="Accent 4 100%">
      <a:srgbClr val="A7B739"/>
    </a:custClr>
    <a:custClr name="Accent 5 100%">
      <a:srgbClr val="F36F21"/>
    </a:custClr>
    <a:custClr name="Accent 6 100%">
      <a:srgbClr val="E8C204"/>
    </a:custClr>
    <a:custClr name="Red 100%">
      <a:srgbClr val="C90008"/>
    </a:custClr>
    <a:custClr name="Orange2 100%">
      <a:srgbClr val="FAA61A"/>
    </a:custClr>
    <a:custClr name="Purple 100%">
      <a:srgbClr val="820EB7"/>
    </a:custClr>
    <a:custClr name="Cyan 100%">
      <a:srgbClr val="3DB7DF"/>
    </a:custClr>
    <a:custClr name="Accent 1 75%">
      <a:srgbClr val="86A1C0"/>
    </a:custClr>
    <a:custClr name="Accent 2 75%">
      <a:srgbClr val="CAC6C2"/>
    </a:custClr>
    <a:custClr name="Accent 3 75%">
      <a:srgbClr val="6B955B"/>
    </a:custClr>
    <a:custClr name="Accent 4 75%">
      <a:srgbClr val="BDC96B"/>
    </a:custClr>
    <a:custClr name="Accent 5 75%">
      <a:srgbClr val="F69359"/>
    </a:custClr>
    <a:custClr name="Accent 6 75%">
      <a:srgbClr val="EED143"/>
    </a:custClr>
    <a:custClr name="Red 75%">
      <a:srgbClr val="D74046"/>
    </a:custClr>
    <a:custClr name="Orange2 75%">
      <a:srgbClr val="FBBC53"/>
    </a:custClr>
    <a:custClr name="Purple 75%">
      <a:srgbClr val="A14AC9"/>
    </a:custClr>
    <a:custClr name="Cyan 75%">
      <a:srgbClr val="6EC9E7"/>
    </a:custClr>
    <a:custClr name="Accent 1 50%">
      <a:srgbClr val="AFC1D5"/>
    </a:custClr>
    <a:custClr name="Accent 2 50%">
      <a:srgbClr val="DCD9D6"/>
    </a:custClr>
    <a:custClr name="Accent 3 50%">
      <a:srgbClr val="9CB891"/>
    </a:custClr>
    <a:custClr name="Accent 4 50%">
      <a:srgbClr val="D3DB9C"/>
    </a:custClr>
    <a:custClr name="Accent 5 50%">
      <a:srgbClr val="F9B790"/>
    </a:custClr>
    <a:custClr name="Accent 6 50%">
      <a:srgbClr val="F3E081"/>
    </a:custClr>
    <a:custClr name="Red 50%">
      <a:srgbClr val="E47F83"/>
    </a:custClr>
    <a:custClr name="Orange2 50%">
      <a:srgbClr val="FCD28C"/>
    </a:custClr>
    <a:custClr name="Purple 50%">
      <a:srgbClr val="C086DB"/>
    </a:custClr>
    <a:custClr name="Cyan 50%">
      <a:srgbClr val="9EDBEF"/>
    </a:custClr>
    <a:custClr name="Accent 1 25%">
      <a:srgbClr val="D7E0EA"/>
    </a:custClr>
    <a:custClr name="Accent 2 25%">
      <a:srgbClr val="EDECEB"/>
    </a:custClr>
    <a:custClr name="Accent 3 25%">
      <a:srgbClr val="CEDCC8"/>
    </a:custClr>
    <a:custClr name="Accent 4 25%">
      <a:srgbClr val="E9EDCD"/>
    </a:custClr>
    <a:custClr name="Accent 5 25%">
      <a:srgbClr val="FCDBC7"/>
    </a:custClr>
    <a:custClr name="Accent 6 25%">
      <a:srgbClr val="F9F0C0"/>
    </a:custClr>
    <a:custClr name="Red 25%">
      <a:srgbClr val="F1BFC1"/>
    </a:custClr>
    <a:custClr name="Orange2 25%">
      <a:srgbClr val="FEE9C6"/>
    </a:custClr>
    <a:custClr name="Purple 25%">
      <a:srgbClr val="E0C3ED"/>
    </a:custClr>
    <a:custClr name="Cyan 25%">
      <a:srgbClr val="CEEDF7"/>
    </a:custClr>
  </a:custClr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Magowan, Philip, RBS Legal</dc:creator>
  <cp:lastModifiedBy>patteja</cp:lastModifiedBy>
  <cp:revision>3</cp:revision>
  <cp:lastPrinted>2016-06-27T14:18:00Z</cp:lastPrinted>
  <dcterms:created xsi:type="dcterms:W3CDTF">2016-06-27T14:19:00Z</dcterms:created>
  <dcterms:modified xsi:type="dcterms:W3CDTF">2016-06-27T15:25:00Z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1167075845</vt:i4>
  </property>
  <property fmtid="{D5CDD505-2E9C-101B-9397-08002B2CF9AE}" pid="3" name="_NewReviewCycle">
    <vt:lpwstr/>
  </property>
  <property fmtid="{D5CDD505-2E9C-101B-9397-08002B2CF9AE}" pid="4" name="_EmailSubject">
    <vt:lpwstr>Pref Shares Investor query: Draft RNSs</vt:lpwstr>
  </property>
  <property fmtid="{D5CDD505-2E9C-101B-9397-08002B2CF9AE}" pid="5" name="_AuthorEmail">
    <vt:lpwstr>Stephanie.C.Lynch@rbs.co.uk</vt:lpwstr>
  </property>
  <property fmtid="{D5CDD505-2E9C-101B-9397-08002B2CF9AE}" pid="6" name="_AuthorEmailDisplayName">
    <vt:lpwstr>Lynch, Stephanie (Corporate Governance and Secretariat)</vt:lpwstr>
  </property>
  <property fmtid="{D5CDD505-2E9C-101B-9397-08002B2CF9AE}" pid="7" name="_PreviousAdHocReviewCycleID">
    <vt:i4>1508415663</vt:i4>
  </property>
  <property fmtid="{D5CDD505-2E9C-101B-9397-08002B2CF9AE}" pid="8" name="_ReviewingToolsShownOnce">
    <vt:lpwstr/>
  </property>
</Properties>
</file>