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22F" w:rsidRPr="007C7B42" w:rsidRDefault="0072322F" w:rsidP="0072322F">
      <w:pPr>
        <w:pStyle w:val="cj"/>
        <w:rPr>
          <w:b/>
          <w:bCs/>
          <w:color w:val="333333"/>
        </w:rPr>
      </w:pPr>
      <w:r w:rsidRPr="00661E4C">
        <w:rPr>
          <w:rStyle w:val="ck"/>
          <w:b/>
          <w:bCs/>
          <w:color w:val="333333"/>
        </w:rPr>
        <w:t>THE ROYAL BANK OF SCOTLAND GROUP P</w:t>
      </w:r>
      <w:r w:rsidRPr="007C7B42">
        <w:rPr>
          <w:rStyle w:val="ck"/>
          <w:b/>
          <w:bCs/>
          <w:color w:val="333333"/>
        </w:rPr>
        <w:t>LC</w:t>
      </w:r>
    </w:p>
    <w:p w:rsidR="0072322F" w:rsidRPr="007C7B42" w:rsidRDefault="0072322F" w:rsidP="0072322F">
      <w:pPr>
        <w:pStyle w:val="cj"/>
        <w:rPr>
          <w:b/>
          <w:bCs/>
          <w:color w:val="333333"/>
        </w:rPr>
      </w:pPr>
      <w:r w:rsidRPr="007C7B42">
        <w:rPr>
          <w:rStyle w:val="ck"/>
          <w:b/>
          <w:bCs/>
          <w:color w:val="333333"/>
        </w:rPr>
        <w:t>The Royal Bank of Scotland Group plc successfully priced $</w:t>
      </w:r>
      <w:r w:rsidR="00286688" w:rsidRPr="007C7B42">
        <w:rPr>
          <w:rStyle w:val="ck"/>
          <w:b/>
          <w:bCs/>
          <w:color w:val="333333"/>
        </w:rPr>
        <w:t>2.65</w:t>
      </w:r>
      <w:r w:rsidRPr="007C7B42">
        <w:rPr>
          <w:rStyle w:val="ck"/>
          <w:b/>
          <w:bCs/>
          <w:color w:val="333333"/>
        </w:rPr>
        <w:t xml:space="preserve"> billion Additional Tier 1 Capital Notes</w:t>
      </w:r>
    </w:p>
    <w:p w:rsidR="0072322F" w:rsidRPr="007C7B42" w:rsidRDefault="00FE5228" w:rsidP="0072322F">
      <w:pPr>
        <w:pStyle w:val="NormalWeb"/>
        <w:rPr>
          <w:color w:val="333333"/>
        </w:rPr>
      </w:pPr>
      <w:r w:rsidRPr="007C7B42">
        <w:rPr>
          <w:rStyle w:val="ck"/>
          <w:color w:val="333333"/>
        </w:rPr>
        <w:t>10</w:t>
      </w:r>
      <w:r w:rsidR="0072322F" w:rsidRPr="007C7B42">
        <w:rPr>
          <w:rStyle w:val="ck"/>
          <w:color w:val="333333"/>
        </w:rPr>
        <w:t xml:space="preserve"> August 2016</w:t>
      </w:r>
    </w:p>
    <w:p w:rsidR="0072322F" w:rsidRPr="007C7B42" w:rsidRDefault="0072322F" w:rsidP="00FE5228">
      <w:pPr>
        <w:pStyle w:val="a"/>
        <w:spacing w:before="0" w:beforeAutospacing="0" w:after="0" w:afterAutospacing="0"/>
        <w:rPr>
          <w:color w:val="333333"/>
        </w:rPr>
      </w:pPr>
      <w:r w:rsidRPr="007C7B42">
        <w:rPr>
          <w:rStyle w:val="ck"/>
          <w:color w:val="333333"/>
        </w:rPr>
        <w:t>The Royal Bank of Scotland Group plc ("RBSG</w:t>
      </w:r>
      <w:r w:rsidR="00FE5228" w:rsidRPr="007C7B42">
        <w:rPr>
          <w:rStyle w:val="ck"/>
          <w:color w:val="333333"/>
        </w:rPr>
        <w:t xml:space="preserve">") completed the pricing of its </w:t>
      </w:r>
      <w:r w:rsidRPr="007C7B42">
        <w:rPr>
          <w:rStyle w:val="ck"/>
          <w:color w:val="333333"/>
        </w:rPr>
        <w:t>USD</w:t>
      </w:r>
      <w:r w:rsidRPr="007C7B42">
        <w:rPr>
          <w:rStyle w:val="apple-converted-space"/>
          <w:rFonts w:eastAsiaTheme="majorEastAsia"/>
          <w:color w:val="333333"/>
        </w:rPr>
        <w:t> </w:t>
      </w:r>
      <w:r w:rsidR="00286688" w:rsidRPr="007C7B42">
        <w:rPr>
          <w:rStyle w:val="ck"/>
          <w:color w:val="333333"/>
        </w:rPr>
        <w:t>2,650,000,000</w:t>
      </w:r>
      <w:r w:rsidR="007C7B42">
        <w:rPr>
          <w:rStyle w:val="ck"/>
          <w:color w:val="333333"/>
        </w:rPr>
        <w:t xml:space="preserve"> </w:t>
      </w:r>
      <w:r w:rsidR="00286688" w:rsidRPr="007C7B42">
        <w:rPr>
          <w:rStyle w:val="ck"/>
          <w:color w:val="333333"/>
        </w:rPr>
        <w:t>8.625</w:t>
      </w:r>
      <w:r w:rsidR="003226E9" w:rsidRPr="007C7B42">
        <w:rPr>
          <w:rStyle w:val="ck"/>
          <w:color w:val="333333"/>
        </w:rPr>
        <w:t xml:space="preserve"> %</w:t>
      </w:r>
      <w:r w:rsidRPr="007C7B42">
        <w:rPr>
          <w:rStyle w:val="ck"/>
          <w:color w:val="333333"/>
        </w:rPr>
        <w:t xml:space="preserve"> Perpetual Subordinated Contingent Convertible Additional Tier 1 Capit</w:t>
      </w:r>
      <w:r w:rsidR="00FE5228" w:rsidRPr="007C7B42">
        <w:rPr>
          <w:rStyle w:val="ck"/>
          <w:color w:val="333333"/>
        </w:rPr>
        <w:t xml:space="preserve">al Notes callable </w:t>
      </w:r>
      <w:r w:rsidR="009F5A4D" w:rsidRPr="007C7B42">
        <w:rPr>
          <w:rStyle w:val="ck"/>
          <w:color w:val="333333"/>
        </w:rPr>
        <w:t>15</w:t>
      </w:r>
      <w:r w:rsidR="003226E9" w:rsidRPr="007C7B42">
        <w:rPr>
          <w:rStyle w:val="ck"/>
          <w:color w:val="333333"/>
        </w:rPr>
        <w:t xml:space="preserve"> August 20</w:t>
      </w:r>
      <w:r w:rsidRPr="007C7B42">
        <w:rPr>
          <w:rStyle w:val="ck"/>
          <w:color w:val="333333"/>
        </w:rPr>
        <w:t>2</w:t>
      </w:r>
      <w:r w:rsidR="003226E9" w:rsidRPr="007C7B42">
        <w:rPr>
          <w:rStyle w:val="ck"/>
          <w:color w:val="333333"/>
        </w:rPr>
        <w:t>1</w:t>
      </w:r>
      <w:r w:rsidR="00FE5228" w:rsidRPr="007C7B42">
        <w:rPr>
          <w:rStyle w:val="ck"/>
          <w:color w:val="333333"/>
        </w:rPr>
        <w:t xml:space="preserve"> </w:t>
      </w:r>
      <w:r w:rsidRPr="007C7B42">
        <w:rPr>
          <w:rStyle w:val="ck"/>
          <w:color w:val="333333"/>
        </w:rPr>
        <w:t xml:space="preserve">(the "Notes"). </w:t>
      </w:r>
    </w:p>
    <w:p w:rsidR="0072322F" w:rsidRPr="007C7B42" w:rsidRDefault="0072322F" w:rsidP="0072322F">
      <w:pPr>
        <w:pStyle w:val="a"/>
        <w:spacing w:before="0" w:beforeAutospacing="0" w:after="0" w:afterAutospacing="0"/>
        <w:rPr>
          <w:color w:val="333333"/>
        </w:rPr>
      </w:pPr>
      <w:r w:rsidRPr="007C7B42">
        <w:rPr>
          <w:rStyle w:val="ck"/>
          <w:color w:val="333333"/>
        </w:rPr>
        <w:t>   </w:t>
      </w:r>
    </w:p>
    <w:p w:rsidR="0072322F" w:rsidRPr="00661E4C" w:rsidRDefault="0072322F" w:rsidP="0072322F">
      <w:pPr>
        <w:pStyle w:val="a"/>
        <w:spacing w:before="0" w:beforeAutospacing="0" w:after="0" w:afterAutospacing="0"/>
        <w:rPr>
          <w:color w:val="333333"/>
        </w:rPr>
      </w:pPr>
      <w:r w:rsidRPr="007C7B42">
        <w:rPr>
          <w:rStyle w:val="ck"/>
          <w:color w:val="333333"/>
        </w:rPr>
        <w:t>The net proceeds of approximately USD</w:t>
      </w:r>
      <w:r w:rsidRPr="007C7B42">
        <w:rPr>
          <w:rStyle w:val="apple-converted-space"/>
          <w:rFonts w:eastAsiaTheme="majorEastAsia"/>
          <w:color w:val="333333"/>
        </w:rPr>
        <w:t> </w:t>
      </w:r>
      <w:r w:rsidR="00286688" w:rsidRPr="007C7B42">
        <w:rPr>
          <w:rStyle w:val="ck"/>
          <w:color w:val="333333"/>
        </w:rPr>
        <w:t>2,623,500,000</w:t>
      </w:r>
      <w:r w:rsidRPr="007C7B42">
        <w:rPr>
          <w:rStyle w:val="ck"/>
          <w:color w:val="333333"/>
        </w:rPr>
        <w:t xml:space="preserve"> will be used for general corporate purposes.</w:t>
      </w:r>
    </w:p>
    <w:p w:rsidR="0072322F" w:rsidRPr="00661E4C" w:rsidRDefault="0072322F" w:rsidP="0072322F">
      <w:pPr>
        <w:pStyle w:val="a"/>
        <w:spacing w:before="0" w:beforeAutospacing="0" w:after="0" w:afterAutospacing="0"/>
        <w:rPr>
          <w:color w:val="333333"/>
        </w:rPr>
      </w:pPr>
      <w:r w:rsidRPr="00661E4C">
        <w:rPr>
          <w:rStyle w:val="ck"/>
          <w:color w:val="333333"/>
        </w:rPr>
        <w:t> </w:t>
      </w:r>
    </w:p>
    <w:p w:rsidR="0072322F" w:rsidRPr="00661E4C" w:rsidRDefault="0072322F" w:rsidP="0072322F">
      <w:pPr>
        <w:pStyle w:val="a"/>
        <w:spacing w:before="0" w:beforeAutospacing="0" w:after="0" w:afterAutospacing="0"/>
        <w:rPr>
          <w:color w:val="333333"/>
        </w:rPr>
      </w:pPr>
      <w:r w:rsidRPr="00661E4C">
        <w:rPr>
          <w:rStyle w:val="ck"/>
          <w:color w:val="333333"/>
        </w:rPr>
        <w:t>The off</w:t>
      </w:r>
      <w:r w:rsidR="00FE5228">
        <w:rPr>
          <w:rStyle w:val="ck"/>
          <w:color w:val="333333"/>
        </w:rPr>
        <w:t>ering is scheduled to close on 15</w:t>
      </w:r>
      <w:r w:rsidRPr="00661E4C">
        <w:rPr>
          <w:rStyle w:val="ck"/>
          <w:color w:val="333333"/>
        </w:rPr>
        <w:t xml:space="preserve"> August 2016 subject to the satisfaction of customary conditions. Application has been made to The Irish Stock Exchange plc for the Notes to be admitted to the Official List and to trading on the Global Exchange Market, which is the exchange regulated market of The Irish Stock Exchange plc.</w:t>
      </w:r>
    </w:p>
    <w:p w:rsidR="0072322F" w:rsidRPr="00661E4C" w:rsidRDefault="0072322F" w:rsidP="0072322F">
      <w:pPr>
        <w:pStyle w:val="a"/>
        <w:spacing w:before="0" w:beforeAutospacing="0" w:after="0" w:afterAutospacing="0"/>
        <w:rPr>
          <w:color w:val="333333"/>
        </w:rPr>
      </w:pPr>
      <w:r w:rsidRPr="00661E4C">
        <w:rPr>
          <w:rStyle w:val="ck"/>
          <w:color w:val="333333"/>
        </w:rPr>
        <w:t> </w:t>
      </w:r>
      <w:bookmarkStart w:id="0" w:name="_GoBack"/>
      <w:bookmarkEnd w:id="0"/>
    </w:p>
    <w:p w:rsidR="0072322F" w:rsidRPr="00661E4C" w:rsidRDefault="0072322F" w:rsidP="0072322F">
      <w:pPr>
        <w:pStyle w:val="a"/>
        <w:spacing w:before="0" w:beforeAutospacing="0" w:after="0" w:afterAutospacing="0"/>
        <w:rPr>
          <w:color w:val="333333"/>
        </w:rPr>
      </w:pPr>
      <w:r w:rsidRPr="00661E4C">
        <w:rPr>
          <w:rStyle w:val="ck"/>
          <w:color w:val="333333"/>
        </w:rPr>
        <w:t> </w:t>
      </w:r>
    </w:p>
    <w:p w:rsidR="0072322F" w:rsidRPr="00661E4C" w:rsidRDefault="0072322F" w:rsidP="0072322F">
      <w:pPr>
        <w:pStyle w:val="a"/>
        <w:spacing w:before="0" w:beforeAutospacing="0" w:after="0" w:afterAutospacing="0"/>
        <w:rPr>
          <w:color w:val="333333"/>
        </w:rPr>
      </w:pPr>
      <w:r w:rsidRPr="00661E4C">
        <w:rPr>
          <w:rStyle w:val="ck"/>
          <w:color w:val="333333"/>
        </w:rPr>
        <w:t>For further information:</w:t>
      </w:r>
    </w:p>
    <w:p w:rsidR="0072322F" w:rsidRPr="00661E4C" w:rsidRDefault="0072322F" w:rsidP="0072322F">
      <w:pPr>
        <w:pStyle w:val="a"/>
        <w:spacing w:before="0" w:beforeAutospacing="0" w:after="0" w:afterAutospacing="0"/>
        <w:rPr>
          <w:color w:val="333333"/>
        </w:rPr>
      </w:pPr>
      <w:r w:rsidRPr="00661E4C">
        <w:rPr>
          <w:rStyle w:val="ck"/>
          <w:color w:val="333333"/>
        </w:rPr>
        <w:t> </w:t>
      </w:r>
    </w:p>
    <w:p w:rsidR="0072322F" w:rsidRPr="00661E4C" w:rsidRDefault="0072322F" w:rsidP="0072322F">
      <w:pPr>
        <w:pStyle w:val="cq"/>
        <w:spacing w:before="0" w:beforeAutospacing="0" w:after="0" w:afterAutospacing="0"/>
        <w:rPr>
          <w:b/>
          <w:bCs/>
          <w:color w:val="333333"/>
        </w:rPr>
      </w:pPr>
      <w:r w:rsidRPr="00661E4C">
        <w:rPr>
          <w:rStyle w:val="ck"/>
          <w:b/>
          <w:bCs/>
          <w:color w:val="333333"/>
        </w:rPr>
        <w:t>RBS Investor Relations</w:t>
      </w:r>
    </w:p>
    <w:p w:rsidR="0072322F" w:rsidRPr="00661E4C" w:rsidRDefault="0072322F" w:rsidP="0072322F">
      <w:pPr>
        <w:pStyle w:val="a"/>
        <w:spacing w:before="0" w:beforeAutospacing="0" w:after="0" w:afterAutospacing="0"/>
        <w:rPr>
          <w:color w:val="333333"/>
        </w:rPr>
      </w:pPr>
      <w:r w:rsidRPr="00661E4C">
        <w:rPr>
          <w:rStyle w:val="ck"/>
          <w:color w:val="333333"/>
        </w:rPr>
        <w:t>Matthew Richardson</w:t>
      </w:r>
    </w:p>
    <w:p w:rsidR="0072322F" w:rsidRPr="00661E4C" w:rsidRDefault="0072322F" w:rsidP="0072322F">
      <w:pPr>
        <w:pStyle w:val="a"/>
        <w:spacing w:before="0" w:beforeAutospacing="0" w:after="0" w:afterAutospacing="0"/>
        <w:rPr>
          <w:color w:val="333333"/>
        </w:rPr>
      </w:pPr>
      <w:r w:rsidRPr="00661E4C">
        <w:rPr>
          <w:rStyle w:val="ck"/>
          <w:color w:val="333333"/>
        </w:rPr>
        <w:t>Head of Debt Investor Relations</w:t>
      </w:r>
    </w:p>
    <w:p w:rsidR="0072322F" w:rsidRPr="00661E4C" w:rsidRDefault="0072322F" w:rsidP="0072322F">
      <w:pPr>
        <w:pStyle w:val="a"/>
        <w:spacing w:before="0" w:beforeAutospacing="0" w:after="0" w:afterAutospacing="0"/>
        <w:rPr>
          <w:color w:val="333333"/>
        </w:rPr>
      </w:pPr>
      <w:r w:rsidRPr="00661E4C">
        <w:rPr>
          <w:rStyle w:val="ck"/>
          <w:color w:val="333333"/>
        </w:rPr>
        <w:t>Tel: +44 (0) 20 7678 1800</w:t>
      </w:r>
    </w:p>
    <w:p w:rsidR="0072322F" w:rsidRPr="00661E4C" w:rsidRDefault="0072322F" w:rsidP="0072322F">
      <w:pPr>
        <w:pStyle w:val="a"/>
        <w:spacing w:before="0" w:beforeAutospacing="0" w:after="0" w:afterAutospacing="0"/>
        <w:rPr>
          <w:color w:val="333333"/>
        </w:rPr>
      </w:pPr>
      <w:r w:rsidRPr="00661E4C">
        <w:rPr>
          <w:rStyle w:val="ck"/>
          <w:color w:val="333333"/>
        </w:rPr>
        <w:t> </w:t>
      </w:r>
    </w:p>
    <w:p w:rsidR="0072322F" w:rsidRPr="00661E4C" w:rsidRDefault="0072322F" w:rsidP="0072322F">
      <w:pPr>
        <w:pStyle w:val="cr"/>
        <w:spacing w:before="0" w:beforeAutospacing="0" w:after="0" w:afterAutospacing="0"/>
        <w:rPr>
          <w:b/>
          <w:bCs/>
          <w:i/>
          <w:iCs/>
          <w:color w:val="333333"/>
        </w:rPr>
      </w:pPr>
      <w:r w:rsidRPr="00661E4C">
        <w:rPr>
          <w:rStyle w:val="ck"/>
          <w:b/>
          <w:bCs/>
          <w:i/>
          <w:iCs/>
          <w:color w:val="333333"/>
        </w:rPr>
        <w:t>Forward Looking Statements</w:t>
      </w:r>
    </w:p>
    <w:p w:rsidR="0072322F" w:rsidRPr="00661E4C" w:rsidRDefault="0072322F" w:rsidP="00AE2CD0">
      <w:pPr>
        <w:pStyle w:val="cs"/>
        <w:spacing w:before="0" w:beforeAutospacing="0" w:after="0" w:afterAutospacing="0"/>
        <w:rPr>
          <w:i/>
          <w:iCs/>
          <w:color w:val="333333"/>
        </w:rPr>
      </w:pPr>
      <w:r w:rsidRPr="00661E4C">
        <w:rPr>
          <w:rStyle w:val="ck"/>
          <w:i/>
          <w:iCs/>
          <w:color w:val="333333"/>
        </w:rPr>
        <w:t xml:space="preserve">This announcement contains forward-looking statements within the meaning of the Private Securities Litigation Reform Act of 1995, including, without limitation, statements that include the words "intends", "expects", "anticipates", "targets", "plans", "estimates" and words of similar import. These statements concern or may affect future matters, such as RBSG's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w:t>
      </w:r>
      <w:r w:rsidR="00AE2CD0">
        <w:rPr>
          <w:rStyle w:val="ck"/>
          <w:i/>
          <w:iCs/>
          <w:color w:val="333333"/>
        </w:rPr>
        <w:t xml:space="preserve">political, </w:t>
      </w:r>
      <w:r w:rsidRPr="00661E4C">
        <w:rPr>
          <w:rStyle w:val="ck"/>
          <w:i/>
          <w:iCs/>
          <w:color w:val="333333"/>
        </w:rPr>
        <w:t xml:space="preserve">fiscal and regulatory developments, competitive conditions, technological developments, exchange rate fluctuations and general economic conditions. These and other factors, risks and uncertainties that may impact any forward-looking statement or RBSG's actual results are discussed in RBSG's </w:t>
      </w:r>
      <w:r w:rsidR="00AE2CD0">
        <w:rPr>
          <w:rStyle w:val="ck"/>
          <w:i/>
          <w:iCs/>
          <w:color w:val="333333"/>
        </w:rPr>
        <w:t xml:space="preserve">results </w:t>
      </w:r>
      <w:r w:rsidRPr="00661E4C">
        <w:rPr>
          <w:rStyle w:val="ck"/>
          <w:i/>
          <w:iCs/>
          <w:color w:val="333333"/>
        </w:rPr>
        <w:t xml:space="preserve">and materials filed with, or furnished to, the US Securities and Exchange Commission, including, but not limited to, RBSG's </w:t>
      </w:r>
      <w:r w:rsidR="00AE2CD0">
        <w:rPr>
          <w:rStyle w:val="ck"/>
          <w:i/>
          <w:iCs/>
          <w:color w:val="333333"/>
        </w:rPr>
        <w:t xml:space="preserve">most recent </w:t>
      </w:r>
      <w:r w:rsidRPr="00661E4C">
        <w:rPr>
          <w:rStyle w:val="ck"/>
          <w:i/>
          <w:iCs/>
          <w:color w:val="333333"/>
        </w:rPr>
        <w:t>Reports on Form 6-K</w:t>
      </w:r>
      <w:r w:rsidR="00AE2CD0">
        <w:rPr>
          <w:rStyle w:val="ck"/>
          <w:i/>
          <w:iCs/>
          <w:color w:val="333333"/>
        </w:rPr>
        <w:t xml:space="preserve">, including the financial results for the period ended June 30, 2016 </w:t>
      </w:r>
      <w:r w:rsidRPr="00661E4C">
        <w:rPr>
          <w:rStyle w:val="ck"/>
          <w:i/>
          <w:iCs/>
          <w:color w:val="333333"/>
        </w:rPr>
        <w:t xml:space="preserve">and </w:t>
      </w:r>
      <w:r w:rsidR="00AE2CD0">
        <w:rPr>
          <w:rStyle w:val="ck"/>
          <w:i/>
          <w:iCs/>
          <w:color w:val="333333"/>
        </w:rPr>
        <w:t xml:space="preserve">2015 </w:t>
      </w:r>
      <w:r w:rsidRPr="00661E4C">
        <w:rPr>
          <w:rStyle w:val="ck"/>
          <w:i/>
          <w:iCs/>
          <w:color w:val="333333"/>
        </w:rPr>
        <w:t>Annual Report on Form 20-F. The forward-looking statements contained in this announcement speak only as of the date of this announcement and RBSG does not assume or undertake any obligation or responsibility to update any of the forward-looking statements contained in this announcement, whether as a result of new information, future events or otherwise, except to the extent legally required.</w:t>
      </w:r>
    </w:p>
    <w:p w:rsidR="0072322F" w:rsidRPr="00661E4C" w:rsidRDefault="0072322F" w:rsidP="0072322F">
      <w:pPr>
        <w:pStyle w:val="a"/>
        <w:spacing w:before="0" w:beforeAutospacing="0" w:after="0" w:afterAutospacing="0"/>
        <w:rPr>
          <w:color w:val="333333"/>
        </w:rPr>
      </w:pPr>
      <w:r w:rsidRPr="00661E4C">
        <w:rPr>
          <w:rStyle w:val="ck"/>
          <w:color w:val="333333"/>
        </w:rPr>
        <w:t> </w:t>
      </w:r>
    </w:p>
    <w:p w:rsidR="0072322F" w:rsidRPr="00661E4C" w:rsidRDefault="0072322F" w:rsidP="00DA6CE6">
      <w:pPr>
        <w:pStyle w:val="a"/>
        <w:spacing w:before="0" w:beforeAutospacing="0" w:after="0" w:afterAutospacing="0"/>
        <w:rPr>
          <w:color w:val="333333"/>
        </w:rPr>
      </w:pPr>
      <w:r w:rsidRPr="00661E4C">
        <w:rPr>
          <w:rStyle w:val="ck"/>
          <w:color w:val="333333"/>
        </w:rPr>
        <w:t>The securities referred to in this press release</w:t>
      </w:r>
      <w:r w:rsidRPr="00661E4C">
        <w:rPr>
          <w:rStyle w:val="apple-converted-space"/>
          <w:rFonts w:eastAsiaTheme="majorEastAsia"/>
          <w:color w:val="333333"/>
        </w:rPr>
        <w:t> </w:t>
      </w:r>
      <w:r w:rsidRPr="00661E4C">
        <w:rPr>
          <w:rStyle w:val="ck"/>
          <w:color w:val="333333"/>
        </w:rPr>
        <w:t>are not intended to be sold and should not be sold to retail clients in the</w:t>
      </w:r>
      <w:r w:rsidRPr="00661E4C">
        <w:rPr>
          <w:rStyle w:val="apple-converted-space"/>
          <w:rFonts w:eastAsiaTheme="majorEastAsia"/>
          <w:color w:val="333333"/>
        </w:rPr>
        <w:t> </w:t>
      </w:r>
      <w:r w:rsidRPr="00661E4C">
        <w:rPr>
          <w:rStyle w:val="ck"/>
          <w:color w:val="333333"/>
        </w:rPr>
        <w:t xml:space="preserve">European Economic Area, as set out in </w:t>
      </w:r>
      <w:r w:rsidR="00661E4C" w:rsidRPr="00661E4C">
        <w:rPr>
          <w:rStyle w:val="ck"/>
          <w:color w:val="333333"/>
        </w:rPr>
        <w:t xml:space="preserve">the Product Intervention (Contingent Convertible Securities and Mutual Society Shares) Instrument 2015 (the “PI Instrument”) or the </w:t>
      </w:r>
      <w:r w:rsidR="00661E4C" w:rsidRPr="00661E4C">
        <w:rPr>
          <w:rStyle w:val="ck"/>
          <w:color w:val="333333"/>
        </w:rPr>
        <w:lastRenderedPageBreak/>
        <w:t>rules set out in the PI instrument (as amended or replaced from time to time, the “PI Rules”),</w:t>
      </w:r>
      <w:r w:rsidR="00661E4C" w:rsidRPr="00661E4C">
        <w:rPr>
          <w:color w:val="333333"/>
        </w:rPr>
        <w:t xml:space="preserve"> other than in accordance with the limited exemptions set out in the PI Rules.</w:t>
      </w:r>
    </w:p>
    <w:p w:rsidR="0072322F" w:rsidRPr="00661E4C" w:rsidRDefault="0072322F" w:rsidP="00DA6CE6">
      <w:pPr>
        <w:pStyle w:val="a"/>
        <w:rPr>
          <w:color w:val="333333"/>
        </w:rPr>
      </w:pPr>
      <w:r w:rsidRPr="00661E4C">
        <w:rPr>
          <w:rStyle w:val="ck"/>
          <w:i/>
          <w:iCs/>
          <w:color w:val="333333"/>
        </w:rPr>
        <w:t>Notice to U.S. persons</w:t>
      </w:r>
      <w:r w:rsidRPr="00661E4C">
        <w:rPr>
          <w:rStyle w:val="ck"/>
          <w:color w:val="333333"/>
        </w:rPr>
        <w:t>:</w:t>
      </w:r>
      <w:r w:rsidRPr="00661E4C">
        <w:rPr>
          <w:rStyle w:val="apple-converted-space"/>
          <w:rFonts w:eastAsiaTheme="majorEastAsia"/>
          <w:color w:val="333333"/>
        </w:rPr>
        <w:t> </w:t>
      </w:r>
      <w:r w:rsidRPr="00661E4C">
        <w:rPr>
          <w:rStyle w:val="ck"/>
          <w:color w:val="333333"/>
        </w:rPr>
        <w:t xml:space="preserve">The issuer has filed a registration statement (including a prospectus) with the SEC for the offering to which this communication relates. Before you invest, you should read the prospectus in the registration statement and other documents the issuer has filed with the SEC for more complete information about the issuer and this offering. You may get these documents </w:t>
      </w:r>
      <w:r w:rsidRPr="00DA6CE6">
        <w:rPr>
          <w:rStyle w:val="ck"/>
          <w:color w:val="333333"/>
        </w:rPr>
        <w:t>for free by visiting EDGAR on the SEC web site at</w:t>
      </w:r>
      <w:r w:rsidRPr="00DA6CE6">
        <w:rPr>
          <w:rStyle w:val="apple-converted-space"/>
          <w:rFonts w:eastAsiaTheme="majorEastAsia"/>
          <w:color w:val="333333"/>
        </w:rPr>
        <w:t> </w:t>
      </w:r>
      <w:hyperlink r:id="rId9" w:history="1">
        <w:r w:rsidRPr="00DA6CE6">
          <w:rPr>
            <w:rStyle w:val="Hyperlink"/>
          </w:rPr>
          <w:t>www.sec.gov</w:t>
        </w:r>
      </w:hyperlink>
      <w:r w:rsidRPr="00DA6CE6">
        <w:rPr>
          <w:rStyle w:val="ck"/>
          <w:color w:val="333333"/>
        </w:rPr>
        <w:t>.</w:t>
      </w:r>
      <w:r w:rsidRPr="00DA6CE6">
        <w:rPr>
          <w:rStyle w:val="apple-converted-space"/>
          <w:rFonts w:eastAsiaTheme="majorEastAsia"/>
          <w:color w:val="333333"/>
        </w:rPr>
        <w:t> </w:t>
      </w:r>
      <w:r w:rsidRPr="00DA6CE6">
        <w:rPr>
          <w:rStyle w:val="ck"/>
          <w:color w:val="333333"/>
        </w:rPr>
        <w:t xml:space="preserve">Alternatively, the issuer or any underwriter participating in the offering will arrange to send you the prospectus if you request it by calling RBS Securities Inc. toll-free at 1-866-884-2071, calling </w:t>
      </w:r>
      <w:r w:rsidR="00DA6CE6" w:rsidRPr="00DA6CE6">
        <w:rPr>
          <w:rStyle w:val="ck"/>
          <w:color w:val="333333"/>
        </w:rPr>
        <w:t>Citigroup toll-free at 1-800-831-9146</w:t>
      </w:r>
      <w:r w:rsidR="00661E4C" w:rsidRPr="00DA6CE6">
        <w:rPr>
          <w:rStyle w:val="ck"/>
          <w:color w:val="333333"/>
        </w:rPr>
        <w:t>, Deutsch</w:t>
      </w:r>
      <w:r w:rsidR="00DA6CE6" w:rsidRPr="00DA6CE6">
        <w:rPr>
          <w:rStyle w:val="ck"/>
          <w:color w:val="333333"/>
        </w:rPr>
        <w:t>e Bank Securities toll-free at 1-800-503-4611, J.P Morgan toll-free at 1-212-834-4533, and UBS toll-free at 1-888-827-7275.</w:t>
      </w:r>
    </w:p>
    <w:p w:rsidR="0072322F" w:rsidRPr="00661E4C" w:rsidRDefault="0072322F" w:rsidP="0072322F">
      <w:pPr>
        <w:pStyle w:val="a"/>
        <w:spacing w:before="0" w:beforeAutospacing="0" w:after="0" w:afterAutospacing="0"/>
        <w:rPr>
          <w:color w:val="333333"/>
        </w:rPr>
      </w:pPr>
      <w:r w:rsidRPr="00661E4C">
        <w:rPr>
          <w:rStyle w:val="ck"/>
          <w:i/>
          <w:iCs/>
          <w:color w:val="333333"/>
        </w:rPr>
        <w:t>Notice to U.K. persons:</w:t>
      </w:r>
      <w:r w:rsidRPr="00661E4C">
        <w:rPr>
          <w:rStyle w:val="apple-converted-space"/>
          <w:rFonts w:eastAsiaTheme="majorEastAsia"/>
          <w:color w:val="333333"/>
        </w:rPr>
        <w:t> </w:t>
      </w:r>
      <w:r w:rsidRPr="00661E4C">
        <w:rPr>
          <w:rStyle w:val="ck"/>
          <w:color w:val="333333"/>
        </w:rPr>
        <w:t>This communication has not been approved by an authorized person for the purposes of section 21 of the Financial Services and Markets Act 2000 (as amended) ("FSMA").  Accordingly, this communication is only for distribution to and directed at: (i) in the United Kingdom, persons having professional experience in matters relating to investments falling within Article 19(5) of the Financial Services and Markets Act 2000 (Financial Promotion) Order 2005 (as amended) (the "Order") and high net worth entities falling within Article 49(2)(a) to (d) of the Order; (ii) persons who are outside the United Kingdom; and (iii) any other person to whom it can otherwise be lawfully distributed (all such persons together being referred to as "Relevant Persons"). Any investment or investment activity to which this communication relates is available only to and will be engaged in only with Relevant Persons.  Persons who are not Relevant Persons should not take any action based upon this communication and should not rely on it. </w:t>
      </w:r>
    </w:p>
    <w:p w:rsidR="0072322F" w:rsidRPr="00661E4C" w:rsidRDefault="0072322F" w:rsidP="0072322F">
      <w:pPr>
        <w:pStyle w:val="a"/>
        <w:spacing w:before="0" w:beforeAutospacing="0" w:after="0" w:afterAutospacing="0"/>
        <w:rPr>
          <w:color w:val="333333"/>
        </w:rPr>
      </w:pPr>
      <w:r w:rsidRPr="00661E4C">
        <w:rPr>
          <w:rStyle w:val="ck"/>
          <w:color w:val="333333"/>
        </w:rPr>
        <w:t> </w:t>
      </w:r>
    </w:p>
    <w:p w:rsidR="0072322F" w:rsidRPr="00661E4C" w:rsidRDefault="0072322F" w:rsidP="0072322F">
      <w:pPr>
        <w:pStyle w:val="ct"/>
        <w:spacing w:before="0" w:beforeAutospacing="0" w:after="0" w:afterAutospacing="0"/>
        <w:jc w:val="both"/>
        <w:rPr>
          <w:color w:val="333333"/>
        </w:rPr>
      </w:pPr>
      <w:r w:rsidRPr="00661E4C">
        <w:rPr>
          <w:rStyle w:val="ck"/>
          <w:i/>
          <w:iCs/>
          <w:color w:val="333333"/>
        </w:rPr>
        <w:t>Other Jurisdictions Outside the United States</w:t>
      </w:r>
      <w:r w:rsidRPr="00661E4C">
        <w:rPr>
          <w:rStyle w:val="ck"/>
          <w:color w:val="333333"/>
        </w:rPr>
        <w:t>: No action may be taken in any jurisdiction other than the United States that would permit a public offering of the securities referred to in this press release or the possession, circulation or distribution of this document or the prospectus in any jurisdiction where action for that purpose is required. Accordingly, such securities may not be offered or sold, directly or indirectly, and neither this document, the prospectus nor any other offering material or advertisements in connection with such securities may be distributed or published in or from any country or jurisdiction, except under circumstances that will result in compliance with any applicable rules and regulations of any such country or jurisdiction.</w:t>
      </w:r>
    </w:p>
    <w:p w:rsidR="00FD5978" w:rsidRPr="009F5A4D" w:rsidRDefault="0072322F" w:rsidP="009F5A4D">
      <w:pPr>
        <w:pStyle w:val="a"/>
        <w:spacing w:before="0" w:beforeAutospacing="0" w:after="0" w:afterAutospacing="0"/>
        <w:rPr>
          <w:color w:val="333333"/>
        </w:rPr>
      </w:pPr>
      <w:r w:rsidRPr="00661E4C">
        <w:rPr>
          <w:rStyle w:val="ck"/>
          <w:color w:val="333333"/>
        </w:rPr>
        <w:t> </w:t>
      </w:r>
    </w:p>
    <w:sectPr w:rsidR="00FD5978" w:rsidRPr="009F5A4D" w:rsidSect="00050C51">
      <w:footerReference w:type="default" r:id="rId10"/>
      <w:footerReference w:type="first" r:id="rId11"/>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385" w:rsidRDefault="00F94385" w:rsidP="00AA4E94">
      <w:r>
        <w:separator/>
      </w:r>
    </w:p>
  </w:endnote>
  <w:endnote w:type="continuationSeparator" w:id="0">
    <w:p w:rsidR="00F94385" w:rsidRDefault="00F94385"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288" w:rsidRDefault="00845288" w:rsidP="00845288">
    <w:pPr>
      <w:pStyle w:val="Footer"/>
    </w:pPr>
  </w:p>
  <w:p w:rsidR="00845288" w:rsidRPr="003226E9" w:rsidRDefault="00845288" w:rsidP="003226E9">
    <w:pPr>
      <w:tabs>
        <w:tab w:val="right" w:pos="9420"/>
      </w:tabs>
      <w:rPr>
        <w:rFonts w:ascii="Times New Roman" w:hAnsi="Times New Roman" w:cs="Times New Roman"/>
        <w:sz w:val="15"/>
      </w:rPr>
    </w:pPr>
    <w:r w:rsidRPr="00845288">
      <w:rPr>
        <w:rFonts w:ascii="Times New Roman" w:hAnsi="Times New Roman" w:cs="Times New Roman"/>
        <w:sz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288" w:rsidRDefault="00845288" w:rsidP="00845288">
    <w:pPr>
      <w:pStyle w:val="Footer"/>
    </w:pPr>
  </w:p>
  <w:p w:rsidR="00845288" w:rsidRPr="003226E9" w:rsidRDefault="00845288" w:rsidP="003226E9">
    <w:pPr>
      <w:tabs>
        <w:tab w:val="right" w:pos="9420"/>
      </w:tabs>
      <w:rPr>
        <w:rFonts w:ascii="Times New Roman" w:hAnsi="Times New Roman" w:cs="Times New Roman"/>
        <w:sz w:val="15"/>
      </w:rPr>
    </w:pPr>
    <w:r w:rsidRPr="00845288">
      <w:rPr>
        <w:rFonts w:ascii="Times New Roman" w:hAnsi="Times New Roman" w:cs="Times New Roman"/>
        <w:sz w:val="14"/>
      </w:rPr>
      <w:fldChar w:fldCharType="begin"/>
    </w:r>
    <w:r w:rsidRPr="00845288">
      <w:rPr>
        <w:rFonts w:ascii="Times New Roman" w:hAnsi="Times New Roman" w:cs="Times New Roman"/>
        <w:sz w:val="14"/>
      </w:rPr>
      <w:instrText xml:space="preserve"> DOCPROPERTY DPWPathText \* MERGEFORMAT </w:instrText>
    </w:r>
    <w:r w:rsidRPr="00845288">
      <w:rPr>
        <w:rFonts w:ascii="Times New Roman" w:hAnsi="Times New Roman" w:cs="Times New Roman"/>
        <w:sz w:val="14"/>
      </w:rPr>
      <w:fldChar w:fldCharType="separate"/>
    </w:r>
    <w:r>
      <w:rPr>
        <w:rFonts w:ascii="Times New Roman" w:hAnsi="Times New Roman" w:cs="Times New Roman"/>
        <w:sz w:val="14"/>
      </w:rPr>
      <w:t>#21814769v1</w:t>
    </w:r>
    <w:r w:rsidRPr="00845288">
      <w:rPr>
        <w:rFonts w:ascii="Times New Roman" w:hAnsi="Times New Roman" w:cs="Times New Roman"/>
        <w:sz w:val="14"/>
      </w:rPr>
      <w:fldChar w:fldCharType="end"/>
    </w:r>
    <w:r w:rsidRPr="00845288">
      <w:rPr>
        <w:rFonts w:ascii="Times New Roman" w:hAnsi="Times New Roman" w:cs="Times New Roman"/>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385" w:rsidRDefault="00F94385" w:rsidP="00AA4E94">
      <w:r>
        <w:separator/>
      </w:r>
    </w:p>
  </w:footnote>
  <w:footnote w:type="continuationSeparator" w:id="0">
    <w:p w:rsidR="00F94385" w:rsidRDefault="00F94385" w:rsidP="00AA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2"/>
  </w:num>
  <w:num w:numId="15">
    <w:abstractNumId w:val="1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22F"/>
    <w:rsid w:val="00050C51"/>
    <w:rsid w:val="00072D44"/>
    <w:rsid w:val="000B533E"/>
    <w:rsid w:val="00116EE2"/>
    <w:rsid w:val="001A76B3"/>
    <w:rsid w:val="001D5067"/>
    <w:rsid w:val="001E2C17"/>
    <w:rsid w:val="002502E0"/>
    <w:rsid w:val="00252262"/>
    <w:rsid w:val="00286688"/>
    <w:rsid w:val="002A1F66"/>
    <w:rsid w:val="002E13A6"/>
    <w:rsid w:val="00304DEA"/>
    <w:rsid w:val="003226E9"/>
    <w:rsid w:val="00393EB8"/>
    <w:rsid w:val="00421EF2"/>
    <w:rsid w:val="00544150"/>
    <w:rsid w:val="00661E4C"/>
    <w:rsid w:val="006E252B"/>
    <w:rsid w:val="00706C86"/>
    <w:rsid w:val="0072322F"/>
    <w:rsid w:val="00752B89"/>
    <w:rsid w:val="007C7B42"/>
    <w:rsid w:val="00804F60"/>
    <w:rsid w:val="00841E4D"/>
    <w:rsid w:val="00845288"/>
    <w:rsid w:val="008639E2"/>
    <w:rsid w:val="00864E34"/>
    <w:rsid w:val="00884A01"/>
    <w:rsid w:val="00890423"/>
    <w:rsid w:val="009362ED"/>
    <w:rsid w:val="0094267A"/>
    <w:rsid w:val="00951549"/>
    <w:rsid w:val="009974C9"/>
    <w:rsid w:val="009F5A4D"/>
    <w:rsid w:val="00A062F5"/>
    <w:rsid w:val="00A26B45"/>
    <w:rsid w:val="00A85E6E"/>
    <w:rsid w:val="00AA4E94"/>
    <w:rsid w:val="00AE2CD0"/>
    <w:rsid w:val="00B55D29"/>
    <w:rsid w:val="00BA75B8"/>
    <w:rsid w:val="00BC7350"/>
    <w:rsid w:val="00BE261A"/>
    <w:rsid w:val="00BF4249"/>
    <w:rsid w:val="00C37A69"/>
    <w:rsid w:val="00C56376"/>
    <w:rsid w:val="00CB3C4E"/>
    <w:rsid w:val="00CC7B1A"/>
    <w:rsid w:val="00D9065B"/>
    <w:rsid w:val="00DA6CE6"/>
    <w:rsid w:val="00E15C7A"/>
    <w:rsid w:val="00E80952"/>
    <w:rsid w:val="00EB6573"/>
    <w:rsid w:val="00F4563A"/>
    <w:rsid w:val="00F94385"/>
    <w:rsid w:val="00FD5978"/>
    <w:rsid w:val="00FE5228"/>
    <w:rsid w:val="00FF2B96"/>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customStyle="1" w:styleId="cj">
    <w:name w:val="cj"/>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k">
    <w:name w:val="ck"/>
    <w:basedOn w:val="DefaultParagraphFont"/>
    <w:rsid w:val="0072322F"/>
  </w:style>
  <w:style w:type="paragraph" w:styleId="NormalWeb">
    <w:name w:val="Normal (Web)"/>
    <w:basedOn w:val="Normal"/>
    <w:uiPriority w:val="99"/>
    <w:semiHidden/>
    <w:unhideWhenUsed/>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
    <w:name w:val="a"/>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m">
    <w:name w:val="cm"/>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i">
    <w:name w:val="ci"/>
    <w:basedOn w:val="DefaultParagraphFont"/>
    <w:rsid w:val="0072322F"/>
  </w:style>
  <w:style w:type="character" w:customStyle="1" w:styleId="apple-converted-space">
    <w:name w:val="apple-converted-space"/>
    <w:basedOn w:val="DefaultParagraphFont"/>
    <w:rsid w:val="0072322F"/>
  </w:style>
  <w:style w:type="paragraph" w:customStyle="1" w:styleId="cn">
    <w:name w:val="cn"/>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o">
    <w:name w:val="co"/>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p">
    <w:name w:val="cp"/>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q">
    <w:name w:val="cq"/>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r">
    <w:name w:val="cr"/>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s">
    <w:name w:val="cs"/>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t">
    <w:name w:val="ct"/>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b">
    <w:name w:val="cb"/>
    <w:basedOn w:val="DefaultParagraphFont"/>
    <w:rsid w:val="0072322F"/>
  </w:style>
  <w:style w:type="character" w:styleId="Hyperlink">
    <w:name w:val="Hyperlink"/>
    <w:basedOn w:val="DefaultParagraphFont"/>
    <w:uiPriority w:val="99"/>
    <w:semiHidden/>
    <w:unhideWhenUsed/>
    <w:rsid w:val="0072322F"/>
    <w:rPr>
      <w:color w:val="0000FF"/>
      <w:u w:val="single"/>
    </w:rPr>
  </w:style>
  <w:style w:type="paragraph" w:styleId="BalloonText">
    <w:name w:val="Balloon Text"/>
    <w:basedOn w:val="Normal"/>
    <w:link w:val="BalloonTextChar"/>
    <w:uiPriority w:val="99"/>
    <w:semiHidden/>
    <w:unhideWhenUsed/>
    <w:rsid w:val="00AE2CD0"/>
    <w:rPr>
      <w:rFonts w:ascii="Tahoma" w:hAnsi="Tahoma" w:cs="Tahoma"/>
      <w:sz w:val="16"/>
      <w:szCs w:val="16"/>
    </w:rPr>
  </w:style>
  <w:style w:type="character" w:customStyle="1" w:styleId="BalloonTextChar">
    <w:name w:val="Balloon Text Char"/>
    <w:basedOn w:val="DefaultParagraphFont"/>
    <w:link w:val="BalloonText"/>
    <w:uiPriority w:val="99"/>
    <w:semiHidden/>
    <w:rsid w:val="00AE2C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customStyle="1" w:styleId="cj">
    <w:name w:val="cj"/>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k">
    <w:name w:val="ck"/>
    <w:basedOn w:val="DefaultParagraphFont"/>
    <w:rsid w:val="0072322F"/>
  </w:style>
  <w:style w:type="paragraph" w:styleId="NormalWeb">
    <w:name w:val="Normal (Web)"/>
    <w:basedOn w:val="Normal"/>
    <w:uiPriority w:val="99"/>
    <w:semiHidden/>
    <w:unhideWhenUsed/>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
    <w:name w:val="a"/>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m">
    <w:name w:val="cm"/>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i">
    <w:name w:val="ci"/>
    <w:basedOn w:val="DefaultParagraphFont"/>
    <w:rsid w:val="0072322F"/>
  </w:style>
  <w:style w:type="character" w:customStyle="1" w:styleId="apple-converted-space">
    <w:name w:val="apple-converted-space"/>
    <w:basedOn w:val="DefaultParagraphFont"/>
    <w:rsid w:val="0072322F"/>
  </w:style>
  <w:style w:type="paragraph" w:customStyle="1" w:styleId="cn">
    <w:name w:val="cn"/>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o">
    <w:name w:val="co"/>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p">
    <w:name w:val="cp"/>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q">
    <w:name w:val="cq"/>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r">
    <w:name w:val="cr"/>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s">
    <w:name w:val="cs"/>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t">
    <w:name w:val="ct"/>
    <w:basedOn w:val="Normal"/>
    <w:rsid w:val="0072322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b">
    <w:name w:val="cb"/>
    <w:basedOn w:val="DefaultParagraphFont"/>
    <w:rsid w:val="0072322F"/>
  </w:style>
  <w:style w:type="character" w:styleId="Hyperlink">
    <w:name w:val="Hyperlink"/>
    <w:basedOn w:val="DefaultParagraphFont"/>
    <w:uiPriority w:val="99"/>
    <w:semiHidden/>
    <w:unhideWhenUsed/>
    <w:rsid w:val="0072322F"/>
    <w:rPr>
      <w:color w:val="0000FF"/>
      <w:u w:val="single"/>
    </w:rPr>
  </w:style>
  <w:style w:type="paragraph" w:styleId="BalloonText">
    <w:name w:val="Balloon Text"/>
    <w:basedOn w:val="Normal"/>
    <w:link w:val="BalloonTextChar"/>
    <w:uiPriority w:val="99"/>
    <w:semiHidden/>
    <w:unhideWhenUsed/>
    <w:rsid w:val="00AE2CD0"/>
    <w:rPr>
      <w:rFonts w:ascii="Tahoma" w:hAnsi="Tahoma" w:cs="Tahoma"/>
      <w:sz w:val="16"/>
      <w:szCs w:val="16"/>
    </w:rPr>
  </w:style>
  <w:style w:type="character" w:customStyle="1" w:styleId="BalloonTextChar">
    <w:name w:val="Balloon Text Char"/>
    <w:basedOn w:val="DefaultParagraphFont"/>
    <w:link w:val="BalloonText"/>
    <w:uiPriority w:val="99"/>
    <w:semiHidden/>
    <w:rsid w:val="00AE2C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ec.gov/"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BS">
  <a:themeElements>
    <a:clrScheme name="RBS">
      <a:dk1>
        <a:sysClr val="windowText" lastClr="000000"/>
      </a:dk1>
      <a:lt1>
        <a:sysClr val="window" lastClr="FFFFFF"/>
      </a:lt1>
      <a:dk2>
        <a:srgbClr val="002469"/>
      </a:dk2>
      <a:lt2>
        <a:srgbClr val="EEECE1"/>
      </a:lt2>
      <a:accent1>
        <a:srgbClr val="5381AC"/>
      </a:accent1>
      <a:accent2>
        <a:srgbClr val="B3B3B3"/>
      </a:accent2>
      <a:accent3>
        <a:srgbClr val="3A7224"/>
      </a:accent3>
      <a:accent4>
        <a:srgbClr val="A7B739"/>
      </a:accent4>
      <a:accent5>
        <a:srgbClr val="F36F21"/>
      </a:accent5>
      <a:accent6>
        <a:srgbClr val="E8C204"/>
      </a:accent6>
      <a:hlink>
        <a:srgbClr val="5381AC"/>
      </a:hlink>
      <a:folHlink>
        <a:srgbClr val="5381AC"/>
      </a:folHlink>
    </a:clrScheme>
    <a:fontScheme name="RBS">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custClrLst>
    <a:custClr name="Accent 1 100%">
      <a:srgbClr val="5381AC"/>
    </a:custClr>
    <a:custClr name="Accent 2 100%">
      <a:srgbClr val="B3B3B3"/>
    </a:custClr>
    <a:custClr name="Accent 3 100%">
      <a:srgbClr val="3A7224"/>
    </a:custClr>
    <a:custClr name="Accent 4 100%">
      <a:srgbClr val="A7B739"/>
    </a:custClr>
    <a:custClr name="Accent 5 100%">
      <a:srgbClr val="F36F21"/>
    </a:custClr>
    <a:custClr name="Accent 6 100%">
      <a:srgbClr val="E8C204"/>
    </a:custClr>
    <a:custClr name="Red 100%">
      <a:srgbClr val="C90008"/>
    </a:custClr>
    <a:custClr name="Orange2 100%">
      <a:srgbClr val="FAA61A"/>
    </a:custClr>
    <a:custClr name="Purple 100%">
      <a:srgbClr val="820EB7"/>
    </a:custClr>
    <a:custClr name="Cyan 100%">
      <a:srgbClr val="3DB7DF"/>
    </a:custClr>
    <a:custClr name="Accent 1 75%">
      <a:srgbClr val="86A1C0"/>
    </a:custClr>
    <a:custClr name="Accent 2 75%">
      <a:srgbClr val="CAC6C2"/>
    </a:custClr>
    <a:custClr name="Accent 3 75%">
      <a:srgbClr val="6B955B"/>
    </a:custClr>
    <a:custClr name="Accent 4 75%">
      <a:srgbClr val="BDC96B"/>
    </a:custClr>
    <a:custClr name="Accent 5 75%">
      <a:srgbClr val="F69359"/>
    </a:custClr>
    <a:custClr name="Accent 6 75%">
      <a:srgbClr val="EED143"/>
    </a:custClr>
    <a:custClr name="Red 75%">
      <a:srgbClr val="D74046"/>
    </a:custClr>
    <a:custClr name="Orange2 75%">
      <a:srgbClr val="FBBC53"/>
    </a:custClr>
    <a:custClr name="Purple 75%">
      <a:srgbClr val="A14AC9"/>
    </a:custClr>
    <a:custClr name="Cyan 75%">
      <a:srgbClr val="6EC9E7"/>
    </a:custClr>
    <a:custClr name="Accent 1 50%">
      <a:srgbClr val="AFC1D5"/>
    </a:custClr>
    <a:custClr name="Accent 2 50%">
      <a:srgbClr val="DCD9D6"/>
    </a:custClr>
    <a:custClr name="Accent 3 50%">
      <a:srgbClr val="9CB891"/>
    </a:custClr>
    <a:custClr name="Accent 4 50%">
      <a:srgbClr val="D3DB9C"/>
    </a:custClr>
    <a:custClr name="Accent 5 50%">
      <a:srgbClr val="F9B790"/>
    </a:custClr>
    <a:custClr name="Accent 6 50%">
      <a:srgbClr val="F3E081"/>
    </a:custClr>
    <a:custClr name="Red 50%">
      <a:srgbClr val="E47F83"/>
    </a:custClr>
    <a:custClr name="Orange2 50%">
      <a:srgbClr val="FCD28C"/>
    </a:custClr>
    <a:custClr name="Purple 50%">
      <a:srgbClr val="C086DB"/>
    </a:custClr>
    <a:custClr name="Cyan 50%">
      <a:srgbClr val="9EDBEF"/>
    </a:custClr>
    <a:custClr name="Accent 1 25%">
      <a:srgbClr val="D7E0EA"/>
    </a:custClr>
    <a:custClr name="Accent 2 25%">
      <a:srgbClr val="EDECEB"/>
    </a:custClr>
    <a:custClr name="Accent 3 25%">
      <a:srgbClr val="CEDCC8"/>
    </a:custClr>
    <a:custClr name="Accent 4 25%">
      <a:srgbClr val="E9EDCD"/>
    </a:custClr>
    <a:custClr name="Accent 5 25%">
      <a:srgbClr val="FCDBC7"/>
    </a:custClr>
    <a:custClr name="Accent 6 25%">
      <a:srgbClr val="F9F0C0"/>
    </a:custClr>
    <a:custClr name="Red 25%">
      <a:srgbClr val="F1BFC1"/>
    </a:custClr>
    <a:custClr name="Orange2 25%">
      <a:srgbClr val="FEE9C6"/>
    </a:custClr>
    <a:custClr name="Purple 25%">
      <a:srgbClr val="E0C3ED"/>
    </a:custClr>
    <a:custClr name="Cyan 25%">
      <a:srgbClr val="CEEDF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4BAD4-6A5B-4593-9ECA-A9EEEDD9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Grewal, Bhupinder, RBS Legal</dc:creator>
  <cp:lastModifiedBy>Grewal, Bhupinder, RBS Legal</cp:lastModifiedBy>
  <cp:revision>3</cp:revision>
  <dcterms:created xsi:type="dcterms:W3CDTF">2016-08-10T16:53:00Z</dcterms:created>
  <dcterms:modified xsi:type="dcterms:W3CDTF">2016-08-10T21:22:00Z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PWPathText">
    <vt:lpwstr>#21814769v1</vt:lpwstr>
  </property>
  <property fmtid="{D5CDD505-2E9C-101B-9397-08002B2CF9AE}" pid="4" name="_AdHocReviewCycleID">
    <vt:i4>469769733</vt:i4>
  </property>
  <property fmtid="{D5CDD505-2E9C-101B-9397-08002B2CF9AE}" pid="5" name="_EmailSubject">
    <vt:lpwstr>Maracana II -- Pricing Announcement </vt:lpwstr>
  </property>
  <property fmtid="{D5CDD505-2E9C-101B-9397-08002B2CF9AE}" pid="6" name="_AuthorEmail">
    <vt:lpwstr>bhupinder.grewal2@rbs.com</vt:lpwstr>
  </property>
  <property fmtid="{D5CDD505-2E9C-101B-9397-08002B2CF9AE}" pid="7" name="_AuthorEmailDisplayName">
    <vt:lpwstr>Grewal, Bhupinder, RBS Legal</vt:lpwstr>
  </property>
  <property fmtid="{D5CDD505-2E9C-101B-9397-08002B2CF9AE}" pid="9" name="_PreviousAdHocReviewCycleID">
    <vt:i4>-962593313</vt:i4>
  </property>
</Properties>
</file>