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EF" w:rsidRPr="00E114EF" w:rsidRDefault="00E114EF" w:rsidP="00E114EF">
      <w:pPr>
        <w:rPr>
          <w:rFonts w:eastAsia="Times New Roman"/>
          <w:color w:val="333333"/>
          <w:sz w:val="17"/>
          <w:szCs w:val="17"/>
        </w:rPr>
      </w:pPr>
      <w:bookmarkStart w:id="0" w:name="_GoBack"/>
      <w:bookmarkEnd w:id="0"/>
      <w:r>
        <w:rPr>
          <w:rFonts w:eastAsia="Times New Roman"/>
          <w:noProof/>
          <w:color w:val="333333"/>
          <w:sz w:val="17"/>
          <w:szCs w:val="17"/>
        </w:rPr>
        <w:drawing>
          <wp:inline distT="0" distB="0" distL="0" distR="0" wp14:anchorId="55A6AA4A" wp14:editId="75DFAF6C">
            <wp:extent cx="2598420" cy="495300"/>
            <wp:effectExtent l="0" t="0" r="0" b="0"/>
            <wp:docPr id="1" name="Picture 1" descr="http://otp.investis.com/clients/uk/rbs/rn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http://otp.investis.com/clients/uk/rbs/rns/imag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420" cy="495300"/>
                    </a:xfrm>
                    <a:prstGeom prst="rect">
                      <a:avLst/>
                    </a:prstGeom>
                    <a:noFill/>
                    <a:ln>
                      <a:noFill/>
                    </a:ln>
                  </pic:spPr>
                </pic:pic>
              </a:graphicData>
            </a:graphic>
          </wp:inline>
        </w:drawing>
      </w:r>
    </w:p>
    <w:p w:rsidR="00DB0DD3" w:rsidRDefault="00DB0DD3" w:rsidP="00E114EF">
      <w:pPr>
        <w:rPr>
          <w:rFonts w:eastAsia="Times New Roman"/>
          <w:color w:val="333333"/>
          <w:sz w:val="17"/>
          <w:szCs w:val="17"/>
        </w:rPr>
      </w:pPr>
    </w:p>
    <w:p w:rsidR="00DB0DD3" w:rsidRPr="00E114EF" w:rsidRDefault="00DB0DD3" w:rsidP="00E114EF">
      <w:pPr>
        <w:rPr>
          <w:rFonts w:eastAsia="Times New Roman"/>
          <w:color w:val="333333"/>
          <w:sz w:val="17"/>
          <w:szCs w:val="17"/>
        </w:rPr>
      </w:pPr>
    </w:p>
    <w:p w:rsidR="00E114EF" w:rsidRPr="00E114EF" w:rsidRDefault="00A04296" w:rsidP="00E114EF">
      <w:pPr>
        <w:rPr>
          <w:rFonts w:eastAsia="Times New Roman"/>
          <w:sz w:val="17"/>
          <w:szCs w:val="17"/>
        </w:rPr>
      </w:pPr>
      <w:r>
        <w:rPr>
          <w:rFonts w:eastAsia="Times New Roman"/>
          <w:sz w:val="17"/>
          <w:szCs w:val="17"/>
        </w:rPr>
        <w:t>RNS Number</w:t>
      </w:r>
      <w:r w:rsidR="00E114EF" w:rsidRPr="00E114EF">
        <w:rPr>
          <w:rFonts w:eastAsia="Times New Roman"/>
          <w:sz w:val="17"/>
          <w:szCs w:val="17"/>
        </w:rPr>
        <w:t>: [</w:t>
      </w:r>
      <w:r w:rsidR="00E114EF" w:rsidRPr="00E114EF">
        <w:rPr>
          <w:rFonts w:eastAsia="Times New Roman"/>
          <w:sz w:val="17"/>
          <w:szCs w:val="17"/>
        </w:rPr>
        <w:sym w:font="Wingdings" w:char="F09F"/>
      </w:r>
      <w:r w:rsidR="00E114EF" w:rsidRPr="00E114EF">
        <w:rPr>
          <w:rFonts w:eastAsia="Times New Roman"/>
          <w:sz w:val="17"/>
          <w:szCs w:val="17"/>
        </w:rPr>
        <w:t>]</w:t>
      </w:r>
    </w:p>
    <w:p w:rsidR="00E114EF" w:rsidRPr="00E114EF" w:rsidRDefault="000A63D7" w:rsidP="00E114EF">
      <w:pPr>
        <w:rPr>
          <w:rFonts w:eastAsia="Times New Roman"/>
          <w:sz w:val="17"/>
          <w:szCs w:val="17"/>
        </w:rPr>
      </w:pPr>
      <w:r>
        <w:rPr>
          <w:rFonts w:eastAsia="Times New Roman"/>
          <w:sz w:val="17"/>
          <w:szCs w:val="17"/>
        </w:rPr>
        <w:t xml:space="preserve">The </w:t>
      </w:r>
      <w:r w:rsidR="00E114EF" w:rsidRPr="00E114EF">
        <w:rPr>
          <w:rFonts w:eastAsia="Times New Roman"/>
          <w:sz w:val="17"/>
          <w:szCs w:val="17"/>
        </w:rPr>
        <w:t xml:space="preserve">Royal Bank of Scotland Group </w:t>
      </w:r>
      <w:r>
        <w:rPr>
          <w:rFonts w:eastAsia="Times New Roman"/>
          <w:sz w:val="17"/>
          <w:szCs w:val="17"/>
        </w:rPr>
        <w:t>plc</w:t>
      </w:r>
    </w:p>
    <w:p w:rsidR="00E114EF" w:rsidRPr="00E114EF" w:rsidRDefault="00B22EAF" w:rsidP="00E114EF">
      <w:pPr>
        <w:rPr>
          <w:rFonts w:eastAsia="Times New Roman"/>
          <w:sz w:val="17"/>
          <w:szCs w:val="17"/>
        </w:rPr>
      </w:pPr>
      <w:r>
        <w:rPr>
          <w:rFonts w:eastAsia="Times New Roman"/>
          <w:sz w:val="17"/>
          <w:szCs w:val="17"/>
        </w:rPr>
        <w:t>5</w:t>
      </w:r>
      <w:r w:rsidR="00E114EF" w:rsidRPr="00E114EF">
        <w:rPr>
          <w:rFonts w:eastAsia="Times New Roman"/>
          <w:sz w:val="17"/>
          <w:szCs w:val="17"/>
        </w:rPr>
        <w:t xml:space="preserve"> December 2016</w:t>
      </w:r>
    </w:p>
    <w:p w:rsidR="00E114EF" w:rsidRPr="00E114EF" w:rsidRDefault="00E114EF" w:rsidP="00E114EF">
      <w:pPr>
        <w:rPr>
          <w:rFonts w:eastAsia="Times New Roman"/>
          <w:sz w:val="17"/>
          <w:szCs w:val="17"/>
        </w:rPr>
      </w:pPr>
      <w:r w:rsidRPr="00E114EF">
        <w:rPr>
          <w:rFonts w:eastAsia="Times New Roman"/>
          <w:sz w:val="17"/>
          <w:szCs w:val="17"/>
        </w:rPr>
        <w:t> </w:t>
      </w:r>
    </w:p>
    <w:p w:rsidR="00E114EF" w:rsidRPr="00DD2E47" w:rsidRDefault="00E114EF" w:rsidP="00E114EF">
      <w:pPr>
        <w:rPr>
          <w:rFonts w:ascii="Calibri" w:hAnsi="Calibri" w:cs="Calibri"/>
          <w:b/>
          <w:sz w:val="22"/>
          <w:szCs w:val="22"/>
          <w:lang w:eastAsia="en-US"/>
        </w:rPr>
      </w:pPr>
      <w:r w:rsidRPr="00DD2E47">
        <w:rPr>
          <w:rFonts w:ascii="Calibri" w:hAnsi="Calibri" w:cs="Calibri"/>
          <w:b/>
          <w:sz w:val="22"/>
          <w:szCs w:val="22"/>
          <w:lang w:eastAsia="en-US"/>
        </w:rPr>
        <w:t xml:space="preserve">RBS </w:t>
      </w:r>
      <w:r w:rsidR="000A63D7" w:rsidRPr="00DD2E47">
        <w:rPr>
          <w:rFonts w:ascii="Calibri" w:hAnsi="Calibri" w:cs="Calibri"/>
          <w:b/>
          <w:sz w:val="22"/>
          <w:szCs w:val="22"/>
          <w:lang w:eastAsia="en-US"/>
        </w:rPr>
        <w:t xml:space="preserve">Settlement </w:t>
      </w:r>
      <w:r w:rsidR="000A63D7" w:rsidRPr="00DD2E47">
        <w:rPr>
          <w:rFonts w:ascii="Calibri" w:hAnsi="Calibri" w:cs="Calibri"/>
          <w:b/>
          <w:bCs/>
          <w:sz w:val="22"/>
          <w:szCs w:val="22"/>
        </w:rPr>
        <w:t xml:space="preserve">with majority of claimants in </w:t>
      </w:r>
      <w:r w:rsidR="000A63D7" w:rsidRPr="00DD2E47">
        <w:rPr>
          <w:rFonts w:ascii="Calibri" w:hAnsi="Calibri" w:cs="Calibri"/>
          <w:b/>
          <w:sz w:val="22"/>
          <w:szCs w:val="22"/>
          <w:lang w:eastAsia="en-US"/>
        </w:rPr>
        <w:t xml:space="preserve">2008 Shareholder </w:t>
      </w:r>
      <w:r w:rsidRPr="00DD2E47">
        <w:rPr>
          <w:rFonts w:ascii="Calibri" w:hAnsi="Calibri" w:cs="Calibri"/>
          <w:b/>
          <w:sz w:val="22"/>
          <w:szCs w:val="22"/>
          <w:lang w:eastAsia="en-US"/>
        </w:rPr>
        <w:t>Rights Issue</w:t>
      </w:r>
      <w:r w:rsidR="000A63D7" w:rsidRPr="00DD2E47">
        <w:rPr>
          <w:rFonts w:ascii="Calibri" w:hAnsi="Calibri" w:cs="Calibri"/>
          <w:b/>
          <w:sz w:val="22"/>
          <w:szCs w:val="22"/>
          <w:lang w:eastAsia="en-US"/>
        </w:rPr>
        <w:t xml:space="preserve"> Litigation</w:t>
      </w:r>
    </w:p>
    <w:p w:rsidR="00E114EF" w:rsidRPr="00E114EF" w:rsidRDefault="00E114EF" w:rsidP="00E114EF">
      <w:pPr>
        <w:rPr>
          <w:lang w:eastAsia="en-US"/>
        </w:rPr>
      </w:pPr>
      <w:r w:rsidRPr="00E114EF">
        <w:rPr>
          <w:rFonts w:ascii="Calibri" w:hAnsi="Calibri" w:cs="Calibri"/>
          <w:sz w:val="22"/>
          <w:szCs w:val="22"/>
          <w:lang w:eastAsia="en-US"/>
        </w:rPr>
        <w:t> </w:t>
      </w:r>
    </w:p>
    <w:p w:rsidR="00E114EF" w:rsidRPr="00E114EF" w:rsidRDefault="00E114EF" w:rsidP="00E114EF">
      <w:pPr>
        <w:rPr>
          <w:lang w:eastAsia="en-US"/>
        </w:rPr>
      </w:pPr>
      <w:r w:rsidRPr="00E114EF">
        <w:rPr>
          <w:rFonts w:ascii="Calibri" w:hAnsi="Calibri" w:cs="Calibri"/>
          <w:sz w:val="22"/>
          <w:szCs w:val="22"/>
          <w:lang w:eastAsia="en-US"/>
        </w:rPr>
        <w:t>In order to minimise further material litigation expense and management distraction and without any admission of liability, RBS has concluded a full and final settlement with </w:t>
      </w:r>
      <w:r w:rsidR="00B22EAF">
        <w:rPr>
          <w:rFonts w:ascii="Calibri" w:hAnsi="Calibri" w:cs="Calibri"/>
          <w:sz w:val="22"/>
          <w:szCs w:val="22"/>
          <w:lang w:eastAsia="en-US"/>
        </w:rPr>
        <w:t>three</w:t>
      </w:r>
      <w:r w:rsidR="00A02CA0">
        <w:rPr>
          <w:rFonts w:ascii="Calibri" w:hAnsi="Calibri" w:cs="Calibri"/>
          <w:sz w:val="22"/>
          <w:szCs w:val="22"/>
          <w:lang w:eastAsia="en-US"/>
        </w:rPr>
        <w:t xml:space="preserve"> out of the five </w:t>
      </w:r>
      <w:r w:rsidRPr="00E114EF">
        <w:rPr>
          <w:rFonts w:ascii="Calibri" w:hAnsi="Calibri" w:cs="Calibri"/>
          <w:sz w:val="22"/>
          <w:szCs w:val="22"/>
          <w:lang w:eastAsia="en-US"/>
        </w:rPr>
        <w:t xml:space="preserve">shareholder groups representing </w:t>
      </w:r>
      <w:r w:rsidR="00B22EAF">
        <w:rPr>
          <w:rFonts w:ascii="Calibri" w:hAnsi="Calibri" w:cs="Calibri"/>
          <w:sz w:val="22"/>
          <w:szCs w:val="22"/>
          <w:lang w:eastAsia="en-US"/>
        </w:rPr>
        <w:t>77</w:t>
      </w:r>
      <w:r w:rsidRPr="00E114EF">
        <w:rPr>
          <w:rFonts w:ascii="Calibri" w:hAnsi="Calibri" w:cs="Calibri"/>
          <w:sz w:val="22"/>
          <w:szCs w:val="22"/>
          <w:lang w:eastAsia="en-US"/>
        </w:rPr>
        <w:t>% of the claims by value in the 2008 Shareholder Rights Issue litigation.</w:t>
      </w:r>
    </w:p>
    <w:p w:rsidR="00E114EF" w:rsidRPr="00E114EF" w:rsidRDefault="00E114EF" w:rsidP="00E114EF">
      <w:pPr>
        <w:rPr>
          <w:lang w:eastAsia="en-US"/>
        </w:rPr>
      </w:pPr>
      <w:r w:rsidRPr="00E114EF">
        <w:rPr>
          <w:rFonts w:ascii="Calibri" w:hAnsi="Calibri" w:cs="Calibri"/>
          <w:sz w:val="22"/>
          <w:szCs w:val="22"/>
          <w:lang w:eastAsia="en-US"/>
        </w:rPr>
        <w:t> </w:t>
      </w:r>
    </w:p>
    <w:p w:rsidR="00E114EF" w:rsidRPr="00E114EF" w:rsidRDefault="00E114EF" w:rsidP="00E114EF">
      <w:pPr>
        <w:rPr>
          <w:lang w:val="en-US" w:eastAsia="en-US"/>
        </w:rPr>
      </w:pPr>
      <w:r w:rsidRPr="00E114EF">
        <w:rPr>
          <w:rFonts w:ascii="Calibri" w:hAnsi="Calibri" w:cs="Calibri"/>
          <w:sz w:val="22"/>
          <w:szCs w:val="22"/>
          <w:lang w:eastAsia="en-US"/>
        </w:rPr>
        <w:t>In total, RBS is willing to</w:t>
      </w:r>
      <w:r w:rsidRPr="00E114EF">
        <w:rPr>
          <w:rFonts w:ascii="Calibri" w:hAnsi="Calibri" w:cs="Calibri"/>
          <w:bCs/>
          <w:sz w:val="22"/>
          <w:szCs w:val="22"/>
          <w:lang w:eastAsia="en-US"/>
        </w:rPr>
        <w:t xml:space="preserve"> </w:t>
      </w:r>
      <w:r w:rsidRPr="00E114EF">
        <w:rPr>
          <w:rFonts w:ascii="Calibri" w:hAnsi="Calibri" w:cs="Calibri"/>
          <w:sz w:val="22"/>
          <w:szCs w:val="22"/>
          <w:lang w:eastAsia="en-US"/>
        </w:rPr>
        <w:t>make available settlement sums of up to £800 million assuming settlement of all claims, to be split among all</w:t>
      </w:r>
      <w:r w:rsidR="00A02CA0">
        <w:rPr>
          <w:rFonts w:ascii="Calibri" w:hAnsi="Calibri" w:cs="Calibri"/>
          <w:sz w:val="22"/>
          <w:szCs w:val="22"/>
          <w:lang w:eastAsia="en-US"/>
        </w:rPr>
        <w:t xml:space="preserve"> five</w:t>
      </w:r>
      <w:r w:rsidRPr="00E114EF">
        <w:rPr>
          <w:rFonts w:ascii="Calibri" w:hAnsi="Calibri" w:cs="Calibri"/>
          <w:sz w:val="22"/>
          <w:szCs w:val="22"/>
          <w:lang w:eastAsia="en-US"/>
        </w:rPr>
        <w:t xml:space="preserve"> shareholder groups, subject to agreement and </w:t>
      </w:r>
      <w:r w:rsidRPr="00E114EF">
        <w:rPr>
          <w:rFonts w:ascii="Calibri" w:hAnsi="Calibri" w:cs="Calibri"/>
          <w:bCs/>
          <w:sz w:val="22"/>
          <w:szCs w:val="22"/>
          <w:lang w:eastAsia="en-US"/>
        </w:rPr>
        <w:t>claim</w:t>
      </w:r>
      <w:r w:rsidRPr="00E114EF">
        <w:rPr>
          <w:rFonts w:ascii="Calibri" w:hAnsi="Calibri" w:cs="Calibri"/>
          <w:sz w:val="22"/>
          <w:szCs w:val="22"/>
          <w:lang w:eastAsia="en-US"/>
        </w:rPr>
        <w:t xml:space="preserve"> validation. RBS will now seek to agree finalised terms with members of the remaining </w:t>
      </w:r>
      <w:r w:rsidR="00B22EAF">
        <w:rPr>
          <w:rFonts w:ascii="Calibri" w:hAnsi="Calibri" w:cs="Calibri"/>
          <w:sz w:val="22"/>
          <w:szCs w:val="22"/>
          <w:lang w:eastAsia="en-US"/>
        </w:rPr>
        <w:t>two</w:t>
      </w:r>
      <w:r w:rsidRPr="00E114EF">
        <w:rPr>
          <w:rFonts w:ascii="Calibri" w:hAnsi="Calibri" w:cs="Calibri"/>
          <w:sz w:val="22"/>
          <w:szCs w:val="22"/>
          <w:lang w:eastAsia="en-US"/>
        </w:rPr>
        <w:t xml:space="preserve"> groups whose claims are presently continuing.  Any claims for which settlement is not achieved will, however, continue to be vigorously defended. The trial </w:t>
      </w:r>
      <w:r w:rsidRPr="00E114EF">
        <w:rPr>
          <w:rFonts w:ascii="Calibri" w:hAnsi="Calibri" w:cs="Calibri"/>
          <w:bCs/>
          <w:sz w:val="22"/>
          <w:szCs w:val="22"/>
          <w:lang w:eastAsia="en-US"/>
        </w:rPr>
        <w:t xml:space="preserve">for such claims </w:t>
      </w:r>
      <w:r w:rsidRPr="00E114EF">
        <w:rPr>
          <w:rFonts w:ascii="Calibri" w:hAnsi="Calibri" w:cs="Calibri"/>
          <w:sz w:val="22"/>
          <w:szCs w:val="22"/>
          <w:lang w:eastAsia="en-US"/>
        </w:rPr>
        <w:t>is due to commence in March 2017.</w:t>
      </w:r>
    </w:p>
    <w:p w:rsidR="00E114EF" w:rsidRPr="00E114EF" w:rsidRDefault="00E114EF" w:rsidP="00E114EF">
      <w:pPr>
        <w:rPr>
          <w:lang w:eastAsia="en-US"/>
        </w:rPr>
      </w:pPr>
      <w:r w:rsidRPr="00E114EF">
        <w:rPr>
          <w:rFonts w:ascii="Calibri" w:hAnsi="Calibri" w:cs="Calibri"/>
          <w:sz w:val="22"/>
          <w:szCs w:val="22"/>
          <w:lang w:eastAsia="en-US"/>
        </w:rPr>
        <w:t> </w:t>
      </w:r>
    </w:p>
    <w:p w:rsidR="00653C54" w:rsidRDefault="00653C54" w:rsidP="00653C54">
      <w:pPr>
        <w:rPr>
          <w:rFonts w:ascii="Calibri" w:hAnsi="Calibri" w:cs="Calibri"/>
          <w:i/>
          <w:iCs/>
          <w:sz w:val="22"/>
          <w:szCs w:val="22"/>
        </w:rPr>
      </w:pPr>
      <w:r>
        <w:rPr>
          <w:rFonts w:ascii="Calibri" w:hAnsi="Calibri" w:cs="Calibri"/>
          <w:i/>
          <w:iCs/>
          <w:sz w:val="22"/>
          <w:szCs w:val="22"/>
        </w:rPr>
        <w:t xml:space="preserve">Ross </w:t>
      </w:r>
      <w:r w:rsidRPr="00F57980">
        <w:rPr>
          <w:rFonts w:ascii="Calibri" w:hAnsi="Calibri" w:cs="Calibri"/>
          <w:i/>
          <w:iCs/>
          <w:color w:val="000000" w:themeColor="text1"/>
          <w:sz w:val="22"/>
          <w:szCs w:val="22"/>
        </w:rPr>
        <w:t xml:space="preserve">McEwan, CEO of RBS said:  "We have been very clear that we wanted to deal with as many of our legacy litigation issues as possible during 2015 and 2016. We are pleased to have reached this agreement </w:t>
      </w:r>
      <w:r w:rsidR="00A02CA0" w:rsidRPr="00F57980">
        <w:rPr>
          <w:rFonts w:ascii="Calibri" w:hAnsi="Calibri" w:cs="Calibri"/>
          <w:i/>
          <w:iCs/>
          <w:color w:val="000000" w:themeColor="text1"/>
          <w:sz w:val="22"/>
          <w:szCs w:val="22"/>
        </w:rPr>
        <w:t xml:space="preserve">and </w:t>
      </w:r>
      <w:r>
        <w:rPr>
          <w:rFonts w:ascii="Calibri" w:hAnsi="Calibri" w:cs="Calibri"/>
          <w:i/>
          <w:iCs/>
          <w:sz w:val="22"/>
          <w:szCs w:val="22"/>
        </w:rPr>
        <w:t xml:space="preserve">hope that it will be accepted by the remaining claimant group(s) so that this long course of complex and costly litigation can now be concluded.”  </w:t>
      </w:r>
    </w:p>
    <w:p w:rsidR="00E114EF" w:rsidRPr="00E114EF" w:rsidRDefault="00E114EF" w:rsidP="00E114EF">
      <w:pPr>
        <w:rPr>
          <w:lang w:eastAsia="en-US"/>
        </w:rPr>
      </w:pPr>
      <w:r w:rsidRPr="00E114EF">
        <w:rPr>
          <w:rFonts w:ascii="Calibri" w:hAnsi="Calibri" w:cs="Calibri"/>
          <w:sz w:val="22"/>
          <w:szCs w:val="22"/>
          <w:lang w:eastAsia="en-US"/>
        </w:rPr>
        <w:t> </w:t>
      </w:r>
    </w:p>
    <w:p w:rsidR="00E114EF" w:rsidRDefault="00E114EF" w:rsidP="00E114EF">
      <w:pPr>
        <w:rPr>
          <w:lang w:val="en-US" w:eastAsia="en-US"/>
        </w:rPr>
      </w:pPr>
      <w:r w:rsidRPr="00E114EF">
        <w:rPr>
          <w:rFonts w:ascii="Calibri" w:hAnsi="Calibri" w:cs="Calibri"/>
          <w:sz w:val="22"/>
          <w:szCs w:val="22"/>
          <w:lang w:eastAsia="en-US"/>
        </w:rPr>
        <w:t xml:space="preserve">The total </w:t>
      </w:r>
      <w:r w:rsidRPr="00653C54">
        <w:rPr>
          <w:rFonts w:ascii="Calibri" w:hAnsi="Calibri" w:cs="Calibri"/>
          <w:color w:val="000000" w:themeColor="text1"/>
          <w:sz w:val="22"/>
          <w:szCs w:val="22"/>
          <w:lang w:eastAsia="en-US"/>
        </w:rPr>
        <w:t xml:space="preserve">settlement amount of </w:t>
      </w:r>
      <w:r w:rsidRPr="00653C54">
        <w:rPr>
          <w:rFonts w:ascii="Calibri" w:hAnsi="Calibri" w:cs="Calibri"/>
          <w:bCs/>
          <w:color w:val="000000" w:themeColor="text1"/>
          <w:sz w:val="22"/>
          <w:szCs w:val="22"/>
          <w:lang w:eastAsia="en-US"/>
        </w:rPr>
        <w:t xml:space="preserve">up to </w:t>
      </w:r>
      <w:r w:rsidRPr="00653C54">
        <w:rPr>
          <w:rFonts w:ascii="Calibri" w:hAnsi="Calibri" w:cs="Calibri"/>
          <w:color w:val="000000" w:themeColor="text1"/>
          <w:sz w:val="22"/>
          <w:szCs w:val="22"/>
          <w:lang w:eastAsia="en-US"/>
        </w:rPr>
        <w:t>£800</w:t>
      </w:r>
      <w:r w:rsidR="0059099A">
        <w:rPr>
          <w:rFonts w:ascii="Calibri" w:hAnsi="Calibri" w:cs="Calibri"/>
          <w:color w:val="000000" w:themeColor="text1"/>
          <w:sz w:val="22"/>
          <w:szCs w:val="22"/>
          <w:lang w:eastAsia="en-US"/>
        </w:rPr>
        <w:t xml:space="preserve"> </w:t>
      </w:r>
      <w:r w:rsidRPr="00653C54">
        <w:rPr>
          <w:rFonts w:ascii="Calibri" w:hAnsi="Calibri" w:cs="Calibri"/>
          <w:color w:val="000000" w:themeColor="text1"/>
          <w:sz w:val="22"/>
          <w:szCs w:val="22"/>
          <w:lang w:eastAsia="en-US"/>
        </w:rPr>
        <w:t>m</w:t>
      </w:r>
      <w:r w:rsidR="0059099A">
        <w:rPr>
          <w:rFonts w:ascii="Calibri" w:hAnsi="Calibri" w:cs="Calibri"/>
          <w:color w:val="000000" w:themeColor="text1"/>
          <w:sz w:val="22"/>
          <w:szCs w:val="22"/>
          <w:lang w:eastAsia="en-US"/>
        </w:rPr>
        <w:t>illion</w:t>
      </w:r>
      <w:r w:rsidRPr="00653C54">
        <w:rPr>
          <w:rFonts w:ascii="Calibri" w:hAnsi="Calibri" w:cs="Calibri"/>
          <w:color w:val="000000" w:themeColor="text1"/>
          <w:sz w:val="22"/>
          <w:szCs w:val="22"/>
          <w:lang w:eastAsia="en-US"/>
        </w:rPr>
        <w:t xml:space="preserve"> is covered by existing provisions.</w:t>
      </w:r>
    </w:p>
    <w:p w:rsidR="00E114EF" w:rsidRDefault="00E114EF" w:rsidP="00E114EF">
      <w:pPr>
        <w:rPr>
          <w:color w:val="002469"/>
        </w:rPr>
      </w:pPr>
    </w:p>
    <w:p w:rsidR="00E114EF" w:rsidRPr="00F57980" w:rsidRDefault="00E114EF" w:rsidP="00E114EF">
      <w:pPr>
        <w:rPr>
          <w:rFonts w:ascii="Calibri" w:hAnsi="Calibri" w:cs="Calibri"/>
          <w:sz w:val="18"/>
          <w:szCs w:val="18"/>
        </w:rPr>
      </w:pPr>
      <w:r w:rsidRPr="00F57980">
        <w:rPr>
          <w:rFonts w:ascii="Calibri" w:hAnsi="Calibri" w:cs="Calibri"/>
          <w:sz w:val="18"/>
          <w:szCs w:val="18"/>
        </w:rPr>
        <w:t>For further information contact:</w:t>
      </w:r>
    </w:p>
    <w:p w:rsidR="00E114EF" w:rsidRPr="00F57980" w:rsidRDefault="00E114EF" w:rsidP="00E114EF">
      <w:pPr>
        <w:rPr>
          <w:rFonts w:ascii="Calibri" w:hAnsi="Calibri" w:cs="Calibri"/>
          <w:sz w:val="18"/>
          <w:szCs w:val="18"/>
        </w:rPr>
      </w:pPr>
      <w:r w:rsidRPr="00F57980">
        <w:rPr>
          <w:rFonts w:ascii="Calibri" w:hAnsi="Calibri" w:cs="Calibri"/>
          <w:sz w:val="18"/>
          <w:szCs w:val="18"/>
        </w:rPr>
        <w:br/>
        <w:t>RBS Investor Relations</w:t>
      </w:r>
      <w:r w:rsidRPr="00F57980">
        <w:rPr>
          <w:rFonts w:ascii="Calibri" w:hAnsi="Calibri" w:cs="Calibri"/>
          <w:sz w:val="18"/>
          <w:szCs w:val="18"/>
        </w:rPr>
        <w:br/>
        <w:t>Alexander Holcroft</w:t>
      </w:r>
      <w:r w:rsidRPr="00F57980">
        <w:rPr>
          <w:rFonts w:ascii="Calibri" w:hAnsi="Calibri" w:cs="Calibri"/>
          <w:sz w:val="18"/>
          <w:szCs w:val="18"/>
        </w:rPr>
        <w:br/>
        <w:t>Head of Equity Investor Relations</w:t>
      </w:r>
      <w:r w:rsidRPr="00F57980">
        <w:rPr>
          <w:rFonts w:ascii="Calibri" w:hAnsi="Calibri" w:cs="Calibri"/>
          <w:sz w:val="18"/>
          <w:szCs w:val="18"/>
        </w:rPr>
        <w:br/>
        <w:t>+44 20 7672 1758</w:t>
      </w:r>
      <w:r w:rsidRPr="00F57980">
        <w:rPr>
          <w:rFonts w:ascii="Calibri" w:hAnsi="Calibri" w:cs="Calibri"/>
          <w:sz w:val="18"/>
          <w:szCs w:val="18"/>
        </w:rPr>
        <w:br/>
      </w:r>
      <w:r w:rsidRPr="00F57980">
        <w:rPr>
          <w:rFonts w:ascii="Calibri" w:hAnsi="Calibri" w:cs="Calibri"/>
          <w:sz w:val="18"/>
          <w:szCs w:val="18"/>
        </w:rPr>
        <w:br/>
        <w:t>Matthew Richardson</w:t>
      </w:r>
      <w:r w:rsidRPr="00F57980">
        <w:rPr>
          <w:rFonts w:ascii="Calibri" w:hAnsi="Calibri" w:cs="Calibri"/>
          <w:sz w:val="18"/>
          <w:szCs w:val="18"/>
        </w:rPr>
        <w:br/>
        <w:t>Head of Fixed Income Investor Relations</w:t>
      </w:r>
      <w:r w:rsidRPr="00F57980">
        <w:rPr>
          <w:rFonts w:ascii="Calibri" w:hAnsi="Calibri" w:cs="Calibri"/>
          <w:sz w:val="18"/>
          <w:szCs w:val="18"/>
        </w:rPr>
        <w:br/>
        <w:t>+44 20 7678 1800</w:t>
      </w:r>
      <w:r w:rsidRPr="00F57980">
        <w:rPr>
          <w:rFonts w:ascii="Calibri" w:hAnsi="Calibri" w:cs="Calibri"/>
          <w:sz w:val="18"/>
          <w:szCs w:val="18"/>
        </w:rPr>
        <w:br/>
      </w:r>
      <w:r w:rsidRPr="00F57980">
        <w:rPr>
          <w:rFonts w:ascii="Calibri" w:hAnsi="Calibri" w:cs="Calibri"/>
          <w:sz w:val="18"/>
          <w:szCs w:val="18"/>
        </w:rPr>
        <w:br/>
        <w:t>RBS Media Relations</w:t>
      </w:r>
      <w:r w:rsidRPr="00F57980">
        <w:rPr>
          <w:rFonts w:ascii="Calibri" w:hAnsi="Calibri" w:cs="Calibri"/>
          <w:sz w:val="18"/>
          <w:szCs w:val="18"/>
        </w:rPr>
        <w:br/>
        <w:t>+44 131 523 4205</w:t>
      </w:r>
    </w:p>
    <w:p w:rsidR="00E114EF" w:rsidRPr="00E114EF" w:rsidRDefault="00E114EF" w:rsidP="00E114EF">
      <w:r w:rsidRPr="00E114EF">
        <w:t> </w:t>
      </w:r>
    </w:p>
    <w:p w:rsidR="00E114EF" w:rsidRPr="00E114EF" w:rsidRDefault="00E114EF" w:rsidP="00E114EF">
      <w:pPr>
        <w:rPr>
          <w:b/>
          <w:i/>
          <w:sz w:val="16"/>
          <w:szCs w:val="16"/>
        </w:rPr>
      </w:pPr>
      <w:r w:rsidRPr="00E114EF">
        <w:rPr>
          <w:b/>
          <w:i/>
          <w:sz w:val="16"/>
          <w:szCs w:val="16"/>
        </w:rPr>
        <w:t>Forward-looking statements</w:t>
      </w:r>
    </w:p>
    <w:p w:rsidR="00FD5978" w:rsidRPr="00E114EF" w:rsidRDefault="00E114EF" w:rsidP="00BF4249">
      <w:pPr>
        <w:rPr>
          <w:i/>
          <w:sz w:val="16"/>
          <w:szCs w:val="16"/>
        </w:rPr>
      </w:pPr>
      <w:r w:rsidRPr="00E114EF">
        <w:rPr>
          <w:i/>
          <w:sz w:val="16"/>
          <w:szCs w:val="16"/>
        </w:rPr>
        <w:t>This announcement contains forward-looking statements within the meaning of the United States Private Securities Litigation Reform Act of 1995, including those related to RBS and its subsidiaries' regulatory capital position and requirements, financial position, future pension funding requirements, on-going litigation and regulatory investigations, profitability, impairment losses 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sectPr w:rsidR="00FD5978" w:rsidRPr="00E114EF"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4EF" w:rsidRDefault="00E114EF" w:rsidP="00AA4E94">
      <w:r>
        <w:separator/>
      </w:r>
    </w:p>
  </w:endnote>
  <w:endnote w:type="continuationSeparator" w:id="0">
    <w:p w:rsidR="00E114EF" w:rsidRDefault="00E114EF"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4EF" w:rsidRDefault="00E114EF" w:rsidP="00AA4E94">
      <w:r>
        <w:separator/>
      </w:r>
    </w:p>
  </w:footnote>
  <w:footnote w:type="continuationSeparator" w:id="0">
    <w:p w:rsidR="00E114EF" w:rsidRDefault="00E114EF"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4EF"/>
    <w:rsid w:val="00050C51"/>
    <w:rsid w:val="00072D44"/>
    <w:rsid w:val="000A63D7"/>
    <w:rsid w:val="000B3E65"/>
    <w:rsid w:val="00116EE2"/>
    <w:rsid w:val="001A76B3"/>
    <w:rsid w:val="001D1699"/>
    <w:rsid w:val="001D5067"/>
    <w:rsid w:val="001E2C17"/>
    <w:rsid w:val="001F2EC9"/>
    <w:rsid w:val="002502E0"/>
    <w:rsid w:val="002A1F66"/>
    <w:rsid w:val="002E13A6"/>
    <w:rsid w:val="00304DEA"/>
    <w:rsid w:val="003A13B9"/>
    <w:rsid w:val="004D6B73"/>
    <w:rsid w:val="00544150"/>
    <w:rsid w:val="0059099A"/>
    <w:rsid w:val="00653C54"/>
    <w:rsid w:val="00654664"/>
    <w:rsid w:val="006E252B"/>
    <w:rsid w:val="006E4102"/>
    <w:rsid w:val="006F37AD"/>
    <w:rsid w:val="00752B89"/>
    <w:rsid w:val="00761665"/>
    <w:rsid w:val="007B11BD"/>
    <w:rsid w:val="00804F60"/>
    <w:rsid w:val="00805E89"/>
    <w:rsid w:val="00841E4D"/>
    <w:rsid w:val="00864E34"/>
    <w:rsid w:val="00884A01"/>
    <w:rsid w:val="00890423"/>
    <w:rsid w:val="00924F09"/>
    <w:rsid w:val="009362ED"/>
    <w:rsid w:val="00951549"/>
    <w:rsid w:val="00953704"/>
    <w:rsid w:val="009850EC"/>
    <w:rsid w:val="009974C9"/>
    <w:rsid w:val="00A02CA0"/>
    <w:rsid w:val="00A04296"/>
    <w:rsid w:val="00A26B45"/>
    <w:rsid w:val="00A85E6E"/>
    <w:rsid w:val="00A8695B"/>
    <w:rsid w:val="00AA4E94"/>
    <w:rsid w:val="00B22EAF"/>
    <w:rsid w:val="00B55D29"/>
    <w:rsid w:val="00BA75B8"/>
    <w:rsid w:val="00BC7350"/>
    <w:rsid w:val="00BD2B7A"/>
    <w:rsid w:val="00BE261A"/>
    <w:rsid w:val="00BF4249"/>
    <w:rsid w:val="00C032E4"/>
    <w:rsid w:val="00C06EAA"/>
    <w:rsid w:val="00C37A69"/>
    <w:rsid w:val="00C41080"/>
    <w:rsid w:val="00C56376"/>
    <w:rsid w:val="00CB3C4E"/>
    <w:rsid w:val="00CC7B1A"/>
    <w:rsid w:val="00DB0DD3"/>
    <w:rsid w:val="00DD2E47"/>
    <w:rsid w:val="00DE5894"/>
    <w:rsid w:val="00E114EF"/>
    <w:rsid w:val="00E15C7A"/>
    <w:rsid w:val="00E66150"/>
    <w:rsid w:val="00E80952"/>
    <w:rsid w:val="00EB6573"/>
    <w:rsid w:val="00F53556"/>
    <w:rsid w:val="00F55EC4"/>
    <w:rsid w:val="00F57980"/>
    <w:rsid w:val="00FB7CEC"/>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114EF"/>
    <w:pPr>
      <w:spacing w:after="0" w:line="240" w:lineRule="auto"/>
    </w:pPr>
    <w:rPr>
      <w:rFonts w:ascii="Arial" w:hAnsi="Arial" w:cs="Arial"/>
      <w:sz w:val="20"/>
      <w:szCs w:val="20"/>
      <w:lang w:eastAsia="en-GB"/>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styleId="BalloonText">
    <w:name w:val="Balloon Text"/>
    <w:basedOn w:val="Normal"/>
    <w:link w:val="BalloonTextChar"/>
    <w:uiPriority w:val="99"/>
    <w:semiHidden/>
    <w:unhideWhenUsed/>
    <w:rsid w:val="00E114EF"/>
    <w:rPr>
      <w:rFonts w:ascii="Tahoma" w:hAnsi="Tahoma" w:cs="Tahoma"/>
      <w:sz w:val="16"/>
      <w:szCs w:val="16"/>
    </w:rPr>
  </w:style>
  <w:style w:type="character" w:customStyle="1" w:styleId="BalloonTextChar">
    <w:name w:val="Balloon Text Char"/>
    <w:basedOn w:val="DefaultParagraphFont"/>
    <w:link w:val="BalloonText"/>
    <w:uiPriority w:val="99"/>
    <w:semiHidden/>
    <w:rsid w:val="00E114EF"/>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114EF"/>
    <w:pPr>
      <w:spacing w:after="0" w:line="240" w:lineRule="auto"/>
    </w:pPr>
    <w:rPr>
      <w:rFonts w:ascii="Arial" w:hAnsi="Arial" w:cs="Arial"/>
      <w:sz w:val="20"/>
      <w:szCs w:val="20"/>
      <w:lang w:eastAsia="en-GB"/>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styleId="BalloonText">
    <w:name w:val="Balloon Text"/>
    <w:basedOn w:val="Normal"/>
    <w:link w:val="BalloonTextChar"/>
    <w:uiPriority w:val="99"/>
    <w:semiHidden/>
    <w:unhideWhenUsed/>
    <w:rsid w:val="00E114EF"/>
    <w:rPr>
      <w:rFonts w:ascii="Tahoma" w:hAnsi="Tahoma" w:cs="Tahoma"/>
      <w:sz w:val="16"/>
      <w:szCs w:val="16"/>
    </w:rPr>
  </w:style>
  <w:style w:type="character" w:customStyle="1" w:styleId="BalloonTextChar">
    <w:name w:val="Balloon Text Char"/>
    <w:basedOn w:val="DefaultParagraphFont"/>
    <w:link w:val="BalloonText"/>
    <w:uiPriority w:val="99"/>
    <w:semiHidden/>
    <w:rsid w:val="00E114EF"/>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51518">
      <w:bodyDiv w:val="1"/>
      <w:marLeft w:val="0"/>
      <w:marRight w:val="0"/>
      <w:marTop w:val="0"/>
      <w:marBottom w:val="0"/>
      <w:divBdr>
        <w:top w:val="none" w:sz="0" w:space="0" w:color="auto"/>
        <w:left w:val="none" w:sz="0" w:space="0" w:color="auto"/>
        <w:bottom w:val="none" w:sz="0" w:space="0" w:color="auto"/>
        <w:right w:val="none" w:sz="0" w:space="0" w:color="auto"/>
      </w:divBdr>
    </w:div>
    <w:div w:id="1002467301">
      <w:bodyDiv w:val="1"/>
      <w:marLeft w:val="0"/>
      <w:marRight w:val="0"/>
      <w:marTop w:val="0"/>
      <w:marBottom w:val="0"/>
      <w:divBdr>
        <w:top w:val="none" w:sz="0" w:space="0" w:color="auto"/>
        <w:left w:val="none" w:sz="0" w:space="0" w:color="auto"/>
        <w:bottom w:val="none" w:sz="0" w:space="0" w:color="auto"/>
        <w:right w:val="none" w:sz="0" w:space="0" w:color="auto"/>
      </w:divBdr>
      <w:divsChild>
        <w:div w:id="997273014">
          <w:marLeft w:val="0"/>
          <w:marRight w:val="0"/>
          <w:marTop w:val="0"/>
          <w:marBottom w:val="0"/>
          <w:divBdr>
            <w:top w:val="none" w:sz="0" w:space="0" w:color="auto"/>
            <w:left w:val="none" w:sz="0" w:space="0" w:color="auto"/>
            <w:bottom w:val="none" w:sz="0" w:space="0" w:color="auto"/>
            <w:right w:val="none" w:sz="0" w:space="0" w:color="auto"/>
          </w:divBdr>
          <w:divsChild>
            <w:div w:id="1741950311">
              <w:marLeft w:val="0"/>
              <w:marRight w:val="0"/>
              <w:marTop w:val="0"/>
              <w:marBottom w:val="150"/>
              <w:divBdr>
                <w:top w:val="none" w:sz="0" w:space="0" w:color="auto"/>
                <w:left w:val="none" w:sz="0" w:space="0" w:color="auto"/>
                <w:bottom w:val="single" w:sz="6" w:space="0" w:color="CCCCCC"/>
                <w:right w:val="none" w:sz="0" w:space="0" w:color="auto"/>
              </w:divBdr>
              <w:divsChild>
                <w:div w:id="214509653">
                  <w:marLeft w:val="0"/>
                  <w:marRight w:val="0"/>
                  <w:marTop w:val="0"/>
                  <w:marBottom w:val="0"/>
                  <w:divBdr>
                    <w:top w:val="none" w:sz="0" w:space="0" w:color="auto"/>
                    <w:left w:val="none" w:sz="0" w:space="0" w:color="auto"/>
                    <w:bottom w:val="none" w:sz="0" w:space="0" w:color="auto"/>
                    <w:right w:val="none" w:sz="0" w:space="0" w:color="auto"/>
                  </w:divBdr>
                  <w:divsChild>
                    <w:div w:id="14927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4637">
      <w:bodyDiv w:val="1"/>
      <w:marLeft w:val="0"/>
      <w:marRight w:val="0"/>
      <w:marTop w:val="0"/>
      <w:marBottom w:val="0"/>
      <w:divBdr>
        <w:top w:val="none" w:sz="0" w:space="0" w:color="auto"/>
        <w:left w:val="none" w:sz="0" w:space="0" w:color="auto"/>
        <w:bottom w:val="none" w:sz="0" w:space="0" w:color="auto"/>
        <w:right w:val="none" w:sz="0" w:space="0" w:color="auto"/>
      </w:divBdr>
      <w:divsChild>
        <w:div w:id="1682124011">
          <w:marLeft w:val="0"/>
          <w:marRight w:val="0"/>
          <w:marTop w:val="0"/>
          <w:marBottom w:val="0"/>
          <w:divBdr>
            <w:top w:val="none" w:sz="0" w:space="0" w:color="auto"/>
            <w:left w:val="none" w:sz="0" w:space="0" w:color="auto"/>
            <w:bottom w:val="none" w:sz="0" w:space="0" w:color="auto"/>
            <w:right w:val="none" w:sz="0" w:space="0" w:color="auto"/>
          </w:divBdr>
          <w:divsChild>
            <w:div w:id="990907305">
              <w:marLeft w:val="0"/>
              <w:marRight w:val="0"/>
              <w:marTop w:val="0"/>
              <w:marBottom w:val="150"/>
              <w:divBdr>
                <w:top w:val="none" w:sz="0" w:space="0" w:color="auto"/>
                <w:left w:val="none" w:sz="0" w:space="0" w:color="auto"/>
                <w:bottom w:val="single" w:sz="6" w:space="0" w:color="CCCCCC"/>
                <w:right w:val="none" w:sz="0" w:space="0" w:color="auto"/>
              </w:divBdr>
              <w:divsChild>
                <w:div w:id="1916469951">
                  <w:marLeft w:val="0"/>
                  <w:marRight w:val="0"/>
                  <w:marTop w:val="0"/>
                  <w:marBottom w:val="0"/>
                  <w:divBdr>
                    <w:top w:val="none" w:sz="0" w:space="0" w:color="auto"/>
                    <w:left w:val="none" w:sz="0" w:space="0" w:color="auto"/>
                    <w:bottom w:val="none" w:sz="0" w:space="0" w:color="auto"/>
                    <w:right w:val="none" w:sz="0" w:space="0" w:color="auto"/>
                  </w:divBdr>
                </w:div>
                <w:div w:id="1410927599">
                  <w:marLeft w:val="0"/>
                  <w:marRight w:val="0"/>
                  <w:marTop w:val="0"/>
                  <w:marBottom w:val="0"/>
                  <w:divBdr>
                    <w:top w:val="none" w:sz="0" w:space="0" w:color="auto"/>
                    <w:left w:val="none" w:sz="0" w:space="0" w:color="auto"/>
                    <w:bottom w:val="none" w:sz="0" w:space="0" w:color="auto"/>
                    <w:right w:val="none" w:sz="0" w:space="0" w:color="auto"/>
                  </w:divBdr>
                </w:div>
                <w:div w:id="1675568940">
                  <w:marLeft w:val="0"/>
                  <w:marRight w:val="0"/>
                  <w:marTop w:val="0"/>
                  <w:marBottom w:val="0"/>
                  <w:divBdr>
                    <w:top w:val="none" w:sz="0" w:space="0" w:color="auto"/>
                    <w:left w:val="none" w:sz="0" w:space="0" w:color="auto"/>
                    <w:bottom w:val="none" w:sz="0" w:space="0" w:color="auto"/>
                    <w:right w:val="none" w:sz="0" w:space="0" w:color="auto"/>
                  </w:divBdr>
                </w:div>
                <w:div w:id="1289898764">
                  <w:marLeft w:val="0"/>
                  <w:marRight w:val="0"/>
                  <w:marTop w:val="0"/>
                  <w:marBottom w:val="0"/>
                  <w:divBdr>
                    <w:top w:val="none" w:sz="0" w:space="0" w:color="auto"/>
                    <w:left w:val="none" w:sz="0" w:space="0" w:color="auto"/>
                    <w:bottom w:val="none" w:sz="0" w:space="0" w:color="auto"/>
                    <w:right w:val="none" w:sz="0" w:space="0" w:color="auto"/>
                  </w:divBdr>
                </w:div>
                <w:div w:id="58550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7743">
      <w:bodyDiv w:val="1"/>
      <w:marLeft w:val="0"/>
      <w:marRight w:val="0"/>
      <w:marTop w:val="0"/>
      <w:marBottom w:val="0"/>
      <w:divBdr>
        <w:top w:val="none" w:sz="0" w:space="0" w:color="auto"/>
        <w:left w:val="none" w:sz="0" w:space="0" w:color="auto"/>
        <w:bottom w:val="none" w:sz="0" w:space="0" w:color="auto"/>
        <w:right w:val="none" w:sz="0" w:space="0" w:color="auto"/>
      </w:divBdr>
      <w:divsChild>
        <w:div w:id="915432361">
          <w:marLeft w:val="0"/>
          <w:marRight w:val="0"/>
          <w:marTop w:val="0"/>
          <w:marBottom w:val="0"/>
          <w:divBdr>
            <w:top w:val="none" w:sz="0" w:space="0" w:color="auto"/>
            <w:left w:val="none" w:sz="0" w:space="0" w:color="auto"/>
            <w:bottom w:val="none" w:sz="0" w:space="0" w:color="auto"/>
            <w:right w:val="none" w:sz="0" w:space="0" w:color="auto"/>
          </w:divBdr>
          <w:divsChild>
            <w:div w:id="1610313050">
              <w:marLeft w:val="0"/>
              <w:marRight w:val="0"/>
              <w:marTop w:val="0"/>
              <w:marBottom w:val="150"/>
              <w:divBdr>
                <w:top w:val="none" w:sz="0" w:space="0" w:color="auto"/>
                <w:left w:val="none" w:sz="0" w:space="0" w:color="auto"/>
                <w:bottom w:val="single" w:sz="6" w:space="0" w:color="CCCCCC"/>
                <w:right w:val="none" w:sz="0" w:space="0" w:color="auto"/>
              </w:divBdr>
              <w:divsChild>
                <w:div w:id="812982887">
                  <w:marLeft w:val="0"/>
                  <w:marRight w:val="0"/>
                  <w:marTop w:val="0"/>
                  <w:marBottom w:val="0"/>
                  <w:divBdr>
                    <w:top w:val="none" w:sz="0" w:space="0" w:color="auto"/>
                    <w:left w:val="none" w:sz="0" w:space="0" w:color="auto"/>
                    <w:bottom w:val="none" w:sz="0" w:space="0" w:color="auto"/>
                    <w:right w:val="none" w:sz="0" w:space="0" w:color="auto"/>
                  </w:divBdr>
                  <w:divsChild>
                    <w:div w:id="17846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Fiona, RBS Treasury</dc:creator>
  <cp:lastModifiedBy>Stevens</cp:lastModifiedBy>
  <cp:revision>4</cp:revision>
  <cp:lastPrinted>2016-11-29T11:44:00Z</cp:lastPrinted>
  <dcterms:created xsi:type="dcterms:W3CDTF">2016-12-01T14:14:00Z</dcterms:created>
  <dcterms:modified xsi:type="dcterms:W3CDTF">2016-12-04T20:08:00Z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-1650123419</vt:i4>
  </property>
  <property fmtid="{D5CDD505-2E9C-101B-9397-08002B2CF9AE}" pid="4" name="_EmailSubject">
    <vt:lpwstr>Shareholder action:  settlement update</vt:lpwstr>
  </property>
  <property fmtid="{D5CDD505-2E9C-101B-9397-08002B2CF9AE}" pid="5" name="_AuthorEmail">
    <vt:lpwstr>Mark.A.Stevens@rbs.co.uk</vt:lpwstr>
  </property>
  <property fmtid="{D5CDD505-2E9C-101B-9397-08002B2CF9AE}" pid="6" name="_AuthorEmailDisplayName">
    <vt:lpwstr>Stevens, Mark A (Corporate Governance and Secretariat)</vt:lpwstr>
  </property>
  <property fmtid="{D5CDD505-2E9C-101B-9397-08002B2CF9AE}" pid="8" name="_PreviousAdHocReviewCycleID">
    <vt:i4>164478169</vt:i4>
  </property>
</Properties>
</file>