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5CB" w:rsidRPr="00CE2C74" w:rsidRDefault="00DD35CB" w:rsidP="00B642ED">
      <w:pPr>
        <w:jc w:val="both"/>
        <w:rPr>
          <w:rFonts w:asciiTheme="minorHAnsi" w:hAnsiTheme="minorHAnsi" w:cstheme="minorHAnsi"/>
          <w:b/>
        </w:rPr>
      </w:pPr>
      <w:r w:rsidRPr="00CE2C74">
        <w:rPr>
          <w:rFonts w:asciiTheme="minorHAnsi" w:hAnsiTheme="minorHAnsi" w:cstheme="minorHAnsi"/>
          <w:b/>
        </w:rPr>
        <w:t>The Royal Bank of Scotland Group plc</w:t>
      </w:r>
    </w:p>
    <w:p w:rsidR="00DD35CB" w:rsidRPr="00CE2C74" w:rsidRDefault="00DD35CB" w:rsidP="00B642ED">
      <w:pPr>
        <w:jc w:val="both"/>
        <w:rPr>
          <w:rFonts w:asciiTheme="minorHAnsi" w:hAnsiTheme="minorHAnsi" w:cstheme="minorHAnsi"/>
          <w:b/>
        </w:rPr>
      </w:pPr>
    </w:p>
    <w:p w:rsidR="00DD35CB" w:rsidRPr="00CE2C74" w:rsidRDefault="008915F8" w:rsidP="00B642ED">
      <w:pPr>
        <w:jc w:val="both"/>
        <w:rPr>
          <w:rFonts w:asciiTheme="minorHAnsi" w:hAnsiTheme="minorHAnsi" w:cstheme="minorHAnsi"/>
        </w:rPr>
      </w:pPr>
      <w:r>
        <w:rPr>
          <w:rFonts w:asciiTheme="minorHAnsi" w:hAnsiTheme="minorHAnsi" w:cstheme="minorHAnsi"/>
        </w:rPr>
        <w:t>20</w:t>
      </w:r>
      <w:bookmarkStart w:id="0" w:name="_GoBack"/>
      <w:bookmarkEnd w:id="0"/>
      <w:r w:rsidR="00D263C2">
        <w:rPr>
          <w:rFonts w:asciiTheme="minorHAnsi" w:hAnsiTheme="minorHAnsi" w:cstheme="minorHAnsi"/>
        </w:rPr>
        <w:t xml:space="preserve"> February</w:t>
      </w:r>
      <w:r w:rsidR="00DD35CB" w:rsidRPr="00CE2C74">
        <w:rPr>
          <w:rFonts w:asciiTheme="minorHAnsi" w:hAnsiTheme="minorHAnsi" w:cstheme="minorHAnsi"/>
        </w:rPr>
        <w:t xml:space="preserve"> 2017</w:t>
      </w:r>
    </w:p>
    <w:p w:rsidR="00B961B8" w:rsidRPr="00CE2C74" w:rsidRDefault="00B961B8" w:rsidP="00B642ED">
      <w:pPr>
        <w:jc w:val="both"/>
        <w:rPr>
          <w:rFonts w:asciiTheme="minorHAnsi" w:hAnsiTheme="minorHAnsi" w:cstheme="minorHAnsi"/>
          <w:b/>
        </w:rPr>
      </w:pPr>
    </w:p>
    <w:p w:rsidR="00CE2C74" w:rsidRPr="00CE2C74" w:rsidRDefault="00CE2C74" w:rsidP="00B642ED">
      <w:pPr>
        <w:jc w:val="both"/>
        <w:rPr>
          <w:rFonts w:asciiTheme="minorHAnsi" w:hAnsiTheme="minorHAnsi" w:cstheme="minorHAnsi"/>
          <w:b/>
          <w:szCs w:val="20"/>
        </w:rPr>
      </w:pPr>
      <w:r w:rsidRPr="00CE2C74">
        <w:rPr>
          <w:rFonts w:asciiTheme="minorHAnsi" w:hAnsiTheme="minorHAnsi" w:cstheme="minorHAnsi"/>
          <w:b/>
          <w:szCs w:val="20"/>
        </w:rPr>
        <w:t xml:space="preserve">Update on RBS’s remaining State Aid obligation </w:t>
      </w:r>
    </w:p>
    <w:p w:rsidR="00CE2C74" w:rsidRPr="00CE2C74" w:rsidRDefault="00CE2C74" w:rsidP="00B642ED">
      <w:pPr>
        <w:jc w:val="both"/>
        <w:rPr>
          <w:rFonts w:asciiTheme="minorHAnsi" w:hAnsiTheme="minorHAnsi" w:cstheme="minorHAnsi"/>
          <w:szCs w:val="20"/>
        </w:rPr>
      </w:pPr>
    </w:p>
    <w:p w:rsidR="008C381C" w:rsidRDefault="00D263C2" w:rsidP="00B642ED">
      <w:pPr>
        <w:jc w:val="both"/>
        <w:rPr>
          <w:rFonts w:asciiTheme="minorHAnsi" w:hAnsiTheme="minorHAnsi" w:cstheme="minorHAnsi"/>
          <w:szCs w:val="20"/>
        </w:rPr>
      </w:pPr>
      <w:r>
        <w:rPr>
          <w:rFonts w:asciiTheme="minorHAnsi" w:hAnsiTheme="minorHAnsi" w:cstheme="minorHAnsi"/>
          <w:szCs w:val="20"/>
        </w:rPr>
        <w:t xml:space="preserve">RBS </w:t>
      </w:r>
      <w:r w:rsidR="00B801D4">
        <w:rPr>
          <w:rFonts w:asciiTheme="minorHAnsi" w:hAnsiTheme="minorHAnsi" w:cstheme="minorHAnsi"/>
          <w:szCs w:val="20"/>
        </w:rPr>
        <w:t xml:space="preserve">has been informed </w:t>
      </w:r>
      <w:r w:rsidR="00CE2C74" w:rsidRPr="00CE2C74">
        <w:rPr>
          <w:rFonts w:asciiTheme="minorHAnsi" w:hAnsiTheme="minorHAnsi" w:cstheme="minorHAnsi"/>
          <w:szCs w:val="20"/>
        </w:rPr>
        <w:t xml:space="preserve">by HM Treasury (“HMT”) that </w:t>
      </w:r>
      <w:r w:rsidR="00663DE3">
        <w:rPr>
          <w:rFonts w:asciiTheme="minorHAnsi" w:hAnsiTheme="minorHAnsi" w:cstheme="minorHAnsi"/>
          <w:szCs w:val="20"/>
        </w:rPr>
        <w:t>the Commissioner responsible for EU competition policy</w:t>
      </w:r>
      <w:r w:rsidR="00F00D3A">
        <w:rPr>
          <w:rFonts w:asciiTheme="minorHAnsi" w:hAnsiTheme="minorHAnsi" w:cstheme="minorHAnsi"/>
          <w:szCs w:val="20"/>
        </w:rPr>
        <w:t xml:space="preserve"> plans to propose to the College of Commissioners</w:t>
      </w:r>
      <w:r w:rsidR="008C381C">
        <w:rPr>
          <w:rFonts w:asciiTheme="minorHAnsi" w:hAnsiTheme="minorHAnsi" w:cstheme="minorHAnsi"/>
          <w:szCs w:val="20"/>
        </w:rPr>
        <w:t xml:space="preserve"> to open proceedings </w:t>
      </w:r>
      <w:r w:rsidR="007837FB">
        <w:rPr>
          <w:rFonts w:asciiTheme="minorHAnsi" w:hAnsiTheme="minorHAnsi" w:cstheme="minorHAnsi"/>
          <w:szCs w:val="20"/>
        </w:rPr>
        <w:t xml:space="preserve">to gather evidence </w:t>
      </w:r>
      <w:r w:rsidR="008C381C">
        <w:rPr>
          <w:rFonts w:asciiTheme="minorHAnsi" w:hAnsiTheme="minorHAnsi" w:cstheme="minorHAnsi"/>
          <w:szCs w:val="20"/>
        </w:rPr>
        <w:t>on</w:t>
      </w:r>
      <w:r w:rsidR="00F00D3A">
        <w:rPr>
          <w:rFonts w:asciiTheme="minorHAnsi" w:hAnsiTheme="minorHAnsi" w:cstheme="minorHAnsi"/>
          <w:szCs w:val="20"/>
        </w:rPr>
        <w:t xml:space="preserve"> </w:t>
      </w:r>
      <w:r w:rsidR="00B801D4">
        <w:rPr>
          <w:rFonts w:asciiTheme="minorHAnsi" w:hAnsiTheme="minorHAnsi" w:cstheme="minorHAnsi"/>
          <w:szCs w:val="20"/>
        </w:rPr>
        <w:t xml:space="preserve">an alternative plan for </w:t>
      </w:r>
      <w:r w:rsidR="008A77FD" w:rsidRPr="008A77FD">
        <w:rPr>
          <w:iCs/>
        </w:rPr>
        <w:t>RBS to meet its remaining State Aid obligation</w:t>
      </w:r>
      <w:r w:rsidR="007837FB">
        <w:rPr>
          <w:iCs/>
        </w:rPr>
        <w:t>s</w:t>
      </w:r>
      <w:r w:rsidR="008C381C">
        <w:rPr>
          <w:iCs/>
        </w:rPr>
        <w:t xml:space="preserve">.  If adopted, this alternative plan would replace the </w:t>
      </w:r>
      <w:r w:rsidR="00CE2C74" w:rsidRPr="00CE2C74">
        <w:rPr>
          <w:rFonts w:asciiTheme="minorHAnsi" w:hAnsiTheme="minorHAnsi" w:cstheme="minorHAnsi"/>
          <w:szCs w:val="20"/>
        </w:rPr>
        <w:t xml:space="preserve">existing requirement to achieve separation and divestment by 31 December 2017 of the business previously described as Williams &amp; Glyn. </w:t>
      </w:r>
      <w:r w:rsidR="00B801D4">
        <w:rPr>
          <w:rFonts w:asciiTheme="minorHAnsi" w:hAnsiTheme="minorHAnsi" w:cstheme="minorHAnsi"/>
          <w:szCs w:val="20"/>
        </w:rPr>
        <w:t xml:space="preserve"> As previously disclosed, none of the proposals to acquire the business</w:t>
      </w:r>
      <w:r w:rsidR="00F00D3A">
        <w:rPr>
          <w:rFonts w:asciiTheme="minorHAnsi" w:hAnsiTheme="minorHAnsi" w:cstheme="minorHAnsi"/>
          <w:szCs w:val="20"/>
        </w:rPr>
        <w:t xml:space="preserve"> received by RBS</w:t>
      </w:r>
      <w:r w:rsidR="00B801D4">
        <w:rPr>
          <w:rFonts w:asciiTheme="minorHAnsi" w:hAnsiTheme="minorHAnsi" w:cstheme="minorHAnsi"/>
          <w:szCs w:val="20"/>
        </w:rPr>
        <w:t xml:space="preserve"> can deliver a full separation and divestment before the 31 December 2017 deadline.  </w:t>
      </w:r>
    </w:p>
    <w:p w:rsidR="008C381C" w:rsidRDefault="008C381C" w:rsidP="00B642ED">
      <w:pPr>
        <w:jc w:val="both"/>
        <w:rPr>
          <w:rFonts w:asciiTheme="minorHAnsi" w:hAnsiTheme="minorHAnsi" w:cstheme="minorHAnsi"/>
          <w:szCs w:val="20"/>
        </w:rPr>
      </w:pPr>
    </w:p>
    <w:p w:rsidR="008C381C" w:rsidRDefault="008C381C" w:rsidP="00B642ED">
      <w:pPr>
        <w:jc w:val="both"/>
        <w:rPr>
          <w:rFonts w:asciiTheme="minorHAnsi" w:hAnsiTheme="minorHAnsi" w:cstheme="minorHAnsi"/>
          <w:szCs w:val="20"/>
        </w:rPr>
      </w:pPr>
      <w:r>
        <w:rPr>
          <w:rFonts w:asciiTheme="minorHAnsi" w:hAnsiTheme="minorHAnsi" w:cstheme="minorHAnsi"/>
          <w:szCs w:val="20"/>
        </w:rPr>
        <w:t xml:space="preserve">RBS has agreed that </w:t>
      </w:r>
      <w:r w:rsidRPr="008C381C">
        <w:rPr>
          <w:rFonts w:asciiTheme="minorHAnsi" w:hAnsiTheme="minorHAnsi" w:cstheme="minorHAnsi"/>
          <w:szCs w:val="20"/>
        </w:rPr>
        <w:t xml:space="preserve">HMT will now seek formal amendment to RBS’s State </w:t>
      </w:r>
      <w:r w:rsidR="00873C6C">
        <w:rPr>
          <w:rFonts w:asciiTheme="minorHAnsi" w:hAnsiTheme="minorHAnsi" w:cstheme="minorHAnsi"/>
          <w:szCs w:val="20"/>
        </w:rPr>
        <w:t>A</w:t>
      </w:r>
      <w:r w:rsidRPr="008C381C">
        <w:rPr>
          <w:rFonts w:asciiTheme="minorHAnsi" w:hAnsiTheme="minorHAnsi" w:cstheme="minorHAnsi"/>
          <w:szCs w:val="20"/>
        </w:rPr>
        <w:t>id commitments</w:t>
      </w:r>
      <w:r>
        <w:rPr>
          <w:rFonts w:asciiTheme="minorHAnsi" w:hAnsiTheme="minorHAnsi" w:cstheme="minorHAnsi"/>
          <w:szCs w:val="20"/>
        </w:rPr>
        <w:t xml:space="preserve"> to pave the way for the Commission</w:t>
      </w:r>
      <w:r w:rsidR="00684889">
        <w:rPr>
          <w:rFonts w:asciiTheme="minorHAnsi" w:hAnsiTheme="minorHAnsi" w:cstheme="minorHAnsi"/>
          <w:szCs w:val="20"/>
        </w:rPr>
        <w:t>er to propose to open</w:t>
      </w:r>
      <w:r>
        <w:rPr>
          <w:rFonts w:asciiTheme="minorHAnsi" w:hAnsiTheme="minorHAnsi" w:cstheme="minorHAnsi"/>
          <w:szCs w:val="20"/>
        </w:rPr>
        <w:t xml:space="preserve"> proceedings, as described above</w:t>
      </w:r>
      <w:r w:rsidRPr="008C381C">
        <w:rPr>
          <w:rFonts w:asciiTheme="minorHAnsi" w:hAnsiTheme="minorHAnsi" w:cstheme="minorHAnsi"/>
          <w:szCs w:val="20"/>
        </w:rPr>
        <w:t xml:space="preserve">.  </w:t>
      </w:r>
      <w:r>
        <w:rPr>
          <w:rFonts w:asciiTheme="minorHAnsi" w:hAnsiTheme="minorHAnsi" w:cstheme="minorHAnsi"/>
          <w:szCs w:val="20"/>
        </w:rPr>
        <w:t xml:space="preserve">In addition to the Commission’s proceedings, </w:t>
      </w:r>
      <w:r w:rsidRPr="008C381C">
        <w:rPr>
          <w:rFonts w:asciiTheme="minorHAnsi" w:hAnsiTheme="minorHAnsi" w:cstheme="minorHAnsi"/>
          <w:szCs w:val="20"/>
        </w:rPr>
        <w:t>HMT will carry out a market testing exercise in parallel.</w:t>
      </w:r>
      <w:r>
        <w:rPr>
          <w:rFonts w:asciiTheme="minorHAnsi" w:hAnsiTheme="minorHAnsi" w:cstheme="minorHAnsi"/>
          <w:szCs w:val="20"/>
        </w:rPr>
        <w:t xml:space="preserve">  </w:t>
      </w:r>
      <w:r w:rsidRPr="008C381C">
        <w:rPr>
          <w:rFonts w:asciiTheme="minorHAnsi" w:hAnsiTheme="minorHAnsi" w:cstheme="minorHAnsi"/>
          <w:szCs w:val="20"/>
        </w:rPr>
        <w:t xml:space="preserve">The opening of </w:t>
      </w:r>
      <w:r>
        <w:rPr>
          <w:rFonts w:asciiTheme="minorHAnsi" w:hAnsiTheme="minorHAnsi" w:cstheme="minorHAnsi"/>
          <w:szCs w:val="20"/>
        </w:rPr>
        <w:t xml:space="preserve">the Commission’s </w:t>
      </w:r>
      <w:r w:rsidRPr="008C381C">
        <w:rPr>
          <w:rFonts w:asciiTheme="minorHAnsi" w:hAnsiTheme="minorHAnsi" w:cstheme="minorHAnsi"/>
          <w:szCs w:val="20"/>
        </w:rPr>
        <w:t>proceedings does not prejudge the outcome of the investigation.</w:t>
      </w:r>
      <w:r>
        <w:rPr>
          <w:iCs/>
        </w:rPr>
        <w:t xml:space="preserve"> </w:t>
      </w:r>
      <w:r w:rsidRPr="008C381C">
        <w:rPr>
          <w:rFonts w:asciiTheme="minorHAnsi" w:hAnsiTheme="minorHAnsi" w:cstheme="minorHAnsi"/>
          <w:szCs w:val="20"/>
        </w:rPr>
        <w:t xml:space="preserve">  </w:t>
      </w:r>
    </w:p>
    <w:p w:rsidR="00A12FBE" w:rsidRPr="00CE2C74" w:rsidRDefault="00A12FBE" w:rsidP="00B642ED">
      <w:pPr>
        <w:jc w:val="both"/>
        <w:rPr>
          <w:rFonts w:asciiTheme="minorHAnsi" w:hAnsiTheme="minorHAnsi" w:cstheme="minorHAnsi"/>
          <w:szCs w:val="20"/>
        </w:rPr>
      </w:pPr>
    </w:p>
    <w:p w:rsidR="00681B64" w:rsidRDefault="00CE2C74" w:rsidP="00B642ED">
      <w:pPr>
        <w:jc w:val="both"/>
        <w:rPr>
          <w:rFonts w:asciiTheme="minorHAnsi" w:hAnsiTheme="minorHAnsi" w:cstheme="minorHAnsi"/>
          <w:szCs w:val="20"/>
        </w:rPr>
      </w:pPr>
      <w:r w:rsidRPr="00CE2C74">
        <w:rPr>
          <w:rFonts w:asciiTheme="minorHAnsi" w:hAnsiTheme="minorHAnsi" w:cstheme="minorHAnsi"/>
          <w:szCs w:val="20"/>
        </w:rPr>
        <w:t xml:space="preserve">The </w:t>
      </w:r>
      <w:r w:rsidR="00B801D4">
        <w:rPr>
          <w:rFonts w:asciiTheme="minorHAnsi" w:hAnsiTheme="minorHAnsi" w:cstheme="minorHAnsi"/>
          <w:szCs w:val="20"/>
        </w:rPr>
        <w:t xml:space="preserve">plan </w:t>
      </w:r>
      <w:r w:rsidRPr="00CE2C74">
        <w:rPr>
          <w:rFonts w:asciiTheme="minorHAnsi" w:hAnsiTheme="minorHAnsi" w:cstheme="minorHAnsi"/>
          <w:szCs w:val="20"/>
        </w:rPr>
        <w:t>envisages that RBS will deliver the following</w:t>
      </w:r>
      <w:r w:rsidR="00501831">
        <w:rPr>
          <w:rFonts w:asciiTheme="minorHAnsi" w:hAnsiTheme="minorHAnsi" w:cstheme="minorHAnsi"/>
          <w:szCs w:val="20"/>
        </w:rPr>
        <w:t xml:space="preserve"> revised</w:t>
      </w:r>
      <w:r w:rsidRPr="00CE2C74">
        <w:rPr>
          <w:rFonts w:asciiTheme="minorHAnsi" w:hAnsiTheme="minorHAnsi" w:cstheme="minorHAnsi"/>
          <w:szCs w:val="20"/>
        </w:rPr>
        <w:t xml:space="preserve"> package of remedies to promote competition in the market for banking services to small and medium enterprises (“SMEs”) in the UK:</w:t>
      </w:r>
    </w:p>
    <w:p w:rsidR="00D42B0B" w:rsidRPr="00D42B0B" w:rsidRDefault="00D42B0B" w:rsidP="00B642ED">
      <w:pPr>
        <w:jc w:val="both"/>
        <w:rPr>
          <w:rFonts w:asciiTheme="minorHAnsi" w:hAnsiTheme="minorHAnsi" w:cstheme="minorHAnsi"/>
          <w:szCs w:val="20"/>
        </w:rPr>
      </w:pPr>
    </w:p>
    <w:p w:rsidR="00B642ED" w:rsidRDefault="00B642ED" w:rsidP="00B642ED">
      <w:pPr>
        <w:pStyle w:val="ListParagraph"/>
        <w:numPr>
          <w:ilvl w:val="0"/>
          <w:numId w:val="25"/>
        </w:numPr>
        <w:spacing w:after="160" w:line="252" w:lineRule="auto"/>
        <w:contextualSpacing/>
      </w:pPr>
      <w:r>
        <w:t>A</w:t>
      </w:r>
      <w:r w:rsidR="00681B64" w:rsidRPr="00D42B0B">
        <w:t xml:space="preserve"> fund, administered by an independent body, that </w:t>
      </w:r>
      <w:r w:rsidR="00F00D3A">
        <w:t xml:space="preserve">eligible </w:t>
      </w:r>
      <w:r w:rsidR="00681B64" w:rsidRPr="00D42B0B">
        <w:t xml:space="preserve">challenger banks can access to increase their business banking capabilities; </w:t>
      </w:r>
    </w:p>
    <w:p w:rsidR="00B642ED" w:rsidRDefault="00B642ED" w:rsidP="00B642ED">
      <w:pPr>
        <w:pStyle w:val="ListParagraph"/>
        <w:spacing w:after="160" w:line="252" w:lineRule="auto"/>
        <w:contextualSpacing/>
      </w:pPr>
    </w:p>
    <w:p w:rsidR="00B642ED" w:rsidRDefault="00B642ED" w:rsidP="00B642ED">
      <w:pPr>
        <w:pStyle w:val="ListParagraph"/>
        <w:numPr>
          <w:ilvl w:val="0"/>
          <w:numId w:val="25"/>
        </w:numPr>
        <w:spacing w:after="160" w:line="252" w:lineRule="auto"/>
        <w:contextualSpacing/>
      </w:pPr>
      <w:r>
        <w:t>F</w:t>
      </w:r>
      <w:r w:rsidR="00681B64" w:rsidRPr="00D42B0B">
        <w:t xml:space="preserve">unding for </w:t>
      </w:r>
      <w:r w:rsidR="00F00D3A">
        <w:t xml:space="preserve">eligible </w:t>
      </w:r>
      <w:r w:rsidR="00681B64" w:rsidRPr="00D42B0B">
        <w:t xml:space="preserve">challenger banks to help them incentivise SMEs to switch their accounts from RBS paid in the form of “dowries” to </w:t>
      </w:r>
      <w:r w:rsidR="00873C6C">
        <w:t xml:space="preserve">eligible </w:t>
      </w:r>
      <w:r w:rsidR="00681B64" w:rsidRPr="00D42B0B">
        <w:t xml:space="preserve">challenger banks; </w:t>
      </w:r>
    </w:p>
    <w:p w:rsidR="00B642ED" w:rsidRDefault="00B642ED" w:rsidP="00B642ED">
      <w:pPr>
        <w:pStyle w:val="ListParagraph"/>
      </w:pPr>
    </w:p>
    <w:p w:rsidR="00B642ED" w:rsidRDefault="00681B64" w:rsidP="00B642ED">
      <w:pPr>
        <w:pStyle w:val="ListParagraph"/>
        <w:numPr>
          <w:ilvl w:val="0"/>
          <w:numId w:val="25"/>
        </w:numPr>
        <w:spacing w:after="160" w:line="252" w:lineRule="auto"/>
        <w:contextualSpacing/>
      </w:pPr>
      <w:r w:rsidRPr="00D42B0B">
        <w:t xml:space="preserve">RBS granting business customers </w:t>
      </w:r>
      <w:r w:rsidR="00F00D3A">
        <w:t xml:space="preserve">of eligible challenger banks </w:t>
      </w:r>
      <w:r w:rsidRPr="00D42B0B">
        <w:t>access to its branch network for cash and cheque handling, to support the measures above; and</w:t>
      </w:r>
    </w:p>
    <w:p w:rsidR="00B642ED" w:rsidRDefault="00B642ED" w:rsidP="00B642ED">
      <w:pPr>
        <w:pStyle w:val="ListParagraph"/>
      </w:pPr>
    </w:p>
    <w:p w:rsidR="00845E3E" w:rsidRPr="00845E3E" w:rsidRDefault="00B642ED" w:rsidP="00B642ED">
      <w:pPr>
        <w:pStyle w:val="ListParagraph"/>
        <w:numPr>
          <w:ilvl w:val="0"/>
          <w:numId w:val="25"/>
        </w:numPr>
        <w:spacing w:after="160" w:line="252" w:lineRule="auto"/>
        <w:contextualSpacing/>
      </w:pPr>
      <w:r>
        <w:t>A</w:t>
      </w:r>
      <w:r w:rsidR="00681B64" w:rsidRPr="00D42B0B">
        <w:t xml:space="preserve">n independent fund to invest in </w:t>
      </w:r>
      <w:proofErr w:type="spellStart"/>
      <w:r w:rsidR="00681B64" w:rsidRPr="00D42B0B">
        <w:t>fintech</w:t>
      </w:r>
      <w:proofErr w:type="spellEnd"/>
      <w:r w:rsidR="00681B64" w:rsidRPr="00D42B0B">
        <w:t xml:space="preserve"> to support the </w:t>
      </w:r>
      <w:r w:rsidR="00D42B0B" w:rsidRPr="00D42B0B">
        <w:t>business banking of the future.</w:t>
      </w:r>
    </w:p>
    <w:p w:rsidR="00845E3E" w:rsidRDefault="00845E3E" w:rsidP="00B642ED">
      <w:pPr>
        <w:jc w:val="both"/>
      </w:pPr>
      <w:r>
        <w:t xml:space="preserve">Ross McEwan, RBS CEO, said “Today’s </w:t>
      </w:r>
      <w:r w:rsidR="00B801D4">
        <w:t>proposal</w:t>
      </w:r>
      <w:r>
        <w:t xml:space="preserve"> </w:t>
      </w:r>
      <w:r w:rsidR="00F00D3A">
        <w:t xml:space="preserve">would </w:t>
      </w:r>
      <w:r>
        <w:t xml:space="preserve">provide a path to increased competition in the SME market place. </w:t>
      </w:r>
      <w:r w:rsidR="00F00D3A">
        <w:t xml:space="preserve">If </w:t>
      </w:r>
      <w:r>
        <w:t>agreed it w</w:t>
      </w:r>
      <w:r w:rsidR="00663DE3">
        <w:t>ould</w:t>
      </w:r>
      <w:r>
        <w:t xml:space="preserve"> deliver an outcome on our EC State Aid divestment obligations more quickly and with more certainty than undertaking a difficult and complex sale and w</w:t>
      </w:r>
      <w:r w:rsidR="00663DE3">
        <w:t>ould</w:t>
      </w:r>
      <w:r>
        <w:t xml:space="preserve"> provide much needed certainty for customers and staff.”</w:t>
      </w:r>
    </w:p>
    <w:p w:rsidR="00CE2C74" w:rsidRPr="00CE2C74" w:rsidRDefault="00CE2C74" w:rsidP="00B642ED">
      <w:pPr>
        <w:jc w:val="both"/>
        <w:rPr>
          <w:rFonts w:asciiTheme="minorHAnsi" w:hAnsiTheme="minorHAnsi" w:cstheme="minorHAnsi"/>
          <w:szCs w:val="20"/>
        </w:rPr>
      </w:pPr>
    </w:p>
    <w:p w:rsidR="00CE2C74" w:rsidRPr="00CE2C74" w:rsidRDefault="009E453B" w:rsidP="00B642ED">
      <w:pPr>
        <w:jc w:val="both"/>
        <w:rPr>
          <w:rFonts w:asciiTheme="minorHAnsi" w:hAnsiTheme="minorHAnsi" w:cstheme="minorHAnsi"/>
          <w:szCs w:val="20"/>
        </w:rPr>
      </w:pPr>
      <w:r>
        <w:rPr>
          <w:rFonts w:asciiTheme="minorHAnsi" w:hAnsiTheme="minorHAnsi" w:cstheme="minorHAnsi"/>
          <w:szCs w:val="20"/>
        </w:rPr>
        <w:t>RBS has taken a £750</w:t>
      </w:r>
      <w:r w:rsidR="00CE2C74" w:rsidRPr="00CE2C74">
        <w:rPr>
          <w:rFonts w:asciiTheme="minorHAnsi" w:hAnsiTheme="minorHAnsi" w:cstheme="minorHAnsi"/>
          <w:szCs w:val="20"/>
        </w:rPr>
        <w:t xml:space="preserve"> million provision within its 2016 Annu</w:t>
      </w:r>
      <w:r w:rsidR="00567C7E">
        <w:rPr>
          <w:rFonts w:asciiTheme="minorHAnsi" w:hAnsiTheme="minorHAnsi" w:cstheme="minorHAnsi"/>
          <w:szCs w:val="20"/>
        </w:rPr>
        <w:t>al Results as a consequence of t</w:t>
      </w:r>
      <w:r w:rsidR="00567C7E">
        <w:rPr>
          <w:rFonts w:cs="Arial"/>
          <w:szCs w:val="20"/>
        </w:rPr>
        <w:t xml:space="preserve">oday’s </w:t>
      </w:r>
      <w:r w:rsidR="00663DE3">
        <w:rPr>
          <w:rFonts w:cs="Arial"/>
          <w:szCs w:val="20"/>
        </w:rPr>
        <w:t>proposal</w:t>
      </w:r>
      <w:r>
        <w:rPr>
          <w:rFonts w:asciiTheme="minorHAnsi" w:hAnsiTheme="minorHAnsi" w:cstheme="minorHAnsi"/>
          <w:szCs w:val="20"/>
        </w:rPr>
        <w:t>.</w:t>
      </w:r>
      <w:r w:rsidR="00CE2C74" w:rsidRPr="00CE2C74">
        <w:rPr>
          <w:rFonts w:asciiTheme="minorHAnsi" w:hAnsiTheme="minorHAnsi" w:cstheme="minorHAnsi"/>
          <w:color w:val="632423"/>
          <w:szCs w:val="20"/>
        </w:rPr>
        <w:t xml:space="preserve"> </w:t>
      </w:r>
      <w:r w:rsidR="00CE2C74" w:rsidRPr="00CE2C74">
        <w:rPr>
          <w:rFonts w:asciiTheme="minorHAnsi" w:hAnsiTheme="minorHAnsi" w:cstheme="minorHAnsi"/>
          <w:szCs w:val="20"/>
        </w:rPr>
        <w:t>This represents our best estimate of the cost of the above package of remedies at this juncture.</w:t>
      </w:r>
    </w:p>
    <w:p w:rsidR="00987F64" w:rsidRPr="00987F64" w:rsidRDefault="00987F64" w:rsidP="00B642ED">
      <w:pPr>
        <w:jc w:val="both"/>
        <w:rPr>
          <w:rFonts w:asciiTheme="majorHAnsi" w:hAnsiTheme="majorHAnsi" w:cstheme="majorHAnsi"/>
          <w:szCs w:val="20"/>
        </w:rPr>
      </w:pPr>
    </w:p>
    <w:p w:rsidR="00987F64" w:rsidRPr="00987F64" w:rsidRDefault="00987F64" w:rsidP="00B642ED">
      <w:pPr>
        <w:jc w:val="both"/>
        <w:rPr>
          <w:rFonts w:asciiTheme="majorHAnsi" w:hAnsiTheme="majorHAnsi" w:cstheme="majorHAnsi"/>
          <w:szCs w:val="20"/>
          <w:lang w:eastAsia="en-GB"/>
        </w:rPr>
      </w:pPr>
      <w:r w:rsidRPr="00987F64">
        <w:rPr>
          <w:rFonts w:asciiTheme="majorHAnsi" w:hAnsiTheme="majorHAnsi" w:cstheme="majorHAnsi"/>
          <w:szCs w:val="20"/>
          <w:lang w:eastAsia="en-GB"/>
        </w:rPr>
        <w:t xml:space="preserve">Our </w:t>
      </w:r>
      <w:r w:rsidR="00D42B0B" w:rsidRPr="00545254">
        <w:rPr>
          <w:rFonts w:cs="Arial"/>
          <w:iCs/>
          <w:szCs w:val="20"/>
          <w:lang w:eastAsia="en-GB"/>
        </w:rPr>
        <w:t>Q3 2016 Financial Supplement disclose</w:t>
      </w:r>
      <w:r w:rsidR="00D42B0B">
        <w:rPr>
          <w:rFonts w:cs="Arial"/>
          <w:iCs/>
          <w:szCs w:val="20"/>
          <w:lang w:eastAsia="en-GB"/>
        </w:rPr>
        <w:t>d</w:t>
      </w:r>
      <w:r w:rsidR="00D42B0B" w:rsidRPr="00545254">
        <w:rPr>
          <w:rFonts w:cs="Arial"/>
          <w:iCs/>
          <w:szCs w:val="20"/>
          <w:lang w:eastAsia="en-GB"/>
        </w:rPr>
        <w:t xml:space="preserve"> </w:t>
      </w:r>
      <w:r w:rsidRPr="00987F64">
        <w:rPr>
          <w:rFonts w:asciiTheme="majorHAnsi" w:hAnsiTheme="majorHAnsi" w:cstheme="majorHAnsi"/>
          <w:szCs w:val="20"/>
          <w:lang w:eastAsia="en-GB"/>
        </w:rPr>
        <w:t xml:space="preserve">a breakdown of Williams &amp; Glyn's income and customer loans and advances between Retail and Commercial as set out in the table below. </w:t>
      </w:r>
    </w:p>
    <w:p w:rsidR="00987F64" w:rsidRDefault="00987F64" w:rsidP="00B642ED">
      <w:pPr>
        <w:jc w:val="both"/>
        <w:rPr>
          <w:rFonts w:asciiTheme="minorHAnsi" w:hAnsiTheme="minorHAnsi" w:cstheme="minorHAnsi"/>
          <w:szCs w:val="20"/>
        </w:rPr>
      </w:pPr>
    </w:p>
    <w:p w:rsidR="00CE2C74" w:rsidRPr="009E3F86" w:rsidRDefault="00B81AAF" w:rsidP="00B642ED">
      <w:pPr>
        <w:jc w:val="both"/>
        <w:rPr>
          <w:rFonts w:asciiTheme="minorHAnsi" w:hAnsiTheme="minorHAnsi" w:cstheme="minorHAnsi"/>
          <w:szCs w:val="20"/>
        </w:rPr>
      </w:pPr>
      <w:r>
        <w:rPr>
          <w:rFonts w:asciiTheme="minorHAnsi" w:hAnsiTheme="minorHAnsi" w:cstheme="minorHAnsi"/>
          <w:szCs w:val="20"/>
        </w:rPr>
        <w:t>S</w:t>
      </w:r>
      <w:r w:rsidR="00CE2C74" w:rsidRPr="00CE2C74">
        <w:rPr>
          <w:rFonts w:asciiTheme="minorHAnsi" w:hAnsiTheme="minorHAnsi" w:cstheme="minorHAnsi"/>
          <w:szCs w:val="20"/>
        </w:rPr>
        <w:t xml:space="preserve">ubject to </w:t>
      </w:r>
      <w:r>
        <w:rPr>
          <w:rFonts w:asciiTheme="minorHAnsi" w:hAnsiTheme="minorHAnsi" w:cstheme="minorHAnsi"/>
          <w:szCs w:val="20"/>
        </w:rPr>
        <w:t xml:space="preserve">the plan becoming finalised and further </w:t>
      </w:r>
      <w:r w:rsidR="00CE2C74" w:rsidRPr="00CE2C74">
        <w:rPr>
          <w:rFonts w:asciiTheme="minorHAnsi" w:hAnsiTheme="minorHAnsi" w:cstheme="minorHAnsi"/>
          <w:szCs w:val="20"/>
        </w:rPr>
        <w:t xml:space="preserve">discussions with the EC and HMT we </w:t>
      </w:r>
      <w:r w:rsidR="00587013">
        <w:rPr>
          <w:rFonts w:asciiTheme="minorHAnsi" w:hAnsiTheme="minorHAnsi" w:cstheme="minorHAnsi"/>
          <w:szCs w:val="20"/>
        </w:rPr>
        <w:t>will</w:t>
      </w:r>
      <w:r w:rsidR="00CE2C74" w:rsidRPr="00CE2C74">
        <w:rPr>
          <w:rFonts w:asciiTheme="minorHAnsi" w:hAnsiTheme="minorHAnsi" w:cstheme="minorHAnsi"/>
          <w:szCs w:val="20"/>
        </w:rPr>
        <w:t xml:space="preserve"> assess the timing and manner in which we reincorporate the business into the RBS franchises.</w:t>
      </w:r>
      <w:r w:rsidR="00CE2C74" w:rsidRPr="00CE2C74">
        <w:rPr>
          <w:rFonts w:asciiTheme="minorHAnsi" w:hAnsiTheme="minorHAnsi" w:cstheme="minorHAnsi"/>
          <w:color w:val="3B1256"/>
          <w:szCs w:val="20"/>
        </w:rPr>
        <w:t xml:space="preserve"> </w:t>
      </w:r>
      <w:r w:rsidR="00CE2C74" w:rsidRPr="009E3F86">
        <w:rPr>
          <w:rFonts w:asciiTheme="minorHAnsi" w:hAnsiTheme="minorHAnsi" w:cstheme="minorHAnsi"/>
          <w:szCs w:val="20"/>
        </w:rPr>
        <w:t>This reintegration w</w:t>
      </w:r>
      <w:r>
        <w:rPr>
          <w:rFonts w:asciiTheme="minorHAnsi" w:hAnsiTheme="minorHAnsi" w:cstheme="minorHAnsi"/>
          <w:szCs w:val="20"/>
        </w:rPr>
        <w:t>ould</w:t>
      </w:r>
      <w:r w:rsidR="00CE2C74" w:rsidRPr="009E3F86">
        <w:rPr>
          <w:rFonts w:asciiTheme="minorHAnsi" w:hAnsiTheme="minorHAnsi" w:cstheme="minorHAnsi"/>
          <w:szCs w:val="20"/>
        </w:rPr>
        <w:t xml:space="preserve"> likely create some additional restructuring charges during 2017</w:t>
      </w:r>
      <w:r w:rsidR="00663DE3">
        <w:rPr>
          <w:rFonts w:asciiTheme="minorHAnsi" w:hAnsiTheme="minorHAnsi" w:cstheme="minorHAnsi"/>
          <w:szCs w:val="20"/>
        </w:rPr>
        <w:t xml:space="preserve"> and 2018</w:t>
      </w:r>
      <w:r w:rsidR="00CE2C74" w:rsidRPr="009E3F86">
        <w:rPr>
          <w:rFonts w:asciiTheme="minorHAnsi" w:hAnsiTheme="minorHAnsi" w:cstheme="minorHAnsi"/>
          <w:szCs w:val="20"/>
        </w:rPr>
        <w:t>.</w:t>
      </w:r>
    </w:p>
    <w:p w:rsidR="00545254" w:rsidRDefault="00545254" w:rsidP="00B642ED">
      <w:pPr>
        <w:jc w:val="both"/>
        <w:rPr>
          <w:rFonts w:asciiTheme="minorHAnsi" w:hAnsiTheme="minorHAnsi" w:cstheme="minorHAnsi"/>
          <w:szCs w:val="20"/>
        </w:rPr>
      </w:pPr>
    </w:p>
    <w:p w:rsidR="00FD4F90" w:rsidRPr="00CE2C74" w:rsidRDefault="007C0F74" w:rsidP="00B642ED">
      <w:pPr>
        <w:jc w:val="both"/>
        <w:rPr>
          <w:rFonts w:asciiTheme="minorHAnsi" w:hAnsiTheme="minorHAnsi" w:cstheme="minorHAnsi"/>
          <w:szCs w:val="20"/>
        </w:rPr>
      </w:pPr>
      <w:r w:rsidRPr="00CE2C74">
        <w:rPr>
          <w:rFonts w:asciiTheme="minorHAnsi" w:hAnsiTheme="minorHAnsi" w:cstheme="minorHAnsi"/>
          <w:szCs w:val="20"/>
        </w:rPr>
        <w:t xml:space="preserve">RBS will be publishing its 2016 Annual </w:t>
      </w:r>
      <w:r w:rsidR="008F4F6A" w:rsidRPr="00CE2C74">
        <w:rPr>
          <w:rFonts w:asciiTheme="minorHAnsi" w:hAnsiTheme="minorHAnsi" w:cstheme="minorHAnsi"/>
          <w:szCs w:val="20"/>
        </w:rPr>
        <w:t xml:space="preserve">Results </w:t>
      </w:r>
      <w:r w:rsidRPr="00CE2C74">
        <w:rPr>
          <w:rFonts w:asciiTheme="minorHAnsi" w:hAnsiTheme="minorHAnsi" w:cstheme="minorHAnsi"/>
          <w:szCs w:val="20"/>
        </w:rPr>
        <w:t>on 24 February 2017</w:t>
      </w:r>
      <w:r w:rsidR="00FD4F90" w:rsidRPr="00CE2C74">
        <w:rPr>
          <w:rFonts w:asciiTheme="minorHAnsi" w:hAnsiTheme="minorHAnsi" w:cstheme="minorHAnsi"/>
          <w:szCs w:val="20"/>
        </w:rPr>
        <w:t>.</w:t>
      </w:r>
      <w:r w:rsidRPr="00CE2C74" w:rsidDel="007C0F74">
        <w:rPr>
          <w:rFonts w:asciiTheme="minorHAnsi" w:hAnsiTheme="minorHAnsi" w:cstheme="minorHAnsi"/>
          <w:szCs w:val="20"/>
        </w:rPr>
        <w:t xml:space="preserve"> </w:t>
      </w:r>
    </w:p>
    <w:p w:rsidR="00DD35CB" w:rsidRPr="00D13B2E" w:rsidRDefault="00DD35CB" w:rsidP="00B642ED">
      <w:pPr>
        <w:jc w:val="both"/>
        <w:rPr>
          <w:rFonts w:asciiTheme="minorHAnsi" w:hAnsiTheme="minorHAnsi" w:cstheme="minorHAnsi"/>
          <w:szCs w:val="20"/>
        </w:rPr>
      </w:pPr>
    </w:p>
    <w:p w:rsidR="00DD35CB" w:rsidRPr="00583BFC" w:rsidRDefault="00DD35CB" w:rsidP="00B642ED">
      <w:pPr>
        <w:jc w:val="both"/>
        <w:rPr>
          <w:rFonts w:asciiTheme="minorHAnsi" w:hAnsiTheme="minorHAnsi" w:cstheme="minorHAnsi"/>
          <w:szCs w:val="20"/>
        </w:rPr>
      </w:pPr>
      <w:r w:rsidRPr="00BF0991">
        <w:rPr>
          <w:rFonts w:asciiTheme="minorHAnsi" w:hAnsiTheme="minorHAnsi" w:cstheme="minorHAnsi"/>
          <w:szCs w:val="20"/>
        </w:rPr>
        <w:t>For enquiries please contact:</w:t>
      </w:r>
    </w:p>
    <w:p w:rsidR="00DD35CB" w:rsidRPr="00B642ED" w:rsidRDefault="00DD35CB" w:rsidP="00B642ED">
      <w:pPr>
        <w:jc w:val="both"/>
        <w:rPr>
          <w:rFonts w:asciiTheme="minorHAnsi" w:hAnsiTheme="minorHAnsi" w:cstheme="minorHAnsi"/>
          <w:szCs w:val="20"/>
        </w:rPr>
      </w:pPr>
    </w:p>
    <w:p w:rsidR="005901EC" w:rsidRPr="00B642ED" w:rsidRDefault="005901EC" w:rsidP="00B642ED">
      <w:pPr>
        <w:jc w:val="both"/>
        <w:rPr>
          <w:b/>
          <w:bCs/>
          <w:szCs w:val="20"/>
        </w:rPr>
      </w:pPr>
      <w:r w:rsidRPr="00B642ED">
        <w:rPr>
          <w:b/>
          <w:bCs/>
          <w:szCs w:val="20"/>
        </w:rPr>
        <w:t>Investor Relations</w:t>
      </w:r>
    </w:p>
    <w:p w:rsidR="005901EC" w:rsidRPr="00B642ED" w:rsidRDefault="005901EC" w:rsidP="00B642ED">
      <w:pPr>
        <w:jc w:val="both"/>
        <w:rPr>
          <w:szCs w:val="20"/>
        </w:rPr>
      </w:pPr>
      <w:r w:rsidRPr="00B642ED">
        <w:rPr>
          <w:szCs w:val="20"/>
        </w:rPr>
        <w:t>Alexander Holcroft</w:t>
      </w:r>
    </w:p>
    <w:p w:rsidR="005901EC" w:rsidRPr="00B642ED" w:rsidRDefault="005901EC" w:rsidP="00B642ED">
      <w:pPr>
        <w:jc w:val="both"/>
        <w:rPr>
          <w:szCs w:val="20"/>
        </w:rPr>
      </w:pPr>
      <w:r w:rsidRPr="00B642ED">
        <w:rPr>
          <w:szCs w:val="20"/>
        </w:rPr>
        <w:t>Head of Equity Investor Relations</w:t>
      </w:r>
    </w:p>
    <w:p w:rsidR="005901EC" w:rsidRPr="00B642ED" w:rsidRDefault="005901EC" w:rsidP="00B642ED">
      <w:pPr>
        <w:jc w:val="both"/>
        <w:rPr>
          <w:szCs w:val="20"/>
        </w:rPr>
      </w:pPr>
      <w:r w:rsidRPr="00B642ED">
        <w:rPr>
          <w:szCs w:val="20"/>
        </w:rPr>
        <w:t>+44 (0) 20 7672 1758</w:t>
      </w:r>
    </w:p>
    <w:p w:rsidR="005901EC" w:rsidRPr="00B642ED" w:rsidRDefault="005901EC" w:rsidP="00B642ED">
      <w:pPr>
        <w:jc w:val="both"/>
        <w:rPr>
          <w:szCs w:val="20"/>
        </w:rPr>
      </w:pPr>
    </w:p>
    <w:p w:rsidR="005901EC" w:rsidRPr="00B642ED" w:rsidRDefault="005901EC" w:rsidP="00B642ED">
      <w:pPr>
        <w:jc w:val="both"/>
        <w:rPr>
          <w:szCs w:val="20"/>
        </w:rPr>
      </w:pPr>
      <w:r w:rsidRPr="00B642ED">
        <w:rPr>
          <w:szCs w:val="20"/>
        </w:rPr>
        <w:t>Matthew Richardson</w:t>
      </w:r>
    </w:p>
    <w:p w:rsidR="005901EC" w:rsidRPr="00B642ED" w:rsidRDefault="005901EC" w:rsidP="00B642ED">
      <w:pPr>
        <w:jc w:val="both"/>
        <w:rPr>
          <w:szCs w:val="20"/>
        </w:rPr>
      </w:pPr>
      <w:r w:rsidRPr="00B642ED">
        <w:rPr>
          <w:szCs w:val="20"/>
        </w:rPr>
        <w:t>Head of Fixed Income Investor Relations</w:t>
      </w:r>
    </w:p>
    <w:p w:rsidR="005901EC" w:rsidRPr="00B642ED" w:rsidRDefault="005901EC" w:rsidP="00B642ED">
      <w:pPr>
        <w:jc w:val="both"/>
        <w:rPr>
          <w:szCs w:val="20"/>
        </w:rPr>
      </w:pPr>
      <w:r w:rsidRPr="00B642ED">
        <w:rPr>
          <w:szCs w:val="20"/>
        </w:rPr>
        <w:t>+44 (0) 20 7678 1800</w:t>
      </w:r>
    </w:p>
    <w:p w:rsidR="005901EC" w:rsidRPr="00B642ED" w:rsidRDefault="005901EC" w:rsidP="00B642ED">
      <w:pPr>
        <w:jc w:val="both"/>
        <w:rPr>
          <w:szCs w:val="20"/>
        </w:rPr>
      </w:pPr>
    </w:p>
    <w:p w:rsidR="005901EC" w:rsidRPr="00B642ED" w:rsidRDefault="005901EC" w:rsidP="00B642ED">
      <w:pPr>
        <w:jc w:val="both"/>
        <w:rPr>
          <w:b/>
          <w:bCs/>
          <w:szCs w:val="20"/>
        </w:rPr>
      </w:pPr>
      <w:r w:rsidRPr="00B642ED">
        <w:rPr>
          <w:b/>
          <w:bCs/>
          <w:szCs w:val="20"/>
        </w:rPr>
        <w:t>RBS Media Relations</w:t>
      </w:r>
    </w:p>
    <w:p w:rsidR="005901EC" w:rsidRPr="00B642ED" w:rsidRDefault="005901EC" w:rsidP="00B642ED">
      <w:pPr>
        <w:jc w:val="both"/>
        <w:rPr>
          <w:szCs w:val="20"/>
        </w:rPr>
      </w:pPr>
      <w:r w:rsidRPr="00B642ED">
        <w:rPr>
          <w:szCs w:val="20"/>
        </w:rPr>
        <w:lastRenderedPageBreak/>
        <w:t>+44 (0) 131 523 4205</w:t>
      </w:r>
    </w:p>
    <w:p w:rsidR="00F00D3A" w:rsidRDefault="005901EC" w:rsidP="00B642ED">
      <w:pPr>
        <w:jc w:val="both"/>
      </w:pPr>
      <w:r w:rsidRPr="00BF0991" w:rsidDel="005901EC">
        <w:rPr>
          <w:rFonts w:asciiTheme="minorHAnsi" w:hAnsiTheme="minorHAnsi" w:cstheme="minorHAnsi"/>
          <w:b/>
          <w:szCs w:val="20"/>
        </w:rPr>
        <w:t xml:space="preserve"> </w:t>
      </w:r>
    </w:p>
    <w:p w:rsidR="00D42B0B" w:rsidRDefault="00D42B0B" w:rsidP="00B642ED">
      <w:pPr>
        <w:jc w:val="both"/>
      </w:pPr>
      <w:r>
        <w:t>Additional information:</w:t>
      </w:r>
    </w:p>
    <w:p w:rsidR="00D42B0B" w:rsidRDefault="00D42B0B" w:rsidP="00B642ED">
      <w:pPr>
        <w:jc w:val="both"/>
      </w:pPr>
    </w:p>
    <w:p w:rsidR="00545254" w:rsidRPr="00545254" w:rsidRDefault="00545254" w:rsidP="00B642ED">
      <w:pPr>
        <w:jc w:val="both"/>
        <w:rPr>
          <w:rFonts w:asciiTheme="minorHAnsi" w:hAnsiTheme="minorHAnsi" w:cstheme="minorHAnsi"/>
          <w:szCs w:val="20"/>
        </w:rPr>
      </w:pPr>
      <w:r w:rsidRPr="00545254">
        <w:rPr>
          <w:rFonts w:cs="Arial"/>
          <w:iCs/>
          <w:szCs w:val="20"/>
          <w:lang w:eastAsia="en-GB"/>
        </w:rPr>
        <w:t>Our Q3 2016 Financial Supplement disclose</w:t>
      </w:r>
      <w:r w:rsidR="00D42B0B">
        <w:rPr>
          <w:rFonts w:cs="Arial"/>
          <w:iCs/>
          <w:szCs w:val="20"/>
          <w:lang w:eastAsia="en-GB"/>
        </w:rPr>
        <w:t>d</w:t>
      </w:r>
      <w:r w:rsidRPr="00545254">
        <w:rPr>
          <w:rFonts w:cs="Arial"/>
          <w:iCs/>
          <w:szCs w:val="20"/>
          <w:lang w:eastAsia="en-GB"/>
        </w:rPr>
        <w:t xml:space="preserve"> a breakdown of Williams &amp; Glyn's income and customer loans and advances between Retail and Commercial as set out in the table below</w:t>
      </w:r>
    </w:p>
    <w:tbl>
      <w:tblPr>
        <w:tblW w:w="9390" w:type="dxa"/>
        <w:tblInd w:w="93" w:type="dxa"/>
        <w:tblLook w:val="04A0" w:firstRow="1" w:lastRow="0" w:firstColumn="1" w:lastColumn="0" w:noHBand="0" w:noVBand="1"/>
      </w:tblPr>
      <w:tblGrid>
        <w:gridCol w:w="6330"/>
        <w:gridCol w:w="1497"/>
        <w:gridCol w:w="1563"/>
      </w:tblGrid>
      <w:tr w:rsidR="00545254" w:rsidRPr="00987F64" w:rsidTr="00BF5F46">
        <w:trPr>
          <w:trHeight w:val="360"/>
        </w:trPr>
        <w:tc>
          <w:tcPr>
            <w:tcW w:w="6330" w:type="dxa"/>
            <w:tcBorders>
              <w:top w:val="nil"/>
              <w:left w:val="nil"/>
              <w:bottom w:val="nil"/>
              <w:right w:val="nil"/>
            </w:tcBorders>
            <w:shd w:val="clear" w:color="auto" w:fill="auto"/>
            <w:noWrap/>
            <w:vAlign w:val="center"/>
            <w:hideMark/>
          </w:tcPr>
          <w:p w:rsidR="00545254" w:rsidRPr="00987F64" w:rsidRDefault="00545254" w:rsidP="00B642ED">
            <w:pPr>
              <w:jc w:val="both"/>
              <w:rPr>
                <w:rFonts w:asciiTheme="minorHAnsi" w:eastAsia="Times New Roman" w:hAnsiTheme="minorHAnsi" w:cstheme="minorHAnsi"/>
                <w:b/>
                <w:bCs/>
                <w:color w:val="003366"/>
                <w:szCs w:val="20"/>
                <w:lang w:eastAsia="en-GB"/>
              </w:rPr>
            </w:pPr>
          </w:p>
        </w:tc>
        <w:tc>
          <w:tcPr>
            <w:tcW w:w="1497" w:type="dxa"/>
            <w:tcBorders>
              <w:top w:val="nil"/>
              <w:left w:val="nil"/>
              <w:bottom w:val="nil"/>
              <w:right w:val="nil"/>
            </w:tcBorders>
            <w:shd w:val="clear" w:color="000000" w:fill="FFFFFF"/>
            <w:vAlign w:val="bottom"/>
            <w:hideMark/>
          </w:tcPr>
          <w:p w:rsidR="00545254" w:rsidRPr="00987F64" w:rsidRDefault="00545254" w:rsidP="00B642ED">
            <w:pPr>
              <w:jc w:val="both"/>
              <w:rPr>
                <w:rFonts w:asciiTheme="minorHAnsi" w:eastAsia="Times New Roman" w:hAnsiTheme="minorHAnsi" w:cstheme="minorHAnsi"/>
                <w:szCs w:val="20"/>
                <w:lang w:eastAsia="en-GB"/>
              </w:rPr>
            </w:pPr>
            <w:r w:rsidRPr="00987F64">
              <w:rPr>
                <w:rFonts w:asciiTheme="minorHAnsi" w:eastAsia="Times New Roman" w:hAnsiTheme="minorHAnsi" w:cstheme="minorHAnsi"/>
                <w:szCs w:val="20"/>
                <w:lang w:eastAsia="en-GB"/>
              </w:rPr>
              <w:t> </w:t>
            </w:r>
          </w:p>
        </w:tc>
        <w:tc>
          <w:tcPr>
            <w:tcW w:w="1563" w:type="dxa"/>
            <w:tcBorders>
              <w:top w:val="nil"/>
              <w:left w:val="nil"/>
              <w:bottom w:val="nil"/>
              <w:right w:val="nil"/>
            </w:tcBorders>
            <w:shd w:val="clear" w:color="auto" w:fill="auto"/>
            <w:vAlign w:val="bottom"/>
            <w:hideMark/>
          </w:tcPr>
          <w:p w:rsidR="00545254" w:rsidRPr="00987F64" w:rsidRDefault="00545254" w:rsidP="00B642ED">
            <w:pPr>
              <w:jc w:val="both"/>
              <w:rPr>
                <w:rFonts w:asciiTheme="minorHAnsi" w:eastAsia="Times New Roman" w:hAnsiTheme="minorHAnsi" w:cstheme="minorHAnsi"/>
                <w:b/>
                <w:bCs/>
                <w:szCs w:val="20"/>
                <w:lang w:eastAsia="en-GB"/>
              </w:rPr>
            </w:pPr>
          </w:p>
        </w:tc>
      </w:tr>
      <w:tr w:rsidR="00545254" w:rsidRPr="00987F64" w:rsidTr="00BF5F46">
        <w:trPr>
          <w:trHeight w:val="360"/>
        </w:trPr>
        <w:tc>
          <w:tcPr>
            <w:tcW w:w="6330" w:type="dxa"/>
            <w:tcBorders>
              <w:top w:val="nil"/>
              <w:left w:val="nil"/>
              <w:bottom w:val="single" w:sz="4" w:space="0" w:color="003366"/>
              <w:right w:val="nil"/>
            </w:tcBorders>
            <w:shd w:val="clear" w:color="auto" w:fill="auto"/>
            <w:noWrap/>
            <w:vAlign w:val="center"/>
            <w:hideMark/>
          </w:tcPr>
          <w:p w:rsidR="00545254" w:rsidRPr="00987F64" w:rsidRDefault="00545254" w:rsidP="00B642ED">
            <w:pPr>
              <w:jc w:val="both"/>
              <w:rPr>
                <w:rFonts w:asciiTheme="minorHAnsi" w:eastAsia="Times New Roman" w:hAnsiTheme="minorHAnsi" w:cstheme="minorHAnsi"/>
                <w:b/>
                <w:bCs/>
                <w:color w:val="003366"/>
                <w:szCs w:val="20"/>
                <w:lang w:eastAsia="en-GB"/>
              </w:rPr>
            </w:pPr>
            <w:r w:rsidRPr="00987F64">
              <w:rPr>
                <w:rFonts w:asciiTheme="minorHAnsi" w:eastAsia="Times New Roman" w:hAnsiTheme="minorHAnsi" w:cstheme="minorHAnsi"/>
                <w:b/>
                <w:bCs/>
                <w:color w:val="003366"/>
                <w:szCs w:val="20"/>
                <w:lang w:eastAsia="en-GB"/>
              </w:rPr>
              <w:t>Segment Performance</w:t>
            </w:r>
          </w:p>
        </w:tc>
        <w:tc>
          <w:tcPr>
            <w:tcW w:w="1497" w:type="dxa"/>
            <w:tcBorders>
              <w:top w:val="nil"/>
              <w:left w:val="nil"/>
              <w:bottom w:val="single" w:sz="4" w:space="0" w:color="003366"/>
              <w:right w:val="nil"/>
            </w:tcBorders>
            <w:shd w:val="clear" w:color="000000" w:fill="FFFFFF"/>
            <w:vAlign w:val="bottom"/>
            <w:hideMark/>
          </w:tcPr>
          <w:p w:rsidR="00545254" w:rsidRPr="00987F64" w:rsidRDefault="00545254" w:rsidP="00B642ED">
            <w:pPr>
              <w:jc w:val="both"/>
              <w:rPr>
                <w:rFonts w:asciiTheme="minorHAnsi" w:eastAsia="Times New Roman" w:hAnsiTheme="minorHAnsi" w:cstheme="minorHAnsi"/>
                <w:szCs w:val="20"/>
                <w:lang w:eastAsia="en-GB"/>
              </w:rPr>
            </w:pPr>
            <w:r w:rsidRPr="00987F64">
              <w:rPr>
                <w:rFonts w:asciiTheme="minorHAnsi" w:eastAsia="Times New Roman" w:hAnsiTheme="minorHAnsi" w:cstheme="minorHAnsi"/>
                <w:szCs w:val="20"/>
                <w:lang w:eastAsia="en-GB"/>
              </w:rPr>
              <w:t> </w:t>
            </w:r>
          </w:p>
        </w:tc>
        <w:tc>
          <w:tcPr>
            <w:tcW w:w="1563" w:type="dxa"/>
            <w:tcBorders>
              <w:top w:val="nil"/>
              <w:left w:val="nil"/>
              <w:bottom w:val="single" w:sz="4" w:space="0" w:color="003366"/>
              <w:right w:val="nil"/>
            </w:tcBorders>
            <w:shd w:val="clear" w:color="auto" w:fill="auto"/>
            <w:vAlign w:val="bottom"/>
            <w:hideMark/>
          </w:tcPr>
          <w:p w:rsidR="00545254" w:rsidRPr="00987F64" w:rsidRDefault="00545254" w:rsidP="00B642ED">
            <w:pPr>
              <w:jc w:val="both"/>
              <w:rPr>
                <w:rFonts w:asciiTheme="minorHAnsi" w:eastAsia="Times New Roman" w:hAnsiTheme="minorHAnsi" w:cstheme="minorHAnsi"/>
                <w:b/>
                <w:bCs/>
                <w:szCs w:val="20"/>
                <w:lang w:eastAsia="en-GB"/>
              </w:rPr>
            </w:pPr>
            <w:r w:rsidRPr="00987F64">
              <w:rPr>
                <w:rFonts w:asciiTheme="minorHAnsi" w:eastAsia="Times New Roman" w:hAnsiTheme="minorHAnsi" w:cstheme="minorHAnsi"/>
                <w:b/>
                <w:bCs/>
                <w:szCs w:val="20"/>
                <w:lang w:eastAsia="en-GB"/>
              </w:rPr>
              <w:t> </w:t>
            </w:r>
          </w:p>
        </w:tc>
      </w:tr>
      <w:tr w:rsidR="00545254" w:rsidRPr="00987F64" w:rsidTr="00BF5F46">
        <w:trPr>
          <w:trHeight w:val="315"/>
        </w:trPr>
        <w:tc>
          <w:tcPr>
            <w:tcW w:w="6330" w:type="dxa"/>
            <w:tcBorders>
              <w:top w:val="nil"/>
              <w:left w:val="nil"/>
              <w:bottom w:val="nil"/>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szCs w:val="20"/>
                <w:lang w:eastAsia="en-GB"/>
              </w:rPr>
            </w:pPr>
          </w:p>
        </w:tc>
        <w:tc>
          <w:tcPr>
            <w:tcW w:w="1497" w:type="dxa"/>
            <w:tcBorders>
              <w:top w:val="nil"/>
              <w:left w:val="nil"/>
              <w:bottom w:val="nil"/>
              <w:right w:val="nil"/>
            </w:tcBorders>
            <w:shd w:val="clear" w:color="000000" w:fill="FFFFFF"/>
            <w:vAlign w:val="bottom"/>
            <w:hideMark/>
          </w:tcPr>
          <w:p w:rsidR="00545254" w:rsidRPr="00987F64" w:rsidRDefault="00545254" w:rsidP="00B642ED">
            <w:pPr>
              <w:jc w:val="both"/>
              <w:rPr>
                <w:rFonts w:asciiTheme="minorHAnsi" w:eastAsia="Times New Roman" w:hAnsiTheme="minorHAnsi" w:cstheme="minorHAnsi"/>
                <w:szCs w:val="20"/>
                <w:lang w:eastAsia="en-GB"/>
              </w:rPr>
            </w:pPr>
            <w:r w:rsidRPr="00987F64">
              <w:rPr>
                <w:rFonts w:asciiTheme="minorHAnsi" w:eastAsia="Times New Roman" w:hAnsiTheme="minorHAnsi" w:cstheme="minorHAnsi"/>
                <w:szCs w:val="20"/>
                <w:lang w:eastAsia="en-GB"/>
              </w:rPr>
              <w:t> </w:t>
            </w:r>
          </w:p>
        </w:tc>
        <w:tc>
          <w:tcPr>
            <w:tcW w:w="1563" w:type="dxa"/>
            <w:tcBorders>
              <w:top w:val="nil"/>
              <w:left w:val="nil"/>
              <w:bottom w:val="nil"/>
              <w:right w:val="nil"/>
            </w:tcBorders>
            <w:shd w:val="clear" w:color="auto" w:fill="auto"/>
            <w:vAlign w:val="bottom"/>
            <w:hideMark/>
          </w:tcPr>
          <w:p w:rsidR="00545254" w:rsidRPr="00987F64" w:rsidRDefault="00545254" w:rsidP="00B642ED">
            <w:pPr>
              <w:jc w:val="both"/>
              <w:rPr>
                <w:rFonts w:asciiTheme="minorHAnsi" w:eastAsia="Times New Roman" w:hAnsiTheme="minorHAnsi" w:cstheme="minorHAnsi"/>
                <w:b/>
                <w:bCs/>
                <w:szCs w:val="20"/>
                <w:lang w:eastAsia="en-GB"/>
              </w:rPr>
            </w:pPr>
          </w:p>
        </w:tc>
      </w:tr>
      <w:tr w:rsidR="00545254" w:rsidRPr="00987F64" w:rsidTr="00BF5F46">
        <w:trPr>
          <w:trHeight w:val="360"/>
        </w:trPr>
        <w:tc>
          <w:tcPr>
            <w:tcW w:w="6330" w:type="dxa"/>
            <w:tcBorders>
              <w:top w:val="nil"/>
              <w:left w:val="nil"/>
              <w:bottom w:val="nil"/>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b/>
                <w:bCs/>
                <w:color w:val="003366"/>
                <w:szCs w:val="20"/>
                <w:lang w:eastAsia="en-GB"/>
              </w:rPr>
            </w:pPr>
            <w:r w:rsidRPr="00987F64">
              <w:rPr>
                <w:rFonts w:asciiTheme="minorHAnsi" w:eastAsia="Times New Roman" w:hAnsiTheme="minorHAnsi" w:cstheme="minorHAnsi"/>
                <w:b/>
                <w:bCs/>
                <w:color w:val="003366"/>
                <w:szCs w:val="20"/>
                <w:lang w:eastAsia="en-GB"/>
              </w:rPr>
              <w:t>Williams &amp; Glyn</w:t>
            </w:r>
          </w:p>
        </w:tc>
        <w:tc>
          <w:tcPr>
            <w:tcW w:w="1497" w:type="dxa"/>
            <w:tcBorders>
              <w:top w:val="nil"/>
              <w:left w:val="nil"/>
              <w:bottom w:val="nil"/>
              <w:right w:val="nil"/>
            </w:tcBorders>
            <w:shd w:val="clear" w:color="000000" w:fill="FFFFFF"/>
            <w:vAlign w:val="bottom"/>
            <w:hideMark/>
          </w:tcPr>
          <w:p w:rsidR="00545254" w:rsidRPr="00987F64" w:rsidRDefault="00545254" w:rsidP="00B642ED">
            <w:pPr>
              <w:jc w:val="both"/>
              <w:rPr>
                <w:rFonts w:asciiTheme="minorHAnsi" w:eastAsia="Times New Roman" w:hAnsiTheme="minorHAnsi" w:cstheme="minorHAnsi"/>
                <w:szCs w:val="20"/>
                <w:lang w:eastAsia="en-GB"/>
              </w:rPr>
            </w:pPr>
            <w:r w:rsidRPr="00987F64">
              <w:rPr>
                <w:rFonts w:asciiTheme="minorHAnsi" w:eastAsia="Times New Roman" w:hAnsiTheme="minorHAnsi" w:cstheme="minorHAnsi"/>
                <w:szCs w:val="20"/>
                <w:lang w:eastAsia="en-GB"/>
              </w:rPr>
              <w:t> </w:t>
            </w:r>
          </w:p>
        </w:tc>
        <w:tc>
          <w:tcPr>
            <w:tcW w:w="1563" w:type="dxa"/>
            <w:tcBorders>
              <w:top w:val="nil"/>
              <w:left w:val="nil"/>
              <w:bottom w:val="nil"/>
              <w:right w:val="nil"/>
            </w:tcBorders>
            <w:shd w:val="clear" w:color="auto" w:fill="auto"/>
            <w:vAlign w:val="bottom"/>
            <w:hideMark/>
          </w:tcPr>
          <w:p w:rsidR="00545254" w:rsidRPr="00987F64" w:rsidRDefault="00545254" w:rsidP="00B642ED">
            <w:pPr>
              <w:jc w:val="both"/>
              <w:rPr>
                <w:rFonts w:asciiTheme="minorHAnsi" w:eastAsia="Times New Roman" w:hAnsiTheme="minorHAnsi" w:cstheme="minorHAnsi"/>
                <w:b/>
                <w:bCs/>
                <w:szCs w:val="20"/>
                <w:lang w:eastAsia="en-GB"/>
              </w:rPr>
            </w:pPr>
          </w:p>
        </w:tc>
      </w:tr>
      <w:tr w:rsidR="00545254" w:rsidRPr="00987F64" w:rsidTr="00BF5F46">
        <w:trPr>
          <w:trHeight w:val="315"/>
        </w:trPr>
        <w:tc>
          <w:tcPr>
            <w:tcW w:w="6330" w:type="dxa"/>
            <w:tcBorders>
              <w:top w:val="nil"/>
              <w:left w:val="nil"/>
              <w:bottom w:val="nil"/>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szCs w:val="20"/>
                <w:lang w:eastAsia="en-GB"/>
              </w:rPr>
            </w:pPr>
          </w:p>
        </w:tc>
        <w:tc>
          <w:tcPr>
            <w:tcW w:w="1497" w:type="dxa"/>
            <w:tcBorders>
              <w:top w:val="nil"/>
              <w:left w:val="nil"/>
              <w:bottom w:val="single" w:sz="4" w:space="0" w:color="003366"/>
              <w:right w:val="nil"/>
            </w:tcBorders>
            <w:shd w:val="clear" w:color="auto" w:fill="auto"/>
            <w:vAlign w:val="bottom"/>
            <w:hideMark/>
          </w:tcPr>
          <w:p w:rsidR="00545254" w:rsidRPr="00987F64" w:rsidRDefault="00545254" w:rsidP="00B642ED">
            <w:pPr>
              <w:jc w:val="both"/>
              <w:rPr>
                <w:rFonts w:asciiTheme="minorHAnsi" w:eastAsia="Times New Roman" w:hAnsiTheme="minorHAnsi" w:cstheme="minorHAnsi"/>
                <w:color w:val="003366"/>
                <w:szCs w:val="20"/>
                <w:lang w:eastAsia="en-GB"/>
              </w:rPr>
            </w:pPr>
            <w:r w:rsidRPr="00987F64">
              <w:rPr>
                <w:rFonts w:asciiTheme="minorHAnsi" w:eastAsia="Times New Roman" w:hAnsiTheme="minorHAnsi" w:cstheme="minorHAnsi"/>
                <w:color w:val="003366"/>
                <w:szCs w:val="20"/>
                <w:lang w:eastAsia="en-GB"/>
              </w:rPr>
              <w:t>2015</w:t>
            </w:r>
          </w:p>
        </w:tc>
        <w:tc>
          <w:tcPr>
            <w:tcW w:w="1563" w:type="dxa"/>
            <w:tcBorders>
              <w:top w:val="nil"/>
              <w:left w:val="nil"/>
              <w:bottom w:val="single" w:sz="4" w:space="0" w:color="003366"/>
              <w:right w:val="nil"/>
            </w:tcBorders>
            <w:shd w:val="clear" w:color="auto" w:fill="auto"/>
            <w:vAlign w:val="bottom"/>
            <w:hideMark/>
          </w:tcPr>
          <w:p w:rsidR="00545254" w:rsidRPr="00987F64" w:rsidRDefault="00545254" w:rsidP="00B642ED">
            <w:pPr>
              <w:jc w:val="both"/>
              <w:rPr>
                <w:rFonts w:asciiTheme="minorHAnsi" w:eastAsia="Times New Roman" w:hAnsiTheme="minorHAnsi" w:cstheme="minorHAnsi"/>
                <w:b/>
                <w:bCs/>
                <w:color w:val="003366"/>
                <w:szCs w:val="20"/>
                <w:lang w:eastAsia="en-GB"/>
              </w:rPr>
            </w:pPr>
            <w:r w:rsidRPr="00987F64">
              <w:rPr>
                <w:rFonts w:asciiTheme="minorHAnsi" w:eastAsia="Times New Roman" w:hAnsiTheme="minorHAnsi" w:cstheme="minorHAnsi"/>
                <w:b/>
                <w:bCs/>
                <w:color w:val="003366"/>
                <w:szCs w:val="20"/>
                <w:lang w:eastAsia="en-GB"/>
              </w:rPr>
              <w:t>2016</w:t>
            </w:r>
          </w:p>
        </w:tc>
      </w:tr>
      <w:tr w:rsidR="00545254" w:rsidRPr="00987F64" w:rsidTr="00BF5F46">
        <w:trPr>
          <w:trHeight w:val="315"/>
        </w:trPr>
        <w:tc>
          <w:tcPr>
            <w:tcW w:w="6330" w:type="dxa"/>
            <w:tcBorders>
              <w:top w:val="nil"/>
              <w:left w:val="nil"/>
              <w:bottom w:val="nil"/>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color w:val="003366"/>
                <w:szCs w:val="20"/>
                <w:lang w:eastAsia="en-GB"/>
              </w:rPr>
            </w:pPr>
          </w:p>
        </w:tc>
        <w:tc>
          <w:tcPr>
            <w:tcW w:w="1497" w:type="dxa"/>
            <w:tcBorders>
              <w:top w:val="nil"/>
              <w:left w:val="nil"/>
              <w:bottom w:val="nil"/>
              <w:right w:val="nil"/>
            </w:tcBorders>
            <w:shd w:val="clear" w:color="auto" w:fill="auto"/>
            <w:vAlign w:val="bottom"/>
            <w:hideMark/>
          </w:tcPr>
          <w:p w:rsidR="00545254" w:rsidRPr="00987F64" w:rsidRDefault="00545254" w:rsidP="00B642ED">
            <w:pPr>
              <w:jc w:val="both"/>
              <w:rPr>
                <w:rFonts w:asciiTheme="minorHAnsi" w:eastAsia="Times New Roman" w:hAnsiTheme="minorHAnsi" w:cstheme="minorHAnsi"/>
                <w:color w:val="003366"/>
                <w:szCs w:val="20"/>
                <w:lang w:eastAsia="en-GB"/>
              </w:rPr>
            </w:pPr>
            <w:r w:rsidRPr="00987F64">
              <w:rPr>
                <w:rFonts w:asciiTheme="minorHAnsi" w:eastAsia="Times New Roman" w:hAnsiTheme="minorHAnsi" w:cstheme="minorHAnsi"/>
                <w:color w:val="003366"/>
                <w:szCs w:val="20"/>
                <w:lang w:eastAsia="en-GB"/>
              </w:rPr>
              <w:t>Q3 YTD</w:t>
            </w:r>
          </w:p>
        </w:tc>
        <w:tc>
          <w:tcPr>
            <w:tcW w:w="1563" w:type="dxa"/>
            <w:tcBorders>
              <w:top w:val="nil"/>
              <w:left w:val="nil"/>
              <w:bottom w:val="nil"/>
              <w:right w:val="nil"/>
            </w:tcBorders>
            <w:shd w:val="clear" w:color="auto" w:fill="auto"/>
            <w:vAlign w:val="bottom"/>
            <w:hideMark/>
          </w:tcPr>
          <w:p w:rsidR="00545254" w:rsidRPr="00987F64" w:rsidRDefault="00545254" w:rsidP="00B642ED">
            <w:pPr>
              <w:jc w:val="both"/>
              <w:rPr>
                <w:rFonts w:asciiTheme="minorHAnsi" w:eastAsia="Times New Roman" w:hAnsiTheme="minorHAnsi" w:cstheme="minorHAnsi"/>
                <w:b/>
                <w:bCs/>
                <w:color w:val="003366"/>
                <w:szCs w:val="20"/>
                <w:lang w:eastAsia="en-GB"/>
              </w:rPr>
            </w:pPr>
            <w:r w:rsidRPr="00987F64">
              <w:rPr>
                <w:rFonts w:asciiTheme="minorHAnsi" w:eastAsia="Times New Roman" w:hAnsiTheme="minorHAnsi" w:cstheme="minorHAnsi"/>
                <w:b/>
                <w:bCs/>
                <w:color w:val="003366"/>
                <w:szCs w:val="20"/>
                <w:lang w:eastAsia="en-GB"/>
              </w:rPr>
              <w:t>Q3 YTD</w:t>
            </w:r>
          </w:p>
        </w:tc>
      </w:tr>
      <w:tr w:rsidR="00545254" w:rsidRPr="00987F64" w:rsidTr="00BF5F46">
        <w:trPr>
          <w:trHeight w:val="315"/>
        </w:trPr>
        <w:tc>
          <w:tcPr>
            <w:tcW w:w="6330" w:type="dxa"/>
            <w:tcBorders>
              <w:top w:val="nil"/>
              <w:left w:val="nil"/>
              <w:bottom w:val="single" w:sz="4" w:space="0" w:color="003366"/>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b/>
                <w:bCs/>
                <w:color w:val="003366"/>
                <w:szCs w:val="20"/>
                <w:lang w:eastAsia="en-GB"/>
              </w:rPr>
            </w:pPr>
            <w:r w:rsidRPr="00987F64">
              <w:rPr>
                <w:rFonts w:asciiTheme="minorHAnsi" w:eastAsia="Times New Roman" w:hAnsiTheme="minorHAnsi" w:cstheme="minorHAnsi"/>
                <w:b/>
                <w:bCs/>
                <w:color w:val="003366"/>
                <w:szCs w:val="20"/>
                <w:lang w:eastAsia="en-GB"/>
              </w:rPr>
              <w:t>Income statement (1)</w:t>
            </w:r>
          </w:p>
        </w:tc>
        <w:tc>
          <w:tcPr>
            <w:tcW w:w="1497" w:type="dxa"/>
            <w:tcBorders>
              <w:top w:val="nil"/>
              <w:left w:val="nil"/>
              <w:bottom w:val="single" w:sz="4" w:space="0" w:color="003366"/>
              <w:right w:val="nil"/>
            </w:tcBorders>
            <w:shd w:val="clear" w:color="auto" w:fill="auto"/>
            <w:vAlign w:val="bottom"/>
            <w:hideMark/>
          </w:tcPr>
          <w:p w:rsidR="00545254" w:rsidRPr="00987F64" w:rsidRDefault="00545254" w:rsidP="00B642ED">
            <w:pPr>
              <w:jc w:val="both"/>
              <w:rPr>
                <w:rFonts w:asciiTheme="minorHAnsi" w:eastAsia="Times New Roman" w:hAnsiTheme="minorHAnsi" w:cstheme="minorHAnsi"/>
                <w:color w:val="003366"/>
                <w:szCs w:val="20"/>
                <w:lang w:eastAsia="en-GB"/>
              </w:rPr>
            </w:pPr>
            <w:r w:rsidRPr="00987F64">
              <w:rPr>
                <w:rFonts w:asciiTheme="minorHAnsi" w:eastAsia="Times New Roman" w:hAnsiTheme="minorHAnsi" w:cstheme="minorHAnsi"/>
                <w:color w:val="003366"/>
                <w:szCs w:val="20"/>
                <w:lang w:eastAsia="en-GB"/>
              </w:rPr>
              <w:t>£m</w:t>
            </w:r>
          </w:p>
        </w:tc>
        <w:tc>
          <w:tcPr>
            <w:tcW w:w="1563" w:type="dxa"/>
            <w:tcBorders>
              <w:top w:val="nil"/>
              <w:left w:val="nil"/>
              <w:bottom w:val="single" w:sz="4" w:space="0" w:color="003366"/>
              <w:right w:val="nil"/>
            </w:tcBorders>
            <w:shd w:val="clear" w:color="auto" w:fill="auto"/>
            <w:vAlign w:val="bottom"/>
            <w:hideMark/>
          </w:tcPr>
          <w:p w:rsidR="00545254" w:rsidRPr="00987F64" w:rsidRDefault="00545254" w:rsidP="00B642ED">
            <w:pPr>
              <w:jc w:val="both"/>
              <w:rPr>
                <w:rFonts w:asciiTheme="minorHAnsi" w:eastAsia="Times New Roman" w:hAnsiTheme="minorHAnsi" w:cstheme="minorHAnsi"/>
                <w:b/>
                <w:bCs/>
                <w:color w:val="003366"/>
                <w:szCs w:val="20"/>
                <w:lang w:eastAsia="en-GB"/>
              </w:rPr>
            </w:pPr>
            <w:r w:rsidRPr="00987F64">
              <w:rPr>
                <w:rFonts w:asciiTheme="minorHAnsi" w:eastAsia="Times New Roman" w:hAnsiTheme="minorHAnsi" w:cstheme="minorHAnsi"/>
                <w:b/>
                <w:bCs/>
                <w:color w:val="003366"/>
                <w:szCs w:val="20"/>
                <w:lang w:eastAsia="en-GB"/>
              </w:rPr>
              <w:t>£m</w:t>
            </w:r>
          </w:p>
        </w:tc>
      </w:tr>
      <w:tr w:rsidR="00545254" w:rsidRPr="00987F64" w:rsidTr="00BF5F46">
        <w:trPr>
          <w:trHeight w:val="315"/>
        </w:trPr>
        <w:tc>
          <w:tcPr>
            <w:tcW w:w="6330" w:type="dxa"/>
            <w:tcBorders>
              <w:top w:val="nil"/>
              <w:left w:val="nil"/>
              <w:bottom w:val="nil"/>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szCs w:val="20"/>
                <w:lang w:eastAsia="en-GB"/>
              </w:rPr>
            </w:pPr>
          </w:p>
        </w:tc>
        <w:tc>
          <w:tcPr>
            <w:tcW w:w="1497" w:type="dxa"/>
            <w:tcBorders>
              <w:top w:val="nil"/>
              <w:left w:val="nil"/>
              <w:bottom w:val="nil"/>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szCs w:val="20"/>
                <w:lang w:eastAsia="en-GB"/>
              </w:rPr>
            </w:pPr>
          </w:p>
        </w:tc>
        <w:tc>
          <w:tcPr>
            <w:tcW w:w="1563" w:type="dxa"/>
            <w:tcBorders>
              <w:top w:val="nil"/>
              <w:left w:val="nil"/>
              <w:bottom w:val="nil"/>
              <w:right w:val="nil"/>
            </w:tcBorders>
            <w:shd w:val="clear" w:color="000000" w:fill="EAEAEA"/>
            <w:noWrap/>
            <w:vAlign w:val="bottom"/>
            <w:hideMark/>
          </w:tcPr>
          <w:p w:rsidR="00545254" w:rsidRPr="00987F64" w:rsidRDefault="00545254" w:rsidP="00B642ED">
            <w:pPr>
              <w:jc w:val="both"/>
              <w:rPr>
                <w:rFonts w:asciiTheme="minorHAnsi" w:eastAsia="Times New Roman" w:hAnsiTheme="minorHAnsi" w:cstheme="minorHAnsi"/>
                <w:b/>
                <w:bCs/>
                <w:szCs w:val="20"/>
                <w:lang w:eastAsia="en-GB"/>
              </w:rPr>
            </w:pPr>
            <w:r w:rsidRPr="00987F64">
              <w:rPr>
                <w:rFonts w:asciiTheme="minorHAnsi" w:eastAsia="Times New Roman" w:hAnsiTheme="minorHAnsi" w:cstheme="minorHAnsi"/>
                <w:b/>
                <w:bCs/>
                <w:szCs w:val="20"/>
                <w:lang w:eastAsia="en-GB"/>
              </w:rPr>
              <w:t> </w:t>
            </w:r>
          </w:p>
        </w:tc>
      </w:tr>
      <w:tr w:rsidR="00545254" w:rsidRPr="00987F64" w:rsidTr="00BF5F46">
        <w:trPr>
          <w:trHeight w:val="315"/>
        </w:trPr>
        <w:tc>
          <w:tcPr>
            <w:tcW w:w="6330" w:type="dxa"/>
            <w:tcBorders>
              <w:top w:val="nil"/>
              <w:left w:val="nil"/>
              <w:bottom w:val="nil"/>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b/>
                <w:bCs/>
                <w:color w:val="003366"/>
                <w:szCs w:val="20"/>
                <w:lang w:eastAsia="en-GB"/>
              </w:rPr>
            </w:pPr>
            <w:r w:rsidRPr="00987F64">
              <w:rPr>
                <w:rFonts w:asciiTheme="minorHAnsi" w:eastAsia="Times New Roman" w:hAnsiTheme="minorHAnsi" w:cstheme="minorHAnsi"/>
                <w:b/>
                <w:bCs/>
                <w:color w:val="003366"/>
                <w:szCs w:val="20"/>
                <w:lang w:eastAsia="en-GB"/>
              </w:rPr>
              <w:t>Analysis of income by product</w:t>
            </w:r>
          </w:p>
        </w:tc>
        <w:tc>
          <w:tcPr>
            <w:tcW w:w="1497" w:type="dxa"/>
            <w:tcBorders>
              <w:top w:val="nil"/>
              <w:left w:val="nil"/>
              <w:bottom w:val="nil"/>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szCs w:val="20"/>
                <w:lang w:eastAsia="en-GB"/>
              </w:rPr>
            </w:pPr>
          </w:p>
        </w:tc>
        <w:tc>
          <w:tcPr>
            <w:tcW w:w="1563" w:type="dxa"/>
            <w:tcBorders>
              <w:top w:val="nil"/>
              <w:left w:val="nil"/>
              <w:bottom w:val="nil"/>
              <w:right w:val="nil"/>
            </w:tcBorders>
            <w:shd w:val="clear" w:color="000000" w:fill="EAEAEA"/>
            <w:noWrap/>
            <w:vAlign w:val="bottom"/>
            <w:hideMark/>
          </w:tcPr>
          <w:p w:rsidR="00545254" w:rsidRPr="00987F64" w:rsidRDefault="00545254" w:rsidP="00B642ED">
            <w:pPr>
              <w:jc w:val="both"/>
              <w:rPr>
                <w:rFonts w:asciiTheme="minorHAnsi" w:eastAsia="Times New Roman" w:hAnsiTheme="minorHAnsi" w:cstheme="minorHAnsi"/>
                <w:b/>
                <w:bCs/>
                <w:szCs w:val="20"/>
                <w:lang w:eastAsia="en-GB"/>
              </w:rPr>
            </w:pPr>
            <w:r w:rsidRPr="00987F64">
              <w:rPr>
                <w:rFonts w:asciiTheme="minorHAnsi" w:eastAsia="Times New Roman" w:hAnsiTheme="minorHAnsi" w:cstheme="minorHAnsi"/>
                <w:b/>
                <w:bCs/>
                <w:szCs w:val="20"/>
                <w:lang w:eastAsia="en-GB"/>
              </w:rPr>
              <w:t> </w:t>
            </w:r>
          </w:p>
        </w:tc>
      </w:tr>
      <w:tr w:rsidR="00545254" w:rsidRPr="00987F64" w:rsidTr="00BF5F46">
        <w:trPr>
          <w:trHeight w:val="315"/>
        </w:trPr>
        <w:tc>
          <w:tcPr>
            <w:tcW w:w="6330" w:type="dxa"/>
            <w:tcBorders>
              <w:top w:val="nil"/>
              <w:left w:val="nil"/>
              <w:bottom w:val="nil"/>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szCs w:val="20"/>
                <w:lang w:eastAsia="en-GB"/>
              </w:rPr>
            </w:pPr>
            <w:r w:rsidRPr="00987F64">
              <w:rPr>
                <w:rFonts w:asciiTheme="minorHAnsi" w:eastAsia="Times New Roman" w:hAnsiTheme="minorHAnsi" w:cstheme="minorHAnsi"/>
                <w:szCs w:val="20"/>
                <w:lang w:eastAsia="en-GB"/>
              </w:rPr>
              <w:t>Retail</w:t>
            </w:r>
          </w:p>
        </w:tc>
        <w:tc>
          <w:tcPr>
            <w:tcW w:w="1497" w:type="dxa"/>
            <w:tcBorders>
              <w:top w:val="nil"/>
              <w:left w:val="nil"/>
              <w:bottom w:val="nil"/>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szCs w:val="20"/>
                <w:lang w:eastAsia="en-GB"/>
              </w:rPr>
            </w:pPr>
            <w:r w:rsidRPr="00987F64">
              <w:rPr>
                <w:rFonts w:asciiTheme="minorHAnsi" w:eastAsia="Times New Roman" w:hAnsiTheme="minorHAnsi" w:cstheme="minorHAnsi"/>
                <w:szCs w:val="20"/>
                <w:lang w:eastAsia="en-GB"/>
              </w:rPr>
              <w:t xml:space="preserve">355 </w:t>
            </w:r>
          </w:p>
        </w:tc>
        <w:tc>
          <w:tcPr>
            <w:tcW w:w="1563" w:type="dxa"/>
            <w:tcBorders>
              <w:top w:val="nil"/>
              <w:left w:val="nil"/>
              <w:bottom w:val="nil"/>
              <w:right w:val="nil"/>
            </w:tcBorders>
            <w:shd w:val="clear" w:color="000000" w:fill="EAEAEA"/>
            <w:noWrap/>
            <w:vAlign w:val="bottom"/>
            <w:hideMark/>
          </w:tcPr>
          <w:p w:rsidR="00545254" w:rsidRPr="00987F64" w:rsidRDefault="00545254" w:rsidP="00B642ED">
            <w:pPr>
              <w:jc w:val="both"/>
              <w:rPr>
                <w:rFonts w:asciiTheme="minorHAnsi" w:eastAsia="Times New Roman" w:hAnsiTheme="minorHAnsi" w:cstheme="minorHAnsi"/>
                <w:b/>
                <w:bCs/>
                <w:szCs w:val="20"/>
                <w:lang w:eastAsia="en-GB"/>
              </w:rPr>
            </w:pPr>
            <w:r w:rsidRPr="00987F64">
              <w:rPr>
                <w:rFonts w:asciiTheme="minorHAnsi" w:eastAsia="Times New Roman" w:hAnsiTheme="minorHAnsi" w:cstheme="minorHAnsi"/>
                <w:b/>
                <w:bCs/>
                <w:szCs w:val="20"/>
                <w:lang w:eastAsia="en-GB"/>
              </w:rPr>
              <w:t xml:space="preserve">351 </w:t>
            </w:r>
          </w:p>
        </w:tc>
      </w:tr>
      <w:tr w:rsidR="00545254" w:rsidRPr="00987F64" w:rsidTr="00BF5F46">
        <w:trPr>
          <w:trHeight w:val="315"/>
        </w:trPr>
        <w:tc>
          <w:tcPr>
            <w:tcW w:w="6330" w:type="dxa"/>
            <w:tcBorders>
              <w:top w:val="nil"/>
              <w:left w:val="nil"/>
              <w:bottom w:val="nil"/>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szCs w:val="20"/>
                <w:lang w:eastAsia="en-GB"/>
              </w:rPr>
            </w:pPr>
            <w:r w:rsidRPr="00987F64">
              <w:rPr>
                <w:rFonts w:asciiTheme="minorHAnsi" w:eastAsia="Times New Roman" w:hAnsiTheme="minorHAnsi" w:cstheme="minorHAnsi"/>
                <w:szCs w:val="20"/>
                <w:lang w:eastAsia="en-GB"/>
              </w:rPr>
              <w:t>Commercial</w:t>
            </w:r>
          </w:p>
        </w:tc>
        <w:tc>
          <w:tcPr>
            <w:tcW w:w="1497" w:type="dxa"/>
            <w:tcBorders>
              <w:top w:val="nil"/>
              <w:left w:val="nil"/>
              <w:bottom w:val="nil"/>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szCs w:val="20"/>
                <w:lang w:eastAsia="en-GB"/>
              </w:rPr>
            </w:pPr>
            <w:r w:rsidRPr="00987F64">
              <w:rPr>
                <w:rFonts w:asciiTheme="minorHAnsi" w:eastAsia="Times New Roman" w:hAnsiTheme="minorHAnsi" w:cstheme="minorHAnsi"/>
                <w:szCs w:val="20"/>
                <w:lang w:eastAsia="en-GB"/>
              </w:rPr>
              <w:t xml:space="preserve">270 </w:t>
            </w:r>
          </w:p>
        </w:tc>
        <w:tc>
          <w:tcPr>
            <w:tcW w:w="1563" w:type="dxa"/>
            <w:tcBorders>
              <w:top w:val="nil"/>
              <w:left w:val="nil"/>
              <w:bottom w:val="nil"/>
              <w:right w:val="nil"/>
            </w:tcBorders>
            <w:shd w:val="clear" w:color="000000" w:fill="EAEAEA"/>
            <w:noWrap/>
            <w:vAlign w:val="bottom"/>
            <w:hideMark/>
          </w:tcPr>
          <w:p w:rsidR="00545254" w:rsidRPr="00987F64" w:rsidRDefault="00545254" w:rsidP="00B642ED">
            <w:pPr>
              <w:jc w:val="both"/>
              <w:rPr>
                <w:rFonts w:asciiTheme="minorHAnsi" w:eastAsia="Times New Roman" w:hAnsiTheme="minorHAnsi" w:cstheme="minorHAnsi"/>
                <w:b/>
                <w:bCs/>
                <w:szCs w:val="20"/>
                <w:lang w:eastAsia="en-GB"/>
              </w:rPr>
            </w:pPr>
            <w:r w:rsidRPr="00987F64">
              <w:rPr>
                <w:rFonts w:asciiTheme="minorHAnsi" w:eastAsia="Times New Roman" w:hAnsiTheme="minorHAnsi" w:cstheme="minorHAnsi"/>
                <w:b/>
                <w:bCs/>
                <w:szCs w:val="20"/>
                <w:lang w:eastAsia="en-GB"/>
              </w:rPr>
              <w:t xml:space="preserve">269 </w:t>
            </w:r>
          </w:p>
        </w:tc>
      </w:tr>
      <w:tr w:rsidR="00545254" w:rsidRPr="00987F64" w:rsidTr="00BF5F46">
        <w:trPr>
          <w:trHeight w:val="315"/>
        </w:trPr>
        <w:tc>
          <w:tcPr>
            <w:tcW w:w="6330" w:type="dxa"/>
            <w:tcBorders>
              <w:top w:val="single" w:sz="4" w:space="0" w:color="003366"/>
              <w:left w:val="nil"/>
              <w:bottom w:val="single" w:sz="4" w:space="0" w:color="003366"/>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szCs w:val="20"/>
                <w:lang w:eastAsia="en-GB"/>
              </w:rPr>
            </w:pPr>
            <w:r w:rsidRPr="00987F64">
              <w:rPr>
                <w:rFonts w:asciiTheme="minorHAnsi" w:eastAsia="Times New Roman" w:hAnsiTheme="minorHAnsi" w:cstheme="minorHAnsi"/>
                <w:szCs w:val="20"/>
                <w:lang w:eastAsia="en-GB"/>
              </w:rPr>
              <w:t>Total income</w:t>
            </w:r>
          </w:p>
        </w:tc>
        <w:tc>
          <w:tcPr>
            <w:tcW w:w="1497" w:type="dxa"/>
            <w:tcBorders>
              <w:top w:val="single" w:sz="4" w:space="0" w:color="003366"/>
              <w:left w:val="nil"/>
              <w:bottom w:val="single" w:sz="4" w:space="0" w:color="003366"/>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szCs w:val="20"/>
                <w:lang w:eastAsia="en-GB"/>
              </w:rPr>
            </w:pPr>
            <w:r w:rsidRPr="00987F64">
              <w:rPr>
                <w:rFonts w:asciiTheme="minorHAnsi" w:eastAsia="Times New Roman" w:hAnsiTheme="minorHAnsi" w:cstheme="minorHAnsi"/>
                <w:szCs w:val="20"/>
                <w:lang w:eastAsia="en-GB"/>
              </w:rPr>
              <w:t xml:space="preserve">625 </w:t>
            </w:r>
          </w:p>
        </w:tc>
        <w:tc>
          <w:tcPr>
            <w:tcW w:w="1563" w:type="dxa"/>
            <w:tcBorders>
              <w:top w:val="single" w:sz="4" w:space="0" w:color="003366"/>
              <w:left w:val="nil"/>
              <w:bottom w:val="single" w:sz="4" w:space="0" w:color="003366"/>
              <w:right w:val="nil"/>
            </w:tcBorders>
            <w:shd w:val="clear" w:color="000000" w:fill="EAEAEA"/>
            <w:noWrap/>
            <w:vAlign w:val="bottom"/>
            <w:hideMark/>
          </w:tcPr>
          <w:p w:rsidR="00545254" w:rsidRPr="00987F64" w:rsidRDefault="00545254" w:rsidP="00B642ED">
            <w:pPr>
              <w:jc w:val="both"/>
              <w:rPr>
                <w:rFonts w:asciiTheme="minorHAnsi" w:eastAsia="Times New Roman" w:hAnsiTheme="minorHAnsi" w:cstheme="minorHAnsi"/>
                <w:b/>
                <w:bCs/>
                <w:szCs w:val="20"/>
                <w:lang w:eastAsia="en-GB"/>
              </w:rPr>
            </w:pPr>
            <w:r w:rsidRPr="00987F64">
              <w:rPr>
                <w:rFonts w:asciiTheme="minorHAnsi" w:eastAsia="Times New Roman" w:hAnsiTheme="minorHAnsi" w:cstheme="minorHAnsi"/>
                <w:b/>
                <w:bCs/>
                <w:szCs w:val="20"/>
                <w:lang w:eastAsia="en-GB"/>
              </w:rPr>
              <w:t xml:space="preserve">620 </w:t>
            </w:r>
          </w:p>
        </w:tc>
      </w:tr>
      <w:tr w:rsidR="00545254" w:rsidRPr="00987F64" w:rsidTr="00BF5F46">
        <w:trPr>
          <w:trHeight w:val="315"/>
        </w:trPr>
        <w:tc>
          <w:tcPr>
            <w:tcW w:w="6330" w:type="dxa"/>
            <w:tcBorders>
              <w:top w:val="nil"/>
              <w:left w:val="nil"/>
              <w:bottom w:val="nil"/>
              <w:right w:val="nil"/>
            </w:tcBorders>
            <w:shd w:val="clear" w:color="auto" w:fill="auto"/>
            <w:noWrap/>
            <w:vAlign w:val="center"/>
            <w:hideMark/>
          </w:tcPr>
          <w:p w:rsidR="00545254" w:rsidRPr="00987F64" w:rsidRDefault="00545254" w:rsidP="00B642ED">
            <w:pPr>
              <w:jc w:val="both"/>
              <w:rPr>
                <w:rFonts w:asciiTheme="minorHAnsi" w:eastAsia="Times New Roman" w:hAnsiTheme="minorHAnsi" w:cstheme="minorHAnsi"/>
                <w:b/>
                <w:bCs/>
                <w:color w:val="003366"/>
                <w:szCs w:val="20"/>
                <w:lang w:eastAsia="en-GB"/>
              </w:rPr>
            </w:pPr>
            <w:r w:rsidRPr="00987F64">
              <w:rPr>
                <w:rFonts w:asciiTheme="minorHAnsi" w:eastAsia="Times New Roman" w:hAnsiTheme="minorHAnsi" w:cstheme="minorHAnsi"/>
                <w:b/>
                <w:bCs/>
                <w:color w:val="003366"/>
                <w:szCs w:val="20"/>
                <w:lang w:eastAsia="en-GB"/>
              </w:rPr>
              <w:t>Analysis of impairments by sector</w:t>
            </w:r>
          </w:p>
        </w:tc>
        <w:tc>
          <w:tcPr>
            <w:tcW w:w="1497" w:type="dxa"/>
            <w:tcBorders>
              <w:top w:val="nil"/>
              <w:left w:val="nil"/>
              <w:bottom w:val="nil"/>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szCs w:val="20"/>
                <w:lang w:eastAsia="en-GB"/>
              </w:rPr>
            </w:pPr>
          </w:p>
        </w:tc>
        <w:tc>
          <w:tcPr>
            <w:tcW w:w="1563" w:type="dxa"/>
            <w:tcBorders>
              <w:top w:val="nil"/>
              <w:left w:val="nil"/>
              <w:bottom w:val="nil"/>
              <w:right w:val="nil"/>
            </w:tcBorders>
            <w:shd w:val="clear" w:color="000000" w:fill="EAEAEA"/>
            <w:noWrap/>
            <w:vAlign w:val="bottom"/>
            <w:hideMark/>
          </w:tcPr>
          <w:p w:rsidR="00545254" w:rsidRPr="00987F64" w:rsidRDefault="00545254" w:rsidP="00B642ED">
            <w:pPr>
              <w:jc w:val="both"/>
              <w:rPr>
                <w:rFonts w:asciiTheme="minorHAnsi" w:eastAsia="Times New Roman" w:hAnsiTheme="minorHAnsi" w:cstheme="minorHAnsi"/>
                <w:b/>
                <w:bCs/>
                <w:szCs w:val="20"/>
                <w:lang w:eastAsia="en-GB"/>
              </w:rPr>
            </w:pPr>
            <w:r w:rsidRPr="00987F64">
              <w:rPr>
                <w:rFonts w:asciiTheme="minorHAnsi" w:eastAsia="Times New Roman" w:hAnsiTheme="minorHAnsi" w:cstheme="minorHAnsi"/>
                <w:b/>
                <w:bCs/>
                <w:szCs w:val="20"/>
                <w:lang w:eastAsia="en-GB"/>
              </w:rPr>
              <w:t> </w:t>
            </w:r>
          </w:p>
        </w:tc>
      </w:tr>
      <w:tr w:rsidR="00545254" w:rsidRPr="00987F64" w:rsidTr="00BF5F46">
        <w:trPr>
          <w:trHeight w:val="315"/>
        </w:trPr>
        <w:tc>
          <w:tcPr>
            <w:tcW w:w="6330" w:type="dxa"/>
            <w:tcBorders>
              <w:top w:val="nil"/>
              <w:left w:val="nil"/>
              <w:bottom w:val="nil"/>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szCs w:val="20"/>
                <w:lang w:eastAsia="en-GB"/>
              </w:rPr>
            </w:pPr>
            <w:r w:rsidRPr="00987F64">
              <w:rPr>
                <w:rFonts w:asciiTheme="minorHAnsi" w:eastAsia="Times New Roman" w:hAnsiTheme="minorHAnsi" w:cstheme="minorHAnsi"/>
                <w:szCs w:val="20"/>
                <w:lang w:eastAsia="en-GB"/>
              </w:rPr>
              <w:t>Retail</w:t>
            </w:r>
          </w:p>
        </w:tc>
        <w:tc>
          <w:tcPr>
            <w:tcW w:w="1497" w:type="dxa"/>
            <w:tcBorders>
              <w:top w:val="nil"/>
              <w:left w:val="nil"/>
              <w:bottom w:val="nil"/>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szCs w:val="20"/>
                <w:lang w:eastAsia="en-GB"/>
              </w:rPr>
            </w:pPr>
            <w:r w:rsidRPr="00987F64">
              <w:rPr>
                <w:rFonts w:asciiTheme="minorHAnsi" w:eastAsia="Times New Roman" w:hAnsiTheme="minorHAnsi" w:cstheme="minorHAnsi"/>
                <w:szCs w:val="20"/>
                <w:lang w:eastAsia="en-GB"/>
              </w:rPr>
              <w:t xml:space="preserve">15 </w:t>
            </w:r>
          </w:p>
        </w:tc>
        <w:tc>
          <w:tcPr>
            <w:tcW w:w="1563" w:type="dxa"/>
            <w:tcBorders>
              <w:top w:val="nil"/>
              <w:left w:val="nil"/>
              <w:bottom w:val="nil"/>
              <w:right w:val="nil"/>
            </w:tcBorders>
            <w:shd w:val="clear" w:color="000000" w:fill="EAEAEA"/>
            <w:noWrap/>
            <w:vAlign w:val="bottom"/>
            <w:hideMark/>
          </w:tcPr>
          <w:p w:rsidR="00545254" w:rsidRPr="00987F64" w:rsidRDefault="00545254" w:rsidP="00B642ED">
            <w:pPr>
              <w:jc w:val="both"/>
              <w:rPr>
                <w:rFonts w:asciiTheme="minorHAnsi" w:eastAsia="Times New Roman" w:hAnsiTheme="minorHAnsi" w:cstheme="minorHAnsi"/>
                <w:b/>
                <w:bCs/>
                <w:szCs w:val="20"/>
                <w:lang w:eastAsia="en-GB"/>
              </w:rPr>
            </w:pPr>
            <w:r w:rsidRPr="00987F64">
              <w:rPr>
                <w:rFonts w:asciiTheme="minorHAnsi" w:eastAsia="Times New Roman" w:hAnsiTheme="minorHAnsi" w:cstheme="minorHAnsi"/>
                <w:b/>
                <w:bCs/>
                <w:szCs w:val="20"/>
                <w:lang w:eastAsia="en-GB"/>
              </w:rPr>
              <w:t xml:space="preserve">21 </w:t>
            </w:r>
          </w:p>
        </w:tc>
      </w:tr>
      <w:tr w:rsidR="00545254" w:rsidRPr="00987F64" w:rsidTr="00BF5F46">
        <w:trPr>
          <w:trHeight w:val="315"/>
        </w:trPr>
        <w:tc>
          <w:tcPr>
            <w:tcW w:w="6330" w:type="dxa"/>
            <w:tcBorders>
              <w:top w:val="nil"/>
              <w:left w:val="nil"/>
              <w:bottom w:val="nil"/>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szCs w:val="20"/>
                <w:lang w:eastAsia="en-GB"/>
              </w:rPr>
            </w:pPr>
            <w:r w:rsidRPr="00987F64">
              <w:rPr>
                <w:rFonts w:asciiTheme="minorHAnsi" w:eastAsia="Times New Roman" w:hAnsiTheme="minorHAnsi" w:cstheme="minorHAnsi"/>
                <w:szCs w:val="20"/>
                <w:lang w:eastAsia="en-GB"/>
              </w:rPr>
              <w:t>Commercial</w:t>
            </w:r>
          </w:p>
        </w:tc>
        <w:tc>
          <w:tcPr>
            <w:tcW w:w="1497" w:type="dxa"/>
            <w:tcBorders>
              <w:top w:val="nil"/>
              <w:left w:val="nil"/>
              <w:bottom w:val="nil"/>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szCs w:val="20"/>
                <w:lang w:eastAsia="en-GB"/>
              </w:rPr>
            </w:pPr>
            <w:r w:rsidRPr="00987F64">
              <w:rPr>
                <w:rFonts w:asciiTheme="minorHAnsi" w:eastAsia="Times New Roman" w:hAnsiTheme="minorHAnsi" w:cstheme="minorHAnsi"/>
                <w:szCs w:val="20"/>
                <w:lang w:eastAsia="en-GB"/>
              </w:rPr>
              <w:t>(20)</w:t>
            </w:r>
          </w:p>
        </w:tc>
        <w:tc>
          <w:tcPr>
            <w:tcW w:w="1563" w:type="dxa"/>
            <w:tcBorders>
              <w:top w:val="nil"/>
              <w:left w:val="nil"/>
              <w:bottom w:val="nil"/>
              <w:right w:val="nil"/>
            </w:tcBorders>
            <w:shd w:val="clear" w:color="000000" w:fill="EAEAEA"/>
            <w:noWrap/>
            <w:vAlign w:val="bottom"/>
            <w:hideMark/>
          </w:tcPr>
          <w:p w:rsidR="00545254" w:rsidRPr="00987F64" w:rsidRDefault="00545254" w:rsidP="00B642ED">
            <w:pPr>
              <w:jc w:val="both"/>
              <w:rPr>
                <w:rFonts w:asciiTheme="minorHAnsi" w:eastAsia="Times New Roman" w:hAnsiTheme="minorHAnsi" w:cstheme="minorHAnsi"/>
                <w:b/>
                <w:bCs/>
                <w:szCs w:val="20"/>
                <w:lang w:eastAsia="en-GB"/>
              </w:rPr>
            </w:pPr>
            <w:r w:rsidRPr="00987F64">
              <w:rPr>
                <w:rFonts w:asciiTheme="minorHAnsi" w:eastAsia="Times New Roman" w:hAnsiTheme="minorHAnsi" w:cstheme="minorHAnsi"/>
                <w:b/>
                <w:bCs/>
                <w:szCs w:val="20"/>
                <w:lang w:eastAsia="en-GB"/>
              </w:rPr>
              <w:t xml:space="preserve">10 </w:t>
            </w:r>
          </w:p>
        </w:tc>
      </w:tr>
      <w:tr w:rsidR="00545254" w:rsidRPr="00987F64" w:rsidTr="00BF5F46">
        <w:trPr>
          <w:trHeight w:val="315"/>
        </w:trPr>
        <w:tc>
          <w:tcPr>
            <w:tcW w:w="6330" w:type="dxa"/>
            <w:tcBorders>
              <w:top w:val="single" w:sz="4" w:space="0" w:color="003366"/>
              <w:left w:val="nil"/>
              <w:bottom w:val="single" w:sz="4" w:space="0" w:color="003366"/>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szCs w:val="20"/>
                <w:lang w:eastAsia="en-GB"/>
              </w:rPr>
            </w:pPr>
            <w:r w:rsidRPr="00987F64">
              <w:rPr>
                <w:rFonts w:asciiTheme="minorHAnsi" w:eastAsia="Times New Roman" w:hAnsiTheme="minorHAnsi" w:cstheme="minorHAnsi"/>
                <w:szCs w:val="20"/>
                <w:lang w:eastAsia="en-GB"/>
              </w:rPr>
              <w:t>Total impairment losses/(releases)</w:t>
            </w:r>
          </w:p>
        </w:tc>
        <w:tc>
          <w:tcPr>
            <w:tcW w:w="1497" w:type="dxa"/>
            <w:tcBorders>
              <w:top w:val="single" w:sz="4" w:space="0" w:color="003366"/>
              <w:left w:val="nil"/>
              <w:bottom w:val="single" w:sz="4" w:space="0" w:color="003366"/>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szCs w:val="20"/>
                <w:lang w:eastAsia="en-GB"/>
              </w:rPr>
            </w:pPr>
            <w:r w:rsidRPr="00987F64">
              <w:rPr>
                <w:rFonts w:asciiTheme="minorHAnsi" w:eastAsia="Times New Roman" w:hAnsiTheme="minorHAnsi" w:cstheme="minorHAnsi"/>
                <w:szCs w:val="20"/>
                <w:lang w:eastAsia="en-GB"/>
              </w:rPr>
              <w:t>(5)</w:t>
            </w:r>
          </w:p>
        </w:tc>
        <w:tc>
          <w:tcPr>
            <w:tcW w:w="1563" w:type="dxa"/>
            <w:tcBorders>
              <w:top w:val="single" w:sz="4" w:space="0" w:color="003366"/>
              <w:left w:val="nil"/>
              <w:bottom w:val="single" w:sz="4" w:space="0" w:color="003366"/>
              <w:right w:val="nil"/>
            </w:tcBorders>
            <w:shd w:val="clear" w:color="000000" w:fill="EAEAEA"/>
            <w:noWrap/>
            <w:vAlign w:val="bottom"/>
            <w:hideMark/>
          </w:tcPr>
          <w:p w:rsidR="00545254" w:rsidRPr="00987F64" w:rsidRDefault="00545254" w:rsidP="00B642ED">
            <w:pPr>
              <w:jc w:val="both"/>
              <w:rPr>
                <w:rFonts w:asciiTheme="minorHAnsi" w:eastAsia="Times New Roman" w:hAnsiTheme="minorHAnsi" w:cstheme="minorHAnsi"/>
                <w:b/>
                <w:bCs/>
                <w:szCs w:val="20"/>
                <w:lang w:eastAsia="en-GB"/>
              </w:rPr>
            </w:pPr>
            <w:r w:rsidRPr="00987F64">
              <w:rPr>
                <w:rFonts w:asciiTheme="minorHAnsi" w:eastAsia="Times New Roman" w:hAnsiTheme="minorHAnsi" w:cstheme="minorHAnsi"/>
                <w:b/>
                <w:bCs/>
                <w:szCs w:val="20"/>
                <w:lang w:eastAsia="en-GB"/>
              </w:rPr>
              <w:t xml:space="preserve">31 </w:t>
            </w:r>
          </w:p>
        </w:tc>
      </w:tr>
      <w:tr w:rsidR="00545254" w:rsidRPr="00987F64" w:rsidTr="00BF5F46">
        <w:trPr>
          <w:trHeight w:val="180"/>
        </w:trPr>
        <w:tc>
          <w:tcPr>
            <w:tcW w:w="6330" w:type="dxa"/>
            <w:tcBorders>
              <w:top w:val="nil"/>
              <w:left w:val="nil"/>
              <w:bottom w:val="nil"/>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szCs w:val="20"/>
                <w:lang w:eastAsia="en-GB"/>
              </w:rPr>
            </w:pPr>
          </w:p>
        </w:tc>
        <w:tc>
          <w:tcPr>
            <w:tcW w:w="1497" w:type="dxa"/>
            <w:tcBorders>
              <w:top w:val="nil"/>
              <w:left w:val="nil"/>
              <w:bottom w:val="nil"/>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szCs w:val="20"/>
                <w:lang w:eastAsia="en-GB"/>
              </w:rPr>
            </w:pPr>
          </w:p>
        </w:tc>
        <w:tc>
          <w:tcPr>
            <w:tcW w:w="1563" w:type="dxa"/>
            <w:tcBorders>
              <w:top w:val="nil"/>
              <w:left w:val="nil"/>
              <w:bottom w:val="nil"/>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szCs w:val="20"/>
                <w:lang w:eastAsia="en-GB"/>
              </w:rPr>
            </w:pPr>
          </w:p>
        </w:tc>
      </w:tr>
      <w:tr w:rsidR="00545254" w:rsidRPr="00987F64" w:rsidTr="00BF5F46">
        <w:trPr>
          <w:trHeight w:val="315"/>
        </w:trPr>
        <w:tc>
          <w:tcPr>
            <w:tcW w:w="6330" w:type="dxa"/>
            <w:tcBorders>
              <w:top w:val="nil"/>
              <w:left w:val="nil"/>
              <w:bottom w:val="nil"/>
              <w:right w:val="nil"/>
            </w:tcBorders>
            <w:shd w:val="clear" w:color="auto" w:fill="auto"/>
            <w:noWrap/>
            <w:vAlign w:val="center"/>
            <w:hideMark/>
          </w:tcPr>
          <w:p w:rsidR="00545254" w:rsidRPr="00987F64" w:rsidRDefault="00545254" w:rsidP="00B642ED">
            <w:pPr>
              <w:jc w:val="both"/>
              <w:rPr>
                <w:rFonts w:asciiTheme="minorHAnsi" w:eastAsia="Times New Roman" w:hAnsiTheme="minorHAnsi" w:cstheme="minorHAnsi"/>
                <w:b/>
                <w:bCs/>
                <w:color w:val="003366"/>
                <w:szCs w:val="20"/>
                <w:lang w:eastAsia="en-GB"/>
              </w:rPr>
            </w:pPr>
          </w:p>
        </w:tc>
        <w:tc>
          <w:tcPr>
            <w:tcW w:w="1497" w:type="dxa"/>
            <w:tcBorders>
              <w:top w:val="nil"/>
              <w:left w:val="nil"/>
              <w:bottom w:val="single" w:sz="4" w:space="0" w:color="003366"/>
              <w:right w:val="nil"/>
            </w:tcBorders>
            <w:shd w:val="clear" w:color="auto" w:fill="auto"/>
            <w:vAlign w:val="bottom"/>
            <w:hideMark/>
          </w:tcPr>
          <w:p w:rsidR="00545254" w:rsidRPr="00987F64" w:rsidRDefault="00545254" w:rsidP="00B642ED">
            <w:pPr>
              <w:jc w:val="both"/>
              <w:rPr>
                <w:rFonts w:asciiTheme="minorHAnsi" w:eastAsia="Times New Roman" w:hAnsiTheme="minorHAnsi" w:cstheme="minorHAnsi"/>
                <w:color w:val="003366"/>
                <w:szCs w:val="20"/>
                <w:lang w:eastAsia="en-GB"/>
              </w:rPr>
            </w:pPr>
            <w:r w:rsidRPr="00987F64">
              <w:rPr>
                <w:rFonts w:asciiTheme="minorHAnsi" w:eastAsia="Times New Roman" w:hAnsiTheme="minorHAnsi" w:cstheme="minorHAnsi"/>
                <w:color w:val="003366"/>
                <w:szCs w:val="20"/>
                <w:lang w:eastAsia="en-GB"/>
              </w:rPr>
              <w:t>2015</w:t>
            </w:r>
          </w:p>
        </w:tc>
        <w:tc>
          <w:tcPr>
            <w:tcW w:w="1563" w:type="dxa"/>
            <w:tcBorders>
              <w:top w:val="nil"/>
              <w:left w:val="nil"/>
              <w:bottom w:val="single" w:sz="4" w:space="0" w:color="003366"/>
              <w:right w:val="nil"/>
            </w:tcBorders>
            <w:shd w:val="clear" w:color="auto" w:fill="auto"/>
            <w:vAlign w:val="bottom"/>
            <w:hideMark/>
          </w:tcPr>
          <w:p w:rsidR="00545254" w:rsidRPr="00987F64" w:rsidRDefault="00545254" w:rsidP="00B642ED">
            <w:pPr>
              <w:jc w:val="both"/>
              <w:rPr>
                <w:rFonts w:asciiTheme="minorHAnsi" w:eastAsia="Times New Roman" w:hAnsiTheme="minorHAnsi" w:cstheme="minorHAnsi"/>
                <w:b/>
                <w:bCs/>
                <w:color w:val="003366"/>
                <w:szCs w:val="20"/>
                <w:lang w:eastAsia="en-GB"/>
              </w:rPr>
            </w:pPr>
            <w:r w:rsidRPr="00987F64">
              <w:rPr>
                <w:rFonts w:asciiTheme="minorHAnsi" w:eastAsia="Times New Roman" w:hAnsiTheme="minorHAnsi" w:cstheme="minorHAnsi"/>
                <w:b/>
                <w:bCs/>
                <w:color w:val="003366"/>
                <w:szCs w:val="20"/>
                <w:lang w:eastAsia="en-GB"/>
              </w:rPr>
              <w:t>2016</w:t>
            </w:r>
          </w:p>
        </w:tc>
      </w:tr>
      <w:tr w:rsidR="00545254" w:rsidRPr="00987F64" w:rsidTr="00BF5F46">
        <w:trPr>
          <w:trHeight w:val="315"/>
        </w:trPr>
        <w:tc>
          <w:tcPr>
            <w:tcW w:w="6330" w:type="dxa"/>
            <w:tcBorders>
              <w:top w:val="nil"/>
              <w:left w:val="nil"/>
              <w:bottom w:val="nil"/>
              <w:right w:val="nil"/>
            </w:tcBorders>
            <w:shd w:val="clear" w:color="auto" w:fill="auto"/>
            <w:noWrap/>
            <w:vAlign w:val="center"/>
            <w:hideMark/>
          </w:tcPr>
          <w:p w:rsidR="00545254" w:rsidRPr="00987F64" w:rsidRDefault="00545254" w:rsidP="00B642ED">
            <w:pPr>
              <w:jc w:val="both"/>
              <w:rPr>
                <w:rFonts w:asciiTheme="minorHAnsi" w:eastAsia="Times New Roman" w:hAnsiTheme="minorHAnsi" w:cstheme="minorHAnsi"/>
                <w:b/>
                <w:bCs/>
                <w:color w:val="003366"/>
                <w:szCs w:val="20"/>
                <w:lang w:eastAsia="en-GB"/>
              </w:rPr>
            </w:pPr>
          </w:p>
        </w:tc>
        <w:tc>
          <w:tcPr>
            <w:tcW w:w="1497" w:type="dxa"/>
            <w:tcBorders>
              <w:top w:val="nil"/>
              <w:left w:val="nil"/>
              <w:bottom w:val="nil"/>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color w:val="003366"/>
                <w:szCs w:val="20"/>
                <w:lang w:eastAsia="en-GB"/>
              </w:rPr>
            </w:pPr>
            <w:r w:rsidRPr="00987F64">
              <w:rPr>
                <w:rFonts w:asciiTheme="minorHAnsi" w:eastAsia="Times New Roman" w:hAnsiTheme="minorHAnsi" w:cstheme="minorHAnsi"/>
                <w:color w:val="003366"/>
                <w:szCs w:val="20"/>
                <w:lang w:eastAsia="en-GB"/>
              </w:rPr>
              <w:t>30 September</w:t>
            </w:r>
          </w:p>
        </w:tc>
        <w:tc>
          <w:tcPr>
            <w:tcW w:w="1563" w:type="dxa"/>
            <w:tcBorders>
              <w:top w:val="nil"/>
              <w:left w:val="nil"/>
              <w:bottom w:val="nil"/>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b/>
                <w:bCs/>
                <w:color w:val="003366"/>
                <w:szCs w:val="20"/>
                <w:lang w:eastAsia="en-GB"/>
              </w:rPr>
            </w:pPr>
            <w:r w:rsidRPr="00987F64">
              <w:rPr>
                <w:rFonts w:asciiTheme="minorHAnsi" w:eastAsia="Times New Roman" w:hAnsiTheme="minorHAnsi" w:cstheme="minorHAnsi"/>
                <w:b/>
                <w:bCs/>
                <w:color w:val="003366"/>
                <w:szCs w:val="20"/>
                <w:lang w:eastAsia="en-GB"/>
              </w:rPr>
              <w:t>30 September</w:t>
            </w:r>
          </w:p>
        </w:tc>
      </w:tr>
      <w:tr w:rsidR="00545254" w:rsidRPr="00987F64" w:rsidTr="00BF5F46">
        <w:trPr>
          <w:trHeight w:val="315"/>
        </w:trPr>
        <w:tc>
          <w:tcPr>
            <w:tcW w:w="6330" w:type="dxa"/>
            <w:tcBorders>
              <w:top w:val="nil"/>
              <w:left w:val="nil"/>
              <w:bottom w:val="single" w:sz="4" w:space="0" w:color="003366"/>
              <w:right w:val="nil"/>
            </w:tcBorders>
            <w:shd w:val="clear" w:color="auto" w:fill="auto"/>
            <w:noWrap/>
            <w:vAlign w:val="center"/>
            <w:hideMark/>
          </w:tcPr>
          <w:p w:rsidR="00545254" w:rsidRPr="00987F64" w:rsidRDefault="00545254" w:rsidP="00B642ED">
            <w:pPr>
              <w:jc w:val="both"/>
              <w:rPr>
                <w:rFonts w:asciiTheme="minorHAnsi" w:eastAsia="Times New Roman" w:hAnsiTheme="minorHAnsi" w:cstheme="minorHAnsi"/>
                <w:b/>
                <w:bCs/>
                <w:color w:val="003366"/>
                <w:szCs w:val="20"/>
                <w:lang w:eastAsia="en-GB"/>
              </w:rPr>
            </w:pPr>
            <w:r w:rsidRPr="00987F64">
              <w:rPr>
                <w:rFonts w:asciiTheme="minorHAnsi" w:eastAsia="Times New Roman" w:hAnsiTheme="minorHAnsi" w:cstheme="minorHAnsi"/>
                <w:b/>
                <w:bCs/>
                <w:color w:val="003366"/>
                <w:szCs w:val="20"/>
                <w:lang w:eastAsia="en-GB"/>
              </w:rPr>
              <w:t>Balance sheet (1)</w:t>
            </w:r>
          </w:p>
        </w:tc>
        <w:tc>
          <w:tcPr>
            <w:tcW w:w="1497" w:type="dxa"/>
            <w:tcBorders>
              <w:top w:val="nil"/>
              <w:left w:val="nil"/>
              <w:bottom w:val="single" w:sz="4" w:space="0" w:color="003366"/>
              <w:right w:val="nil"/>
            </w:tcBorders>
            <w:shd w:val="clear" w:color="auto" w:fill="auto"/>
            <w:vAlign w:val="bottom"/>
            <w:hideMark/>
          </w:tcPr>
          <w:p w:rsidR="00545254" w:rsidRPr="00987F64" w:rsidRDefault="00545254" w:rsidP="00B642ED">
            <w:pPr>
              <w:jc w:val="both"/>
              <w:rPr>
                <w:rFonts w:asciiTheme="minorHAnsi" w:eastAsia="Times New Roman" w:hAnsiTheme="minorHAnsi" w:cstheme="minorHAnsi"/>
                <w:color w:val="003366"/>
                <w:szCs w:val="20"/>
                <w:lang w:eastAsia="en-GB"/>
              </w:rPr>
            </w:pPr>
            <w:r w:rsidRPr="00987F64">
              <w:rPr>
                <w:rFonts w:asciiTheme="minorHAnsi" w:eastAsia="Times New Roman" w:hAnsiTheme="minorHAnsi" w:cstheme="minorHAnsi"/>
                <w:color w:val="003366"/>
                <w:szCs w:val="20"/>
                <w:lang w:eastAsia="en-GB"/>
              </w:rPr>
              <w:t>£</w:t>
            </w:r>
            <w:proofErr w:type="spellStart"/>
            <w:r w:rsidRPr="00987F64">
              <w:rPr>
                <w:rFonts w:asciiTheme="minorHAnsi" w:eastAsia="Times New Roman" w:hAnsiTheme="minorHAnsi" w:cstheme="minorHAnsi"/>
                <w:color w:val="003366"/>
                <w:szCs w:val="20"/>
                <w:lang w:eastAsia="en-GB"/>
              </w:rPr>
              <w:t>bn</w:t>
            </w:r>
            <w:proofErr w:type="spellEnd"/>
          </w:p>
        </w:tc>
        <w:tc>
          <w:tcPr>
            <w:tcW w:w="1563" w:type="dxa"/>
            <w:tcBorders>
              <w:top w:val="nil"/>
              <w:left w:val="nil"/>
              <w:bottom w:val="single" w:sz="4" w:space="0" w:color="003366"/>
              <w:right w:val="nil"/>
            </w:tcBorders>
            <w:shd w:val="clear" w:color="auto" w:fill="auto"/>
            <w:vAlign w:val="bottom"/>
            <w:hideMark/>
          </w:tcPr>
          <w:p w:rsidR="00545254" w:rsidRPr="00987F64" w:rsidRDefault="00545254" w:rsidP="00B642ED">
            <w:pPr>
              <w:jc w:val="both"/>
              <w:rPr>
                <w:rFonts w:asciiTheme="minorHAnsi" w:eastAsia="Times New Roman" w:hAnsiTheme="minorHAnsi" w:cstheme="minorHAnsi"/>
                <w:b/>
                <w:bCs/>
                <w:color w:val="003366"/>
                <w:szCs w:val="20"/>
                <w:lang w:eastAsia="en-GB"/>
              </w:rPr>
            </w:pPr>
            <w:r w:rsidRPr="00987F64">
              <w:rPr>
                <w:rFonts w:asciiTheme="minorHAnsi" w:eastAsia="Times New Roman" w:hAnsiTheme="minorHAnsi" w:cstheme="minorHAnsi"/>
                <w:b/>
                <w:bCs/>
                <w:color w:val="003366"/>
                <w:szCs w:val="20"/>
                <w:lang w:eastAsia="en-GB"/>
              </w:rPr>
              <w:t>£</w:t>
            </w:r>
            <w:proofErr w:type="spellStart"/>
            <w:r w:rsidRPr="00987F64">
              <w:rPr>
                <w:rFonts w:asciiTheme="minorHAnsi" w:eastAsia="Times New Roman" w:hAnsiTheme="minorHAnsi" w:cstheme="minorHAnsi"/>
                <w:b/>
                <w:bCs/>
                <w:color w:val="003366"/>
                <w:szCs w:val="20"/>
                <w:lang w:eastAsia="en-GB"/>
              </w:rPr>
              <w:t>bn</w:t>
            </w:r>
            <w:proofErr w:type="spellEnd"/>
          </w:p>
        </w:tc>
      </w:tr>
      <w:tr w:rsidR="00545254" w:rsidRPr="00987F64" w:rsidTr="00BF5F46">
        <w:trPr>
          <w:trHeight w:val="315"/>
        </w:trPr>
        <w:tc>
          <w:tcPr>
            <w:tcW w:w="6330" w:type="dxa"/>
            <w:tcBorders>
              <w:top w:val="nil"/>
              <w:left w:val="nil"/>
              <w:bottom w:val="nil"/>
              <w:right w:val="nil"/>
            </w:tcBorders>
            <w:shd w:val="clear" w:color="auto" w:fill="auto"/>
            <w:noWrap/>
            <w:vAlign w:val="center"/>
            <w:hideMark/>
          </w:tcPr>
          <w:p w:rsidR="00545254" w:rsidRPr="00987F64" w:rsidRDefault="00545254" w:rsidP="00B642ED">
            <w:pPr>
              <w:jc w:val="both"/>
              <w:rPr>
                <w:rFonts w:asciiTheme="minorHAnsi" w:eastAsia="Times New Roman" w:hAnsiTheme="minorHAnsi" w:cstheme="minorHAnsi"/>
                <w:szCs w:val="20"/>
                <w:lang w:eastAsia="en-GB"/>
              </w:rPr>
            </w:pPr>
            <w:r w:rsidRPr="00987F64">
              <w:rPr>
                <w:rFonts w:asciiTheme="minorHAnsi" w:eastAsia="Times New Roman" w:hAnsiTheme="minorHAnsi" w:cstheme="minorHAnsi"/>
                <w:szCs w:val="20"/>
                <w:lang w:eastAsia="en-GB"/>
              </w:rPr>
              <w:t>Loans and advances to customers (gross)</w:t>
            </w:r>
          </w:p>
        </w:tc>
        <w:tc>
          <w:tcPr>
            <w:tcW w:w="1497" w:type="dxa"/>
            <w:tcBorders>
              <w:top w:val="nil"/>
              <w:left w:val="nil"/>
              <w:bottom w:val="nil"/>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szCs w:val="20"/>
                <w:lang w:eastAsia="en-GB"/>
              </w:rPr>
            </w:pPr>
          </w:p>
        </w:tc>
        <w:tc>
          <w:tcPr>
            <w:tcW w:w="1563" w:type="dxa"/>
            <w:tcBorders>
              <w:top w:val="nil"/>
              <w:left w:val="nil"/>
              <w:bottom w:val="nil"/>
              <w:right w:val="nil"/>
            </w:tcBorders>
            <w:shd w:val="clear" w:color="000000" w:fill="EAEAEA"/>
            <w:noWrap/>
            <w:vAlign w:val="bottom"/>
            <w:hideMark/>
          </w:tcPr>
          <w:p w:rsidR="00545254" w:rsidRPr="00987F64" w:rsidRDefault="00545254" w:rsidP="00B642ED">
            <w:pPr>
              <w:jc w:val="both"/>
              <w:rPr>
                <w:rFonts w:asciiTheme="minorHAnsi" w:eastAsia="Times New Roman" w:hAnsiTheme="minorHAnsi" w:cstheme="minorHAnsi"/>
                <w:b/>
                <w:bCs/>
                <w:szCs w:val="20"/>
                <w:lang w:eastAsia="en-GB"/>
              </w:rPr>
            </w:pPr>
            <w:r w:rsidRPr="00987F64">
              <w:rPr>
                <w:rFonts w:asciiTheme="minorHAnsi" w:eastAsia="Times New Roman" w:hAnsiTheme="minorHAnsi" w:cstheme="minorHAnsi"/>
                <w:b/>
                <w:bCs/>
                <w:szCs w:val="20"/>
                <w:lang w:eastAsia="en-GB"/>
              </w:rPr>
              <w:t> </w:t>
            </w:r>
          </w:p>
        </w:tc>
      </w:tr>
      <w:tr w:rsidR="00545254" w:rsidRPr="00987F64" w:rsidTr="00BF5F46">
        <w:trPr>
          <w:trHeight w:val="315"/>
        </w:trPr>
        <w:tc>
          <w:tcPr>
            <w:tcW w:w="6330" w:type="dxa"/>
            <w:tcBorders>
              <w:top w:val="nil"/>
              <w:left w:val="nil"/>
              <w:bottom w:val="nil"/>
              <w:right w:val="nil"/>
            </w:tcBorders>
            <w:shd w:val="clear" w:color="auto" w:fill="auto"/>
            <w:noWrap/>
            <w:vAlign w:val="center"/>
            <w:hideMark/>
          </w:tcPr>
          <w:p w:rsidR="00545254" w:rsidRPr="00987F64" w:rsidRDefault="00545254" w:rsidP="00B642ED">
            <w:pPr>
              <w:ind w:firstLineChars="100" w:firstLine="200"/>
              <w:jc w:val="both"/>
              <w:rPr>
                <w:rFonts w:asciiTheme="minorHAnsi" w:eastAsia="Times New Roman" w:hAnsiTheme="minorHAnsi" w:cstheme="minorHAnsi"/>
                <w:color w:val="000000"/>
                <w:szCs w:val="20"/>
                <w:lang w:eastAsia="en-GB"/>
              </w:rPr>
            </w:pPr>
            <w:r w:rsidRPr="00987F64">
              <w:rPr>
                <w:rFonts w:asciiTheme="minorHAnsi" w:eastAsia="Times New Roman" w:hAnsiTheme="minorHAnsi" w:cstheme="minorHAnsi"/>
                <w:color w:val="000000"/>
                <w:szCs w:val="20"/>
                <w:lang w:eastAsia="en-GB"/>
              </w:rPr>
              <w:t>- Retail</w:t>
            </w:r>
          </w:p>
        </w:tc>
        <w:tc>
          <w:tcPr>
            <w:tcW w:w="1497" w:type="dxa"/>
            <w:tcBorders>
              <w:top w:val="nil"/>
              <w:left w:val="nil"/>
              <w:bottom w:val="nil"/>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szCs w:val="20"/>
                <w:lang w:eastAsia="en-GB"/>
              </w:rPr>
            </w:pPr>
            <w:r w:rsidRPr="00987F64">
              <w:rPr>
                <w:rFonts w:asciiTheme="minorHAnsi" w:eastAsia="Times New Roman" w:hAnsiTheme="minorHAnsi" w:cstheme="minorHAnsi"/>
                <w:szCs w:val="20"/>
                <w:lang w:eastAsia="en-GB"/>
              </w:rPr>
              <w:t xml:space="preserve">11.4 </w:t>
            </w:r>
          </w:p>
        </w:tc>
        <w:tc>
          <w:tcPr>
            <w:tcW w:w="1563" w:type="dxa"/>
            <w:tcBorders>
              <w:top w:val="nil"/>
              <w:left w:val="nil"/>
              <w:bottom w:val="nil"/>
              <w:right w:val="nil"/>
            </w:tcBorders>
            <w:shd w:val="clear" w:color="000000" w:fill="EAEAEA"/>
            <w:noWrap/>
            <w:vAlign w:val="bottom"/>
            <w:hideMark/>
          </w:tcPr>
          <w:p w:rsidR="00545254" w:rsidRPr="00987F64" w:rsidRDefault="00545254" w:rsidP="00B642ED">
            <w:pPr>
              <w:jc w:val="both"/>
              <w:rPr>
                <w:rFonts w:asciiTheme="minorHAnsi" w:eastAsia="Times New Roman" w:hAnsiTheme="minorHAnsi" w:cstheme="minorHAnsi"/>
                <w:b/>
                <w:bCs/>
                <w:szCs w:val="20"/>
                <w:lang w:eastAsia="en-GB"/>
              </w:rPr>
            </w:pPr>
            <w:r w:rsidRPr="00987F64">
              <w:rPr>
                <w:rFonts w:asciiTheme="minorHAnsi" w:eastAsia="Times New Roman" w:hAnsiTheme="minorHAnsi" w:cstheme="minorHAnsi"/>
                <w:b/>
                <w:bCs/>
                <w:szCs w:val="20"/>
                <w:lang w:eastAsia="en-GB"/>
              </w:rPr>
              <w:t xml:space="preserve">12.2 </w:t>
            </w:r>
          </w:p>
        </w:tc>
      </w:tr>
      <w:tr w:rsidR="00545254" w:rsidRPr="00987F64" w:rsidTr="00BF5F46">
        <w:trPr>
          <w:trHeight w:val="315"/>
        </w:trPr>
        <w:tc>
          <w:tcPr>
            <w:tcW w:w="6330" w:type="dxa"/>
            <w:tcBorders>
              <w:top w:val="nil"/>
              <w:left w:val="nil"/>
              <w:bottom w:val="single" w:sz="4" w:space="0" w:color="1F497D"/>
              <w:right w:val="nil"/>
            </w:tcBorders>
            <w:shd w:val="clear" w:color="auto" w:fill="auto"/>
            <w:noWrap/>
            <w:vAlign w:val="center"/>
            <w:hideMark/>
          </w:tcPr>
          <w:p w:rsidR="00545254" w:rsidRPr="00987F64" w:rsidRDefault="00545254" w:rsidP="00B642ED">
            <w:pPr>
              <w:ind w:firstLineChars="100" w:firstLine="200"/>
              <w:jc w:val="both"/>
              <w:rPr>
                <w:rFonts w:asciiTheme="minorHAnsi" w:eastAsia="Times New Roman" w:hAnsiTheme="minorHAnsi" w:cstheme="minorHAnsi"/>
                <w:color w:val="000000"/>
                <w:szCs w:val="20"/>
                <w:lang w:eastAsia="en-GB"/>
              </w:rPr>
            </w:pPr>
            <w:r w:rsidRPr="00987F64">
              <w:rPr>
                <w:rFonts w:asciiTheme="minorHAnsi" w:eastAsia="Times New Roman" w:hAnsiTheme="minorHAnsi" w:cstheme="minorHAnsi"/>
                <w:color w:val="000000"/>
                <w:szCs w:val="20"/>
                <w:lang w:eastAsia="en-GB"/>
              </w:rPr>
              <w:t>- Commercial</w:t>
            </w:r>
          </w:p>
        </w:tc>
        <w:tc>
          <w:tcPr>
            <w:tcW w:w="1497" w:type="dxa"/>
            <w:tcBorders>
              <w:top w:val="nil"/>
              <w:left w:val="nil"/>
              <w:bottom w:val="single" w:sz="4" w:space="0" w:color="1F497D"/>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szCs w:val="20"/>
                <w:lang w:eastAsia="en-GB"/>
              </w:rPr>
            </w:pPr>
            <w:r w:rsidRPr="00987F64">
              <w:rPr>
                <w:rFonts w:asciiTheme="minorHAnsi" w:eastAsia="Times New Roman" w:hAnsiTheme="minorHAnsi" w:cstheme="minorHAnsi"/>
                <w:szCs w:val="20"/>
                <w:lang w:eastAsia="en-GB"/>
              </w:rPr>
              <w:t xml:space="preserve">8.9 </w:t>
            </w:r>
          </w:p>
        </w:tc>
        <w:tc>
          <w:tcPr>
            <w:tcW w:w="1563" w:type="dxa"/>
            <w:tcBorders>
              <w:top w:val="nil"/>
              <w:left w:val="nil"/>
              <w:bottom w:val="single" w:sz="4" w:space="0" w:color="1F497D"/>
              <w:right w:val="nil"/>
            </w:tcBorders>
            <w:shd w:val="clear" w:color="000000" w:fill="EAEAEA"/>
            <w:noWrap/>
            <w:vAlign w:val="bottom"/>
            <w:hideMark/>
          </w:tcPr>
          <w:p w:rsidR="00545254" w:rsidRPr="00987F64" w:rsidRDefault="00545254" w:rsidP="00B642ED">
            <w:pPr>
              <w:jc w:val="both"/>
              <w:rPr>
                <w:rFonts w:asciiTheme="minorHAnsi" w:eastAsia="Times New Roman" w:hAnsiTheme="minorHAnsi" w:cstheme="minorHAnsi"/>
                <w:b/>
                <w:bCs/>
                <w:szCs w:val="20"/>
                <w:lang w:eastAsia="en-GB"/>
              </w:rPr>
            </w:pPr>
            <w:r w:rsidRPr="00987F64">
              <w:rPr>
                <w:rFonts w:asciiTheme="minorHAnsi" w:eastAsia="Times New Roman" w:hAnsiTheme="minorHAnsi" w:cstheme="minorHAnsi"/>
                <w:b/>
                <w:bCs/>
                <w:szCs w:val="20"/>
                <w:lang w:eastAsia="en-GB"/>
              </w:rPr>
              <w:t xml:space="preserve">8.6 </w:t>
            </w:r>
          </w:p>
        </w:tc>
      </w:tr>
      <w:tr w:rsidR="00545254" w:rsidRPr="00987F64" w:rsidTr="00BF5F46">
        <w:trPr>
          <w:trHeight w:val="315"/>
        </w:trPr>
        <w:tc>
          <w:tcPr>
            <w:tcW w:w="6330" w:type="dxa"/>
            <w:tcBorders>
              <w:top w:val="nil"/>
              <w:left w:val="nil"/>
              <w:bottom w:val="single" w:sz="4" w:space="0" w:color="1F497D"/>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szCs w:val="20"/>
                <w:lang w:eastAsia="en-GB"/>
              </w:rPr>
            </w:pPr>
            <w:r w:rsidRPr="00987F64">
              <w:rPr>
                <w:rFonts w:asciiTheme="minorHAnsi" w:eastAsia="Times New Roman" w:hAnsiTheme="minorHAnsi" w:cstheme="minorHAnsi"/>
                <w:szCs w:val="20"/>
                <w:lang w:eastAsia="en-GB"/>
              </w:rPr>
              <w:t>Total loans and advances to customers (gross)</w:t>
            </w:r>
          </w:p>
        </w:tc>
        <w:tc>
          <w:tcPr>
            <w:tcW w:w="1497" w:type="dxa"/>
            <w:tcBorders>
              <w:top w:val="nil"/>
              <w:left w:val="nil"/>
              <w:bottom w:val="single" w:sz="4" w:space="0" w:color="1F497D"/>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szCs w:val="20"/>
                <w:lang w:eastAsia="en-GB"/>
              </w:rPr>
            </w:pPr>
            <w:r w:rsidRPr="00987F64">
              <w:rPr>
                <w:rFonts w:asciiTheme="minorHAnsi" w:eastAsia="Times New Roman" w:hAnsiTheme="minorHAnsi" w:cstheme="minorHAnsi"/>
                <w:szCs w:val="20"/>
                <w:lang w:eastAsia="en-GB"/>
              </w:rPr>
              <w:t xml:space="preserve">20.3 </w:t>
            </w:r>
          </w:p>
        </w:tc>
        <w:tc>
          <w:tcPr>
            <w:tcW w:w="1563" w:type="dxa"/>
            <w:tcBorders>
              <w:top w:val="nil"/>
              <w:left w:val="nil"/>
              <w:bottom w:val="single" w:sz="4" w:space="0" w:color="1F497D"/>
              <w:right w:val="nil"/>
            </w:tcBorders>
            <w:shd w:val="clear" w:color="000000" w:fill="EAEAEA"/>
            <w:noWrap/>
            <w:vAlign w:val="bottom"/>
            <w:hideMark/>
          </w:tcPr>
          <w:p w:rsidR="00545254" w:rsidRPr="00987F64" w:rsidRDefault="00545254" w:rsidP="00B642ED">
            <w:pPr>
              <w:jc w:val="both"/>
              <w:rPr>
                <w:rFonts w:asciiTheme="minorHAnsi" w:eastAsia="Times New Roman" w:hAnsiTheme="minorHAnsi" w:cstheme="minorHAnsi"/>
                <w:b/>
                <w:bCs/>
                <w:szCs w:val="20"/>
                <w:lang w:eastAsia="en-GB"/>
              </w:rPr>
            </w:pPr>
            <w:r w:rsidRPr="00987F64">
              <w:rPr>
                <w:rFonts w:asciiTheme="minorHAnsi" w:eastAsia="Times New Roman" w:hAnsiTheme="minorHAnsi" w:cstheme="minorHAnsi"/>
                <w:b/>
                <w:bCs/>
                <w:szCs w:val="20"/>
                <w:lang w:eastAsia="en-GB"/>
              </w:rPr>
              <w:t xml:space="preserve">20.8 </w:t>
            </w:r>
          </w:p>
        </w:tc>
      </w:tr>
      <w:tr w:rsidR="00545254" w:rsidRPr="00987F64" w:rsidTr="00BF5F46">
        <w:trPr>
          <w:trHeight w:val="315"/>
        </w:trPr>
        <w:tc>
          <w:tcPr>
            <w:tcW w:w="6330" w:type="dxa"/>
            <w:tcBorders>
              <w:top w:val="nil"/>
              <w:left w:val="nil"/>
              <w:bottom w:val="nil"/>
              <w:right w:val="nil"/>
            </w:tcBorders>
            <w:shd w:val="clear" w:color="auto" w:fill="auto"/>
            <w:noWrap/>
            <w:vAlign w:val="center"/>
            <w:hideMark/>
          </w:tcPr>
          <w:p w:rsidR="00545254" w:rsidRPr="00987F64" w:rsidRDefault="00545254" w:rsidP="00B642ED">
            <w:pPr>
              <w:jc w:val="both"/>
              <w:rPr>
                <w:rFonts w:asciiTheme="minorHAnsi" w:eastAsia="Times New Roman" w:hAnsiTheme="minorHAnsi" w:cstheme="minorHAnsi"/>
                <w:color w:val="000000"/>
                <w:szCs w:val="20"/>
                <w:lang w:eastAsia="en-GB"/>
              </w:rPr>
            </w:pPr>
          </w:p>
        </w:tc>
        <w:tc>
          <w:tcPr>
            <w:tcW w:w="1497" w:type="dxa"/>
            <w:tcBorders>
              <w:top w:val="nil"/>
              <w:left w:val="nil"/>
              <w:bottom w:val="nil"/>
              <w:right w:val="nil"/>
            </w:tcBorders>
            <w:shd w:val="clear" w:color="000000" w:fill="FFFFFF"/>
            <w:vAlign w:val="bottom"/>
            <w:hideMark/>
          </w:tcPr>
          <w:p w:rsidR="00545254" w:rsidRPr="00987F64" w:rsidRDefault="00545254" w:rsidP="00B642ED">
            <w:pPr>
              <w:jc w:val="both"/>
              <w:rPr>
                <w:rFonts w:asciiTheme="minorHAnsi" w:eastAsia="Times New Roman" w:hAnsiTheme="minorHAnsi" w:cstheme="minorHAnsi"/>
                <w:szCs w:val="20"/>
                <w:lang w:eastAsia="en-GB"/>
              </w:rPr>
            </w:pPr>
            <w:r w:rsidRPr="00987F64">
              <w:rPr>
                <w:rFonts w:asciiTheme="minorHAnsi" w:eastAsia="Times New Roman" w:hAnsiTheme="minorHAnsi" w:cstheme="minorHAnsi"/>
                <w:szCs w:val="20"/>
                <w:lang w:eastAsia="en-GB"/>
              </w:rPr>
              <w:t> </w:t>
            </w:r>
          </w:p>
        </w:tc>
        <w:tc>
          <w:tcPr>
            <w:tcW w:w="1563" w:type="dxa"/>
            <w:tcBorders>
              <w:top w:val="nil"/>
              <w:left w:val="nil"/>
              <w:bottom w:val="nil"/>
              <w:right w:val="nil"/>
            </w:tcBorders>
            <w:shd w:val="clear" w:color="auto" w:fill="auto"/>
            <w:noWrap/>
            <w:vAlign w:val="bottom"/>
            <w:hideMark/>
          </w:tcPr>
          <w:p w:rsidR="00545254" w:rsidRPr="00987F64" w:rsidRDefault="00545254" w:rsidP="00B642ED">
            <w:pPr>
              <w:jc w:val="both"/>
              <w:rPr>
                <w:rFonts w:asciiTheme="minorHAnsi" w:eastAsia="Times New Roman" w:hAnsiTheme="minorHAnsi" w:cstheme="minorHAnsi"/>
                <w:b/>
                <w:bCs/>
                <w:szCs w:val="20"/>
                <w:lang w:eastAsia="en-GB"/>
              </w:rPr>
            </w:pPr>
          </w:p>
        </w:tc>
      </w:tr>
      <w:tr w:rsidR="00545254" w:rsidRPr="00987F64" w:rsidTr="00BF5F46">
        <w:trPr>
          <w:trHeight w:val="315"/>
        </w:trPr>
        <w:tc>
          <w:tcPr>
            <w:tcW w:w="6330" w:type="dxa"/>
            <w:tcBorders>
              <w:top w:val="nil"/>
              <w:left w:val="nil"/>
              <w:bottom w:val="nil"/>
              <w:right w:val="nil"/>
            </w:tcBorders>
            <w:shd w:val="clear" w:color="auto" w:fill="auto"/>
            <w:noWrap/>
            <w:vAlign w:val="bottom"/>
            <w:hideMark/>
          </w:tcPr>
          <w:p w:rsidR="00545254" w:rsidRPr="002F34F9" w:rsidRDefault="00545254" w:rsidP="00B642ED">
            <w:pPr>
              <w:jc w:val="both"/>
              <w:rPr>
                <w:rFonts w:asciiTheme="minorHAnsi" w:eastAsia="Times New Roman" w:hAnsiTheme="minorHAnsi" w:cstheme="minorHAnsi"/>
                <w:sz w:val="16"/>
                <w:szCs w:val="16"/>
                <w:lang w:eastAsia="en-GB"/>
              </w:rPr>
            </w:pPr>
            <w:r w:rsidRPr="002F34F9">
              <w:rPr>
                <w:rFonts w:asciiTheme="minorHAnsi" w:eastAsia="Times New Roman" w:hAnsiTheme="minorHAnsi" w:cstheme="minorHAnsi"/>
                <w:sz w:val="16"/>
                <w:szCs w:val="16"/>
                <w:lang w:eastAsia="en-GB"/>
              </w:rPr>
              <w:t>Note:</w:t>
            </w:r>
          </w:p>
        </w:tc>
        <w:tc>
          <w:tcPr>
            <w:tcW w:w="1497" w:type="dxa"/>
            <w:tcBorders>
              <w:top w:val="nil"/>
              <w:left w:val="nil"/>
              <w:bottom w:val="nil"/>
              <w:right w:val="nil"/>
            </w:tcBorders>
            <w:shd w:val="clear" w:color="auto" w:fill="auto"/>
            <w:noWrap/>
            <w:vAlign w:val="center"/>
            <w:hideMark/>
          </w:tcPr>
          <w:p w:rsidR="00545254" w:rsidRPr="00987F64" w:rsidRDefault="00545254" w:rsidP="00B642ED">
            <w:pPr>
              <w:jc w:val="both"/>
              <w:rPr>
                <w:rFonts w:asciiTheme="minorHAnsi" w:eastAsia="Times New Roman" w:hAnsiTheme="minorHAnsi" w:cstheme="minorHAnsi"/>
                <w:color w:val="FFFFFF"/>
                <w:szCs w:val="20"/>
                <w:lang w:eastAsia="en-GB"/>
              </w:rPr>
            </w:pPr>
          </w:p>
        </w:tc>
        <w:tc>
          <w:tcPr>
            <w:tcW w:w="1563" w:type="dxa"/>
            <w:tcBorders>
              <w:top w:val="nil"/>
              <w:left w:val="nil"/>
              <w:bottom w:val="nil"/>
              <w:right w:val="nil"/>
            </w:tcBorders>
            <w:shd w:val="clear" w:color="auto" w:fill="auto"/>
            <w:noWrap/>
            <w:vAlign w:val="center"/>
            <w:hideMark/>
          </w:tcPr>
          <w:p w:rsidR="00545254" w:rsidRPr="00987F64" w:rsidRDefault="00545254" w:rsidP="00B642ED">
            <w:pPr>
              <w:jc w:val="both"/>
              <w:rPr>
                <w:rFonts w:asciiTheme="minorHAnsi" w:eastAsia="Times New Roman" w:hAnsiTheme="minorHAnsi" w:cstheme="minorHAnsi"/>
                <w:b/>
                <w:bCs/>
                <w:szCs w:val="20"/>
                <w:lang w:eastAsia="en-GB"/>
              </w:rPr>
            </w:pPr>
          </w:p>
        </w:tc>
      </w:tr>
      <w:tr w:rsidR="00545254" w:rsidRPr="00987F64" w:rsidTr="00BF5F46">
        <w:trPr>
          <w:trHeight w:val="315"/>
        </w:trPr>
        <w:tc>
          <w:tcPr>
            <w:tcW w:w="9390" w:type="dxa"/>
            <w:gridSpan w:val="3"/>
            <w:tcBorders>
              <w:top w:val="nil"/>
              <w:left w:val="nil"/>
              <w:bottom w:val="nil"/>
              <w:right w:val="nil"/>
            </w:tcBorders>
            <w:shd w:val="clear" w:color="auto" w:fill="auto"/>
            <w:vAlign w:val="bottom"/>
            <w:hideMark/>
          </w:tcPr>
          <w:p w:rsidR="00545254" w:rsidRPr="002F34F9" w:rsidRDefault="00545254" w:rsidP="00B642ED">
            <w:pPr>
              <w:jc w:val="both"/>
              <w:rPr>
                <w:rFonts w:asciiTheme="minorHAnsi" w:eastAsia="Times New Roman" w:hAnsiTheme="minorHAnsi" w:cstheme="minorHAnsi"/>
                <w:sz w:val="16"/>
                <w:szCs w:val="16"/>
                <w:lang w:eastAsia="en-GB"/>
              </w:rPr>
            </w:pPr>
            <w:r w:rsidRPr="002F34F9">
              <w:rPr>
                <w:rFonts w:asciiTheme="minorHAnsi" w:eastAsia="Times New Roman" w:hAnsiTheme="minorHAnsi" w:cstheme="minorHAnsi"/>
                <w:sz w:val="16"/>
                <w:szCs w:val="16"/>
                <w:lang w:eastAsia="en-GB"/>
              </w:rPr>
              <w:t xml:space="preserve"> Williams &amp; Glyn refers to the business formerly intended to be divested as a separate legal entity and comprises RBS England and Wales branch-based businesses, along </w:t>
            </w:r>
            <w:r w:rsidR="00663DE3" w:rsidRPr="002F34F9">
              <w:rPr>
                <w:rFonts w:asciiTheme="minorHAnsi" w:eastAsia="Times New Roman" w:hAnsiTheme="minorHAnsi" w:cstheme="minorHAnsi"/>
                <w:sz w:val="16"/>
                <w:szCs w:val="16"/>
                <w:lang w:eastAsia="en-GB"/>
              </w:rPr>
              <w:t>with certain small and medium enterprises and corporate activities across the UK.</w:t>
            </w:r>
          </w:p>
        </w:tc>
      </w:tr>
      <w:tr w:rsidR="00545254" w:rsidRPr="00987F64" w:rsidTr="00BF5F46">
        <w:trPr>
          <w:trHeight w:val="315"/>
        </w:trPr>
        <w:tc>
          <w:tcPr>
            <w:tcW w:w="9390" w:type="dxa"/>
            <w:gridSpan w:val="3"/>
            <w:tcBorders>
              <w:top w:val="nil"/>
              <w:left w:val="nil"/>
              <w:bottom w:val="nil"/>
              <w:right w:val="nil"/>
            </w:tcBorders>
            <w:shd w:val="clear" w:color="auto" w:fill="auto"/>
            <w:vAlign w:val="bottom"/>
            <w:hideMark/>
          </w:tcPr>
          <w:p w:rsidR="00545254" w:rsidRPr="002F34F9" w:rsidRDefault="00545254" w:rsidP="00B642ED">
            <w:pPr>
              <w:jc w:val="both"/>
              <w:rPr>
                <w:rFonts w:asciiTheme="minorHAnsi" w:eastAsia="Times New Roman" w:hAnsiTheme="minorHAnsi" w:cstheme="minorHAnsi"/>
                <w:sz w:val="16"/>
                <w:szCs w:val="16"/>
                <w:lang w:eastAsia="en-GB"/>
              </w:rPr>
            </w:pPr>
            <w:r w:rsidRPr="002F34F9">
              <w:rPr>
                <w:rFonts w:asciiTheme="minorHAnsi" w:eastAsia="Times New Roman" w:hAnsiTheme="minorHAnsi" w:cstheme="minorHAnsi"/>
                <w:sz w:val="16"/>
                <w:szCs w:val="16"/>
                <w:lang w:eastAsia="en-GB"/>
              </w:rPr>
              <w:t xml:space="preserve">       </w:t>
            </w:r>
          </w:p>
        </w:tc>
      </w:tr>
      <w:tr w:rsidR="00545254" w:rsidRPr="00987F64" w:rsidTr="00B642ED">
        <w:trPr>
          <w:trHeight w:val="80"/>
        </w:trPr>
        <w:tc>
          <w:tcPr>
            <w:tcW w:w="6330" w:type="dxa"/>
            <w:tcBorders>
              <w:top w:val="nil"/>
              <w:left w:val="nil"/>
              <w:bottom w:val="nil"/>
              <w:right w:val="nil"/>
            </w:tcBorders>
            <w:shd w:val="clear" w:color="auto" w:fill="auto"/>
            <w:noWrap/>
            <w:vAlign w:val="bottom"/>
          </w:tcPr>
          <w:p w:rsidR="00545254" w:rsidRPr="002F34F9" w:rsidRDefault="00545254" w:rsidP="00B642ED">
            <w:pPr>
              <w:jc w:val="both"/>
              <w:rPr>
                <w:rFonts w:asciiTheme="minorHAnsi" w:eastAsia="Times New Roman" w:hAnsiTheme="minorHAnsi" w:cstheme="minorHAnsi"/>
                <w:sz w:val="16"/>
                <w:szCs w:val="16"/>
                <w:lang w:eastAsia="en-GB"/>
              </w:rPr>
            </w:pPr>
          </w:p>
        </w:tc>
        <w:tc>
          <w:tcPr>
            <w:tcW w:w="1497" w:type="dxa"/>
            <w:tcBorders>
              <w:top w:val="nil"/>
              <w:left w:val="nil"/>
              <w:bottom w:val="nil"/>
              <w:right w:val="nil"/>
            </w:tcBorders>
            <w:shd w:val="clear" w:color="auto" w:fill="auto"/>
            <w:noWrap/>
            <w:vAlign w:val="center"/>
            <w:hideMark/>
          </w:tcPr>
          <w:p w:rsidR="00545254" w:rsidRPr="00987F64" w:rsidRDefault="00545254" w:rsidP="00B642ED">
            <w:pPr>
              <w:jc w:val="both"/>
              <w:rPr>
                <w:rFonts w:asciiTheme="minorHAnsi" w:eastAsia="Times New Roman" w:hAnsiTheme="minorHAnsi" w:cstheme="minorHAnsi"/>
                <w:color w:val="FFFFFF"/>
                <w:szCs w:val="20"/>
                <w:lang w:eastAsia="en-GB"/>
              </w:rPr>
            </w:pPr>
          </w:p>
        </w:tc>
        <w:tc>
          <w:tcPr>
            <w:tcW w:w="1563" w:type="dxa"/>
            <w:tcBorders>
              <w:top w:val="nil"/>
              <w:left w:val="nil"/>
              <w:bottom w:val="nil"/>
              <w:right w:val="nil"/>
            </w:tcBorders>
            <w:shd w:val="clear" w:color="auto" w:fill="auto"/>
            <w:noWrap/>
            <w:vAlign w:val="center"/>
            <w:hideMark/>
          </w:tcPr>
          <w:p w:rsidR="00545254" w:rsidRPr="00987F64" w:rsidRDefault="00545254" w:rsidP="00B642ED">
            <w:pPr>
              <w:jc w:val="both"/>
              <w:rPr>
                <w:rFonts w:asciiTheme="minorHAnsi" w:eastAsia="Times New Roman" w:hAnsiTheme="minorHAnsi" w:cstheme="minorHAnsi"/>
                <w:b/>
                <w:bCs/>
                <w:szCs w:val="20"/>
                <w:lang w:eastAsia="en-GB"/>
              </w:rPr>
            </w:pPr>
          </w:p>
        </w:tc>
      </w:tr>
    </w:tbl>
    <w:p w:rsidR="002F34F9" w:rsidRDefault="002F34F9" w:rsidP="00B642ED">
      <w:pPr>
        <w:jc w:val="both"/>
      </w:pPr>
    </w:p>
    <w:p w:rsidR="002F34F9" w:rsidRPr="00D13B2E" w:rsidRDefault="002F34F9" w:rsidP="00B642ED">
      <w:pPr>
        <w:jc w:val="both"/>
        <w:rPr>
          <w:rFonts w:asciiTheme="minorHAnsi" w:hAnsiTheme="minorHAnsi" w:cstheme="minorHAnsi"/>
        </w:rPr>
      </w:pPr>
      <w:r w:rsidRPr="00D13B2E">
        <w:rPr>
          <w:rFonts w:asciiTheme="minorHAnsi" w:hAnsiTheme="minorHAnsi" w:cstheme="minorHAnsi"/>
          <w:i/>
          <w:iCs/>
        </w:rPr>
        <w:t>This announcement Includes Inside information which is a disclosure required by the European Union Market Abuse Regulation EU 596/2014 of 16 April 2014. “Inside Information” is used as defined in that Regulation.</w:t>
      </w:r>
    </w:p>
    <w:p w:rsidR="002F34F9" w:rsidRDefault="002F34F9" w:rsidP="00B642ED">
      <w:pPr>
        <w:jc w:val="both"/>
      </w:pPr>
    </w:p>
    <w:p w:rsidR="002F34F9" w:rsidRPr="00F639DB" w:rsidRDefault="002F34F9" w:rsidP="00B642ED">
      <w:pPr>
        <w:jc w:val="both"/>
      </w:pPr>
    </w:p>
    <w:p w:rsidR="000B12D2" w:rsidRPr="00645990" w:rsidRDefault="000B12D2">
      <w:pPr>
        <w:pStyle w:val="GCAHeaderUnderline"/>
        <w:jc w:val="both"/>
        <w:rPr>
          <w:sz w:val="15"/>
          <w:szCs w:val="15"/>
        </w:rPr>
      </w:pPr>
      <w:r w:rsidRPr="00645990">
        <w:rPr>
          <w:sz w:val="15"/>
          <w:szCs w:val="15"/>
        </w:rPr>
        <w:t>Forward-looking statements</w:t>
      </w:r>
    </w:p>
    <w:p w:rsidR="000B12D2" w:rsidRPr="00645990" w:rsidRDefault="000B12D2">
      <w:pPr>
        <w:pStyle w:val="Normal0"/>
        <w:jc w:val="both"/>
        <w:rPr>
          <w:rFonts w:eastAsia="SimSun"/>
          <w:sz w:val="15"/>
          <w:szCs w:val="15"/>
          <w:lang w:eastAsia="ja-JP"/>
        </w:rPr>
      </w:pPr>
    </w:p>
    <w:p w:rsidR="000B12D2" w:rsidRPr="008142C0" w:rsidRDefault="000B12D2">
      <w:pPr>
        <w:pStyle w:val="Normal0"/>
        <w:spacing w:line="220" w:lineRule="exact"/>
        <w:jc w:val="both"/>
        <w:rPr>
          <w:rFonts w:eastAsia="SimSun"/>
          <w:sz w:val="15"/>
          <w:szCs w:val="15"/>
        </w:rPr>
      </w:pPr>
      <w:r w:rsidRPr="008142C0">
        <w:rPr>
          <w:rFonts w:eastAsia="SimSun"/>
          <w:sz w:val="15"/>
          <w:szCs w:val="15"/>
        </w:rPr>
        <w:t xml:space="preserve">This </w:t>
      </w:r>
      <w:r w:rsidRPr="000B12D2">
        <w:rPr>
          <w:rFonts w:eastAsia="SimSun" w:cs="Times New Roman"/>
          <w:sz w:val="15"/>
          <w:szCs w:val="15"/>
        </w:rPr>
        <w:t>announcement</w:t>
      </w:r>
      <w:r>
        <w:rPr>
          <w:rFonts w:eastAsia="SimSun" w:cs="Times New Roman"/>
          <w:sz w:val="15"/>
          <w:szCs w:val="15"/>
        </w:rPr>
        <w:t xml:space="preserve"> </w:t>
      </w:r>
      <w:r w:rsidRPr="008142C0">
        <w:rPr>
          <w:rFonts w:eastAsia="SimSun"/>
          <w:sz w:val="15"/>
          <w:szCs w:val="15"/>
        </w:rPr>
        <w:t xml:space="preserve">contains forward-looking statements within the meaning of the United States Private Securities Litigation Reform Act of 1995, including those related to RBS and its subsidiaries' regulatory capital position and requirements, financial position, future pension funding requirements, on-going litigation and regulatory investigations, profitability, impairment losses and credit exposures under certain specified scenarios. In addition, forward-looking statements may include, without limitation, statements typically containing words such as "intends", "expects", "anticipates", "targets", "plans", "believes", "risk", "estimates" and words of similar import. These statements concern or may affect future matters, such as RBS's future economic results, business plans and current strategies.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w:t>
      </w:r>
      <w:r w:rsidRPr="008142C0">
        <w:rPr>
          <w:rFonts w:eastAsia="SimSun"/>
          <w:sz w:val="15"/>
          <w:szCs w:val="15"/>
        </w:rPr>
        <w:lastRenderedPageBreak/>
        <w:t>current expectations include, but are not limited to, legislative, fiscal and regulatory developments, accounting standards, competitive conditions, technological developments, exchange rate fluctuations and general economic conditions. These and other factors, risks and uncertainties that may impact any forward-looking statement or RBS's actual results are discussed in RBS's UK Annual Report and Accounts and materials filed with, or furnished to, the US Securities and Exchange Commission, including, but not limited to, RBS's Reports on Form 6-K and most recent Annual Report on Form 20-F. The forward-looking statements contained in this announcement speak only as of the date of this announcement and RBS does not assume or undertake any obligation or responsibility to update any of the forward-looking statements contained in this announcement, whether as a result of new information, future events or otherwise, except to the extent legally required.</w:t>
      </w:r>
    </w:p>
    <w:p w:rsidR="000B12D2" w:rsidRDefault="000B12D2">
      <w:pPr>
        <w:pStyle w:val="Normal0"/>
        <w:spacing w:line="220" w:lineRule="exact"/>
        <w:jc w:val="both"/>
      </w:pPr>
    </w:p>
    <w:p w:rsidR="00DD4C93" w:rsidRPr="00190E4F" w:rsidRDefault="00190E4F" w:rsidP="00B642ED">
      <w:pPr>
        <w:jc w:val="both"/>
        <w:rPr>
          <w:sz w:val="15"/>
          <w:szCs w:val="15"/>
        </w:rPr>
      </w:pPr>
      <w:r w:rsidRPr="00190E4F">
        <w:rPr>
          <w:sz w:val="15"/>
          <w:szCs w:val="15"/>
        </w:rPr>
        <w:t>Legal Entity Identifier:</w:t>
      </w:r>
      <w:r w:rsidRPr="00190E4F">
        <w:rPr>
          <w:sz w:val="15"/>
          <w:szCs w:val="15"/>
          <w:lang w:val="en"/>
        </w:rPr>
        <w:t xml:space="preserve"> 2138005O9XJIJN4JPN90</w:t>
      </w:r>
    </w:p>
    <w:p w:rsidR="00DD4C93" w:rsidRPr="00F639DB" w:rsidRDefault="00DD4C93" w:rsidP="00B642ED">
      <w:pPr>
        <w:jc w:val="both"/>
      </w:pPr>
    </w:p>
    <w:p w:rsidR="00DD4C93" w:rsidRDefault="00DD4C93" w:rsidP="00B642ED">
      <w:pPr>
        <w:jc w:val="both"/>
      </w:pPr>
    </w:p>
    <w:p w:rsidR="00DD4C93" w:rsidRDefault="00DD4C93" w:rsidP="00B642ED">
      <w:pPr>
        <w:jc w:val="both"/>
      </w:pPr>
    </w:p>
    <w:p w:rsidR="00DD4C93" w:rsidRDefault="00DD4C93" w:rsidP="00B642ED">
      <w:pPr>
        <w:jc w:val="both"/>
      </w:pPr>
    </w:p>
    <w:p w:rsidR="00DD4C93" w:rsidRDefault="00DD4C93" w:rsidP="00B642ED">
      <w:pPr>
        <w:jc w:val="both"/>
      </w:pPr>
    </w:p>
    <w:sectPr w:rsidR="00DD4C93" w:rsidSect="00050C51">
      <w:pgSz w:w="11906" w:h="16838" w:code="9"/>
      <w:pgMar w:top="1247" w:right="1247" w:bottom="1247" w:left="124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BE8" w:rsidRDefault="00D40BE8" w:rsidP="00AA4E94">
      <w:r>
        <w:separator/>
      </w:r>
    </w:p>
  </w:endnote>
  <w:endnote w:type="continuationSeparator" w:id="0">
    <w:p w:rsidR="00D40BE8" w:rsidRDefault="00D40BE8" w:rsidP="00AA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BE8" w:rsidRDefault="00D40BE8" w:rsidP="00AA4E94">
      <w:r>
        <w:separator/>
      </w:r>
    </w:p>
  </w:footnote>
  <w:footnote w:type="continuationSeparator" w:id="0">
    <w:p w:rsidR="00D40BE8" w:rsidRDefault="00D40BE8" w:rsidP="00AA4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CAF228"/>
    <w:lvl w:ilvl="0">
      <w:start w:val="1"/>
      <w:numFmt w:val="decimal"/>
      <w:lvlText w:val="%1."/>
      <w:lvlJc w:val="left"/>
      <w:pPr>
        <w:tabs>
          <w:tab w:val="num" w:pos="1492"/>
        </w:tabs>
        <w:ind w:left="1492" w:hanging="360"/>
      </w:pPr>
    </w:lvl>
  </w:abstractNum>
  <w:abstractNum w:abstractNumId="1">
    <w:nsid w:val="FFFFFF7D"/>
    <w:multiLevelType w:val="singleLevel"/>
    <w:tmpl w:val="F36E8A52"/>
    <w:lvl w:ilvl="0">
      <w:start w:val="1"/>
      <w:numFmt w:val="decimal"/>
      <w:lvlText w:val="%1."/>
      <w:lvlJc w:val="left"/>
      <w:pPr>
        <w:tabs>
          <w:tab w:val="num" w:pos="1209"/>
        </w:tabs>
        <w:ind w:left="1209" w:hanging="360"/>
      </w:pPr>
    </w:lvl>
  </w:abstractNum>
  <w:abstractNum w:abstractNumId="2">
    <w:nsid w:val="FFFFFF7E"/>
    <w:multiLevelType w:val="singleLevel"/>
    <w:tmpl w:val="45B6BDD6"/>
    <w:lvl w:ilvl="0">
      <w:start w:val="1"/>
      <w:numFmt w:val="decimal"/>
      <w:lvlText w:val="%1."/>
      <w:lvlJc w:val="left"/>
      <w:pPr>
        <w:tabs>
          <w:tab w:val="num" w:pos="926"/>
        </w:tabs>
        <w:ind w:left="926" w:hanging="360"/>
      </w:pPr>
    </w:lvl>
  </w:abstractNum>
  <w:abstractNum w:abstractNumId="3">
    <w:nsid w:val="FFFFFF7F"/>
    <w:multiLevelType w:val="singleLevel"/>
    <w:tmpl w:val="22E8A504"/>
    <w:lvl w:ilvl="0">
      <w:start w:val="1"/>
      <w:numFmt w:val="decimal"/>
      <w:lvlText w:val="%1."/>
      <w:lvlJc w:val="left"/>
      <w:pPr>
        <w:tabs>
          <w:tab w:val="num" w:pos="643"/>
        </w:tabs>
        <w:ind w:left="643" w:hanging="360"/>
      </w:pPr>
    </w:lvl>
  </w:abstractNum>
  <w:abstractNum w:abstractNumId="4">
    <w:nsid w:val="FFFFFF80"/>
    <w:multiLevelType w:val="singleLevel"/>
    <w:tmpl w:val="9D80A6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D6FC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E449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40C40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85CFEF6"/>
    <w:lvl w:ilvl="0">
      <w:start w:val="1"/>
      <w:numFmt w:val="decimal"/>
      <w:lvlText w:val="%1."/>
      <w:lvlJc w:val="left"/>
      <w:pPr>
        <w:tabs>
          <w:tab w:val="num" w:pos="360"/>
        </w:tabs>
        <w:ind w:left="360" w:hanging="360"/>
      </w:pPr>
    </w:lvl>
  </w:abstractNum>
  <w:abstractNum w:abstractNumId="9">
    <w:nsid w:val="FFFFFF89"/>
    <w:multiLevelType w:val="singleLevel"/>
    <w:tmpl w:val="49B65BEE"/>
    <w:lvl w:ilvl="0">
      <w:start w:val="1"/>
      <w:numFmt w:val="bullet"/>
      <w:lvlText w:val=""/>
      <w:lvlJc w:val="left"/>
      <w:pPr>
        <w:tabs>
          <w:tab w:val="num" w:pos="360"/>
        </w:tabs>
        <w:ind w:left="360" w:hanging="360"/>
      </w:pPr>
      <w:rPr>
        <w:rFonts w:ascii="Symbol" w:hAnsi="Symbol" w:hint="default"/>
      </w:rPr>
    </w:lvl>
  </w:abstractNum>
  <w:abstractNum w:abstractNumId="10">
    <w:nsid w:val="028377FC"/>
    <w:multiLevelType w:val="hybridMultilevel"/>
    <w:tmpl w:val="9C9A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785760"/>
    <w:multiLevelType w:val="hybridMultilevel"/>
    <w:tmpl w:val="C82CBF4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FD601C6"/>
    <w:multiLevelType w:val="multilevel"/>
    <w:tmpl w:val="C6C880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5B83347"/>
    <w:multiLevelType w:val="hybridMultilevel"/>
    <w:tmpl w:val="EBA84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2605AC6"/>
    <w:multiLevelType w:val="hybridMultilevel"/>
    <w:tmpl w:val="298AD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429D3BC6"/>
    <w:multiLevelType w:val="hybridMultilevel"/>
    <w:tmpl w:val="C6C88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6434398"/>
    <w:multiLevelType w:val="hybridMultilevel"/>
    <w:tmpl w:val="A722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BB23AC"/>
    <w:multiLevelType w:val="hybridMultilevel"/>
    <w:tmpl w:val="4E32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31C32A4"/>
    <w:multiLevelType w:val="hybridMultilevel"/>
    <w:tmpl w:val="1A8CD7E6"/>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nsid w:val="5AAD6E74"/>
    <w:multiLevelType w:val="hybridMultilevel"/>
    <w:tmpl w:val="42B6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25512FE"/>
    <w:multiLevelType w:val="hybridMultilevel"/>
    <w:tmpl w:val="B05A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E865CC4"/>
    <w:multiLevelType w:val="hybridMultilevel"/>
    <w:tmpl w:val="A858A5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7A722ADD"/>
    <w:multiLevelType w:val="hybridMultilevel"/>
    <w:tmpl w:val="4E50C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AEC139C"/>
    <w:multiLevelType w:val="hybridMultilevel"/>
    <w:tmpl w:val="0374DE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7F832616"/>
    <w:multiLevelType w:val="hybridMultilevel"/>
    <w:tmpl w:val="A858A5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20"/>
  </w:num>
  <w:num w:numId="14">
    <w:abstractNumId w:val="15"/>
  </w:num>
  <w:num w:numId="15">
    <w:abstractNumId w:val="12"/>
  </w:num>
  <w:num w:numId="16">
    <w:abstractNumId w:val="22"/>
  </w:num>
  <w:num w:numId="17">
    <w:abstractNumId w:val="17"/>
  </w:num>
  <w:num w:numId="18">
    <w:abstractNumId w:val="18"/>
    <w:lvlOverride w:ilvl="0">
      <w:startOverride w:val="1"/>
    </w:lvlOverride>
    <w:lvlOverride w:ilvl="1"/>
    <w:lvlOverride w:ilvl="2"/>
    <w:lvlOverride w:ilvl="3"/>
    <w:lvlOverride w:ilvl="4"/>
    <w:lvlOverride w:ilvl="5"/>
    <w:lvlOverride w:ilvl="6"/>
    <w:lvlOverride w:ilvl="7"/>
    <w:lvlOverride w:ilvl="8"/>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3"/>
  </w:num>
  <w:num w:numId="22">
    <w:abstractNumId w:val="23"/>
  </w:num>
  <w:num w:numId="23">
    <w:abstractNumId w:val="14"/>
  </w:num>
  <w:num w:numId="24">
    <w:abstractNumId w:val="11"/>
  </w:num>
  <w:num w:numId="25">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wards, Jonathan - HMT">
    <w15:presenceInfo w15:providerId="None" w15:userId="Edwards, Jonathan - HMT"/>
  </w15:person>
  <w15:person w15:author="Yeo, Adrian - HMT">
    <w15:presenceInfo w15:providerId="None" w15:userId="Yeo, Adrian - H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1B8"/>
    <w:rsid w:val="00050C51"/>
    <w:rsid w:val="00072D44"/>
    <w:rsid w:val="000906FB"/>
    <w:rsid w:val="000B12D2"/>
    <w:rsid w:val="000B1AA9"/>
    <w:rsid w:val="000B3E65"/>
    <w:rsid w:val="000E196C"/>
    <w:rsid w:val="000F1DF6"/>
    <w:rsid w:val="001066E7"/>
    <w:rsid w:val="00116EE2"/>
    <w:rsid w:val="00117C9B"/>
    <w:rsid w:val="0017364F"/>
    <w:rsid w:val="00190E4F"/>
    <w:rsid w:val="001A76B3"/>
    <w:rsid w:val="001D1699"/>
    <w:rsid w:val="001D5067"/>
    <w:rsid w:val="001E2C17"/>
    <w:rsid w:val="001F2EC9"/>
    <w:rsid w:val="00202264"/>
    <w:rsid w:val="0023309B"/>
    <w:rsid w:val="0023676A"/>
    <w:rsid w:val="002502E0"/>
    <w:rsid w:val="00263C39"/>
    <w:rsid w:val="00265A9F"/>
    <w:rsid w:val="002A1F66"/>
    <w:rsid w:val="002C7C3B"/>
    <w:rsid w:val="002E13A6"/>
    <w:rsid w:val="002F34F9"/>
    <w:rsid w:val="00304DEA"/>
    <w:rsid w:val="00387980"/>
    <w:rsid w:val="003A13B9"/>
    <w:rsid w:val="003A223A"/>
    <w:rsid w:val="003A33E5"/>
    <w:rsid w:val="003D3604"/>
    <w:rsid w:val="003F7FAE"/>
    <w:rsid w:val="004349D1"/>
    <w:rsid w:val="00440D8A"/>
    <w:rsid w:val="004D6B73"/>
    <w:rsid w:val="00501831"/>
    <w:rsid w:val="00544150"/>
    <w:rsid w:val="00545254"/>
    <w:rsid w:val="00567C7E"/>
    <w:rsid w:val="00583BFC"/>
    <w:rsid w:val="005862B8"/>
    <w:rsid w:val="00587013"/>
    <w:rsid w:val="005901EC"/>
    <w:rsid w:val="00663DE3"/>
    <w:rsid w:val="00681B64"/>
    <w:rsid w:val="00684889"/>
    <w:rsid w:val="006963C5"/>
    <w:rsid w:val="006A5BD2"/>
    <w:rsid w:val="006E252B"/>
    <w:rsid w:val="006E4102"/>
    <w:rsid w:val="006F37AD"/>
    <w:rsid w:val="007009A8"/>
    <w:rsid w:val="007305A4"/>
    <w:rsid w:val="00752B89"/>
    <w:rsid w:val="007837FB"/>
    <w:rsid w:val="00784E76"/>
    <w:rsid w:val="007B11BD"/>
    <w:rsid w:val="007C0F74"/>
    <w:rsid w:val="007F112F"/>
    <w:rsid w:val="00804F60"/>
    <w:rsid w:val="00806451"/>
    <w:rsid w:val="00841E4D"/>
    <w:rsid w:val="00845E3E"/>
    <w:rsid w:val="00846562"/>
    <w:rsid w:val="00864E34"/>
    <w:rsid w:val="00873C6C"/>
    <w:rsid w:val="00873D7E"/>
    <w:rsid w:val="00884A01"/>
    <w:rsid w:val="00884F06"/>
    <w:rsid w:val="00890423"/>
    <w:rsid w:val="008915F8"/>
    <w:rsid w:val="008A77FD"/>
    <w:rsid w:val="008C381C"/>
    <w:rsid w:val="008D4C24"/>
    <w:rsid w:val="008F4F6A"/>
    <w:rsid w:val="009122F1"/>
    <w:rsid w:val="00924F09"/>
    <w:rsid w:val="0093543F"/>
    <w:rsid w:val="009362ED"/>
    <w:rsid w:val="00951549"/>
    <w:rsid w:val="00953704"/>
    <w:rsid w:val="00956840"/>
    <w:rsid w:val="009654B5"/>
    <w:rsid w:val="009850EC"/>
    <w:rsid w:val="00987F64"/>
    <w:rsid w:val="00992011"/>
    <w:rsid w:val="009974C9"/>
    <w:rsid w:val="009E3F86"/>
    <w:rsid w:val="009E453B"/>
    <w:rsid w:val="00A00724"/>
    <w:rsid w:val="00A12FBE"/>
    <w:rsid w:val="00A26B45"/>
    <w:rsid w:val="00A644D6"/>
    <w:rsid w:val="00A85E6E"/>
    <w:rsid w:val="00A8695B"/>
    <w:rsid w:val="00AA4E94"/>
    <w:rsid w:val="00AC73E8"/>
    <w:rsid w:val="00B060A3"/>
    <w:rsid w:val="00B55D29"/>
    <w:rsid w:val="00B642ED"/>
    <w:rsid w:val="00B801D4"/>
    <w:rsid w:val="00B81AAF"/>
    <w:rsid w:val="00B961B8"/>
    <w:rsid w:val="00BA75B8"/>
    <w:rsid w:val="00BC7350"/>
    <w:rsid w:val="00BD2B7A"/>
    <w:rsid w:val="00BE261A"/>
    <w:rsid w:val="00BF0991"/>
    <w:rsid w:val="00BF4249"/>
    <w:rsid w:val="00C01EAF"/>
    <w:rsid w:val="00C032E4"/>
    <w:rsid w:val="00C06EAA"/>
    <w:rsid w:val="00C34A6D"/>
    <w:rsid w:val="00C37A69"/>
    <w:rsid w:val="00C41080"/>
    <w:rsid w:val="00C53E2C"/>
    <w:rsid w:val="00C56376"/>
    <w:rsid w:val="00C72FD4"/>
    <w:rsid w:val="00CB3C4E"/>
    <w:rsid w:val="00CC7B1A"/>
    <w:rsid w:val="00CE2C74"/>
    <w:rsid w:val="00D05F65"/>
    <w:rsid w:val="00D13B2E"/>
    <w:rsid w:val="00D263C2"/>
    <w:rsid w:val="00D40BE8"/>
    <w:rsid w:val="00D42B0B"/>
    <w:rsid w:val="00D70447"/>
    <w:rsid w:val="00DD35CB"/>
    <w:rsid w:val="00DD4C93"/>
    <w:rsid w:val="00DE5894"/>
    <w:rsid w:val="00E15C7A"/>
    <w:rsid w:val="00E42262"/>
    <w:rsid w:val="00E4486A"/>
    <w:rsid w:val="00E660D5"/>
    <w:rsid w:val="00E66150"/>
    <w:rsid w:val="00E80952"/>
    <w:rsid w:val="00EB6573"/>
    <w:rsid w:val="00F00D3A"/>
    <w:rsid w:val="00F308F2"/>
    <w:rsid w:val="00F53556"/>
    <w:rsid w:val="00F55EC4"/>
    <w:rsid w:val="00F576AF"/>
    <w:rsid w:val="00F61543"/>
    <w:rsid w:val="00F639DB"/>
    <w:rsid w:val="00FA47ED"/>
    <w:rsid w:val="00FB7CEC"/>
    <w:rsid w:val="00FC6041"/>
    <w:rsid w:val="00FD4F90"/>
    <w:rsid w:val="00FD5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D29"/>
    <w:pPr>
      <w:spacing w:after="0" w:line="240" w:lineRule="auto"/>
    </w:pPr>
    <w:rPr>
      <w:rFonts w:ascii="Arial" w:hAnsi="Arial"/>
      <w:sz w:val="20"/>
    </w:rPr>
  </w:style>
  <w:style w:type="paragraph" w:styleId="Heading1">
    <w:name w:val="heading 1"/>
    <w:basedOn w:val="Normal"/>
    <w:next w:val="Normal"/>
    <w:link w:val="Heading1Char"/>
    <w:uiPriority w:val="9"/>
    <w:qFormat/>
    <w:rsid w:val="00CC7B1A"/>
    <w:pPr>
      <w:keepNext/>
      <w:spacing w:before="240" w:after="320"/>
      <w:outlineLvl w:val="0"/>
    </w:pPr>
    <w:rPr>
      <w:rFonts w:eastAsiaTheme="majorEastAsia"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after="240"/>
      <w:outlineLvl w:val="1"/>
    </w:pPr>
    <w:rPr>
      <w:rFonts w:eastAsiaTheme="majorEastAsia"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after="24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C7B1A"/>
    <w:pPr>
      <w:keepNext/>
      <w:spacing w:before="240" w:after="240"/>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sz w:val="16"/>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b/>
    </w:rPr>
  </w:style>
  <w:style w:type="paragraph" w:styleId="TOC2">
    <w:name w:val="toc 2"/>
    <w:basedOn w:val="Normal"/>
    <w:next w:val="Normal"/>
    <w:uiPriority w:val="39"/>
    <w:semiHidden/>
    <w:unhideWhenUsed/>
    <w:rsid w:val="001A76B3"/>
  </w:style>
  <w:style w:type="paragraph" w:styleId="TOC3">
    <w:name w:val="toc 3"/>
    <w:basedOn w:val="Normal"/>
    <w:next w:val="Normal"/>
    <w:uiPriority w:val="39"/>
    <w:semiHidden/>
    <w:unhideWhenUsed/>
    <w:rsid w:val="001A76B3"/>
  </w:style>
  <w:style w:type="paragraph" w:styleId="TOC4">
    <w:name w:val="toc 4"/>
    <w:basedOn w:val="Normal"/>
    <w:next w:val="Normal"/>
    <w:uiPriority w:val="39"/>
    <w:semiHidden/>
    <w:unhideWhenUsed/>
    <w:rsid w:val="001A76B3"/>
  </w:style>
  <w:style w:type="paragraph" w:styleId="TOC6">
    <w:name w:val="toc 6"/>
    <w:basedOn w:val="Normal"/>
    <w:next w:val="Normal"/>
    <w:uiPriority w:val="39"/>
    <w:semiHidden/>
    <w:unhideWhenUsed/>
    <w:rsid w:val="001A76B3"/>
  </w:style>
  <w:style w:type="paragraph" w:styleId="TOC5">
    <w:name w:val="toc 5"/>
    <w:basedOn w:val="Normal"/>
    <w:next w:val="Normal"/>
    <w:uiPriority w:val="39"/>
    <w:semiHidden/>
    <w:unhideWhenUsed/>
    <w:rsid w:val="00072D44"/>
  </w:style>
  <w:style w:type="paragraph" w:styleId="TOC7">
    <w:name w:val="toc 7"/>
    <w:basedOn w:val="Normal"/>
    <w:next w:val="Normal"/>
    <w:uiPriority w:val="39"/>
    <w:semiHidden/>
    <w:unhideWhenUsed/>
    <w:rsid w:val="00072D44"/>
  </w:style>
  <w:style w:type="paragraph" w:styleId="TOC8">
    <w:name w:val="toc 8"/>
    <w:basedOn w:val="Normal"/>
    <w:next w:val="Normal"/>
    <w:uiPriority w:val="39"/>
    <w:semiHidden/>
    <w:unhideWhenUsed/>
    <w:rsid w:val="00072D44"/>
  </w:style>
  <w:style w:type="paragraph" w:styleId="TOC9">
    <w:name w:val="toc 9"/>
    <w:basedOn w:val="Normal"/>
    <w:next w:val="Normal"/>
    <w:uiPriority w:val="39"/>
    <w:semiHidden/>
    <w:unhideWhenUsed/>
    <w:rsid w:val="00072D44"/>
  </w:style>
  <w:style w:type="paragraph" w:styleId="ListParagraph">
    <w:name w:val="List Paragraph"/>
    <w:aliases w:val="Numbered list"/>
    <w:basedOn w:val="Normal"/>
    <w:uiPriority w:val="34"/>
    <w:qFormat/>
    <w:rsid w:val="00BE261A"/>
    <w:pPr>
      <w:ind w:left="720"/>
    </w:pPr>
  </w:style>
  <w:style w:type="paragraph" w:styleId="BalloonText">
    <w:name w:val="Balloon Text"/>
    <w:basedOn w:val="Normal"/>
    <w:link w:val="BalloonTextChar"/>
    <w:uiPriority w:val="99"/>
    <w:semiHidden/>
    <w:unhideWhenUsed/>
    <w:rsid w:val="007C0F74"/>
    <w:rPr>
      <w:rFonts w:ascii="Tahoma" w:hAnsi="Tahoma" w:cs="Tahoma"/>
      <w:sz w:val="16"/>
      <w:szCs w:val="16"/>
    </w:rPr>
  </w:style>
  <w:style w:type="character" w:customStyle="1" w:styleId="BalloonTextChar">
    <w:name w:val="Balloon Text Char"/>
    <w:basedOn w:val="DefaultParagraphFont"/>
    <w:link w:val="BalloonText"/>
    <w:uiPriority w:val="99"/>
    <w:semiHidden/>
    <w:rsid w:val="007C0F74"/>
    <w:rPr>
      <w:rFonts w:ascii="Tahoma" w:hAnsi="Tahoma" w:cs="Tahoma"/>
      <w:sz w:val="16"/>
      <w:szCs w:val="16"/>
    </w:rPr>
  </w:style>
  <w:style w:type="paragraph" w:customStyle="1" w:styleId="GCAHeaderUnderline">
    <w:name w:val="~ GCA Header Underline"/>
    <w:link w:val="GCAHeaderUnderlineCharChar"/>
    <w:rsid w:val="000B12D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Char">
    <w:name w:val="~ GCA Header Underline Char Char"/>
    <w:link w:val="GCAHeaderUnderline"/>
    <w:locked/>
    <w:rsid w:val="000B12D2"/>
    <w:rPr>
      <w:rFonts w:ascii="Arial" w:eastAsia="Times New Roman" w:hAnsi="Arial" w:cs="Arial"/>
      <w:b/>
      <w:color w:val="003366"/>
      <w:sz w:val="20"/>
      <w:szCs w:val="20"/>
      <w:lang w:eastAsia="ja-JP"/>
    </w:rPr>
  </w:style>
  <w:style w:type="paragraph" w:customStyle="1" w:styleId="Normal0">
    <w:name w:val="Normal_0"/>
    <w:rsid w:val="000B12D2"/>
    <w:pPr>
      <w:spacing w:after="0" w:line="240" w:lineRule="auto"/>
    </w:pPr>
    <w:rPr>
      <w:rFonts w:ascii="Arial" w:eastAsia="Times New Roman" w:hAnsi="Arial" w:cs="Arial"/>
      <w:sz w:val="16"/>
      <w:szCs w:val="24"/>
      <w:lang w:eastAsia="en-GB"/>
    </w:rPr>
  </w:style>
  <w:style w:type="character" w:styleId="CommentReference">
    <w:name w:val="annotation reference"/>
    <w:basedOn w:val="DefaultParagraphFont"/>
    <w:uiPriority w:val="99"/>
    <w:semiHidden/>
    <w:unhideWhenUsed/>
    <w:rsid w:val="000B12D2"/>
    <w:rPr>
      <w:sz w:val="16"/>
      <w:szCs w:val="16"/>
    </w:rPr>
  </w:style>
  <w:style w:type="paragraph" w:styleId="CommentText">
    <w:name w:val="annotation text"/>
    <w:basedOn w:val="Normal"/>
    <w:link w:val="CommentTextChar"/>
    <w:uiPriority w:val="99"/>
    <w:semiHidden/>
    <w:unhideWhenUsed/>
    <w:rsid w:val="000B12D2"/>
    <w:rPr>
      <w:szCs w:val="20"/>
    </w:rPr>
  </w:style>
  <w:style w:type="character" w:customStyle="1" w:styleId="CommentTextChar">
    <w:name w:val="Comment Text Char"/>
    <w:basedOn w:val="DefaultParagraphFont"/>
    <w:link w:val="CommentText"/>
    <w:uiPriority w:val="99"/>
    <w:semiHidden/>
    <w:rsid w:val="000B12D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B12D2"/>
    <w:rPr>
      <w:b/>
      <w:bCs/>
    </w:rPr>
  </w:style>
  <w:style w:type="character" w:customStyle="1" w:styleId="CommentSubjectChar">
    <w:name w:val="Comment Subject Char"/>
    <w:basedOn w:val="CommentTextChar"/>
    <w:link w:val="CommentSubject"/>
    <w:uiPriority w:val="99"/>
    <w:semiHidden/>
    <w:rsid w:val="000B12D2"/>
    <w:rPr>
      <w:rFonts w:ascii="Arial" w:hAnsi="Arial"/>
      <w:b/>
      <w:bCs/>
      <w:sz w:val="20"/>
      <w:szCs w:val="20"/>
    </w:rPr>
  </w:style>
  <w:style w:type="paragraph" w:styleId="PlainText">
    <w:name w:val="Plain Text"/>
    <w:basedOn w:val="Normal"/>
    <w:link w:val="PlainTextChar"/>
    <w:uiPriority w:val="99"/>
    <w:semiHidden/>
    <w:unhideWhenUsed/>
    <w:rsid w:val="001066E7"/>
    <w:rPr>
      <w:rFonts w:ascii="Calibri" w:hAnsi="Calibri"/>
      <w:sz w:val="22"/>
      <w:szCs w:val="21"/>
    </w:rPr>
  </w:style>
  <w:style w:type="character" w:customStyle="1" w:styleId="PlainTextChar">
    <w:name w:val="Plain Text Char"/>
    <w:basedOn w:val="DefaultParagraphFont"/>
    <w:link w:val="PlainText"/>
    <w:uiPriority w:val="99"/>
    <w:semiHidden/>
    <w:rsid w:val="001066E7"/>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D29"/>
    <w:pPr>
      <w:spacing w:after="0" w:line="240" w:lineRule="auto"/>
    </w:pPr>
    <w:rPr>
      <w:rFonts w:ascii="Arial" w:hAnsi="Arial"/>
      <w:sz w:val="20"/>
    </w:rPr>
  </w:style>
  <w:style w:type="paragraph" w:styleId="Heading1">
    <w:name w:val="heading 1"/>
    <w:basedOn w:val="Normal"/>
    <w:next w:val="Normal"/>
    <w:link w:val="Heading1Char"/>
    <w:uiPriority w:val="9"/>
    <w:qFormat/>
    <w:rsid w:val="00CC7B1A"/>
    <w:pPr>
      <w:keepNext/>
      <w:spacing w:before="240" w:after="320"/>
      <w:outlineLvl w:val="0"/>
    </w:pPr>
    <w:rPr>
      <w:rFonts w:eastAsiaTheme="majorEastAsia"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after="240"/>
      <w:outlineLvl w:val="1"/>
    </w:pPr>
    <w:rPr>
      <w:rFonts w:eastAsiaTheme="majorEastAsia"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after="24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C7B1A"/>
    <w:pPr>
      <w:keepNext/>
      <w:spacing w:before="240" w:after="240"/>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sz w:val="16"/>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b/>
    </w:rPr>
  </w:style>
  <w:style w:type="paragraph" w:styleId="TOC2">
    <w:name w:val="toc 2"/>
    <w:basedOn w:val="Normal"/>
    <w:next w:val="Normal"/>
    <w:uiPriority w:val="39"/>
    <w:semiHidden/>
    <w:unhideWhenUsed/>
    <w:rsid w:val="001A76B3"/>
  </w:style>
  <w:style w:type="paragraph" w:styleId="TOC3">
    <w:name w:val="toc 3"/>
    <w:basedOn w:val="Normal"/>
    <w:next w:val="Normal"/>
    <w:uiPriority w:val="39"/>
    <w:semiHidden/>
    <w:unhideWhenUsed/>
    <w:rsid w:val="001A76B3"/>
  </w:style>
  <w:style w:type="paragraph" w:styleId="TOC4">
    <w:name w:val="toc 4"/>
    <w:basedOn w:val="Normal"/>
    <w:next w:val="Normal"/>
    <w:uiPriority w:val="39"/>
    <w:semiHidden/>
    <w:unhideWhenUsed/>
    <w:rsid w:val="001A76B3"/>
  </w:style>
  <w:style w:type="paragraph" w:styleId="TOC6">
    <w:name w:val="toc 6"/>
    <w:basedOn w:val="Normal"/>
    <w:next w:val="Normal"/>
    <w:uiPriority w:val="39"/>
    <w:semiHidden/>
    <w:unhideWhenUsed/>
    <w:rsid w:val="001A76B3"/>
  </w:style>
  <w:style w:type="paragraph" w:styleId="TOC5">
    <w:name w:val="toc 5"/>
    <w:basedOn w:val="Normal"/>
    <w:next w:val="Normal"/>
    <w:uiPriority w:val="39"/>
    <w:semiHidden/>
    <w:unhideWhenUsed/>
    <w:rsid w:val="00072D44"/>
  </w:style>
  <w:style w:type="paragraph" w:styleId="TOC7">
    <w:name w:val="toc 7"/>
    <w:basedOn w:val="Normal"/>
    <w:next w:val="Normal"/>
    <w:uiPriority w:val="39"/>
    <w:semiHidden/>
    <w:unhideWhenUsed/>
    <w:rsid w:val="00072D44"/>
  </w:style>
  <w:style w:type="paragraph" w:styleId="TOC8">
    <w:name w:val="toc 8"/>
    <w:basedOn w:val="Normal"/>
    <w:next w:val="Normal"/>
    <w:uiPriority w:val="39"/>
    <w:semiHidden/>
    <w:unhideWhenUsed/>
    <w:rsid w:val="00072D44"/>
  </w:style>
  <w:style w:type="paragraph" w:styleId="TOC9">
    <w:name w:val="toc 9"/>
    <w:basedOn w:val="Normal"/>
    <w:next w:val="Normal"/>
    <w:uiPriority w:val="39"/>
    <w:semiHidden/>
    <w:unhideWhenUsed/>
    <w:rsid w:val="00072D44"/>
  </w:style>
  <w:style w:type="paragraph" w:styleId="ListParagraph">
    <w:name w:val="List Paragraph"/>
    <w:aliases w:val="Numbered list"/>
    <w:basedOn w:val="Normal"/>
    <w:uiPriority w:val="34"/>
    <w:qFormat/>
    <w:rsid w:val="00BE261A"/>
    <w:pPr>
      <w:ind w:left="720"/>
    </w:pPr>
  </w:style>
  <w:style w:type="paragraph" w:styleId="BalloonText">
    <w:name w:val="Balloon Text"/>
    <w:basedOn w:val="Normal"/>
    <w:link w:val="BalloonTextChar"/>
    <w:uiPriority w:val="99"/>
    <w:semiHidden/>
    <w:unhideWhenUsed/>
    <w:rsid w:val="007C0F74"/>
    <w:rPr>
      <w:rFonts w:ascii="Tahoma" w:hAnsi="Tahoma" w:cs="Tahoma"/>
      <w:sz w:val="16"/>
      <w:szCs w:val="16"/>
    </w:rPr>
  </w:style>
  <w:style w:type="character" w:customStyle="1" w:styleId="BalloonTextChar">
    <w:name w:val="Balloon Text Char"/>
    <w:basedOn w:val="DefaultParagraphFont"/>
    <w:link w:val="BalloonText"/>
    <w:uiPriority w:val="99"/>
    <w:semiHidden/>
    <w:rsid w:val="007C0F74"/>
    <w:rPr>
      <w:rFonts w:ascii="Tahoma" w:hAnsi="Tahoma" w:cs="Tahoma"/>
      <w:sz w:val="16"/>
      <w:szCs w:val="16"/>
    </w:rPr>
  </w:style>
  <w:style w:type="paragraph" w:customStyle="1" w:styleId="GCAHeaderUnderline">
    <w:name w:val="~ GCA Header Underline"/>
    <w:link w:val="GCAHeaderUnderlineCharChar"/>
    <w:rsid w:val="000B12D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Char">
    <w:name w:val="~ GCA Header Underline Char Char"/>
    <w:link w:val="GCAHeaderUnderline"/>
    <w:locked/>
    <w:rsid w:val="000B12D2"/>
    <w:rPr>
      <w:rFonts w:ascii="Arial" w:eastAsia="Times New Roman" w:hAnsi="Arial" w:cs="Arial"/>
      <w:b/>
      <w:color w:val="003366"/>
      <w:sz w:val="20"/>
      <w:szCs w:val="20"/>
      <w:lang w:eastAsia="ja-JP"/>
    </w:rPr>
  </w:style>
  <w:style w:type="paragraph" w:customStyle="1" w:styleId="Normal0">
    <w:name w:val="Normal_0"/>
    <w:rsid w:val="000B12D2"/>
    <w:pPr>
      <w:spacing w:after="0" w:line="240" w:lineRule="auto"/>
    </w:pPr>
    <w:rPr>
      <w:rFonts w:ascii="Arial" w:eastAsia="Times New Roman" w:hAnsi="Arial" w:cs="Arial"/>
      <w:sz w:val="16"/>
      <w:szCs w:val="24"/>
      <w:lang w:eastAsia="en-GB"/>
    </w:rPr>
  </w:style>
  <w:style w:type="character" w:styleId="CommentReference">
    <w:name w:val="annotation reference"/>
    <w:basedOn w:val="DefaultParagraphFont"/>
    <w:uiPriority w:val="99"/>
    <w:semiHidden/>
    <w:unhideWhenUsed/>
    <w:rsid w:val="000B12D2"/>
    <w:rPr>
      <w:sz w:val="16"/>
      <w:szCs w:val="16"/>
    </w:rPr>
  </w:style>
  <w:style w:type="paragraph" w:styleId="CommentText">
    <w:name w:val="annotation text"/>
    <w:basedOn w:val="Normal"/>
    <w:link w:val="CommentTextChar"/>
    <w:uiPriority w:val="99"/>
    <w:semiHidden/>
    <w:unhideWhenUsed/>
    <w:rsid w:val="000B12D2"/>
    <w:rPr>
      <w:szCs w:val="20"/>
    </w:rPr>
  </w:style>
  <w:style w:type="character" w:customStyle="1" w:styleId="CommentTextChar">
    <w:name w:val="Comment Text Char"/>
    <w:basedOn w:val="DefaultParagraphFont"/>
    <w:link w:val="CommentText"/>
    <w:uiPriority w:val="99"/>
    <w:semiHidden/>
    <w:rsid w:val="000B12D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B12D2"/>
    <w:rPr>
      <w:b/>
      <w:bCs/>
    </w:rPr>
  </w:style>
  <w:style w:type="character" w:customStyle="1" w:styleId="CommentSubjectChar">
    <w:name w:val="Comment Subject Char"/>
    <w:basedOn w:val="CommentTextChar"/>
    <w:link w:val="CommentSubject"/>
    <w:uiPriority w:val="99"/>
    <w:semiHidden/>
    <w:rsid w:val="000B12D2"/>
    <w:rPr>
      <w:rFonts w:ascii="Arial" w:hAnsi="Arial"/>
      <w:b/>
      <w:bCs/>
      <w:sz w:val="20"/>
      <w:szCs w:val="20"/>
    </w:rPr>
  </w:style>
  <w:style w:type="paragraph" w:styleId="PlainText">
    <w:name w:val="Plain Text"/>
    <w:basedOn w:val="Normal"/>
    <w:link w:val="PlainTextChar"/>
    <w:uiPriority w:val="99"/>
    <w:semiHidden/>
    <w:unhideWhenUsed/>
    <w:rsid w:val="001066E7"/>
    <w:rPr>
      <w:rFonts w:ascii="Calibri" w:hAnsi="Calibri"/>
      <w:sz w:val="22"/>
      <w:szCs w:val="21"/>
    </w:rPr>
  </w:style>
  <w:style w:type="character" w:customStyle="1" w:styleId="PlainTextChar">
    <w:name w:val="Plain Text Char"/>
    <w:basedOn w:val="DefaultParagraphFont"/>
    <w:link w:val="PlainText"/>
    <w:uiPriority w:val="99"/>
    <w:semiHidden/>
    <w:rsid w:val="001066E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2170">
      <w:bodyDiv w:val="1"/>
      <w:marLeft w:val="0"/>
      <w:marRight w:val="0"/>
      <w:marTop w:val="0"/>
      <w:marBottom w:val="0"/>
      <w:divBdr>
        <w:top w:val="none" w:sz="0" w:space="0" w:color="auto"/>
        <w:left w:val="none" w:sz="0" w:space="0" w:color="auto"/>
        <w:bottom w:val="none" w:sz="0" w:space="0" w:color="auto"/>
        <w:right w:val="none" w:sz="0" w:space="0" w:color="auto"/>
      </w:divBdr>
    </w:div>
    <w:div w:id="72705880">
      <w:bodyDiv w:val="1"/>
      <w:marLeft w:val="0"/>
      <w:marRight w:val="0"/>
      <w:marTop w:val="0"/>
      <w:marBottom w:val="0"/>
      <w:divBdr>
        <w:top w:val="none" w:sz="0" w:space="0" w:color="auto"/>
        <w:left w:val="none" w:sz="0" w:space="0" w:color="auto"/>
        <w:bottom w:val="none" w:sz="0" w:space="0" w:color="auto"/>
        <w:right w:val="none" w:sz="0" w:space="0" w:color="auto"/>
      </w:divBdr>
    </w:div>
    <w:div w:id="295181771">
      <w:bodyDiv w:val="1"/>
      <w:marLeft w:val="0"/>
      <w:marRight w:val="0"/>
      <w:marTop w:val="0"/>
      <w:marBottom w:val="0"/>
      <w:divBdr>
        <w:top w:val="none" w:sz="0" w:space="0" w:color="auto"/>
        <w:left w:val="none" w:sz="0" w:space="0" w:color="auto"/>
        <w:bottom w:val="none" w:sz="0" w:space="0" w:color="auto"/>
        <w:right w:val="none" w:sz="0" w:space="0" w:color="auto"/>
      </w:divBdr>
    </w:div>
    <w:div w:id="715472928">
      <w:bodyDiv w:val="1"/>
      <w:marLeft w:val="0"/>
      <w:marRight w:val="0"/>
      <w:marTop w:val="0"/>
      <w:marBottom w:val="0"/>
      <w:divBdr>
        <w:top w:val="none" w:sz="0" w:space="0" w:color="auto"/>
        <w:left w:val="none" w:sz="0" w:space="0" w:color="auto"/>
        <w:bottom w:val="none" w:sz="0" w:space="0" w:color="auto"/>
        <w:right w:val="none" w:sz="0" w:space="0" w:color="auto"/>
      </w:divBdr>
    </w:div>
    <w:div w:id="888108959">
      <w:bodyDiv w:val="1"/>
      <w:marLeft w:val="0"/>
      <w:marRight w:val="0"/>
      <w:marTop w:val="0"/>
      <w:marBottom w:val="0"/>
      <w:divBdr>
        <w:top w:val="none" w:sz="0" w:space="0" w:color="auto"/>
        <w:left w:val="none" w:sz="0" w:space="0" w:color="auto"/>
        <w:bottom w:val="none" w:sz="0" w:space="0" w:color="auto"/>
        <w:right w:val="none" w:sz="0" w:space="0" w:color="auto"/>
      </w:divBdr>
    </w:div>
    <w:div w:id="964189905">
      <w:bodyDiv w:val="1"/>
      <w:marLeft w:val="0"/>
      <w:marRight w:val="0"/>
      <w:marTop w:val="0"/>
      <w:marBottom w:val="0"/>
      <w:divBdr>
        <w:top w:val="none" w:sz="0" w:space="0" w:color="auto"/>
        <w:left w:val="none" w:sz="0" w:space="0" w:color="auto"/>
        <w:bottom w:val="none" w:sz="0" w:space="0" w:color="auto"/>
        <w:right w:val="none" w:sz="0" w:space="0" w:color="auto"/>
      </w:divBdr>
    </w:div>
    <w:div w:id="1178696694">
      <w:bodyDiv w:val="1"/>
      <w:marLeft w:val="0"/>
      <w:marRight w:val="0"/>
      <w:marTop w:val="0"/>
      <w:marBottom w:val="0"/>
      <w:divBdr>
        <w:top w:val="none" w:sz="0" w:space="0" w:color="auto"/>
        <w:left w:val="none" w:sz="0" w:space="0" w:color="auto"/>
        <w:bottom w:val="none" w:sz="0" w:space="0" w:color="auto"/>
        <w:right w:val="none" w:sz="0" w:space="0" w:color="auto"/>
      </w:divBdr>
    </w:div>
    <w:div w:id="1382561325">
      <w:bodyDiv w:val="1"/>
      <w:marLeft w:val="0"/>
      <w:marRight w:val="0"/>
      <w:marTop w:val="0"/>
      <w:marBottom w:val="0"/>
      <w:divBdr>
        <w:top w:val="none" w:sz="0" w:space="0" w:color="auto"/>
        <w:left w:val="none" w:sz="0" w:space="0" w:color="auto"/>
        <w:bottom w:val="none" w:sz="0" w:space="0" w:color="auto"/>
        <w:right w:val="none" w:sz="0" w:space="0" w:color="auto"/>
      </w:divBdr>
    </w:div>
    <w:div w:id="1576627597">
      <w:bodyDiv w:val="1"/>
      <w:marLeft w:val="0"/>
      <w:marRight w:val="0"/>
      <w:marTop w:val="0"/>
      <w:marBottom w:val="0"/>
      <w:divBdr>
        <w:top w:val="none" w:sz="0" w:space="0" w:color="auto"/>
        <w:left w:val="none" w:sz="0" w:space="0" w:color="auto"/>
        <w:bottom w:val="none" w:sz="0" w:space="0" w:color="auto"/>
        <w:right w:val="none" w:sz="0" w:space="0" w:color="auto"/>
      </w:divBdr>
    </w:div>
    <w:div w:id="1617716007">
      <w:bodyDiv w:val="1"/>
      <w:marLeft w:val="0"/>
      <w:marRight w:val="0"/>
      <w:marTop w:val="0"/>
      <w:marBottom w:val="0"/>
      <w:divBdr>
        <w:top w:val="none" w:sz="0" w:space="0" w:color="auto"/>
        <w:left w:val="none" w:sz="0" w:space="0" w:color="auto"/>
        <w:bottom w:val="none" w:sz="0" w:space="0" w:color="auto"/>
        <w:right w:val="none" w:sz="0" w:space="0" w:color="auto"/>
      </w:divBdr>
    </w:div>
    <w:div w:id="1716807121">
      <w:bodyDiv w:val="1"/>
      <w:marLeft w:val="0"/>
      <w:marRight w:val="0"/>
      <w:marTop w:val="0"/>
      <w:marBottom w:val="0"/>
      <w:divBdr>
        <w:top w:val="none" w:sz="0" w:space="0" w:color="auto"/>
        <w:left w:val="none" w:sz="0" w:space="0" w:color="auto"/>
        <w:bottom w:val="none" w:sz="0" w:space="0" w:color="auto"/>
        <w:right w:val="none" w:sz="0" w:space="0" w:color="auto"/>
      </w:divBdr>
    </w:div>
    <w:div w:id="1827236096">
      <w:bodyDiv w:val="1"/>
      <w:marLeft w:val="0"/>
      <w:marRight w:val="0"/>
      <w:marTop w:val="0"/>
      <w:marBottom w:val="0"/>
      <w:divBdr>
        <w:top w:val="none" w:sz="0" w:space="0" w:color="auto"/>
        <w:left w:val="none" w:sz="0" w:space="0" w:color="auto"/>
        <w:bottom w:val="none" w:sz="0" w:space="0" w:color="auto"/>
        <w:right w:val="none" w:sz="0" w:space="0" w:color="auto"/>
      </w:divBdr>
    </w:div>
    <w:div w:id="20063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WM">
  <a:themeElements>
    <a:clrScheme name="NWM">
      <a:dk1>
        <a:sysClr val="windowText" lastClr="000000"/>
      </a:dk1>
      <a:lt1>
        <a:sysClr val="window" lastClr="FFFFFF"/>
      </a:lt1>
      <a:dk2>
        <a:srgbClr val="3B1256"/>
      </a:dk2>
      <a:lt2>
        <a:srgbClr val="EEECE1"/>
      </a:lt2>
      <a:accent1>
        <a:srgbClr val="42145F"/>
      </a:accent1>
      <a:accent2>
        <a:srgbClr val="06B3BB"/>
      </a:accent2>
      <a:accent3>
        <a:srgbClr val="516CB4"/>
      </a:accent3>
      <a:accent4>
        <a:srgbClr val="E84261"/>
      </a:accent4>
      <a:accent5>
        <a:srgbClr val="F9B122"/>
      </a:accent5>
      <a:accent6>
        <a:srgbClr val="81AA28"/>
      </a:accent6>
      <a:hlink>
        <a:srgbClr val="42145F"/>
      </a:hlink>
      <a:folHlink>
        <a:srgbClr val="42145F"/>
      </a:folHlink>
    </a:clrScheme>
    <a:fontScheme name="NWM">
      <a:majorFont>
        <a:latin typeface="Arial"/>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Grek" typeface="Calibri"/>
        <a:font script="Cyrl" typeface="Cambria"/>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Yiii" typeface="Microsoft Yi Baiti"/>
        <a:font script="Cher" typeface="Plantagenet Cherokee"/>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RB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5000" dir="5400000" rotWithShape="0">
              <a:srgbClr val="000000">
                <a:alpha val="36000"/>
              </a:srgbClr>
            </a:outerShdw>
          </a:effectLst>
        </a:effectStyle>
        <a:effectStyle>
          <a:effectLst>
            <a:outerShdw blurRad="40000" dist="25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spDef>
      <a:spPr>
        <a:ln w="9525">
          <a:noFill/>
        </a:ln>
      </a:spPr>
      <a:bodyPr rot="0" spcFirstLastPara="0" vertOverflow="overflow" horzOverflow="overflow" vert="horz" wrap="none" lIns="0" tIns="0" rIns="0" bIns="0" numCol="1" spcCol="0" rtlCol="0" fromWordArt="0" anchor="ctr" anchorCtr="0" forceAA="0" compatLnSpc="1">
        <a:prstTxWarp prst="textNoShape">
          <a:avLst/>
        </a:prstTxWarp>
        <a:noAutofit/>
      </a:bodyPr>
      <a:lstStyle>
        <a:defPPr algn="ctr">
          <a:defRPr sz="1000" b="1"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69616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noAutofit/>
      </a:bodyPr>
      <a:lstStyle>
        <a:defPPr>
          <a:defRPr sz="1100" dirty="0" err="1" smtClean="0">
            <a:solidFill>
              <a:schemeClr val="tx2"/>
            </a:solidFill>
            <a:latin typeface="Arial" panose="020B0604020202020204" pitchFamily="34" charset="0"/>
            <a:cs typeface="Arial" panose="020B0604020202020204" pitchFamily="34" charset="0"/>
          </a:defRPr>
        </a:defPPr>
      </a:lstStyle>
    </a:txDef>
  </a:objectDefaults>
  <a:extraClrSchemeLst/>
  <a:custClrLst>
    <a:custClr name="Purple 100% Accent 1">
      <a:srgbClr val="42145F"/>
    </a:custClr>
    <a:custClr name="Aqua 100% Accent 2">
      <a:srgbClr val="06B3BB"/>
    </a:custClr>
    <a:custClr name="Blue 100% Accent 3">
      <a:srgbClr val="516CB4"/>
    </a:custClr>
    <a:custClr name="Crimson 100% Accent 4">
      <a:srgbClr val="E84261"/>
    </a:custClr>
    <a:custClr name="Yellow 100% Accent 5">
      <a:srgbClr val="F9B122"/>
    </a:custClr>
    <a:custClr name="Green 100% Accent 6">
      <a:srgbClr val="81AA28"/>
    </a:custClr>
    <a:custClr name="Brown 100%">
      <a:srgbClr val="A6791D"/>
    </a:custClr>
    <a:custClr name="Orange 100%">
      <a:srgbClr val="F36F21"/>
    </a:custClr>
    <a:custClr name="Light Purple 100%">
      <a:srgbClr val="9C71B4"/>
    </a:custClr>
    <a:custClr name="Grey 100%">
      <a:srgbClr val="696161"/>
    </a:custClr>
    <a:custClr name="Purple 70% Accent 1">
      <a:srgbClr val="8629C1"/>
    </a:custClr>
    <a:custClr name="Aqua 70% Accent 2">
      <a:srgbClr val="28EFF8"/>
    </a:custClr>
    <a:custClr name="Blue 70% Accent 3">
      <a:srgbClr val="8598CA"/>
    </a:custClr>
    <a:custClr name="Crimson 70% Accent 4">
      <a:srgbClr val="EF7B90"/>
    </a:custClr>
    <a:custClr name="Yellow 70% Accent 5">
      <a:srgbClr val="FBC864"/>
    </a:custClr>
    <a:custClr name="Green 70% Accent 6">
      <a:srgbClr val="AED755"/>
    </a:custClr>
    <a:custClr name="Brown 70%">
      <a:srgbClr val="DEAB43"/>
    </a:custClr>
    <a:custClr name="Orange 70%">
      <a:srgbClr val="F79A64"/>
    </a:custClr>
    <a:custClr name="Light Purple 70%">
      <a:srgbClr val="BA9CCA"/>
    </a:custClr>
    <a:custClr name="Grey 70%">
      <a:srgbClr val="978F8F"/>
    </a:custClr>
    <a:custClr name="Purple 50% Accent 1">
      <a:srgbClr val="AB5CDD"/>
    </a:custClr>
    <a:custClr name="Aqua 50% Accent 2">
      <a:srgbClr val="65F4FA"/>
    </a:custClr>
    <a:custClr name="Blue 50% Accent  3">
      <a:srgbClr val="A8B6D9"/>
    </a:custClr>
    <a:custClr name="Crimson 50% Accent 4">
      <a:srgbClr val="F4A0B0"/>
    </a:custClr>
    <a:custClr name="Yellow 50% Accent 5">
      <a:srgbClr val="FCD891"/>
    </a:custClr>
    <a:custClr name="Green 50% Accent 6">
      <a:srgbClr val="C5E286"/>
    </a:custClr>
    <a:custClr name="Brown 50%">
      <a:srgbClr val="E8C379"/>
    </a:custClr>
    <a:custClr name="Orange 50%">
      <a:srgbClr val="F9B790"/>
    </a:custClr>
    <a:custClr name="Light Purple 50%">
      <a:srgbClr val="CDB8D9"/>
    </a:custClr>
    <a:custClr name="Grey 50%">
      <a:srgbClr val="B5AFAF"/>
    </a:custClr>
    <a:custClr name="Purple 30% Accent 1">
      <a:srgbClr val="CD9DEA"/>
    </a:custClr>
    <a:custClr name="Aqua 30% Accent 2">
      <a:srgbClr val="A3F8FC"/>
    </a:custClr>
    <a:custClr name="Blue 30% Accent 3">
      <a:srgbClr val="CBD3E8"/>
    </a:custClr>
    <a:custClr name="Crimson 30% Accent 4">
      <a:srgbClr val="F8C6D0"/>
    </a:custClr>
    <a:custClr name="Yellow 30% Accent 5">
      <a:srgbClr val="FDE8BD"/>
    </a:custClr>
    <a:custClr name="Green 30% Accent 6">
      <a:srgbClr val="DCEEB6"/>
    </a:custClr>
    <a:custClr name="Brown 30%">
      <a:srgbClr val="F1DBAF"/>
    </a:custClr>
    <a:custClr name="Orange 30%">
      <a:srgbClr val="FBD4BC"/>
    </a:custClr>
    <a:custClr name="Light Purple 30%">
      <a:srgbClr val="E1D4E8"/>
    </a:custClr>
    <a:custClr name="Grey 30%">
      <a:srgbClr val="D3CFC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2CA5E-97C6-4668-BF6F-43625943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batemds</dc:creator>
  <cp:lastModifiedBy>Abdullah, Sairah</cp:lastModifiedBy>
  <cp:revision>4</cp:revision>
  <cp:lastPrinted>2017-02-17T17:28:00Z</cp:lastPrinted>
  <dcterms:created xsi:type="dcterms:W3CDTF">2017-02-17T19:02:00Z</dcterms:created>
  <dcterms:modified xsi:type="dcterms:W3CDTF">2017-02-19T10:50:00Z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1032587656</vt:i4>
  </property>
  <property fmtid="{D5CDD505-2E9C-101B-9397-08002B2CF9AE}" pid="3" name="_NewReviewCycle">
    <vt:lpwstr/>
  </property>
  <property fmtid="{D5CDD505-2E9C-101B-9397-08002B2CF9AE}" pid="4" name="_EmailSubject">
    <vt:lpwstr>Update on RBS's Remaining State Aid Obligations_Feb 2017.v13 17022017</vt:lpwstr>
  </property>
  <property fmtid="{D5CDD505-2E9C-101B-9397-08002B2CF9AE}" pid="5" name="_AuthorEmail">
    <vt:lpwstr>Geraldine.Taylor@rbs.co.uk</vt:lpwstr>
  </property>
  <property fmtid="{D5CDD505-2E9C-101B-9397-08002B2CF9AE}" pid="6" name="_AuthorEmailDisplayName">
    <vt:lpwstr>Taylor, Geraldine (Communications &amp; Marketing)</vt:lpwstr>
  </property>
  <property fmtid="{D5CDD505-2E9C-101B-9397-08002B2CF9AE}" pid="7" name="_ReviewingToolsShownOnce">
    <vt:lpwstr/>
  </property>
</Properties>
</file>