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67" w:rsidRPr="00F51567" w:rsidRDefault="00F51567" w:rsidP="00BF4249">
      <w:pPr>
        <w:rPr>
          <w:rFonts w:eastAsia="Times New Roman" w:cs="Arial"/>
          <w:color w:val="000000" w:themeColor="text1"/>
        </w:rPr>
      </w:pPr>
      <w:r w:rsidRPr="00F51567">
        <w:rPr>
          <w:rFonts w:eastAsia="Times New Roman" w:cs="Arial"/>
          <w:color w:val="000000" w:themeColor="text1"/>
        </w:rPr>
        <w:t>The Royal Bank of Scotland Group plc</w:t>
      </w:r>
    </w:p>
    <w:p w:rsidR="00C629B3" w:rsidRDefault="00F51567" w:rsidP="00AC0DDC">
      <w:pPr>
        <w:rPr>
          <w:rFonts w:cs="Arial"/>
          <w:color w:val="000000" w:themeColor="text1"/>
        </w:rPr>
      </w:pPr>
      <w:r w:rsidRPr="00F51567">
        <w:rPr>
          <w:rFonts w:eastAsia="Times New Roman" w:cs="Arial"/>
          <w:color w:val="000000" w:themeColor="text1"/>
        </w:rPr>
        <w:t>16</w:t>
      </w:r>
      <w:r w:rsidR="00664488">
        <w:rPr>
          <w:rFonts w:eastAsia="Times New Roman" w:cs="Arial"/>
          <w:color w:val="000000" w:themeColor="text1"/>
        </w:rPr>
        <w:t xml:space="preserve"> </w:t>
      </w:r>
      <w:r w:rsidRPr="00F51567">
        <w:rPr>
          <w:rFonts w:eastAsia="Times New Roman" w:cs="Arial"/>
          <w:color w:val="000000" w:themeColor="text1"/>
        </w:rPr>
        <w:t>June 2017</w:t>
      </w:r>
      <w:r w:rsidRPr="00F51567">
        <w:rPr>
          <w:rFonts w:eastAsia="Times New Roman" w:cs="Arial"/>
          <w:color w:val="000000" w:themeColor="text1"/>
        </w:rPr>
        <w:br/>
      </w:r>
      <w:r w:rsidRPr="00F51567">
        <w:rPr>
          <w:rFonts w:eastAsia="Times New Roman" w:cs="Arial"/>
          <w:color w:val="000000" w:themeColor="text1"/>
        </w:rPr>
        <w:br/>
      </w:r>
      <w:r w:rsidRPr="003F13C3">
        <w:rPr>
          <w:rFonts w:eastAsia="Times New Roman" w:cs="Arial"/>
          <w:b/>
          <w:color w:val="000000" w:themeColor="text1"/>
        </w:rPr>
        <w:t>Capital reorganisation - notice of completion</w:t>
      </w:r>
      <w:r w:rsidRPr="003F13C3">
        <w:rPr>
          <w:rFonts w:eastAsia="Times New Roman" w:cs="Arial"/>
          <w:color w:val="000000" w:themeColor="text1"/>
        </w:rPr>
        <w:br/>
      </w:r>
      <w:r w:rsidRPr="003F13C3">
        <w:rPr>
          <w:rFonts w:eastAsia="Times New Roman" w:cs="Arial"/>
          <w:color w:val="000000" w:themeColor="text1"/>
        </w:rPr>
        <w:br/>
      </w:r>
      <w:r w:rsidR="00AC0DDC" w:rsidRPr="00AC0DDC">
        <w:rPr>
          <w:rFonts w:cs="Arial"/>
          <w:color w:val="000000" w:themeColor="text1"/>
        </w:rPr>
        <w:t>The Royal Bank of Scotland Group plc (“the Company”) announces that the cancellation of its share premium account and capital redemption reserve (“the Reduction”) is now effective following the confirmation of the Reduction by the Court of Session, Edinburgh and the registration of the court order with the Registr</w:t>
      </w:r>
      <w:r w:rsidR="00664488">
        <w:rPr>
          <w:rFonts w:cs="Arial"/>
          <w:color w:val="000000" w:themeColor="text1"/>
        </w:rPr>
        <w:t>ar of Companies in Scotland on 15 June 2017</w:t>
      </w:r>
      <w:bookmarkStart w:id="0" w:name="_GoBack"/>
      <w:bookmarkEnd w:id="0"/>
      <w:r w:rsidR="00AC0DDC" w:rsidRPr="00AC0DDC">
        <w:rPr>
          <w:rFonts w:cs="Arial"/>
          <w:color w:val="000000" w:themeColor="text1"/>
        </w:rPr>
        <w:t xml:space="preserve">. This follows approval of the Reduction by special resolution of the Company passed its annual general meeting on 11 May 2017 (“the AGM”). </w:t>
      </w:r>
    </w:p>
    <w:p w:rsidR="00C629B3" w:rsidRDefault="00C629B3" w:rsidP="00AC0DDC">
      <w:pPr>
        <w:rPr>
          <w:rFonts w:cs="Arial"/>
          <w:color w:val="000000" w:themeColor="text1"/>
        </w:rPr>
      </w:pPr>
    </w:p>
    <w:p w:rsidR="00AC0DDC" w:rsidRDefault="00AC0DDC" w:rsidP="00AC0DDC">
      <w:pPr>
        <w:rPr>
          <w:rFonts w:cs="Arial"/>
          <w:color w:val="000000" w:themeColor="text1"/>
        </w:rPr>
      </w:pPr>
      <w:r w:rsidRPr="00AC0DDC">
        <w:rPr>
          <w:rFonts w:cs="Arial"/>
          <w:color w:val="000000" w:themeColor="text1"/>
        </w:rPr>
        <w:t>At the date of the AGM, the combined balance of the share premium account and cap</w:t>
      </w:r>
      <w:r w:rsidR="00446A59">
        <w:rPr>
          <w:rFonts w:cs="Arial"/>
          <w:color w:val="000000" w:themeColor="text1"/>
        </w:rPr>
        <w:t xml:space="preserve">ital redemption reserve was GBP30.3 </w:t>
      </w:r>
      <w:r w:rsidRPr="00AC0DDC">
        <w:rPr>
          <w:rFonts w:cs="Arial"/>
          <w:color w:val="000000" w:themeColor="text1"/>
        </w:rPr>
        <w:t xml:space="preserve">billion. As a result of the Reduction, the Company’s retained earnings have been increased by an equal amount. As at 31 March 2017, the Company’s retained earnings </w:t>
      </w:r>
      <w:proofErr w:type="gramStart"/>
      <w:r w:rsidRPr="00AC0DDC">
        <w:rPr>
          <w:rFonts w:cs="Arial"/>
          <w:color w:val="000000" w:themeColor="text1"/>
        </w:rPr>
        <w:t>were</w:t>
      </w:r>
      <w:proofErr w:type="gramEnd"/>
      <w:r w:rsidRPr="00AC0DDC">
        <w:rPr>
          <w:rFonts w:cs="Arial"/>
          <w:color w:val="000000" w:themeColor="text1"/>
        </w:rPr>
        <w:t xml:space="preserve"> GBP7.9bn. </w:t>
      </w:r>
    </w:p>
    <w:p w:rsidR="00AC0DDC" w:rsidRPr="00AC0DDC" w:rsidRDefault="00AC0DDC" w:rsidP="00AC0DDC">
      <w:pPr>
        <w:rPr>
          <w:rFonts w:cs="Arial"/>
          <w:color w:val="000000" w:themeColor="text1"/>
        </w:rPr>
      </w:pPr>
    </w:p>
    <w:p w:rsidR="003F13C3" w:rsidRDefault="00AC0DDC" w:rsidP="00AC0DDC">
      <w:pPr>
        <w:rPr>
          <w:rFonts w:cs="Arial"/>
          <w:color w:val="000000" w:themeColor="text1"/>
        </w:rPr>
      </w:pPr>
      <w:r w:rsidRPr="00AC0DDC">
        <w:rPr>
          <w:rFonts w:cs="Arial"/>
          <w:color w:val="000000" w:themeColor="text1"/>
        </w:rPr>
        <w:t>The Company will report on 4 August 2017 its interim results for the half year ending 30 June 2017.  Those results will reflect the increase in retained earnings resulting from the Reduction.</w:t>
      </w:r>
    </w:p>
    <w:p w:rsidR="003F13C3" w:rsidRDefault="003F13C3" w:rsidP="00BF4249">
      <w:pPr>
        <w:rPr>
          <w:rFonts w:eastAsia="Times New Roman" w:cs="Arial"/>
          <w:color w:val="000000" w:themeColor="text1"/>
        </w:rPr>
      </w:pPr>
    </w:p>
    <w:p w:rsidR="00BF7BA6" w:rsidRDefault="00F51567" w:rsidP="00BF4249">
      <w:pPr>
        <w:rPr>
          <w:rFonts w:eastAsia="Times New Roman" w:cs="Arial"/>
          <w:color w:val="000000" w:themeColor="text1"/>
        </w:rPr>
      </w:pPr>
      <w:r w:rsidRPr="00F51567">
        <w:rPr>
          <w:rFonts w:eastAsia="Times New Roman" w:cs="Arial"/>
          <w:color w:val="000000" w:themeColor="text1"/>
        </w:rPr>
        <w:t>For further information, please contact:</w:t>
      </w:r>
      <w:r w:rsidRPr="00F51567">
        <w:rPr>
          <w:rFonts w:eastAsia="Times New Roman" w:cs="Arial"/>
          <w:color w:val="000000" w:themeColor="text1"/>
        </w:rPr>
        <w:br/>
      </w:r>
      <w:r w:rsidRPr="00F51567">
        <w:rPr>
          <w:rFonts w:eastAsia="Times New Roman" w:cs="Arial"/>
          <w:color w:val="000000" w:themeColor="text1"/>
        </w:rPr>
        <w:br/>
      </w:r>
      <w:r w:rsidRPr="00F51567">
        <w:rPr>
          <w:rFonts w:eastAsia="Times New Roman" w:cs="Arial"/>
          <w:b/>
          <w:color w:val="000000" w:themeColor="text1"/>
        </w:rPr>
        <w:t>RBS Investor Relations</w:t>
      </w:r>
      <w:r w:rsidRPr="00F51567">
        <w:rPr>
          <w:rFonts w:eastAsia="Times New Roman" w:cs="Arial"/>
          <w:b/>
          <w:color w:val="000000" w:themeColor="text1"/>
        </w:rPr>
        <w:br/>
      </w:r>
      <w:r w:rsidRPr="00F51567">
        <w:rPr>
          <w:rFonts w:eastAsia="Times New Roman" w:cs="Arial"/>
          <w:color w:val="000000" w:themeColor="text1"/>
        </w:rPr>
        <w:t>Matthew Richardson</w:t>
      </w:r>
      <w:r w:rsidRPr="00F51567">
        <w:rPr>
          <w:rFonts w:eastAsia="Times New Roman" w:cs="Arial"/>
          <w:color w:val="000000" w:themeColor="text1"/>
        </w:rPr>
        <w:br/>
        <w:t>Head of Fixed Income Investor Relations</w:t>
      </w:r>
      <w:r w:rsidRPr="00F51567">
        <w:rPr>
          <w:rFonts w:eastAsia="Times New Roman" w:cs="Arial"/>
          <w:color w:val="000000" w:themeColor="text1"/>
        </w:rPr>
        <w:br/>
        <w:t>Tel: +44 (0) 20 7678 1800</w:t>
      </w:r>
      <w:r w:rsidRPr="00F51567">
        <w:rPr>
          <w:rFonts w:eastAsia="Times New Roman" w:cs="Arial"/>
          <w:color w:val="000000" w:themeColor="text1"/>
        </w:rPr>
        <w:br/>
      </w:r>
      <w:r>
        <w:rPr>
          <w:rFonts w:eastAsia="Times New Roman" w:cs="Arial"/>
          <w:color w:val="000080"/>
        </w:rPr>
        <w:br/>
      </w:r>
      <w:r w:rsidRPr="00F51567">
        <w:rPr>
          <w:i/>
          <w:color w:val="000000" w:themeColor="text1"/>
        </w:rPr>
        <w:t>This announcement contains forward-looking statements within the meaning of the United States Private Securities Litigation Reform Act of 1995, including those related to RBS and its subsidiaries' regulatory capital position and requirements, financial position, future pension funding requirements, on-going litigation and regulatory investigations, profitability, impairment losses and credit exposures under certain specified scenarios. In addition, forward-looking statements may include, without limitation, statements typically containing words such as "intends", "expects", "anticipates", "targets", "plans", "believes", "risk", "estimates" and words of similar import.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accounting standards, competitive conditions, technological developments, exchange rate fluctuations and general economic conditions. These and other factors, risks and uncertainties that may impact any forward-looking statement or RBS's actual results are discussed in RBS's UK Annual Report and Accounts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r>
        <w:rPr>
          <w:rFonts w:eastAsia="Times New Roman" w:cs="Arial"/>
          <w:color w:val="000000" w:themeColor="text1"/>
        </w:rPr>
        <w:t xml:space="preserve"> </w:t>
      </w:r>
      <w:r w:rsidRPr="00F51567">
        <w:rPr>
          <w:rFonts w:eastAsia="Times New Roman" w:cs="Arial"/>
          <w:color w:val="000000" w:themeColor="text1"/>
        </w:rPr>
        <w:t>ENDS</w:t>
      </w:r>
    </w:p>
    <w:p w:rsidR="00BF7BA6" w:rsidRDefault="00BF7BA6" w:rsidP="00BF4249">
      <w:pPr>
        <w:rPr>
          <w:rFonts w:eastAsia="Times New Roman" w:cs="Arial"/>
          <w:color w:val="000000" w:themeColor="text1"/>
        </w:rPr>
      </w:pPr>
    </w:p>
    <w:p w:rsidR="00FD5978" w:rsidRPr="00F51567" w:rsidRDefault="00BF7BA6" w:rsidP="00BF4249">
      <w:pPr>
        <w:rPr>
          <w:rFonts w:eastAsia="Times New Roman" w:cs="Arial"/>
          <w:color w:val="000000" w:themeColor="text1"/>
        </w:rPr>
      </w:pPr>
      <w:r w:rsidRPr="00416D88">
        <w:rPr>
          <w:rFonts w:asciiTheme="minorHAnsi" w:hAnsiTheme="minorHAnsi" w:cstheme="minorHAnsi"/>
          <w:szCs w:val="20"/>
          <w:lang w:eastAsia="en-GB"/>
        </w:rPr>
        <w:t xml:space="preserve">LEI: </w:t>
      </w:r>
      <w:r w:rsidRPr="00416D88">
        <w:rPr>
          <w:rFonts w:asciiTheme="minorHAnsi" w:hAnsiTheme="minorHAnsi" w:cstheme="minorHAnsi"/>
          <w:szCs w:val="20"/>
          <w:lang w:val="en"/>
        </w:rPr>
        <w:t>2138005O9XJIJN4JPN90</w:t>
      </w:r>
      <w:r w:rsidR="00F51567" w:rsidRPr="00F51567">
        <w:rPr>
          <w:rFonts w:eastAsia="Times New Roman" w:cs="Arial"/>
          <w:color w:val="000000" w:themeColor="text1"/>
        </w:rPr>
        <w:br/>
      </w:r>
      <w:r w:rsidR="00F51567">
        <w:rPr>
          <w:rFonts w:eastAsia="Times New Roman" w:cs="Arial"/>
          <w:color w:val="000080"/>
        </w:rPr>
        <w:br/>
      </w:r>
      <w:r w:rsidR="00F51567">
        <w:rPr>
          <w:rFonts w:eastAsia="Times New Roman" w:cs="Arial"/>
          <w:color w:val="000080"/>
        </w:rPr>
        <w:br/>
      </w:r>
    </w:p>
    <w:sectPr w:rsidR="00FD5978" w:rsidRPr="00F51567" w:rsidSect="00050C51">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567" w:rsidRDefault="00F51567" w:rsidP="00AA4E94">
      <w:r>
        <w:separator/>
      </w:r>
    </w:p>
  </w:endnote>
  <w:endnote w:type="continuationSeparator" w:id="0">
    <w:p w:rsidR="00F51567" w:rsidRDefault="00F51567"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567" w:rsidRDefault="00F51567" w:rsidP="00AA4E94">
      <w:r>
        <w:separator/>
      </w:r>
    </w:p>
  </w:footnote>
  <w:footnote w:type="continuationSeparator" w:id="0">
    <w:p w:rsidR="00F51567" w:rsidRDefault="00F51567" w:rsidP="00AA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2"/>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67"/>
    <w:rsid w:val="00050C51"/>
    <w:rsid w:val="00072D44"/>
    <w:rsid w:val="000B3E65"/>
    <w:rsid w:val="00116CDB"/>
    <w:rsid w:val="00116EE2"/>
    <w:rsid w:val="001A76B3"/>
    <w:rsid w:val="001D1699"/>
    <w:rsid w:val="001D5067"/>
    <w:rsid w:val="001E2C17"/>
    <w:rsid w:val="001F2EC9"/>
    <w:rsid w:val="002502E0"/>
    <w:rsid w:val="002A1F66"/>
    <w:rsid w:val="002E13A6"/>
    <w:rsid w:val="00304DEA"/>
    <w:rsid w:val="003A13B9"/>
    <w:rsid w:val="003F13C3"/>
    <w:rsid w:val="00446A59"/>
    <w:rsid w:val="004D6B73"/>
    <w:rsid w:val="005064E0"/>
    <w:rsid w:val="00544150"/>
    <w:rsid w:val="00663469"/>
    <w:rsid w:val="00664488"/>
    <w:rsid w:val="006E252B"/>
    <w:rsid w:val="006E4102"/>
    <w:rsid w:val="006F37AD"/>
    <w:rsid w:val="00752B89"/>
    <w:rsid w:val="007B11BD"/>
    <w:rsid w:val="00804F60"/>
    <w:rsid w:val="00841E4D"/>
    <w:rsid w:val="00864E34"/>
    <w:rsid w:val="00884A01"/>
    <w:rsid w:val="00890423"/>
    <w:rsid w:val="00924F09"/>
    <w:rsid w:val="009362ED"/>
    <w:rsid w:val="00951549"/>
    <w:rsid w:val="00953704"/>
    <w:rsid w:val="009850EC"/>
    <w:rsid w:val="009974C9"/>
    <w:rsid w:val="00A26B45"/>
    <w:rsid w:val="00A85E6E"/>
    <w:rsid w:val="00A8695B"/>
    <w:rsid w:val="00AA4E94"/>
    <w:rsid w:val="00AC0DDC"/>
    <w:rsid w:val="00B55D29"/>
    <w:rsid w:val="00BA75B8"/>
    <w:rsid w:val="00BC7350"/>
    <w:rsid w:val="00BD2B7A"/>
    <w:rsid w:val="00BE261A"/>
    <w:rsid w:val="00BF4249"/>
    <w:rsid w:val="00BF7BA6"/>
    <w:rsid w:val="00C032E4"/>
    <w:rsid w:val="00C06EAA"/>
    <w:rsid w:val="00C37A69"/>
    <w:rsid w:val="00C41080"/>
    <w:rsid w:val="00C56376"/>
    <w:rsid w:val="00C629B3"/>
    <w:rsid w:val="00CB3C4E"/>
    <w:rsid w:val="00CC7B1A"/>
    <w:rsid w:val="00DE5894"/>
    <w:rsid w:val="00E15C7A"/>
    <w:rsid w:val="00E66150"/>
    <w:rsid w:val="00E80952"/>
    <w:rsid w:val="00EB6573"/>
    <w:rsid w:val="00F51567"/>
    <w:rsid w:val="00F53556"/>
    <w:rsid w:val="00F55EC4"/>
    <w:rsid w:val="00F9264E"/>
    <w:rsid w:val="00FB24E3"/>
    <w:rsid w:val="00FB7CEC"/>
    <w:rsid w:val="00FD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00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docProps/app.xml><?xml version="1.0" encoding="utf-8"?>
<Properties xmlns="http://schemas.openxmlformats.org/officeDocument/2006/extended-properties" xmlns:vt="http://schemas.openxmlformats.org/officeDocument/2006/docPropsVTypes">
  <Template>NORMAL</Template>
  <TotalTime>17</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Lunn, Sarah (Investor Relations)</dc:creator>
  <cp:lastModifiedBy>Lunn, Sarah (Investor Relations)</cp:lastModifiedBy>
  <cp:revision>3</cp:revision>
  <dcterms:created xsi:type="dcterms:W3CDTF">2017-06-15T13:50:00Z</dcterms:created>
  <dcterms:modified xsi:type="dcterms:W3CDTF">2017-06-15T14:07:00Z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2097106856</vt:i4>
  </property>
  <property fmtid="{D5CDD505-2E9C-101B-9397-08002B2CF9AE}" pid="3" name="_NewReviewCycle">
    <vt:lpwstr/>
  </property>
  <property fmtid="{D5CDD505-2E9C-101B-9397-08002B2CF9AE}" pid="4" name="_EmailSubject">
    <vt:lpwstr>RNS - for EDC circulation </vt:lpwstr>
  </property>
  <property fmtid="{D5CDD505-2E9C-101B-9397-08002B2CF9AE}" pid="5" name="_AuthorEmail">
    <vt:lpwstr>Sarah.Lunn@rbs.com</vt:lpwstr>
  </property>
  <property fmtid="{D5CDD505-2E9C-101B-9397-08002B2CF9AE}" pid="6" name="_AuthorEmailDisplayName">
    <vt:lpwstr>Lunn, Sarah (Investor Relations)</vt:lpwstr>
  </property>
</Properties>
</file>