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C9" w:rsidRDefault="009D2FC9" w:rsidP="00EC5227">
      <w:pPr>
        <w:pStyle w:val="i"/>
        <w:rPr>
          <w:rStyle w:val="an"/>
          <w:rFonts w:eastAsiaTheme="majorEastAsia"/>
        </w:rPr>
      </w:pPr>
    </w:p>
    <w:p w:rsidR="004C675B" w:rsidRPr="00D53E60" w:rsidRDefault="004C675B" w:rsidP="00EC5227">
      <w:pPr>
        <w:pStyle w:val="i"/>
        <w:rPr>
          <w:rStyle w:val="an"/>
          <w:rFonts w:asciiTheme="majorHAnsi" w:eastAsiaTheme="majorEastAsia" w:hAnsiTheme="majorHAnsi" w:cstheme="majorHAnsi"/>
          <w:b/>
          <w:sz w:val="20"/>
          <w:szCs w:val="20"/>
        </w:rPr>
      </w:pPr>
      <w:r w:rsidRPr="00D53E60">
        <w:rPr>
          <w:rStyle w:val="an"/>
          <w:rFonts w:asciiTheme="majorHAnsi" w:eastAsiaTheme="majorEastAsia" w:hAnsiTheme="majorHAnsi" w:cstheme="majorHAnsi"/>
          <w:b/>
          <w:sz w:val="20"/>
          <w:szCs w:val="20"/>
        </w:rPr>
        <w:t xml:space="preserve">The Royal Bank of Scotland Group plc </w:t>
      </w:r>
    </w:p>
    <w:p w:rsidR="00D53E60" w:rsidRPr="00574396" w:rsidRDefault="00D53E60" w:rsidP="00D53E60">
      <w:pPr>
        <w:pStyle w:val="i"/>
        <w:rPr>
          <w:rStyle w:val="an"/>
          <w:rFonts w:asciiTheme="majorHAnsi" w:eastAsiaTheme="majorEastAsia" w:hAnsiTheme="majorHAnsi" w:cstheme="majorHAnsi"/>
          <w:sz w:val="20"/>
          <w:szCs w:val="20"/>
        </w:rPr>
      </w:pPr>
      <w:r w:rsidRPr="00574396">
        <w:rPr>
          <w:rStyle w:val="an"/>
          <w:rFonts w:asciiTheme="majorHAnsi" w:eastAsiaTheme="majorEastAsia" w:hAnsiTheme="majorHAnsi" w:cstheme="majorHAnsi"/>
          <w:sz w:val="20"/>
          <w:szCs w:val="20"/>
        </w:rPr>
        <w:t>4 April 2018</w:t>
      </w:r>
    </w:p>
    <w:p w:rsidR="00EC5227" w:rsidRPr="00D53E60" w:rsidRDefault="00EC5227" w:rsidP="00EC5227">
      <w:pPr>
        <w:pStyle w:val="i"/>
        <w:rPr>
          <w:rStyle w:val="an"/>
          <w:rFonts w:asciiTheme="majorHAnsi" w:eastAsiaTheme="majorEastAsia" w:hAnsiTheme="majorHAnsi" w:cstheme="majorHAnsi"/>
          <w:b/>
          <w:sz w:val="20"/>
          <w:szCs w:val="20"/>
        </w:rPr>
      </w:pPr>
      <w:r w:rsidRPr="00D53E60">
        <w:rPr>
          <w:rStyle w:val="an"/>
          <w:rFonts w:asciiTheme="majorHAnsi" w:eastAsiaTheme="majorEastAsia" w:hAnsiTheme="majorHAnsi" w:cstheme="majorHAnsi"/>
          <w:b/>
          <w:sz w:val="20"/>
          <w:szCs w:val="20"/>
        </w:rPr>
        <w:t>RBS notes credit ratings action by Moody's</w:t>
      </w:r>
    </w:p>
    <w:p w:rsidR="004C675B" w:rsidRPr="00574396" w:rsidRDefault="004C675B" w:rsidP="004C675B">
      <w:pPr>
        <w:pStyle w:val="i"/>
        <w:rPr>
          <w:rFonts w:asciiTheme="majorHAnsi" w:hAnsiTheme="majorHAnsi" w:cstheme="majorHAnsi"/>
          <w:sz w:val="20"/>
          <w:szCs w:val="20"/>
        </w:rPr>
      </w:pPr>
      <w:r w:rsidRPr="00574396">
        <w:rPr>
          <w:rStyle w:val="an"/>
          <w:rFonts w:asciiTheme="majorHAnsi" w:eastAsiaTheme="majorEastAsia" w:hAnsiTheme="majorHAnsi" w:cstheme="majorHAnsi"/>
          <w:sz w:val="20"/>
          <w:szCs w:val="20"/>
        </w:rPr>
        <w:t xml:space="preserve">The Royal Bank of Scotland Group plc ("RBS") notes the decision by </w:t>
      </w:r>
      <w:r w:rsidR="00EC5227" w:rsidRPr="00574396">
        <w:rPr>
          <w:rStyle w:val="an"/>
          <w:rFonts w:asciiTheme="majorHAnsi" w:eastAsiaTheme="majorEastAsia" w:hAnsiTheme="majorHAnsi" w:cstheme="majorHAnsi"/>
          <w:sz w:val="20"/>
          <w:szCs w:val="20"/>
        </w:rPr>
        <w:t xml:space="preserve">the credit rating agency </w:t>
      </w:r>
      <w:r w:rsidRPr="00574396">
        <w:rPr>
          <w:rStyle w:val="an"/>
          <w:rFonts w:asciiTheme="majorHAnsi" w:eastAsiaTheme="majorEastAsia" w:hAnsiTheme="majorHAnsi" w:cstheme="majorHAnsi"/>
          <w:sz w:val="20"/>
          <w:szCs w:val="20"/>
        </w:rPr>
        <w:t xml:space="preserve">Moody’s Investors Services ("Moody’s") </w:t>
      </w:r>
      <w:r w:rsidR="00E25DE7" w:rsidRPr="00E25DE7">
        <w:rPr>
          <w:rStyle w:val="an"/>
          <w:rFonts w:asciiTheme="majorHAnsi" w:eastAsiaTheme="majorEastAsia" w:hAnsiTheme="majorHAnsi" w:cstheme="majorHAnsi"/>
          <w:sz w:val="20"/>
          <w:szCs w:val="20"/>
        </w:rPr>
        <w:t>to amend a number of ratings across the group, including</w:t>
      </w:r>
      <w:r w:rsidRPr="00574396">
        <w:rPr>
          <w:rStyle w:val="an"/>
          <w:rFonts w:asciiTheme="majorHAnsi" w:eastAsiaTheme="majorEastAsia" w:hAnsiTheme="majorHAnsi" w:cstheme="majorHAnsi"/>
          <w:sz w:val="20"/>
          <w:szCs w:val="20"/>
        </w:rPr>
        <w:t>:</w:t>
      </w:r>
    </w:p>
    <w:p w:rsidR="005C0776" w:rsidRPr="00574396" w:rsidRDefault="00CD6A76" w:rsidP="005C0776">
      <w:pPr>
        <w:pStyle w:val="ListParagraph"/>
        <w:numPr>
          <w:ilvl w:val="0"/>
          <w:numId w:val="18"/>
        </w:numPr>
        <w:autoSpaceDE w:val="0"/>
        <w:autoSpaceDN w:val="0"/>
        <w:adjustRightInd w:val="0"/>
        <w:rPr>
          <w:rStyle w:val="ap"/>
          <w:rFonts w:asciiTheme="majorHAnsi" w:hAnsiTheme="majorHAnsi" w:cstheme="majorHAnsi"/>
          <w:szCs w:val="20"/>
        </w:rPr>
      </w:pPr>
      <w:r w:rsidRPr="00574396">
        <w:rPr>
          <w:rStyle w:val="ap"/>
          <w:rFonts w:asciiTheme="majorHAnsi" w:hAnsiTheme="majorHAnsi" w:cstheme="majorHAnsi"/>
          <w:szCs w:val="20"/>
        </w:rPr>
        <w:t>Affirm The Royal Bank of Scotland Group plc’s senior unsecured debt ratings at Baa3 and assign a notional group Basel</w:t>
      </w:r>
      <w:r w:rsidR="0062728C" w:rsidRPr="00574396">
        <w:rPr>
          <w:rStyle w:val="ap"/>
          <w:rFonts w:asciiTheme="majorHAnsi" w:hAnsiTheme="majorHAnsi" w:cstheme="majorHAnsi"/>
          <w:szCs w:val="20"/>
        </w:rPr>
        <w:t>ine Credit Assessment (BCA) of b</w:t>
      </w:r>
      <w:r w:rsidRPr="00574396">
        <w:rPr>
          <w:rStyle w:val="ap"/>
          <w:rFonts w:asciiTheme="majorHAnsi" w:hAnsiTheme="majorHAnsi" w:cstheme="majorHAnsi"/>
          <w:szCs w:val="20"/>
        </w:rPr>
        <w:t xml:space="preserve">aa3 </w:t>
      </w:r>
      <w:r w:rsidR="00623F46" w:rsidRPr="00574396">
        <w:rPr>
          <w:rStyle w:val="ap"/>
          <w:rFonts w:asciiTheme="majorHAnsi" w:hAnsiTheme="majorHAnsi" w:cstheme="majorHAnsi"/>
          <w:szCs w:val="20"/>
        </w:rPr>
        <w:t>and stable outlook.</w:t>
      </w:r>
    </w:p>
    <w:p w:rsidR="005524C8" w:rsidRPr="00574396" w:rsidRDefault="004C675B" w:rsidP="005524C8">
      <w:pPr>
        <w:pStyle w:val="ao"/>
        <w:numPr>
          <w:ilvl w:val="0"/>
          <w:numId w:val="18"/>
        </w:numPr>
        <w:rPr>
          <w:rStyle w:val="ap"/>
          <w:rFonts w:asciiTheme="majorHAnsi" w:eastAsiaTheme="majorEastAsia" w:hAnsiTheme="majorHAnsi" w:cstheme="majorHAnsi"/>
          <w:sz w:val="20"/>
          <w:szCs w:val="20"/>
        </w:rPr>
      </w:pPr>
      <w:r w:rsidRPr="00574396">
        <w:rPr>
          <w:rStyle w:val="ap"/>
          <w:rFonts w:asciiTheme="majorHAnsi" w:eastAsiaTheme="majorEastAsia" w:hAnsiTheme="majorHAnsi" w:cstheme="majorHAnsi"/>
          <w:sz w:val="20"/>
          <w:szCs w:val="20"/>
        </w:rPr>
        <w:t xml:space="preserve">Upgrade the </w:t>
      </w:r>
      <w:r w:rsidR="004E59A0" w:rsidRPr="00574396">
        <w:rPr>
          <w:rStyle w:val="ap"/>
          <w:rFonts w:asciiTheme="majorHAnsi" w:eastAsiaTheme="majorEastAsia" w:hAnsiTheme="majorHAnsi" w:cstheme="majorHAnsi"/>
          <w:sz w:val="20"/>
          <w:szCs w:val="20"/>
        </w:rPr>
        <w:t xml:space="preserve">long term </w:t>
      </w:r>
      <w:r w:rsidR="005427E2" w:rsidRPr="00574396">
        <w:rPr>
          <w:rStyle w:val="ap"/>
          <w:rFonts w:asciiTheme="majorHAnsi" w:eastAsiaTheme="majorEastAsia" w:hAnsiTheme="majorHAnsi" w:cstheme="majorHAnsi"/>
          <w:sz w:val="20"/>
          <w:szCs w:val="20"/>
        </w:rPr>
        <w:t>deposit</w:t>
      </w:r>
      <w:r w:rsidR="00E90098" w:rsidRPr="00574396">
        <w:rPr>
          <w:rStyle w:val="ap"/>
          <w:rFonts w:asciiTheme="majorHAnsi" w:eastAsiaTheme="majorEastAsia" w:hAnsiTheme="majorHAnsi" w:cstheme="majorHAnsi"/>
          <w:sz w:val="20"/>
          <w:szCs w:val="20"/>
        </w:rPr>
        <w:t>s</w:t>
      </w:r>
      <w:r w:rsidRPr="00574396">
        <w:rPr>
          <w:rStyle w:val="ap"/>
          <w:rFonts w:asciiTheme="majorHAnsi" w:eastAsiaTheme="majorEastAsia" w:hAnsiTheme="majorHAnsi" w:cstheme="majorHAnsi"/>
          <w:sz w:val="20"/>
          <w:szCs w:val="20"/>
        </w:rPr>
        <w:t xml:space="preserve"> rating </w:t>
      </w:r>
      <w:r w:rsidR="005524C8" w:rsidRPr="00574396">
        <w:rPr>
          <w:rStyle w:val="ap"/>
          <w:rFonts w:asciiTheme="majorHAnsi" w:eastAsiaTheme="majorEastAsia" w:hAnsiTheme="majorHAnsi" w:cstheme="majorHAnsi"/>
          <w:sz w:val="20"/>
          <w:szCs w:val="20"/>
        </w:rPr>
        <w:t>of National Westminster Bank Plc and Ulster Bank Limited to A1 (from A2)</w:t>
      </w:r>
      <w:r w:rsidR="00F75214" w:rsidRPr="00574396">
        <w:rPr>
          <w:rStyle w:val="ap"/>
          <w:rFonts w:asciiTheme="majorHAnsi" w:eastAsiaTheme="majorEastAsia" w:hAnsiTheme="majorHAnsi" w:cstheme="majorHAnsi"/>
          <w:sz w:val="20"/>
          <w:szCs w:val="20"/>
        </w:rPr>
        <w:t xml:space="preserve"> and</w:t>
      </w:r>
      <w:r w:rsidR="005524C8" w:rsidRPr="00574396">
        <w:rPr>
          <w:rStyle w:val="ap"/>
          <w:rFonts w:asciiTheme="majorHAnsi" w:eastAsiaTheme="majorEastAsia" w:hAnsiTheme="majorHAnsi" w:cstheme="majorHAnsi"/>
          <w:sz w:val="20"/>
          <w:szCs w:val="20"/>
        </w:rPr>
        <w:t xml:space="preserve"> the senior unsecured debt rating to A2 (from A3</w:t>
      </w:r>
      <w:r w:rsidR="00E90098" w:rsidRPr="00574396">
        <w:rPr>
          <w:rStyle w:val="ap"/>
          <w:rFonts w:asciiTheme="majorHAnsi" w:eastAsiaTheme="majorEastAsia" w:hAnsiTheme="majorHAnsi" w:cstheme="majorHAnsi"/>
          <w:sz w:val="20"/>
          <w:szCs w:val="20"/>
        </w:rPr>
        <w:t>), and c</w:t>
      </w:r>
      <w:r w:rsidR="005524C8" w:rsidRPr="00574396">
        <w:rPr>
          <w:rStyle w:val="ap"/>
          <w:rFonts w:asciiTheme="majorHAnsi" w:eastAsiaTheme="majorEastAsia" w:hAnsiTheme="majorHAnsi" w:cstheme="majorHAnsi"/>
          <w:sz w:val="20"/>
          <w:szCs w:val="20"/>
        </w:rPr>
        <w:t xml:space="preserve">hange </w:t>
      </w:r>
      <w:r w:rsidR="00E90098" w:rsidRPr="00574396">
        <w:rPr>
          <w:rStyle w:val="ap"/>
          <w:rFonts w:asciiTheme="majorHAnsi" w:eastAsiaTheme="majorEastAsia" w:hAnsiTheme="majorHAnsi" w:cstheme="majorHAnsi"/>
          <w:sz w:val="20"/>
          <w:szCs w:val="20"/>
        </w:rPr>
        <w:t xml:space="preserve">the rating outlook </w:t>
      </w:r>
      <w:r w:rsidR="005524C8" w:rsidRPr="00574396">
        <w:rPr>
          <w:rStyle w:val="ap"/>
          <w:rFonts w:asciiTheme="majorHAnsi" w:eastAsiaTheme="majorEastAsia" w:hAnsiTheme="majorHAnsi" w:cstheme="majorHAnsi"/>
          <w:sz w:val="20"/>
          <w:szCs w:val="20"/>
        </w:rPr>
        <w:t xml:space="preserve">to </w:t>
      </w:r>
      <w:r w:rsidR="00E90098" w:rsidRPr="00574396">
        <w:rPr>
          <w:rStyle w:val="ap"/>
          <w:rFonts w:asciiTheme="majorHAnsi" w:eastAsiaTheme="majorEastAsia" w:hAnsiTheme="majorHAnsi" w:cstheme="majorHAnsi"/>
          <w:sz w:val="20"/>
          <w:szCs w:val="20"/>
        </w:rPr>
        <w:t>“</w:t>
      </w:r>
      <w:r w:rsidR="00517702" w:rsidRPr="00574396">
        <w:rPr>
          <w:rStyle w:val="ap"/>
          <w:rFonts w:asciiTheme="majorHAnsi" w:eastAsiaTheme="majorEastAsia" w:hAnsiTheme="majorHAnsi" w:cstheme="majorHAnsi"/>
          <w:sz w:val="20"/>
          <w:szCs w:val="20"/>
        </w:rPr>
        <w:t>s</w:t>
      </w:r>
      <w:r w:rsidR="005524C8" w:rsidRPr="00574396">
        <w:rPr>
          <w:rStyle w:val="ap"/>
          <w:rFonts w:asciiTheme="majorHAnsi" w:eastAsiaTheme="majorEastAsia" w:hAnsiTheme="majorHAnsi" w:cstheme="majorHAnsi"/>
          <w:sz w:val="20"/>
          <w:szCs w:val="20"/>
        </w:rPr>
        <w:t>table</w:t>
      </w:r>
      <w:r w:rsidR="00E90098" w:rsidRPr="00574396">
        <w:rPr>
          <w:rStyle w:val="ap"/>
          <w:rFonts w:asciiTheme="majorHAnsi" w:eastAsiaTheme="majorEastAsia" w:hAnsiTheme="majorHAnsi" w:cstheme="majorHAnsi"/>
          <w:sz w:val="20"/>
          <w:szCs w:val="20"/>
        </w:rPr>
        <w:t>”</w:t>
      </w:r>
      <w:r w:rsidR="005524C8" w:rsidRPr="00574396">
        <w:rPr>
          <w:rStyle w:val="ap"/>
          <w:rFonts w:asciiTheme="majorHAnsi" w:eastAsiaTheme="majorEastAsia" w:hAnsiTheme="majorHAnsi" w:cstheme="majorHAnsi"/>
          <w:sz w:val="20"/>
          <w:szCs w:val="20"/>
        </w:rPr>
        <w:t xml:space="preserve"> </w:t>
      </w:r>
      <w:r w:rsidR="00E90098" w:rsidRPr="00574396">
        <w:rPr>
          <w:rStyle w:val="ap"/>
          <w:rFonts w:asciiTheme="majorHAnsi" w:eastAsiaTheme="majorEastAsia" w:hAnsiTheme="majorHAnsi" w:cstheme="majorHAnsi"/>
          <w:sz w:val="20"/>
          <w:szCs w:val="20"/>
        </w:rPr>
        <w:t>(</w:t>
      </w:r>
      <w:r w:rsidR="005524C8" w:rsidRPr="00574396">
        <w:rPr>
          <w:rStyle w:val="ap"/>
          <w:rFonts w:asciiTheme="majorHAnsi" w:eastAsiaTheme="majorEastAsia" w:hAnsiTheme="majorHAnsi" w:cstheme="majorHAnsi"/>
          <w:sz w:val="20"/>
          <w:szCs w:val="20"/>
        </w:rPr>
        <w:t xml:space="preserve">from </w:t>
      </w:r>
      <w:r w:rsidR="00E90098" w:rsidRPr="00574396">
        <w:rPr>
          <w:rStyle w:val="ap"/>
          <w:rFonts w:asciiTheme="majorHAnsi" w:eastAsiaTheme="majorEastAsia" w:hAnsiTheme="majorHAnsi" w:cstheme="majorHAnsi"/>
          <w:sz w:val="20"/>
          <w:szCs w:val="20"/>
        </w:rPr>
        <w:t>“</w:t>
      </w:r>
      <w:r w:rsidR="00517702" w:rsidRPr="00574396">
        <w:rPr>
          <w:rStyle w:val="ap"/>
          <w:rFonts w:asciiTheme="majorHAnsi" w:eastAsiaTheme="majorEastAsia" w:hAnsiTheme="majorHAnsi" w:cstheme="majorHAnsi"/>
          <w:sz w:val="20"/>
          <w:szCs w:val="20"/>
        </w:rPr>
        <w:t>on r</w:t>
      </w:r>
      <w:r w:rsidR="008832F3" w:rsidRPr="00574396">
        <w:rPr>
          <w:rStyle w:val="ap"/>
          <w:rFonts w:asciiTheme="majorHAnsi" w:eastAsiaTheme="majorEastAsia" w:hAnsiTheme="majorHAnsi" w:cstheme="majorHAnsi"/>
          <w:sz w:val="20"/>
          <w:szCs w:val="20"/>
        </w:rPr>
        <w:t>eview</w:t>
      </w:r>
      <w:r w:rsidR="005524C8" w:rsidRPr="00574396">
        <w:rPr>
          <w:rStyle w:val="ap"/>
          <w:rFonts w:asciiTheme="majorHAnsi" w:eastAsiaTheme="majorEastAsia" w:hAnsiTheme="majorHAnsi" w:cstheme="majorHAnsi"/>
          <w:sz w:val="20"/>
          <w:szCs w:val="20"/>
        </w:rPr>
        <w:t xml:space="preserve"> </w:t>
      </w:r>
      <w:r w:rsidR="0021604E" w:rsidRPr="00574396">
        <w:rPr>
          <w:rStyle w:val="ap"/>
          <w:rFonts w:asciiTheme="majorHAnsi" w:eastAsiaTheme="majorEastAsia" w:hAnsiTheme="majorHAnsi" w:cstheme="majorHAnsi"/>
          <w:sz w:val="20"/>
          <w:szCs w:val="20"/>
        </w:rPr>
        <w:t>for</w:t>
      </w:r>
      <w:r w:rsidR="00517702" w:rsidRPr="00574396">
        <w:rPr>
          <w:rStyle w:val="ap"/>
          <w:rFonts w:asciiTheme="majorHAnsi" w:eastAsiaTheme="majorEastAsia" w:hAnsiTheme="majorHAnsi" w:cstheme="majorHAnsi"/>
          <w:sz w:val="20"/>
          <w:szCs w:val="20"/>
        </w:rPr>
        <w:t xml:space="preserve"> u</w:t>
      </w:r>
      <w:r w:rsidR="005524C8" w:rsidRPr="00574396">
        <w:rPr>
          <w:rStyle w:val="ap"/>
          <w:rFonts w:asciiTheme="majorHAnsi" w:eastAsiaTheme="majorEastAsia" w:hAnsiTheme="majorHAnsi" w:cstheme="majorHAnsi"/>
          <w:sz w:val="20"/>
          <w:szCs w:val="20"/>
        </w:rPr>
        <w:t>p</w:t>
      </w:r>
      <w:r w:rsidR="00517702" w:rsidRPr="00574396">
        <w:rPr>
          <w:rStyle w:val="ap"/>
          <w:rFonts w:asciiTheme="majorHAnsi" w:eastAsiaTheme="majorEastAsia" w:hAnsiTheme="majorHAnsi" w:cstheme="majorHAnsi"/>
          <w:sz w:val="20"/>
          <w:szCs w:val="20"/>
        </w:rPr>
        <w:t>grade</w:t>
      </w:r>
      <w:r w:rsidR="00E90098" w:rsidRPr="00574396">
        <w:rPr>
          <w:rStyle w:val="ap"/>
          <w:rFonts w:asciiTheme="majorHAnsi" w:eastAsiaTheme="majorEastAsia" w:hAnsiTheme="majorHAnsi" w:cstheme="majorHAnsi"/>
          <w:sz w:val="20"/>
          <w:szCs w:val="20"/>
        </w:rPr>
        <w:t>”)</w:t>
      </w:r>
      <w:r w:rsidR="005524C8" w:rsidRPr="00574396">
        <w:rPr>
          <w:rStyle w:val="ap"/>
          <w:rFonts w:asciiTheme="majorHAnsi" w:eastAsiaTheme="majorEastAsia" w:hAnsiTheme="majorHAnsi" w:cstheme="majorHAnsi"/>
          <w:sz w:val="20"/>
          <w:szCs w:val="20"/>
        </w:rPr>
        <w:t>.</w:t>
      </w:r>
    </w:p>
    <w:p w:rsidR="004C675B" w:rsidRPr="00574396" w:rsidRDefault="00F96223" w:rsidP="005524C8">
      <w:pPr>
        <w:pStyle w:val="ao"/>
        <w:numPr>
          <w:ilvl w:val="0"/>
          <w:numId w:val="18"/>
        </w:numPr>
        <w:rPr>
          <w:rStyle w:val="ap"/>
          <w:rFonts w:asciiTheme="majorHAnsi" w:eastAsiaTheme="majorEastAsia" w:hAnsiTheme="majorHAnsi" w:cstheme="majorHAnsi"/>
          <w:sz w:val="20"/>
          <w:szCs w:val="20"/>
        </w:rPr>
      </w:pPr>
      <w:r w:rsidRPr="00574396">
        <w:rPr>
          <w:rStyle w:val="ap"/>
          <w:rFonts w:asciiTheme="majorHAnsi" w:eastAsiaTheme="majorEastAsia" w:hAnsiTheme="majorHAnsi" w:cstheme="majorHAnsi"/>
          <w:sz w:val="20"/>
          <w:szCs w:val="20"/>
        </w:rPr>
        <w:t xml:space="preserve">Affirm the </w:t>
      </w:r>
      <w:r w:rsidR="004E59A0" w:rsidRPr="00574396">
        <w:rPr>
          <w:rStyle w:val="ap"/>
          <w:rFonts w:asciiTheme="majorHAnsi" w:eastAsiaTheme="majorEastAsia" w:hAnsiTheme="majorHAnsi" w:cstheme="majorHAnsi"/>
          <w:sz w:val="20"/>
          <w:szCs w:val="20"/>
        </w:rPr>
        <w:t xml:space="preserve">short term credit rating </w:t>
      </w:r>
      <w:r w:rsidR="005524C8" w:rsidRPr="00574396">
        <w:rPr>
          <w:rStyle w:val="ap"/>
          <w:rFonts w:asciiTheme="majorHAnsi" w:eastAsiaTheme="majorEastAsia" w:hAnsiTheme="majorHAnsi" w:cstheme="majorHAnsi"/>
          <w:sz w:val="20"/>
          <w:szCs w:val="20"/>
        </w:rPr>
        <w:t xml:space="preserve">of National Westminster Bank Plc and Ulster Bank Limited </w:t>
      </w:r>
      <w:r w:rsidR="004E59A0" w:rsidRPr="00574396">
        <w:rPr>
          <w:rStyle w:val="ap"/>
          <w:rFonts w:asciiTheme="majorHAnsi" w:eastAsiaTheme="majorEastAsia" w:hAnsiTheme="majorHAnsi" w:cstheme="majorHAnsi"/>
          <w:sz w:val="20"/>
          <w:szCs w:val="20"/>
        </w:rPr>
        <w:t xml:space="preserve">to Prime-1 </w:t>
      </w:r>
      <w:r w:rsidR="00A043FA" w:rsidRPr="00574396">
        <w:rPr>
          <w:rStyle w:val="ap"/>
          <w:rFonts w:asciiTheme="majorHAnsi" w:eastAsiaTheme="majorEastAsia" w:hAnsiTheme="majorHAnsi" w:cstheme="majorHAnsi"/>
          <w:sz w:val="20"/>
          <w:szCs w:val="20"/>
        </w:rPr>
        <w:t xml:space="preserve">for </w:t>
      </w:r>
      <w:r w:rsidRPr="00574396">
        <w:rPr>
          <w:rStyle w:val="ap"/>
          <w:rFonts w:asciiTheme="majorHAnsi" w:eastAsiaTheme="majorEastAsia" w:hAnsiTheme="majorHAnsi" w:cstheme="majorHAnsi"/>
          <w:sz w:val="20"/>
          <w:szCs w:val="20"/>
        </w:rPr>
        <w:t xml:space="preserve">deposits and upgrade the short term </w:t>
      </w:r>
      <w:r w:rsidR="00A043FA" w:rsidRPr="00574396">
        <w:rPr>
          <w:rStyle w:val="ap"/>
          <w:rFonts w:asciiTheme="majorHAnsi" w:eastAsiaTheme="majorEastAsia" w:hAnsiTheme="majorHAnsi" w:cstheme="majorHAnsi"/>
          <w:sz w:val="20"/>
          <w:szCs w:val="20"/>
        </w:rPr>
        <w:t>senior unsecured debt</w:t>
      </w:r>
      <w:r w:rsidRPr="00574396">
        <w:rPr>
          <w:rStyle w:val="ap"/>
          <w:rFonts w:asciiTheme="majorHAnsi" w:eastAsiaTheme="majorEastAsia" w:hAnsiTheme="majorHAnsi" w:cstheme="majorHAnsi"/>
          <w:sz w:val="20"/>
          <w:szCs w:val="20"/>
        </w:rPr>
        <w:t xml:space="preserve"> rating to P</w:t>
      </w:r>
      <w:r w:rsidR="00E443F8" w:rsidRPr="00574396">
        <w:rPr>
          <w:rStyle w:val="ap"/>
          <w:rFonts w:asciiTheme="majorHAnsi" w:eastAsiaTheme="majorEastAsia" w:hAnsiTheme="majorHAnsi" w:cstheme="majorHAnsi"/>
          <w:sz w:val="20"/>
          <w:szCs w:val="20"/>
        </w:rPr>
        <w:t>rime-</w:t>
      </w:r>
      <w:r w:rsidR="00E90098" w:rsidRPr="00574396">
        <w:rPr>
          <w:rStyle w:val="ap"/>
          <w:rFonts w:asciiTheme="majorHAnsi" w:eastAsiaTheme="majorEastAsia" w:hAnsiTheme="majorHAnsi" w:cstheme="majorHAnsi"/>
          <w:sz w:val="20"/>
          <w:szCs w:val="20"/>
        </w:rPr>
        <w:t>1 (</w:t>
      </w:r>
      <w:r w:rsidR="00E443F8" w:rsidRPr="00574396">
        <w:rPr>
          <w:rStyle w:val="ap"/>
          <w:rFonts w:asciiTheme="majorHAnsi" w:eastAsiaTheme="majorEastAsia" w:hAnsiTheme="majorHAnsi" w:cstheme="majorHAnsi"/>
          <w:sz w:val="20"/>
          <w:szCs w:val="20"/>
        </w:rPr>
        <w:t>from Prime-2</w:t>
      </w:r>
      <w:r w:rsidR="00E90098" w:rsidRPr="00574396">
        <w:rPr>
          <w:rStyle w:val="ap"/>
          <w:rFonts w:asciiTheme="majorHAnsi" w:eastAsiaTheme="majorEastAsia" w:hAnsiTheme="majorHAnsi" w:cstheme="majorHAnsi"/>
          <w:sz w:val="20"/>
          <w:szCs w:val="20"/>
        </w:rPr>
        <w:t>)</w:t>
      </w:r>
      <w:r w:rsidR="004E59A0" w:rsidRPr="00574396">
        <w:rPr>
          <w:rStyle w:val="ap"/>
          <w:rFonts w:asciiTheme="majorHAnsi" w:eastAsiaTheme="majorEastAsia" w:hAnsiTheme="majorHAnsi" w:cstheme="majorHAnsi"/>
          <w:sz w:val="20"/>
          <w:szCs w:val="20"/>
        </w:rPr>
        <w:t>.</w:t>
      </w:r>
      <w:r w:rsidR="00A043FA" w:rsidRPr="00574396">
        <w:rPr>
          <w:rStyle w:val="ap"/>
          <w:rFonts w:asciiTheme="majorHAnsi" w:eastAsiaTheme="majorEastAsia" w:hAnsiTheme="majorHAnsi" w:cstheme="majorHAnsi"/>
          <w:sz w:val="20"/>
          <w:szCs w:val="20"/>
        </w:rPr>
        <w:t xml:space="preserve"> </w:t>
      </w:r>
    </w:p>
    <w:p w:rsidR="005524C8" w:rsidRPr="00574396" w:rsidRDefault="004C675B" w:rsidP="005524C8">
      <w:pPr>
        <w:pStyle w:val="i"/>
        <w:numPr>
          <w:ilvl w:val="0"/>
          <w:numId w:val="18"/>
        </w:numPr>
        <w:rPr>
          <w:rStyle w:val="ap"/>
          <w:rFonts w:asciiTheme="majorHAnsi" w:eastAsiaTheme="majorEastAsia" w:hAnsiTheme="majorHAnsi" w:cstheme="majorHAnsi"/>
          <w:sz w:val="20"/>
          <w:szCs w:val="20"/>
        </w:rPr>
      </w:pPr>
      <w:r w:rsidRPr="00574396">
        <w:rPr>
          <w:rStyle w:val="ap"/>
          <w:rFonts w:asciiTheme="majorHAnsi" w:eastAsiaTheme="majorEastAsia" w:hAnsiTheme="majorHAnsi" w:cstheme="majorHAnsi"/>
          <w:sz w:val="20"/>
          <w:szCs w:val="20"/>
        </w:rPr>
        <w:t xml:space="preserve">Downgrade the </w:t>
      </w:r>
      <w:r w:rsidR="005524C8" w:rsidRPr="00574396">
        <w:rPr>
          <w:rStyle w:val="ap"/>
          <w:rFonts w:asciiTheme="majorHAnsi" w:eastAsiaTheme="majorEastAsia" w:hAnsiTheme="majorHAnsi" w:cstheme="majorHAnsi"/>
          <w:sz w:val="20"/>
          <w:szCs w:val="20"/>
        </w:rPr>
        <w:t>deposit</w:t>
      </w:r>
      <w:r w:rsidR="00E90098" w:rsidRPr="00574396">
        <w:rPr>
          <w:rStyle w:val="ap"/>
          <w:rFonts w:asciiTheme="majorHAnsi" w:eastAsiaTheme="majorEastAsia" w:hAnsiTheme="majorHAnsi" w:cstheme="majorHAnsi"/>
          <w:sz w:val="20"/>
          <w:szCs w:val="20"/>
        </w:rPr>
        <w:t>s</w:t>
      </w:r>
      <w:r w:rsidR="005524C8" w:rsidRPr="00574396">
        <w:rPr>
          <w:rStyle w:val="ap"/>
          <w:rFonts w:asciiTheme="majorHAnsi" w:eastAsiaTheme="majorEastAsia" w:hAnsiTheme="majorHAnsi" w:cstheme="majorHAnsi"/>
          <w:sz w:val="20"/>
          <w:szCs w:val="20"/>
        </w:rPr>
        <w:t xml:space="preserve"> and senior unsecured debt </w:t>
      </w:r>
      <w:r w:rsidRPr="00574396">
        <w:rPr>
          <w:rStyle w:val="ap"/>
          <w:rFonts w:asciiTheme="majorHAnsi" w:eastAsiaTheme="majorEastAsia" w:hAnsiTheme="majorHAnsi" w:cstheme="majorHAnsi"/>
          <w:sz w:val="20"/>
          <w:szCs w:val="20"/>
        </w:rPr>
        <w:t>rating of The Royal Bank of Scotla</w:t>
      </w:r>
      <w:r w:rsidR="009E16F4">
        <w:rPr>
          <w:rStyle w:val="ap"/>
          <w:rFonts w:asciiTheme="majorHAnsi" w:eastAsiaTheme="majorEastAsia" w:hAnsiTheme="majorHAnsi" w:cstheme="majorHAnsi"/>
          <w:sz w:val="20"/>
          <w:szCs w:val="20"/>
        </w:rPr>
        <w:t>nd plc (future NatWest Markets P</w:t>
      </w:r>
      <w:r w:rsidRPr="00574396">
        <w:rPr>
          <w:rStyle w:val="ap"/>
          <w:rFonts w:asciiTheme="majorHAnsi" w:eastAsiaTheme="majorEastAsia" w:hAnsiTheme="majorHAnsi" w:cstheme="majorHAnsi"/>
          <w:sz w:val="20"/>
          <w:szCs w:val="20"/>
        </w:rPr>
        <w:t xml:space="preserve">lc) </w:t>
      </w:r>
      <w:r w:rsidR="00615560" w:rsidRPr="00574396">
        <w:rPr>
          <w:rStyle w:val="ap"/>
          <w:rFonts w:asciiTheme="majorHAnsi" w:eastAsiaTheme="majorEastAsia" w:hAnsiTheme="majorHAnsi" w:cstheme="majorHAnsi"/>
          <w:sz w:val="20"/>
          <w:szCs w:val="20"/>
        </w:rPr>
        <w:t>and The Royal Bank of Scotland N</w:t>
      </w:r>
      <w:r w:rsidR="008D5D23">
        <w:rPr>
          <w:rStyle w:val="ap"/>
          <w:rFonts w:asciiTheme="majorHAnsi" w:eastAsiaTheme="majorEastAsia" w:hAnsiTheme="majorHAnsi" w:cstheme="majorHAnsi"/>
          <w:sz w:val="20"/>
          <w:szCs w:val="20"/>
        </w:rPr>
        <w:t>.</w:t>
      </w:r>
      <w:r w:rsidR="00615560" w:rsidRPr="00574396">
        <w:rPr>
          <w:rStyle w:val="ap"/>
          <w:rFonts w:asciiTheme="majorHAnsi" w:eastAsiaTheme="majorEastAsia" w:hAnsiTheme="majorHAnsi" w:cstheme="majorHAnsi"/>
          <w:sz w:val="20"/>
          <w:szCs w:val="20"/>
        </w:rPr>
        <w:t>V</w:t>
      </w:r>
      <w:r w:rsidR="008D5D23">
        <w:rPr>
          <w:rStyle w:val="ap"/>
          <w:rFonts w:asciiTheme="majorHAnsi" w:eastAsiaTheme="majorEastAsia" w:hAnsiTheme="majorHAnsi" w:cstheme="majorHAnsi"/>
          <w:sz w:val="20"/>
          <w:szCs w:val="20"/>
        </w:rPr>
        <w:t>.</w:t>
      </w:r>
      <w:r w:rsidR="00615560" w:rsidRPr="00574396">
        <w:rPr>
          <w:rStyle w:val="ap"/>
          <w:rFonts w:asciiTheme="majorHAnsi" w:eastAsiaTheme="majorEastAsia" w:hAnsiTheme="majorHAnsi" w:cstheme="majorHAnsi"/>
          <w:sz w:val="20"/>
          <w:szCs w:val="20"/>
        </w:rPr>
        <w:t xml:space="preserve"> </w:t>
      </w:r>
      <w:r w:rsidRPr="00574396">
        <w:rPr>
          <w:rStyle w:val="ap"/>
          <w:rFonts w:asciiTheme="majorHAnsi" w:eastAsiaTheme="majorEastAsia" w:hAnsiTheme="majorHAnsi" w:cstheme="majorHAnsi"/>
          <w:sz w:val="20"/>
          <w:szCs w:val="20"/>
        </w:rPr>
        <w:t xml:space="preserve">to </w:t>
      </w:r>
      <w:r w:rsidR="00615560" w:rsidRPr="00574396">
        <w:rPr>
          <w:rStyle w:val="ap"/>
          <w:rFonts w:asciiTheme="majorHAnsi" w:eastAsiaTheme="majorEastAsia" w:hAnsiTheme="majorHAnsi" w:cstheme="majorHAnsi"/>
          <w:sz w:val="20"/>
          <w:szCs w:val="20"/>
        </w:rPr>
        <w:t xml:space="preserve">Baa2 </w:t>
      </w:r>
      <w:r w:rsidR="00BC63BF">
        <w:rPr>
          <w:rStyle w:val="ap"/>
          <w:rFonts w:asciiTheme="majorHAnsi" w:eastAsiaTheme="majorEastAsia" w:hAnsiTheme="majorHAnsi" w:cstheme="majorHAnsi"/>
          <w:sz w:val="20"/>
          <w:szCs w:val="20"/>
        </w:rPr>
        <w:t>(</w:t>
      </w:r>
      <w:r w:rsidR="00615560" w:rsidRPr="00574396">
        <w:rPr>
          <w:rStyle w:val="ap"/>
          <w:rFonts w:asciiTheme="majorHAnsi" w:eastAsiaTheme="majorEastAsia" w:hAnsiTheme="majorHAnsi" w:cstheme="majorHAnsi"/>
          <w:sz w:val="20"/>
          <w:szCs w:val="20"/>
        </w:rPr>
        <w:t xml:space="preserve">from </w:t>
      </w:r>
      <w:r w:rsidR="00E25DE7">
        <w:rPr>
          <w:rStyle w:val="ap"/>
          <w:rFonts w:asciiTheme="majorHAnsi" w:eastAsiaTheme="majorEastAsia" w:hAnsiTheme="majorHAnsi" w:cstheme="majorHAnsi"/>
          <w:sz w:val="20"/>
          <w:szCs w:val="20"/>
        </w:rPr>
        <w:t xml:space="preserve">A2 and </w:t>
      </w:r>
      <w:r w:rsidR="00615560" w:rsidRPr="00574396">
        <w:rPr>
          <w:rStyle w:val="ap"/>
          <w:rFonts w:asciiTheme="majorHAnsi" w:eastAsiaTheme="majorEastAsia" w:hAnsiTheme="majorHAnsi" w:cstheme="majorHAnsi"/>
          <w:sz w:val="20"/>
          <w:szCs w:val="20"/>
        </w:rPr>
        <w:t>A3</w:t>
      </w:r>
      <w:r w:rsidR="00BC63BF">
        <w:rPr>
          <w:rStyle w:val="ap"/>
          <w:rFonts w:asciiTheme="majorHAnsi" w:eastAsiaTheme="majorEastAsia" w:hAnsiTheme="majorHAnsi" w:cstheme="majorHAnsi"/>
          <w:sz w:val="20"/>
          <w:szCs w:val="20"/>
        </w:rPr>
        <w:t>)</w:t>
      </w:r>
      <w:r w:rsidR="00D36F50">
        <w:rPr>
          <w:rStyle w:val="ap"/>
          <w:rFonts w:asciiTheme="majorHAnsi" w:eastAsiaTheme="majorEastAsia" w:hAnsiTheme="majorHAnsi" w:cstheme="majorHAnsi"/>
          <w:sz w:val="20"/>
          <w:szCs w:val="20"/>
        </w:rPr>
        <w:t>, the Counterparty Risk Assessment (“CRA”) to A3(</w:t>
      </w:r>
      <w:proofErr w:type="spellStart"/>
      <w:r w:rsidR="00D36F50">
        <w:rPr>
          <w:rStyle w:val="ap"/>
          <w:rFonts w:asciiTheme="majorHAnsi" w:eastAsiaTheme="majorEastAsia" w:hAnsiTheme="majorHAnsi" w:cstheme="majorHAnsi"/>
          <w:sz w:val="20"/>
          <w:szCs w:val="20"/>
        </w:rPr>
        <w:t>cr</w:t>
      </w:r>
      <w:proofErr w:type="spellEnd"/>
      <w:r w:rsidR="00D36F50">
        <w:rPr>
          <w:rStyle w:val="ap"/>
          <w:rFonts w:asciiTheme="majorHAnsi" w:eastAsiaTheme="majorEastAsia" w:hAnsiTheme="majorHAnsi" w:cstheme="majorHAnsi"/>
          <w:sz w:val="20"/>
          <w:szCs w:val="20"/>
        </w:rPr>
        <w:t>) (from A2(</w:t>
      </w:r>
      <w:proofErr w:type="spellStart"/>
      <w:r w:rsidR="00D36F50">
        <w:rPr>
          <w:rStyle w:val="ap"/>
          <w:rFonts w:asciiTheme="majorHAnsi" w:eastAsiaTheme="majorEastAsia" w:hAnsiTheme="majorHAnsi" w:cstheme="majorHAnsi"/>
          <w:sz w:val="20"/>
          <w:szCs w:val="20"/>
        </w:rPr>
        <w:t>cr</w:t>
      </w:r>
      <w:proofErr w:type="spellEnd"/>
      <w:r w:rsidR="00D36F50">
        <w:rPr>
          <w:rStyle w:val="ap"/>
          <w:rFonts w:asciiTheme="majorHAnsi" w:eastAsiaTheme="majorEastAsia" w:hAnsiTheme="majorHAnsi" w:cstheme="majorHAnsi"/>
          <w:sz w:val="20"/>
          <w:szCs w:val="20"/>
        </w:rPr>
        <w:t>))</w:t>
      </w:r>
      <w:r w:rsidR="00E90098" w:rsidRPr="00574396">
        <w:rPr>
          <w:rStyle w:val="ap"/>
          <w:rFonts w:asciiTheme="majorHAnsi" w:eastAsiaTheme="majorEastAsia" w:hAnsiTheme="majorHAnsi" w:cstheme="majorHAnsi"/>
          <w:sz w:val="20"/>
          <w:szCs w:val="20"/>
        </w:rPr>
        <w:t xml:space="preserve"> and change the</w:t>
      </w:r>
      <w:r w:rsidR="00517702" w:rsidRPr="00574396">
        <w:rPr>
          <w:rStyle w:val="ap"/>
          <w:rFonts w:asciiTheme="majorHAnsi" w:eastAsiaTheme="majorEastAsia" w:hAnsiTheme="majorHAnsi" w:cstheme="majorHAnsi"/>
          <w:sz w:val="20"/>
          <w:szCs w:val="20"/>
        </w:rPr>
        <w:t xml:space="preserve"> rating outlook to </w:t>
      </w:r>
      <w:r w:rsidR="00E90098" w:rsidRPr="00574396">
        <w:rPr>
          <w:rStyle w:val="ap"/>
          <w:rFonts w:asciiTheme="majorHAnsi" w:eastAsiaTheme="majorEastAsia" w:hAnsiTheme="majorHAnsi" w:cstheme="majorHAnsi"/>
          <w:sz w:val="20"/>
          <w:szCs w:val="20"/>
        </w:rPr>
        <w:t>“</w:t>
      </w:r>
      <w:r w:rsidR="00517702" w:rsidRPr="00574396">
        <w:rPr>
          <w:rStyle w:val="ap"/>
          <w:rFonts w:asciiTheme="majorHAnsi" w:eastAsiaTheme="majorEastAsia" w:hAnsiTheme="majorHAnsi" w:cstheme="majorHAnsi"/>
          <w:sz w:val="20"/>
          <w:szCs w:val="20"/>
        </w:rPr>
        <w:t>s</w:t>
      </w:r>
      <w:r w:rsidR="005524C8" w:rsidRPr="00574396">
        <w:rPr>
          <w:rStyle w:val="ap"/>
          <w:rFonts w:asciiTheme="majorHAnsi" w:eastAsiaTheme="majorEastAsia" w:hAnsiTheme="majorHAnsi" w:cstheme="majorHAnsi"/>
          <w:sz w:val="20"/>
          <w:szCs w:val="20"/>
        </w:rPr>
        <w:t>table</w:t>
      </w:r>
      <w:r w:rsidR="00E90098" w:rsidRPr="00574396">
        <w:rPr>
          <w:rStyle w:val="ap"/>
          <w:rFonts w:asciiTheme="majorHAnsi" w:eastAsiaTheme="majorEastAsia" w:hAnsiTheme="majorHAnsi" w:cstheme="majorHAnsi"/>
          <w:sz w:val="20"/>
          <w:szCs w:val="20"/>
        </w:rPr>
        <w:t>”</w:t>
      </w:r>
      <w:r w:rsidR="005524C8" w:rsidRPr="00574396">
        <w:rPr>
          <w:rStyle w:val="ap"/>
          <w:rFonts w:asciiTheme="majorHAnsi" w:eastAsiaTheme="majorEastAsia" w:hAnsiTheme="majorHAnsi" w:cstheme="majorHAnsi"/>
          <w:sz w:val="20"/>
          <w:szCs w:val="20"/>
        </w:rPr>
        <w:t xml:space="preserve"> </w:t>
      </w:r>
      <w:r w:rsidR="00E90098" w:rsidRPr="00574396">
        <w:rPr>
          <w:rStyle w:val="ap"/>
          <w:rFonts w:asciiTheme="majorHAnsi" w:eastAsiaTheme="majorEastAsia" w:hAnsiTheme="majorHAnsi" w:cstheme="majorHAnsi"/>
          <w:sz w:val="20"/>
          <w:szCs w:val="20"/>
        </w:rPr>
        <w:t>(</w:t>
      </w:r>
      <w:r w:rsidR="005524C8" w:rsidRPr="00574396">
        <w:rPr>
          <w:rStyle w:val="ap"/>
          <w:rFonts w:asciiTheme="majorHAnsi" w:eastAsiaTheme="majorEastAsia" w:hAnsiTheme="majorHAnsi" w:cstheme="majorHAnsi"/>
          <w:sz w:val="20"/>
          <w:szCs w:val="20"/>
        </w:rPr>
        <w:t xml:space="preserve">from </w:t>
      </w:r>
      <w:r w:rsidR="00E90098" w:rsidRPr="00574396">
        <w:rPr>
          <w:rStyle w:val="ap"/>
          <w:rFonts w:asciiTheme="majorHAnsi" w:eastAsiaTheme="majorEastAsia" w:hAnsiTheme="majorHAnsi" w:cstheme="majorHAnsi"/>
          <w:sz w:val="20"/>
          <w:szCs w:val="20"/>
        </w:rPr>
        <w:t>“</w:t>
      </w:r>
      <w:r w:rsidR="00517702" w:rsidRPr="00574396">
        <w:rPr>
          <w:rStyle w:val="ap"/>
          <w:rFonts w:asciiTheme="majorHAnsi" w:eastAsiaTheme="majorEastAsia" w:hAnsiTheme="majorHAnsi" w:cstheme="majorHAnsi"/>
          <w:sz w:val="20"/>
          <w:szCs w:val="20"/>
        </w:rPr>
        <w:t>on review for downgrade</w:t>
      </w:r>
      <w:r w:rsidR="00E90098" w:rsidRPr="00574396">
        <w:rPr>
          <w:rStyle w:val="ap"/>
          <w:rFonts w:asciiTheme="majorHAnsi" w:eastAsiaTheme="majorEastAsia" w:hAnsiTheme="majorHAnsi" w:cstheme="majorHAnsi"/>
          <w:sz w:val="20"/>
          <w:szCs w:val="20"/>
        </w:rPr>
        <w:t>”)</w:t>
      </w:r>
      <w:r w:rsidR="005524C8" w:rsidRPr="00574396">
        <w:rPr>
          <w:rStyle w:val="ap"/>
          <w:rFonts w:asciiTheme="majorHAnsi" w:eastAsiaTheme="majorEastAsia" w:hAnsiTheme="majorHAnsi" w:cstheme="majorHAnsi"/>
          <w:sz w:val="20"/>
          <w:szCs w:val="20"/>
        </w:rPr>
        <w:t>.</w:t>
      </w:r>
      <w:r w:rsidR="00D36F50">
        <w:rPr>
          <w:rStyle w:val="ap"/>
          <w:rFonts w:asciiTheme="majorHAnsi" w:eastAsiaTheme="majorEastAsia" w:hAnsiTheme="majorHAnsi" w:cstheme="majorHAnsi"/>
          <w:sz w:val="20"/>
          <w:szCs w:val="20"/>
        </w:rPr>
        <w:t xml:space="preserve">  </w:t>
      </w:r>
    </w:p>
    <w:p w:rsidR="00A043FA" w:rsidRPr="00E25DE7" w:rsidRDefault="00E90098" w:rsidP="005524C8">
      <w:pPr>
        <w:pStyle w:val="i"/>
        <w:numPr>
          <w:ilvl w:val="0"/>
          <w:numId w:val="18"/>
        </w:numPr>
        <w:rPr>
          <w:rFonts w:asciiTheme="majorHAnsi" w:eastAsiaTheme="majorEastAsia" w:hAnsiTheme="majorHAnsi" w:cstheme="majorHAnsi"/>
          <w:sz w:val="20"/>
          <w:szCs w:val="20"/>
        </w:rPr>
      </w:pPr>
      <w:r w:rsidRPr="00574396">
        <w:rPr>
          <w:rFonts w:asciiTheme="majorHAnsi" w:hAnsiTheme="majorHAnsi" w:cstheme="majorHAnsi"/>
          <w:sz w:val="20"/>
          <w:szCs w:val="20"/>
        </w:rPr>
        <w:t xml:space="preserve">Affirm </w:t>
      </w:r>
      <w:r w:rsidR="00A043FA" w:rsidRPr="00574396">
        <w:rPr>
          <w:rFonts w:asciiTheme="majorHAnsi" w:hAnsiTheme="majorHAnsi" w:cstheme="majorHAnsi"/>
          <w:sz w:val="20"/>
          <w:szCs w:val="20"/>
        </w:rPr>
        <w:t xml:space="preserve">the short term credit rating of The Royal Bank of Scotland plc (future NatWest Markets </w:t>
      </w:r>
      <w:r w:rsidR="009E16F4">
        <w:rPr>
          <w:rFonts w:asciiTheme="majorHAnsi" w:hAnsiTheme="majorHAnsi" w:cstheme="majorHAnsi"/>
          <w:sz w:val="20"/>
          <w:szCs w:val="20"/>
        </w:rPr>
        <w:t>P</w:t>
      </w:r>
      <w:r w:rsidR="00A043FA" w:rsidRPr="00574396">
        <w:rPr>
          <w:rFonts w:asciiTheme="majorHAnsi" w:hAnsiTheme="majorHAnsi" w:cstheme="majorHAnsi"/>
          <w:sz w:val="20"/>
          <w:szCs w:val="20"/>
        </w:rPr>
        <w:t xml:space="preserve">lc) </w:t>
      </w:r>
      <w:r w:rsidR="005524C8" w:rsidRPr="00574396">
        <w:rPr>
          <w:rStyle w:val="ap"/>
          <w:rFonts w:asciiTheme="majorHAnsi" w:eastAsiaTheme="majorEastAsia" w:hAnsiTheme="majorHAnsi" w:cstheme="majorHAnsi"/>
          <w:sz w:val="20"/>
          <w:szCs w:val="20"/>
        </w:rPr>
        <w:t>and The Royal Bank of Scotland N</w:t>
      </w:r>
      <w:r w:rsidR="008D5D23">
        <w:rPr>
          <w:rStyle w:val="ap"/>
          <w:rFonts w:asciiTheme="majorHAnsi" w:eastAsiaTheme="majorEastAsia" w:hAnsiTheme="majorHAnsi" w:cstheme="majorHAnsi"/>
          <w:sz w:val="20"/>
          <w:szCs w:val="20"/>
        </w:rPr>
        <w:t>.</w:t>
      </w:r>
      <w:r w:rsidR="005524C8" w:rsidRPr="00574396">
        <w:rPr>
          <w:rStyle w:val="ap"/>
          <w:rFonts w:asciiTheme="majorHAnsi" w:eastAsiaTheme="majorEastAsia" w:hAnsiTheme="majorHAnsi" w:cstheme="majorHAnsi"/>
          <w:sz w:val="20"/>
          <w:szCs w:val="20"/>
        </w:rPr>
        <w:t>V</w:t>
      </w:r>
      <w:r w:rsidR="008D5D23">
        <w:rPr>
          <w:rStyle w:val="ap"/>
          <w:rFonts w:asciiTheme="majorHAnsi" w:eastAsiaTheme="majorEastAsia" w:hAnsiTheme="majorHAnsi" w:cstheme="majorHAnsi"/>
          <w:sz w:val="20"/>
          <w:szCs w:val="20"/>
        </w:rPr>
        <w:t>.</w:t>
      </w:r>
      <w:r w:rsidR="005524C8" w:rsidRPr="00574396">
        <w:rPr>
          <w:rStyle w:val="ap"/>
          <w:rFonts w:asciiTheme="majorHAnsi" w:eastAsiaTheme="majorEastAsia" w:hAnsiTheme="majorHAnsi" w:cstheme="majorHAnsi"/>
          <w:sz w:val="20"/>
          <w:szCs w:val="20"/>
        </w:rPr>
        <w:t xml:space="preserve"> </w:t>
      </w:r>
      <w:r w:rsidR="00A043FA" w:rsidRPr="00574396">
        <w:rPr>
          <w:rFonts w:asciiTheme="majorHAnsi" w:hAnsiTheme="majorHAnsi" w:cstheme="majorHAnsi"/>
          <w:sz w:val="20"/>
          <w:szCs w:val="20"/>
        </w:rPr>
        <w:t>at P</w:t>
      </w:r>
      <w:r w:rsidR="00F75214" w:rsidRPr="00574396">
        <w:rPr>
          <w:rFonts w:asciiTheme="majorHAnsi" w:hAnsiTheme="majorHAnsi" w:cstheme="majorHAnsi"/>
          <w:sz w:val="20"/>
          <w:szCs w:val="20"/>
        </w:rPr>
        <w:t>rime</w:t>
      </w:r>
      <w:r w:rsidR="00A043FA" w:rsidRPr="00574396">
        <w:rPr>
          <w:rFonts w:asciiTheme="majorHAnsi" w:hAnsiTheme="majorHAnsi" w:cstheme="majorHAnsi"/>
          <w:sz w:val="20"/>
          <w:szCs w:val="20"/>
        </w:rPr>
        <w:t>-2.</w:t>
      </w:r>
    </w:p>
    <w:p w:rsidR="00DB37D9" w:rsidRPr="00DB37D9" w:rsidRDefault="00DB37D9" w:rsidP="00DB37D9">
      <w:pPr>
        <w:pStyle w:val="i"/>
        <w:numPr>
          <w:ilvl w:val="0"/>
          <w:numId w:val="18"/>
        </w:numPr>
        <w:rPr>
          <w:rFonts w:asciiTheme="majorHAnsi" w:eastAsiaTheme="majorEastAsia" w:hAnsiTheme="majorHAnsi" w:cstheme="majorHAnsi"/>
          <w:sz w:val="20"/>
          <w:szCs w:val="20"/>
        </w:rPr>
      </w:pPr>
      <w:r w:rsidRPr="00DB37D9">
        <w:rPr>
          <w:rFonts w:asciiTheme="majorHAnsi" w:eastAsiaTheme="majorEastAsia" w:hAnsiTheme="majorHAnsi" w:cstheme="majorHAnsi"/>
          <w:sz w:val="20"/>
          <w:szCs w:val="20"/>
        </w:rPr>
        <w:t>U</w:t>
      </w:r>
      <w:r>
        <w:rPr>
          <w:rFonts w:asciiTheme="majorHAnsi" w:eastAsiaTheme="majorEastAsia" w:hAnsiTheme="majorHAnsi" w:cstheme="majorHAnsi"/>
          <w:sz w:val="20"/>
          <w:szCs w:val="20"/>
        </w:rPr>
        <w:t>pgrade</w:t>
      </w:r>
      <w:r w:rsidRPr="00DB37D9">
        <w:rPr>
          <w:rFonts w:asciiTheme="majorHAnsi" w:eastAsiaTheme="majorEastAsia" w:hAnsiTheme="majorHAnsi" w:cstheme="majorHAnsi"/>
          <w:sz w:val="20"/>
          <w:szCs w:val="20"/>
        </w:rPr>
        <w:t xml:space="preserve"> Ulster Bank Ireland DAC</w:t>
      </w:r>
      <w:r>
        <w:rPr>
          <w:rFonts w:asciiTheme="majorHAnsi" w:eastAsiaTheme="majorEastAsia" w:hAnsiTheme="majorHAnsi" w:cstheme="majorHAnsi"/>
          <w:sz w:val="20"/>
          <w:szCs w:val="20"/>
        </w:rPr>
        <w:t>’s</w:t>
      </w:r>
      <w:r w:rsidRPr="00DB37D9">
        <w:rPr>
          <w:rFonts w:asciiTheme="majorHAnsi" w:eastAsiaTheme="majorEastAsia" w:hAnsiTheme="majorHAnsi" w:cstheme="majorHAnsi"/>
          <w:sz w:val="20"/>
          <w:szCs w:val="20"/>
        </w:rPr>
        <w:t xml:space="preserve"> long-term deposit</w:t>
      </w:r>
      <w:r>
        <w:rPr>
          <w:rFonts w:asciiTheme="majorHAnsi" w:eastAsiaTheme="majorEastAsia" w:hAnsiTheme="majorHAnsi" w:cstheme="majorHAnsi"/>
          <w:sz w:val="20"/>
          <w:szCs w:val="20"/>
        </w:rPr>
        <w:t>s</w:t>
      </w:r>
      <w:r w:rsidRPr="00DB37D9">
        <w:rPr>
          <w:rFonts w:asciiTheme="majorHAnsi" w:eastAsiaTheme="majorEastAsia" w:hAnsiTheme="majorHAnsi" w:cstheme="majorHAnsi"/>
          <w:sz w:val="20"/>
          <w:szCs w:val="20"/>
        </w:rPr>
        <w:t xml:space="preserve"> </w:t>
      </w:r>
      <w:r>
        <w:rPr>
          <w:rFonts w:asciiTheme="majorHAnsi" w:eastAsiaTheme="majorEastAsia" w:hAnsiTheme="majorHAnsi" w:cstheme="majorHAnsi"/>
          <w:sz w:val="20"/>
          <w:szCs w:val="20"/>
        </w:rPr>
        <w:t xml:space="preserve">rating to </w:t>
      </w:r>
      <w:r w:rsidRPr="009F3549">
        <w:rPr>
          <w:rFonts w:asciiTheme="majorHAnsi" w:eastAsiaTheme="majorEastAsia" w:hAnsiTheme="majorHAnsi" w:cstheme="majorHAnsi"/>
          <w:sz w:val="20"/>
          <w:szCs w:val="20"/>
        </w:rPr>
        <w:t xml:space="preserve">Baa1 </w:t>
      </w:r>
      <w:r>
        <w:rPr>
          <w:rFonts w:asciiTheme="majorHAnsi" w:eastAsiaTheme="majorEastAsia" w:hAnsiTheme="majorHAnsi" w:cstheme="majorHAnsi"/>
          <w:sz w:val="20"/>
          <w:szCs w:val="20"/>
        </w:rPr>
        <w:t xml:space="preserve">(from Baa2) </w:t>
      </w:r>
      <w:r w:rsidRPr="00DB37D9">
        <w:rPr>
          <w:rFonts w:asciiTheme="majorHAnsi" w:eastAsiaTheme="majorEastAsia" w:hAnsiTheme="majorHAnsi" w:cstheme="majorHAnsi"/>
          <w:sz w:val="20"/>
          <w:szCs w:val="20"/>
        </w:rPr>
        <w:t xml:space="preserve">and </w:t>
      </w:r>
      <w:r>
        <w:rPr>
          <w:rFonts w:asciiTheme="majorHAnsi" w:eastAsiaTheme="majorEastAsia" w:hAnsiTheme="majorHAnsi" w:cstheme="majorHAnsi"/>
          <w:sz w:val="20"/>
          <w:szCs w:val="20"/>
        </w:rPr>
        <w:t xml:space="preserve">issuer ratings to </w:t>
      </w:r>
      <w:r w:rsidRPr="00DB37D9">
        <w:rPr>
          <w:rFonts w:asciiTheme="majorHAnsi" w:eastAsiaTheme="majorEastAsia" w:hAnsiTheme="majorHAnsi" w:cstheme="majorHAnsi"/>
          <w:sz w:val="20"/>
          <w:szCs w:val="20"/>
        </w:rPr>
        <w:t xml:space="preserve">Baa2 </w:t>
      </w:r>
      <w:r>
        <w:rPr>
          <w:rFonts w:asciiTheme="majorHAnsi" w:eastAsiaTheme="majorEastAsia" w:hAnsiTheme="majorHAnsi" w:cstheme="majorHAnsi"/>
          <w:sz w:val="20"/>
          <w:szCs w:val="20"/>
        </w:rPr>
        <w:t xml:space="preserve">(from </w:t>
      </w:r>
      <w:r w:rsidRPr="00DB37D9">
        <w:rPr>
          <w:rFonts w:asciiTheme="majorHAnsi" w:eastAsiaTheme="majorEastAsia" w:hAnsiTheme="majorHAnsi" w:cstheme="majorHAnsi"/>
          <w:sz w:val="20"/>
          <w:szCs w:val="20"/>
        </w:rPr>
        <w:t>Baa3</w:t>
      </w:r>
      <w:r>
        <w:rPr>
          <w:rFonts w:asciiTheme="majorHAnsi" w:eastAsiaTheme="majorEastAsia" w:hAnsiTheme="majorHAnsi" w:cstheme="majorHAnsi"/>
          <w:sz w:val="20"/>
          <w:szCs w:val="20"/>
        </w:rPr>
        <w:t xml:space="preserve">) and upgrade the short-term issuer ratings to </w:t>
      </w:r>
      <w:r w:rsidRPr="00DB37D9">
        <w:rPr>
          <w:rFonts w:asciiTheme="majorHAnsi" w:eastAsiaTheme="majorEastAsia" w:hAnsiTheme="majorHAnsi" w:cstheme="majorHAnsi"/>
          <w:sz w:val="20"/>
          <w:szCs w:val="20"/>
        </w:rPr>
        <w:t xml:space="preserve">Prime-2 </w:t>
      </w:r>
      <w:r w:rsidR="000454D2">
        <w:rPr>
          <w:rFonts w:asciiTheme="majorHAnsi" w:eastAsiaTheme="majorEastAsia" w:hAnsiTheme="majorHAnsi" w:cstheme="majorHAnsi"/>
          <w:sz w:val="20"/>
          <w:szCs w:val="20"/>
        </w:rPr>
        <w:t>(</w:t>
      </w:r>
      <w:r w:rsidRPr="00DB37D9">
        <w:rPr>
          <w:rFonts w:asciiTheme="majorHAnsi" w:eastAsiaTheme="majorEastAsia" w:hAnsiTheme="majorHAnsi" w:cstheme="majorHAnsi"/>
          <w:sz w:val="20"/>
          <w:szCs w:val="20"/>
        </w:rPr>
        <w:t>from Prime-3</w:t>
      </w:r>
      <w:r w:rsidR="000454D2">
        <w:rPr>
          <w:rFonts w:asciiTheme="majorHAnsi" w:eastAsiaTheme="majorEastAsia" w:hAnsiTheme="majorHAnsi" w:cstheme="majorHAnsi"/>
          <w:sz w:val="20"/>
          <w:szCs w:val="20"/>
        </w:rPr>
        <w:t>)</w:t>
      </w:r>
    </w:p>
    <w:p w:rsidR="00A043FA" w:rsidRPr="00574396" w:rsidRDefault="00A043FA" w:rsidP="005524C8">
      <w:pPr>
        <w:pStyle w:val="ListParagraph"/>
        <w:numPr>
          <w:ilvl w:val="0"/>
          <w:numId w:val="18"/>
        </w:numPr>
        <w:autoSpaceDE w:val="0"/>
        <w:autoSpaceDN w:val="0"/>
        <w:adjustRightInd w:val="0"/>
        <w:rPr>
          <w:rStyle w:val="ap"/>
          <w:rFonts w:asciiTheme="majorHAnsi" w:hAnsiTheme="majorHAnsi" w:cstheme="majorHAnsi"/>
          <w:szCs w:val="20"/>
        </w:rPr>
      </w:pPr>
      <w:r w:rsidRPr="00574396">
        <w:rPr>
          <w:rStyle w:val="ap"/>
          <w:rFonts w:asciiTheme="majorHAnsi" w:eastAsiaTheme="majorEastAsia" w:hAnsiTheme="majorHAnsi" w:cstheme="majorHAnsi"/>
          <w:szCs w:val="20"/>
        </w:rPr>
        <w:t>Con</w:t>
      </w:r>
      <w:r w:rsidR="00E90098" w:rsidRPr="00574396">
        <w:rPr>
          <w:rStyle w:val="ap"/>
          <w:rFonts w:asciiTheme="majorHAnsi" w:eastAsiaTheme="majorEastAsia" w:hAnsiTheme="majorHAnsi" w:cstheme="majorHAnsi"/>
          <w:szCs w:val="20"/>
        </w:rPr>
        <w:t>vert</w:t>
      </w:r>
      <w:r w:rsidRPr="00574396">
        <w:rPr>
          <w:rStyle w:val="ap"/>
          <w:rFonts w:asciiTheme="majorHAnsi" w:eastAsiaTheme="majorEastAsia" w:hAnsiTheme="majorHAnsi" w:cstheme="majorHAnsi"/>
          <w:szCs w:val="20"/>
        </w:rPr>
        <w:t xml:space="preserve"> </w:t>
      </w:r>
      <w:r w:rsidR="00E90098" w:rsidRPr="00574396">
        <w:rPr>
          <w:rStyle w:val="ap"/>
          <w:rFonts w:asciiTheme="majorHAnsi" w:eastAsiaTheme="majorEastAsia" w:hAnsiTheme="majorHAnsi" w:cstheme="majorHAnsi"/>
          <w:szCs w:val="20"/>
        </w:rPr>
        <w:t xml:space="preserve">into definitive </w:t>
      </w:r>
      <w:r w:rsidRPr="00574396">
        <w:rPr>
          <w:rStyle w:val="ap"/>
          <w:rFonts w:asciiTheme="majorHAnsi" w:eastAsiaTheme="majorEastAsia" w:hAnsiTheme="majorHAnsi" w:cstheme="majorHAnsi"/>
          <w:szCs w:val="20"/>
        </w:rPr>
        <w:t xml:space="preserve">the </w:t>
      </w:r>
      <w:r w:rsidR="00E90098" w:rsidRPr="00574396">
        <w:rPr>
          <w:rStyle w:val="ap"/>
          <w:rFonts w:asciiTheme="majorHAnsi" w:eastAsiaTheme="majorEastAsia" w:hAnsiTheme="majorHAnsi" w:cstheme="majorHAnsi"/>
          <w:szCs w:val="20"/>
        </w:rPr>
        <w:t xml:space="preserve">provisional </w:t>
      </w:r>
      <w:r w:rsidR="005524C8" w:rsidRPr="00574396">
        <w:rPr>
          <w:rStyle w:val="ap"/>
          <w:rFonts w:asciiTheme="majorHAnsi" w:eastAsiaTheme="majorEastAsia" w:hAnsiTheme="majorHAnsi" w:cstheme="majorHAnsi"/>
          <w:szCs w:val="20"/>
        </w:rPr>
        <w:t xml:space="preserve">long term and short term </w:t>
      </w:r>
      <w:r w:rsidRPr="00574396">
        <w:rPr>
          <w:rStyle w:val="ap"/>
          <w:rFonts w:asciiTheme="majorHAnsi" w:eastAsiaTheme="majorEastAsia" w:hAnsiTheme="majorHAnsi" w:cstheme="majorHAnsi"/>
          <w:szCs w:val="20"/>
        </w:rPr>
        <w:t>deposit</w:t>
      </w:r>
      <w:r w:rsidR="00E90098" w:rsidRPr="00574396">
        <w:rPr>
          <w:rStyle w:val="ap"/>
          <w:rFonts w:asciiTheme="majorHAnsi" w:eastAsiaTheme="majorEastAsia" w:hAnsiTheme="majorHAnsi" w:cstheme="majorHAnsi"/>
          <w:szCs w:val="20"/>
        </w:rPr>
        <w:t>s</w:t>
      </w:r>
      <w:r w:rsidRPr="00574396">
        <w:rPr>
          <w:rStyle w:val="ap"/>
          <w:rFonts w:asciiTheme="majorHAnsi" w:eastAsiaTheme="majorEastAsia" w:hAnsiTheme="majorHAnsi" w:cstheme="majorHAnsi"/>
          <w:szCs w:val="20"/>
        </w:rPr>
        <w:t xml:space="preserve"> rating assigned to Adam &amp; Company</w:t>
      </w:r>
      <w:r w:rsidR="00E41A9F" w:rsidRPr="00574396">
        <w:rPr>
          <w:rStyle w:val="ap"/>
          <w:rFonts w:asciiTheme="majorHAnsi" w:eastAsiaTheme="majorEastAsia" w:hAnsiTheme="majorHAnsi" w:cstheme="majorHAnsi"/>
          <w:szCs w:val="20"/>
        </w:rPr>
        <w:t xml:space="preserve"> </w:t>
      </w:r>
      <w:r w:rsidR="008D5D23">
        <w:rPr>
          <w:rStyle w:val="ap"/>
          <w:rFonts w:asciiTheme="majorHAnsi" w:eastAsiaTheme="majorEastAsia" w:hAnsiTheme="majorHAnsi" w:cstheme="majorHAnsi"/>
          <w:szCs w:val="20"/>
        </w:rPr>
        <w:t>PLC</w:t>
      </w:r>
      <w:r w:rsidR="00E41A9F" w:rsidRPr="00574396">
        <w:rPr>
          <w:rStyle w:val="ap"/>
          <w:rFonts w:asciiTheme="majorHAnsi" w:eastAsiaTheme="majorEastAsia" w:hAnsiTheme="majorHAnsi" w:cstheme="majorHAnsi"/>
          <w:szCs w:val="20"/>
        </w:rPr>
        <w:t xml:space="preserve"> (future The Royal Bank of Scotland plc)</w:t>
      </w:r>
      <w:r w:rsidRPr="00574396">
        <w:rPr>
          <w:rStyle w:val="ap"/>
          <w:rFonts w:asciiTheme="majorHAnsi" w:eastAsiaTheme="majorEastAsia" w:hAnsiTheme="majorHAnsi" w:cstheme="majorHAnsi"/>
          <w:szCs w:val="20"/>
        </w:rPr>
        <w:t xml:space="preserve"> </w:t>
      </w:r>
      <w:r w:rsidR="005524C8" w:rsidRPr="00574396">
        <w:rPr>
          <w:rStyle w:val="ap"/>
          <w:rFonts w:asciiTheme="majorHAnsi" w:eastAsiaTheme="majorEastAsia" w:hAnsiTheme="majorHAnsi" w:cstheme="majorHAnsi"/>
          <w:szCs w:val="20"/>
        </w:rPr>
        <w:t>at</w:t>
      </w:r>
      <w:r w:rsidRPr="00574396">
        <w:rPr>
          <w:rStyle w:val="ap"/>
          <w:rFonts w:asciiTheme="majorHAnsi" w:eastAsiaTheme="majorEastAsia" w:hAnsiTheme="majorHAnsi" w:cstheme="majorHAnsi"/>
          <w:szCs w:val="20"/>
        </w:rPr>
        <w:t xml:space="preserve"> A1</w:t>
      </w:r>
      <w:r w:rsidR="005524C8" w:rsidRPr="00574396">
        <w:rPr>
          <w:rStyle w:val="ap"/>
          <w:rFonts w:asciiTheme="majorHAnsi" w:eastAsiaTheme="majorEastAsia" w:hAnsiTheme="majorHAnsi" w:cstheme="majorHAnsi"/>
          <w:szCs w:val="20"/>
        </w:rPr>
        <w:t xml:space="preserve"> and </w:t>
      </w:r>
      <w:r w:rsidRPr="00574396">
        <w:rPr>
          <w:rStyle w:val="ap"/>
          <w:rFonts w:asciiTheme="majorHAnsi" w:eastAsiaTheme="majorEastAsia" w:hAnsiTheme="majorHAnsi" w:cstheme="majorHAnsi"/>
          <w:szCs w:val="20"/>
        </w:rPr>
        <w:t>P</w:t>
      </w:r>
      <w:r w:rsidR="00F75214" w:rsidRPr="00574396">
        <w:rPr>
          <w:rStyle w:val="ap"/>
          <w:rFonts w:asciiTheme="majorHAnsi" w:eastAsiaTheme="majorEastAsia" w:hAnsiTheme="majorHAnsi" w:cstheme="majorHAnsi"/>
          <w:szCs w:val="20"/>
        </w:rPr>
        <w:t>rime</w:t>
      </w:r>
      <w:r w:rsidRPr="00574396">
        <w:rPr>
          <w:rStyle w:val="ap"/>
          <w:rFonts w:asciiTheme="majorHAnsi" w:eastAsiaTheme="majorEastAsia" w:hAnsiTheme="majorHAnsi" w:cstheme="majorHAnsi"/>
          <w:szCs w:val="20"/>
        </w:rPr>
        <w:t>-1</w:t>
      </w:r>
      <w:r w:rsidR="005524C8" w:rsidRPr="00574396">
        <w:rPr>
          <w:rStyle w:val="ap"/>
          <w:rFonts w:asciiTheme="majorHAnsi" w:eastAsiaTheme="majorEastAsia" w:hAnsiTheme="majorHAnsi" w:cstheme="majorHAnsi"/>
          <w:szCs w:val="20"/>
        </w:rPr>
        <w:t xml:space="preserve"> respectively</w:t>
      </w:r>
      <w:r w:rsidRPr="00574396">
        <w:rPr>
          <w:rStyle w:val="ap"/>
          <w:rFonts w:asciiTheme="majorHAnsi" w:eastAsiaTheme="majorEastAsia" w:hAnsiTheme="majorHAnsi" w:cstheme="majorHAnsi"/>
          <w:szCs w:val="20"/>
        </w:rPr>
        <w:t>.</w:t>
      </w:r>
    </w:p>
    <w:p w:rsidR="00A043FA" w:rsidRPr="00574396" w:rsidRDefault="00A043FA" w:rsidP="005C0776">
      <w:pPr>
        <w:autoSpaceDE w:val="0"/>
        <w:autoSpaceDN w:val="0"/>
        <w:adjustRightInd w:val="0"/>
        <w:rPr>
          <w:rStyle w:val="an"/>
          <w:rFonts w:asciiTheme="majorHAnsi" w:eastAsiaTheme="majorEastAsia" w:hAnsiTheme="majorHAnsi" w:cstheme="majorHAnsi"/>
          <w:szCs w:val="20"/>
          <w:lang w:eastAsia="en-GB"/>
        </w:rPr>
      </w:pPr>
    </w:p>
    <w:p w:rsidR="004C675B" w:rsidRPr="00574396" w:rsidRDefault="00705043" w:rsidP="00615560">
      <w:pPr>
        <w:autoSpaceDE w:val="0"/>
        <w:autoSpaceDN w:val="0"/>
        <w:adjustRightInd w:val="0"/>
        <w:rPr>
          <w:rStyle w:val="an"/>
          <w:rFonts w:asciiTheme="majorHAnsi" w:eastAsiaTheme="majorEastAsia" w:hAnsiTheme="majorHAnsi" w:cstheme="majorHAnsi"/>
          <w:szCs w:val="20"/>
          <w:lang w:eastAsia="en-GB"/>
        </w:rPr>
      </w:pPr>
      <w:r w:rsidRPr="00574396">
        <w:rPr>
          <w:rStyle w:val="an"/>
          <w:rFonts w:asciiTheme="majorHAnsi" w:eastAsiaTheme="majorEastAsia" w:hAnsiTheme="majorHAnsi" w:cstheme="majorHAnsi"/>
          <w:szCs w:val="20"/>
          <w:lang w:eastAsia="en-GB"/>
        </w:rPr>
        <w:t>These actions reflect Moody’s view that “Under ring-fencing, RBS plc’s</w:t>
      </w:r>
      <w:r w:rsidR="00A579CA">
        <w:rPr>
          <w:rStyle w:val="an"/>
          <w:rFonts w:asciiTheme="majorHAnsi" w:eastAsiaTheme="majorEastAsia" w:hAnsiTheme="majorHAnsi" w:cstheme="majorHAnsi"/>
          <w:szCs w:val="20"/>
          <w:lang w:eastAsia="en-GB"/>
        </w:rPr>
        <w:t xml:space="preserve"> </w:t>
      </w:r>
      <w:r w:rsidR="00595405">
        <w:rPr>
          <w:rStyle w:val="an"/>
          <w:rFonts w:asciiTheme="majorHAnsi" w:eastAsiaTheme="majorEastAsia" w:hAnsiTheme="majorHAnsi" w:cstheme="majorHAnsi"/>
          <w:szCs w:val="20"/>
          <w:lang w:eastAsia="en-GB"/>
        </w:rPr>
        <w:t>(</w:t>
      </w:r>
      <w:r w:rsidR="00A579CA">
        <w:rPr>
          <w:rStyle w:val="an"/>
          <w:rFonts w:asciiTheme="majorHAnsi" w:eastAsiaTheme="majorEastAsia" w:hAnsiTheme="majorHAnsi" w:cstheme="majorHAnsi"/>
          <w:szCs w:val="20"/>
          <w:lang w:eastAsia="en-GB"/>
        </w:rPr>
        <w:t>future NatWest Markets Plc</w:t>
      </w:r>
      <w:r w:rsidR="00595405">
        <w:rPr>
          <w:rStyle w:val="an"/>
          <w:rFonts w:asciiTheme="majorHAnsi" w:eastAsiaTheme="majorEastAsia" w:hAnsiTheme="majorHAnsi" w:cstheme="majorHAnsi"/>
          <w:szCs w:val="20"/>
          <w:lang w:eastAsia="en-GB"/>
        </w:rPr>
        <w:t>)</w:t>
      </w:r>
      <w:bookmarkStart w:id="0" w:name="_GoBack"/>
      <w:bookmarkEnd w:id="0"/>
      <w:r w:rsidRPr="00574396">
        <w:rPr>
          <w:rStyle w:val="an"/>
          <w:rFonts w:asciiTheme="majorHAnsi" w:eastAsiaTheme="majorEastAsia" w:hAnsiTheme="majorHAnsi" w:cstheme="majorHAnsi"/>
          <w:szCs w:val="20"/>
          <w:lang w:eastAsia="en-GB"/>
        </w:rPr>
        <w:t xml:space="preserve"> and RBS NV’s credit profiles will be weaker as they are focused mostly on capital markets and wholesale activities and have a greater reliance on wholesale funding. Conversely, NatWest Bank’s and UBL’s credit profiles will be stronger, due to their mostly retail, SME and large corporate banking activities and largely deposit-based funding profiles</w:t>
      </w:r>
      <w:r w:rsidR="007E7166" w:rsidRPr="00574396">
        <w:rPr>
          <w:rStyle w:val="an"/>
          <w:rFonts w:asciiTheme="majorHAnsi" w:eastAsiaTheme="majorEastAsia" w:hAnsiTheme="majorHAnsi" w:cstheme="majorHAnsi"/>
          <w:szCs w:val="20"/>
          <w:lang w:eastAsia="en-GB"/>
        </w:rPr>
        <w:t>.</w:t>
      </w:r>
      <w:r w:rsidR="008D5D23">
        <w:rPr>
          <w:rStyle w:val="an"/>
          <w:rFonts w:asciiTheme="majorHAnsi" w:eastAsiaTheme="majorEastAsia" w:hAnsiTheme="majorHAnsi" w:cstheme="majorHAnsi"/>
          <w:szCs w:val="20"/>
          <w:lang w:eastAsia="en-GB"/>
        </w:rPr>
        <w:t>”</w:t>
      </w:r>
    </w:p>
    <w:p w:rsidR="005524C8" w:rsidRPr="00574396" w:rsidRDefault="005524C8" w:rsidP="005524C8">
      <w:pPr>
        <w:spacing w:before="100" w:beforeAutospacing="1" w:after="100" w:afterAutospacing="1"/>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Moody's summary credit ratings:</w:t>
      </w:r>
    </w:p>
    <w:tbl>
      <w:tblPr>
        <w:tblW w:w="9639" w:type="dxa"/>
        <w:tblCellSpacing w:w="0" w:type="dxa"/>
        <w:tblCellMar>
          <w:left w:w="0" w:type="dxa"/>
          <w:right w:w="0" w:type="dxa"/>
        </w:tblCellMar>
        <w:tblLook w:val="04A0" w:firstRow="1" w:lastRow="0" w:firstColumn="1" w:lastColumn="0" w:noHBand="0" w:noVBand="1"/>
      </w:tblPr>
      <w:tblGrid>
        <w:gridCol w:w="3828"/>
        <w:gridCol w:w="2693"/>
        <w:gridCol w:w="1834"/>
        <w:gridCol w:w="1284"/>
      </w:tblGrid>
      <w:tr w:rsidR="008832F3" w:rsidRPr="00574396" w:rsidTr="008E4ABC">
        <w:trPr>
          <w:tblCellSpacing w:w="0" w:type="dxa"/>
        </w:trPr>
        <w:tc>
          <w:tcPr>
            <w:tcW w:w="3828" w:type="dxa"/>
            <w:vAlign w:val="center"/>
            <w:hideMark/>
          </w:tcPr>
          <w:p w:rsidR="005524C8" w:rsidRPr="00574396" w:rsidRDefault="008832F3" w:rsidP="005524C8">
            <w:pPr>
              <w:spacing w:before="100" w:beforeAutospacing="1" w:after="100" w:afterAutospacing="1"/>
              <w:rPr>
                <w:rFonts w:asciiTheme="majorHAnsi" w:eastAsia="Times New Roman" w:hAnsiTheme="majorHAnsi" w:cstheme="majorHAnsi"/>
                <w:b/>
                <w:color w:val="333333"/>
                <w:szCs w:val="20"/>
                <w:lang w:eastAsia="en-GB"/>
              </w:rPr>
            </w:pPr>
            <w:r w:rsidRPr="00574396">
              <w:rPr>
                <w:rFonts w:asciiTheme="majorHAnsi" w:eastAsia="Times New Roman" w:hAnsiTheme="majorHAnsi" w:cstheme="majorHAnsi"/>
                <w:b/>
                <w:color w:val="333333"/>
                <w:szCs w:val="20"/>
                <w:lang w:eastAsia="en-GB"/>
              </w:rPr>
              <w:t>Entity</w:t>
            </w:r>
          </w:p>
        </w:tc>
        <w:tc>
          <w:tcPr>
            <w:tcW w:w="2693" w:type="dxa"/>
            <w:vAlign w:val="center"/>
            <w:hideMark/>
          </w:tcPr>
          <w:p w:rsidR="005524C8" w:rsidRPr="00574396" w:rsidRDefault="008832F3" w:rsidP="00574396">
            <w:pPr>
              <w:spacing w:before="100" w:beforeAutospacing="1" w:after="100" w:afterAutospacing="1"/>
              <w:jc w:val="center"/>
              <w:rPr>
                <w:rFonts w:asciiTheme="majorHAnsi" w:eastAsia="Times New Roman" w:hAnsiTheme="majorHAnsi" w:cstheme="majorHAnsi"/>
                <w:b/>
                <w:color w:val="333333"/>
                <w:szCs w:val="20"/>
                <w:lang w:eastAsia="en-GB"/>
              </w:rPr>
            </w:pPr>
            <w:r w:rsidRPr="00574396">
              <w:rPr>
                <w:rFonts w:asciiTheme="majorHAnsi" w:eastAsia="Times New Roman" w:hAnsiTheme="majorHAnsi" w:cstheme="majorHAnsi"/>
                <w:b/>
                <w:color w:val="333333"/>
                <w:szCs w:val="20"/>
                <w:lang w:eastAsia="en-GB"/>
              </w:rPr>
              <w:t>Long term</w:t>
            </w:r>
            <w:r w:rsidR="008E4ABC">
              <w:rPr>
                <w:rFonts w:asciiTheme="majorHAnsi" w:eastAsia="Times New Roman" w:hAnsiTheme="majorHAnsi" w:cstheme="majorHAnsi"/>
                <w:b/>
                <w:color w:val="333333"/>
                <w:szCs w:val="20"/>
                <w:lang w:eastAsia="en-GB"/>
              </w:rPr>
              <w:t xml:space="preserve"> rating</w:t>
            </w:r>
          </w:p>
        </w:tc>
        <w:tc>
          <w:tcPr>
            <w:tcW w:w="1834" w:type="dxa"/>
            <w:vAlign w:val="center"/>
            <w:hideMark/>
          </w:tcPr>
          <w:p w:rsidR="005524C8" w:rsidRPr="00574396" w:rsidRDefault="008832F3" w:rsidP="001C0883">
            <w:pPr>
              <w:spacing w:before="100" w:beforeAutospacing="1" w:after="100" w:afterAutospacing="1"/>
              <w:jc w:val="center"/>
              <w:rPr>
                <w:rFonts w:asciiTheme="majorHAnsi" w:eastAsia="Times New Roman" w:hAnsiTheme="majorHAnsi" w:cstheme="majorHAnsi"/>
                <w:b/>
                <w:color w:val="333333"/>
                <w:szCs w:val="20"/>
                <w:lang w:eastAsia="en-GB"/>
              </w:rPr>
            </w:pPr>
            <w:r w:rsidRPr="00574396">
              <w:rPr>
                <w:rFonts w:asciiTheme="majorHAnsi" w:eastAsia="Times New Roman" w:hAnsiTheme="majorHAnsi" w:cstheme="majorHAnsi"/>
                <w:b/>
                <w:color w:val="333333"/>
                <w:szCs w:val="20"/>
                <w:lang w:eastAsia="en-GB"/>
              </w:rPr>
              <w:t xml:space="preserve">Short term </w:t>
            </w:r>
            <w:r w:rsidR="008E4ABC">
              <w:rPr>
                <w:rFonts w:asciiTheme="majorHAnsi" w:eastAsia="Times New Roman" w:hAnsiTheme="majorHAnsi" w:cstheme="majorHAnsi"/>
                <w:b/>
                <w:color w:val="333333"/>
                <w:szCs w:val="20"/>
                <w:lang w:eastAsia="en-GB"/>
              </w:rPr>
              <w:t>rating</w:t>
            </w:r>
          </w:p>
        </w:tc>
        <w:tc>
          <w:tcPr>
            <w:tcW w:w="1284" w:type="dxa"/>
          </w:tcPr>
          <w:p w:rsidR="008832F3" w:rsidRPr="00574396" w:rsidRDefault="00574396" w:rsidP="00574396">
            <w:pPr>
              <w:jc w:val="center"/>
              <w:rPr>
                <w:rFonts w:asciiTheme="majorHAnsi" w:hAnsiTheme="majorHAnsi" w:cstheme="majorHAnsi"/>
                <w:b/>
                <w:szCs w:val="20"/>
              </w:rPr>
            </w:pPr>
            <w:r>
              <w:rPr>
                <w:rFonts w:asciiTheme="majorHAnsi" w:hAnsiTheme="majorHAnsi" w:cstheme="majorHAnsi"/>
                <w:b/>
                <w:szCs w:val="20"/>
              </w:rPr>
              <w:t>Status post-</w:t>
            </w:r>
            <w:r w:rsidR="008832F3" w:rsidRPr="00574396">
              <w:rPr>
                <w:rFonts w:asciiTheme="majorHAnsi" w:hAnsiTheme="majorHAnsi" w:cstheme="majorHAnsi"/>
                <w:b/>
                <w:szCs w:val="20"/>
              </w:rPr>
              <w:t>Ringfencing</w:t>
            </w:r>
          </w:p>
        </w:tc>
      </w:tr>
      <w:tr w:rsidR="00EF4550" w:rsidRPr="00574396" w:rsidTr="008E4ABC">
        <w:trPr>
          <w:trHeight w:val="153"/>
          <w:tblCellSpacing w:w="0" w:type="dxa"/>
        </w:trPr>
        <w:tc>
          <w:tcPr>
            <w:tcW w:w="3828" w:type="dxa"/>
          </w:tcPr>
          <w:p w:rsidR="00EF4550" w:rsidRPr="00574396" w:rsidRDefault="00EF4550" w:rsidP="005427E2">
            <w:pPr>
              <w:spacing w:after="100" w:afterAutospacing="1"/>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 xml:space="preserve">The Royal Bank of Scotland </w:t>
            </w:r>
            <w:r w:rsidR="008D5D23">
              <w:rPr>
                <w:rFonts w:asciiTheme="majorHAnsi" w:eastAsia="Times New Roman" w:hAnsiTheme="majorHAnsi" w:cstheme="majorHAnsi"/>
                <w:color w:val="333333"/>
                <w:szCs w:val="20"/>
                <w:lang w:eastAsia="en-GB"/>
              </w:rPr>
              <w:t xml:space="preserve">Group </w:t>
            </w:r>
            <w:r w:rsidRPr="00574396">
              <w:rPr>
                <w:rFonts w:asciiTheme="majorHAnsi" w:eastAsia="Times New Roman" w:hAnsiTheme="majorHAnsi" w:cstheme="majorHAnsi"/>
                <w:color w:val="333333"/>
                <w:szCs w:val="20"/>
                <w:lang w:eastAsia="en-GB"/>
              </w:rPr>
              <w:t>plc</w:t>
            </w:r>
          </w:p>
        </w:tc>
        <w:tc>
          <w:tcPr>
            <w:tcW w:w="2693" w:type="dxa"/>
          </w:tcPr>
          <w:p w:rsidR="00EF4550" w:rsidRPr="00574396" w:rsidRDefault="00EF4550"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Baa3</w:t>
            </w:r>
          </w:p>
        </w:tc>
        <w:tc>
          <w:tcPr>
            <w:tcW w:w="1834" w:type="dxa"/>
          </w:tcPr>
          <w:p w:rsidR="00EF4550" w:rsidRPr="00574396" w:rsidRDefault="00EF4550"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P-3</w:t>
            </w:r>
          </w:p>
        </w:tc>
        <w:tc>
          <w:tcPr>
            <w:tcW w:w="1284" w:type="dxa"/>
          </w:tcPr>
          <w:p w:rsidR="00EF4550" w:rsidRPr="00574396" w:rsidRDefault="00EF4550" w:rsidP="00574396">
            <w:pPr>
              <w:jc w:val="center"/>
              <w:rPr>
                <w:rFonts w:asciiTheme="majorHAnsi" w:hAnsiTheme="majorHAnsi" w:cstheme="majorHAnsi"/>
                <w:szCs w:val="20"/>
              </w:rPr>
            </w:pPr>
            <w:r w:rsidRPr="00574396">
              <w:rPr>
                <w:rFonts w:asciiTheme="majorHAnsi" w:hAnsiTheme="majorHAnsi" w:cstheme="majorHAnsi"/>
                <w:szCs w:val="20"/>
              </w:rPr>
              <w:t>Holding</w:t>
            </w:r>
            <w:r w:rsidR="00542818">
              <w:rPr>
                <w:rFonts w:asciiTheme="majorHAnsi" w:hAnsiTheme="majorHAnsi" w:cstheme="majorHAnsi"/>
                <w:szCs w:val="20"/>
              </w:rPr>
              <w:t xml:space="preserve"> Company</w:t>
            </w:r>
          </w:p>
        </w:tc>
      </w:tr>
      <w:tr w:rsidR="008832F3" w:rsidRPr="00574396" w:rsidTr="008E4ABC">
        <w:trPr>
          <w:trHeight w:val="153"/>
          <w:tblCellSpacing w:w="0" w:type="dxa"/>
        </w:trPr>
        <w:tc>
          <w:tcPr>
            <w:tcW w:w="3828" w:type="dxa"/>
            <w:hideMark/>
          </w:tcPr>
          <w:p w:rsidR="005524C8" w:rsidRPr="00574396" w:rsidRDefault="008832F3" w:rsidP="008D5D23">
            <w:pPr>
              <w:spacing w:after="100" w:afterAutospacing="1"/>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 xml:space="preserve">National Westminster Bank </w:t>
            </w:r>
            <w:r w:rsidR="008D5D23">
              <w:rPr>
                <w:rFonts w:asciiTheme="majorHAnsi" w:eastAsia="Times New Roman" w:hAnsiTheme="majorHAnsi" w:cstheme="majorHAnsi"/>
                <w:color w:val="333333"/>
                <w:szCs w:val="20"/>
                <w:lang w:eastAsia="en-GB"/>
              </w:rPr>
              <w:t>P</w:t>
            </w:r>
            <w:r w:rsidRPr="00574396">
              <w:rPr>
                <w:rFonts w:asciiTheme="majorHAnsi" w:eastAsia="Times New Roman" w:hAnsiTheme="majorHAnsi" w:cstheme="majorHAnsi"/>
                <w:color w:val="333333"/>
                <w:szCs w:val="20"/>
                <w:lang w:eastAsia="en-GB"/>
              </w:rPr>
              <w:t>lc</w:t>
            </w:r>
          </w:p>
        </w:tc>
        <w:tc>
          <w:tcPr>
            <w:tcW w:w="2693" w:type="dxa"/>
            <w:hideMark/>
          </w:tcPr>
          <w:p w:rsidR="005524C8" w:rsidRPr="00574396" w:rsidRDefault="008832F3"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A1 (deposits)/A2 (senior unsecured debt)</w:t>
            </w:r>
          </w:p>
        </w:tc>
        <w:tc>
          <w:tcPr>
            <w:tcW w:w="1834" w:type="dxa"/>
            <w:hideMark/>
          </w:tcPr>
          <w:p w:rsidR="005524C8" w:rsidRPr="00574396" w:rsidRDefault="008832F3"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P-1</w:t>
            </w:r>
          </w:p>
        </w:tc>
        <w:tc>
          <w:tcPr>
            <w:tcW w:w="1284" w:type="dxa"/>
          </w:tcPr>
          <w:p w:rsidR="008832F3" w:rsidRPr="00574396" w:rsidRDefault="008832F3" w:rsidP="00574396">
            <w:pPr>
              <w:jc w:val="center"/>
              <w:rPr>
                <w:rFonts w:asciiTheme="majorHAnsi" w:hAnsiTheme="majorHAnsi" w:cstheme="majorHAnsi"/>
                <w:szCs w:val="20"/>
              </w:rPr>
            </w:pPr>
            <w:r w:rsidRPr="00574396">
              <w:rPr>
                <w:rFonts w:asciiTheme="majorHAnsi" w:hAnsiTheme="majorHAnsi" w:cstheme="majorHAnsi"/>
                <w:szCs w:val="20"/>
              </w:rPr>
              <w:t>Ring-fenced</w:t>
            </w:r>
            <w:r w:rsidR="00574396">
              <w:rPr>
                <w:rFonts w:asciiTheme="majorHAnsi" w:hAnsiTheme="majorHAnsi" w:cstheme="majorHAnsi"/>
                <w:szCs w:val="20"/>
              </w:rPr>
              <w:t xml:space="preserve"> bank</w:t>
            </w:r>
          </w:p>
        </w:tc>
      </w:tr>
      <w:tr w:rsidR="008832F3" w:rsidRPr="00574396" w:rsidTr="008E4ABC">
        <w:trPr>
          <w:tblCellSpacing w:w="0" w:type="dxa"/>
        </w:trPr>
        <w:tc>
          <w:tcPr>
            <w:tcW w:w="3828" w:type="dxa"/>
          </w:tcPr>
          <w:p w:rsidR="008832F3" w:rsidRPr="00574396" w:rsidRDefault="008832F3" w:rsidP="005427E2">
            <w:pPr>
              <w:spacing w:after="100" w:afterAutospacing="1"/>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Ulster Bank Limited</w:t>
            </w:r>
          </w:p>
        </w:tc>
        <w:tc>
          <w:tcPr>
            <w:tcW w:w="2693" w:type="dxa"/>
          </w:tcPr>
          <w:p w:rsidR="008832F3" w:rsidRPr="00574396" w:rsidRDefault="008832F3"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A1 (deposits)/A2 (senior unsecured debt)</w:t>
            </w:r>
          </w:p>
        </w:tc>
        <w:tc>
          <w:tcPr>
            <w:tcW w:w="1834" w:type="dxa"/>
          </w:tcPr>
          <w:p w:rsidR="008832F3" w:rsidRPr="00574396" w:rsidRDefault="008832F3"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P-1</w:t>
            </w:r>
          </w:p>
        </w:tc>
        <w:tc>
          <w:tcPr>
            <w:tcW w:w="1284" w:type="dxa"/>
          </w:tcPr>
          <w:p w:rsidR="008832F3" w:rsidRPr="00574396" w:rsidRDefault="008832F3" w:rsidP="00574396">
            <w:pPr>
              <w:jc w:val="center"/>
              <w:rPr>
                <w:rFonts w:asciiTheme="majorHAnsi" w:hAnsiTheme="majorHAnsi" w:cstheme="majorHAnsi"/>
                <w:szCs w:val="20"/>
              </w:rPr>
            </w:pPr>
            <w:r w:rsidRPr="00574396">
              <w:rPr>
                <w:rFonts w:asciiTheme="majorHAnsi" w:hAnsiTheme="majorHAnsi" w:cstheme="majorHAnsi"/>
                <w:szCs w:val="20"/>
              </w:rPr>
              <w:t>Ring-fenced</w:t>
            </w:r>
            <w:r w:rsidR="00574396">
              <w:rPr>
                <w:rFonts w:asciiTheme="majorHAnsi" w:hAnsiTheme="majorHAnsi" w:cstheme="majorHAnsi"/>
                <w:szCs w:val="20"/>
              </w:rPr>
              <w:t xml:space="preserve"> bank</w:t>
            </w:r>
          </w:p>
        </w:tc>
      </w:tr>
      <w:tr w:rsidR="008832F3" w:rsidRPr="00574396" w:rsidTr="008E4ABC">
        <w:trPr>
          <w:tblCellSpacing w:w="0" w:type="dxa"/>
        </w:trPr>
        <w:tc>
          <w:tcPr>
            <w:tcW w:w="3828" w:type="dxa"/>
          </w:tcPr>
          <w:p w:rsidR="008832F3" w:rsidRPr="00574396" w:rsidRDefault="008D5D23" w:rsidP="007E7166">
            <w:pPr>
              <w:spacing w:after="100" w:afterAutospacing="1"/>
              <w:rPr>
                <w:rFonts w:asciiTheme="majorHAnsi" w:eastAsia="Times New Roman" w:hAnsiTheme="majorHAnsi" w:cstheme="majorHAnsi"/>
                <w:color w:val="333333"/>
                <w:szCs w:val="20"/>
                <w:lang w:eastAsia="en-GB"/>
              </w:rPr>
            </w:pPr>
            <w:r>
              <w:rPr>
                <w:rFonts w:asciiTheme="majorHAnsi" w:eastAsia="Times New Roman" w:hAnsiTheme="majorHAnsi" w:cstheme="majorHAnsi"/>
                <w:color w:val="333333"/>
                <w:szCs w:val="20"/>
                <w:lang w:eastAsia="en-GB"/>
              </w:rPr>
              <w:t>Adam &amp; Company PLC</w:t>
            </w:r>
            <w:r w:rsidR="001C0883">
              <w:rPr>
                <w:rFonts w:asciiTheme="majorHAnsi" w:eastAsia="Times New Roman" w:hAnsiTheme="majorHAnsi" w:cstheme="majorHAnsi"/>
                <w:color w:val="333333"/>
                <w:szCs w:val="20"/>
                <w:lang w:eastAsia="en-GB"/>
              </w:rPr>
              <w:t xml:space="preserve">                                </w:t>
            </w:r>
            <w:r w:rsidR="008832F3" w:rsidRPr="00574396">
              <w:rPr>
                <w:rFonts w:asciiTheme="majorHAnsi" w:eastAsia="Times New Roman" w:hAnsiTheme="majorHAnsi" w:cstheme="majorHAnsi"/>
                <w:color w:val="333333"/>
                <w:szCs w:val="20"/>
                <w:lang w:eastAsia="en-GB"/>
              </w:rPr>
              <w:t xml:space="preserve">(future </w:t>
            </w:r>
            <w:r w:rsidR="00D53E60">
              <w:rPr>
                <w:rFonts w:asciiTheme="majorHAnsi" w:eastAsia="Times New Roman" w:hAnsiTheme="majorHAnsi" w:cstheme="majorHAnsi"/>
                <w:color w:val="333333"/>
                <w:szCs w:val="20"/>
                <w:lang w:eastAsia="en-GB"/>
              </w:rPr>
              <w:t xml:space="preserve">The </w:t>
            </w:r>
            <w:r w:rsidR="008832F3" w:rsidRPr="00574396">
              <w:rPr>
                <w:rFonts w:asciiTheme="majorHAnsi" w:eastAsia="Times New Roman" w:hAnsiTheme="majorHAnsi" w:cstheme="majorHAnsi"/>
                <w:color w:val="333333"/>
                <w:szCs w:val="20"/>
                <w:lang w:eastAsia="en-GB"/>
              </w:rPr>
              <w:t>R</w:t>
            </w:r>
            <w:r w:rsidR="00D53E60">
              <w:rPr>
                <w:rFonts w:asciiTheme="majorHAnsi" w:eastAsia="Times New Roman" w:hAnsiTheme="majorHAnsi" w:cstheme="majorHAnsi"/>
                <w:color w:val="333333"/>
                <w:szCs w:val="20"/>
                <w:lang w:eastAsia="en-GB"/>
              </w:rPr>
              <w:t xml:space="preserve">oyal </w:t>
            </w:r>
            <w:r w:rsidR="008832F3" w:rsidRPr="00574396">
              <w:rPr>
                <w:rFonts w:asciiTheme="majorHAnsi" w:eastAsia="Times New Roman" w:hAnsiTheme="majorHAnsi" w:cstheme="majorHAnsi"/>
                <w:color w:val="333333"/>
                <w:szCs w:val="20"/>
                <w:lang w:eastAsia="en-GB"/>
              </w:rPr>
              <w:t>B</w:t>
            </w:r>
            <w:r w:rsidR="00D53E60">
              <w:rPr>
                <w:rFonts w:asciiTheme="majorHAnsi" w:eastAsia="Times New Roman" w:hAnsiTheme="majorHAnsi" w:cstheme="majorHAnsi"/>
                <w:color w:val="333333"/>
                <w:szCs w:val="20"/>
                <w:lang w:eastAsia="en-GB"/>
              </w:rPr>
              <w:t xml:space="preserve">ank of </w:t>
            </w:r>
            <w:r w:rsidR="008832F3" w:rsidRPr="00574396">
              <w:rPr>
                <w:rFonts w:asciiTheme="majorHAnsi" w:eastAsia="Times New Roman" w:hAnsiTheme="majorHAnsi" w:cstheme="majorHAnsi"/>
                <w:color w:val="333333"/>
                <w:szCs w:val="20"/>
                <w:lang w:eastAsia="en-GB"/>
              </w:rPr>
              <w:t>S</w:t>
            </w:r>
            <w:r w:rsidR="00D53E60">
              <w:rPr>
                <w:rFonts w:asciiTheme="majorHAnsi" w:eastAsia="Times New Roman" w:hAnsiTheme="majorHAnsi" w:cstheme="majorHAnsi"/>
                <w:color w:val="333333"/>
                <w:szCs w:val="20"/>
                <w:lang w:eastAsia="en-GB"/>
              </w:rPr>
              <w:t>cotland</w:t>
            </w:r>
            <w:r w:rsidR="008832F3" w:rsidRPr="00574396">
              <w:rPr>
                <w:rFonts w:asciiTheme="majorHAnsi" w:eastAsia="Times New Roman" w:hAnsiTheme="majorHAnsi" w:cstheme="majorHAnsi"/>
                <w:color w:val="333333"/>
                <w:szCs w:val="20"/>
                <w:lang w:eastAsia="en-GB"/>
              </w:rPr>
              <w:t xml:space="preserve"> plc)</w:t>
            </w:r>
          </w:p>
        </w:tc>
        <w:tc>
          <w:tcPr>
            <w:tcW w:w="2693" w:type="dxa"/>
          </w:tcPr>
          <w:p w:rsidR="008832F3" w:rsidRPr="00574396" w:rsidRDefault="008832F3"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A1 (deposits)</w:t>
            </w:r>
          </w:p>
        </w:tc>
        <w:tc>
          <w:tcPr>
            <w:tcW w:w="1834" w:type="dxa"/>
          </w:tcPr>
          <w:p w:rsidR="008832F3" w:rsidRPr="00574396" w:rsidRDefault="008832F3"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P-1</w:t>
            </w:r>
          </w:p>
        </w:tc>
        <w:tc>
          <w:tcPr>
            <w:tcW w:w="1284" w:type="dxa"/>
          </w:tcPr>
          <w:p w:rsidR="008832F3" w:rsidRPr="00574396" w:rsidRDefault="008832F3" w:rsidP="00574396">
            <w:pPr>
              <w:jc w:val="center"/>
              <w:rPr>
                <w:rFonts w:asciiTheme="majorHAnsi" w:hAnsiTheme="majorHAnsi" w:cstheme="majorHAnsi"/>
                <w:szCs w:val="20"/>
              </w:rPr>
            </w:pPr>
            <w:r w:rsidRPr="00574396">
              <w:rPr>
                <w:rFonts w:asciiTheme="majorHAnsi" w:hAnsiTheme="majorHAnsi" w:cstheme="majorHAnsi"/>
                <w:szCs w:val="20"/>
              </w:rPr>
              <w:t>Ring-fenced</w:t>
            </w:r>
            <w:r w:rsidR="00574396">
              <w:rPr>
                <w:rFonts w:asciiTheme="majorHAnsi" w:hAnsiTheme="majorHAnsi" w:cstheme="majorHAnsi"/>
                <w:szCs w:val="20"/>
              </w:rPr>
              <w:t xml:space="preserve"> bank</w:t>
            </w:r>
          </w:p>
        </w:tc>
      </w:tr>
      <w:tr w:rsidR="00DB37D9" w:rsidRPr="00574396" w:rsidTr="008E4ABC">
        <w:trPr>
          <w:tblCellSpacing w:w="0" w:type="dxa"/>
        </w:trPr>
        <w:tc>
          <w:tcPr>
            <w:tcW w:w="3828" w:type="dxa"/>
          </w:tcPr>
          <w:p w:rsidR="00DB37D9" w:rsidRPr="00574396" w:rsidRDefault="00DB37D9" w:rsidP="009E16F4">
            <w:pPr>
              <w:spacing w:after="100" w:afterAutospacing="1"/>
              <w:rPr>
                <w:rFonts w:asciiTheme="majorHAnsi" w:eastAsia="Times New Roman" w:hAnsiTheme="majorHAnsi" w:cstheme="majorHAnsi"/>
                <w:color w:val="333333"/>
                <w:szCs w:val="20"/>
                <w:lang w:eastAsia="en-GB"/>
              </w:rPr>
            </w:pPr>
            <w:r>
              <w:rPr>
                <w:rFonts w:asciiTheme="majorHAnsi" w:eastAsia="Times New Roman" w:hAnsiTheme="majorHAnsi" w:cstheme="majorHAnsi"/>
                <w:color w:val="333333"/>
                <w:szCs w:val="20"/>
                <w:lang w:eastAsia="en-GB"/>
              </w:rPr>
              <w:t>Ulster Bank Ireland DAC</w:t>
            </w:r>
          </w:p>
        </w:tc>
        <w:tc>
          <w:tcPr>
            <w:tcW w:w="2693" w:type="dxa"/>
          </w:tcPr>
          <w:p w:rsidR="00DB37D9" w:rsidRPr="00574396" w:rsidRDefault="00DB37D9" w:rsidP="00574396">
            <w:pPr>
              <w:spacing w:after="100" w:afterAutospacing="1"/>
              <w:jc w:val="center"/>
              <w:rPr>
                <w:rFonts w:asciiTheme="majorHAnsi" w:eastAsia="Times New Roman" w:hAnsiTheme="majorHAnsi" w:cstheme="majorHAnsi"/>
                <w:color w:val="333333"/>
                <w:szCs w:val="20"/>
                <w:lang w:eastAsia="en-GB"/>
              </w:rPr>
            </w:pPr>
            <w:r>
              <w:rPr>
                <w:rFonts w:asciiTheme="majorHAnsi" w:eastAsia="Times New Roman" w:hAnsiTheme="majorHAnsi" w:cstheme="majorHAnsi"/>
                <w:color w:val="333333"/>
                <w:szCs w:val="20"/>
                <w:lang w:eastAsia="en-GB"/>
              </w:rPr>
              <w:t>Baa1 (deposits)/Baa2 (issuer rating)</w:t>
            </w:r>
          </w:p>
        </w:tc>
        <w:tc>
          <w:tcPr>
            <w:tcW w:w="1834" w:type="dxa"/>
          </w:tcPr>
          <w:p w:rsidR="00DB37D9" w:rsidRPr="00574396" w:rsidRDefault="00DB37D9" w:rsidP="00574396">
            <w:pPr>
              <w:spacing w:after="100" w:afterAutospacing="1"/>
              <w:jc w:val="center"/>
              <w:rPr>
                <w:rFonts w:asciiTheme="majorHAnsi" w:eastAsia="Times New Roman" w:hAnsiTheme="majorHAnsi" w:cstheme="majorHAnsi"/>
                <w:color w:val="333333"/>
                <w:szCs w:val="20"/>
                <w:lang w:eastAsia="en-GB"/>
              </w:rPr>
            </w:pPr>
            <w:r>
              <w:rPr>
                <w:rFonts w:asciiTheme="majorHAnsi" w:eastAsia="Times New Roman" w:hAnsiTheme="majorHAnsi" w:cstheme="majorHAnsi"/>
                <w:color w:val="333333"/>
                <w:szCs w:val="20"/>
                <w:lang w:eastAsia="en-GB"/>
              </w:rPr>
              <w:t>P-2</w:t>
            </w:r>
          </w:p>
        </w:tc>
        <w:tc>
          <w:tcPr>
            <w:tcW w:w="1284" w:type="dxa"/>
          </w:tcPr>
          <w:p w:rsidR="00DB37D9" w:rsidRPr="00574396" w:rsidRDefault="00DB37D9" w:rsidP="00574396">
            <w:pPr>
              <w:jc w:val="center"/>
              <w:rPr>
                <w:rFonts w:asciiTheme="majorHAnsi" w:hAnsiTheme="majorHAnsi" w:cstheme="majorHAnsi"/>
                <w:szCs w:val="20"/>
              </w:rPr>
            </w:pPr>
            <w:r w:rsidRPr="00574396">
              <w:rPr>
                <w:rFonts w:asciiTheme="majorHAnsi" w:hAnsiTheme="majorHAnsi" w:cstheme="majorHAnsi"/>
                <w:szCs w:val="20"/>
              </w:rPr>
              <w:t>Ring-fenced</w:t>
            </w:r>
            <w:r>
              <w:rPr>
                <w:rFonts w:asciiTheme="majorHAnsi" w:hAnsiTheme="majorHAnsi" w:cstheme="majorHAnsi"/>
                <w:szCs w:val="20"/>
              </w:rPr>
              <w:t xml:space="preserve"> bank</w:t>
            </w:r>
          </w:p>
        </w:tc>
      </w:tr>
      <w:tr w:rsidR="008832F3" w:rsidRPr="00574396" w:rsidTr="008E4ABC">
        <w:trPr>
          <w:tblCellSpacing w:w="0" w:type="dxa"/>
        </w:trPr>
        <w:tc>
          <w:tcPr>
            <w:tcW w:w="3828" w:type="dxa"/>
            <w:hideMark/>
          </w:tcPr>
          <w:p w:rsidR="005524C8" w:rsidRPr="00574396" w:rsidRDefault="008832F3" w:rsidP="009E16F4">
            <w:pPr>
              <w:spacing w:after="100" w:afterAutospacing="1"/>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 xml:space="preserve">The Royal Bank of Scotland plc </w:t>
            </w:r>
            <w:r w:rsidR="001C0883">
              <w:rPr>
                <w:rFonts w:asciiTheme="majorHAnsi" w:eastAsia="Times New Roman" w:hAnsiTheme="majorHAnsi" w:cstheme="majorHAnsi"/>
                <w:color w:val="333333"/>
                <w:szCs w:val="20"/>
                <w:lang w:eastAsia="en-GB"/>
              </w:rPr>
              <w:t xml:space="preserve">                  </w:t>
            </w:r>
            <w:r w:rsidRPr="00574396">
              <w:rPr>
                <w:rFonts w:asciiTheme="majorHAnsi" w:eastAsia="Times New Roman" w:hAnsiTheme="majorHAnsi" w:cstheme="majorHAnsi"/>
                <w:color w:val="333333"/>
                <w:szCs w:val="20"/>
                <w:lang w:eastAsia="en-GB"/>
              </w:rPr>
              <w:t xml:space="preserve">(future NatWest Markets </w:t>
            </w:r>
            <w:r w:rsidR="009E16F4">
              <w:rPr>
                <w:rFonts w:asciiTheme="majorHAnsi" w:eastAsia="Times New Roman" w:hAnsiTheme="majorHAnsi" w:cstheme="majorHAnsi"/>
                <w:color w:val="333333"/>
                <w:szCs w:val="20"/>
                <w:lang w:eastAsia="en-GB"/>
              </w:rPr>
              <w:t>P</w:t>
            </w:r>
            <w:r w:rsidRPr="00574396">
              <w:rPr>
                <w:rFonts w:asciiTheme="majorHAnsi" w:eastAsia="Times New Roman" w:hAnsiTheme="majorHAnsi" w:cstheme="majorHAnsi"/>
                <w:color w:val="333333"/>
                <w:szCs w:val="20"/>
                <w:lang w:eastAsia="en-GB"/>
              </w:rPr>
              <w:t>lc)</w:t>
            </w:r>
          </w:p>
        </w:tc>
        <w:tc>
          <w:tcPr>
            <w:tcW w:w="2693" w:type="dxa"/>
            <w:hideMark/>
          </w:tcPr>
          <w:p w:rsidR="005524C8" w:rsidRPr="00574396" w:rsidRDefault="008832F3"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Baa2 (deposits and senior unsecured debt)</w:t>
            </w:r>
            <w:r w:rsidR="00D36F50">
              <w:rPr>
                <w:rFonts w:asciiTheme="majorHAnsi" w:eastAsia="Times New Roman" w:hAnsiTheme="majorHAnsi" w:cstheme="majorHAnsi"/>
                <w:color w:val="333333"/>
                <w:szCs w:val="20"/>
                <w:lang w:eastAsia="en-GB"/>
              </w:rPr>
              <w:t>/A3(</w:t>
            </w:r>
            <w:proofErr w:type="spellStart"/>
            <w:r w:rsidR="00D36F50">
              <w:rPr>
                <w:rFonts w:asciiTheme="majorHAnsi" w:eastAsia="Times New Roman" w:hAnsiTheme="majorHAnsi" w:cstheme="majorHAnsi"/>
                <w:color w:val="333333"/>
                <w:szCs w:val="20"/>
                <w:lang w:eastAsia="en-GB"/>
              </w:rPr>
              <w:t>cr</w:t>
            </w:r>
            <w:proofErr w:type="spellEnd"/>
            <w:r w:rsidR="00D36F50">
              <w:rPr>
                <w:rFonts w:asciiTheme="majorHAnsi" w:eastAsia="Times New Roman" w:hAnsiTheme="majorHAnsi" w:cstheme="majorHAnsi"/>
                <w:color w:val="333333"/>
                <w:szCs w:val="20"/>
                <w:lang w:eastAsia="en-GB"/>
              </w:rPr>
              <w:t>) (CRA)</w:t>
            </w:r>
          </w:p>
        </w:tc>
        <w:tc>
          <w:tcPr>
            <w:tcW w:w="1834" w:type="dxa"/>
            <w:hideMark/>
          </w:tcPr>
          <w:p w:rsidR="005524C8" w:rsidRPr="00574396" w:rsidRDefault="008832F3"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P-2</w:t>
            </w:r>
          </w:p>
        </w:tc>
        <w:tc>
          <w:tcPr>
            <w:tcW w:w="1284" w:type="dxa"/>
          </w:tcPr>
          <w:p w:rsidR="008832F3" w:rsidRPr="00574396" w:rsidRDefault="00CE701D" w:rsidP="00574396">
            <w:pPr>
              <w:jc w:val="center"/>
              <w:rPr>
                <w:rFonts w:asciiTheme="majorHAnsi" w:hAnsiTheme="majorHAnsi" w:cstheme="majorHAnsi"/>
                <w:szCs w:val="20"/>
              </w:rPr>
            </w:pPr>
            <w:r w:rsidRPr="00574396">
              <w:rPr>
                <w:rFonts w:asciiTheme="majorHAnsi" w:hAnsiTheme="majorHAnsi" w:cstheme="majorHAnsi"/>
                <w:szCs w:val="20"/>
              </w:rPr>
              <w:t>Non Ring-fenced</w:t>
            </w:r>
            <w:r w:rsidR="00574396">
              <w:rPr>
                <w:rFonts w:asciiTheme="majorHAnsi" w:hAnsiTheme="majorHAnsi" w:cstheme="majorHAnsi"/>
                <w:szCs w:val="20"/>
              </w:rPr>
              <w:t xml:space="preserve"> bank</w:t>
            </w:r>
          </w:p>
        </w:tc>
      </w:tr>
      <w:tr w:rsidR="008832F3" w:rsidRPr="00574396" w:rsidTr="008E4ABC">
        <w:trPr>
          <w:tblCellSpacing w:w="0" w:type="dxa"/>
        </w:trPr>
        <w:tc>
          <w:tcPr>
            <w:tcW w:w="3828" w:type="dxa"/>
          </w:tcPr>
          <w:p w:rsidR="008832F3" w:rsidRPr="00574396" w:rsidRDefault="008832F3" w:rsidP="005427E2">
            <w:pPr>
              <w:spacing w:after="100" w:afterAutospacing="1"/>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The Royal Bank of Scotland N.V.</w:t>
            </w:r>
          </w:p>
        </w:tc>
        <w:tc>
          <w:tcPr>
            <w:tcW w:w="2693" w:type="dxa"/>
          </w:tcPr>
          <w:p w:rsidR="008832F3" w:rsidRPr="00574396" w:rsidRDefault="008832F3"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Baa2 (deposits and senior unsecured debt)</w:t>
            </w:r>
          </w:p>
        </w:tc>
        <w:tc>
          <w:tcPr>
            <w:tcW w:w="1834" w:type="dxa"/>
          </w:tcPr>
          <w:p w:rsidR="008832F3" w:rsidRPr="00574396" w:rsidRDefault="008832F3" w:rsidP="00574396">
            <w:pPr>
              <w:spacing w:after="100" w:afterAutospacing="1"/>
              <w:jc w:val="cente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P-2</w:t>
            </w:r>
          </w:p>
        </w:tc>
        <w:tc>
          <w:tcPr>
            <w:tcW w:w="1284" w:type="dxa"/>
          </w:tcPr>
          <w:p w:rsidR="008832F3" w:rsidRPr="00574396" w:rsidRDefault="00CE701D" w:rsidP="00574396">
            <w:pPr>
              <w:jc w:val="center"/>
              <w:rPr>
                <w:rFonts w:asciiTheme="majorHAnsi" w:hAnsiTheme="majorHAnsi" w:cstheme="majorHAnsi"/>
                <w:szCs w:val="20"/>
              </w:rPr>
            </w:pPr>
            <w:r w:rsidRPr="00574396">
              <w:rPr>
                <w:rFonts w:asciiTheme="majorHAnsi" w:hAnsiTheme="majorHAnsi" w:cstheme="majorHAnsi"/>
                <w:szCs w:val="20"/>
              </w:rPr>
              <w:t>Non Ring-fenced</w:t>
            </w:r>
            <w:r w:rsidR="00574396">
              <w:rPr>
                <w:rFonts w:asciiTheme="majorHAnsi" w:hAnsiTheme="majorHAnsi" w:cstheme="majorHAnsi"/>
                <w:szCs w:val="20"/>
              </w:rPr>
              <w:t xml:space="preserve"> bank</w:t>
            </w:r>
          </w:p>
        </w:tc>
      </w:tr>
    </w:tbl>
    <w:p w:rsidR="00E25DE7" w:rsidRDefault="00E25DE7" w:rsidP="004C675B">
      <w:pPr>
        <w:pStyle w:val="i"/>
        <w:rPr>
          <w:rStyle w:val="an"/>
          <w:rFonts w:asciiTheme="majorHAnsi" w:eastAsiaTheme="majorEastAsia" w:hAnsiTheme="majorHAnsi" w:cstheme="majorHAnsi"/>
          <w:b/>
          <w:sz w:val="20"/>
          <w:szCs w:val="20"/>
        </w:rPr>
      </w:pPr>
    </w:p>
    <w:p w:rsidR="00067825" w:rsidRDefault="00067825" w:rsidP="004C675B">
      <w:pPr>
        <w:pStyle w:val="i"/>
        <w:rPr>
          <w:rStyle w:val="an"/>
          <w:rFonts w:asciiTheme="majorHAnsi" w:eastAsiaTheme="majorEastAsia" w:hAnsiTheme="majorHAnsi" w:cstheme="majorHAnsi"/>
          <w:b/>
          <w:sz w:val="20"/>
          <w:szCs w:val="20"/>
        </w:rPr>
      </w:pPr>
    </w:p>
    <w:p w:rsidR="00615560" w:rsidRPr="00574396" w:rsidRDefault="004C675B" w:rsidP="004C675B">
      <w:pPr>
        <w:pStyle w:val="i"/>
        <w:rPr>
          <w:rStyle w:val="aq"/>
          <w:rFonts w:asciiTheme="majorHAnsi" w:hAnsiTheme="majorHAnsi" w:cstheme="majorHAnsi"/>
          <w:b/>
          <w:sz w:val="20"/>
          <w:szCs w:val="20"/>
        </w:rPr>
      </w:pPr>
      <w:r w:rsidRPr="00574396">
        <w:rPr>
          <w:rStyle w:val="an"/>
          <w:rFonts w:asciiTheme="majorHAnsi" w:eastAsiaTheme="majorEastAsia" w:hAnsiTheme="majorHAnsi" w:cstheme="majorHAnsi"/>
          <w:b/>
          <w:sz w:val="20"/>
          <w:szCs w:val="20"/>
        </w:rPr>
        <w:lastRenderedPageBreak/>
        <w:t>F</w:t>
      </w:r>
      <w:r w:rsidR="00574396" w:rsidRPr="00574396">
        <w:rPr>
          <w:rStyle w:val="an"/>
          <w:rFonts w:asciiTheme="majorHAnsi" w:eastAsiaTheme="majorEastAsia" w:hAnsiTheme="majorHAnsi" w:cstheme="majorHAnsi"/>
          <w:b/>
          <w:sz w:val="20"/>
          <w:szCs w:val="20"/>
        </w:rPr>
        <w:t>or further information please C</w:t>
      </w:r>
      <w:r w:rsidRPr="00574396">
        <w:rPr>
          <w:rStyle w:val="an"/>
          <w:rFonts w:asciiTheme="majorHAnsi" w:eastAsiaTheme="majorEastAsia" w:hAnsiTheme="majorHAnsi" w:cstheme="majorHAnsi"/>
          <w:b/>
          <w:sz w:val="20"/>
          <w:szCs w:val="20"/>
        </w:rPr>
        <w:t>ontact:</w:t>
      </w:r>
    </w:p>
    <w:p w:rsidR="00615560" w:rsidRPr="009831B8" w:rsidRDefault="004C675B" w:rsidP="009831B8">
      <w:pPr>
        <w:pStyle w:val="ac"/>
        <w:rPr>
          <w:rFonts w:ascii="Arial" w:hAnsi="Arial" w:cs="Arial"/>
          <w:bCs/>
          <w:color w:val="333333"/>
          <w:sz w:val="17"/>
          <w:szCs w:val="17"/>
        </w:rPr>
      </w:pPr>
      <w:r w:rsidRPr="009831B8">
        <w:rPr>
          <w:rFonts w:ascii="Arial" w:hAnsi="Arial" w:cs="Arial"/>
          <w:bCs/>
          <w:color w:val="333333"/>
          <w:sz w:val="17"/>
          <w:szCs w:val="17"/>
        </w:rPr>
        <w:t>Paul Pybus</w:t>
      </w:r>
    </w:p>
    <w:p w:rsidR="00615560" w:rsidRPr="009831B8" w:rsidRDefault="00615560" w:rsidP="009831B8">
      <w:pPr>
        <w:pStyle w:val="ac"/>
        <w:rPr>
          <w:rFonts w:ascii="Arial" w:hAnsi="Arial" w:cs="Arial"/>
          <w:bCs/>
          <w:color w:val="333333"/>
          <w:sz w:val="17"/>
          <w:szCs w:val="17"/>
        </w:rPr>
      </w:pPr>
      <w:r w:rsidRPr="009831B8">
        <w:rPr>
          <w:rFonts w:ascii="Arial" w:hAnsi="Arial" w:cs="Arial"/>
          <w:bCs/>
          <w:sz w:val="17"/>
          <w:szCs w:val="17"/>
        </w:rPr>
        <w:t>Head of Debt Investor Relations</w:t>
      </w:r>
    </w:p>
    <w:p w:rsidR="00615560" w:rsidRPr="009831B8" w:rsidRDefault="00615560" w:rsidP="009831B8">
      <w:pPr>
        <w:pStyle w:val="ac"/>
        <w:rPr>
          <w:rFonts w:ascii="Arial" w:hAnsi="Arial" w:cs="Arial"/>
          <w:bCs/>
          <w:sz w:val="17"/>
          <w:szCs w:val="17"/>
        </w:rPr>
      </w:pPr>
      <w:r w:rsidRPr="009831B8">
        <w:rPr>
          <w:rFonts w:ascii="Arial" w:hAnsi="Arial" w:cs="Arial"/>
          <w:bCs/>
          <w:sz w:val="17"/>
          <w:szCs w:val="17"/>
        </w:rPr>
        <w:t>+44 (0) 20 7678 1</w:t>
      </w:r>
      <w:r w:rsidR="005C0776" w:rsidRPr="009831B8">
        <w:rPr>
          <w:rFonts w:ascii="Arial" w:hAnsi="Arial" w:cs="Arial"/>
          <w:bCs/>
          <w:sz w:val="17"/>
          <w:szCs w:val="17"/>
        </w:rPr>
        <w:t>153</w:t>
      </w:r>
    </w:p>
    <w:p w:rsidR="00574396" w:rsidRDefault="00574396" w:rsidP="00574396">
      <w:pPr>
        <w:pStyle w:val="ac"/>
        <w:rPr>
          <w:rFonts w:ascii="Arial" w:hAnsi="Arial" w:cs="Arial"/>
          <w:color w:val="333333"/>
          <w:sz w:val="17"/>
          <w:szCs w:val="17"/>
        </w:rPr>
      </w:pPr>
      <w:r>
        <w:rPr>
          <w:rFonts w:ascii="Arial" w:hAnsi="Arial" w:cs="Arial"/>
          <w:b/>
          <w:bCs/>
          <w:color w:val="333333"/>
          <w:sz w:val="17"/>
          <w:szCs w:val="17"/>
        </w:rPr>
        <w:t>RBS Media Relations</w:t>
      </w:r>
      <w:r>
        <w:rPr>
          <w:rFonts w:ascii="Arial" w:hAnsi="Arial" w:cs="Arial"/>
          <w:color w:val="333333"/>
          <w:sz w:val="17"/>
          <w:szCs w:val="17"/>
        </w:rPr>
        <w:t>:</w:t>
      </w:r>
    </w:p>
    <w:p w:rsidR="00574396" w:rsidRDefault="00574396" w:rsidP="00574396">
      <w:pPr>
        <w:pStyle w:val="ac"/>
        <w:rPr>
          <w:rFonts w:ascii="Arial" w:hAnsi="Arial" w:cs="Arial"/>
          <w:color w:val="333333"/>
          <w:sz w:val="17"/>
          <w:szCs w:val="17"/>
        </w:rPr>
      </w:pPr>
      <w:r>
        <w:rPr>
          <w:rFonts w:ascii="Arial" w:hAnsi="Arial" w:cs="Arial"/>
          <w:color w:val="333333"/>
          <w:sz w:val="17"/>
          <w:szCs w:val="17"/>
        </w:rPr>
        <w:t>+44 (0) 13 1523 4205</w:t>
      </w:r>
    </w:p>
    <w:p w:rsidR="00574396" w:rsidRPr="004A64D7" w:rsidRDefault="00574396" w:rsidP="00E41A9F">
      <w:pPr>
        <w:pStyle w:val="i"/>
        <w:rPr>
          <w:rFonts w:asciiTheme="majorHAnsi" w:hAnsiTheme="majorHAnsi" w:cstheme="majorHAnsi"/>
          <w:b/>
          <w:sz w:val="20"/>
          <w:szCs w:val="20"/>
        </w:rPr>
      </w:pPr>
    </w:p>
    <w:p w:rsidR="00E41A9F" w:rsidRPr="004A64D7" w:rsidRDefault="00E41A9F" w:rsidP="00E41A9F">
      <w:pPr>
        <w:pStyle w:val="i"/>
        <w:rPr>
          <w:rFonts w:asciiTheme="majorHAnsi" w:hAnsiTheme="majorHAnsi" w:cstheme="majorHAnsi"/>
          <w:b/>
          <w:sz w:val="20"/>
          <w:szCs w:val="20"/>
        </w:rPr>
      </w:pPr>
      <w:r w:rsidRPr="004A64D7">
        <w:rPr>
          <w:rFonts w:asciiTheme="majorHAnsi" w:hAnsiTheme="majorHAnsi" w:cstheme="majorHAnsi"/>
          <w:b/>
          <w:sz w:val="20"/>
          <w:szCs w:val="20"/>
        </w:rPr>
        <w:t>Forward-looking statements</w:t>
      </w:r>
    </w:p>
    <w:p w:rsidR="00E41A9F" w:rsidRPr="00574396" w:rsidRDefault="00E41A9F" w:rsidP="00E41A9F">
      <w:pPr>
        <w:pStyle w:val="i"/>
        <w:rPr>
          <w:rFonts w:asciiTheme="majorHAnsi" w:hAnsiTheme="majorHAnsi" w:cstheme="majorHAnsi"/>
          <w:color w:val="333333"/>
          <w:sz w:val="20"/>
          <w:szCs w:val="20"/>
        </w:rPr>
      </w:pPr>
      <w:r w:rsidRPr="00574396">
        <w:rPr>
          <w:rFonts w:asciiTheme="majorHAnsi" w:hAnsiTheme="majorHAnsi" w:cstheme="majorHAnsi"/>
          <w:color w:val="333333"/>
          <w:sz w:val="20"/>
          <w:szCs w:val="20"/>
        </w:rPr>
        <w:t>This announcement contains forward-looking statements within the meaning of the United States Private Securities Litigation Reform Act of 1995, including (but not limited to) those related to RBS and its subsidiaries' regulatory capital position and requirements, financial position, future pension funding and contribution requirements, ongoing litigation and regulatory investigations, profitability and financial performance (including financial performance targets), structural reform and the implementation of the UK ring-fencing regime, the implementation of RBS’s restructuring and transformation programme, impairment losses and credit exposures under certain specified scenarios, increasing competition from new incumbents and disruptive technologies and RBS’s exposure to political risks, operational risk, conduct risk, cyber and IT risk and credit rating risk. In addition, forward-looking statements may include, without limitation, the words ‘expect’, ‘estimate’, ‘project’, ‘anticipate’, ‘commit’, ‘believe’, ‘should’, ‘intend’, ‘plan’, ‘could’, ‘probability’, ‘risk’, ‘Value-at-Risk (</w:t>
      </w:r>
      <w:proofErr w:type="spellStart"/>
      <w:r w:rsidRPr="00574396">
        <w:rPr>
          <w:rFonts w:asciiTheme="majorHAnsi" w:hAnsiTheme="majorHAnsi" w:cstheme="majorHAnsi"/>
          <w:color w:val="333333"/>
          <w:sz w:val="20"/>
          <w:szCs w:val="20"/>
        </w:rPr>
        <w:t>VaR</w:t>
      </w:r>
      <w:proofErr w:type="spellEnd"/>
      <w:r w:rsidRPr="00574396">
        <w:rPr>
          <w:rFonts w:asciiTheme="majorHAnsi" w:hAnsiTheme="majorHAnsi" w:cstheme="majorHAnsi"/>
          <w:color w:val="333333"/>
          <w:sz w:val="20"/>
          <w:szCs w:val="20"/>
        </w:rPr>
        <w:t>)’, ‘target’, ‘goal’, ‘objective’, ‘may’, ‘endeavour’, ‘outlook’, ‘optimistic’, ‘prospects’ and similar expressions or variations on these expressions.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RBS's actual results are discussed in RBS's UK 2017 Annual Report and Accounts (ARA) and other materials filed with, or furnished to, the US Securities and Exchange Commission.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4541"/>
      </w:tblGrid>
      <w:tr w:rsidR="00574396" w:rsidRPr="00574396" w:rsidTr="00574396">
        <w:tc>
          <w:tcPr>
            <w:tcW w:w="5087" w:type="dxa"/>
          </w:tcPr>
          <w:p w:rsidR="00574396" w:rsidRPr="00574396" w:rsidRDefault="00574396" w:rsidP="00574396">
            <w:pPr>
              <w:rPr>
                <w:rFonts w:asciiTheme="majorHAnsi" w:eastAsia="Times New Roman" w:hAnsiTheme="majorHAnsi" w:cstheme="majorHAnsi"/>
                <w:color w:val="333333"/>
                <w:szCs w:val="20"/>
                <w:lang w:eastAsia="en-GB"/>
              </w:rPr>
            </w:pPr>
          </w:p>
        </w:tc>
        <w:tc>
          <w:tcPr>
            <w:tcW w:w="4541" w:type="dxa"/>
          </w:tcPr>
          <w:p w:rsidR="00574396" w:rsidRPr="00574396" w:rsidRDefault="00574396" w:rsidP="00574396">
            <w:pP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Legal Entity Identifier</w:t>
            </w:r>
          </w:p>
        </w:tc>
      </w:tr>
      <w:tr w:rsidR="00574396" w:rsidRPr="00574396" w:rsidTr="00574396">
        <w:tc>
          <w:tcPr>
            <w:tcW w:w="5087" w:type="dxa"/>
          </w:tcPr>
          <w:p w:rsidR="00574396" w:rsidRPr="00574396" w:rsidRDefault="00574396" w:rsidP="00574396">
            <w:pP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 xml:space="preserve">The Royal Bank of Scotland Group plc </w:t>
            </w:r>
          </w:p>
        </w:tc>
        <w:tc>
          <w:tcPr>
            <w:tcW w:w="4541" w:type="dxa"/>
          </w:tcPr>
          <w:p w:rsidR="00574396" w:rsidRPr="00574396" w:rsidRDefault="00574396" w:rsidP="00253704">
            <w:pP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2138005O9XJIJN4JPN90</w:t>
            </w:r>
          </w:p>
        </w:tc>
      </w:tr>
      <w:tr w:rsidR="00574396" w:rsidRPr="00574396" w:rsidTr="00574396">
        <w:tc>
          <w:tcPr>
            <w:tcW w:w="5087" w:type="dxa"/>
          </w:tcPr>
          <w:p w:rsidR="00574396" w:rsidRPr="00574396" w:rsidRDefault="00574396" w:rsidP="00574396">
            <w:pP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 xml:space="preserve">The Royal Bank of Scotland plc </w:t>
            </w:r>
          </w:p>
        </w:tc>
        <w:tc>
          <w:tcPr>
            <w:tcW w:w="4541" w:type="dxa"/>
          </w:tcPr>
          <w:p w:rsidR="00574396" w:rsidRPr="00574396" w:rsidRDefault="00574396" w:rsidP="00253704">
            <w:pP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RR3QWICWWIPCS8A4S074</w:t>
            </w:r>
          </w:p>
        </w:tc>
      </w:tr>
      <w:tr w:rsidR="00574396" w:rsidRPr="00574396" w:rsidTr="00574396">
        <w:tc>
          <w:tcPr>
            <w:tcW w:w="5087" w:type="dxa"/>
          </w:tcPr>
          <w:p w:rsidR="00574396" w:rsidRPr="00574396" w:rsidRDefault="00574396" w:rsidP="00574396">
            <w:pP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 xml:space="preserve">National Westminster Bank Plc </w:t>
            </w:r>
          </w:p>
        </w:tc>
        <w:tc>
          <w:tcPr>
            <w:tcW w:w="4541" w:type="dxa"/>
          </w:tcPr>
          <w:p w:rsidR="00574396" w:rsidRPr="00574396" w:rsidRDefault="00574396" w:rsidP="00253704">
            <w:pP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213800IBT39XQ9C4CP71</w:t>
            </w:r>
          </w:p>
        </w:tc>
      </w:tr>
      <w:tr w:rsidR="00574396" w:rsidRPr="00574396" w:rsidTr="00574396">
        <w:tc>
          <w:tcPr>
            <w:tcW w:w="5087" w:type="dxa"/>
          </w:tcPr>
          <w:p w:rsidR="00574396" w:rsidRPr="00574396" w:rsidRDefault="00574396" w:rsidP="00574396">
            <w:pPr>
              <w:rPr>
                <w:rFonts w:asciiTheme="majorHAnsi" w:eastAsia="Times New Roman" w:hAnsiTheme="majorHAnsi" w:cstheme="majorHAnsi"/>
                <w:color w:val="333333"/>
                <w:szCs w:val="20"/>
                <w:lang w:eastAsia="en-GB"/>
              </w:rPr>
            </w:pPr>
            <w:r w:rsidRPr="00574396">
              <w:rPr>
                <w:rFonts w:asciiTheme="majorHAnsi" w:eastAsia="Times New Roman" w:hAnsiTheme="majorHAnsi" w:cstheme="majorHAnsi"/>
                <w:color w:val="333333"/>
                <w:szCs w:val="20"/>
                <w:lang w:eastAsia="en-GB"/>
              </w:rPr>
              <w:t xml:space="preserve">Adam &amp; Company PLC </w:t>
            </w:r>
          </w:p>
        </w:tc>
        <w:tc>
          <w:tcPr>
            <w:tcW w:w="4541" w:type="dxa"/>
          </w:tcPr>
          <w:p w:rsidR="00574396" w:rsidRPr="00947863" w:rsidRDefault="00574396" w:rsidP="00253704">
            <w:pPr>
              <w:rPr>
                <w:rFonts w:asciiTheme="majorHAnsi" w:eastAsia="Times New Roman" w:hAnsiTheme="majorHAnsi" w:cstheme="majorHAnsi"/>
                <w:szCs w:val="20"/>
                <w:lang w:eastAsia="en-GB"/>
              </w:rPr>
            </w:pPr>
            <w:r w:rsidRPr="00947863">
              <w:rPr>
                <w:rFonts w:asciiTheme="majorHAnsi" w:eastAsia="Times New Roman" w:hAnsiTheme="majorHAnsi" w:cstheme="majorHAnsi"/>
                <w:szCs w:val="20"/>
                <w:lang w:eastAsia="en-GB"/>
              </w:rPr>
              <w:t>213800GC5AG3WC3FEM84</w:t>
            </w:r>
          </w:p>
        </w:tc>
      </w:tr>
      <w:tr w:rsidR="00D36F50" w:rsidRPr="00574396" w:rsidTr="00574396">
        <w:tc>
          <w:tcPr>
            <w:tcW w:w="5087" w:type="dxa"/>
          </w:tcPr>
          <w:p w:rsidR="00D36F50" w:rsidRPr="00574396" w:rsidRDefault="00D36F50" w:rsidP="00574396">
            <w:pPr>
              <w:rPr>
                <w:rFonts w:asciiTheme="majorHAnsi" w:eastAsia="Times New Roman" w:hAnsiTheme="majorHAnsi" w:cstheme="majorHAnsi"/>
                <w:szCs w:val="20"/>
                <w:lang w:eastAsia="en-GB"/>
              </w:rPr>
            </w:pPr>
            <w:r>
              <w:rPr>
                <w:rFonts w:asciiTheme="majorHAnsi" w:eastAsia="Times New Roman" w:hAnsiTheme="majorHAnsi" w:cstheme="majorHAnsi"/>
                <w:szCs w:val="20"/>
                <w:lang w:eastAsia="en-GB"/>
              </w:rPr>
              <w:t>Ulster Bank Ireland DAC</w:t>
            </w:r>
          </w:p>
        </w:tc>
        <w:tc>
          <w:tcPr>
            <w:tcW w:w="4541" w:type="dxa"/>
          </w:tcPr>
          <w:p w:rsidR="00D36F50" w:rsidRPr="00947863" w:rsidRDefault="00D36F50" w:rsidP="00253704">
            <w:pPr>
              <w:rPr>
                <w:rFonts w:asciiTheme="majorHAnsi" w:eastAsia="Times New Roman" w:hAnsiTheme="majorHAnsi" w:cstheme="majorHAnsi"/>
                <w:szCs w:val="20"/>
                <w:lang w:eastAsia="en-GB"/>
              </w:rPr>
            </w:pPr>
            <w:r w:rsidRPr="00D36F50">
              <w:rPr>
                <w:rFonts w:asciiTheme="majorHAnsi" w:eastAsia="Times New Roman" w:hAnsiTheme="majorHAnsi" w:cstheme="majorHAnsi"/>
                <w:szCs w:val="20"/>
                <w:lang w:eastAsia="en-GB"/>
              </w:rPr>
              <w:t>635400KQIMALJ4XLAD78</w:t>
            </w:r>
          </w:p>
        </w:tc>
      </w:tr>
      <w:tr w:rsidR="00574396" w:rsidRPr="00574396" w:rsidTr="00574396">
        <w:tc>
          <w:tcPr>
            <w:tcW w:w="5087" w:type="dxa"/>
          </w:tcPr>
          <w:p w:rsidR="00574396" w:rsidRPr="00574396" w:rsidRDefault="00574396" w:rsidP="00574396">
            <w:pPr>
              <w:rPr>
                <w:rFonts w:asciiTheme="majorHAnsi" w:eastAsia="Times New Roman" w:hAnsiTheme="majorHAnsi" w:cstheme="majorHAnsi"/>
                <w:color w:val="FF0000"/>
                <w:szCs w:val="20"/>
                <w:lang w:eastAsia="en-GB"/>
              </w:rPr>
            </w:pPr>
            <w:r w:rsidRPr="00574396">
              <w:rPr>
                <w:rFonts w:asciiTheme="majorHAnsi" w:eastAsia="Times New Roman" w:hAnsiTheme="majorHAnsi" w:cstheme="majorHAnsi"/>
                <w:szCs w:val="20"/>
                <w:lang w:eastAsia="en-GB"/>
              </w:rPr>
              <w:t>Ulster Bank Limited</w:t>
            </w:r>
          </w:p>
        </w:tc>
        <w:tc>
          <w:tcPr>
            <w:tcW w:w="4541" w:type="dxa"/>
          </w:tcPr>
          <w:p w:rsidR="00574396" w:rsidRPr="00947863" w:rsidRDefault="00947863" w:rsidP="00253704">
            <w:pPr>
              <w:rPr>
                <w:rFonts w:asciiTheme="majorHAnsi" w:eastAsia="Times New Roman" w:hAnsiTheme="majorHAnsi" w:cstheme="majorHAnsi"/>
                <w:szCs w:val="20"/>
                <w:lang w:eastAsia="en-GB"/>
              </w:rPr>
            </w:pPr>
            <w:r w:rsidRPr="00947863">
              <w:rPr>
                <w:rFonts w:asciiTheme="majorHAnsi" w:eastAsia="Times New Roman" w:hAnsiTheme="majorHAnsi" w:cstheme="majorHAnsi"/>
                <w:szCs w:val="20"/>
                <w:lang w:eastAsia="en-GB"/>
              </w:rPr>
              <w:t>213800BZ9V4RRA2IRN26</w:t>
            </w:r>
          </w:p>
        </w:tc>
      </w:tr>
      <w:tr w:rsidR="00574396" w:rsidRPr="00574396" w:rsidTr="00574396">
        <w:tc>
          <w:tcPr>
            <w:tcW w:w="5087" w:type="dxa"/>
          </w:tcPr>
          <w:p w:rsidR="00574396" w:rsidRPr="00574396" w:rsidRDefault="00574396" w:rsidP="00574396">
            <w:pPr>
              <w:rPr>
                <w:rFonts w:asciiTheme="majorHAnsi" w:eastAsia="Times New Roman" w:hAnsiTheme="majorHAnsi" w:cstheme="majorHAnsi"/>
                <w:color w:val="FF0000"/>
                <w:szCs w:val="20"/>
                <w:lang w:eastAsia="en-GB"/>
              </w:rPr>
            </w:pPr>
            <w:r w:rsidRPr="00574396">
              <w:rPr>
                <w:rFonts w:asciiTheme="majorHAnsi" w:eastAsia="Times New Roman" w:hAnsiTheme="majorHAnsi" w:cstheme="majorHAnsi"/>
                <w:szCs w:val="20"/>
                <w:lang w:eastAsia="en-GB"/>
              </w:rPr>
              <w:t>The Royal Bank of Scotland N.V</w:t>
            </w:r>
            <w:r w:rsidR="00A579CA">
              <w:rPr>
                <w:rFonts w:asciiTheme="majorHAnsi" w:eastAsia="Times New Roman" w:hAnsiTheme="majorHAnsi" w:cstheme="majorHAnsi"/>
                <w:szCs w:val="20"/>
                <w:lang w:eastAsia="en-GB"/>
              </w:rPr>
              <w:t>.</w:t>
            </w:r>
          </w:p>
        </w:tc>
        <w:tc>
          <w:tcPr>
            <w:tcW w:w="4541" w:type="dxa"/>
          </w:tcPr>
          <w:p w:rsidR="00574396" w:rsidRPr="00947863" w:rsidRDefault="00947863" w:rsidP="00253704">
            <w:pPr>
              <w:rPr>
                <w:rFonts w:asciiTheme="majorHAnsi" w:eastAsia="Times New Roman" w:hAnsiTheme="majorHAnsi" w:cstheme="majorHAnsi"/>
                <w:szCs w:val="20"/>
                <w:lang w:eastAsia="en-GB"/>
              </w:rPr>
            </w:pPr>
            <w:r w:rsidRPr="00947863">
              <w:rPr>
                <w:rFonts w:asciiTheme="majorHAnsi" w:eastAsia="Times New Roman" w:hAnsiTheme="majorHAnsi" w:cstheme="majorHAnsi"/>
                <w:szCs w:val="20"/>
                <w:lang w:eastAsia="en-GB"/>
              </w:rPr>
              <w:t>X3CZP3CK64YBHON1LE12</w:t>
            </w:r>
          </w:p>
        </w:tc>
      </w:tr>
    </w:tbl>
    <w:p w:rsidR="00D3550F" w:rsidRDefault="00D3550F" w:rsidP="00D3550F">
      <w:pPr>
        <w:pStyle w:val="i"/>
        <w:rPr>
          <w:rFonts w:ascii="Calibri" w:hAnsi="Calibri" w:cs="Calibri"/>
          <w:color w:val="333333"/>
          <w:sz w:val="22"/>
          <w:szCs w:val="22"/>
        </w:rPr>
      </w:pPr>
    </w:p>
    <w:p w:rsidR="00E41A9F" w:rsidRPr="00615560" w:rsidRDefault="00E41A9F" w:rsidP="00615560">
      <w:pPr>
        <w:pStyle w:val="i"/>
        <w:rPr>
          <w:rFonts w:ascii="Calibri" w:hAnsi="Calibri" w:cs="Calibri"/>
          <w:color w:val="333333"/>
          <w:sz w:val="22"/>
          <w:szCs w:val="22"/>
        </w:rPr>
      </w:pPr>
    </w:p>
    <w:p w:rsidR="00FD5978" w:rsidRPr="00FD5978" w:rsidRDefault="00FD5978" w:rsidP="00BF4249"/>
    <w:sectPr w:rsidR="00FD5978" w:rsidRPr="00FD5978" w:rsidSect="00050C51">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75B" w:rsidRDefault="004C675B" w:rsidP="00AA4E94">
      <w:r>
        <w:separator/>
      </w:r>
    </w:p>
  </w:endnote>
  <w:endnote w:type="continuationSeparator" w:id="0">
    <w:p w:rsidR="004C675B" w:rsidRDefault="004C675B"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75B" w:rsidRDefault="004C675B" w:rsidP="00AA4E94">
      <w:r>
        <w:separator/>
      </w:r>
    </w:p>
  </w:footnote>
  <w:footnote w:type="continuationSeparator" w:id="0">
    <w:p w:rsidR="004C675B" w:rsidRDefault="004C675B"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846A51"/>
    <w:multiLevelType w:val="hybridMultilevel"/>
    <w:tmpl w:val="D81C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6"/>
  </w:num>
  <w:num w:numId="14">
    <w:abstractNumId w:val="13"/>
  </w:num>
  <w:num w:numId="15">
    <w:abstractNumId w:val="12"/>
  </w:num>
  <w:num w:numId="16">
    <w:abstractNumId w:val="17"/>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5B"/>
    <w:rsid w:val="000454D2"/>
    <w:rsid w:val="00050C51"/>
    <w:rsid w:val="00067825"/>
    <w:rsid w:val="00072D44"/>
    <w:rsid w:val="000B3E65"/>
    <w:rsid w:val="00116EE2"/>
    <w:rsid w:val="00120774"/>
    <w:rsid w:val="001A76B3"/>
    <w:rsid w:val="001C0883"/>
    <w:rsid w:val="001D1699"/>
    <w:rsid w:val="001D5067"/>
    <w:rsid w:val="001E2C17"/>
    <w:rsid w:val="001F2EC9"/>
    <w:rsid w:val="0021604E"/>
    <w:rsid w:val="002502E0"/>
    <w:rsid w:val="002A1F66"/>
    <w:rsid w:val="002A7230"/>
    <w:rsid w:val="002C47C3"/>
    <w:rsid w:val="002E13A6"/>
    <w:rsid w:val="00304DEA"/>
    <w:rsid w:val="0033156D"/>
    <w:rsid w:val="003A13B9"/>
    <w:rsid w:val="004243EE"/>
    <w:rsid w:val="004A64D7"/>
    <w:rsid w:val="004C675B"/>
    <w:rsid w:val="004D6B73"/>
    <w:rsid w:val="004E59A0"/>
    <w:rsid w:val="00517702"/>
    <w:rsid w:val="005427E2"/>
    <w:rsid w:val="00542818"/>
    <w:rsid w:val="00544150"/>
    <w:rsid w:val="005524C8"/>
    <w:rsid w:val="00564898"/>
    <w:rsid w:val="00574396"/>
    <w:rsid w:val="00595405"/>
    <w:rsid w:val="005C0776"/>
    <w:rsid w:val="00604642"/>
    <w:rsid w:val="00615560"/>
    <w:rsid w:val="00623F46"/>
    <w:rsid w:val="0062728C"/>
    <w:rsid w:val="006A1170"/>
    <w:rsid w:val="006E252B"/>
    <w:rsid w:val="006E4102"/>
    <w:rsid w:val="006F37AD"/>
    <w:rsid w:val="00705043"/>
    <w:rsid w:val="00752B89"/>
    <w:rsid w:val="007B11BD"/>
    <w:rsid w:val="007E7166"/>
    <w:rsid w:val="00804F60"/>
    <w:rsid w:val="0081737E"/>
    <w:rsid w:val="00841E4D"/>
    <w:rsid w:val="00864E34"/>
    <w:rsid w:val="008832F3"/>
    <w:rsid w:val="00884A01"/>
    <w:rsid w:val="00890423"/>
    <w:rsid w:val="008D5D23"/>
    <w:rsid w:val="008E4ABC"/>
    <w:rsid w:val="00924F09"/>
    <w:rsid w:val="009362ED"/>
    <w:rsid w:val="00947863"/>
    <w:rsid w:val="00951549"/>
    <w:rsid w:val="00953704"/>
    <w:rsid w:val="009831B8"/>
    <w:rsid w:val="009850EC"/>
    <w:rsid w:val="009974C9"/>
    <w:rsid w:val="009D2FC9"/>
    <w:rsid w:val="009E16F4"/>
    <w:rsid w:val="00A043FA"/>
    <w:rsid w:val="00A26B45"/>
    <w:rsid w:val="00A579CA"/>
    <w:rsid w:val="00A85E6E"/>
    <w:rsid w:val="00A8695B"/>
    <w:rsid w:val="00AA4E94"/>
    <w:rsid w:val="00AC1FD6"/>
    <w:rsid w:val="00AF1CC7"/>
    <w:rsid w:val="00B55D29"/>
    <w:rsid w:val="00BA75B8"/>
    <w:rsid w:val="00BC63BF"/>
    <w:rsid w:val="00BC7350"/>
    <w:rsid w:val="00BD2B7A"/>
    <w:rsid w:val="00BE261A"/>
    <w:rsid w:val="00BF4249"/>
    <w:rsid w:val="00C032E4"/>
    <w:rsid w:val="00C06EAA"/>
    <w:rsid w:val="00C37A69"/>
    <w:rsid w:val="00C41080"/>
    <w:rsid w:val="00C47EBE"/>
    <w:rsid w:val="00C56376"/>
    <w:rsid w:val="00CA3D98"/>
    <w:rsid w:val="00CB3C4E"/>
    <w:rsid w:val="00CC7B1A"/>
    <w:rsid w:val="00CD6A76"/>
    <w:rsid w:val="00CE701D"/>
    <w:rsid w:val="00D3550F"/>
    <w:rsid w:val="00D36F50"/>
    <w:rsid w:val="00D53E60"/>
    <w:rsid w:val="00DB37D9"/>
    <w:rsid w:val="00DC26A2"/>
    <w:rsid w:val="00DE5894"/>
    <w:rsid w:val="00E15C7A"/>
    <w:rsid w:val="00E25DE7"/>
    <w:rsid w:val="00E41A9F"/>
    <w:rsid w:val="00E443F8"/>
    <w:rsid w:val="00E63964"/>
    <w:rsid w:val="00E66150"/>
    <w:rsid w:val="00E80952"/>
    <w:rsid w:val="00E90098"/>
    <w:rsid w:val="00EB6573"/>
    <w:rsid w:val="00EC5227"/>
    <w:rsid w:val="00EF4550"/>
    <w:rsid w:val="00F00491"/>
    <w:rsid w:val="00F53556"/>
    <w:rsid w:val="00F55EC4"/>
    <w:rsid w:val="00F75214"/>
    <w:rsid w:val="00F96223"/>
    <w:rsid w:val="00FB7CEC"/>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customStyle="1" w:styleId="aj">
    <w:name w:val="aj"/>
    <w:basedOn w:val="Normal"/>
    <w:rsid w:val="004C675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l">
    <w:name w:val="al"/>
    <w:basedOn w:val="Normal"/>
    <w:rsid w:val="004C675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i">
    <w:name w:val="i"/>
    <w:basedOn w:val="Normal"/>
    <w:rsid w:val="004C675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o">
    <w:name w:val="ao"/>
    <w:basedOn w:val="Normal"/>
    <w:rsid w:val="004C67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h">
    <w:name w:val="ah"/>
    <w:basedOn w:val="DefaultParagraphFont"/>
    <w:rsid w:val="004C675B"/>
  </w:style>
  <w:style w:type="character" w:customStyle="1" w:styleId="am">
    <w:name w:val="am"/>
    <w:basedOn w:val="DefaultParagraphFont"/>
    <w:rsid w:val="004C675B"/>
  </w:style>
  <w:style w:type="character" w:customStyle="1" w:styleId="an">
    <w:name w:val="an"/>
    <w:basedOn w:val="DefaultParagraphFont"/>
    <w:rsid w:val="004C675B"/>
  </w:style>
  <w:style w:type="character" w:customStyle="1" w:styleId="ap">
    <w:name w:val="ap"/>
    <w:basedOn w:val="DefaultParagraphFont"/>
    <w:rsid w:val="004C675B"/>
  </w:style>
  <w:style w:type="character" w:customStyle="1" w:styleId="aq">
    <w:name w:val="aq"/>
    <w:basedOn w:val="DefaultParagraphFont"/>
    <w:rsid w:val="00615560"/>
  </w:style>
  <w:style w:type="character" w:customStyle="1" w:styleId="ay">
    <w:name w:val="ay"/>
    <w:basedOn w:val="DefaultParagraphFont"/>
    <w:rsid w:val="00EC5227"/>
  </w:style>
  <w:style w:type="table" w:styleId="TableGrid">
    <w:name w:val="Table Grid"/>
    <w:basedOn w:val="TableNormal"/>
    <w:uiPriority w:val="59"/>
    <w:rsid w:val="0057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rsid w:val="00574396"/>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B37D9"/>
    <w:rPr>
      <w:rFonts w:ascii="Tahoma" w:hAnsi="Tahoma" w:cs="Tahoma"/>
      <w:sz w:val="16"/>
      <w:szCs w:val="16"/>
    </w:rPr>
  </w:style>
  <w:style w:type="character" w:customStyle="1" w:styleId="BalloonTextChar">
    <w:name w:val="Balloon Text Char"/>
    <w:basedOn w:val="DefaultParagraphFont"/>
    <w:link w:val="BalloonText"/>
    <w:uiPriority w:val="99"/>
    <w:semiHidden/>
    <w:rsid w:val="00DB3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customStyle="1" w:styleId="aj">
    <w:name w:val="aj"/>
    <w:basedOn w:val="Normal"/>
    <w:rsid w:val="004C675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l">
    <w:name w:val="al"/>
    <w:basedOn w:val="Normal"/>
    <w:rsid w:val="004C675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i">
    <w:name w:val="i"/>
    <w:basedOn w:val="Normal"/>
    <w:rsid w:val="004C675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o">
    <w:name w:val="ao"/>
    <w:basedOn w:val="Normal"/>
    <w:rsid w:val="004C67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h">
    <w:name w:val="ah"/>
    <w:basedOn w:val="DefaultParagraphFont"/>
    <w:rsid w:val="004C675B"/>
  </w:style>
  <w:style w:type="character" w:customStyle="1" w:styleId="am">
    <w:name w:val="am"/>
    <w:basedOn w:val="DefaultParagraphFont"/>
    <w:rsid w:val="004C675B"/>
  </w:style>
  <w:style w:type="character" w:customStyle="1" w:styleId="an">
    <w:name w:val="an"/>
    <w:basedOn w:val="DefaultParagraphFont"/>
    <w:rsid w:val="004C675B"/>
  </w:style>
  <w:style w:type="character" w:customStyle="1" w:styleId="ap">
    <w:name w:val="ap"/>
    <w:basedOn w:val="DefaultParagraphFont"/>
    <w:rsid w:val="004C675B"/>
  </w:style>
  <w:style w:type="character" w:customStyle="1" w:styleId="aq">
    <w:name w:val="aq"/>
    <w:basedOn w:val="DefaultParagraphFont"/>
    <w:rsid w:val="00615560"/>
  </w:style>
  <w:style w:type="character" w:customStyle="1" w:styleId="ay">
    <w:name w:val="ay"/>
    <w:basedOn w:val="DefaultParagraphFont"/>
    <w:rsid w:val="00EC5227"/>
  </w:style>
  <w:style w:type="table" w:styleId="TableGrid">
    <w:name w:val="Table Grid"/>
    <w:basedOn w:val="TableNormal"/>
    <w:uiPriority w:val="59"/>
    <w:rsid w:val="0057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rsid w:val="00574396"/>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B37D9"/>
    <w:rPr>
      <w:rFonts w:ascii="Tahoma" w:hAnsi="Tahoma" w:cs="Tahoma"/>
      <w:sz w:val="16"/>
      <w:szCs w:val="16"/>
    </w:rPr>
  </w:style>
  <w:style w:type="character" w:customStyle="1" w:styleId="BalloonTextChar">
    <w:name w:val="Balloon Text Char"/>
    <w:basedOn w:val="DefaultParagraphFont"/>
    <w:link w:val="BalloonText"/>
    <w:uiPriority w:val="99"/>
    <w:semiHidden/>
    <w:rsid w:val="00DB3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59972">
      <w:bodyDiv w:val="1"/>
      <w:marLeft w:val="0"/>
      <w:marRight w:val="0"/>
      <w:marTop w:val="0"/>
      <w:marBottom w:val="0"/>
      <w:divBdr>
        <w:top w:val="none" w:sz="0" w:space="0" w:color="auto"/>
        <w:left w:val="none" w:sz="0" w:space="0" w:color="auto"/>
        <w:bottom w:val="none" w:sz="0" w:space="0" w:color="auto"/>
        <w:right w:val="none" w:sz="0" w:space="0" w:color="auto"/>
      </w:divBdr>
    </w:div>
    <w:div w:id="724335678">
      <w:bodyDiv w:val="1"/>
      <w:marLeft w:val="0"/>
      <w:marRight w:val="0"/>
      <w:marTop w:val="0"/>
      <w:marBottom w:val="0"/>
      <w:divBdr>
        <w:top w:val="none" w:sz="0" w:space="0" w:color="auto"/>
        <w:left w:val="none" w:sz="0" w:space="0" w:color="auto"/>
        <w:bottom w:val="none" w:sz="0" w:space="0" w:color="auto"/>
        <w:right w:val="none" w:sz="0" w:space="0" w:color="auto"/>
      </w:divBdr>
      <w:divsChild>
        <w:div w:id="1580287082">
          <w:marLeft w:val="0"/>
          <w:marRight w:val="0"/>
          <w:marTop w:val="0"/>
          <w:marBottom w:val="0"/>
          <w:divBdr>
            <w:top w:val="none" w:sz="0" w:space="0" w:color="auto"/>
            <w:left w:val="none" w:sz="0" w:space="0" w:color="auto"/>
            <w:bottom w:val="none" w:sz="0" w:space="0" w:color="auto"/>
            <w:right w:val="none" w:sz="0" w:space="0" w:color="auto"/>
          </w:divBdr>
          <w:divsChild>
            <w:div w:id="1516576939">
              <w:marLeft w:val="0"/>
              <w:marRight w:val="0"/>
              <w:marTop w:val="0"/>
              <w:marBottom w:val="150"/>
              <w:divBdr>
                <w:top w:val="none" w:sz="0" w:space="0" w:color="auto"/>
                <w:left w:val="none" w:sz="0" w:space="0" w:color="auto"/>
                <w:bottom w:val="single" w:sz="6" w:space="0" w:color="CCCCCC"/>
                <w:right w:val="none" w:sz="0" w:space="0" w:color="auto"/>
              </w:divBdr>
              <w:divsChild>
                <w:div w:id="823666473">
                  <w:marLeft w:val="0"/>
                  <w:marRight w:val="0"/>
                  <w:marTop w:val="0"/>
                  <w:marBottom w:val="0"/>
                  <w:divBdr>
                    <w:top w:val="none" w:sz="0" w:space="0" w:color="auto"/>
                    <w:left w:val="none" w:sz="0" w:space="0" w:color="auto"/>
                    <w:bottom w:val="none" w:sz="0" w:space="0" w:color="auto"/>
                    <w:right w:val="none" w:sz="0" w:space="0" w:color="auto"/>
                  </w:divBdr>
                  <w:divsChild>
                    <w:div w:id="8140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8360">
      <w:bodyDiv w:val="1"/>
      <w:marLeft w:val="0"/>
      <w:marRight w:val="0"/>
      <w:marTop w:val="0"/>
      <w:marBottom w:val="0"/>
      <w:divBdr>
        <w:top w:val="none" w:sz="0" w:space="0" w:color="auto"/>
        <w:left w:val="none" w:sz="0" w:space="0" w:color="auto"/>
        <w:bottom w:val="none" w:sz="0" w:space="0" w:color="auto"/>
        <w:right w:val="none" w:sz="0" w:space="0" w:color="auto"/>
      </w:divBdr>
    </w:div>
    <w:div w:id="1396472819">
      <w:bodyDiv w:val="1"/>
      <w:marLeft w:val="0"/>
      <w:marRight w:val="0"/>
      <w:marTop w:val="0"/>
      <w:marBottom w:val="0"/>
      <w:divBdr>
        <w:top w:val="none" w:sz="0" w:space="0" w:color="auto"/>
        <w:left w:val="none" w:sz="0" w:space="0" w:color="auto"/>
        <w:bottom w:val="none" w:sz="0" w:space="0" w:color="auto"/>
        <w:right w:val="none" w:sz="0" w:space="0" w:color="auto"/>
      </w:divBdr>
      <w:divsChild>
        <w:div w:id="1950238460">
          <w:marLeft w:val="0"/>
          <w:marRight w:val="0"/>
          <w:marTop w:val="0"/>
          <w:marBottom w:val="0"/>
          <w:divBdr>
            <w:top w:val="none" w:sz="0" w:space="0" w:color="auto"/>
            <w:left w:val="none" w:sz="0" w:space="0" w:color="auto"/>
            <w:bottom w:val="none" w:sz="0" w:space="0" w:color="auto"/>
            <w:right w:val="none" w:sz="0" w:space="0" w:color="auto"/>
          </w:divBdr>
          <w:divsChild>
            <w:div w:id="1105810261">
              <w:marLeft w:val="0"/>
              <w:marRight w:val="0"/>
              <w:marTop w:val="0"/>
              <w:marBottom w:val="150"/>
              <w:divBdr>
                <w:top w:val="none" w:sz="0" w:space="0" w:color="auto"/>
                <w:left w:val="none" w:sz="0" w:space="0" w:color="auto"/>
                <w:bottom w:val="single" w:sz="6" w:space="0" w:color="CCCCCC"/>
                <w:right w:val="none" w:sz="0" w:space="0" w:color="auto"/>
              </w:divBdr>
              <w:divsChild>
                <w:div w:id="1285116922">
                  <w:marLeft w:val="0"/>
                  <w:marRight w:val="0"/>
                  <w:marTop w:val="0"/>
                  <w:marBottom w:val="0"/>
                  <w:divBdr>
                    <w:top w:val="none" w:sz="0" w:space="0" w:color="auto"/>
                    <w:left w:val="none" w:sz="0" w:space="0" w:color="auto"/>
                    <w:bottom w:val="none" w:sz="0" w:space="0" w:color="auto"/>
                    <w:right w:val="none" w:sz="0" w:space="0" w:color="auto"/>
                  </w:divBdr>
                  <w:divsChild>
                    <w:div w:id="8332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08442">
      <w:bodyDiv w:val="1"/>
      <w:marLeft w:val="0"/>
      <w:marRight w:val="0"/>
      <w:marTop w:val="0"/>
      <w:marBottom w:val="0"/>
      <w:divBdr>
        <w:top w:val="none" w:sz="0" w:space="0" w:color="auto"/>
        <w:left w:val="none" w:sz="0" w:space="0" w:color="auto"/>
        <w:bottom w:val="none" w:sz="0" w:space="0" w:color="auto"/>
        <w:right w:val="none" w:sz="0" w:space="0" w:color="auto"/>
      </w:divBdr>
      <w:divsChild>
        <w:div w:id="776415387">
          <w:marLeft w:val="0"/>
          <w:marRight w:val="0"/>
          <w:marTop w:val="0"/>
          <w:marBottom w:val="0"/>
          <w:divBdr>
            <w:top w:val="none" w:sz="0" w:space="0" w:color="auto"/>
            <w:left w:val="none" w:sz="0" w:space="0" w:color="auto"/>
            <w:bottom w:val="none" w:sz="0" w:space="0" w:color="auto"/>
            <w:right w:val="none" w:sz="0" w:space="0" w:color="auto"/>
          </w:divBdr>
          <w:divsChild>
            <w:div w:id="1251282202">
              <w:marLeft w:val="0"/>
              <w:marRight w:val="0"/>
              <w:marTop w:val="0"/>
              <w:marBottom w:val="150"/>
              <w:divBdr>
                <w:top w:val="none" w:sz="0" w:space="0" w:color="auto"/>
                <w:left w:val="none" w:sz="0" w:space="0" w:color="auto"/>
                <w:bottom w:val="single" w:sz="6" w:space="0" w:color="CCCCCC"/>
                <w:right w:val="none" w:sz="0" w:space="0" w:color="auto"/>
              </w:divBdr>
              <w:divsChild>
                <w:div w:id="795828506">
                  <w:marLeft w:val="0"/>
                  <w:marRight w:val="0"/>
                  <w:marTop w:val="0"/>
                  <w:marBottom w:val="0"/>
                  <w:divBdr>
                    <w:top w:val="none" w:sz="0" w:space="0" w:color="auto"/>
                    <w:left w:val="none" w:sz="0" w:space="0" w:color="auto"/>
                    <w:bottom w:val="none" w:sz="0" w:space="0" w:color="auto"/>
                    <w:right w:val="none" w:sz="0" w:space="0" w:color="auto"/>
                  </w:divBdr>
                  <w:divsChild>
                    <w:div w:id="5677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5267</Characters>
  <Application>Microsoft Office Word</Application>
  <DocSecurity>0</DocSecurity>
  <Lines>135</Lines>
  <Paragraphs>79</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Addison</cp:lastModifiedBy>
  <cp:revision>4</cp:revision>
  <cp:lastPrinted>2018-04-03T10:22:00Z</cp:lastPrinted>
  <dcterms:created xsi:type="dcterms:W3CDTF">2018-04-04T14:17:00Z</dcterms:created>
  <dcterms:modified xsi:type="dcterms:W3CDTF">2018-04-04T17:04:00Z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-1300712298</vt:i4>
  </property>
  <property fmtid="{D5CDD505-2E9C-101B-9397-08002B2CF9AE}" pid="3" name="_NewReviewCycle">
    <vt:lpwstr/>
  </property>
  <property fmtid="{D5CDD505-2E9C-101B-9397-08002B2CF9AE}" pid="4" name="_EmailSubject">
    <vt:lpwstr>YVONNE/ JACKIE  FW: URGENT - RNS for approval - Project Fitzroy</vt:lpwstr>
  </property>
  <property fmtid="{D5CDD505-2E9C-101B-9397-08002B2CF9AE}" pid="5" name="_AuthorEmail">
    <vt:lpwstr>Laura.Lightbody@rbs.co.uk</vt:lpwstr>
  </property>
  <property fmtid="{D5CDD505-2E9C-101B-9397-08002B2CF9AE}" pid="6" name="_AuthorEmailDisplayName">
    <vt:lpwstr>Lightbody, Laura (Corporate Governance and Regulatory Affairs)</vt:lpwstr>
  </property>
  <property fmtid="{D5CDD505-2E9C-101B-9397-08002B2CF9AE}" pid="7" name="_PreviousAdHocReviewCycleID">
    <vt:i4>523024365</vt:i4>
  </property>
  <property fmtid="{D5CDD505-2E9C-101B-9397-08002B2CF9AE}" pid="8" name="_ReviewingToolsShownOnce">
    <vt:lpwstr/>
  </property>
</Properties>
</file>