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8E9156" w14:textId="03EDA08B" w:rsidR="001F4D9E" w:rsidRPr="001F4D9E" w:rsidRDefault="001F4D9E" w:rsidP="00A96FFA">
      <w:pPr>
        <w:pStyle w:val="Heading1"/>
        <w:rPr>
          <w:rFonts w:ascii="Calibri" w:eastAsia="Times New Roman" w:hAnsi="Calibri" w:cs="Calibri"/>
          <w:color w:val="B5AFAF"/>
          <w:sz w:val="22"/>
          <w:szCs w:val="22"/>
        </w:rPr>
      </w:pPr>
      <w:bookmarkStart w:id="0" w:name="_GoBack"/>
      <w:bookmarkEnd w:id="0"/>
      <w:r w:rsidRPr="001F4D9E">
        <w:rPr>
          <w:rFonts w:ascii="Calibri" w:eastAsia="Times New Roman" w:hAnsi="Calibri" w:cs="Calibri"/>
          <w:color w:val="B5AFAF"/>
          <w:sz w:val="22"/>
          <w:szCs w:val="22"/>
        </w:rPr>
        <w:t>Version:</w:t>
      </w:r>
      <w:r w:rsidR="00676A1B">
        <w:rPr>
          <w:rFonts w:ascii="Calibri" w:eastAsia="Times New Roman" w:hAnsi="Calibri" w:cs="Calibri"/>
          <w:color w:val="B5AFAF"/>
          <w:sz w:val="22"/>
          <w:szCs w:val="22"/>
        </w:rPr>
        <w:t xml:space="preserve"> </w:t>
      </w:r>
      <w:r w:rsidR="00787790">
        <w:rPr>
          <w:rFonts w:ascii="Calibri" w:eastAsia="Times New Roman" w:hAnsi="Calibri" w:cs="Calibri"/>
          <w:color w:val="B5AFAF"/>
          <w:sz w:val="22"/>
          <w:szCs w:val="22"/>
        </w:rPr>
        <w:t>17/04/2018 12:</w:t>
      </w:r>
      <w:r w:rsidR="00593670">
        <w:rPr>
          <w:rFonts w:ascii="Calibri" w:eastAsia="Times New Roman" w:hAnsi="Calibri" w:cs="Calibri"/>
          <w:color w:val="B5AFAF"/>
          <w:sz w:val="22"/>
          <w:szCs w:val="22"/>
        </w:rPr>
        <w:t>45</w:t>
      </w:r>
    </w:p>
    <w:p w14:paraId="64B1AD03" w14:textId="4E34AE0A" w:rsidR="00A96FFA" w:rsidRPr="00A96FFA" w:rsidRDefault="00A96FFA" w:rsidP="00A96FFA">
      <w:pPr>
        <w:pStyle w:val="Heading1"/>
        <w:rPr>
          <w:rFonts w:ascii="Calibri" w:eastAsiaTheme="minorHAnsi" w:hAnsi="Calibri" w:cs="Calibri"/>
          <w:b w:val="0"/>
          <w:bCs w:val="0"/>
          <w:sz w:val="22"/>
          <w:szCs w:val="22"/>
        </w:rPr>
      </w:pPr>
      <w:r w:rsidRPr="00A96FFA">
        <w:rPr>
          <w:rFonts w:ascii="Calibri" w:eastAsia="Times New Roman" w:hAnsi="Calibri" w:cs="Calibri"/>
          <w:sz w:val="22"/>
          <w:szCs w:val="22"/>
        </w:rPr>
        <w:t>17 April 2018</w:t>
      </w:r>
    </w:p>
    <w:p w14:paraId="392D7A1F" w14:textId="77777777" w:rsidR="00A96FFA" w:rsidRPr="00A96FFA" w:rsidRDefault="00A96FFA" w:rsidP="00A96FFA">
      <w:pPr>
        <w:jc w:val="both"/>
        <w:rPr>
          <w:rFonts w:ascii="Calibri" w:hAnsi="Calibri" w:cs="Calibri"/>
          <w:b/>
          <w:bCs/>
          <w:sz w:val="22"/>
          <w:szCs w:val="22"/>
        </w:rPr>
      </w:pPr>
    </w:p>
    <w:p w14:paraId="20B2D8AC" w14:textId="16D43C05" w:rsidR="00A96FFA" w:rsidRPr="00A96FFA" w:rsidRDefault="00A96FFA" w:rsidP="00A96FFA">
      <w:pPr>
        <w:jc w:val="both"/>
        <w:rPr>
          <w:rFonts w:ascii="Calibri" w:hAnsi="Calibri" w:cs="Calibri"/>
          <w:b/>
          <w:bCs/>
          <w:sz w:val="22"/>
          <w:szCs w:val="22"/>
        </w:rPr>
      </w:pPr>
      <w:r w:rsidRPr="00A96FFA">
        <w:rPr>
          <w:rFonts w:ascii="Calibri" w:hAnsi="Calibri" w:cs="Calibri"/>
          <w:b/>
          <w:bCs/>
          <w:sz w:val="22"/>
          <w:szCs w:val="22"/>
        </w:rPr>
        <w:t>The Royal Bank of Scotland Group plc</w:t>
      </w:r>
    </w:p>
    <w:p w14:paraId="082EF70F" w14:textId="77777777" w:rsidR="00A96FFA" w:rsidRPr="00A96FFA" w:rsidRDefault="00A96FFA" w:rsidP="00A96FFA">
      <w:pPr>
        <w:rPr>
          <w:rFonts w:ascii="Calibri" w:hAnsi="Calibri" w:cs="Calibri"/>
          <w:szCs w:val="22"/>
        </w:rPr>
      </w:pPr>
    </w:p>
    <w:p w14:paraId="0CC8B340" w14:textId="6AFA9AB2" w:rsidR="00A96FFA" w:rsidRPr="00A96FFA" w:rsidRDefault="004A6952" w:rsidP="00A96FFA">
      <w:pPr>
        <w:jc w:val="both"/>
        <w:rPr>
          <w:rFonts w:ascii="Calibri" w:hAnsi="Calibri" w:cs="Calibri"/>
          <w:b/>
          <w:i/>
          <w:szCs w:val="22"/>
        </w:rPr>
      </w:pPr>
      <w:r>
        <w:rPr>
          <w:rFonts w:ascii="Calibri" w:hAnsi="Calibri" w:cs="Calibri"/>
          <w:b/>
          <w:i/>
          <w:szCs w:val="22"/>
        </w:rPr>
        <w:t xml:space="preserve">MoU </w:t>
      </w:r>
      <w:r w:rsidR="00A96FFA" w:rsidRPr="00A96FFA">
        <w:rPr>
          <w:rFonts w:ascii="Calibri" w:hAnsi="Calibri" w:cs="Calibri"/>
          <w:b/>
          <w:i/>
          <w:szCs w:val="22"/>
        </w:rPr>
        <w:t>with Pension Trustee on ring-fencing alignment and related contributions</w:t>
      </w:r>
      <w:r w:rsidR="009E6BEE">
        <w:rPr>
          <w:rFonts w:ascii="Calibri" w:hAnsi="Calibri" w:cs="Calibri"/>
          <w:b/>
          <w:i/>
          <w:szCs w:val="22"/>
        </w:rPr>
        <w:t xml:space="preserve"> </w:t>
      </w:r>
    </w:p>
    <w:p w14:paraId="0A914597" w14:textId="77777777" w:rsidR="00A96FFA" w:rsidRPr="00A96FFA" w:rsidRDefault="00A96FFA" w:rsidP="00A96FFA">
      <w:pPr>
        <w:jc w:val="both"/>
        <w:rPr>
          <w:rFonts w:ascii="Calibri" w:hAnsi="Calibri" w:cs="Calibri"/>
          <w:szCs w:val="22"/>
        </w:rPr>
      </w:pPr>
    </w:p>
    <w:p w14:paraId="47376726" w14:textId="03B1ADD6" w:rsidR="004324E9" w:rsidRDefault="00A96FFA" w:rsidP="00A96FFA">
      <w:pPr>
        <w:jc w:val="both"/>
        <w:rPr>
          <w:rFonts w:ascii="Calibri" w:hAnsi="Calibri" w:cs="Calibri"/>
          <w:szCs w:val="22"/>
        </w:rPr>
      </w:pPr>
      <w:r w:rsidRPr="00A96FFA">
        <w:rPr>
          <w:rFonts w:ascii="Calibri" w:hAnsi="Calibri" w:cs="Calibri"/>
          <w:szCs w:val="22"/>
        </w:rPr>
        <w:t xml:space="preserve">RBS today announces that it has </w:t>
      </w:r>
      <w:r w:rsidR="00C17C93">
        <w:rPr>
          <w:rFonts w:ascii="Calibri" w:hAnsi="Calibri" w:cs="Calibri"/>
          <w:szCs w:val="22"/>
        </w:rPr>
        <w:t>entered into</w:t>
      </w:r>
      <w:r w:rsidRPr="00A96FFA">
        <w:rPr>
          <w:rFonts w:ascii="Calibri" w:hAnsi="Calibri" w:cs="Calibri"/>
          <w:szCs w:val="22"/>
        </w:rPr>
        <w:t xml:space="preserve"> a </w:t>
      </w:r>
      <w:r w:rsidR="00C17C93">
        <w:rPr>
          <w:rFonts w:ascii="Calibri" w:hAnsi="Calibri" w:cs="Calibri"/>
          <w:szCs w:val="22"/>
        </w:rPr>
        <w:t>Memorandum of Understanding (“MoU”)</w:t>
      </w:r>
      <w:r w:rsidRPr="00003FC5">
        <w:rPr>
          <w:rFonts w:ascii="Calibri" w:hAnsi="Calibri" w:cs="Calibri"/>
          <w:szCs w:val="22"/>
        </w:rPr>
        <w:t xml:space="preserve"> with the Trustee of the </w:t>
      </w:r>
      <w:r w:rsidR="00F74AD9" w:rsidRPr="00003FC5">
        <w:rPr>
          <w:rFonts w:ascii="Calibri" w:hAnsi="Calibri" w:cs="Calibri"/>
          <w:szCs w:val="22"/>
        </w:rPr>
        <w:t xml:space="preserve">Main </w:t>
      </w:r>
      <w:r w:rsidR="004A7A56">
        <w:rPr>
          <w:rFonts w:ascii="Calibri" w:hAnsi="Calibri" w:cs="Calibri"/>
          <w:szCs w:val="22"/>
        </w:rPr>
        <w:t>Scheme</w:t>
      </w:r>
      <w:r w:rsidR="004A7A56" w:rsidRPr="00003FC5">
        <w:rPr>
          <w:rFonts w:ascii="Calibri" w:hAnsi="Calibri" w:cs="Calibri"/>
          <w:szCs w:val="22"/>
        </w:rPr>
        <w:t xml:space="preserve"> </w:t>
      </w:r>
      <w:r w:rsidR="00F74AD9" w:rsidRPr="00003FC5">
        <w:rPr>
          <w:rFonts w:ascii="Calibri" w:hAnsi="Calibri" w:cs="Calibri"/>
          <w:szCs w:val="22"/>
        </w:rPr>
        <w:t xml:space="preserve">of the </w:t>
      </w:r>
      <w:r w:rsidRPr="00003FC5">
        <w:rPr>
          <w:rFonts w:ascii="Calibri" w:hAnsi="Calibri" w:cs="Calibri"/>
          <w:szCs w:val="22"/>
        </w:rPr>
        <w:t>RBS Group Pension Fund</w:t>
      </w:r>
      <w:r w:rsidR="000B3251">
        <w:rPr>
          <w:rFonts w:ascii="Calibri" w:hAnsi="Calibri" w:cs="Calibri"/>
          <w:szCs w:val="22"/>
        </w:rPr>
        <w:t xml:space="preserve"> (the “Main </w:t>
      </w:r>
      <w:r w:rsidR="00127A32">
        <w:rPr>
          <w:rFonts w:ascii="Calibri" w:hAnsi="Calibri" w:cs="Calibri"/>
          <w:szCs w:val="22"/>
        </w:rPr>
        <w:t>Scheme</w:t>
      </w:r>
      <w:r w:rsidR="000B3251">
        <w:rPr>
          <w:rFonts w:ascii="Calibri" w:hAnsi="Calibri" w:cs="Calibri"/>
          <w:szCs w:val="22"/>
        </w:rPr>
        <w:t>”)</w:t>
      </w:r>
      <w:r w:rsidR="00FC41AE">
        <w:rPr>
          <w:rFonts w:ascii="Calibri" w:hAnsi="Calibri" w:cs="Calibri"/>
          <w:szCs w:val="22"/>
        </w:rPr>
        <w:t xml:space="preserve">. </w:t>
      </w:r>
      <w:r w:rsidR="00A1200F">
        <w:rPr>
          <w:rFonts w:ascii="Calibri" w:hAnsi="Calibri" w:cs="Calibri"/>
          <w:szCs w:val="22"/>
        </w:rPr>
        <w:t>This MoU facilitate</w:t>
      </w:r>
      <w:r w:rsidR="005F0671">
        <w:rPr>
          <w:rFonts w:ascii="Calibri" w:hAnsi="Calibri" w:cs="Calibri"/>
          <w:szCs w:val="22"/>
        </w:rPr>
        <w:t>s</w:t>
      </w:r>
      <w:r w:rsidR="00A1200F">
        <w:rPr>
          <w:rFonts w:ascii="Calibri" w:hAnsi="Calibri" w:cs="Calibri"/>
          <w:szCs w:val="22"/>
        </w:rPr>
        <w:t xml:space="preserve"> </w:t>
      </w:r>
      <w:r w:rsidR="00170C37">
        <w:rPr>
          <w:rFonts w:ascii="Calibri" w:hAnsi="Calibri" w:cs="Calibri"/>
          <w:szCs w:val="22"/>
        </w:rPr>
        <w:t xml:space="preserve">both </w:t>
      </w:r>
      <w:r w:rsidR="00A1200F">
        <w:rPr>
          <w:rFonts w:ascii="Calibri" w:hAnsi="Calibri" w:cs="Calibri"/>
          <w:szCs w:val="22"/>
        </w:rPr>
        <w:t xml:space="preserve">the necessary changes to the Main Scheme </w:t>
      </w:r>
      <w:r w:rsidR="005F0671">
        <w:rPr>
          <w:rFonts w:ascii="Calibri" w:hAnsi="Calibri" w:cs="Calibri"/>
          <w:szCs w:val="22"/>
        </w:rPr>
        <w:t xml:space="preserve">to </w:t>
      </w:r>
      <w:r w:rsidR="005F0671" w:rsidRPr="00003FC5">
        <w:rPr>
          <w:rFonts w:ascii="Calibri" w:hAnsi="Calibri" w:cs="Calibri"/>
          <w:szCs w:val="22"/>
        </w:rPr>
        <w:t xml:space="preserve">align the employing entity structure </w:t>
      </w:r>
      <w:r w:rsidR="005F0671" w:rsidRPr="00486E19">
        <w:rPr>
          <w:rFonts w:ascii="Calibri" w:hAnsi="Calibri" w:cs="Calibri"/>
          <w:szCs w:val="22"/>
        </w:rPr>
        <w:t>with the requirements of t</w:t>
      </w:r>
      <w:r w:rsidR="005F0671">
        <w:rPr>
          <w:rFonts w:ascii="Calibri" w:hAnsi="Calibri" w:cs="Calibri"/>
          <w:szCs w:val="22"/>
        </w:rPr>
        <w:t xml:space="preserve">he UK ring-fencing legislation </w:t>
      </w:r>
      <w:r w:rsidR="00A1200F">
        <w:rPr>
          <w:rFonts w:ascii="Calibri" w:hAnsi="Calibri" w:cs="Calibri"/>
          <w:szCs w:val="22"/>
        </w:rPr>
        <w:t xml:space="preserve">and </w:t>
      </w:r>
      <w:r w:rsidR="00A21B14">
        <w:rPr>
          <w:rFonts w:ascii="Calibri" w:hAnsi="Calibri" w:cs="Calibri"/>
          <w:szCs w:val="22"/>
        </w:rPr>
        <w:t xml:space="preserve">acceleration of </w:t>
      </w:r>
      <w:r w:rsidR="00170C37">
        <w:rPr>
          <w:rFonts w:ascii="Calibri" w:hAnsi="Calibri" w:cs="Calibri"/>
          <w:szCs w:val="22"/>
        </w:rPr>
        <w:t xml:space="preserve">the </w:t>
      </w:r>
      <w:r w:rsidR="00A1200F">
        <w:rPr>
          <w:rFonts w:ascii="Calibri" w:hAnsi="Calibri" w:cs="Calibri"/>
          <w:szCs w:val="22"/>
        </w:rPr>
        <w:t xml:space="preserve">settlement framework for the </w:t>
      </w:r>
      <w:r w:rsidR="00B2557F" w:rsidRPr="00A1200F">
        <w:rPr>
          <w:rFonts w:ascii="Calibri" w:hAnsi="Calibri" w:cs="Calibri"/>
          <w:szCs w:val="22"/>
        </w:rPr>
        <w:t>31 December 201</w:t>
      </w:r>
      <w:r w:rsidR="00B2557F">
        <w:rPr>
          <w:rFonts w:ascii="Calibri" w:hAnsi="Calibri" w:cs="Calibri"/>
          <w:szCs w:val="22"/>
        </w:rPr>
        <w:t xml:space="preserve">7 </w:t>
      </w:r>
      <w:r w:rsidR="00A1200F" w:rsidRPr="00A1200F">
        <w:rPr>
          <w:rFonts w:ascii="Calibri" w:hAnsi="Calibri" w:cs="Calibri"/>
          <w:szCs w:val="22"/>
        </w:rPr>
        <w:t xml:space="preserve">triennial valuation </w:t>
      </w:r>
      <w:r w:rsidR="00B2557F">
        <w:rPr>
          <w:rFonts w:ascii="Calibri" w:hAnsi="Calibri" w:cs="Calibri"/>
          <w:szCs w:val="22"/>
        </w:rPr>
        <w:t xml:space="preserve">(brought forward </w:t>
      </w:r>
      <w:r w:rsidR="00A1200F" w:rsidRPr="00A1200F">
        <w:rPr>
          <w:rFonts w:ascii="Calibri" w:hAnsi="Calibri" w:cs="Calibri"/>
          <w:szCs w:val="22"/>
        </w:rPr>
        <w:t>from 31 December 2018</w:t>
      </w:r>
      <w:r w:rsidR="00B2557F">
        <w:rPr>
          <w:rFonts w:ascii="Calibri" w:hAnsi="Calibri" w:cs="Calibri"/>
          <w:szCs w:val="22"/>
        </w:rPr>
        <w:t>)</w:t>
      </w:r>
      <w:r w:rsidR="00A21B14">
        <w:rPr>
          <w:rFonts w:ascii="Calibri" w:hAnsi="Calibri" w:cs="Calibri"/>
          <w:szCs w:val="22"/>
        </w:rPr>
        <w:t>.</w:t>
      </w:r>
      <w:r w:rsidR="00B2557F">
        <w:rPr>
          <w:rFonts w:ascii="Calibri" w:hAnsi="Calibri" w:cs="Calibri"/>
          <w:szCs w:val="22"/>
        </w:rPr>
        <w:t xml:space="preserve"> </w:t>
      </w:r>
      <w:r w:rsidR="005F0671">
        <w:rPr>
          <w:rFonts w:ascii="Calibri" w:hAnsi="Calibri" w:cs="Calibri"/>
          <w:szCs w:val="22"/>
        </w:rPr>
        <w:t>This</w:t>
      </w:r>
      <w:r w:rsidR="005378D4">
        <w:rPr>
          <w:rFonts w:ascii="Calibri" w:hAnsi="Calibri" w:cs="Calibri"/>
          <w:szCs w:val="22"/>
        </w:rPr>
        <w:t xml:space="preserve"> MoU also</w:t>
      </w:r>
      <w:r w:rsidR="005F0671">
        <w:rPr>
          <w:rFonts w:ascii="Calibri" w:hAnsi="Calibri" w:cs="Calibri"/>
          <w:szCs w:val="22"/>
        </w:rPr>
        <w:t xml:space="preserve"> provides </w:t>
      </w:r>
      <w:r w:rsidR="000A4598">
        <w:rPr>
          <w:rFonts w:ascii="Calibri" w:hAnsi="Calibri" w:cs="Calibri"/>
          <w:szCs w:val="22"/>
        </w:rPr>
        <w:t xml:space="preserve">clarity </w:t>
      </w:r>
      <w:r w:rsidR="005F0671">
        <w:rPr>
          <w:rFonts w:ascii="Calibri" w:hAnsi="Calibri" w:cs="Calibri"/>
          <w:szCs w:val="22"/>
        </w:rPr>
        <w:t>on the a</w:t>
      </w:r>
      <w:r w:rsidR="00193FA2" w:rsidRPr="00486E19">
        <w:rPr>
          <w:rFonts w:ascii="Calibri" w:hAnsi="Calibri" w:cs="Calibri"/>
          <w:szCs w:val="22"/>
        </w:rPr>
        <w:t xml:space="preserve">dditional </w:t>
      </w:r>
      <w:r w:rsidR="005378D4">
        <w:rPr>
          <w:rFonts w:ascii="Calibri" w:hAnsi="Calibri" w:cs="Calibri"/>
          <w:szCs w:val="22"/>
        </w:rPr>
        <w:t xml:space="preserve">related </w:t>
      </w:r>
      <w:r w:rsidR="00193FA2" w:rsidRPr="00486E19">
        <w:rPr>
          <w:rFonts w:ascii="Calibri" w:hAnsi="Calibri" w:cs="Calibri"/>
          <w:szCs w:val="22"/>
        </w:rPr>
        <w:t xml:space="preserve">funding </w:t>
      </w:r>
      <w:r w:rsidR="00276A85">
        <w:rPr>
          <w:rFonts w:ascii="Calibri" w:hAnsi="Calibri" w:cs="Calibri"/>
          <w:szCs w:val="22"/>
        </w:rPr>
        <w:t xml:space="preserve">contributions </w:t>
      </w:r>
      <w:r w:rsidR="005F0671">
        <w:rPr>
          <w:rFonts w:ascii="Calibri" w:hAnsi="Calibri" w:cs="Calibri"/>
          <w:szCs w:val="22"/>
        </w:rPr>
        <w:t xml:space="preserve">that will be required </w:t>
      </w:r>
      <w:r w:rsidR="005378D4">
        <w:rPr>
          <w:rFonts w:ascii="Calibri" w:hAnsi="Calibri" w:cs="Calibri"/>
          <w:szCs w:val="22"/>
        </w:rPr>
        <w:t xml:space="preserve">to be made </w:t>
      </w:r>
      <w:r w:rsidR="005F0671">
        <w:rPr>
          <w:rFonts w:ascii="Calibri" w:hAnsi="Calibri" w:cs="Calibri"/>
          <w:szCs w:val="22"/>
        </w:rPr>
        <w:t xml:space="preserve">by RBS Group </w:t>
      </w:r>
      <w:r w:rsidR="00193FA2" w:rsidRPr="00486E19">
        <w:rPr>
          <w:rFonts w:ascii="Calibri" w:hAnsi="Calibri" w:cs="Calibri"/>
          <w:szCs w:val="22"/>
        </w:rPr>
        <w:t xml:space="preserve">to the Main </w:t>
      </w:r>
      <w:r w:rsidR="004A7A56">
        <w:rPr>
          <w:rFonts w:ascii="Calibri" w:hAnsi="Calibri" w:cs="Calibri"/>
          <w:szCs w:val="22"/>
        </w:rPr>
        <w:t>Scheme</w:t>
      </w:r>
      <w:r w:rsidR="004A7A56" w:rsidRPr="00486E19">
        <w:rPr>
          <w:rFonts w:ascii="Calibri" w:hAnsi="Calibri" w:cs="Calibri"/>
          <w:szCs w:val="22"/>
        </w:rPr>
        <w:t xml:space="preserve"> </w:t>
      </w:r>
      <w:r w:rsidR="005F0671">
        <w:rPr>
          <w:rFonts w:ascii="Calibri" w:hAnsi="Calibri" w:cs="Calibri"/>
          <w:szCs w:val="22"/>
        </w:rPr>
        <w:t>as follows:</w:t>
      </w:r>
    </w:p>
    <w:p w14:paraId="5EE34906" w14:textId="77777777" w:rsidR="004324E9" w:rsidRDefault="004324E9" w:rsidP="00A96FFA">
      <w:pPr>
        <w:jc w:val="both"/>
        <w:rPr>
          <w:rFonts w:ascii="Calibri" w:hAnsi="Calibri" w:cs="Calibri"/>
          <w:szCs w:val="22"/>
        </w:rPr>
      </w:pPr>
    </w:p>
    <w:p w14:paraId="3CB23D8C" w14:textId="156AC4E0" w:rsidR="0047266B" w:rsidRPr="00637A1E" w:rsidRDefault="0047266B" w:rsidP="00637A1E">
      <w:pPr>
        <w:pStyle w:val="ListParagraph"/>
        <w:numPr>
          <w:ilvl w:val="0"/>
          <w:numId w:val="19"/>
        </w:numPr>
        <w:ind w:right="340"/>
        <w:jc w:val="both"/>
        <w:rPr>
          <w:rFonts w:ascii="Calibri" w:hAnsi="Calibri" w:cs="Calibri"/>
          <w:szCs w:val="22"/>
        </w:rPr>
      </w:pPr>
      <w:r w:rsidRPr="00637A1E">
        <w:rPr>
          <w:rFonts w:ascii="Calibri" w:hAnsi="Calibri" w:cs="Calibri"/>
          <w:szCs w:val="22"/>
        </w:rPr>
        <w:t>A</w:t>
      </w:r>
      <w:r w:rsidR="00193FA2" w:rsidRPr="00637A1E">
        <w:rPr>
          <w:rFonts w:ascii="Calibri" w:hAnsi="Calibri" w:cs="Calibri"/>
          <w:szCs w:val="22"/>
        </w:rPr>
        <w:t xml:space="preserve"> </w:t>
      </w:r>
      <w:r w:rsidR="005A0EAE" w:rsidRPr="00637A1E">
        <w:rPr>
          <w:rFonts w:ascii="Calibri" w:hAnsi="Calibri" w:cs="Calibri"/>
          <w:szCs w:val="22"/>
        </w:rPr>
        <w:t xml:space="preserve">pre-tax </w:t>
      </w:r>
      <w:r w:rsidR="00193FA2" w:rsidRPr="00637A1E">
        <w:rPr>
          <w:rFonts w:ascii="Calibri" w:hAnsi="Calibri" w:cs="Calibri"/>
          <w:szCs w:val="22"/>
        </w:rPr>
        <w:t>paym</w:t>
      </w:r>
      <w:r w:rsidR="004867B7" w:rsidRPr="00637A1E">
        <w:rPr>
          <w:rFonts w:ascii="Calibri" w:hAnsi="Calibri" w:cs="Calibri"/>
          <w:szCs w:val="22"/>
        </w:rPr>
        <w:t>ent of £2 billion</w:t>
      </w:r>
      <w:r w:rsidR="00200C8D" w:rsidRPr="00637A1E">
        <w:rPr>
          <w:rFonts w:ascii="Calibri" w:hAnsi="Calibri" w:cs="Calibri"/>
          <w:szCs w:val="22"/>
        </w:rPr>
        <w:t xml:space="preserve"> </w:t>
      </w:r>
      <w:r w:rsidRPr="00637A1E">
        <w:rPr>
          <w:rFonts w:ascii="Calibri" w:hAnsi="Calibri" w:cs="Calibri"/>
          <w:szCs w:val="22"/>
        </w:rPr>
        <w:t xml:space="preserve">that will be made </w:t>
      </w:r>
      <w:r w:rsidR="00725F25" w:rsidRPr="00637A1E">
        <w:rPr>
          <w:rFonts w:ascii="Calibri" w:hAnsi="Calibri" w:cs="Calibri"/>
          <w:szCs w:val="22"/>
        </w:rPr>
        <w:t>in the second half of 2018</w:t>
      </w:r>
      <w:r w:rsidRPr="00637A1E">
        <w:rPr>
          <w:rFonts w:ascii="Calibri" w:hAnsi="Calibri" w:cs="Calibri"/>
          <w:szCs w:val="22"/>
        </w:rPr>
        <w:t xml:space="preserve">. As at 31 December 2017, the pro forma CET1 impact on </w:t>
      </w:r>
      <w:r w:rsidR="00787790" w:rsidRPr="00637A1E">
        <w:rPr>
          <w:rFonts w:ascii="Calibri" w:hAnsi="Calibri" w:cs="Calibri"/>
          <w:szCs w:val="22"/>
        </w:rPr>
        <w:t>T</w:t>
      </w:r>
      <w:r w:rsidRPr="00637A1E">
        <w:rPr>
          <w:rFonts w:ascii="Calibri" w:hAnsi="Calibri" w:cs="Calibri"/>
          <w:szCs w:val="22"/>
        </w:rPr>
        <w:t xml:space="preserve">he Royal Bank of Scotland Group plc of the </w:t>
      </w:r>
      <w:r w:rsidR="005A0EAE" w:rsidRPr="00637A1E">
        <w:rPr>
          <w:rFonts w:ascii="Calibri" w:hAnsi="Calibri" w:cs="Calibri"/>
          <w:szCs w:val="22"/>
        </w:rPr>
        <w:t xml:space="preserve">pre-tax </w:t>
      </w:r>
      <w:r w:rsidRPr="00637A1E">
        <w:rPr>
          <w:rFonts w:ascii="Calibri" w:hAnsi="Calibri" w:cs="Calibri"/>
          <w:szCs w:val="22"/>
        </w:rPr>
        <w:t xml:space="preserve">£2 billion </w:t>
      </w:r>
      <w:r w:rsidR="00971FF1" w:rsidRPr="00637A1E">
        <w:rPr>
          <w:rFonts w:ascii="Calibri" w:hAnsi="Calibri" w:cs="Calibri"/>
          <w:szCs w:val="22"/>
        </w:rPr>
        <w:t xml:space="preserve">contribution is </w:t>
      </w:r>
      <w:r w:rsidR="00E11066" w:rsidRPr="00637A1E">
        <w:rPr>
          <w:rFonts w:ascii="Calibri" w:hAnsi="Calibri" w:cs="Calibri"/>
          <w:szCs w:val="22"/>
        </w:rPr>
        <w:t>-</w:t>
      </w:r>
      <w:r w:rsidR="00E93AD0" w:rsidRPr="00637A1E">
        <w:rPr>
          <w:rFonts w:ascii="Calibri" w:hAnsi="Calibri" w:cs="Calibri"/>
          <w:szCs w:val="22"/>
        </w:rPr>
        <w:t>8</w:t>
      </w:r>
      <w:r w:rsidR="006D4DA5" w:rsidRPr="00637A1E">
        <w:rPr>
          <w:rFonts w:ascii="Calibri" w:hAnsi="Calibri" w:cs="Calibri"/>
          <w:szCs w:val="22"/>
        </w:rPr>
        <w:t>0</w:t>
      </w:r>
      <w:r w:rsidRPr="00637A1E">
        <w:rPr>
          <w:rFonts w:ascii="Calibri" w:hAnsi="Calibri" w:cs="Calibri"/>
          <w:szCs w:val="22"/>
        </w:rPr>
        <w:t xml:space="preserve"> basis points</w:t>
      </w:r>
      <w:r w:rsidR="006804E5" w:rsidRPr="00637A1E">
        <w:rPr>
          <w:rFonts w:ascii="Calibri" w:hAnsi="Calibri" w:cs="Calibri"/>
          <w:szCs w:val="22"/>
        </w:rPr>
        <w:t xml:space="preserve"> after-tax</w:t>
      </w:r>
      <w:r w:rsidRPr="00637A1E">
        <w:rPr>
          <w:rFonts w:ascii="Calibri" w:hAnsi="Calibri" w:cs="Calibri"/>
          <w:szCs w:val="22"/>
        </w:rPr>
        <w:t xml:space="preserve">. </w:t>
      </w:r>
      <w:r w:rsidR="00E70AE0" w:rsidRPr="00637A1E">
        <w:rPr>
          <w:rFonts w:ascii="Calibri" w:hAnsi="Calibri" w:cs="Calibri"/>
          <w:bCs/>
          <w:szCs w:val="22"/>
        </w:rPr>
        <w:t>There will also be a small additional tax charge</w:t>
      </w:r>
      <w:r w:rsidR="007456FB" w:rsidRPr="00637A1E">
        <w:rPr>
          <w:rFonts w:ascii="Calibri" w:hAnsi="Calibri" w:cs="Calibri"/>
          <w:bCs/>
          <w:szCs w:val="22"/>
        </w:rPr>
        <w:t xml:space="preserve"> of approximately £20 million</w:t>
      </w:r>
      <w:r w:rsidR="00E70AE0" w:rsidRPr="00637A1E">
        <w:rPr>
          <w:rFonts w:ascii="Calibri" w:hAnsi="Calibri" w:cs="Calibri"/>
          <w:bCs/>
          <w:szCs w:val="22"/>
        </w:rPr>
        <w:t xml:space="preserve"> a</w:t>
      </w:r>
      <w:r w:rsidR="003B4265" w:rsidRPr="00637A1E">
        <w:rPr>
          <w:rFonts w:ascii="Calibri" w:hAnsi="Calibri" w:cs="Calibri"/>
          <w:bCs/>
          <w:szCs w:val="22"/>
        </w:rPr>
        <w:t>s a result of this contribution</w:t>
      </w:r>
      <w:r w:rsidR="00725F25" w:rsidRPr="00637A1E">
        <w:rPr>
          <w:rFonts w:ascii="Calibri" w:hAnsi="Calibri" w:cs="Calibri"/>
          <w:bCs/>
          <w:szCs w:val="22"/>
        </w:rPr>
        <w:t xml:space="preserve">. </w:t>
      </w:r>
      <w:r w:rsidR="00725F25" w:rsidRPr="00637A1E">
        <w:rPr>
          <w:rFonts w:ascii="Calibri" w:hAnsi="Calibri" w:cs="Calibri"/>
          <w:szCs w:val="22"/>
        </w:rPr>
        <w:t>The pro forma impact of making this one-off payment is expected to be a reduction of around 12p on TNAV per share.</w:t>
      </w:r>
      <w:r w:rsidR="00D61B9B" w:rsidRPr="00637A1E">
        <w:rPr>
          <w:rFonts w:ascii="Calibri" w:hAnsi="Calibri" w:cs="Calibri"/>
          <w:szCs w:val="22"/>
        </w:rPr>
        <w:t xml:space="preserve"> </w:t>
      </w:r>
      <w:r w:rsidR="00D61B9B" w:rsidRPr="00637A1E">
        <w:rPr>
          <w:rFonts w:ascii="Calibri" w:hAnsi="Calibri" w:cs="Calibri"/>
          <w:bCs/>
          <w:szCs w:val="22"/>
        </w:rPr>
        <w:t>RBS expects to recognise these impacts in Q2 2018.</w:t>
      </w:r>
    </w:p>
    <w:p w14:paraId="1CEFF203" w14:textId="77777777" w:rsidR="0047266B" w:rsidRDefault="0047266B" w:rsidP="003F7929">
      <w:pPr>
        <w:ind w:left="284" w:right="340"/>
        <w:jc w:val="both"/>
        <w:rPr>
          <w:rFonts w:ascii="Calibri" w:hAnsi="Calibri" w:cs="Calibri"/>
          <w:szCs w:val="22"/>
        </w:rPr>
      </w:pPr>
    </w:p>
    <w:p w14:paraId="0ECB0283" w14:textId="3C0F7DF2" w:rsidR="004B2A76" w:rsidRPr="00637A1E" w:rsidRDefault="0047266B" w:rsidP="00637A1E">
      <w:pPr>
        <w:pStyle w:val="ListParagraph"/>
        <w:numPr>
          <w:ilvl w:val="0"/>
          <w:numId w:val="19"/>
        </w:numPr>
        <w:ind w:right="340"/>
        <w:jc w:val="both"/>
        <w:rPr>
          <w:rFonts w:ascii="Calibri" w:hAnsi="Calibri" w:cs="Calibri"/>
          <w:szCs w:val="22"/>
        </w:rPr>
      </w:pPr>
      <w:r w:rsidRPr="00637A1E">
        <w:rPr>
          <w:rFonts w:ascii="Calibri" w:hAnsi="Calibri" w:cs="Calibri"/>
          <w:szCs w:val="22"/>
        </w:rPr>
        <w:t>F</w:t>
      </w:r>
      <w:r w:rsidR="006B1AEC" w:rsidRPr="00637A1E">
        <w:rPr>
          <w:rFonts w:ascii="Calibri" w:hAnsi="Calibri" w:cs="Calibri"/>
          <w:szCs w:val="22"/>
        </w:rPr>
        <w:t xml:space="preserve">rom 1 January 2020, </w:t>
      </w:r>
      <w:r w:rsidR="00193FA2" w:rsidRPr="00637A1E">
        <w:rPr>
          <w:rFonts w:ascii="Calibri" w:hAnsi="Calibri" w:cs="Calibri"/>
          <w:szCs w:val="22"/>
        </w:rPr>
        <w:t xml:space="preserve">further </w:t>
      </w:r>
      <w:r w:rsidRPr="00637A1E">
        <w:rPr>
          <w:rFonts w:ascii="Calibri" w:hAnsi="Calibri" w:cs="Calibri"/>
          <w:szCs w:val="22"/>
        </w:rPr>
        <w:t xml:space="preserve">pre-tax </w:t>
      </w:r>
      <w:r w:rsidR="00965009" w:rsidRPr="00637A1E">
        <w:rPr>
          <w:rFonts w:ascii="Calibri" w:hAnsi="Calibri" w:cs="Calibri"/>
          <w:szCs w:val="22"/>
        </w:rPr>
        <w:t xml:space="preserve">contributions </w:t>
      </w:r>
      <w:r w:rsidR="00193FA2" w:rsidRPr="00637A1E">
        <w:rPr>
          <w:rFonts w:ascii="Calibri" w:hAnsi="Calibri" w:cs="Calibri"/>
          <w:szCs w:val="22"/>
        </w:rPr>
        <w:t>of up to £1.5 billion</w:t>
      </w:r>
      <w:r w:rsidR="005378D4" w:rsidRPr="00637A1E">
        <w:rPr>
          <w:rFonts w:ascii="Calibri" w:hAnsi="Calibri" w:cs="Calibri"/>
          <w:szCs w:val="22"/>
        </w:rPr>
        <w:t xml:space="preserve"> in aggregate</w:t>
      </w:r>
      <w:r w:rsidR="009763CB" w:rsidRPr="00637A1E">
        <w:rPr>
          <w:rFonts w:ascii="Calibri" w:hAnsi="Calibri" w:cs="Calibri"/>
          <w:szCs w:val="22"/>
        </w:rPr>
        <w:t xml:space="preserve"> </w:t>
      </w:r>
      <w:r w:rsidR="006B1AEC" w:rsidRPr="00637A1E">
        <w:rPr>
          <w:rFonts w:ascii="Calibri" w:hAnsi="Calibri" w:cs="Calibri"/>
          <w:szCs w:val="22"/>
        </w:rPr>
        <w:t xml:space="preserve">linked to </w:t>
      </w:r>
      <w:r w:rsidR="009763CB" w:rsidRPr="00637A1E">
        <w:rPr>
          <w:rFonts w:ascii="Calibri" w:hAnsi="Calibri" w:cs="Calibri"/>
          <w:szCs w:val="22"/>
        </w:rPr>
        <w:t xml:space="preserve">the making of </w:t>
      </w:r>
      <w:r w:rsidR="00193FA2" w:rsidRPr="00637A1E">
        <w:rPr>
          <w:rFonts w:ascii="Calibri" w:hAnsi="Calibri" w:cs="Calibri"/>
          <w:szCs w:val="22"/>
        </w:rPr>
        <w:t xml:space="preserve">future distributions to </w:t>
      </w:r>
      <w:r w:rsidR="006B1AEC" w:rsidRPr="00637A1E">
        <w:rPr>
          <w:rFonts w:ascii="Calibri" w:hAnsi="Calibri" w:cs="Calibri"/>
          <w:szCs w:val="22"/>
        </w:rPr>
        <w:t xml:space="preserve">RBS </w:t>
      </w:r>
      <w:r w:rsidR="00193FA2" w:rsidRPr="00637A1E">
        <w:rPr>
          <w:rFonts w:ascii="Calibri" w:hAnsi="Calibri" w:cs="Calibri"/>
          <w:szCs w:val="22"/>
        </w:rPr>
        <w:t>shareholders including ordinary</w:t>
      </w:r>
      <w:r w:rsidR="00BA3435" w:rsidRPr="00637A1E">
        <w:rPr>
          <w:rFonts w:ascii="Calibri" w:hAnsi="Calibri" w:cs="Calibri"/>
          <w:szCs w:val="22"/>
        </w:rPr>
        <w:t xml:space="preserve"> </w:t>
      </w:r>
      <w:r w:rsidR="00BB5292" w:rsidRPr="00637A1E">
        <w:rPr>
          <w:rFonts w:ascii="Calibri" w:hAnsi="Calibri" w:cs="Calibri"/>
          <w:szCs w:val="22"/>
        </w:rPr>
        <w:t xml:space="preserve">and special </w:t>
      </w:r>
      <w:r w:rsidR="00BA3435" w:rsidRPr="00637A1E">
        <w:rPr>
          <w:rFonts w:ascii="Calibri" w:hAnsi="Calibri" w:cs="Calibri"/>
          <w:szCs w:val="22"/>
        </w:rPr>
        <w:t>dividends</w:t>
      </w:r>
      <w:r w:rsidR="00BB5292" w:rsidRPr="00637A1E">
        <w:rPr>
          <w:rFonts w:ascii="Calibri" w:hAnsi="Calibri" w:cs="Calibri"/>
          <w:szCs w:val="22"/>
        </w:rPr>
        <w:t xml:space="preserve"> and/</w:t>
      </w:r>
      <w:r w:rsidR="00193FA2" w:rsidRPr="00637A1E">
        <w:rPr>
          <w:rFonts w:ascii="Calibri" w:hAnsi="Calibri" w:cs="Calibri"/>
          <w:szCs w:val="22"/>
        </w:rPr>
        <w:t xml:space="preserve">or share buy backs. </w:t>
      </w:r>
      <w:r w:rsidR="00E04552" w:rsidRPr="00637A1E">
        <w:rPr>
          <w:rFonts w:ascii="Calibri" w:hAnsi="Calibri" w:cs="Calibri"/>
          <w:szCs w:val="22"/>
        </w:rPr>
        <w:t xml:space="preserve">RBS intends to </w:t>
      </w:r>
      <w:r w:rsidR="005378D4" w:rsidRPr="00637A1E">
        <w:rPr>
          <w:rFonts w:ascii="Calibri" w:hAnsi="Calibri" w:cs="Calibri"/>
          <w:szCs w:val="22"/>
        </w:rPr>
        <w:t xml:space="preserve">pay to the Main Scheme </w:t>
      </w:r>
      <w:r w:rsidR="00E04552" w:rsidRPr="00637A1E">
        <w:rPr>
          <w:rFonts w:ascii="Calibri" w:hAnsi="Calibri" w:cs="Calibri"/>
          <w:szCs w:val="22"/>
        </w:rPr>
        <w:t>an amount</w:t>
      </w:r>
      <w:r w:rsidR="00193FA2" w:rsidRPr="00637A1E">
        <w:rPr>
          <w:rFonts w:ascii="Calibri" w:hAnsi="Calibri" w:cs="Calibri"/>
          <w:szCs w:val="22"/>
        </w:rPr>
        <w:t xml:space="preserve"> </w:t>
      </w:r>
      <w:r w:rsidR="00AC43AD" w:rsidRPr="00637A1E">
        <w:rPr>
          <w:rFonts w:ascii="Calibri" w:hAnsi="Calibri" w:cs="Calibri"/>
          <w:szCs w:val="22"/>
        </w:rPr>
        <w:t xml:space="preserve">equal to </w:t>
      </w:r>
      <w:r w:rsidR="005378D4" w:rsidRPr="00637A1E">
        <w:rPr>
          <w:rFonts w:ascii="Calibri" w:hAnsi="Calibri" w:cs="Calibri"/>
          <w:szCs w:val="22"/>
        </w:rPr>
        <w:t xml:space="preserve">each such </w:t>
      </w:r>
      <w:r w:rsidR="00AC43AD" w:rsidRPr="00637A1E">
        <w:rPr>
          <w:rFonts w:ascii="Calibri" w:hAnsi="Calibri" w:cs="Calibri"/>
          <w:szCs w:val="22"/>
        </w:rPr>
        <w:t xml:space="preserve">distribution </w:t>
      </w:r>
      <w:r w:rsidR="009763CB" w:rsidRPr="00637A1E">
        <w:rPr>
          <w:rFonts w:ascii="Calibri" w:hAnsi="Calibri" w:cs="Calibri"/>
          <w:szCs w:val="22"/>
        </w:rPr>
        <w:t>(</w:t>
      </w:r>
      <w:r w:rsidR="001F4F8F" w:rsidRPr="00637A1E">
        <w:rPr>
          <w:rFonts w:ascii="Calibri" w:hAnsi="Calibri" w:cs="Calibri"/>
          <w:szCs w:val="22"/>
        </w:rPr>
        <w:t xml:space="preserve">subject to </w:t>
      </w:r>
      <w:r w:rsidR="006B1AEC" w:rsidRPr="00637A1E">
        <w:rPr>
          <w:rFonts w:ascii="Calibri" w:hAnsi="Calibri" w:cs="Calibri"/>
          <w:szCs w:val="22"/>
        </w:rPr>
        <w:t>a</w:t>
      </w:r>
      <w:r w:rsidR="009763CB" w:rsidRPr="00637A1E">
        <w:rPr>
          <w:rFonts w:ascii="Calibri" w:hAnsi="Calibri" w:cs="Calibri"/>
          <w:szCs w:val="22"/>
        </w:rPr>
        <w:t>n annual cap on contributions of</w:t>
      </w:r>
      <w:r w:rsidR="006B1AEC" w:rsidRPr="00637A1E">
        <w:rPr>
          <w:rFonts w:ascii="Calibri" w:hAnsi="Calibri" w:cs="Calibri"/>
          <w:szCs w:val="22"/>
        </w:rPr>
        <w:t xml:space="preserve"> </w:t>
      </w:r>
      <w:r w:rsidR="009763CB" w:rsidRPr="00637A1E">
        <w:rPr>
          <w:rFonts w:ascii="Calibri" w:hAnsi="Calibri" w:cs="Calibri"/>
          <w:szCs w:val="22"/>
        </w:rPr>
        <w:t>£500 million</w:t>
      </w:r>
      <w:r w:rsidR="005A0EAE" w:rsidRPr="00637A1E">
        <w:rPr>
          <w:rFonts w:ascii="Calibri" w:hAnsi="Calibri" w:cs="Calibri"/>
          <w:szCs w:val="22"/>
        </w:rPr>
        <w:t xml:space="preserve"> before tax</w:t>
      </w:r>
      <w:r w:rsidR="009763CB" w:rsidRPr="00637A1E">
        <w:rPr>
          <w:rFonts w:ascii="Calibri" w:hAnsi="Calibri" w:cs="Calibri"/>
          <w:szCs w:val="22"/>
        </w:rPr>
        <w:t xml:space="preserve">) </w:t>
      </w:r>
      <w:r w:rsidR="00AC43AD" w:rsidRPr="00637A1E">
        <w:rPr>
          <w:rFonts w:ascii="Calibri" w:hAnsi="Calibri" w:cs="Calibri"/>
          <w:szCs w:val="22"/>
        </w:rPr>
        <w:t xml:space="preserve">until aggregate </w:t>
      </w:r>
      <w:r w:rsidR="005A0EAE" w:rsidRPr="00637A1E">
        <w:rPr>
          <w:rFonts w:ascii="Calibri" w:hAnsi="Calibri" w:cs="Calibri"/>
          <w:szCs w:val="22"/>
        </w:rPr>
        <w:t xml:space="preserve">pre-tax </w:t>
      </w:r>
      <w:r w:rsidR="00965009" w:rsidRPr="00637A1E">
        <w:rPr>
          <w:rFonts w:ascii="Calibri" w:hAnsi="Calibri" w:cs="Calibri"/>
          <w:szCs w:val="22"/>
        </w:rPr>
        <w:t xml:space="preserve">contributions </w:t>
      </w:r>
      <w:r w:rsidR="00193FA2" w:rsidRPr="00637A1E">
        <w:rPr>
          <w:rFonts w:ascii="Calibri" w:hAnsi="Calibri" w:cs="Calibri"/>
          <w:szCs w:val="22"/>
        </w:rPr>
        <w:t xml:space="preserve">of </w:t>
      </w:r>
      <w:r w:rsidR="004324E9" w:rsidRPr="00637A1E">
        <w:rPr>
          <w:rFonts w:ascii="Calibri" w:hAnsi="Calibri" w:cs="Calibri"/>
          <w:szCs w:val="22"/>
        </w:rPr>
        <w:t xml:space="preserve">up to </w:t>
      </w:r>
      <w:r w:rsidR="00193FA2" w:rsidRPr="00637A1E">
        <w:rPr>
          <w:rFonts w:ascii="Calibri" w:hAnsi="Calibri" w:cs="Calibri"/>
          <w:szCs w:val="22"/>
        </w:rPr>
        <w:t>£1.5</w:t>
      </w:r>
      <w:r w:rsidR="006B1AEC" w:rsidRPr="00637A1E">
        <w:rPr>
          <w:rFonts w:ascii="Calibri" w:hAnsi="Calibri" w:cs="Calibri"/>
          <w:szCs w:val="22"/>
        </w:rPr>
        <w:t xml:space="preserve"> </w:t>
      </w:r>
      <w:r w:rsidR="00193FA2" w:rsidRPr="00637A1E">
        <w:rPr>
          <w:rFonts w:ascii="Calibri" w:hAnsi="Calibri" w:cs="Calibri"/>
          <w:szCs w:val="22"/>
        </w:rPr>
        <w:t>billion</w:t>
      </w:r>
      <w:r w:rsidR="006B1AEC" w:rsidRPr="00637A1E">
        <w:rPr>
          <w:rFonts w:ascii="Calibri" w:hAnsi="Calibri" w:cs="Calibri"/>
          <w:szCs w:val="22"/>
        </w:rPr>
        <w:t xml:space="preserve"> </w:t>
      </w:r>
      <w:r w:rsidR="00AC43AD" w:rsidRPr="00637A1E">
        <w:rPr>
          <w:rFonts w:ascii="Calibri" w:hAnsi="Calibri" w:cs="Calibri"/>
          <w:szCs w:val="22"/>
        </w:rPr>
        <w:t>ha</w:t>
      </w:r>
      <w:r w:rsidRPr="00637A1E">
        <w:rPr>
          <w:rFonts w:ascii="Calibri" w:hAnsi="Calibri" w:cs="Calibri"/>
          <w:szCs w:val="22"/>
        </w:rPr>
        <w:t>ve</w:t>
      </w:r>
      <w:r w:rsidR="00AC43AD" w:rsidRPr="00637A1E">
        <w:rPr>
          <w:rFonts w:ascii="Calibri" w:hAnsi="Calibri" w:cs="Calibri"/>
          <w:szCs w:val="22"/>
        </w:rPr>
        <w:t xml:space="preserve"> been made</w:t>
      </w:r>
      <w:r w:rsidR="00193FA2" w:rsidRPr="00637A1E">
        <w:rPr>
          <w:rFonts w:ascii="Calibri" w:hAnsi="Calibri" w:cs="Calibri"/>
          <w:szCs w:val="22"/>
        </w:rPr>
        <w:t>.</w:t>
      </w:r>
      <w:r w:rsidR="008B6575" w:rsidRPr="00637A1E">
        <w:rPr>
          <w:rFonts w:ascii="Calibri" w:hAnsi="Calibri" w:cs="Calibri"/>
          <w:szCs w:val="22"/>
        </w:rPr>
        <w:t xml:space="preserve"> There can be no assurance as to the timing for the resumption of distributions to shareholders or the amount once resumed.</w:t>
      </w:r>
    </w:p>
    <w:p w14:paraId="3F2B06C3" w14:textId="77777777" w:rsidR="004B2A76" w:rsidRDefault="004B2A76" w:rsidP="00DF5BD2">
      <w:pPr>
        <w:jc w:val="both"/>
        <w:rPr>
          <w:rFonts w:ascii="Calibri" w:hAnsi="Calibri" w:cs="Calibri"/>
          <w:szCs w:val="22"/>
        </w:rPr>
      </w:pPr>
    </w:p>
    <w:p w14:paraId="2ECB12DB" w14:textId="7BAEE3A8" w:rsidR="00965009" w:rsidRDefault="00965009" w:rsidP="00DF5BD2">
      <w:pPr>
        <w:jc w:val="both"/>
        <w:rPr>
          <w:rFonts w:ascii="Calibri" w:hAnsi="Calibri" w:cs="Calibri"/>
          <w:szCs w:val="22"/>
        </w:rPr>
      </w:pPr>
      <w:r w:rsidRPr="00965009">
        <w:rPr>
          <w:rFonts w:ascii="Calibri" w:hAnsi="Calibri" w:cs="Calibri"/>
          <w:szCs w:val="22"/>
        </w:rPr>
        <w:t>Other than the tax charge, the charges relate</w:t>
      </w:r>
      <w:r>
        <w:rPr>
          <w:rFonts w:ascii="Calibri" w:hAnsi="Calibri" w:cs="Calibri"/>
          <w:szCs w:val="22"/>
        </w:rPr>
        <w:t>d</w:t>
      </w:r>
      <w:r w:rsidRPr="00965009">
        <w:rPr>
          <w:rFonts w:ascii="Calibri" w:hAnsi="Calibri" w:cs="Calibri"/>
          <w:szCs w:val="22"/>
        </w:rPr>
        <w:t xml:space="preserve"> to the contributions will flow through the Statement of Other Comprehensive Income and not the </w:t>
      </w:r>
      <w:r w:rsidR="00593670">
        <w:rPr>
          <w:rFonts w:ascii="Calibri" w:hAnsi="Calibri" w:cs="Calibri"/>
          <w:szCs w:val="22"/>
        </w:rPr>
        <w:t>Consolidated Income Statement</w:t>
      </w:r>
      <w:r w:rsidRPr="00965009">
        <w:rPr>
          <w:rFonts w:ascii="Calibri" w:hAnsi="Calibri" w:cs="Calibri"/>
          <w:szCs w:val="22"/>
        </w:rPr>
        <w:t>.</w:t>
      </w:r>
    </w:p>
    <w:p w14:paraId="42FAE90B" w14:textId="77777777" w:rsidR="00965009" w:rsidRDefault="00965009" w:rsidP="00DF5BD2">
      <w:pPr>
        <w:jc w:val="both"/>
        <w:rPr>
          <w:rFonts w:ascii="Calibri" w:hAnsi="Calibri" w:cs="Calibri"/>
          <w:szCs w:val="22"/>
        </w:rPr>
      </w:pPr>
    </w:p>
    <w:p w14:paraId="6EF76C8E" w14:textId="3B8F2655" w:rsidR="005F0671" w:rsidRDefault="00FC41AE" w:rsidP="00A96FFA">
      <w:pPr>
        <w:jc w:val="both"/>
        <w:rPr>
          <w:rFonts w:ascii="Calibri" w:hAnsi="Calibri" w:cs="Calibri"/>
          <w:szCs w:val="22"/>
        </w:rPr>
      </w:pPr>
      <w:r>
        <w:rPr>
          <w:rFonts w:ascii="Calibri" w:hAnsi="Calibri" w:cs="Calibri"/>
          <w:szCs w:val="22"/>
        </w:rPr>
        <w:t xml:space="preserve">The </w:t>
      </w:r>
      <w:r w:rsidR="008B6575">
        <w:rPr>
          <w:rFonts w:ascii="Calibri" w:hAnsi="Calibri" w:cs="Calibri"/>
          <w:szCs w:val="22"/>
        </w:rPr>
        <w:t xml:space="preserve">amount, timing and structure of these </w:t>
      </w:r>
      <w:r>
        <w:rPr>
          <w:rFonts w:ascii="Calibri" w:hAnsi="Calibri" w:cs="Calibri"/>
          <w:szCs w:val="22"/>
        </w:rPr>
        <w:t xml:space="preserve">funding contributions and related assumptions supporting these contributions are intended to compensate the Trustee for </w:t>
      </w:r>
      <w:r w:rsidR="006853F6">
        <w:rPr>
          <w:rFonts w:ascii="Calibri" w:hAnsi="Calibri" w:cs="Calibri"/>
          <w:szCs w:val="22"/>
        </w:rPr>
        <w:t xml:space="preserve">both (i) </w:t>
      </w:r>
      <w:r>
        <w:rPr>
          <w:rFonts w:ascii="Calibri" w:hAnsi="Calibri" w:cs="Calibri"/>
          <w:szCs w:val="22"/>
        </w:rPr>
        <w:t xml:space="preserve">an associated loss of employer covenant </w:t>
      </w:r>
      <w:r w:rsidR="008B6575">
        <w:rPr>
          <w:rFonts w:ascii="Calibri" w:hAnsi="Calibri" w:cs="Calibri"/>
          <w:szCs w:val="22"/>
        </w:rPr>
        <w:t>as a result of certa</w:t>
      </w:r>
      <w:r w:rsidR="00170C37">
        <w:rPr>
          <w:rFonts w:ascii="Calibri" w:hAnsi="Calibri" w:cs="Calibri"/>
          <w:szCs w:val="22"/>
        </w:rPr>
        <w:t xml:space="preserve">in RBS entities that currently </w:t>
      </w:r>
      <w:r w:rsidR="008B6575">
        <w:rPr>
          <w:rFonts w:ascii="Calibri" w:hAnsi="Calibri" w:cs="Calibri"/>
          <w:szCs w:val="22"/>
        </w:rPr>
        <w:t>support the Main Scheme ceasing to do so in connection with the implementation of ring-fencing (as further described below)</w:t>
      </w:r>
      <w:r w:rsidR="006853F6">
        <w:rPr>
          <w:rFonts w:ascii="Calibri" w:hAnsi="Calibri" w:cs="Calibri"/>
          <w:szCs w:val="22"/>
        </w:rPr>
        <w:t>,</w:t>
      </w:r>
      <w:r w:rsidR="008B6575">
        <w:rPr>
          <w:rFonts w:ascii="Calibri" w:hAnsi="Calibri" w:cs="Calibri"/>
          <w:szCs w:val="22"/>
        </w:rPr>
        <w:t xml:space="preserve"> </w:t>
      </w:r>
      <w:r>
        <w:rPr>
          <w:rFonts w:ascii="Calibri" w:hAnsi="Calibri" w:cs="Calibri"/>
          <w:szCs w:val="22"/>
        </w:rPr>
        <w:t xml:space="preserve">and </w:t>
      </w:r>
      <w:r w:rsidR="006853F6">
        <w:rPr>
          <w:rFonts w:ascii="Calibri" w:hAnsi="Calibri" w:cs="Calibri"/>
          <w:szCs w:val="22"/>
        </w:rPr>
        <w:t xml:space="preserve">(ii) </w:t>
      </w:r>
      <w:r>
        <w:rPr>
          <w:rFonts w:ascii="Calibri" w:hAnsi="Calibri" w:cs="Calibri"/>
          <w:szCs w:val="22"/>
        </w:rPr>
        <w:t xml:space="preserve">the </w:t>
      </w:r>
      <w:r w:rsidR="00F66C7A">
        <w:rPr>
          <w:rFonts w:ascii="Calibri" w:hAnsi="Calibri" w:cs="Calibri"/>
          <w:szCs w:val="22"/>
        </w:rPr>
        <w:t>settlement required</w:t>
      </w:r>
      <w:r>
        <w:rPr>
          <w:rFonts w:ascii="Calibri" w:hAnsi="Calibri" w:cs="Calibri"/>
          <w:szCs w:val="22"/>
        </w:rPr>
        <w:t xml:space="preserve"> for the </w:t>
      </w:r>
      <w:r w:rsidRPr="00003FC5">
        <w:rPr>
          <w:rFonts w:ascii="Calibri" w:hAnsi="Calibri" w:cs="Calibri"/>
          <w:szCs w:val="22"/>
        </w:rPr>
        <w:t>triennia</w:t>
      </w:r>
      <w:r>
        <w:rPr>
          <w:rFonts w:ascii="Calibri" w:hAnsi="Calibri" w:cs="Calibri"/>
          <w:szCs w:val="22"/>
        </w:rPr>
        <w:t xml:space="preserve">l valuation as of 31 December 2017 which has now been accelerated from 31 December 2018.  </w:t>
      </w:r>
      <w:r w:rsidR="007D7581">
        <w:rPr>
          <w:rFonts w:ascii="Calibri" w:hAnsi="Calibri" w:cs="Calibri"/>
          <w:szCs w:val="22"/>
        </w:rPr>
        <w:t xml:space="preserve">Subject </w:t>
      </w:r>
      <w:r w:rsidR="00127122">
        <w:rPr>
          <w:rFonts w:ascii="Calibri" w:hAnsi="Calibri" w:cs="Calibri"/>
          <w:szCs w:val="22"/>
        </w:rPr>
        <w:t xml:space="preserve">to </w:t>
      </w:r>
      <w:r w:rsidR="006804E5">
        <w:rPr>
          <w:rFonts w:ascii="Calibri" w:hAnsi="Calibri" w:cs="Calibri"/>
          <w:szCs w:val="22"/>
        </w:rPr>
        <w:t xml:space="preserve">normal </w:t>
      </w:r>
      <w:r w:rsidR="00127122">
        <w:rPr>
          <w:rFonts w:ascii="Calibri" w:hAnsi="Calibri" w:cs="Calibri"/>
          <w:szCs w:val="22"/>
        </w:rPr>
        <w:t xml:space="preserve">market </w:t>
      </w:r>
      <w:r w:rsidR="006804E5">
        <w:rPr>
          <w:rFonts w:ascii="Calibri" w:hAnsi="Calibri" w:cs="Calibri"/>
          <w:szCs w:val="22"/>
        </w:rPr>
        <w:t>conditions</w:t>
      </w:r>
      <w:r>
        <w:rPr>
          <w:rFonts w:ascii="Calibri" w:hAnsi="Calibri" w:cs="Calibri"/>
          <w:szCs w:val="22"/>
        </w:rPr>
        <w:t>,</w:t>
      </w:r>
      <w:r w:rsidR="00127A32">
        <w:rPr>
          <w:rFonts w:ascii="Calibri" w:hAnsi="Calibri" w:cs="Calibri"/>
          <w:szCs w:val="22"/>
        </w:rPr>
        <w:t xml:space="preserve"> </w:t>
      </w:r>
      <w:r w:rsidR="007D0838">
        <w:rPr>
          <w:rFonts w:ascii="Calibri" w:hAnsi="Calibri" w:cs="Calibri"/>
          <w:szCs w:val="22"/>
        </w:rPr>
        <w:t xml:space="preserve">the Trustee </w:t>
      </w:r>
      <w:r w:rsidR="005A0EAE">
        <w:rPr>
          <w:rFonts w:ascii="Calibri" w:hAnsi="Calibri" w:cs="Calibri"/>
          <w:szCs w:val="22"/>
        </w:rPr>
        <w:t xml:space="preserve">and </w:t>
      </w:r>
      <w:r w:rsidR="007D0838">
        <w:rPr>
          <w:rFonts w:ascii="Calibri" w:hAnsi="Calibri" w:cs="Calibri"/>
          <w:szCs w:val="22"/>
        </w:rPr>
        <w:t>RBS</w:t>
      </w:r>
      <w:r w:rsidR="005A0EAE">
        <w:rPr>
          <w:rFonts w:ascii="Calibri" w:hAnsi="Calibri" w:cs="Calibri"/>
          <w:szCs w:val="22"/>
        </w:rPr>
        <w:t xml:space="preserve">’s </w:t>
      </w:r>
      <w:r w:rsidR="00F859EA">
        <w:rPr>
          <w:rFonts w:ascii="Calibri" w:hAnsi="Calibri" w:cs="Calibri"/>
          <w:szCs w:val="22"/>
        </w:rPr>
        <w:t xml:space="preserve">central expectation </w:t>
      </w:r>
      <w:r w:rsidR="005A0EAE">
        <w:rPr>
          <w:rFonts w:ascii="Calibri" w:hAnsi="Calibri" w:cs="Calibri"/>
          <w:szCs w:val="22"/>
        </w:rPr>
        <w:t xml:space="preserve">is that no further </w:t>
      </w:r>
      <w:r w:rsidR="006804E5">
        <w:rPr>
          <w:rFonts w:ascii="Calibri" w:hAnsi="Calibri" w:cs="Calibri"/>
          <w:szCs w:val="22"/>
        </w:rPr>
        <w:t xml:space="preserve">deficit </w:t>
      </w:r>
      <w:r w:rsidR="007D0838">
        <w:rPr>
          <w:rFonts w:ascii="Calibri" w:hAnsi="Calibri" w:cs="Calibri"/>
          <w:szCs w:val="22"/>
        </w:rPr>
        <w:t>contributions</w:t>
      </w:r>
      <w:r w:rsidR="00200C8D">
        <w:rPr>
          <w:rFonts w:ascii="Calibri" w:hAnsi="Calibri" w:cs="Calibri"/>
          <w:szCs w:val="22"/>
        </w:rPr>
        <w:t xml:space="preserve"> </w:t>
      </w:r>
      <w:r w:rsidR="00127122">
        <w:rPr>
          <w:rFonts w:ascii="Calibri" w:hAnsi="Calibri" w:cs="Calibri"/>
          <w:szCs w:val="22"/>
        </w:rPr>
        <w:t xml:space="preserve">to the Main Scheme will </w:t>
      </w:r>
      <w:r w:rsidR="00200C8D">
        <w:rPr>
          <w:rFonts w:ascii="Calibri" w:hAnsi="Calibri" w:cs="Calibri"/>
          <w:szCs w:val="22"/>
        </w:rPr>
        <w:t>be</w:t>
      </w:r>
      <w:r w:rsidR="007D4018">
        <w:rPr>
          <w:rFonts w:ascii="Calibri" w:hAnsi="Calibri" w:cs="Calibri"/>
          <w:szCs w:val="22"/>
        </w:rPr>
        <w:t xml:space="preserve"> required</w:t>
      </w:r>
      <w:r w:rsidR="00E61DF7">
        <w:rPr>
          <w:rFonts w:ascii="Calibri" w:hAnsi="Calibri" w:cs="Calibri"/>
          <w:szCs w:val="22"/>
        </w:rPr>
        <w:t>.</w:t>
      </w:r>
      <w:r w:rsidR="00127122">
        <w:rPr>
          <w:rFonts w:ascii="Calibri" w:hAnsi="Calibri" w:cs="Calibri"/>
          <w:szCs w:val="22"/>
        </w:rPr>
        <w:t xml:space="preserve"> </w:t>
      </w:r>
    </w:p>
    <w:p w14:paraId="6AA49F83" w14:textId="77777777" w:rsidR="005F0671" w:rsidRDefault="005F0671" w:rsidP="00A96FFA">
      <w:pPr>
        <w:jc w:val="both"/>
        <w:rPr>
          <w:rFonts w:ascii="Calibri" w:hAnsi="Calibri" w:cs="Calibri"/>
          <w:szCs w:val="22"/>
        </w:rPr>
      </w:pPr>
    </w:p>
    <w:p w14:paraId="48270D65" w14:textId="77777777" w:rsidR="00A3119B" w:rsidRDefault="00A3119B" w:rsidP="00A3119B">
      <w:pPr>
        <w:jc w:val="both"/>
        <w:rPr>
          <w:rFonts w:ascii="Calibri" w:hAnsi="Calibri" w:cs="Calibri"/>
          <w:szCs w:val="22"/>
        </w:rPr>
      </w:pPr>
      <w:r>
        <w:rPr>
          <w:rFonts w:ascii="Calibri" w:hAnsi="Calibri" w:cs="Calibri"/>
          <w:szCs w:val="22"/>
        </w:rPr>
        <w:t>Furthermore, in recognition of these contributions, the Trustee will adopt a lower risk long term investment strategy by gradually</w:t>
      </w:r>
      <w:r w:rsidRPr="007D5241">
        <w:rPr>
          <w:rFonts w:ascii="Calibri" w:hAnsi="Calibri" w:cs="Calibri"/>
        </w:rPr>
        <w:t xml:space="preserve"> </w:t>
      </w:r>
      <w:r w:rsidRPr="00B2557F">
        <w:rPr>
          <w:rFonts w:ascii="Calibri" w:hAnsi="Calibri" w:cs="Calibri"/>
        </w:rPr>
        <w:t>reducing its exposure to quoted equity</w:t>
      </w:r>
      <w:r>
        <w:rPr>
          <w:rFonts w:ascii="Calibri" w:hAnsi="Calibri" w:cs="Calibri"/>
        </w:rPr>
        <w:t xml:space="preserve"> and </w:t>
      </w:r>
      <w:r w:rsidRPr="007D5241">
        <w:rPr>
          <w:rFonts w:ascii="Calibri" w:hAnsi="Calibri" w:cs="Calibri"/>
        </w:rPr>
        <w:t>increas</w:t>
      </w:r>
      <w:r>
        <w:rPr>
          <w:rFonts w:ascii="Calibri" w:hAnsi="Calibri" w:cs="Calibri"/>
        </w:rPr>
        <w:t>ing</w:t>
      </w:r>
      <w:r w:rsidRPr="007D5241">
        <w:rPr>
          <w:rFonts w:ascii="Calibri" w:hAnsi="Calibri" w:cs="Calibri"/>
        </w:rPr>
        <w:t xml:space="preserve"> its exposure to assets </w:t>
      </w:r>
      <w:r>
        <w:rPr>
          <w:rFonts w:ascii="Calibri" w:hAnsi="Calibri" w:cs="Calibri"/>
        </w:rPr>
        <w:t xml:space="preserve">that give a </w:t>
      </w:r>
      <w:r w:rsidRPr="007D5241">
        <w:rPr>
          <w:rFonts w:ascii="Calibri" w:hAnsi="Calibri" w:cs="Calibri"/>
        </w:rPr>
        <w:t>greater certainty over cash</w:t>
      </w:r>
      <w:r>
        <w:rPr>
          <w:rFonts w:ascii="Calibri" w:hAnsi="Calibri" w:cs="Calibri"/>
        </w:rPr>
        <w:t xml:space="preserve"> </w:t>
      </w:r>
      <w:r w:rsidRPr="007D5241">
        <w:rPr>
          <w:rFonts w:ascii="Calibri" w:hAnsi="Calibri" w:cs="Calibri"/>
        </w:rPr>
        <w:t>flows, whilst continuing to develop its comprehensive interest rate and inflation hedging strategy. </w:t>
      </w:r>
      <w:r w:rsidRPr="004B2A76">
        <w:rPr>
          <w:rFonts w:ascii="Calibri" w:hAnsi="Calibri" w:cs="Calibri"/>
          <w:szCs w:val="22"/>
        </w:rPr>
        <w:t xml:space="preserve"> The outcome will be an investment portfolio that targ</w:t>
      </w:r>
      <w:r>
        <w:rPr>
          <w:rFonts w:ascii="Calibri" w:hAnsi="Calibri" w:cs="Calibri"/>
          <w:szCs w:val="22"/>
        </w:rPr>
        <w:t xml:space="preserve">ets a lower, more stable return, increasing security for members and </w:t>
      </w:r>
      <w:r w:rsidRPr="004B2A76">
        <w:rPr>
          <w:rFonts w:ascii="Calibri" w:hAnsi="Calibri" w:cs="Calibri"/>
          <w:szCs w:val="22"/>
        </w:rPr>
        <w:t xml:space="preserve">posing less risk to the </w:t>
      </w:r>
      <w:r>
        <w:rPr>
          <w:rFonts w:ascii="Calibri" w:hAnsi="Calibri" w:cs="Calibri"/>
          <w:szCs w:val="22"/>
        </w:rPr>
        <w:t>RBS Group.</w:t>
      </w:r>
    </w:p>
    <w:p w14:paraId="2826F570" w14:textId="77777777" w:rsidR="00A96FFA" w:rsidRPr="00A96FFA" w:rsidRDefault="00A96FFA" w:rsidP="00A96FFA">
      <w:pPr>
        <w:jc w:val="both"/>
        <w:rPr>
          <w:rFonts w:ascii="Calibri" w:hAnsi="Calibri" w:cs="Calibri"/>
          <w:szCs w:val="22"/>
        </w:rPr>
      </w:pPr>
    </w:p>
    <w:p w14:paraId="79A283C1" w14:textId="7F0FF218" w:rsidR="00637A1E" w:rsidRDefault="00A96FFA" w:rsidP="00A96FFA">
      <w:pPr>
        <w:jc w:val="both"/>
        <w:rPr>
          <w:rFonts w:ascii="Calibri" w:hAnsi="Calibri" w:cs="Calibri"/>
          <w:szCs w:val="22"/>
        </w:rPr>
      </w:pPr>
      <w:r w:rsidRPr="00A96FFA">
        <w:rPr>
          <w:rFonts w:ascii="Calibri" w:hAnsi="Calibri" w:cs="Calibri"/>
          <w:szCs w:val="22"/>
        </w:rPr>
        <w:t>Under UK ring-fencing</w:t>
      </w:r>
      <w:r>
        <w:rPr>
          <w:rFonts w:ascii="Calibri" w:hAnsi="Calibri" w:cs="Calibri"/>
          <w:szCs w:val="22"/>
        </w:rPr>
        <w:t xml:space="preserve"> legislation, from </w:t>
      </w:r>
      <w:r w:rsidR="00906E4D">
        <w:rPr>
          <w:rFonts w:ascii="Calibri" w:hAnsi="Calibri" w:cs="Calibri"/>
          <w:szCs w:val="22"/>
        </w:rPr>
        <w:t xml:space="preserve">1 </w:t>
      </w:r>
      <w:r>
        <w:rPr>
          <w:rFonts w:ascii="Calibri" w:hAnsi="Calibri" w:cs="Calibri"/>
          <w:szCs w:val="22"/>
        </w:rPr>
        <w:t>January 2026</w:t>
      </w:r>
      <w:r w:rsidRPr="00A96FFA">
        <w:rPr>
          <w:rFonts w:ascii="Calibri" w:hAnsi="Calibri" w:cs="Calibri"/>
          <w:szCs w:val="22"/>
        </w:rPr>
        <w:t xml:space="preserve"> it will not be possible for</w:t>
      </w:r>
      <w:r w:rsidR="00200C8D">
        <w:rPr>
          <w:rFonts w:ascii="Calibri" w:hAnsi="Calibri" w:cs="Calibri"/>
          <w:szCs w:val="22"/>
        </w:rPr>
        <w:t xml:space="preserve"> RBS</w:t>
      </w:r>
      <w:r w:rsidRPr="00A96FFA">
        <w:rPr>
          <w:rFonts w:ascii="Calibri" w:hAnsi="Calibri" w:cs="Calibri"/>
          <w:szCs w:val="22"/>
        </w:rPr>
        <w:t xml:space="preserve"> Group entities outside of the ring fence to participate in the same defined benefit scheme as</w:t>
      </w:r>
      <w:r>
        <w:rPr>
          <w:rFonts w:ascii="Calibri" w:hAnsi="Calibri" w:cs="Calibri"/>
          <w:szCs w:val="22"/>
        </w:rPr>
        <w:t xml:space="preserve"> ring-fenced</w:t>
      </w:r>
      <w:r w:rsidRPr="00A96FFA">
        <w:rPr>
          <w:rFonts w:ascii="Calibri" w:hAnsi="Calibri" w:cs="Calibri"/>
          <w:szCs w:val="22"/>
        </w:rPr>
        <w:t xml:space="preserve"> entities or their wholly-owned subsidiaries. </w:t>
      </w:r>
      <w:r w:rsidR="00C17C93">
        <w:rPr>
          <w:rFonts w:ascii="Calibri" w:hAnsi="Calibri" w:cs="Calibri"/>
          <w:szCs w:val="22"/>
        </w:rPr>
        <w:t xml:space="preserve"> RBS intends that </w:t>
      </w:r>
      <w:r w:rsidR="007D0838">
        <w:rPr>
          <w:rFonts w:ascii="Calibri" w:hAnsi="Calibri" w:cs="Calibri"/>
          <w:szCs w:val="22"/>
        </w:rPr>
        <w:t xml:space="preserve">by the end </w:t>
      </w:r>
      <w:r w:rsidR="001F1ED1">
        <w:rPr>
          <w:rFonts w:ascii="Calibri" w:hAnsi="Calibri" w:cs="Calibri"/>
          <w:szCs w:val="22"/>
        </w:rPr>
        <w:t xml:space="preserve">of </w:t>
      </w:r>
      <w:r w:rsidR="007D0838">
        <w:rPr>
          <w:rFonts w:ascii="Calibri" w:hAnsi="Calibri" w:cs="Calibri"/>
          <w:szCs w:val="22"/>
        </w:rPr>
        <w:t>March 2019</w:t>
      </w:r>
      <w:r w:rsidRPr="00003FC5">
        <w:rPr>
          <w:rFonts w:ascii="Calibri" w:hAnsi="Calibri" w:cs="Calibri"/>
          <w:szCs w:val="22"/>
        </w:rPr>
        <w:t xml:space="preserve">, </w:t>
      </w:r>
      <w:r w:rsidR="00BB5292">
        <w:rPr>
          <w:rFonts w:ascii="Calibri" w:hAnsi="Calibri" w:cs="Calibri"/>
          <w:szCs w:val="22"/>
        </w:rPr>
        <w:t xml:space="preserve">current </w:t>
      </w:r>
      <w:r w:rsidR="00787790">
        <w:rPr>
          <w:rFonts w:ascii="Calibri" w:hAnsi="Calibri" w:cs="Calibri"/>
          <w:szCs w:val="22"/>
        </w:rPr>
        <w:t xml:space="preserve">The </w:t>
      </w:r>
      <w:r w:rsidR="00BB5292">
        <w:rPr>
          <w:rFonts w:ascii="Calibri" w:hAnsi="Calibri" w:cs="Calibri"/>
          <w:szCs w:val="22"/>
        </w:rPr>
        <w:t>Royal Bank of Scotland plc</w:t>
      </w:r>
      <w:r w:rsidR="00A45D17">
        <w:rPr>
          <w:rFonts w:ascii="Calibri" w:hAnsi="Calibri" w:cs="Calibri"/>
          <w:szCs w:val="22"/>
        </w:rPr>
        <w:t xml:space="preserve"> (to be renamed NatWest Markets plc)</w:t>
      </w:r>
      <w:r w:rsidR="00BB5292">
        <w:rPr>
          <w:rFonts w:ascii="Calibri" w:hAnsi="Calibri" w:cs="Calibri"/>
          <w:szCs w:val="22"/>
        </w:rPr>
        <w:t xml:space="preserve"> </w:t>
      </w:r>
      <w:r w:rsidR="005B6032">
        <w:rPr>
          <w:rFonts w:ascii="Calibri" w:hAnsi="Calibri" w:cs="Calibri"/>
          <w:szCs w:val="22"/>
        </w:rPr>
        <w:t xml:space="preserve">and </w:t>
      </w:r>
      <w:r w:rsidR="001F4F8F">
        <w:rPr>
          <w:rFonts w:ascii="Calibri" w:hAnsi="Calibri" w:cs="Calibri"/>
          <w:szCs w:val="22"/>
        </w:rPr>
        <w:t>The Royal B</w:t>
      </w:r>
      <w:r w:rsidR="00E04552">
        <w:rPr>
          <w:rFonts w:ascii="Calibri" w:hAnsi="Calibri" w:cs="Calibri"/>
          <w:szCs w:val="22"/>
        </w:rPr>
        <w:t>ank of Scotland</w:t>
      </w:r>
      <w:r w:rsidR="00E04552" w:rsidRPr="00A96FFA">
        <w:rPr>
          <w:rFonts w:ascii="Calibri" w:hAnsi="Calibri" w:cs="Calibri"/>
          <w:szCs w:val="22"/>
        </w:rPr>
        <w:t xml:space="preserve"> </w:t>
      </w:r>
      <w:r w:rsidRPr="00A96FFA">
        <w:rPr>
          <w:rFonts w:ascii="Calibri" w:hAnsi="Calibri" w:cs="Calibri"/>
          <w:szCs w:val="22"/>
        </w:rPr>
        <w:t xml:space="preserve">International Limited will </w:t>
      </w:r>
      <w:r>
        <w:rPr>
          <w:rFonts w:ascii="Calibri" w:hAnsi="Calibri" w:cs="Calibri"/>
          <w:szCs w:val="22"/>
        </w:rPr>
        <w:t xml:space="preserve">have </w:t>
      </w:r>
      <w:r w:rsidRPr="00A96FFA">
        <w:rPr>
          <w:rFonts w:ascii="Calibri" w:hAnsi="Calibri" w:cs="Calibri"/>
          <w:szCs w:val="22"/>
        </w:rPr>
        <w:t>cease</w:t>
      </w:r>
      <w:r>
        <w:rPr>
          <w:rFonts w:ascii="Calibri" w:hAnsi="Calibri" w:cs="Calibri"/>
          <w:szCs w:val="22"/>
        </w:rPr>
        <w:t>d</w:t>
      </w:r>
      <w:r w:rsidRPr="00A96FFA">
        <w:rPr>
          <w:rFonts w:ascii="Calibri" w:hAnsi="Calibri" w:cs="Calibri"/>
          <w:szCs w:val="22"/>
        </w:rPr>
        <w:t xml:space="preserve"> to be participating employers in the Main </w:t>
      </w:r>
      <w:r w:rsidR="004A7A56">
        <w:rPr>
          <w:rFonts w:ascii="Calibri" w:hAnsi="Calibri" w:cs="Calibri"/>
          <w:szCs w:val="22"/>
        </w:rPr>
        <w:t xml:space="preserve">Scheme </w:t>
      </w:r>
      <w:r>
        <w:rPr>
          <w:rFonts w:ascii="Calibri" w:hAnsi="Calibri" w:cs="Calibri"/>
          <w:szCs w:val="22"/>
        </w:rPr>
        <w:t>and their liabilities</w:t>
      </w:r>
      <w:r w:rsidR="00644148">
        <w:rPr>
          <w:rFonts w:ascii="Calibri" w:hAnsi="Calibri" w:cs="Calibri"/>
          <w:szCs w:val="22"/>
        </w:rPr>
        <w:t xml:space="preserve"> will have been</w:t>
      </w:r>
      <w:r>
        <w:rPr>
          <w:rFonts w:ascii="Calibri" w:hAnsi="Calibri" w:cs="Calibri"/>
          <w:szCs w:val="22"/>
        </w:rPr>
        <w:t xml:space="preserve"> apportioned to N</w:t>
      </w:r>
      <w:r w:rsidR="00F74AD9">
        <w:rPr>
          <w:rFonts w:ascii="Calibri" w:hAnsi="Calibri" w:cs="Calibri"/>
          <w:szCs w:val="22"/>
        </w:rPr>
        <w:t>at</w:t>
      </w:r>
      <w:r w:rsidR="00787790">
        <w:rPr>
          <w:rFonts w:ascii="Calibri" w:hAnsi="Calibri" w:cs="Calibri"/>
          <w:szCs w:val="22"/>
        </w:rPr>
        <w:t xml:space="preserve">ional </w:t>
      </w:r>
      <w:r>
        <w:rPr>
          <w:rFonts w:ascii="Calibri" w:hAnsi="Calibri" w:cs="Calibri"/>
          <w:szCs w:val="22"/>
        </w:rPr>
        <w:t>W</w:t>
      </w:r>
      <w:r w:rsidR="00F74AD9">
        <w:rPr>
          <w:rFonts w:ascii="Calibri" w:hAnsi="Calibri" w:cs="Calibri"/>
          <w:szCs w:val="22"/>
        </w:rPr>
        <w:t>est</w:t>
      </w:r>
      <w:r w:rsidR="00787790">
        <w:rPr>
          <w:rFonts w:ascii="Calibri" w:hAnsi="Calibri" w:cs="Calibri"/>
          <w:szCs w:val="22"/>
        </w:rPr>
        <w:t>minster</w:t>
      </w:r>
      <w:r w:rsidR="00F74AD9">
        <w:rPr>
          <w:rFonts w:ascii="Calibri" w:hAnsi="Calibri" w:cs="Calibri"/>
          <w:szCs w:val="22"/>
        </w:rPr>
        <w:t xml:space="preserve"> </w:t>
      </w:r>
      <w:r>
        <w:rPr>
          <w:rFonts w:ascii="Calibri" w:hAnsi="Calibri" w:cs="Calibri"/>
          <w:szCs w:val="22"/>
        </w:rPr>
        <w:t>B</w:t>
      </w:r>
      <w:r w:rsidR="00F74AD9">
        <w:rPr>
          <w:rFonts w:ascii="Calibri" w:hAnsi="Calibri" w:cs="Calibri"/>
          <w:szCs w:val="22"/>
        </w:rPr>
        <w:t>ank</w:t>
      </w:r>
      <w:r w:rsidR="00550AEB">
        <w:rPr>
          <w:rFonts w:ascii="Calibri" w:hAnsi="Calibri" w:cs="Calibri"/>
          <w:szCs w:val="22"/>
        </w:rPr>
        <w:t xml:space="preserve"> P</w:t>
      </w:r>
      <w:r w:rsidR="00787790">
        <w:rPr>
          <w:rFonts w:ascii="Calibri" w:hAnsi="Calibri" w:cs="Calibri"/>
          <w:szCs w:val="22"/>
        </w:rPr>
        <w:t>lc</w:t>
      </w:r>
      <w:r w:rsidRPr="00A96FFA">
        <w:rPr>
          <w:rFonts w:ascii="Calibri" w:hAnsi="Calibri" w:cs="Calibri"/>
          <w:szCs w:val="22"/>
        </w:rPr>
        <w:t xml:space="preserve">. Employees within these entities will be transferred to </w:t>
      </w:r>
      <w:r w:rsidR="00F74AD9">
        <w:rPr>
          <w:rFonts w:ascii="Calibri" w:hAnsi="Calibri" w:cs="Calibri"/>
          <w:szCs w:val="22"/>
        </w:rPr>
        <w:t xml:space="preserve">new sections of the RBS Group Pension Fund that will sit </w:t>
      </w:r>
      <w:r w:rsidR="00906E4D">
        <w:rPr>
          <w:rFonts w:ascii="Calibri" w:hAnsi="Calibri" w:cs="Calibri"/>
          <w:szCs w:val="22"/>
        </w:rPr>
        <w:t>outside of the ring-fence.</w:t>
      </w:r>
      <w:r w:rsidR="003F7929">
        <w:rPr>
          <w:rFonts w:ascii="Calibri" w:hAnsi="Calibri" w:cs="Calibri"/>
          <w:szCs w:val="22"/>
        </w:rPr>
        <w:t xml:space="preserve"> </w:t>
      </w:r>
    </w:p>
    <w:p w14:paraId="21C773B6" w14:textId="77777777" w:rsidR="00637A1E" w:rsidRDefault="00637A1E">
      <w:pPr>
        <w:spacing w:after="200" w:line="276" w:lineRule="auto"/>
        <w:rPr>
          <w:rFonts w:ascii="Calibri" w:hAnsi="Calibri" w:cs="Calibri"/>
          <w:szCs w:val="22"/>
        </w:rPr>
      </w:pPr>
      <w:r>
        <w:rPr>
          <w:rFonts w:ascii="Calibri" w:hAnsi="Calibri" w:cs="Calibri"/>
          <w:szCs w:val="22"/>
        </w:rPr>
        <w:br w:type="page"/>
      </w:r>
    </w:p>
    <w:p w14:paraId="6A90726E" w14:textId="77777777" w:rsidR="00637A1E" w:rsidRDefault="00637A1E" w:rsidP="00A96FFA">
      <w:pPr>
        <w:jc w:val="both"/>
        <w:rPr>
          <w:rFonts w:ascii="Calibri" w:hAnsi="Calibri" w:cs="Calibri"/>
          <w:szCs w:val="22"/>
        </w:rPr>
      </w:pPr>
    </w:p>
    <w:p w14:paraId="695B3B3A" w14:textId="5CDCF5F2" w:rsidR="00C8618A" w:rsidRDefault="00C8618A" w:rsidP="00A96FFA">
      <w:pPr>
        <w:jc w:val="both"/>
        <w:rPr>
          <w:rFonts w:ascii="Calibri" w:hAnsi="Calibri" w:cs="Calibri"/>
          <w:szCs w:val="22"/>
        </w:rPr>
      </w:pPr>
      <w:r w:rsidRPr="00C8618A">
        <w:rPr>
          <w:rFonts w:ascii="Calibri" w:hAnsi="Calibri" w:cs="Calibri"/>
          <w:szCs w:val="22"/>
        </w:rPr>
        <w:t xml:space="preserve">Commenting on the </w:t>
      </w:r>
      <w:r>
        <w:rPr>
          <w:rFonts w:ascii="Calibri" w:hAnsi="Calibri" w:cs="Calibri"/>
          <w:szCs w:val="22"/>
        </w:rPr>
        <w:t>developments</w:t>
      </w:r>
      <w:r w:rsidRPr="00C8618A">
        <w:rPr>
          <w:rFonts w:ascii="Calibri" w:hAnsi="Calibri" w:cs="Calibri"/>
          <w:szCs w:val="22"/>
        </w:rPr>
        <w:t>, Ewen Stevenson, Chief Financial Officer</w:t>
      </w:r>
      <w:r w:rsidR="00787790">
        <w:rPr>
          <w:rFonts w:ascii="Calibri" w:hAnsi="Calibri" w:cs="Calibri"/>
          <w:szCs w:val="22"/>
        </w:rPr>
        <w:t xml:space="preserve"> (CFO)</w:t>
      </w:r>
      <w:r w:rsidRPr="00C8618A">
        <w:rPr>
          <w:rFonts w:ascii="Calibri" w:hAnsi="Calibri" w:cs="Calibri"/>
          <w:szCs w:val="22"/>
        </w:rPr>
        <w:t>, said:</w:t>
      </w:r>
    </w:p>
    <w:p w14:paraId="6BFC0F43" w14:textId="77777777" w:rsidR="00906E4D" w:rsidRDefault="00906E4D" w:rsidP="00A96FFA">
      <w:pPr>
        <w:jc w:val="both"/>
        <w:rPr>
          <w:rFonts w:ascii="Calibri" w:hAnsi="Calibri" w:cs="Calibri"/>
          <w:szCs w:val="22"/>
        </w:rPr>
      </w:pPr>
    </w:p>
    <w:p w14:paraId="053044C4" w14:textId="6D6CB9A2" w:rsidR="00486E19" w:rsidRPr="00DF5BD2" w:rsidRDefault="00486E19" w:rsidP="00486E19">
      <w:pPr>
        <w:jc w:val="both"/>
        <w:rPr>
          <w:rFonts w:ascii="Calibri" w:hAnsi="Calibri" w:cs="Calibri"/>
          <w:iCs/>
        </w:rPr>
      </w:pPr>
      <w:r>
        <w:rPr>
          <w:rFonts w:ascii="Calibri" w:hAnsi="Calibri" w:cs="Calibri"/>
          <w:iCs/>
        </w:rPr>
        <w:t>“</w:t>
      </w:r>
      <w:r w:rsidRPr="00486E19">
        <w:rPr>
          <w:rFonts w:ascii="Calibri" w:hAnsi="Calibri" w:cs="Calibri"/>
          <w:i/>
          <w:iCs/>
        </w:rPr>
        <w:t xml:space="preserve">We are pleased to have reached this </w:t>
      </w:r>
      <w:r w:rsidR="0047266B">
        <w:rPr>
          <w:rFonts w:ascii="Calibri" w:hAnsi="Calibri" w:cs="Calibri"/>
          <w:i/>
          <w:iCs/>
        </w:rPr>
        <w:t>MoU</w:t>
      </w:r>
      <w:r w:rsidR="0047266B" w:rsidRPr="00486E19">
        <w:rPr>
          <w:rFonts w:ascii="Calibri" w:hAnsi="Calibri" w:cs="Calibri"/>
          <w:i/>
          <w:iCs/>
        </w:rPr>
        <w:t xml:space="preserve"> </w:t>
      </w:r>
      <w:r w:rsidRPr="00486E19">
        <w:rPr>
          <w:rFonts w:ascii="Calibri" w:hAnsi="Calibri" w:cs="Calibri"/>
          <w:i/>
          <w:iCs/>
        </w:rPr>
        <w:t xml:space="preserve">with the Trustee of the Main </w:t>
      </w:r>
      <w:r w:rsidR="00276A85">
        <w:rPr>
          <w:rFonts w:ascii="Calibri" w:hAnsi="Calibri" w:cs="Calibri"/>
          <w:i/>
          <w:iCs/>
        </w:rPr>
        <w:t>Scheme</w:t>
      </w:r>
      <w:r w:rsidR="00276A85" w:rsidRPr="00486E19">
        <w:rPr>
          <w:rFonts w:ascii="Calibri" w:hAnsi="Calibri" w:cs="Calibri"/>
          <w:i/>
          <w:iCs/>
        </w:rPr>
        <w:t xml:space="preserve"> </w:t>
      </w:r>
      <w:r w:rsidRPr="00486E19">
        <w:rPr>
          <w:rFonts w:ascii="Calibri" w:hAnsi="Calibri" w:cs="Calibri"/>
          <w:i/>
          <w:iCs/>
        </w:rPr>
        <w:t>of the RBS Group Pension Fund</w:t>
      </w:r>
      <w:r w:rsidR="0047266B">
        <w:rPr>
          <w:rFonts w:ascii="Calibri" w:hAnsi="Calibri" w:cs="Calibri"/>
          <w:i/>
          <w:iCs/>
        </w:rPr>
        <w:t>.</w:t>
      </w:r>
      <w:r w:rsidRPr="00486E19">
        <w:rPr>
          <w:rFonts w:ascii="Calibri" w:hAnsi="Calibri" w:cs="Calibri"/>
          <w:i/>
          <w:iCs/>
        </w:rPr>
        <w:t xml:space="preserve"> </w:t>
      </w:r>
      <w:r w:rsidR="0047266B" w:rsidRPr="00DF5BD2">
        <w:rPr>
          <w:rFonts w:ascii="Calibri" w:hAnsi="Calibri" w:cs="Calibri"/>
          <w:i/>
          <w:iCs/>
        </w:rPr>
        <w:t>With these proposed payments, together with the one-off contribution into the Fund in Q1 2016</w:t>
      </w:r>
      <w:r w:rsidR="00E36C92">
        <w:rPr>
          <w:rFonts w:ascii="Calibri" w:hAnsi="Calibri" w:cs="Calibri"/>
          <w:i/>
          <w:iCs/>
        </w:rPr>
        <w:t xml:space="preserve"> </w:t>
      </w:r>
      <w:r w:rsidR="0047266B" w:rsidRPr="00DF5BD2">
        <w:rPr>
          <w:rFonts w:ascii="Calibri" w:hAnsi="Calibri" w:cs="Calibri"/>
          <w:i/>
          <w:iCs/>
        </w:rPr>
        <w:t xml:space="preserve">we will have substantially addressed the historical funding weakness that existed in the Fund </w:t>
      </w:r>
      <w:r w:rsidR="00E36C92">
        <w:rPr>
          <w:rFonts w:ascii="Calibri" w:hAnsi="Calibri" w:cs="Calibri"/>
          <w:i/>
          <w:iCs/>
        </w:rPr>
        <w:t xml:space="preserve">and </w:t>
      </w:r>
      <w:r w:rsidR="00E36C92" w:rsidRPr="00E36C92">
        <w:rPr>
          <w:rFonts w:ascii="Calibri" w:hAnsi="Calibri" w:cs="Calibri"/>
          <w:i/>
          <w:iCs/>
        </w:rPr>
        <w:t>brought clarity to future funding arrangements</w:t>
      </w:r>
      <w:r w:rsidR="0047266B" w:rsidRPr="00DF5BD2">
        <w:rPr>
          <w:rFonts w:ascii="Calibri" w:hAnsi="Calibri" w:cs="Calibri"/>
          <w:i/>
          <w:iCs/>
        </w:rPr>
        <w:t>.  For our shareholders, this MoU represents a further important milestone towards the resumption of capital distributions.</w:t>
      </w:r>
      <w:r w:rsidRPr="00DF5BD2">
        <w:rPr>
          <w:rFonts w:ascii="Calibri" w:hAnsi="Calibri" w:cs="Calibri"/>
          <w:iCs/>
        </w:rPr>
        <w:t>”</w:t>
      </w:r>
    </w:p>
    <w:p w14:paraId="6C67ACBA" w14:textId="77777777" w:rsidR="00FE5A06" w:rsidRPr="0099671A" w:rsidRDefault="00FE5A06" w:rsidP="00FE5A06">
      <w:pPr>
        <w:jc w:val="both"/>
        <w:rPr>
          <w:rFonts w:ascii="Calibri" w:hAnsi="Calibri" w:cs="Calibri"/>
        </w:rPr>
      </w:pPr>
    </w:p>
    <w:p w14:paraId="208F52C4" w14:textId="2FC66EAB" w:rsidR="00625967" w:rsidRPr="00625967" w:rsidRDefault="00625967" w:rsidP="00625967">
      <w:pPr>
        <w:jc w:val="both"/>
        <w:rPr>
          <w:rFonts w:ascii="Calibri" w:hAnsi="Calibri" w:cs="Calibri"/>
        </w:rPr>
      </w:pPr>
      <w:r w:rsidRPr="00625967">
        <w:rPr>
          <w:rFonts w:ascii="Calibri" w:hAnsi="Calibri" w:cs="Calibri"/>
        </w:rPr>
        <w:t>Ewen Stevenson will host a conference call for investors and analysts at 3.</w:t>
      </w:r>
      <w:r w:rsidR="0053408A">
        <w:rPr>
          <w:rFonts w:ascii="Calibri" w:hAnsi="Calibri" w:cs="Calibri"/>
        </w:rPr>
        <w:t>3</w:t>
      </w:r>
      <w:r w:rsidRPr="00625967">
        <w:rPr>
          <w:rFonts w:ascii="Calibri" w:hAnsi="Calibri" w:cs="Calibri"/>
        </w:rPr>
        <w:t xml:space="preserve">0pm UK time today. A replay of the call will be made available shortly afterwards. Only items relating to the above announcement will be discussed on the call; there will be no references </w:t>
      </w:r>
      <w:r w:rsidR="00787790">
        <w:rPr>
          <w:rFonts w:ascii="Calibri" w:hAnsi="Calibri" w:cs="Calibri"/>
        </w:rPr>
        <w:t>or</w:t>
      </w:r>
      <w:r w:rsidR="00787790" w:rsidRPr="00625967">
        <w:rPr>
          <w:rFonts w:ascii="Calibri" w:hAnsi="Calibri" w:cs="Calibri"/>
        </w:rPr>
        <w:t xml:space="preserve"> </w:t>
      </w:r>
      <w:r w:rsidRPr="00625967">
        <w:rPr>
          <w:rFonts w:ascii="Calibri" w:hAnsi="Calibri" w:cs="Calibri"/>
        </w:rPr>
        <w:t xml:space="preserve">discussion relating to other matters </w:t>
      </w:r>
      <w:r w:rsidR="00787790">
        <w:rPr>
          <w:rFonts w:ascii="Calibri" w:hAnsi="Calibri" w:cs="Calibri"/>
        </w:rPr>
        <w:t>or</w:t>
      </w:r>
      <w:r w:rsidR="00787790" w:rsidRPr="00625967">
        <w:rPr>
          <w:rFonts w:ascii="Calibri" w:hAnsi="Calibri" w:cs="Calibri"/>
        </w:rPr>
        <w:t xml:space="preserve"> </w:t>
      </w:r>
      <w:r w:rsidRPr="00625967">
        <w:rPr>
          <w:rFonts w:ascii="Calibri" w:hAnsi="Calibri" w:cs="Calibri"/>
        </w:rPr>
        <w:t>the Q1 2018 results.</w:t>
      </w:r>
    </w:p>
    <w:p w14:paraId="3566F27C" w14:textId="77777777" w:rsidR="00625967" w:rsidRPr="00625967" w:rsidRDefault="00625967" w:rsidP="00625967">
      <w:pPr>
        <w:jc w:val="both"/>
        <w:rPr>
          <w:rFonts w:ascii="Calibri" w:hAnsi="Calibri" w:cs="Calibri"/>
        </w:rPr>
      </w:pPr>
    </w:p>
    <w:p w14:paraId="49714B40" w14:textId="77777777" w:rsidR="00625967" w:rsidRPr="00625967" w:rsidRDefault="00625967" w:rsidP="00625967">
      <w:pPr>
        <w:jc w:val="both"/>
        <w:rPr>
          <w:rFonts w:ascii="Calibri" w:hAnsi="Calibri" w:cs="Calibri"/>
          <w:u w:val="single"/>
        </w:rPr>
      </w:pPr>
      <w:r w:rsidRPr="00625967">
        <w:rPr>
          <w:rFonts w:ascii="Calibri" w:hAnsi="Calibri" w:cs="Calibri"/>
          <w:u w:val="single"/>
        </w:rPr>
        <w:t>Dial-in details:</w:t>
      </w:r>
    </w:p>
    <w:p w14:paraId="1A60A5AD" w14:textId="357911CF" w:rsidR="00625967" w:rsidRPr="00625967" w:rsidRDefault="00625967" w:rsidP="00625967">
      <w:pPr>
        <w:jc w:val="both"/>
        <w:rPr>
          <w:rFonts w:ascii="Calibri" w:hAnsi="Calibri" w:cs="Calibri"/>
        </w:rPr>
      </w:pPr>
      <w:r w:rsidRPr="00625967">
        <w:rPr>
          <w:rFonts w:ascii="Calibri" w:hAnsi="Calibri" w:cs="Calibri"/>
        </w:rPr>
        <w:t xml:space="preserve">UK: </w:t>
      </w:r>
      <w:r w:rsidR="0053408A" w:rsidRPr="0053408A">
        <w:rPr>
          <w:rFonts w:ascii="Calibri" w:hAnsi="Calibri" w:cs="Calibri"/>
        </w:rPr>
        <w:t>0800</w:t>
      </w:r>
      <w:r w:rsidR="0053408A">
        <w:rPr>
          <w:rFonts w:ascii="Calibri" w:hAnsi="Calibri" w:cs="Calibri"/>
        </w:rPr>
        <w:t xml:space="preserve"> </w:t>
      </w:r>
      <w:r w:rsidR="0053408A" w:rsidRPr="0053408A">
        <w:rPr>
          <w:rFonts w:ascii="Calibri" w:hAnsi="Calibri" w:cs="Calibri"/>
        </w:rPr>
        <w:t>279</w:t>
      </w:r>
      <w:r w:rsidR="0053408A">
        <w:rPr>
          <w:rFonts w:ascii="Calibri" w:hAnsi="Calibri" w:cs="Calibri"/>
        </w:rPr>
        <w:t xml:space="preserve"> </w:t>
      </w:r>
      <w:r w:rsidR="0053408A" w:rsidRPr="0053408A">
        <w:rPr>
          <w:rFonts w:ascii="Calibri" w:hAnsi="Calibri" w:cs="Calibri"/>
        </w:rPr>
        <w:t>6637</w:t>
      </w:r>
    </w:p>
    <w:p w14:paraId="08C0A602" w14:textId="067212D0" w:rsidR="00625967" w:rsidRPr="00625967" w:rsidRDefault="00625967" w:rsidP="00625967">
      <w:pPr>
        <w:jc w:val="both"/>
        <w:rPr>
          <w:rFonts w:ascii="Calibri" w:hAnsi="Calibri" w:cs="Calibri"/>
        </w:rPr>
      </w:pPr>
      <w:r w:rsidRPr="00625967">
        <w:rPr>
          <w:rFonts w:ascii="Calibri" w:hAnsi="Calibri" w:cs="Calibri"/>
        </w:rPr>
        <w:t xml:space="preserve">International: </w:t>
      </w:r>
      <w:r w:rsidR="0053408A" w:rsidRPr="0053408A">
        <w:rPr>
          <w:rFonts w:ascii="Calibri" w:hAnsi="Calibri" w:cs="Calibri"/>
        </w:rPr>
        <w:t>+44 (0) 20 3009 5755</w:t>
      </w:r>
      <w:r w:rsidR="0053408A" w:rsidRPr="0053408A" w:rsidDel="0053408A">
        <w:rPr>
          <w:rFonts w:ascii="Calibri" w:hAnsi="Calibri" w:cs="Calibri"/>
        </w:rPr>
        <w:t xml:space="preserve"> </w:t>
      </w:r>
    </w:p>
    <w:p w14:paraId="570E7E58" w14:textId="2D43ACF0" w:rsidR="00625967" w:rsidRDefault="0053408A" w:rsidP="00FE5A06">
      <w:pPr>
        <w:jc w:val="both"/>
        <w:rPr>
          <w:rFonts w:ascii="Calibri" w:hAnsi="Calibri" w:cs="Calibri"/>
        </w:rPr>
      </w:pPr>
      <w:r>
        <w:rPr>
          <w:rFonts w:ascii="Calibri" w:hAnsi="Calibri" w:cs="Calibri"/>
        </w:rPr>
        <w:t xml:space="preserve">Conference Code: </w:t>
      </w:r>
      <w:r w:rsidRPr="0053408A">
        <w:rPr>
          <w:rFonts w:ascii="Calibri" w:hAnsi="Calibri" w:cs="Calibri"/>
        </w:rPr>
        <w:t>4789928</w:t>
      </w:r>
    </w:p>
    <w:p w14:paraId="6F487AB7" w14:textId="77777777" w:rsidR="0053408A" w:rsidRDefault="0053408A" w:rsidP="00FE5A06">
      <w:pPr>
        <w:jc w:val="both"/>
        <w:rPr>
          <w:rFonts w:ascii="Calibri" w:hAnsi="Calibri" w:cs="Calibri"/>
        </w:rPr>
      </w:pPr>
    </w:p>
    <w:p w14:paraId="605A4ECF" w14:textId="7F06435B" w:rsidR="00FE5A06" w:rsidRPr="0099671A" w:rsidRDefault="00FE5A06" w:rsidP="00FE5A06">
      <w:pPr>
        <w:jc w:val="both"/>
        <w:rPr>
          <w:rFonts w:ascii="Calibri" w:hAnsi="Calibri" w:cs="Calibri"/>
        </w:rPr>
      </w:pPr>
      <w:r w:rsidRPr="0099671A">
        <w:rPr>
          <w:rFonts w:ascii="Calibri" w:hAnsi="Calibri" w:cs="Calibri"/>
        </w:rPr>
        <w:t>RBS will announce its Q1 2018 results on 27 April 2018.</w:t>
      </w:r>
    </w:p>
    <w:p w14:paraId="038E42FB" w14:textId="77777777" w:rsidR="00FE5A06" w:rsidRDefault="00FE5A06" w:rsidP="00A96FFA">
      <w:pPr>
        <w:rPr>
          <w:rFonts w:ascii="Calibri" w:hAnsi="Calibri" w:cs="Calibri"/>
        </w:rPr>
      </w:pPr>
    </w:p>
    <w:p w14:paraId="03AC3A41" w14:textId="77777777" w:rsidR="00BA032E" w:rsidRDefault="00BA032E" w:rsidP="00A96FFA">
      <w:pPr>
        <w:rPr>
          <w:rFonts w:ascii="Calibri" w:hAnsi="Calibri" w:cs="Calibri"/>
        </w:rPr>
      </w:pPr>
      <w:r>
        <w:rPr>
          <w:rFonts w:ascii="Calibri" w:hAnsi="Calibri" w:cs="Calibri"/>
        </w:rPr>
        <w:t xml:space="preserve">For further information, please contact: </w:t>
      </w:r>
    </w:p>
    <w:p w14:paraId="01438365" w14:textId="77777777" w:rsidR="00BA032E" w:rsidRPr="0099671A" w:rsidRDefault="00BA032E" w:rsidP="00A96FFA">
      <w:pPr>
        <w:rPr>
          <w:rFonts w:ascii="Calibri" w:hAnsi="Calibri" w:cs="Calibri"/>
        </w:rPr>
      </w:pPr>
    </w:p>
    <w:p w14:paraId="16145A83" w14:textId="77777777" w:rsidR="00A96FFA" w:rsidRPr="0099671A" w:rsidRDefault="00A96FFA" w:rsidP="00A96FFA">
      <w:pPr>
        <w:rPr>
          <w:rFonts w:ascii="Calibri" w:hAnsi="Calibri" w:cs="Calibri"/>
          <w:b/>
          <w:bCs/>
        </w:rPr>
      </w:pPr>
      <w:r w:rsidRPr="0099671A">
        <w:rPr>
          <w:rFonts w:ascii="Calibri" w:hAnsi="Calibri" w:cs="Calibri"/>
          <w:b/>
          <w:bCs/>
        </w:rPr>
        <w:t xml:space="preserve">Investor Relations </w:t>
      </w:r>
    </w:p>
    <w:p w14:paraId="25E11C80" w14:textId="77777777" w:rsidR="00A96FFA" w:rsidRPr="0099671A" w:rsidRDefault="00A96FFA" w:rsidP="00A96FFA">
      <w:pPr>
        <w:rPr>
          <w:rFonts w:ascii="Calibri" w:hAnsi="Calibri" w:cs="Calibri"/>
        </w:rPr>
      </w:pPr>
      <w:r w:rsidRPr="0099671A">
        <w:rPr>
          <w:rFonts w:ascii="Calibri" w:hAnsi="Calibri" w:cs="Calibri"/>
        </w:rPr>
        <w:t>Matt Waymark</w:t>
      </w:r>
    </w:p>
    <w:p w14:paraId="480F0F5D" w14:textId="77777777" w:rsidR="00A96FFA" w:rsidRPr="0099671A" w:rsidRDefault="00A96FFA" w:rsidP="00A96FFA">
      <w:pPr>
        <w:rPr>
          <w:rFonts w:ascii="Calibri" w:hAnsi="Calibri" w:cs="Calibri"/>
        </w:rPr>
      </w:pPr>
      <w:r w:rsidRPr="0099671A">
        <w:rPr>
          <w:rFonts w:ascii="Calibri" w:hAnsi="Calibri" w:cs="Calibri"/>
        </w:rPr>
        <w:t>Head of Investor Relations</w:t>
      </w:r>
    </w:p>
    <w:p w14:paraId="04CD2F1B" w14:textId="5E20403B" w:rsidR="00A96FFA" w:rsidRDefault="00A96FFA" w:rsidP="00A96FFA">
      <w:pPr>
        <w:rPr>
          <w:rFonts w:ascii="Calibri" w:hAnsi="Calibri" w:cs="Calibri"/>
        </w:rPr>
      </w:pPr>
      <w:r w:rsidRPr="0099671A">
        <w:rPr>
          <w:rFonts w:ascii="Calibri" w:hAnsi="Calibri" w:cs="Calibri"/>
        </w:rPr>
        <w:t xml:space="preserve">+44 (0) </w:t>
      </w:r>
      <w:r w:rsidR="006C505D">
        <w:rPr>
          <w:rFonts w:ascii="Calibri" w:hAnsi="Calibri" w:cs="Calibri"/>
        </w:rPr>
        <w:t>207</w:t>
      </w:r>
      <w:r w:rsidR="006C505D" w:rsidRPr="0099671A">
        <w:rPr>
          <w:rFonts w:ascii="Calibri" w:hAnsi="Calibri" w:cs="Calibri"/>
        </w:rPr>
        <w:t xml:space="preserve"> </w:t>
      </w:r>
      <w:r w:rsidR="006C505D">
        <w:rPr>
          <w:rFonts w:ascii="Calibri" w:hAnsi="Calibri" w:cs="Calibri"/>
        </w:rPr>
        <w:t>672 1758</w:t>
      </w:r>
    </w:p>
    <w:p w14:paraId="4E94BF2D" w14:textId="77777777" w:rsidR="00A96FFA" w:rsidRPr="0099671A" w:rsidRDefault="00A96FFA" w:rsidP="00A96FFA">
      <w:pPr>
        <w:rPr>
          <w:rFonts w:ascii="Calibri" w:hAnsi="Calibri" w:cs="Calibri"/>
        </w:rPr>
      </w:pPr>
    </w:p>
    <w:p w14:paraId="3B770D2C" w14:textId="77777777" w:rsidR="00A96FFA" w:rsidRPr="0099671A" w:rsidRDefault="00A96FFA" w:rsidP="00A96FFA">
      <w:pPr>
        <w:rPr>
          <w:rFonts w:ascii="Calibri" w:hAnsi="Calibri" w:cs="Calibri"/>
          <w:b/>
          <w:bCs/>
        </w:rPr>
      </w:pPr>
      <w:r w:rsidRPr="0099671A">
        <w:rPr>
          <w:rFonts w:ascii="Calibri" w:hAnsi="Calibri" w:cs="Calibri"/>
          <w:b/>
          <w:bCs/>
        </w:rPr>
        <w:t>RBS Media Relations</w:t>
      </w:r>
    </w:p>
    <w:p w14:paraId="61411312" w14:textId="77777777" w:rsidR="00A96FFA" w:rsidRPr="0099671A" w:rsidRDefault="00A96FFA" w:rsidP="00A96FFA">
      <w:pPr>
        <w:rPr>
          <w:rFonts w:ascii="Calibri" w:hAnsi="Calibri" w:cs="Calibri"/>
        </w:rPr>
      </w:pPr>
      <w:r w:rsidRPr="0099671A">
        <w:rPr>
          <w:rFonts w:ascii="Calibri" w:hAnsi="Calibri" w:cs="Calibri"/>
        </w:rPr>
        <w:t>+44 (0) 131 523 4205</w:t>
      </w:r>
    </w:p>
    <w:p w14:paraId="18857B53" w14:textId="77777777" w:rsidR="00A96FFA" w:rsidRDefault="00A96FFA" w:rsidP="00A96FFA">
      <w:pPr>
        <w:jc w:val="both"/>
        <w:rPr>
          <w:rFonts w:ascii="Calibri" w:hAnsi="Calibri" w:cs="Calibri"/>
          <w:b/>
          <w:bCs/>
        </w:rPr>
      </w:pPr>
    </w:p>
    <w:p w14:paraId="76FF5290" w14:textId="77777777" w:rsidR="00F859EA" w:rsidRPr="0099671A" w:rsidRDefault="00F859EA" w:rsidP="00F859EA">
      <w:pPr>
        <w:jc w:val="both"/>
        <w:rPr>
          <w:rFonts w:ascii="Calibri" w:hAnsi="Calibri" w:cs="Calibri"/>
          <w:b/>
          <w:bCs/>
          <w:iCs/>
        </w:rPr>
      </w:pPr>
      <w:r w:rsidRPr="0099671A">
        <w:rPr>
          <w:rFonts w:ascii="Calibri" w:hAnsi="Calibri" w:cs="Calibri"/>
          <w:b/>
          <w:bCs/>
          <w:iCs/>
        </w:rPr>
        <w:t>MAR – Inside Information</w:t>
      </w:r>
    </w:p>
    <w:p w14:paraId="3C0F5FF0" w14:textId="77777777" w:rsidR="00F859EA" w:rsidRPr="0099671A" w:rsidRDefault="00F859EA" w:rsidP="00F859EA">
      <w:pPr>
        <w:jc w:val="both"/>
        <w:rPr>
          <w:rFonts w:ascii="Calibri" w:hAnsi="Calibri" w:cs="Calibri"/>
          <w:bCs/>
          <w:iCs/>
        </w:rPr>
      </w:pPr>
    </w:p>
    <w:p w14:paraId="34E05D2B" w14:textId="77777777" w:rsidR="00F859EA" w:rsidRPr="00F859EA" w:rsidRDefault="00F859EA" w:rsidP="00F859EA">
      <w:pPr>
        <w:jc w:val="both"/>
        <w:rPr>
          <w:rFonts w:ascii="Calibri" w:hAnsi="Calibri" w:cs="Calibri"/>
          <w:b/>
          <w:bCs/>
          <w:iCs/>
        </w:rPr>
      </w:pPr>
      <w:r w:rsidRPr="004B15E7">
        <w:rPr>
          <w:rFonts w:ascii="Calibri" w:hAnsi="Calibri" w:cs="Calibri"/>
          <w:bCs/>
          <w:iCs/>
        </w:rPr>
        <w:t>This announcement Includes Inside information which is a disclosure required by the European Union Market Abuse Regulation EU 596/2014 of 16 April 2014. “Inside Information” is used as defined in that Regulation.</w:t>
      </w:r>
    </w:p>
    <w:p w14:paraId="68E5CF0A" w14:textId="77777777" w:rsidR="00F859EA" w:rsidRDefault="00F859EA" w:rsidP="00A96FFA">
      <w:pPr>
        <w:jc w:val="both"/>
        <w:rPr>
          <w:rFonts w:ascii="Calibri" w:hAnsi="Calibri" w:cs="Calibri"/>
          <w:b/>
          <w:bCs/>
        </w:rPr>
      </w:pPr>
    </w:p>
    <w:p w14:paraId="1038EFF8" w14:textId="77777777" w:rsidR="00F859EA" w:rsidRPr="0099671A" w:rsidRDefault="00F859EA" w:rsidP="00A96FFA">
      <w:pPr>
        <w:jc w:val="both"/>
        <w:rPr>
          <w:rFonts w:ascii="Calibri" w:hAnsi="Calibri" w:cs="Calibri"/>
          <w:b/>
          <w:bCs/>
        </w:rPr>
      </w:pPr>
    </w:p>
    <w:p w14:paraId="53D8D433" w14:textId="77777777" w:rsidR="00A96FFA" w:rsidRPr="0099671A" w:rsidRDefault="00A96FFA" w:rsidP="00A96FFA">
      <w:pPr>
        <w:jc w:val="both"/>
        <w:rPr>
          <w:rFonts w:ascii="Calibri" w:hAnsi="Calibri" w:cs="Calibri"/>
          <w:b/>
          <w:bCs/>
        </w:rPr>
      </w:pPr>
      <w:r w:rsidRPr="0099671A">
        <w:rPr>
          <w:rFonts w:ascii="Calibri" w:hAnsi="Calibri" w:cs="Calibri"/>
          <w:b/>
          <w:bCs/>
        </w:rPr>
        <w:t>Forward-looking statements</w:t>
      </w:r>
    </w:p>
    <w:p w14:paraId="40519972" w14:textId="77777777" w:rsidR="00A96FFA" w:rsidRPr="0099671A" w:rsidRDefault="00A96FFA" w:rsidP="00A96FFA">
      <w:pPr>
        <w:jc w:val="both"/>
        <w:rPr>
          <w:rFonts w:ascii="Calibri" w:hAnsi="Calibri" w:cs="Calibri"/>
        </w:rPr>
      </w:pPr>
      <w:r w:rsidRPr="0099671A">
        <w:rPr>
          <w:rFonts w:ascii="Calibri" w:hAnsi="Calibri" w:cs="Calibri"/>
        </w:rPr>
        <w:t>This document contains forward-looking statements within the meaning of the United States Private Securities Litigation Reform Act of 1995, including (but not limited to) those related to RBS and its subsidiaries' regulatory capital position and requirements, financial position, future pension funding and contribution requirements, ongoing litigation and regulatory investigations, profitability and financial performance (including financial performance targets), structural reform and the implementation of the UK ring-fencing regime, the implementation of RBS’s restructuring and transformation programme, impairment losses and credit exposures under certain specified scenarios, increasing competition from new incumbents and disruptive technologies and RBS’s exposure to political risks, operational risk, conduct risk, cyber and IT risk and credit rating risk. In addition, forward-looking statements may include, without limitation, the words ‘expect’, ‘estimate’, ‘project’, ‘anticipate’, ‘commit’, ‘believe’, ‘should’, ‘intend’, ‘plan’, ‘could’, ‘probability’, ‘risk’, ‘Value-at-Risk (</w:t>
      </w:r>
      <w:proofErr w:type="spellStart"/>
      <w:r w:rsidRPr="0099671A">
        <w:rPr>
          <w:rFonts w:ascii="Calibri" w:hAnsi="Calibri" w:cs="Calibri"/>
        </w:rPr>
        <w:t>VaR</w:t>
      </w:r>
      <w:proofErr w:type="spellEnd"/>
      <w:r w:rsidRPr="0099671A">
        <w:rPr>
          <w:rFonts w:ascii="Calibri" w:hAnsi="Calibri" w:cs="Calibri"/>
        </w:rPr>
        <w:t xml:space="preserve">)’, ‘target’, ‘goal’, ‘objective’, ‘may’, ‘endeavour’, ‘outlook’, ‘optimistic’, ‘prospects’ and similar expressions or variations on these expressions. These statements concern or may affect future matters, such as RBS's future economic results, business plans and current strategies. Forward-looking statements are subject to a number of risks and uncertainties that might cause actual results and performance to differ materially from any expected future results or performance expressed or implied by the forward-looking statements. Factors that could cause or contribute to differences in current expectations include, but are not limited to, legislative, political, fiscal and regulatory developments, accounting standards, competitive conditions, technological developments, interest and exchange rate fluctuations and general economic conditions. These and other factors, risks and uncertainties that may impact any forward-looking statement or RBS's actual results are discussed in RBS's UK 2017 Annual Report and Accounts (ARA). The forward-looking statements contained in this document speak only as of the date of this document and RBS does not assume or undertake any obligation or responsibility to update any of the forward-looking statements contained in this </w:t>
      </w:r>
      <w:r w:rsidRPr="0099671A">
        <w:rPr>
          <w:rFonts w:ascii="Calibri" w:hAnsi="Calibri" w:cs="Calibri"/>
        </w:rPr>
        <w:lastRenderedPageBreak/>
        <w:t>document, whether as a result of new information, future events or otherwise, except to the extent legally required.</w:t>
      </w:r>
    </w:p>
    <w:p w14:paraId="157879FE" w14:textId="77777777" w:rsidR="00A96FFA" w:rsidRPr="004D6A1F" w:rsidRDefault="00A96FFA" w:rsidP="00A96FFA">
      <w:pPr>
        <w:jc w:val="both"/>
        <w:rPr>
          <w:rFonts w:ascii="Calibri" w:hAnsi="Calibri" w:cs="Calibri"/>
          <w:b/>
          <w:bCs/>
          <w:i/>
          <w:iCs/>
          <w:lang w:val="en-US"/>
        </w:rPr>
      </w:pPr>
    </w:p>
    <w:p w14:paraId="597B2D36" w14:textId="77777777" w:rsidR="00A96FFA" w:rsidRPr="0099671A" w:rsidRDefault="00A96FFA" w:rsidP="00A96FFA">
      <w:pPr>
        <w:rPr>
          <w:rFonts w:ascii="Calibri" w:hAnsi="Calibri" w:cs="Calibri"/>
        </w:rPr>
      </w:pPr>
    </w:p>
    <w:tbl>
      <w:tblPr>
        <w:tblW w:w="0" w:type="auto"/>
        <w:tblCellMar>
          <w:left w:w="0" w:type="dxa"/>
          <w:right w:w="0" w:type="dxa"/>
        </w:tblCellMar>
        <w:tblLook w:val="04A0" w:firstRow="1" w:lastRow="0" w:firstColumn="1" w:lastColumn="0" w:noHBand="0" w:noVBand="1"/>
      </w:tblPr>
      <w:tblGrid>
        <w:gridCol w:w="5087"/>
        <w:gridCol w:w="4541"/>
      </w:tblGrid>
      <w:tr w:rsidR="00644148" w:rsidRPr="00FE5A06" w14:paraId="2BBF8B46" w14:textId="77777777" w:rsidTr="00644148">
        <w:tc>
          <w:tcPr>
            <w:tcW w:w="5087" w:type="dxa"/>
            <w:tcMar>
              <w:top w:w="0" w:type="dxa"/>
              <w:left w:w="108" w:type="dxa"/>
              <w:bottom w:w="0" w:type="dxa"/>
              <w:right w:w="108" w:type="dxa"/>
            </w:tcMar>
          </w:tcPr>
          <w:p w14:paraId="658252FF" w14:textId="77777777" w:rsidR="00644148" w:rsidRPr="0099671A" w:rsidRDefault="00644148">
            <w:pPr>
              <w:rPr>
                <w:rFonts w:ascii="Calibri" w:hAnsi="Calibri" w:cs="Calibri"/>
                <w:color w:val="333333"/>
                <w:lang w:eastAsia="en-GB"/>
              </w:rPr>
            </w:pPr>
          </w:p>
        </w:tc>
        <w:tc>
          <w:tcPr>
            <w:tcW w:w="4541" w:type="dxa"/>
            <w:tcMar>
              <w:top w:w="0" w:type="dxa"/>
              <w:left w:w="108" w:type="dxa"/>
              <w:bottom w:w="0" w:type="dxa"/>
              <w:right w:w="108" w:type="dxa"/>
            </w:tcMar>
            <w:hideMark/>
          </w:tcPr>
          <w:p w14:paraId="53B6ED6F" w14:textId="77777777" w:rsidR="00644148" w:rsidRPr="0099671A" w:rsidRDefault="00644148">
            <w:pPr>
              <w:rPr>
                <w:rFonts w:ascii="Calibri" w:hAnsi="Calibri" w:cs="Calibri"/>
                <w:color w:val="333333"/>
                <w:lang w:eastAsia="en-GB"/>
              </w:rPr>
            </w:pPr>
            <w:r w:rsidRPr="0099671A">
              <w:rPr>
                <w:rFonts w:ascii="Calibri" w:hAnsi="Calibri" w:cs="Calibri"/>
                <w:color w:val="333333"/>
                <w:lang w:eastAsia="en-GB"/>
              </w:rPr>
              <w:t>Legal Entity Identifier</w:t>
            </w:r>
          </w:p>
        </w:tc>
      </w:tr>
      <w:tr w:rsidR="00644148" w:rsidRPr="00FE5A06" w14:paraId="13B89ABC" w14:textId="77777777" w:rsidTr="00644148">
        <w:tc>
          <w:tcPr>
            <w:tcW w:w="5087" w:type="dxa"/>
            <w:tcMar>
              <w:top w:w="0" w:type="dxa"/>
              <w:left w:w="108" w:type="dxa"/>
              <w:bottom w:w="0" w:type="dxa"/>
              <w:right w:w="108" w:type="dxa"/>
            </w:tcMar>
            <w:hideMark/>
          </w:tcPr>
          <w:p w14:paraId="6E4ECF00" w14:textId="77777777" w:rsidR="00644148" w:rsidRPr="0099671A" w:rsidRDefault="00644148">
            <w:pPr>
              <w:rPr>
                <w:rFonts w:ascii="Calibri" w:hAnsi="Calibri" w:cs="Calibri"/>
                <w:color w:val="333333"/>
                <w:lang w:eastAsia="en-GB"/>
              </w:rPr>
            </w:pPr>
            <w:r w:rsidRPr="0099671A">
              <w:rPr>
                <w:rFonts w:ascii="Calibri" w:hAnsi="Calibri" w:cs="Calibri"/>
                <w:color w:val="333333"/>
                <w:lang w:eastAsia="en-GB"/>
              </w:rPr>
              <w:t xml:space="preserve">The Royal Bank of Scotland Group plc </w:t>
            </w:r>
          </w:p>
        </w:tc>
        <w:tc>
          <w:tcPr>
            <w:tcW w:w="4541" w:type="dxa"/>
            <w:tcMar>
              <w:top w:w="0" w:type="dxa"/>
              <w:left w:w="108" w:type="dxa"/>
              <w:bottom w:w="0" w:type="dxa"/>
              <w:right w:w="108" w:type="dxa"/>
            </w:tcMar>
            <w:hideMark/>
          </w:tcPr>
          <w:p w14:paraId="60681348" w14:textId="77777777" w:rsidR="00644148" w:rsidRPr="0099671A" w:rsidRDefault="00644148">
            <w:pPr>
              <w:rPr>
                <w:rFonts w:ascii="Calibri" w:hAnsi="Calibri" w:cs="Calibri"/>
                <w:color w:val="333333"/>
                <w:lang w:eastAsia="en-GB"/>
              </w:rPr>
            </w:pPr>
            <w:r w:rsidRPr="0099671A">
              <w:rPr>
                <w:rFonts w:ascii="Calibri" w:hAnsi="Calibri" w:cs="Calibri"/>
                <w:color w:val="333333"/>
                <w:lang w:eastAsia="en-GB"/>
              </w:rPr>
              <w:t>2138005O9XJIJN4JPN90</w:t>
            </w:r>
          </w:p>
        </w:tc>
      </w:tr>
      <w:tr w:rsidR="00644148" w:rsidRPr="00FE5A06" w14:paraId="1E25F52A" w14:textId="77777777" w:rsidTr="00644148">
        <w:tc>
          <w:tcPr>
            <w:tcW w:w="5087" w:type="dxa"/>
            <w:tcMar>
              <w:top w:w="0" w:type="dxa"/>
              <w:left w:w="108" w:type="dxa"/>
              <w:bottom w:w="0" w:type="dxa"/>
              <w:right w:w="108" w:type="dxa"/>
            </w:tcMar>
            <w:hideMark/>
          </w:tcPr>
          <w:p w14:paraId="2C14CF27" w14:textId="77777777" w:rsidR="00644148" w:rsidRPr="0099671A" w:rsidRDefault="00644148">
            <w:pPr>
              <w:rPr>
                <w:rFonts w:ascii="Calibri" w:hAnsi="Calibri" w:cs="Calibri"/>
                <w:color w:val="333333"/>
                <w:lang w:eastAsia="en-GB"/>
              </w:rPr>
            </w:pPr>
            <w:r w:rsidRPr="0099671A">
              <w:rPr>
                <w:rFonts w:ascii="Calibri" w:hAnsi="Calibri" w:cs="Calibri"/>
                <w:color w:val="333333"/>
                <w:lang w:eastAsia="en-GB"/>
              </w:rPr>
              <w:t xml:space="preserve">The Royal Bank of Scotland plc </w:t>
            </w:r>
          </w:p>
        </w:tc>
        <w:tc>
          <w:tcPr>
            <w:tcW w:w="4541" w:type="dxa"/>
            <w:tcMar>
              <w:top w:w="0" w:type="dxa"/>
              <w:left w:w="108" w:type="dxa"/>
              <w:bottom w:w="0" w:type="dxa"/>
              <w:right w:w="108" w:type="dxa"/>
            </w:tcMar>
            <w:hideMark/>
          </w:tcPr>
          <w:p w14:paraId="355BCF21" w14:textId="77777777" w:rsidR="00644148" w:rsidRPr="0099671A" w:rsidRDefault="00644148">
            <w:pPr>
              <w:rPr>
                <w:rFonts w:ascii="Calibri" w:hAnsi="Calibri" w:cs="Calibri"/>
                <w:color w:val="333333"/>
                <w:lang w:eastAsia="en-GB"/>
              </w:rPr>
            </w:pPr>
            <w:r w:rsidRPr="0099671A">
              <w:rPr>
                <w:rFonts w:ascii="Calibri" w:hAnsi="Calibri" w:cs="Calibri"/>
                <w:color w:val="333333"/>
                <w:lang w:eastAsia="en-GB"/>
              </w:rPr>
              <w:t>RR3QWICWWIPCS8A4S074</w:t>
            </w:r>
          </w:p>
        </w:tc>
      </w:tr>
      <w:tr w:rsidR="00644148" w:rsidRPr="00FE5A06" w14:paraId="6B486B95" w14:textId="77777777" w:rsidTr="00644148">
        <w:tc>
          <w:tcPr>
            <w:tcW w:w="5087" w:type="dxa"/>
            <w:tcMar>
              <w:top w:w="0" w:type="dxa"/>
              <w:left w:w="108" w:type="dxa"/>
              <w:bottom w:w="0" w:type="dxa"/>
              <w:right w:w="108" w:type="dxa"/>
            </w:tcMar>
            <w:hideMark/>
          </w:tcPr>
          <w:p w14:paraId="313B0D5F" w14:textId="77777777" w:rsidR="00644148" w:rsidRPr="0099671A" w:rsidRDefault="00644148">
            <w:pPr>
              <w:rPr>
                <w:rFonts w:ascii="Calibri" w:hAnsi="Calibri" w:cs="Calibri"/>
                <w:color w:val="333333"/>
                <w:lang w:eastAsia="en-GB"/>
              </w:rPr>
            </w:pPr>
            <w:r w:rsidRPr="0099671A">
              <w:rPr>
                <w:rFonts w:ascii="Calibri" w:hAnsi="Calibri" w:cs="Calibri"/>
                <w:color w:val="333333"/>
                <w:lang w:eastAsia="en-GB"/>
              </w:rPr>
              <w:t xml:space="preserve">National Westminster Bank Plc </w:t>
            </w:r>
          </w:p>
        </w:tc>
        <w:tc>
          <w:tcPr>
            <w:tcW w:w="4541" w:type="dxa"/>
            <w:tcMar>
              <w:top w:w="0" w:type="dxa"/>
              <w:left w:w="108" w:type="dxa"/>
              <w:bottom w:w="0" w:type="dxa"/>
              <w:right w:w="108" w:type="dxa"/>
            </w:tcMar>
            <w:hideMark/>
          </w:tcPr>
          <w:p w14:paraId="417CC96F" w14:textId="77777777" w:rsidR="00644148" w:rsidRPr="0099671A" w:rsidRDefault="00644148">
            <w:pPr>
              <w:rPr>
                <w:rFonts w:ascii="Calibri" w:hAnsi="Calibri" w:cs="Calibri"/>
                <w:color w:val="333333"/>
                <w:lang w:eastAsia="en-GB"/>
              </w:rPr>
            </w:pPr>
            <w:r w:rsidRPr="0099671A">
              <w:rPr>
                <w:rFonts w:ascii="Calibri" w:hAnsi="Calibri" w:cs="Calibri"/>
                <w:color w:val="333333"/>
                <w:lang w:eastAsia="en-GB"/>
              </w:rPr>
              <w:t>213800IBT39XQ9C4CP71</w:t>
            </w:r>
          </w:p>
        </w:tc>
      </w:tr>
      <w:tr w:rsidR="00644148" w:rsidRPr="00FE5A06" w14:paraId="4B445706" w14:textId="77777777" w:rsidTr="0099671A">
        <w:tc>
          <w:tcPr>
            <w:tcW w:w="5087" w:type="dxa"/>
            <w:tcMar>
              <w:top w:w="0" w:type="dxa"/>
              <w:left w:w="108" w:type="dxa"/>
              <w:bottom w:w="0" w:type="dxa"/>
              <w:right w:w="108" w:type="dxa"/>
            </w:tcMar>
          </w:tcPr>
          <w:p w14:paraId="54541F2D" w14:textId="77777777" w:rsidR="00644148" w:rsidRPr="0099671A" w:rsidRDefault="00644148" w:rsidP="00644148">
            <w:pPr>
              <w:rPr>
                <w:rFonts w:ascii="Calibri" w:hAnsi="Calibri" w:cs="Calibri"/>
                <w:color w:val="333333"/>
                <w:lang w:eastAsia="en-GB"/>
              </w:rPr>
            </w:pPr>
            <w:r w:rsidRPr="0099671A">
              <w:rPr>
                <w:rFonts w:ascii="Calibri" w:hAnsi="Calibri" w:cs="Calibri"/>
                <w:color w:val="333333"/>
                <w:lang w:eastAsia="en-GB"/>
              </w:rPr>
              <w:t>RBS International Limited</w:t>
            </w:r>
          </w:p>
        </w:tc>
        <w:tc>
          <w:tcPr>
            <w:tcW w:w="4541" w:type="dxa"/>
            <w:tcMar>
              <w:top w:w="0" w:type="dxa"/>
              <w:left w:w="108" w:type="dxa"/>
              <w:bottom w:w="0" w:type="dxa"/>
              <w:right w:w="108" w:type="dxa"/>
            </w:tcMar>
          </w:tcPr>
          <w:p w14:paraId="3A3CD857" w14:textId="77777777" w:rsidR="00644148" w:rsidRPr="0099671A" w:rsidRDefault="004D6A1F">
            <w:pPr>
              <w:rPr>
                <w:rFonts w:ascii="Calibri" w:hAnsi="Calibri" w:cs="Calibri"/>
                <w:lang w:eastAsia="en-GB"/>
              </w:rPr>
            </w:pPr>
            <w:r w:rsidRPr="004D6A1F">
              <w:rPr>
                <w:rFonts w:ascii="Calibri" w:hAnsi="Calibri" w:cs="Calibri"/>
                <w:lang w:eastAsia="en-GB"/>
              </w:rPr>
              <w:t>21380078CCZSEEIIKA41</w:t>
            </w:r>
          </w:p>
        </w:tc>
      </w:tr>
      <w:tr w:rsidR="00644148" w:rsidRPr="00FE5A06" w14:paraId="2A5398DD" w14:textId="77777777" w:rsidTr="0099671A">
        <w:tc>
          <w:tcPr>
            <w:tcW w:w="5087" w:type="dxa"/>
            <w:tcMar>
              <w:top w:w="0" w:type="dxa"/>
              <w:left w:w="108" w:type="dxa"/>
              <w:bottom w:w="0" w:type="dxa"/>
              <w:right w:w="108" w:type="dxa"/>
            </w:tcMar>
          </w:tcPr>
          <w:p w14:paraId="17CB5DB8" w14:textId="77777777" w:rsidR="00644148" w:rsidRPr="0099671A" w:rsidRDefault="00644148">
            <w:pPr>
              <w:rPr>
                <w:rFonts w:ascii="Calibri" w:hAnsi="Calibri" w:cs="Calibri"/>
                <w:lang w:eastAsia="en-GB"/>
              </w:rPr>
            </w:pPr>
          </w:p>
        </w:tc>
        <w:tc>
          <w:tcPr>
            <w:tcW w:w="4541" w:type="dxa"/>
            <w:tcMar>
              <w:top w:w="0" w:type="dxa"/>
              <w:left w:w="108" w:type="dxa"/>
              <w:bottom w:w="0" w:type="dxa"/>
              <w:right w:w="108" w:type="dxa"/>
            </w:tcMar>
          </w:tcPr>
          <w:p w14:paraId="6FD71BD4" w14:textId="77777777" w:rsidR="00644148" w:rsidRPr="0099671A" w:rsidRDefault="00644148">
            <w:pPr>
              <w:rPr>
                <w:rFonts w:ascii="Calibri" w:hAnsi="Calibri" w:cs="Calibri"/>
                <w:lang w:eastAsia="en-GB"/>
              </w:rPr>
            </w:pPr>
          </w:p>
        </w:tc>
      </w:tr>
      <w:tr w:rsidR="00644148" w:rsidRPr="00FE5A06" w14:paraId="7A84B727" w14:textId="77777777" w:rsidTr="0099671A">
        <w:tc>
          <w:tcPr>
            <w:tcW w:w="5087" w:type="dxa"/>
            <w:tcMar>
              <w:top w:w="0" w:type="dxa"/>
              <w:left w:w="108" w:type="dxa"/>
              <w:bottom w:w="0" w:type="dxa"/>
              <w:right w:w="108" w:type="dxa"/>
            </w:tcMar>
          </w:tcPr>
          <w:p w14:paraId="641C3212" w14:textId="77777777" w:rsidR="00644148" w:rsidRPr="004D6A1F" w:rsidRDefault="00644148">
            <w:pPr>
              <w:rPr>
                <w:color w:val="FF0000"/>
                <w:lang w:eastAsia="en-GB"/>
              </w:rPr>
            </w:pPr>
          </w:p>
        </w:tc>
        <w:tc>
          <w:tcPr>
            <w:tcW w:w="4541" w:type="dxa"/>
            <w:tcMar>
              <w:top w:w="0" w:type="dxa"/>
              <w:left w:w="108" w:type="dxa"/>
              <w:bottom w:w="0" w:type="dxa"/>
              <w:right w:w="108" w:type="dxa"/>
            </w:tcMar>
          </w:tcPr>
          <w:p w14:paraId="28B9C9F0" w14:textId="77777777" w:rsidR="00644148" w:rsidRPr="00776E97" w:rsidRDefault="00644148">
            <w:pPr>
              <w:rPr>
                <w:lang w:eastAsia="en-GB"/>
              </w:rPr>
            </w:pPr>
          </w:p>
        </w:tc>
      </w:tr>
      <w:tr w:rsidR="00644148" w:rsidRPr="00FE5A06" w14:paraId="6EEECE32" w14:textId="77777777" w:rsidTr="0099671A">
        <w:tc>
          <w:tcPr>
            <w:tcW w:w="5087" w:type="dxa"/>
            <w:tcMar>
              <w:top w:w="0" w:type="dxa"/>
              <w:left w:w="108" w:type="dxa"/>
              <w:bottom w:w="0" w:type="dxa"/>
              <w:right w:w="108" w:type="dxa"/>
            </w:tcMar>
          </w:tcPr>
          <w:p w14:paraId="5073517F" w14:textId="77777777" w:rsidR="00644148" w:rsidRPr="00FE5A06" w:rsidRDefault="00644148">
            <w:pPr>
              <w:rPr>
                <w:color w:val="FF0000"/>
                <w:lang w:eastAsia="en-GB"/>
              </w:rPr>
            </w:pPr>
          </w:p>
        </w:tc>
        <w:tc>
          <w:tcPr>
            <w:tcW w:w="4541" w:type="dxa"/>
            <w:tcMar>
              <w:top w:w="0" w:type="dxa"/>
              <w:left w:w="108" w:type="dxa"/>
              <w:bottom w:w="0" w:type="dxa"/>
              <w:right w:w="108" w:type="dxa"/>
            </w:tcMar>
          </w:tcPr>
          <w:p w14:paraId="730A586A" w14:textId="77777777" w:rsidR="00644148" w:rsidRPr="00FE5A06" w:rsidRDefault="00644148">
            <w:pPr>
              <w:rPr>
                <w:lang w:eastAsia="en-GB"/>
              </w:rPr>
            </w:pPr>
          </w:p>
        </w:tc>
      </w:tr>
    </w:tbl>
    <w:p w14:paraId="5A693F63" w14:textId="77777777" w:rsidR="00644148" w:rsidRPr="00FE5A06" w:rsidRDefault="00644148" w:rsidP="00BF4249">
      <w:pPr>
        <w:rPr>
          <w:rFonts w:ascii="Calibri" w:hAnsi="Calibri" w:cs="Calibri"/>
        </w:rPr>
      </w:pPr>
    </w:p>
    <w:sectPr w:rsidR="00644148" w:rsidRPr="00FE5A06" w:rsidSect="00050C51">
      <w:headerReference w:type="default" r:id="rId9"/>
      <w:pgSz w:w="11906" w:h="16838" w:code="9"/>
      <w:pgMar w:top="1247" w:right="1247" w:bottom="1247" w:left="1247"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293D59" w14:textId="77777777" w:rsidR="00271A72" w:rsidRDefault="00271A72" w:rsidP="00AA4E94">
      <w:r>
        <w:separator/>
      </w:r>
    </w:p>
  </w:endnote>
  <w:endnote w:type="continuationSeparator" w:id="0">
    <w:p w14:paraId="4CA80416" w14:textId="77777777" w:rsidR="00271A72" w:rsidRDefault="00271A72" w:rsidP="00AA4E94">
      <w:r>
        <w:continuationSeparator/>
      </w:r>
    </w:p>
  </w:endnote>
  <w:endnote w:type="continuationNotice" w:id="1">
    <w:p w14:paraId="7D01597A" w14:textId="77777777" w:rsidR="00271A72" w:rsidRDefault="00271A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FEA0F3" w14:textId="77777777" w:rsidR="00271A72" w:rsidRDefault="00271A72" w:rsidP="00AA4E94">
      <w:r>
        <w:separator/>
      </w:r>
    </w:p>
  </w:footnote>
  <w:footnote w:type="continuationSeparator" w:id="0">
    <w:p w14:paraId="64F26661" w14:textId="77777777" w:rsidR="00271A72" w:rsidRDefault="00271A72" w:rsidP="00AA4E94">
      <w:r>
        <w:continuationSeparator/>
      </w:r>
    </w:p>
  </w:footnote>
  <w:footnote w:type="continuationNotice" w:id="1">
    <w:p w14:paraId="2504F352" w14:textId="77777777" w:rsidR="00271A72" w:rsidRDefault="00271A7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CF457F" w14:textId="0E1E46A7" w:rsidR="00271A72" w:rsidRDefault="00625967">
    <w:pPr>
      <w:pStyle w:val="Header"/>
    </w:pPr>
    <w:r>
      <w:t>13/04/2018 10:33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7CAF228"/>
    <w:lvl w:ilvl="0">
      <w:start w:val="1"/>
      <w:numFmt w:val="decimal"/>
      <w:lvlText w:val="%1."/>
      <w:lvlJc w:val="left"/>
      <w:pPr>
        <w:tabs>
          <w:tab w:val="num" w:pos="1492"/>
        </w:tabs>
        <w:ind w:left="1492" w:hanging="360"/>
      </w:pPr>
    </w:lvl>
  </w:abstractNum>
  <w:abstractNum w:abstractNumId="1">
    <w:nsid w:val="FFFFFF7D"/>
    <w:multiLevelType w:val="singleLevel"/>
    <w:tmpl w:val="F36E8A52"/>
    <w:lvl w:ilvl="0">
      <w:start w:val="1"/>
      <w:numFmt w:val="decimal"/>
      <w:lvlText w:val="%1."/>
      <w:lvlJc w:val="left"/>
      <w:pPr>
        <w:tabs>
          <w:tab w:val="num" w:pos="1209"/>
        </w:tabs>
        <w:ind w:left="1209" w:hanging="360"/>
      </w:pPr>
    </w:lvl>
  </w:abstractNum>
  <w:abstractNum w:abstractNumId="2">
    <w:nsid w:val="FFFFFF7E"/>
    <w:multiLevelType w:val="singleLevel"/>
    <w:tmpl w:val="45B6BDD6"/>
    <w:lvl w:ilvl="0">
      <w:start w:val="1"/>
      <w:numFmt w:val="decimal"/>
      <w:lvlText w:val="%1."/>
      <w:lvlJc w:val="left"/>
      <w:pPr>
        <w:tabs>
          <w:tab w:val="num" w:pos="926"/>
        </w:tabs>
        <w:ind w:left="926" w:hanging="360"/>
      </w:pPr>
    </w:lvl>
  </w:abstractNum>
  <w:abstractNum w:abstractNumId="3">
    <w:nsid w:val="FFFFFF7F"/>
    <w:multiLevelType w:val="singleLevel"/>
    <w:tmpl w:val="22E8A504"/>
    <w:lvl w:ilvl="0">
      <w:start w:val="1"/>
      <w:numFmt w:val="decimal"/>
      <w:lvlText w:val="%1."/>
      <w:lvlJc w:val="left"/>
      <w:pPr>
        <w:tabs>
          <w:tab w:val="num" w:pos="643"/>
        </w:tabs>
        <w:ind w:left="643" w:hanging="360"/>
      </w:pPr>
    </w:lvl>
  </w:abstractNum>
  <w:abstractNum w:abstractNumId="4">
    <w:nsid w:val="FFFFFF80"/>
    <w:multiLevelType w:val="singleLevel"/>
    <w:tmpl w:val="9D80A65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ED6FC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AE4490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40C404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85CFEF6"/>
    <w:lvl w:ilvl="0">
      <w:start w:val="1"/>
      <w:numFmt w:val="decimal"/>
      <w:lvlText w:val="%1."/>
      <w:lvlJc w:val="left"/>
      <w:pPr>
        <w:tabs>
          <w:tab w:val="num" w:pos="360"/>
        </w:tabs>
        <w:ind w:left="360" w:hanging="360"/>
      </w:pPr>
    </w:lvl>
  </w:abstractNum>
  <w:abstractNum w:abstractNumId="9">
    <w:nsid w:val="FFFFFF89"/>
    <w:multiLevelType w:val="singleLevel"/>
    <w:tmpl w:val="49B65BEE"/>
    <w:lvl w:ilvl="0">
      <w:start w:val="1"/>
      <w:numFmt w:val="bullet"/>
      <w:lvlText w:val=""/>
      <w:lvlJc w:val="left"/>
      <w:pPr>
        <w:tabs>
          <w:tab w:val="num" w:pos="360"/>
        </w:tabs>
        <w:ind w:left="360" w:hanging="360"/>
      </w:pPr>
      <w:rPr>
        <w:rFonts w:ascii="Symbol" w:hAnsi="Symbol" w:hint="default"/>
      </w:rPr>
    </w:lvl>
  </w:abstractNum>
  <w:abstractNum w:abstractNumId="10">
    <w:nsid w:val="028377FC"/>
    <w:multiLevelType w:val="hybridMultilevel"/>
    <w:tmpl w:val="9C9A5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9644572"/>
    <w:multiLevelType w:val="hybridMultilevel"/>
    <w:tmpl w:val="E9D2CD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nsid w:val="1FD601C6"/>
    <w:multiLevelType w:val="multilevel"/>
    <w:tmpl w:val="C6C880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29D3BC6"/>
    <w:multiLevelType w:val="hybridMultilevel"/>
    <w:tmpl w:val="C6C880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6434398"/>
    <w:multiLevelType w:val="hybridMultilevel"/>
    <w:tmpl w:val="A7225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7BB23AC"/>
    <w:multiLevelType w:val="hybridMultilevel"/>
    <w:tmpl w:val="4E323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BDB2267"/>
    <w:multiLevelType w:val="hybridMultilevel"/>
    <w:tmpl w:val="F1DC0E16"/>
    <w:lvl w:ilvl="0" w:tplc="39F00FF0">
      <w:start w:val="1"/>
      <w:numFmt w:val="decimal"/>
      <w:lvlText w:val="%1)"/>
      <w:lvlJc w:val="left"/>
      <w:pPr>
        <w:ind w:left="928"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nsid w:val="625512FE"/>
    <w:multiLevelType w:val="hybridMultilevel"/>
    <w:tmpl w:val="B05A0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11F6F7E"/>
    <w:multiLevelType w:val="hybridMultilevel"/>
    <w:tmpl w:val="E50A42D6"/>
    <w:lvl w:ilvl="0" w:tplc="39F00FF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nsid w:val="71A063D1"/>
    <w:multiLevelType w:val="hybridMultilevel"/>
    <w:tmpl w:val="3A94A87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7A722ADD"/>
    <w:multiLevelType w:val="hybridMultilevel"/>
    <w:tmpl w:val="4E50C4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0"/>
  </w:num>
  <w:num w:numId="13">
    <w:abstractNumId w:val="17"/>
  </w:num>
  <w:num w:numId="14">
    <w:abstractNumId w:val="13"/>
  </w:num>
  <w:num w:numId="15">
    <w:abstractNumId w:val="12"/>
  </w:num>
  <w:num w:numId="16">
    <w:abstractNumId w:val="20"/>
  </w:num>
  <w:num w:numId="17">
    <w:abstractNumId w:val="15"/>
  </w:num>
  <w:num w:numId="18">
    <w:abstractNumId w:val="11"/>
  </w:num>
  <w:num w:numId="19">
    <w:abstractNumId w:val="19"/>
  </w:num>
  <w:num w:numId="20">
    <w:abstractNumId w:val="1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567"/>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FFA"/>
    <w:rsid w:val="00003FC5"/>
    <w:rsid w:val="00017AF3"/>
    <w:rsid w:val="000246B4"/>
    <w:rsid w:val="00050C51"/>
    <w:rsid w:val="00072D44"/>
    <w:rsid w:val="000A4598"/>
    <w:rsid w:val="000B3251"/>
    <w:rsid w:val="000B3E65"/>
    <w:rsid w:val="000E202B"/>
    <w:rsid w:val="000F26CE"/>
    <w:rsid w:val="00116EE2"/>
    <w:rsid w:val="00127122"/>
    <w:rsid w:val="00127A32"/>
    <w:rsid w:val="00165AC5"/>
    <w:rsid w:val="00170C37"/>
    <w:rsid w:val="00193FA2"/>
    <w:rsid w:val="00197C2D"/>
    <w:rsid w:val="001A76B3"/>
    <w:rsid w:val="001B2699"/>
    <w:rsid w:val="001D1699"/>
    <w:rsid w:val="001D5067"/>
    <w:rsid w:val="001E2C17"/>
    <w:rsid w:val="001F1ED1"/>
    <w:rsid w:val="001F2EC9"/>
    <w:rsid w:val="001F4D9E"/>
    <w:rsid w:val="001F4F8F"/>
    <w:rsid w:val="00200C8D"/>
    <w:rsid w:val="002502E0"/>
    <w:rsid w:val="00271A72"/>
    <w:rsid w:val="00276A85"/>
    <w:rsid w:val="002A1F66"/>
    <w:rsid w:val="002B63D8"/>
    <w:rsid w:val="002E13A6"/>
    <w:rsid w:val="00304DEA"/>
    <w:rsid w:val="00312640"/>
    <w:rsid w:val="00332094"/>
    <w:rsid w:val="00391AF6"/>
    <w:rsid w:val="003937E8"/>
    <w:rsid w:val="003A13B9"/>
    <w:rsid w:val="003A4ED3"/>
    <w:rsid w:val="003B4265"/>
    <w:rsid w:val="003C3231"/>
    <w:rsid w:val="003E03CC"/>
    <w:rsid w:val="003F7929"/>
    <w:rsid w:val="004324E9"/>
    <w:rsid w:val="0047266B"/>
    <w:rsid w:val="004867B7"/>
    <w:rsid w:val="00486E19"/>
    <w:rsid w:val="00492A92"/>
    <w:rsid w:val="004A6952"/>
    <w:rsid w:val="004A7A56"/>
    <w:rsid w:val="004B2A76"/>
    <w:rsid w:val="004C26C6"/>
    <w:rsid w:val="004D6A1F"/>
    <w:rsid w:val="004D6B73"/>
    <w:rsid w:val="00521CA0"/>
    <w:rsid w:val="0053408A"/>
    <w:rsid w:val="005378D4"/>
    <w:rsid w:val="00544150"/>
    <w:rsid w:val="00544EDF"/>
    <w:rsid w:val="005500D7"/>
    <w:rsid w:val="00550AEB"/>
    <w:rsid w:val="00584079"/>
    <w:rsid w:val="00593670"/>
    <w:rsid w:val="005A0EAE"/>
    <w:rsid w:val="005B6032"/>
    <w:rsid w:val="005F0671"/>
    <w:rsid w:val="00622547"/>
    <w:rsid w:val="00625967"/>
    <w:rsid w:val="00637A1E"/>
    <w:rsid w:val="00644148"/>
    <w:rsid w:val="00662295"/>
    <w:rsid w:val="006674F0"/>
    <w:rsid w:val="00671AE8"/>
    <w:rsid w:val="00676A1B"/>
    <w:rsid w:val="006804E5"/>
    <w:rsid w:val="006853F6"/>
    <w:rsid w:val="006B1AEC"/>
    <w:rsid w:val="006C505D"/>
    <w:rsid w:val="006D40F7"/>
    <w:rsid w:val="006D4DA5"/>
    <w:rsid w:val="006E252B"/>
    <w:rsid w:val="006E4102"/>
    <w:rsid w:val="006F37AD"/>
    <w:rsid w:val="0070757E"/>
    <w:rsid w:val="00725F25"/>
    <w:rsid w:val="007456FB"/>
    <w:rsid w:val="00752B89"/>
    <w:rsid w:val="00776E97"/>
    <w:rsid w:val="00787790"/>
    <w:rsid w:val="007B11BD"/>
    <w:rsid w:val="007C1235"/>
    <w:rsid w:val="007D0838"/>
    <w:rsid w:val="007D4018"/>
    <w:rsid w:val="007D5241"/>
    <w:rsid w:val="007D7581"/>
    <w:rsid w:val="007E0CF0"/>
    <w:rsid w:val="007E607C"/>
    <w:rsid w:val="007E7B31"/>
    <w:rsid w:val="00804F60"/>
    <w:rsid w:val="00841E4D"/>
    <w:rsid w:val="00864E34"/>
    <w:rsid w:val="00884A01"/>
    <w:rsid w:val="00890423"/>
    <w:rsid w:val="008973EE"/>
    <w:rsid w:val="008A21A3"/>
    <w:rsid w:val="008B6575"/>
    <w:rsid w:val="00906E4D"/>
    <w:rsid w:val="00924F09"/>
    <w:rsid w:val="009362ED"/>
    <w:rsid w:val="00951549"/>
    <w:rsid w:val="00953704"/>
    <w:rsid w:val="00965009"/>
    <w:rsid w:val="00971FF1"/>
    <w:rsid w:val="009763CB"/>
    <w:rsid w:val="009850EC"/>
    <w:rsid w:val="0098732B"/>
    <w:rsid w:val="0099671A"/>
    <w:rsid w:val="009974C9"/>
    <w:rsid w:val="009B3E63"/>
    <w:rsid w:val="009D26FC"/>
    <w:rsid w:val="009D7417"/>
    <w:rsid w:val="009E6BEE"/>
    <w:rsid w:val="009F0BA8"/>
    <w:rsid w:val="00A1200F"/>
    <w:rsid w:val="00A21B14"/>
    <w:rsid w:val="00A26B45"/>
    <w:rsid w:val="00A3119B"/>
    <w:rsid w:val="00A356F1"/>
    <w:rsid w:val="00A45D17"/>
    <w:rsid w:val="00A85E6E"/>
    <w:rsid w:val="00A8695B"/>
    <w:rsid w:val="00A96FFA"/>
    <w:rsid w:val="00AA4E94"/>
    <w:rsid w:val="00AC43AD"/>
    <w:rsid w:val="00AE11E9"/>
    <w:rsid w:val="00B1661E"/>
    <w:rsid w:val="00B2557F"/>
    <w:rsid w:val="00B55D29"/>
    <w:rsid w:val="00BA032E"/>
    <w:rsid w:val="00BA3435"/>
    <w:rsid w:val="00BA57BF"/>
    <w:rsid w:val="00BA75B8"/>
    <w:rsid w:val="00BB5292"/>
    <w:rsid w:val="00BC7350"/>
    <w:rsid w:val="00BD0981"/>
    <w:rsid w:val="00BD2B7A"/>
    <w:rsid w:val="00BE261A"/>
    <w:rsid w:val="00BE4CC2"/>
    <w:rsid w:val="00BF4249"/>
    <w:rsid w:val="00C032E4"/>
    <w:rsid w:val="00C06EAA"/>
    <w:rsid w:val="00C14337"/>
    <w:rsid w:val="00C17C93"/>
    <w:rsid w:val="00C37A69"/>
    <w:rsid w:val="00C41080"/>
    <w:rsid w:val="00C56376"/>
    <w:rsid w:val="00C8618A"/>
    <w:rsid w:val="00CB3C4E"/>
    <w:rsid w:val="00CC7B1A"/>
    <w:rsid w:val="00D313F1"/>
    <w:rsid w:val="00D32827"/>
    <w:rsid w:val="00D61B9B"/>
    <w:rsid w:val="00DC2763"/>
    <w:rsid w:val="00DC760F"/>
    <w:rsid w:val="00DD314A"/>
    <w:rsid w:val="00DE5894"/>
    <w:rsid w:val="00DF5BD2"/>
    <w:rsid w:val="00E04552"/>
    <w:rsid w:val="00E11066"/>
    <w:rsid w:val="00E15C7A"/>
    <w:rsid w:val="00E36C92"/>
    <w:rsid w:val="00E451FE"/>
    <w:rsid w:val="00E61DF7"/>
    <w:rsid w:val="00E66150"/>
    <w:rsid w:val="00E70AE0"/>
    <w:rsid w:val="00E80952"/>
    <w:rsid w:val="00E93AD0"/>
    <w:rsid w:val="00EA4AC1"/>
    <w:rsid w:val="00EB6573"/>
    <w:rsid w:val="00EC00B0"/>
    <w:rsid w:val="00ED6487"/>
    <w:rsid w:val="00EF0A24"/>
    <w:rsid w:val="00F15455"/>
    <w:rsid w:val="00F53556"/>
    <w:rsid w:val="00F55EC4"/>
    <w:rsid w:val="00F61DA2"/>
    <w:rsid w:val="00F66C7A"/>
    <w:rsid w:val="00F74AD9"/>
    <w:rsid w:val="00F859EA"/>
    <w:rsid w:val="00F94380"/>
    <w:rsid w:val="00FB54E4"/>
    <w:rsid w:val="00FB7CEC"/>
    <w:rsid w:val="00FC41AE"/>
    <w:rsid w:val="00FD5978"/>
    <w:rsid w:val="00FE5A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A96FFA"/>
    <w:pPr>
      <w:spacing w:after="0" w:line="240" w:lineRule="auto"/>
    </w:pPr>
    <w:rPr>
      <w:rFonts w:ascii="Arial" w:hAnsi="Arial" w:cs="Arial"/>
      <w:sz w:val="20"/>
      <w:szCs w:val="20"/>
    </w:rPr>
  </w:style>
  <w:style w:type="paragraph" w:styleId="Heading1">
    <w:name w:val="heading 1"/>
    <w:basedOn w:val="Normal"/>
    <w:next w:val="Normal"/>
    <w:link w:val="Heading1Char"/>
    <w:uiPriority w:val="9"/>
    <w:qFormat/>
    <w:rsid w:val="00CC7B1A"/>
    <w:pPr>
      <w:keepNext/>
      <w:spacing w:before="240" w:after="320"/>
      <w:outlineLvl w:val="0"/>
    </w:pPr>
    <w:rPr>
      <w:rFonts w:eastAsiaTheme="majorEastAsia" w:cstheme="majorBidi"/>
      <w:b/>
      <w:bCs/>
      <w:kern w:val="28"/>
      <w:sz w:val="32"/>
      <w:szCs w:val="28"/>
    </w:rPr>
  </w:style>
  <w:style w:type="paragraph" w:styleId="Heading2">
    <w:name w:val="heading 2"/>
    <w:basedOn w:val="Normal"/>
    <w:next w:val="Normal"/>
    <w:link w:val="Heading2Char"/>
    <w:uiPriority w:val="9"/>
    <w:semiHidden/>
    <w:unhideWhenUsed/>
    <w:qFormat/>
    <w:rsid w:val="00CC7B1A"/>
    <w:pPr>
      <w:keepNext/>
      <w:spacing w:before="240" w:after="240"/>
      <w:outlineLvl w:val="1"/>
    </w:pPr>
    <w:rPr>
      <w:rFonts w:eastAsiaTheme="majorEastAsia" w:cstheme="majorBidi"/>
      <w:b/>
      <w:bCs/>
      <w:kern w:val="28"/>
      <w:sz w:val="28"/>
      <w:szCs w:val="26"/>
    </w:rPr>
  </w:style>
  <w:style w:type="paragraph" w:styleId="Heading3">
    <w:name w:val="heading 3"/>
    <w:basedOn w:val="Normal"/>
    <w:next w:val="Normal"/>
    <w:link w:val="Heading3Char"/>
    <w:uiPriority w:val="9"/>
    <w:unhideWhenUsed/>
    <w:qFormat/>
    <w:rsid w:val="00CC7B1A"/>
    <w:pPr>
      <w:keepNext/>
      <w:spacing w:before="240" w:after="240"/>
      <w:outlineLvl w:val="2"/>
    </w:pPr>
    <w:rPr>
      <w:rFonts w:eastAsiaTheme="majorEastAsia" w:cstheme="majorBidi"/>
      <w:b/>
      <w:bCs/>
      <w:sz w:val="24"/>
    </w:rPr>
  </w:style>
  <w:style w:type="paragraph" w:styleId="Heading4">
    <w:name w:val="heading 4"/>
    <w:basedOn w:val="Normal"/>
    <w:next w:val="Normal"/>
    <w:link w:val="Heading4Char"/>
    <w:uiPriority w:val="9"/>
    <w:semiHidden/>
    <w:unhideWhenUsed/>
    <w:qFormat/>
    <w:rsid w:val="00CC7B1A"/>
    <w:pPr>
      <w:keepNext/>
      <w:spacing w:before="240" w:after="240"/>
      <w:outlineLvl w:val="3"/>
    </w:pPr>
    <w:rPr>
      <w:rFonts w:eastAsiaTheme="majorEastAsia" w:cstheme="majorBidi"/>
      <w:b/>
      <w:bCs/>
      <w:iCs/>
      <w:sz w:val="22"/>
    </w:rPr>
  </w:style>
  <w:style w:type="paragraph" w:styleId="Heading5">
    <w:name w:val="heading 5"/>
    <w:basedOn w:val="Normal"/>
    <w:next w:val="Normal"/>
    <w:link w:val="Heading5Char"/>
    <w:uiPriority w:val="9"/>
    <w:semiHidden/>
    <w:unhideWhenUsed/>
    <w:qFormat/>
    <w:rsid w:val="00864E34"/>
    <w:pPr>
      <w:keepNext/>
      <w:spacing w:before="240" w:after="120"/>
      <w:outlineLvl w:val="4"/>
    </w:pPr>
    <w:rPr>
      <w:rFonts w:eastAsiaTheme="majorEastAsia" w:cstheme="majorBidi"/>
      <w:b/>
    </w:rPr>
  </w:style>
  <w:style w:type="paragraph" w:styleId="Heading6">
    <w:name w:val="heading 6"/>
    <w:basedOn w:val="Normal"/>
    <w:next w:val="Normal"/>
    <w:link w:val="Heading6Char"/>
    <w:uiPriority w:val="9"/>
    <w:semiHidden/>
    <w:unhideWhenUsed/>
    <w:qFormat/>
    <w:rsid w:val="00864E34"/>
    <w:pPr>
      <w:keepNext/>
      <w:spacing w:before="240" w:after="60"/>
      <w:outlineLvl w:val="5"/>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4E94"/>
    <w:pPr>
      <w:tabs>
        <w:tab w:val="center" w:pos="4706"/>
        <w:tab w:val="right" w:pos="9412"/>
      </w:tabs>
    </w:pPr>
  </w:style>
  <w:style w:type="character" w:customStyle="1" w:styleId="HeaderChar">
    <w:name w:val="Header Char"/>
    <w:basedOn w:val="DefaultParagraphFont"/>
    <w:link w:val="Header"/>
    <w:uiPriority w:val="99"/>
    <w:rsid w:val="00890423"/>
    <w:rPr>
      <w:rFonts w:ascii="Arial" w:hAnsi="Arial"/>
      <w:sz w:val="20"/>
    </w:rPr>
  </w:style>
  <w:style w:type="paragraph" w:styleId="Footer">
    <w:name w:val="footer"/>
    <w:basedOn w:val="Normal"/>
    <w:link w:val="FooterChar"/>
    <w:uiPriority w:val="99"/>
    <w:unhideWhenUsed/>
    <w:rsid w:val="00951549"/>
    <w:pPr>
      <w:tabs>
        <w:tab w:val="center" w:pos="4706"/>
        <w:tab w:val="right" w:pos="9412"/>
      </w:tabs>
    </w:pPr>
    <w:rPr>
      <w:sz w:val="16"/>
    </w:rPr>
  </w:style>
  <w:style w:type="character" w:customStyle="1" w:styleId="FooterChar">
    <w:name w:val="Footer Char"/>
    <w:basedOn w:val="DefaultParagraphFont"/>
    <w:link w:val="Footer"/>
    <w:uiPriority w:val="99"/>
    <w:rsid w:val="00890423"/>
    <w:rPr>
      <w:rFonts w:ascii="Arial" w:hAnsi="Arial"/>
      <w:sz w:val="16"/>
    </w:rPr>
  </w:style>
  <w:style w:type="character" w:customStyle="1" w:styleId="Heading1Char">
    <w:name w:val="Heading 1 Char"/>
    <w:basedOn w:val="DefaultParagraphFont"/>
    <w:link w:val="Heading1"/>
    <w:uiPriority w:val="9"/>
    <w:rsid w:val="00CC7B1A"/>
    <w:rPr>
      <w:rFonts w:ascii="Arial" w:eastAsiaTheme="majorEastAsia" w:hAnsi="Arial" w:cstheme="majorBidi"/>
      <w:b/>
      <w:bCs/>
      <w:kern w:val="28"/>
      <w:sz w:val="32"/>
      <w:szCs w:val="28"/>
    </w:rPr>
  </w:style>
  <w:style w:type="character" w:customStyle="1" w:styleId="Heading2Char">
    <w:name w:val="Heading 2 Char"/>
    <w:basedOn w:val="DefaultParagraphFont"/>
    <w:link w:val="Heading2"/>
    <w:uiPriority w:val="9"/>
    <w:semiHidden/>
    <w:rsid w:val="00890423"/>
    <w:rPr>
      <w:rFonts w:ascii="Arial" w:eastAsiaTheme="majorEastAsia" w:hAnsi="Arial" w:cstheme="majorBidi"/>
      <w:b/>
      <w:bCs/>
      <w:kern w:val="28"/>
      <w:sz w:val="28"/>
      <w:szCs w:val="26"/>
    </w:rPr>
  </w:style>
  <w:style w:type="character" w:customStyle="1" w:styleId="Heading3Char">
    <w:name w:val="Heading 3 Char"/>
    <w:basedOn w:val="DefaultParagraphFont"/>
    <w:link w:val="Heading3"/>
    <w:uiPriority w:val="9"/>
    <w:rsid w:val="00890423"/>
    <w:rPr>
      <w:rFonts w:ascii="Arial" w:eastAsiaTheme="majorEastAsia" w:hAnsi="Arial" w:cstheme="majorBidi"/>
      <w:b/>
      <w:bCs/>
      <w:sz w:val="24"/>
    </w:rPr>
  </w:style>
  <w:style w:type="character" w:customStyle="1" w:styleId="Heading4Char">
    <w:name w:val="Heading 4 Char"/>
    <w:basedOn w:val="DefaultParagraphFont"/>
    <w:link w:val="Heading4"/>
    <w:uiPriority w:val="9"/>
    <w:semiHidden/>
    <w:rsid w:val="00890423"/>
    <w:rPr>
      <w:rFonts w:ascii="Arial" w:eastAsiaTheme="majorEastAsia" w:hAnsi="Arial" w:cstheme="majorBidi"/>
      <w:b/>
      <w:bCs/>
      <w:iCs/>
    </w:rPr>
  </w:style>
  <w:style w:type="character" w:customStyle="1" w:styleId="Heading5Char">
    <w:name w:val="Heading 5 Char"/>
    <w:basedOn w:val="DefaultParagraphFont"/>
    <w:link w:val="Heading5"/>
    <w:uiPriority w:val="9"/>
    <w:semiHidden/>
    <w:rsid w:val="00864E34"/>
    <w:rPr>
      <w:rFonts w:ascii="Arial" w:eastAsiaTheme="majorEastAsia" w:hAnsi="Arial" w:cstheme="majorBidi"/>
      <w:b/>
      <w:sz w:val="20"/>
    </w:rPr>
  </w:style>
  <w:style w:type="character" w:styleId="PageNumber">
    <w:name w:val="page number"/>
    <w:basedOn w:val="DefaultParagraphFont"/>
    <w:uiPriority w:val="99"/>
    <w:semiHidden/>
    <w:unhideWhenUsed/>
    <w:rsid w:val="00951549"/>
    <w:rPr>
      <w:rFonts w:ascii="Arial" w:hAnsi="Arial"/>
      <w:sz w:val="16"/>
    </w:rPr>
  </w:style>
  <w:style w:type="paragraph" w:styleId="TOCHeading">
    <w:name w:val="TOC Heading"/>
    <w:basedOn w:val="Heading1"/>
    <w:next w:val="Normal"/>
    <w:uiPriority w:val="39"/>
    <w:semiHidden/>
    <w:unhideWhenUsed/>
    <w:qFormat/>
    <w:rsid w:val="00951549"/>
    <w:pPr>
      <w:outlineLvl w:val="9"/>
    </w:pPr>
    <w:rPr>
      <w:kern w:val="0"/>
    </w:rPr>
  </w:style>
  <w:style w:type="character" w:customStyle="1" w:styleId="Heading6Char">
    <w:name w:val="Heading 6 Char"/>
    <w:basedOn w:val="DefaultParagraphFont"/>
    <w:link w:val="Heading6"/>
    <w:uiPriority w:val="9"/>
    <w:semiHidden/>
    <w:rsid w:val="00864E34"/>
    <w:rPr>
      <w:rFonts w:ascii="Arial" w:eastAsiaTheme="majorEastAsia" w:hAnsi="Arial" w:cstheme="majorBidi"/>
      <w:b/>
      <w:iCs/>
      <w:sz w:val="20"/>
    </w:rPr>
  </w:style>
  <w:style w:type="paragraph" w:styleId="TOC1">
    <w:name w:val="toc 1"/>
    <w:basedOn w:val="Normal"/>
    <w:next w:val="Normal"/>
    <w:uiPriority w:val="39"/>
    <w:semiHidden/>
    <w:unhideWhenUsed/>
    <w:rsid w:val="001A76B3"/>
    <w:pPr>
      <w:spacing w:before="240"/>
    </w:pPr>
    <w:rPr>
      <w:b/>
    </w:rPr>
  </w:style>
  <w:style w:type="paragraph" w:styleId="TOC2">
    <w:name w:val="toc 2"/>
    <w:basedOn w:val="Normal"/>
    <w:next w:val="Normal"/>
    <w:uiPriority w:val="39"/>
    <w:semiHidden/>
    <w:unhideWhenUsed/>
    <w:rsid w:val="001A76B3"/>
  </w:style>
  <w:style w:type="paragraph" w:styleId="TOC3">
    <w:name w:val="toc 3"/>
    <w:basedOn w:val="Normal"/>
    <w:next w:val="Normal"/>
    <w:uiPriority w:val="39"/>
    <w:semiHidden/>
    <w:unhideWhenUsed/>
    <w:rsid w:val="001A76B3"/>
  </w:style>
  <w:style w:type="paragraph" w:styleId="TOC4">
    <w:name w:val="toc 4"/>
    <w:basedOn w:val="Normal"/>
    <w:next w:val="Normal"/>
    <w:uiPriority w:val="39"/>
    <w:semiHidden/>
    <w:unhideWhenUsed/>
    <w:rsid w:val="001A76B3"/>
  </w:style>
  <w:style w:type="paragraph" w:styleId="TOC6">
    <w:name w:val="toc 6"/>
    <w:basedOn w:val="Normal"/>
    <w:next w:val="Normal"/>
    <w:uiPriority w:val="39"/>
    <w:semiHidden/>
    <w:unhideWhenUsed/>
    <w:rsid w:val="001A76B3"/>
  </w:style>
  <w:style w:type="paragraph" w:styleId="TOC5">
    <w:name w:val="toc 5"/>
    <w:basedOn w:val="Normal"/>
    <w:next w:val="Normal"/>
    <w:uiPriority w:val="39"/>
    <w:semiHidden/>
    <w:unhideWhenUsed/>
    <w:rsid w:val="00072D44"/>
  </w:style>
  <w:style w:type="paragraph" w:styleId="TOC7">
    <w:name w:val="toc 7"/>
    <w:basedOn w:val="Normal"/>
    <w:next w:val="Normal"/>
    <w:uiPriority w:val="39"/>
    <w:semiHidden/>
    <w:unhideWhenUsed/>
    <w:rsid w:val="00072D44"/>
  </w:style>
  <w:style w:type="paragraph" w:styleId="TOC8">
    <w:name w:val="toc 8"/>
    <w:basedOn w:val="Normal"/>
    <w:next w:val="Normal"/>
    <w:uiPriority w:val="39"/>
    <w:semiHidden/>
    <w:unhideWhenUsed/>
    <w:rsid w:val="00072D44"/>
  </w:style>
  <w:style w:type="paragraph" w:styleId="TOC9">
    <w:name w:val="toc 9"/>
    <w:basedOn w:val="Normal"/>
    <w:next w:val="Normal"/>
    <w:uiPriority w:val="39"/>
    <w:semiHidden/>
    <w:unhideWhenUsed/>
    <w:rsid w:val="00072D44"/>
  </w:style>
  <w:style w:type="paragraph" w:styleId="ListParagraph">
    <w:name w:val="List Paragraph"/>
    <w:basedOn w:val="Normal"/>
    <w:uiPriority w:val="34"/>
    <w:rsid w:val="00BE261A"/>
    <w:pPr>
      <w:ind w:left="720"/>
    </w:pPr>
  </w:style>
  <w:style w:type="paragraph" w:customStyle="1" w:styleId="aw">
    <w:name w:val="aw"/>
    <w:basedOn w:val="Normal"/>
    <w:uiPriority w:val="99"/>
    <w:rsid w:val="00A96FFA"/>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aj">
    <w:name w:val="aj"/>
    <w:basedOn w:val="DefaultParagraphFont"/>
    <w:rsid w:val="00A96FFA"/>
  </w:style>
  <w:style w:type="character" w:styleId="CommentReference">
    <w:name w:val="annotation reference"/>
    <w:basedOn w:val="DefaultParagraphFont"/>
    <w:uiPriority w:val="99"/>
    <w:semiHidden/>
    <w:unhideWhenUsed/>
    <w:rsid w:val="00017AF3"/>
    <w:rPr>
      <w:sz w:val="16"/>
      <w:szCs w:val="16"/>
    </w:rPr>
  </w:style>
  <w:style w:type="paragraph" w:styleId="CommentText">
    <w:name w:val="annotation text"/>
    <w:basedOn w:val="Normal"/>
    <w:link w:val="CommentTextChar"/>
    <w:uiPriority w:val="99"/>
    <w:unhideWhenUsed/>
    <w:rsid w:val="00017AF3"/>
  </w:style>
  <w:style w:type="character" w:customStyle="1" w:styleId="CommentTextChar">
    <w:name w:val="Comment Text Char"/>
    <w:basedOn w:val="DefaultParagraphFont"/>
    <w:link w:val="CommentText"/>
    <w:uiPriority w:val="99"/>
    <w:rsid w:val="00017AF3"/>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017AF3"/>
    <w:rPr>
      <w:b/>
      <w:bCs/>
    </w:rPr>
  </w:style>
  <w:style w:type="character" w:customStyle="1" w:styleId="CommentSubjectChar">
    <w:name w:val="Comment Subject Char"/>
    <w:basedOn w:val="CommentTextChar"/>
    <w:link w:val="CommentSubject"/>
    <w:uiPriority w:val="99"/>
    <w:semiHidden/>
    <w:rsid w:val="00017AF3"/>
    <w:rPr>
      <w:rFonts w:ascii="Arial" w:hAnsi="Arial" w:cs="Arial"/>
      <w:b/>
      <w:bCs/>
      <w:sz w:val="20"/>
      <w:szCs w:val="20"/>
    </w:rPr>
  </w:style>
  <w:style w:type="paragraph" w:styleId="BalloonText">
    <w:name w:val="Balloon Text"/>
    <w:basedOn w:val="Normal"/>
    <w:link w:val="BalloonTextChar"/>
    <w:uiPriority w:val="99"/>
    <w:semiHidden/>
    <w:unhideWhenUsed/>
    <w:rsid w:val="00017AF3"/>
    <w:rPr>
      <w:rFonts w:ascii="Tahoma" w:hAnsi="Tahoma" w:cs="Tahoma"/>
      <w:sz w:val="16"/>
      <w:szCs w:val="16"/>
    </w:rPr>
  </w:style>
  <w:style w:type="character" w:customStyle="1" w:styleId="BalloonTextChar">
    <w:name w:val="Balloon Text Char"/>
    <w:basedOn w:val="DefaultParagraphFont"/>
    <w:link w:val="BalloonText"/>
    <w:uiPriority w:val="99"/>
    <w:semiHidden/>
    <w:rsid w:val="00017AF3"/>
    <w:rPr>
      <w:rFonts w:ascii="Tahoma" w:hAnsi="Tahoma" w:cs="Tahoma"/>
      <w:sz w:val="16"/>
      <w:szCs w:val="16"/>
    </w:rPr>
  </w:style>
  <w:style w:type="paragraph" w:styleId="Revision">
    <w:name w:val="Revision"/>
    <w:hidden/>
    <w:uiPriority w:val="99"/>
    <w:semiHidden/>
    <w:rsid w:val="001F4F8F"/>
    <w:pPr>
      <w:spacing w:after="0" w:line="240" w:lineRule="auto"/>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A96FFA"/>
    <w:pPr>
      <w:spacing w:after="0" w:line="240" w:lineRule="auto"/>
    </w:pPr>
    <w:rPr>
      <w:rFonts w:ascii="Arial" w:hAnsi="Arial" w:cs="Arial"/>
      <w:sz w:val="20"/>
      <w:szCs w:val="20"/>
    </w:rPr>
  </w:style>
  <w:style w:type="paragraph" w:styleId="Heading1">
    <w:name w:val="heading 1"/>
    <w:basedOn w:val="Normal"/>
    <w:next w:val="Normal"/>
    <w:link w:val="Heading1Char"/>
    <w:uiPriority w:val="9"/>
    <w:qFormat/>
    <w:rsid w:val="00CC7B1A"/>
    <w:pPr>
      <w:keepNext/>
      <w:spacing w:before="240" w:after="320"/>
      <w:outlineLvl w:val="0"/>
    </w:pPr>
    <w:rPr>
      <w:rFonts w:eastAsiaTheme="majorEastAsia" w:cstheme="majorBidi"/>
      <w:b/>
      <w:bCs/>
      <w:kern w:val="28"/>
      <w:sz w:val="32"/>
      <w:szCs w:val="28"/>
    </w:rPr>
  </w:style>
  <w:style w:type="paragraph" w:styleId="Heading2">
    <w:name w:val="heading 2"/>
    <w:basedOn w:val="Normal"/>
    <w:next w:val="Normal"/>
    <w:link w:val="Heading2Char"/>
    <w:uiPriority w:val="9"/>
    <w:semiHidden/>
    <w:unhideWhenUsed/>
    <w:qFormat/>
    <w:rsid w:val="00CC7B1A"/>
    <w:pPr>
      <w:keepNext/>
      <w:spacing w:before="240" w:after="240"/>
      <w:outlineLvl w:val="1"/>
    </w:pPr>
    <w:rPr>
      <w:rFonts w:eastAsiaTheme="majorEastAsia" w:cstheme="majorBidi"/>
      <w:b/>
      <w:bCs/>
      <w:kern w:val="28"/>
      <w:sz w:val="28"/>
      <w:szCs w:val="26"/>
    </w:rPr>
  </w:style>
  <w:style w:type="paragraph" w:styleId="Heading3">
    <w:name w:val="heading 3"/>
    <w:basedOn w:val="Normal"/>
    <w:next w:val="Normal"/>
    <w:link w:val="Heading3Char"/>
    <w:uiPriority w:val="9"/>
    <w:unhideWhenUsed/>
    <w:qFormat/>
    <w:rsid w:val="00CC7B1A"/>
    <w:pPr>
      <w:keepNext/>
      <w:spacing w:before="240" w:after="240"/>
      <w:outlineLvl w:val="2"/>
    </w:pPr>
    <w:rPr>
      <w:rFonts w:eastAsiaTheme="majorEastAsia" w:cstheme="majorBidi"/>
      <w:b/>
      <w:bCs/>
      <w:sz w:val="24"/>
    </w:rPr>
  </w:style>
  <w:style w:type="paragraph" w:styleId="Heading4">
    <w:name w:val="heading 4"/>
    <w:basedOn w:val="Normal"/>
    <w:next w:val="Normal"/>
    <w:link w:val="Heading4Char"/>
    <w:uiPriority w:val="9"/>
    <w:semiHidden/>
    <w:unhideWhenUsed/>
    <w:qFormat/>
    <w:rsid w:val="00CC7B1A"/>
    <w:pPr>
      <w:keepNext/>
      <w:spacing w:before="240" w:after="240"/>
      <w:outlineLvl w:val="3"/>
    </w:pPr>
    <w:rPr>
      <w:rFonts w:eastAsiaTheme="majorEastAsia" w:cstheme="majorBidi"/>
      <w:b/>
      <w:bCs/>
      <w:iCs/>
      <w:sz w:val="22"/>
    </w:rPr>
  </w:style>
  <w:style w:type="paragraph" w:styleId="Heading5">
    <w:name w:val="heading 5"/>
    <w:basedOn w:val="Normal"/>
    <w:next w:val="Normal"/>
    <w:link w:val="Heading5Char"/>
    <w:uiPriority w:val="9"/>
    <w:semiHidden/>
    <w:unhideWhenUsed/>
    <w:qFormat/>
    <w:rsid w:val="00864E34"/>
    <w:pPr>
      <w:keepNext/>
      <w:spacing w:before="240" w:after="120"/>
      <w:outlineLvl w:val="4"/>
    </w:pPr>
    <w:rPr>
      <w:rFonts w:eastAsiaTheme="majorEastAsia" w:cstheme="majorBidi"/>
      <w:b/>
    </w:rPr>
  </w:style>
  <w:style w:type="paragraph" w:styleId="Heading6">
    <w:name w:val="heading 6"/>
    <w:basedOn w:val="Normal"/>
    <w:next w:val="Normal"/>
    <w:link w:val="Heading6Char"/>
    <w:uiPriority w:val="9"/>
    <w:semiHidden/>
    <w:unhideWhenUsed/>
    <w:qFormat/>
    <w:rsid w:val="00864E34"/>
    <w:pPr>
      <w:keepNext/>
      <w:spacing w:before="240" w:after="60"/>
      <w:outlineLvl w:val="5"/>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4E94"/>
    <w:pPr>
      <w:tabs>
        <w:tab w:val="center" w:pos="4706"/>
        <w:tab w:val="right" w:pos="9412"/>
      </w:tabs>
    </w:pPr>
  </w:style>
  <w:style w:type="character" w:customStyle="1" w:styleId="HeaderChar">
    <w:name w:val="Header Char"/>
    <w:basedOn w:val="DefaultParagraphFont"/>
    <w:link w:val="Header"/>
    <w:uiPriority w:val="99"/>
    <w:rsid w:val="00890423"/>
    <w:rPr>
      <w:rFonts w:ascii="Arial" w:hAnsi="Arial"/>
      <w:sz w:val="20"/>
    </w:rPr>
  </w:style>
  <w:style w:type="paragraph" w:styleId="Footer">
    <w:name w:val="footer"/>
    <w:basedOn w:val="Normal"/>
    <w:link w:val="FooterChar"/>
    <w:uiPriority w:val="99"/>
    <w:unhideWhenUsed/>
    <w:rsid w:val="00951549"/>
    <w:pPr>
      <w:tabs>
        <w:tab w:val="center" w:pos="4706"/>
        <w:tab w:val="right" w:pos="9412"/>
      </w:tabs>
    </w:pPr>
    <w:rPr>
      <w:sz w:val="16"/>
    </w:rPr>
  </w:style>
  <w:style w:type="character" w:customStyle="1" w:styleId="FooterChar">
    <w:name w:val="Footer Char"/>
    <w:basedOn w:val="DefaultParagraphFont"/>
    <w:link w:val="Footer"/>
    <w:uiPriority w:val="99"/>
    <w:rsid w:val="00890423"/>
    <w:rPr>
      <w:rFonts w:ascii="Arial" w:hAnsi="Arial"/>
      <w:sz w:val="16"/>
    </w:rPr>
  </w:style>
  <w:style w:type="character" w:customStyle="1" w:styleId="Heading1Char">
    <w:name w:val="Heading 1 Char"/>
    <w:basedOn w:val="DefaultParagraphFont"/>
    <w:link w:val="Heading1"/>
    <w:uiPriority w:val="9"/>
    <w:rsid w:val="00CC7B1A"/>
    <w:rPr>
      <w:rFonts w:ascii="Arial" w:eastAsiaTheme="majorEastAsia" w:hAnsi="Arial" w:cstheme="majorBidi"/>
      <w:b/>
      <w:bCs/>
      <w:kern w:val="28"/>
      <w:sz w:val="32"/>
      <w:szCs w:val="28"/>
    </w:rPr>
  </w:style>
  <w:style w:type="character" w:customStyle="1" w:styleId="Heading2Char">
    <w:name w:val="Heading 2 Char"/>
    <w:basedOn w:val="DefaultParagraphFont"/>
    <w:link w:val="Heading2"/>
    <w:uiPriority w:val="9"/>
    <w:semiHidden/>
    <w:rsid w:val="00890423"/>
    <w:rPr>
      <w:rFonts w:ascii="Arial" w:eastAsiaTheme="majorEastAsia" w:hAnsi="Arial" w:cstheme="majorBidi"/>
      <w:b/>
      <w:bCs/>
      <w:kern w:val="28"/>
      <w:sz w:val="28"/>
      <w:szCs w:val="26"/>
    </w:rPr>
  </w:style>
  <w:style w:type="character" w:customStyle="1" w:styleId="Heading3Char">
    <w:name w:val="Heading 3 Char"/>
    <w:basedOn w:val="DefaultParagraphFont"/>
    <w:link w:val="Heading3"/>
    <w:uiPriority w:val="9"/>
    <w:rsid w:val="00890423"/>
    <w:rPr>
      <w:rFonts w:ascii="Arial" w:eastAsiaTheme="majorEastAsia" w:hAnsi="Arial" w:cstheme="majorBidi"/>
      <w:b/>
      <w:bCs/>
      <w:sz w:val="24"/>
    </w:rPr>
  </w:style>
  <w:style w:type="character" w:customStyle="1" w:styleId="Heading4Char">
    <w:name w:val="Heading 4 Char"/>
    <w:basedOn w:val="DefaultParagraphFont"/>
    <w:link w:val="Heading4"/>
    <w:uiPriority w:val="9"/>
    <w:semiHidden/>
    <w:rsid w:val="00890423"/>
    <w:rPr>
      <w:rFonts w:ascii="Arial" w:eastAsiaTheme="majorEastAsia" w:hAnsi="Arial" w:cstheme="majorBidi"/>
      <w:b/>
      <w:bCs/>
      <w:iCs/>
    </w:rPr>
  </w:style>
  <w:style w:type="character" w:customStyle="1" w:styleId="Heading5Char">
    <w:name w:val="Heading 5 Char"/>
    <w:basedOn w:val="DefaultParagraphFont"/>
    <w:link w:val="Heading5"/>
    <w:uiPriority w:val="9"/>
    <w:semiHidden/>
    <w:rsid w:val="00864E34"/>
    <w:rPr>
      <w:rFonts w:ascii="Arial" w:eastAsiaTheme="majorEastAsia" w:hAnsi="Arial" w:cstheme="majorBidi"/>
      <w:b/>
      <w:sz w:val="20"/>
    </w:rPr>
  </w:style>
  <w:style w:type="character" w:styleId="PageNumber">
    <w:name w:val="page number"/>
    <w:basedOn w:val="DefaultParagraphFont"/>
    <w:uiPriority w:val="99"/>
    <w:semiHidden/>
    <w:unhideWhenUsed/>
    <w:rsid w:val="00951549"/>
    <w:rPr>
      <w:rFonts w:ascii="Arial" w:hAnsi="Arial"/>
      <w:sz w:val="16"/>
    </w:rPr>
  </w:style>
  <w:style w:type="paragraph" w:styleId="TOCHeading">
    <w:name w:val="TOC Heading"/>
    <w:basedOn w:val="Heading1"/>
    <w:next w:val="Normal"/>
    <w:uiPriority w:val="39"/>
    <w:semiHidden/>
    <w:unhideWhenUsed/>
    <w:qFormat/>
    <w:rsid w:val="00951549"/>
    <w:pPr>
      <w:outlineLvl w:val="9"/>
    </w:pPr>
    <w:rPr>
      <w:kern w:val="0"/>
    </w:rPr>
  </w:style>
  <w:style w:type="character" w:customStyle="1" w:styleId="Heading6Char">
    <w:name w:val="Heading 6 Char"/>
    <w:basedOn w:val="DefaultParagraphFont"/>
    <w:link w:val="Heading6"/>
    <w:uiPriority w:val="9"/>
    <w:semiHidden/>
    <w:rsid w:val="00864E34"/>
    <w:rPr>
      <w:rFonts w:ascii="Arial" w:eastAsiaTheme="majorEastAsia" w:hAnsi="Arial" w:cstheme="majorBidi"/>
      <w:b/>
      <w:iCs/>
      <w:sz w:val="20"/>
    </w:rPr>
  </w:style>
  <w:style w:type="paragraph" w:styleId="TOC1">
    <w:name w:val="toc 1"/>
    <w:basedOn w:val="Normal"/>
    <w:next w:val="Normal"/>
    <w:uiPriority w:val="39"/>
    <w:semiHidden/>
    <w:unhideWhenUsed/>
    <w:rsid w:val="001A76B3"/>
    <w:pPr>
      <w:spacing w:before="240"/>
    </w:pPr>
    <w:rPr>
      <w:b/>
    </w:rPr>
  </w:style>
  <w:style w:type="paragraph" w:styleId="TOC2">
    <w:name w:val="toc 2"/>
    <w:basedOn w:val="Normal"/>
    <w:next w:val="Normal"/>
    <w:uiPriority w:val="39"/>
    <w:semiHidden/>
    <w:unhideWhenUsed/>
    <w:rsid w:val="001A76B3"/>
  </w:style>
  <w:style w:type="paragraph" w:styleId="TOC3">
    <w:name w:val="toc 3"/>
    <w:basedOn w:val="Normal"/>
    <w:next w:val="Normal"/>
    <w:uiPriority w:val="39"/>
    <w:semiHidden/>
    <w:unhideWhenUsed/>
    <w:rsid w:val="001A76B3"/>
  </w:style>
  <w:style w:type="paragraph" w:styleId="TOC4">
    <w:name w:val="toc 4"/>
    <w:basedOn w:val="Normal"/>
    <w:next w:val="Normal"/>
    <w:uiPriority w:val="39"/>
    <w:semiHidden/>
    <w:unhideWhenUsed/>
    <w:rsid w:val="001A76B3"/>
  </w:style>
  <w:style w:type="paragraph" w:styleId="TOC6">
    <w:name w:val="toc 6"/>
    <w:basedOn w:val="Normal"/>
    <w:next w:val="Normal"/>
    <w:uiPriority w:val="39"/>
    <w:semiHidden/>
    <w:unhideWhenUsed/>
    <w:rsid w:val="001A76B3"/>
  </w:style>
  <w:style w:type="paragraph" w:styleId="TOC5">
    <w:name w:val="toc 5"/>
    <w:basedOn w:val="Normal"/>
    <w:next w:val="Normal"/>
    <w:uiPriority w:val="39"/>
    <w:semiHidden/>
    <w:unhideWhenUsed/>
    <w:rsid w:val="00072D44"/>
  </w:style>
  <w:style w:type="paragraph" w:styleId="TOC7">
    <w:name w:val="toc 7"/>
    <w:basedOn w:val="Normal"/>
    <w:next w:val="Normal"/>
    <w:uiPriority w:val="39"/>
    <w:semiHidden/>
    <w:unhideWhenUsed/>
    <w:rsid w:val="00072D44"/>
  </w:style>
  <w:style w:type="paragraph" w:styleId="TOC8">
    <w:name w:val="toc 8"/>
    <w:basedOn w:val="Normal"/>
    <w:next w:val="Normal"/>
    <w:uiPriority w:val="39"/>
    <w:semiHidden/>
    <w:unhideWhenUsed/>
    <w:rsid w:val="00072D44"/>
  </w:style>
  <w:style w:type="paragraph" w:styleId="TOC9">
    <w:name w:val="toc 9"/>
    <w:basedOn w:val="Normal"/>
    <w:next w:val="Normal"/>
    <w:uiPriority w:val="39"/>
    <w:semiHidden/>
    <w:unhideWhenUsed/>
    <w:rsid w:val="00072D44"/>
  </w:style>
  <w:style w:type="paragraph" w:styleId="ListParagraph">
    <w:name w:val="List Paragraph"/>
    <w:basedOn w:val="Normal"/>
    <w:uiPriority w:val="34"/>
    <w:rsid w:val="00BE261A"/>
    <w:pPr>
      <w:ind w:left="720"/>
    </w:pPr>
  </w:style>
  <w:style w:type="paragraph" w:customStyle="1" w:styleId="aw">
    <w:name w:val="aw"/>
    <w:basedOn w:val="Normal"/>
    <w:uiPriority w:val="99"/>
    <w:rsid w:val="00A96FFA"/>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aj">
    <w:name w:val="aj"/>
    <w:basedOn w:val="DefaultParagraphFont"/>
    <w:rsid w:val="00A96FFA"/>
  </w:style>
  <w:style w:type="character" w:styleId="CommentReference">
    <w:name w:val="annotation reference"/>
    <w:basedOn w:val="DefaultParagraphFont"/>
    <w:uiPriority w:val="99"/>
    <w:semiHidden/>
    <w:unhideWhenUsed/>
    <w:rsid w:val="00017AF3"/>
    <w:rPr>
      <w:sz w:val="16"/>
      <w:szCs w:val="16"/>
    </w:rPr>
  </w:style>
  <w:style w:type="paragraph" w:styleId="CommentText">
    <w:name w:val="annotation text"/>
    <w:basedOn w:val="Normal"/>
    <w:link w:val="CommentTextChar"/>
    <w:uiPriority w:val="99"/>
    <w:unhideWhenUsed/>
    <w:rsid w:val="00017AF3"/>
  </w:style>
  <w:style w:type="character" w:customStyle="1" w:styleId="CommentTextChar">
    <w:name w:val="Comment Text Char"/>
    <w:basedOn w:val="DefaultParagraphFont"/>
    <w:link w:val="CommentText"/>
    <w:uiPriority w:val="99"/>
    <w:rsid w:val="00017AF3"/>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017AF3"/>
    <w:rPr>
      <w:b/>
      <w:bCs/>
    </w:rPr>
  </w:style>
  <w:style w:type="character" w:customStyle="1" w:styleId="CommentSubjectChar">
    <w:name w:val="Comment Subject Char"/>
    <w:basedOn w:val="CommentTextChar"/>
    <w:link w:val="CommentSubject"/>
    <w:uiPriority w:val="99"/>
    <w:semiHidden/>
    <w:rsid w:val="00017AF3"/>
    <w:rPr>
      <w:rFonts w:ascii="Arial" w:hAnsi="Arial" w:cs="Arial"/>
      <w:b/>
      <w:bCs/>
      <w:sz w:val="20"/>
      <w:szCs w:val="20"/>
    </w:rPr>
  </w:style>
  <w:style w:type="paragraph" w:styleId="BalloonText">
    <w:name w:val="Balloon Text"/>
    <w:basedOn w:val="Normal"/>
    <w:link w:val="BalloonTextChar"/>
    <w:uiPriority w:val="99"/>
    <w:semiHidden/>
    <w:unhideWhenUsed/>
    <w:rsid w:val="00017AF3"/>
    <w:rPr>
      <w:rFonts w:ascii="Tahoma" w:hAnsi="Tahoma" w:cs="Tahoma"/>
      <w:sz w:val="16"/>
      <w:szCs w:val="16"/>
    </w:rPr>
  </w:style>
  <w:style w:type="character" w:customStyle="1" w:styleId="BalloonTextChar">
    <w:name w:val="Balloon Text Char"/>
    <w:basedOn w:val="DefaultParagraphFont"/>
    <w:link w:val="BalloonText"/>
    <w:uiPriority w:val="99"/>
    <w:semiHidden/>
    <w:rsid w:val="00017AF3"/>
    <w:rPr>
      <w:rFonts w:ascii="Tahoma" w:hAnsi="Tahoma" w:cs="Tahoma"/>
      <w:sz w:val="16"/>
      <w:szCs w:val="16"/>
    </w:rPr>
  </w:style>
  <w:style w:type="paragraph" w:styleId="Revision">
    <w:name w:val="Revision"/>
    <w:hidden/>
    <w:uiPriority w:val="99"/>
    <w:semiHidden/>
    <w:rsid w:val="001F4F8F"/>
    <w:pPr>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45071">
      <w:bodyDiv w:val="1"/>
      <w:marLeft w:val="0"/>
      <w:marRight w:val="0"/>
      <w:marTop w:val="0"/>
      <w:marBottom w:val="0"/>
      <w:divBdr>
        <w:top w:val="none" w:sz="0" w:space="0" w:color="auto"/>
        <w:left w:val="none" w:sz="0" w:space="0" w:color="auto"/>
        <w:bottom w:val="none" w:sz="0" w:space="0" w:color="auto"/>
        <w:right w:val="none" w:sz="0" w:space="0" w:color="auto"/>
      </w:divBdr>
    </w:div>
    <w:div w:id="267395685">
      <w:bodyDiv w:val="1"/>
      <w:marLeft w:val="0"/>
      <w:marRight w:val="0"/>
      <w:marTop w:val="0"/>
      <w:marBottom w:val="0"/>
      <w:divBdr>
        <w:top w:val="none" w:sz="0" w:space="0" w:color="auto"/>
        <w:left w:val="none" w:sz="0" w:space="0" w:color="auto"/>
        <w:bottom w:val="none" w:sz="0" w:space="0" w:color="auto"/>
        <w:right w:val="none" w:sz="0" w:space="0" w:color="auto"/>
      </w:divBdr>
    </w:div>
    <w:div w:id="388722919">
      <w:bodyDiv w:val="1"/>
      <w:marLeft w:val="0"/>
      <w:marRight w:val="0"/>
      <w:marTop w:val="0"/>
      <w:marBottom w:val="0"/>
      <w:divBdr>
        <w:top w:val="none" w:sz="0" w:space="0" w:color="auto"/>
        <w:left w:val="none" w:sz="0" w:space="0" w:color="auto"/>
        <w:bottom w:val="none" w:sz="0" w:space="0" w:color="auto"/>
        <w:right w:val="none" w:sz="0" w:space="0" w:color="auto"/>
      </w:divBdr>
    </w:div>
    <w:div w:id="589777552">
      <w:bodyDiv w:val="1"/>
      <w:marLeft w:val="0"/>
      <w:marRight w:val="0"/>
      <w:marTop w:val="0"/>
      <w:marBottom w:val="0"/>
      <w:divBdr>
        <w:top w:val="none" w:sz="0" w:space="0" w:color="auto"/>
        <w:left w:val="none" w:sz="0" w:space="0" w:color="auto"/>
        <w:bottom w:val="none" w:sz="0" w:space="0" w:color="auto"/>
        <w:right w:val="none" w:sz="0" w:space="0" w:color="auto"/>
      </w:divBdr>
    </w:div>
    <w:div w:id="655108943">
      <w:bodyDiv w:val="1"/>
      <w:marLeft w:val="0"/>
      <w:marRight w:val="0"/>
      <w:marTop w:val="0"/>
      <w:marBottom w:val="0"/>
      <w:divBdr>
        <w:top w:val="none" w:sz="0" w:space="0" w:color="auto"/>
        <w:left w:val="none" w:sz="0" w:space="0" w:color="auto"/>
        <w:bottom w:val="none" w:sz="0" w:space="0" w:color="auto"/>
        <w:right w:val="none" w:sz="0" w:space="0" w:color="auto"/>
      </w:divBdr>
    </w:div>
    <w:div w:id="839586029">
      <w:bodyDiv w:val="1"/>
      <w:marLeft w:val="0"/>
      <w:marRight w:val="0"/>
      <w:marTop w:val="0"/>
      <w:marBottom w:val="0"/>
      <w:divBdr>
        <w:top w:val="none" w:sz="0" w:space="0" w:color="auto"/>
        <w:left w:val="none" w:sz="0" w:space="0" w:color="auto"/>
        <w:bottom w:val="none" w:sz="0" w:space="0" w:color="auto"/>
        <w:right w:val="none" w:sz="0" w:space="0" w:color="auto"/>
      </w:divBdr>
    </w:div>
    <w:div w:id="880558560">
      <w:bodyDiv w:val="1"/>
      <w:marLeft w:val="0"/>
      <w:marRight w:val="0"/>
      <w:marTop w:val="0"/>
      <w:marBottom w:val="0"/>
      <w:divBdr>
        <w:top w:val="none" w:sz="0" w:space="0" w:color="auto"/>
        <w:left w:val="none" w:sz="0" w:space="0" w:color="auto"/>
        <w:bottom w:val="none" w:sz="0" w:space="0" w:color="auto"/>
        <w:right w:val="none" w:sz="0" w:space="0" w:color="auto"/>
      </w:divBdr>
    </w:div>
    <w:div w:id="946738476">
      <w:bodyDiv w:val="1"/>
      <w:marLeft w:val="0"/>
      <w:marRight w:val="0"/>
      <w:marTop w:val="0"/>
      <w:marBottom w:val="0"/>
      <w:divBdr>
        <w:top w:val="none" w:sz="0" w:space="0" w:color="auto"/>
        <w:left w:val="none" w:sz="0" w:space="0" w:color="auto"/>
        <w:bottom w:val="none" w:sz="0" w:space="0" w:color="auto"/>
        <w:right w:val="none" w:sz="0" w:space="0" w:color="auto"/>
      </w:divBdr>
    </w:div>
    <w:div w:id="982657675">
      <w:bodyDiv w:val="1"/>
      <w:marLeft w:val="0"/>
      <w:marRight w:val="0"/>
      <w:marTop w:val="0"/>
      <w:marBottom w:val="0"/>
      <w:divBdr>
        <w:top w:val="none" w:sz="0" w:space="0" w:color="auto"/>
        <w:left w:val="none" w:sz="0" w:space="0" w:color="auto"/>
        <w:bottom w:val="none" w:sz="0" w:space="0" w:color="auto"/>
        <w:right w:val="none" w:sz="0" w:space="0" w:color="auto"/>
      </w:divBdr>
    </w:div>
    <w:div w:id="1103261429">
      <w:bodyDiv w:val="1"/>
      <w:marLeft w:val="0"/>
      <w:marRight w:val="0"/>
      <w:marTop w:val="0"/>
      <w:marBottom w:val="0"/>
      <w:divBdr>
        <w:top w:val="none" w:sz="0" w:space="0" w:color="auto"/>
        <w:left w:val="none" w:sz="0" w:space="0" w:color="auto"/>
        <w:bottom w:val="none" w:sz="0" w:space="0" w:color="auto"/>
        <w:right w:val="none" w:sz="0" w:space="0" w:color="auto"/>
      </w:divBdr>
    </w:div>
    <w:div w:id="1244031759">
      <w:bodyDiv w:val="1"/>
      <w:marLeft w:val="0"/>
      <w:marRight w:val="0"/>
      <w:marTop w:val="0"/>
      <w:marBottom w:val="0"/>
      <w:divBdr>
        <w:top w:val="none" w:sz="0" w:space="0" w:color="auto"/>
        <w:left w:val="none" w:sz="0" w:space="0" w:color="auto"/>
        <w:bottom w:val="none" w:sz="0" w:space="0" w:color="auto"/>
        <w:right w:val="none" w:sz="0" w:space="0" w:color="auto"/>
      </w:divBdr>
    </w:div>
    <w:div w:id="1387024831">
      <w:bodyDiv w:val="1"/>
      <w:marLeft w:val="0"/>
      <w:marRight w:val="0"/>
      <w:marTop w:val="0"/>
      <w:marBottom w:val="0"/>
      <w:divBdr>
        <w:top w:val="none" w:sz="0" w:space="0" w:color="auto"/>
        <w:left w:val="none" w:sz="0" w:space="0" w:color="auto"/>
        <w:bottom w:val="none" w:sz="0" w:space="0" w:color="auto"/>
        <w:right w:val="none" w:sz="0" w:space="0" w:color="auto"/>
      </w:divBdr>
    </w:div>
    <w:div w:id="1524904643">
      <w:bodyDiv w:val="1"/>
      <w:marLeft w:val="0"/>
      <w:marRight w:val="0"/>
      <w:marTop w:val="0"/>
      <w:marBottom w:val="0"/>
      <w:divBdr>
        <w:top w:val="none" w:sz="0" w:space="0" w:color="auto"/>
        <w:left w:val="none" w:sz="0" w:space="0" w:color="auto"/>
        <w:bottom w:val="none" w:sz="0" w:space="0" w:color="auto"/>
        <w:right w:val="none" w:sz="0" w:space="0" w:color="auto"/>
      </w:divBdr>
    </w:div>
    <w:div w:id="1949774590">
      <w:bodyDiv w:val="1"/>
      <w:marLeft w:val="0"/>
      <w:marRight w:val="0"/>
      <w:marTop w:val="0"/>
      <w:marBottom w:val="0"/>
      <w:divBdr>
        <w:top w:val="none" w:sz="0" w:space="0" w:color="auto"/>
        <w:left w:val="none" w:sz="0" w:space="0" w:color="auto"/>
        <w:bottom w:val="none" w:sz="0" w:space="0" w:color="auto"/>
        <w:right w:val="none" w:sz="0" w:space="0" w:color="auto"/>
      </w:divBdr>
    </w:div>
    <w:div w:id="2002344449">
      <w:bodyDiv w:val="1"/>
      <w:marLeft w:val="0"/>
      <w:marRight w:val="0"/>
      <w:marTop w:val="0"/>
      <w:marBottom w:val="0"/>
      <w:divBdr>
        <w:top w:val="none" w:sz="0" w:space="0" w:color="auto"/>
        <w:left w:val="none" w:sz="0" w:space="0" w:color="auto"/>
        <w:bottom w:val="none" w:sz="0" w:space="0" w:color="auto"/>
        <w:right w:val="none" w:sz="0" w:space="0" w:color="auto"/>
      </w:divBdr>
    </w:div>
    <w:div w:id="209139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NWM">
  <a:themeElements>
    <a:clrScheme name="NWM">
      <a:dk1>
        <a:sysClr val="windowText" lastClr="000000"/>
      </a:dk1>
      <a:lt1>
        <a:sysClr val="window" lastClr="FFFFFF"/>
      </a:lt1>
      <a:dk2>
        <a:srgbClr val="3B1256"/>
      </a:dk2>
      <a:lt2>
        <a:srgbClr val="EEECE1"/>
      </a:lt2>
      <a:accent1>
        <a:srgbClr val="42145F"/>
      </a:accent1>
      <a:accent2>
        <a:srgbClr val="06B3BB"/>
      </a:accent2>
      <a:accent3>
        <a:srgbClr val="516CB4"/>
      </a:accent3>
      <a:accent4>
        <a:srgbClr val="E84261"/>
      </a:accent4>
      <a:accent5>
        <a:srgbClr val="F9B122"/>
      </a:accent5>
      <a:accent6>
        <a:srgbClr val="81AA28"/>
      </a:accent6>
      <a:hlink>
        <a:srgbClr val="42145F"/>
      </a:hlink>
      <a:folHlink>
        <a:srgbClr val="42145F"/>
      </a:folHlink>
    </a:clrScheme>
    <a:fontScheme name="NWM">
      <a:majorFont>
        <a:latin typeface="Arial"/>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Grek" typeface="Calibri"/>
        <a:font script="Cyrl" typeface="Cambria"/>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Yiii" typeface="Microsoft Yi Baiti"/>
        <a:font script="Cher" typeface="Plantagenet Cherokee"/>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RB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5000" dir="5400000" rotWithShape="0">
              <a:srgbClr val="000000">
                <a:alpha val="36000"/>
              </a:srgbClr>
            </a:outerShdw>
          </a:effectLst>
        </a:effectStyle>
        <a:effectStyle>
          <a:effectLst>
            <a:outerShdw blurRad="40000" dist="25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spDef>
      <a:spPr>
        <a:ln w="9525">
          <a:noFill/>
        </a:ln>
      </a:spPr>
      <a:bodyPr rot="0" spcFirstLastPara="0" vertOverflow="overflow" horzOverflow="overflow" vert="horz" wrap="none" lIns="0" tIns="0" rIns="0" bIns="0" numCol="1" spcCol="0" rtlCol="0" fromWordArt="0" anchor="ctr" anchorCtr="0" forceAA="0" compatLnSpc="1">
        <a:prstTxWarp prst="textNoShape">
          <a:avLst/>
        </a:prstTxWarp>
        <a:noAutofit/>
      </a:bodyPr>
      <a:lstStyle>
        <a:defPPr algn="ctr">
          <a:defRPr sz="1000" b="1" dirty="0" err="1"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12700">
          <a:solidFill>
            <a:srgbClr val="696161"/>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noAutofit/>
      </a:bodyPr>
      <a:lstStyle>
        <a:defPPr>
          <a:defRPr sz="1100" dirty="0" err="1" smtClean="0">
            <a:solidFill>
              <a:schemeClr val="tx2"/>
            </a:solidFill>
            <a:latin typeface="Arial" panose="020B0604020202020204" pitchFamily="34" charset="0"/>
            <a:cs typeface="Arial" panose="020B0604020202020204" pitchFamily="34" charset="0"/>
          </a:defRPr>
        </a:defPPr>
      </a:lstStyle>
    </a:txDef>
  </a:objectDefaults>
  <a:extraClrSchemeLst/>
  <a:custClrLst>
    <a:custClr name="Purple 100% Accent 1">
      <a:srgbClr val="42145F"/>
    </a:custClr>
    <a:custClr name="Aqua 100% Accent 2">
      <a:srgbClr val="06B3BB"/>
    </a:custClr>
    <a:custClr name="Blue 100% Accent 3">
      <a:srgbClr val="516CB4"/>
    </a:custClr>
    <a:custClr name="Crimson 100% Accent 4">
      <a:srgbClr val="E84261"/>
    </a:custClr>
    <a:custClr name="Yellow 100% Accent 5">
      <a:srgbClr val="F9B122"/>
    </a:custClr>
    <a:custClr name="Green 100% Accent 6">
      <a:srgbClr val="81AA28"/>
    </a:custClr>
    <a:custClr name="Brown 100%">
      <a:srgbClr val="A6791D"/>
    </a:custClr>
    <a:custClr name="Orange 100%">
      <a:srgbClr val="F36F21"/>
    </a:custClr>
    <a:custClr name="Light Purple 100%">
      <a:srgbClr val="9C71B4"/>
    </a:custClr>
    <a:custClr name="Grey 100%">
      <a:srgbClr val="696161"/>
    </a:custClr>
    <a:custClr name="Purple 70% Accent 1">
      <a:srgbClr val="8629C1"/>
    </a:custClr>
    <a:custClr name="Aqua 70% Accent 2">
      <a:srgbClr val="28EFF8"/>
    </a:custClr>
    <a:custClr name="Blue 70% Accent 3">
      <a:srgbClr val="8598CA"/>
    </a:custClr>
    <a:custClr name="Crimson 70% Accent 4">
      <a:srgbClr val="EF7B90"/>
    </a:custClr>
    <a:custClr name="Yellow 70% Accent 5">
      <a:srgbClr val="FBC864"/>
    </a:custClr>
    <a:custClr name="Green 70% Accent 6">
      <a:srgbClr val="AED755"/>
    </a:custClr>
    <a:custClr name="Brown 70%">
      <a:srgbClr val="DEAB43"/>
    </a:custClr>
    <a:custClr name="Orange 70%">
      <a:srgbClr val="F79A64"/>
    </a:custClr>
    <a:custClr name="Light Purple 70%">
      <a:srgbClr val="BA9CCA"/>
    </a:custClr>
    <a:custClr name="Grey 70%">
      <a:srgbClr val="978F8F"/>
    </a:custClr>
    <a:custClr name="Purple 50% Accent 1">
      <a:srgbClr val="AB5CDD"/>
    </a:custClr>
    <a:custClr name="Aqua 50% Accent 2">
      <a:srgbClr val="65F4FA"/>
    </a:custClr>
    <a:custClr name="Blue 50% Accent  3">
      <a:srgbClr val="A8B6D9"/>
    </a:custClr>
    <a:custClr name="Crimson 50% Accent 4">
      <a:srgbClr val="F4A0B0"/>
    </a:custClr>
    <a:custClr name="Yellow 50% Accent 5">
      <a:srgbClr val="FCD891"/>
    </a:custClr>
    <a:custClr name="Green 50% Accent 6">
      <a:srgbClr val="C5E286"/>
    </a:custClr>
    <a:custClr name="Brown 50%">
      <a:srgbClr val="E8C379"/>
    </a:custClr>
    <a:custClr name="Orange 50%">
      <a:srgbClr val="F9B790"/>
    </a:custClr>
    <a:custClr name="Light Purple 50%">
      <a:srgbClr val="CDB8D9"/>
    </a:custClr>
    <a:custClr name="Grey 50%">
      <a:srgbClr val="B5AFAF"/>
    </a:custClr>
    <a:custClr name="Purple 30% Accent 1">
      <a:srgbClr val="CD9DEA"/>
    </a:custClr>
    <a:custClr name="Aqua 30% Accent 2">
      <a:srgbClr val="A3F8FC"/>
    </a:custClr>
    <a:custClr name="Blue 30% Accent 3">
      <a:srgbClr val="CBD3E8"/>
    </a:custClr>
    <a:custClr name="Crimson 30% Accent 4">
      <a:srgbClr val="F8C6D0"/>
    </a:custClr>
    <a:custClr name="Yellow 30% Accent 5">
      <a:srgbClr val="FDE8BD"/>
    </a:custClr>
    <a:custClr name="Green 30% Accent 6">
      <a:srgbClr val="DCEEB6"/>
    </a:custClr>
    <a:custClr name="Brown 30%">
      <a:srgbClr val="F1DBAF"/>
    </a:custClr>
    <a:custClr name="Orange 30%">
      <a:srgbClr val="FBD4BC"/>
    </a:custClr>
    <a:custClr name="Light Purple 30%">
      <a:srgbClr val="E1D4E8"/>
    </a:custClr>
    <a:custClr name="Grey 30%">
      <a:srgbClr val="D3CFC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427AB-2F37-4061-A4C4-0FF6B114D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1216</Words>
  <Characters>6937</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The Royal Bank of Scotland</Company>
  <LinksUpToDate>false</LinksUpToDate>
  <CharactersWithSpaces>8137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Fiona, RBS Legal</dc:creator>
  <cp:lastModifiedBy>patteja</cp:lastModifiedBy>
  <cp:revision>2</cp:revision>
  <cp:lastPrinted>2018-04-12T08:35:00Z</cp:lastPrinted>
  <dcterms:created xsi:type="dcterms:W3CDTF">2018-04-17T12:00:00Z</dcterms:created>
  <dcterms:modified xsi:type="dcterms:W3CDTF">2018-04-17T12:00:00Z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980208850</vt:i4>
  </property>
  <property fmtid="{D5CDD505-2E9C-101B-9397-08002B2CF9AE}" pid="3" name="_NewReviewCycle">
    <vt:lpwstr/>
  </property>
  <property fmtid="{D5CDD505-2E9C-101B-9397-08002B2CF9AE}" pid="4" name="_EmailSubject">
    <vt:lpwstr>Pensions</vt:lpwstr>
  </property>
  <property fmtid="{D5CDD505-2E9C-101B-9397-08002B2CF9AE}" pid="5" name="_AuthorEmail">
    <vt:lpwstr>Fiona.Watson@rbs.com</vt:lpwstr>
  </property>
  <property fmtid="{D5CDD505-2E9C-101B-9397-08002B2CF9AE}" pid="6" name="_AuthorEmailDisplayName">
    <vt:lpwstr>Watson, Fiona, RBS Legal</vt:lpwstr>
  </property>
  <property fmtid="{D5CDD505-2E9C-101B-9397-08002B2CF9AE}" pid="7" name="_PreviousAdHocReviewCycleID">
    <vt:i4>1087160670</vt:i4>
  </property>
  <property fmtid="{D5CDD505-2E9C-101B-9397-08002B2CF9AE}" pid="8" name="_ReviewingToolsShownOnce">
    <vt:lpwstr/>
  </property>
</Properties>
</file>