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F5A" w:rsidRPr="00202514" w:rsidRDefault="00ED2F5A" w:rsidP="00574716">
      <w:pPr>
        <w:jc w:val="both"/>
        <w:rPr>
          <w:b/>
        </w:rPr>
      </w:pPr>
      <w:r w:rsidRPr="00202514">
        <w:rPr>
          <w:b/>
        </w:rPr>
        <w:t>The Royal Bank of Scotland Group plc</w:t>
      </w:r>
    </w:p>
    <w:p w:rsidR="00ED2F5A" w:rsidRPr="00202514" w:rsidRDefault="00ED2F5A" w:rsidP="00574716">
      <w:pPr>
        <w:jc w:val="both"/>
        <w:rPr>
          <w:b/>
        </w:rPr>
      </w:pPr>
      <w:r w:rsidRPr="00202514">
        <w:rPr>
          <w:b/>
        </w:rPr>
        <w:t>Total Voting Rights - Conformity with the Disclosure Guidance and Transparency Rules</w:t>
      </w:r>
    </w:p>
    <w:p w:rsidR="00ED2F5A" w:rsidRPr="00202514" w:rsidRDefault="00ED2F5A" w:rsidP="00574716">
      <w:pPr>
        <w:jc w:val="both"/>
      </w:pPr>
    </w:p>
    <w:p w:rsidR="00ED2F5A" w:rsidRPr="00202514" w:rsidRDefault="00ED2F5A" w:rsidP="00574716">
      <w:pPr>
        <w:jc w:val="both"/>
      </w:pPr>
      <w:r w:rsidRPr="00202514">
        <w:t xml:space="preserve">In conformity with the Disclosure Guidance and Transparency Rules, The Royal Bank of Scotland Group plc ('RBSG') hereby notifies the following in respect of its issued share capital with voting rights as at </w:t>
      </w:r>
      <w:r w:rsidR="00C33351">
        <w:t>30 April</w:t>
      </w:r>
      <w:r w:rsidR="00E65C1C">
        <w:t xml:space="preserve"> </w:t>
      </w:r>
      <w:r w:rsidR="00526D47" w:rsidRPr="00202514">
        <w:t>2018</w:t>
      </w:r>
      <w:r w:rsidRPr="00202514">
        <w:t>:-</w:t>
      </w:r>
    </w:p>
    <w:p w:rsidR="00ED2F5A" w:rsidRPr="00202514" w:rsidRDefault="00ED2F5A" w:rsidP="00574716">
      <w:pPr>
        <w:jc w:val="both"/>
      </w:pPr>
    </w:p>
    <w:tbl>
      <w:tblPr>
        <w:tblW w:w="10040" w:type="dxa"/>
        <w:tblInd w:w="93" w:type="dxa"/>
        <w:tblLook w:val="0000" w:firstRow="0" w:lastRow="0" w:firstColumn="0" w:lastColumn="0" w:noHBand="0" w:noVBand="0"/>
      </w:tblPr>
      <w:tblGrid>
        <w:gridCol w:w="3260"/>
        <w:gridCol w:w="2300"/>
        <w:gridCol w:w="1740"/>
        <w:gridCol w:w="2740"/>
      </w:tblGrid>
      <w:tr w:rsidR="00ED2F5A" w:rsidRPr="00202514" w:rsidTr="00A67F03">
        <w:trPr>
          <w:trHeight w:val="315"/>
        </w:trPr>
        <w:tc>
          <w:tcPr>
            <w:tcW w:w="3260" w:type="dxa"/>
            <w:vMerge w:val="restart"/>
            <w:tcBorders>
              <w:top w:val="single" w:sz="8" w:space="0" w:color="auto"/>
              <w:left w:val="single" w:sz="8" w:space="0" w:color="auto"/>
              <w:bottom w:val="single" w:sz="8" w:space="0" w:color="000000"/>
              <w:right w:val="single" w:sz="8" w:space="0" w:color="auto"/>
            </w:tcBorders>
          </w:tcPr>
          <w:p w:rsidR="00ED2F5A" w:rsidRPr="00202514" w:rsidRDefault="00ED2F5A" w:rsidP="00A67F03">
            <w:pPr>
              <w:jc w:val="both"/>
              <w:rPr>
                <w:rFonts w:cs="Arial"/>
                <w:b/>
                <w:bCs/>
                <w:szCs w:val="24"/>
                <w:lang w:eastAsia="en-GB"/>
              </w:rPr>
            </w:pPr>
            <w:bookmarkStart w:id="0" w:name="_Hlk449691097"/>
            <w:r w:rsidRPr="00202514">
              <w:rPr>
                <w:rFonts w:cs="Arial"/>
                <w:b/>
                <w:bCs/>
                <w:szCs w:val="24"/>
                <w:lang w:eastAsia="en-GB"/>
              </w:rPr>
              <w:t>Share Class and nominal value</w:t>
            </w:r>
          </w:p>
        </w:tc>
        <w:tc>
          <w:tcPr>
            <w:tcW w:w="2300" w:type="dxa"/>
            <w:vMerge w:val="restart"/>
            <w:tcBorders>
              <w:top w:val="single" w:sz="8" w:space="0" w:color="auto"/>
              <w:left w:val="single" w:sz="8" w:space="0" w:color="auto"/>
              <w:bottom w:val="single" w:sz="8" w:space="0" w:color="000000"/>
              <w:right w:val="single" w:sz="8" w:space="0" w:color="auto"/>
            </w:tcBorders>
          </w:tcPr>
          <w:p w:rsidR="00ED2F5A" w:rsidRPr="00202514" w:rsidRDefault="00ED2F5A" w:rsidP="00A67F03">
            <w:pPr>
              <w:jc w:val="right"/>
              <w:rPr>
                <w:rFonts w:cs="Arial"/>
                <w:b/>
                <w:bCs/>
                <w:szCs w:val="24"/>
                <w:lang w:eastAsia="en-GB"/>
              </w:rPr>
            </w:pPr>
            <w:r w:rsidRPr="00202514">
              <w:rPr>
                <w:rFonts w:cs="Arial"/>
                <w:b/>
                <w:bCs/>
                <w:szCs w:val="24"/>
                <w:lang w:eastAsia="en-GB"/>
              </w:rPr>
              <w:t>Number of Shares issued</w:t>
            </w:r>
          </w:p>
        </w:tc>
        <w:tc>
          <w:tcPr>
            <w:tcW w:w="1740" w:type="dxa"/>
            <w:vMerge w:val="restart"/>
            <w:tcBorders>
              <w:top w:val="single" w:sz="8" w:space="0" w:color="auto"/>
              <w:left w:val="single" w:sz="8" w:space="0" w:color="auto"/>
              <w:bottom w:val="single" w:sz="8" w:space="0" w:color="000000"/>
              <w:right w:val="single" w:sz="8" w:space="0" w:color="auto"/>
            </w:tcBorders>
          </w:tcPr>
          <w:p w:rsidR="00ED2F5A" w:rsidRPr="00202514" w:rsidRDefault="00ED2F5A" w:rsidP="00A67F03">
            <w:pPr>
              <w:jc w:val="right"/>
              <w:rPr>
                <w:rFonts w:cs="Arial"/>
                <w:b/>
                <w:bCs/>
                <w:szCs w:val="24"/>
                <w:lang w:eastAsia="en-GB"/>
              </w:rPr>
            </w:pPr>
            <w:r w:rsidRPr="00202514">
              <w:rPr>
                <w:rFonts w:cs="Arial"/>
                <w:b/>
                <w:bCs/>
                <w:szCs w:val="24"/>
                <w:lang w:eastAsia="en-GB"/>
              </w:rPr>
              <w:t>Voting rights per share</w:t>
            </w:r>
          </w:p>
        </w:tc>
        <w:tc>
          <w:tcPr>
            <w:tcW w:w="2740" w:type="dxa"/>
            <w:tcBorders>
              <w:top w:val="single" w:sz="8" w:space="0" w:color="auto"/>
              <w:left w:val="nil"/>
              <w:bottom w:val="nil"/>
              <w:right w:val="single" w:sz="8" w:space="0" w:color="auto"/>
            </w:tcBorders>
          </w:tcPr>
          <w:p w:rsidR="00ED2F5A" w:rsidRPr="00202514" w:rsidRDefault="00ED2F5A" w:rsidP="00A67F03">
            <w:pPr>
              <w:jc w:val="right"/>
              <w:rPr>
                <w:rFonts w:cs="Arial"/>
                <w:b/>
                <w:bCs/>
                <w:szCs w:val="24"/>
                <w:lang w:eastAsia="en-GB"/>
              </w:rPr>
            </w:pPr>
            <w:r w:rsidRPr="00202514">
              <w:rPr>
                <w:rFonts w:cs="Arial"/>
                <w:b/>
                <w:bCs/>
                <w:szCs w:val="24"/>
                <w:lang w:eastAsia="en-GB"/>
              </w:rPr>
              <w:t xml:space="preserve">Total Voting rights - </w:t>
            </w:r>
          </w:p>
        </w:tc>
      </w:tr>
      <w:tr w:rsidR="00ED2F5A" w:rsidRPr="00202514" w:rsidTr="00A67F03">
        <w:trPr>
          <w:trHeight w:val="330"/>
        </w:trPr>
        <w:tc>
          <w:tcPr>
            <w:tcW w:w="3260" w:type="dxa"/>
            <w:vMerge/>
            <w:tcBorders>
              <w:top w:val="single" w:sz="8" w:space="0" w:color="auto"/>
              <w:left w:val="single" w:sz="8" w:space="0" w:color="auto"/>
              <w:bottom w:val="single" w:sz="8" w:space="0" w:color="000000"/>
              <w:right w:val="single" w:sz="8" w:space="0" w:color="auto"/>
            </w:tcBorders>
            <w:vAlign w:val="center"/>
          </w:tcPr>
          <w:p w:rsidR="00ED2F5A" w:rsidRPr="00202514" w:rsidRDefault="00ED2F5A" w:rsidP="00A67F03">
            <w:pPr>
              <w:rPr>
                <w:rFonts w:cs="Arial"/>
                <w:b/>
                <w:bCs/>
                <w:szCs w:val="24"/>
                <w:lang w:eastAsia="en-GB"/>
              </w:rPr>
            </w:pPr>
          </w:p>
        </w:tc>
        <w:tc>
          <w:tcPr>
            <w:tcW w:w="2300" w:type="dxa"/>
            <w:vMerge/>
            <w:tcBorders>
              <w:top w:val="single" w:sz="8" w:space="0" w:color="auto"/>
              <w:left w:val="single" w:sz="8" w:space="0" w:color="auto"/>
              <w:bottom w:val="single" w:sz="8" w:space="0" w:color="000000"/>
              <w:right w:val="single" w:sz="8" w:space="0" w:color="auto"/>
            </w:tcBorders>
            <w:vAlign w:val="center"/>
          </w:tcPr>
          <w:p w:rsidR="00ED2F5A" w:rsidRPr="00202514" w:rsidRDefault="00ED2F5A" w:rsidP="00A67F03">
            <w:pPr>
              <w:rPr>
                <w:rFonts w:cs="Arial"/>
                <w:b/>
                <w:bCs/>
                <w:szCs w:val="24"/>
                <w:lang w:eastAsia="en-GB"/>
              </w:rPr>
            </w:pPr>
          </w:p>
        </w:tc>
        <w:tc>
          <w:tcPr>
            <w:tcW w:w="1740" w:type="dxa"/>
            <w:vMerge/>
            <w:tcBorders>
              <w:top w:val="single" w:sz="8" w:space="0" w:color="auto"/>
              <w:left w:val="single" w:sz="8" w:space="0" w:color="auto"/>
              <w:bottom w:val="single" w:sz="8" w:space="0" w:color="000000"/>
              <w:right w:val="single" w:sz="8" w:space="0" w:color="auto"/>
            </w:tcBorders>
            <w:vAlign w:val="center"/>
          </w:tcPr>
          <w:p w:rsidR="00ED2F5A" w:rsidRPr="00202514" w:rsidRDefault="00ED2F5A" w:rsidP="00A67F03">
            <w:pPr>
              <w:rPr>
                <w:rFonts w:cs="Arial"/>
                <w:b/>
                <w:bCs/>
                <w:szCs w:val="24"/>
                <w:lang w:eastAsia="en-GB"/>
              </w:rPr>
            </w:pPr>
          </w:p>
        </w:tc>
        <w:tc>
          <w:tcPr>
            <w:tcW w:w="2740" w:type="dxa"/>
            <w:tcBorders>
              <w:top w:val="nil"/>
              <w:left w:val="nil"/>
              <w:bottom w:val="single" w:sz="8" w:space="0" w:color="auto"/>
              <w:right w:val="single" w:sz="8" w:space="0" w:color="auto"/>
            </w:tcBorders>
          </w:tcPr>
          <w:p w:rsidR="00ED2F5A" w:rsidRPr="00202514" w:rsidRDefault="00C33351" w:rsidP="00E65C1C">
            <w:pPr>
              <w:jc w:val="right"/>
              <w:rPr>
                <w:rFonts w:cs="Arial"/>
                <w:b/>
                <w:bCs/>
                <w:szCs w:val="24"/>
                <w:lang w:eastAsia="en-GB"/>
              </w:rPr>
            </w:pPr>
            <w:r>
              <w:rPr>
                <w:rFonts w:cs="Arial"/>
                <w:b/>
                <w:bCs/>
                <w:szCs w:val="24"/>
                <w:lang w:eastAsia="en-GB"/>
              </w:rPr>
              <w:t>30 April</w:t>
            </w:r>
            <w:r w:rsidR="00E65C1C">
              <w:rPr>
                <w:rFonts w:cs="Arial"/>
                <w:b/>
                <w:bCs/>
                <w:szCs w:val="24"/>
                <w:lang w:eastAsia="en-GB"/>
              </w:rPr>
              <w:t xml:space="preserve"> </w:t>
            </w:r>
            <w:r w:rsidR="00526D47" w:rsidRPr="00202514">
              <w:rPr>
                <w:rFonts w:cs="Arial"/>
                <w:b/>
                <w:bCs/>
                <w:szCs w:val="24"/>
                <w:lang w:eastAsia="en-GB"/>
              </w:rPr>
              <w:t>2018</w:t>
            </w:r>
          </w:p>
        </w:tc>
      </w:tr>
      <w:tr w:rsidR="00ED2F5A" w:rsidRPr="00202514" w:rsidTr="00A67F03">
        <w:trPr>
          <w:trHeight w:val="315"/>
        </w:trPr>
        <w:tc>
          <w:tcPr>
            <w:tcW w:w="3260" w:type="dxa"/>
            <w:tcBorders>
              <w:top w:val="nil"/>
              <w:left w:val="single" w:sz="8" w:space="0" w:color="auto"/>
              <w:bottom w:val="single" w:sz="8" w:space="0" w:color="auto"/>
              <w:right w:val="single" w:sz="8" w:space="0" w:color="auto"/>
            </w:tcBorders>
          </w:tcPr>
          <w:p w:rsidR="00ED2F5A" w:rsidRPr="00202514" w:rsidRDefault="00ED2F5A" w:rsidP="00A67F03">
            <w:pPr>
              <w:rPr>
                <w:rFonts w:cs="Arial"/>
                <w:szCs w:val="24"/>
                <w:lang w:eastAsia="en-GB"/>
              </w:rPr>
            </w:pPr>
            <w:r w:rsidRPr="00202514">
              <w:rPr>
                <w:rFonts w:cs="Arial"/>
                <w:szCs w:val="24"/>
                <w:lang w:eastAsia="en-GB"/>
              </w:rPr>
              <w:t>Ordinary shares of £1</w:t>
            </w:r>
          </w:p>
        </w:tc>
        <w:tc>
          <w:tcPr>
            <w:tcW w:w="2300" w:type="dxa"/>
            <w:tcBorders>
              <w:top w:val="nil"/>
              <w:left w:val="nil"/>
              <w:bottom w:val="single" w:sz="8" w:space="0" w:color="auto"/>
              <w:right w:val="single" w:sz="8" w:space="0" w:color="auto"/>
            </w:tcBorders>
            <w:noWrap/>
            <w:vAlign w:val="bottom"/>
          </w:tcPr>
          <w:p w:rsidR="00C42590" w:rsidRPr="00202514" w:rsidRDefault="0022762B" w:rsidP="009A16E1">
            <w:pPr>
              <w:jc w:val="right"/>
              <w:rPr>
                <w:rFonts w:cs="Arial"/>
                <w:szCs w:val="24"/>
                <w:lang w:eastAsia="en-GB"/>
              </w:rPr>
            </w:pPr>
            <w:r>
              <w:rPr>
                <w:rFonts w:cs="Arial"/>
                <w:szCs w:val="24"/>
                <w:lang w:eastAsia="en-GB"/>
              </w:rPr>
              <w:t>12,026,37</w:t>
            </w:r>
            <w:r w:rsidR="009A16E1">
              <w:rPr>
                <w:rFonts w:cs="Arial"/>
                <w:szCs w:val="24"/>
                <w:lang w:eastAsia="en-GB"/>
              </w:rPr>
              <w:t>3</w:t>
            </w:r>
            <w:r>
              <w:rPr>
                <w:rFonts w:cs="Arial"/>
                <w:szCs w:val="24"/>
                <w:lang w:eastAsia="en-GB"/>
              </w:rPr>
              <w:t>,131</w:t>
            </w:r>
          </w:p>
        </w:tc>
        <w:tc>
          <w:tcPr>
            <w:tcW w:w="1740" w:type="dxa"/>
            <w:tcBorders>
              <w:top w:val="nil"/>
              <w:left w:val="nil"/>
              <w:bottom w:val="single" w:sz="8" w:space="0" w:color="auto"/>
              <w:right w:val="single" w:sz="8" w:space="0" w:color="auto"/>
            </w:tcBorders>
          </w:tcPr>
          <w:p w:rsidR="00ED2F5A" w:rsidRPr="00202514" w:rsidRDefault="00ED2F5A" w:rsidP="00A67F03">
            <w:pPr>
              <w:jc w:val="right"/>
              <w:rPr>
                <w:rFonts w:cs="Arial"/>
                <w:szCs w:val="24"/>
                <w:lang w:eastAsia="en-GB"/>
              </w:rPr>
            </w:pPr>
            <w:r w:rsidRPr="00202514">
              <w:rPr>
                <w:rFonts w:cs="Arial"/>
                <w:szCs w:val="24"/>
                <w:lang w:eastAsia="en-GB"/>
              </w:rPr>
              <w:t>4</w:t>
            </w:r>
          </w:p>
        </w:tc>
        <w:tc>
          <w:tcPr>
            <w:tcW w:w="2740" w:type="dxa"/>
            <w:tcBorders>
              <w:top w:val="nil"/>
              <w:left w:val="nil"/>
              <w:bottom w:val="single" w:sz="8" w:space="0" w:color="auto"/>
              <w:right w:val="single" w:sz="8" w:space="0" w:color="auto"/>
            </w:tcBorders>
            <w:noWrap/>
            <w:vAlign w:val="bottom"/>
          </w:tcPr>
          <w:p w:rsidR="00ED2F5A" w:rsidRPr="00202514" w:rsidRDefault="0022762B" w:rsidP="009A16E1">
            <w:pPr>
              <w:jc w:val="right"/>
              <w:rPr>
                <w:rFonts w:cs="Arial"/>
                <w:szCs w:val="24"/>
                <w:lang w:eastAsia="en-GB"/>
              </w:rPr>
            </w:pPr>
            <w:r>
              <w:rPr>
                <w:rFonts w:cs="Arial"/>
                <w:szCs w:val="24"/>
                <w:lang w:eastAsia="en-GB"/>
              </w:rPr>
              <w:t>48,105,4</w:t>
            </w:r>
            <w:r w:rsidR="009A16E1">
              <w:rPr>
                <w:rFonts w:cs="Arial"/>
                <w:szCs w:val="24"/>
                <w:lang w:eastAsia="en-GB"/>
              </w:rPr>
              <w:t>92</w:t>
            </w:r>
            <w:r>
              <w:rPr>
                <w:rFonts w:cs="Arial"/>
                <w:szCs w:val="24"/>
                <w:lang w:eastAsia="en-GB"/>
              </w:rPr>
              <w:t>,524</w:t>
            </w:r>
          </w:p>
        </w:tc>
      </w:tr>
      <w:tr w:rsidR="00ED2F5A" w:rsidRPr="00202514" w:rsidTr="00A67F03">
        <w:trPr>
          <w:trHeight w:val="615"/>
        </w:trPr>
        <w:tc>
          <w:tcPr>
            <w:tcW w:w="3260" w:type="dxa"/>
            <w:tcBorders>
              <w:top w:val="nil"/>
              <w:left w:val="single" w:sz="8" w:space="0" w:color="auto"/>
              <w:bottom w:val="single" w:sz="8" w:space="0" w:color="auto"/>
              <w:right w:val="single" w:sz="8" w:space="0" w:color="auto"/>
            </w:tcBorders>
          </w:tcPr>
          <w:p w:rsidR="00ED2F5A" w:rsidRPr="00202514" w:rsidRDefault="00ED2F5A" w:rsidP="00A67F03">
            <w:pPr>
              <w:rPr>
                <w:rFonts w:cs="Arial"/>
                <w:szCs w:val="24"/>
                <w:lang w:eastAsia="en-GB"/>
              </w:rPr>
            </w:pPr>
            <w:r w:rsidRPr="00202514">
              <w:rPr>
                <w:rFonts w:cs="Arial"/>
                <w:szCs w:val="24"/>
                <w:lang w:eastAsia="en-GB"/>
              </w:rPr>
              <w:t>11% Cumulative Preference Shares of £1</w:t>
            </w:r>
          </w:p>
        </w:tc>
        <w:tc>
          <w:tcPr>
            <w:tcW w:w="2300" w:type="dxa"/>
            <w:tcBorders>
              <w:top w:val="nil"/>
              <w:left w:val="nil"/>
              <w:bottom w:val="single" w:sz="8" w:space="0" w:color="auto"/>
              <w:right w:val="single" w:sz="8" w:space="0" w:color="auto"/>
            </w:tcBorders>
          </w:tcPr>
          <w:p w:rsidR="00ED2F5A" w:rsidRPr="00202514" w:rsidRDefault="00ED2F5A" w:rsidP="00A67F03">
            <w:pPr>
              <w:jc w:val="right"/>
              <w:rPr>
                <w:rFonts w:cs="Arial"/>
                <w:szCs w:val="24"/>
                <w:lang w:eastAsia="en-GB"/>
              </w:rPr>
            </w:pPr>
            <w:r w:rsidRPr="00202514">
              <w:rPr>
                <w:rFonts w:cs="Arial"/>
                <w:szCs w:val="24"/>
                <w:lang w:eastAsia="en-GB"/>
              </w:rPr>
              <w:t>500,000</w:t>
            </w:r>
          </w:p>
        </w:tc>
        <w:tc>
          <w:tcPr>
            <w:tcW w:w="1740" w:type="dxa"/>
            <w:tcBorders>
              <w:top w:val="nil"/>
              <w:left w:val="nil"/>
              <w:bottom w:val="single" w:sz="8" w:space="0" w:color="auto"/>
              <w:right w:val="single" w:sz="8" w:space="0" w:color="auto"/>
            </w:tcBorders>
          </w:tcPr>
          <w:p w:rsidR="00ED2F5A" w:rsidRPr="00202514" w:rsidRDefault="00ED2F5A" w:rsidP="00A67F03">
            <w:pPr>
              <w:jc w:val="right"/>
              <w:rPr>
                <w:rFonts w:cs="Arial"/>
                <w:szCs w:val="24"/>
                <w:lang w:eastAsia="en-GB"/>
              </w:rPr>
            </w:pPr>
            <w:r w:rsidRPr="00202514">
              <w:rPr>
                <w:rFonts w:cs="Arial"/>
                <w:szCs w:val="24"/>
                <w:lang w:eastAsia="en-GB"/>
              </w:rPr>
              <w:t>4</w:t>
            </w:r>
          </w:p>
        </w:tc>
        <w:tc>
          <w:tcPr>
            <w:tcW w:w="2740" w:type="dxa"/>
            <w:tcBorders>
              <w:top w:val="nil"/>
              <w:left w:val="nil"/>
              <w:bottom w:val="single" w:sz="8" w:space="0" w:color="auto"/>
              <w:right w:val="single" w:sz="8" w:space="0" w:color="auto"/>
            </w:tcBorders>
          </w:tcPr>
          <w:p w:rsidR="00ED2F5A" w:rsidRPr="00202514" w:rsidRDefault="00ED2F5A" w:rsidP="00A67F03">
            <w:pPr>
              <w:jc w:val="right"/>
              <w:rPr>
                <w:rFonts w:cs="Arial"/>
                <w:szCs w:val="24"/>
                <w:lang w:eastAsia="en-GB"/>
              </w:rPr>
            </w:pPr>
            <w:r w:rsidRPr="00202514">
              <w:rPr>
                <w:rFonts w:cs="Arial"/>
                <w:szCs w:val="24"/>
                <w:lang w:eastAsia="en-GB"/>
              </w:rPr>
              <w:t>2,000,000</w:t>
            </w:r>
          </w:p>
        </w:tc>
      </w:tr>
      <w:tr w:rsidR="00ED2F5A" w:rsidRPr="00202514" w:rsidTr="00A67F03">
        <w:trPr>
          <w:trHeight w:val="615"/>
        </w:trPr>
        <w:tc>
          <w:tcPr>
            <w:tcW w:w="3260" w:type="dxa"/>
            <w:tcBorders>
              <w:top w:val="nil"/>
              <w:left w:val="single" w:sz="8" w:space="0" w:color="auto"/>
              <w:bottom w:val="single" w:sz="8" w:space="0" w:color="auto"/>
              <w:right w:val="single" w:sz="8" w:space="0" w:color="auto"/>
            </w:tcBorders>
          </w:tcPr>
          <w:p w:rsidR="00ED2F5A" w:rsidRPr="00202514" w:rsidRDefault="00ED2F5A" w:rsidP="00A67F03">
            <w:pPr>
              <w:rPr>
                <w:rFonts w:cs="Arial"/>
                <w:szCs w:val="24"/>
                <w:lang w:eastAsia="en-GB"/>
              </w:rPr>
            </w:pPr>
            <w:r w:rsidRPr="00202514">
              <w:rPr>
                <w:rFonts w:cs="Arial"/>
                <w:szCs w:val="24"/>
                <w:lang w:eastAsia="en-GB"/>
              </w:rPr>
              <w:t>5.5% Cumulative Preference Shares of £1</w:t>
            </w:r>
          </w:p>
        </w:tc>
        <w:tc>
          <w:tcPr>
            <w:tcW w:w="2300" w:type="dxa"/>
            <w:tcBorders>
              <w:top w:val="nil"/>
              <w:left w:val="nil"/>
              <w:bottom w:val="single" w:sz="8" w:space="0" w:color="auto"/>
              <w:right w:val="single" w:sz="8" w:space="0" w:color="auto"/>
            </w:tcBorders>
          </w:tcPr>
          <w:p w:rsidR="00ED2F5A" w:rsidRPr="00202514" w:rsidRDefault="00ED2F5A" w:rsidP="00A67F03">
            <w:pPr>
              <w:jc w:val="right"/>
              <w:rPr>
                <w:rFonts w:cs="Arial"/>
                <w:szCs w:val="24"/>
                <w:lang w:eastAsia="en-GB"/>
              </w:rPr>
            </w:pPr>
            <w:r w:rsidRPr="00202514">
              <w:rPr>
                <w:rFonts w:cs="Arial"/>
                <w:szCs w:val="24"/>
                <w:lang w:eastAsia="en-GB"/>
              </w:rPr>
              <w:t>400,000</w:t>
            </w:r>
          </w:p>
        </w:tc>
        <w:tc>
          <w:tcPr>
            <w:tcW w:w="1740" w:type="dxa"/>
            <w:tcBorders>
              <w:top w:val="nil"/>
              <w:left w:val="nil"/>
              <w:bottom w:val="single" w:sz="8" w:space="0" w:color="auto"/>
              <w:right w:val="single" w:sz="8" w:space="0" w:color="auto"/>
            </w:tcBorders>
          </w:tcPr>
          <w:p w:rsidR="00ED2F5A" w:rsidRPr="00202514" w:rsidRDefault="00ED2F5A" w:rsidP="00A67F03">
            <w:pPr>
              <w:jc w:val="right"/>
              <w:rPr>
                <w:rFonts w:cs="Arial"/>
                <w:szCs w:val="24"/>
                <w:lang w:eastAsia="en-GB"/>
              </w:rPr>
            </w:pPr>
            <w:r w:rsidRPr="00202514">
              <w:rPr>
                <w:rFonts w:cs="Arial"/>
                <w:szCs w:val="24"/>
                <w:lang w:eastAsia="en-GB"/>
              </w:rPr>
              <w:t>4</w:t>
            </w:r>
          </w:p>
        </w:tc>
        <w:tc>
          <w:tcPr>
            <w:tcW w:w="2740" w:type="dxa"/>
            <w:tcBorders>
              <w:top w:val="nil"/>
              <w:left w:val="nil"/>
              <w:bottom w:val="single" w:sz="8" w:space="0" w:color="auto"/>
              <w:right w:val="single" w:sz="8" w:space="0" w:color="auto"/>
            </w:tcBorders>
          </w:tcPr>
          <w:p w:rsidR="00ED2F5A" w:rsidRPr="00202514" w:rsidRDefault="00ED2F5A" w:rsidP="00A67F03">
            <w:pPr>
              <w:jc w:val="right"/>
              <w:rPr>
                <w:rFonts w:cs="Arial"/>
                <w:szCs w:val="24"/>
                <w:lang w:eastAsia="en-GB"/>
              </w:rPr>
            </w:pPr>
            <w:r w:rsidRPr="00202514">
              <w:rPr>
                <w:rFonts w:cs="Arial"/>
                <w:szCs w:val="24"/>
                <w:lang w:eastAsia="en-GB"/>
              </w:rPr>
              <w:t>1,600,000</w:t>
            </w:r>
          </w:p>
        </w:tc>
      </w:tr>
      <w:tr w:rsidR="00ED2F5A" w:rsidRPr="00202514" w:rsidTr="00A67F03">
        <w:trPr>
          <w:trHeight w:val="315"/>
        </w:trPr>
        <w:tc>
          <w:tcPr>
            <w:tcW w:w="3260" w:type="dxa"/>
            <w:tcBorders>
              <w:top w:val="nil"/>
              <w:left w:val="single" w:sz="8" w:space="0" w:color="auto"/>
              <w:bottom w:val="single" w:sz="8" w:space="0" w:color="auto"/>
              <w:right w:val="single" w:sz="8" w:space="0" w:color="auto"/>
            </w:tcBorders>
          </w:tcPr>
          <w:p w:rsidR="00ED2F5A" w:rsidRPr="00202514" w:rsidRDefault="00ED2F5A" w:rsidP="00A67F03">
            <w:pPr>
              <w:rPr>
                <w:rFonts w:cs="Arial"/>
                <w:szCs w:val="24"/>
                <w:lang w:eastAsia="en-GB"/>
              </w:rPr>
            </w:pPr>
            <w:r w:rsidRPr="00202514">
              <w:rPr>
                <w:rFonts w:cs="Arial"/>
                <w:szCs w:val="24"/>
                <w:lang w:eastAsia="en-GB"/>
              </w:rPr>
              <w:t> </w:t>
            </w:r>
            <w:r w:rsidRPr="00202514">
              <w:rPr>
                <w:rFonts w:cs="Arial"/>
                <w:b/>
                <w:bCs/>
                <w:szCs w:val="24"/>
                <w:lang w:eastAsia="en-GB"/>
              </w:rPr>
              <w:t>Total:</w:t>
            </w:r>
          </w:p>
        </w:tc>
        <w:tc>
          <w:tcPr>
            <w:tcW w:w="2300" w:type="dxa"/>
            <w:tcBorders>
              <w:top w:val="nil"/>
              <w:left w:val="nil"/>
              <w:bottom w:val="single" w:sz="8" w:space="0" w:color="auto"/>
              <w:right w:val="single" w:sz="8" w:space="0" w:color="auto"/>
            </w:tcBorders>
          </w:tcPr>
          <w:p w:rsidR="00ED2F5A" w:rsidRPr="00202514" w:rsidRDefault="0022762B" w:rsidP="009A16E1">
            <w:pPr>
              <w:jc w:val="right"/>
              <w:rPr>
                <w:rFonts w:cs="Arial"/>
                <w:szCs w:val="24"/>
                <w:lang w:eastAsia="en-GB"/>
              </w:rPr>
            </w:pPr>
            <w:r>
              <w:rPr>
                <w:rFonts w:cs="Arial"/>
                <w:szCs w:val="24"/>
                <w:lang w:eastAsia="en-GB"/>
              </w:rPr>
              <w:t>12,027,27</w:t>
            </w:r>
            <w:r w:rsidR="009A16E1">
              <w:rPr>
                <w:rFonts w:cs="Arial"/>
                <w:szCs w:val="24"/>
                <w:lang w:eastAsia="en-GB"/>
              </w:rPr>
              <w:t>3</w:t>
            </w:r>
            <w:r>
              <w:rPr>
                <w:rFonts w:cs="Arial"/>
                <w:szCs w:val="24"/>
                <w:lang w:eastAsia="en-GB"/>
              </w:rPr>
              <w:t>,131</w:t>
            </w:r>
          </w:p>
        </w:tc>
        <w:tc>
          <w:tcPr>
            <w:tcW w:w="1740" w:type="dxa"/>
            <w:tcBorders>
              <w:top w:val="nil"/>
              <w:left w:val="nil"/>
              <w:bottom w:val="single" w:sz="8" w:space="0" w:color="auto"/>
              <w:right w:val="single" w:sz="8" w:space="0" w:color="auto"/>
            </w:tcBorders>
          </w:tcPr>
          <w:p w:rsidR="00ED2F5A" w:rsidRPr="00202514" w:rsidRDefault="00ED2F5A" w:rsidP="00A67F03">
            <w:pPr>
              <w:jc w:val="right"/>
              <w:rPr>
                <w:rFonts w:cs="Arial"/>
                <w:szCs w:val="24"/>
                <w:lang w:eastAsia="en-GB"/>
              </w:rPr>
            </w:pPr>
          </w:p>
        </w:tc>
        <w:tc>
          <w:tcPr>
            <w:tcW w:w="2740" w:type="dxa"/>
            <w:tcBorders>
              <w:top w:val="nil"/>
              <w:left w:val="nil"/>
              <w:bottom w:val="single" w:sz="8" w:space="0" w:color="auto"/>
              <w:right w:val="single" w:sz="8" w:space="0" w:color="auto"/>
            </w:tcBorders>
          </w:tcPr>
          <w:p w:rsidR="00ED2F5A" w:rsidRPr="00202514" w:rsidRDefault="0022762B" w:rsidP="009A16E1">
            <w:pPr>
              <w:jc w:val="right"/>
              <w:rPr>
                <w:rFonts w:cs="Arial"/>
                <w:szCs w:val="24"/>
                <w:lang w:eastAsia="en-GB"/>
              </w:rPr>
            </w:pPr>
            <w:r>
              <w:rPr>
                <w:rFonts w:cs="Arial"/>
                <w:szCs w:val="24"/>
                <w:lang w:eastAsia="en-GB"/>
              </w:rPr>
              <w:t>48,109,0</w:t>
            </w:r>
            <w:r w:rsidR="009A16E1">
              <w:rPr>
                <w:rFonts w:cs="Arial"/>
                <w:szCs w:val="24"/>
                <w:lang w:eastAsia="en-GB"/>
              </w:rPr>
              <w:t>92</w:t>
            </w:r>
            <w:r>
              <w:rPr>
                <w:rFonts w:cs="Arial"/>
                <w:szCs w:val="24"/>
                <w:lang w:eastAsia="en-GB"/>
              </w:rPr>
              <w:t>,524</w:t>
            </w:r>
          </w:p>
        </w:tc>
      </w:tr>
      <w:bookmarkEnd w:id="0"/>
    </w:tbl>
    <w:p w:rsidR="00ED2F5A" w:rsidRPr="00202514" w:rsidRDefault="00ED2F5A" w:rsidP="00574716">
      <w:pPr>
        <w:jc w:val="both"/>
      </w:pPr>
    </w:p>
    <w:p w:rsidR="00ED2F5A" w:rsidRPr="00202514" w:rsidRDefault="00ED2F5A" w:rsidP="00574716">
      <w:pPr>
        <w:jc w:val="both"/>
      </w:pPr>
      <w:r w:rsidRPr="00202514">
        <w:t>of which none are held in Treasury.</w:t>
      </w:r>
    </w:p>
    <w:p w:rsidR="00ED2F5A" w:rsidRPr="00202514" w:rsidRDefault="00ED2F5A" w:rsidP="00574716">
      <w:pPr>
        <w:jc w:val="both"/>
      </w:pPr>
    </w:p>
    <w:p w:rsidR="00ED2F5A" w:rsidRPr="00202514" w:rsidRDefault="00ED2F5A" w:rsidP="00574716">
      <w:pPr>
        <w:jc w:val="both"/>
      </w:pPr>
      <w:r w:rsidRPr="00202514">
        <w:t>Shareholders may use the above figures for their calculations to determine whether they are required to notify their interest in, or a change to their interest in the Company under the FCA's Disclosure Guidance and Transparency Rules.</w:t>
      </w:r>
    </w:p>
    <w:p w:rsidR="00ED2F5A" w:rsidRPr="00202514" w:rsidRDefault="00ED2F5A">
      <w:pPr>
        <w:rPr>
          <w:sz w:val="20"/>
        </w:rPr>
      </w:pPr>
    </w:p>
    <w:p w:rsidR="001E21F5" w:rsidRPr="00202514" w:rsidRDefault="001E21F5">
      <w:pPr>
        <w:rPr>
          <w:sz w:val="20"/>
        </w:rPr>
      </w:pPr>
    </w:p>
    <w:p w:rsidR="001E21F5" w:rsidRPr="00202514" w:rsidRDefault="001E21F5">
      <w:pPr>
        <w:rPr>
          <w:sz w:val="20"/>
        </w:rPr>
      </w:pPr>
    </w:p>
    <w:p w:rsidR="001E21F5" w:rsidRPr="00202514" w:rsidRDefault="001E21F5">
      <w:pPr>
        <w:rPr>
          <w:rFonts w:cs="Arial"/>
          <w:szCs w:val="24"/>
          <w:lang w:eastAsia="en-GB"/>
        </w:rPr>
      </w:pPr>
      <w:r w:rsidRPr="00202514">
        <w:rPr>
          <w:rFonts w:cs="Arial"/>
          <w:szCs w:val="24"/>
          <w:lang w:val="en"/>
        </w:rPr>
        <w:t xml:space="preserve">Legal Entity Identifier: </w:t>
      </w:r>
      <w:r w:rsidRPr="00202514">
        <w:rPr>
          <w:rFonts w:cs="Arial"/>
          <w:szCs w:val="24"/>
          <w:lang w:eastAsia="en-GB"/>
        </w:rPr>
        <w:t xml:space="preserve">2138005O9XJIJN4JPN90      </w:t>
      </w:r>
    </w:p>
    <w:p w:rsidR="001E21F5" w:rsidRDefault="001E21F5">
      <w:pPr>
        <w:rPr>
          <w:rFonts w:cs="Arial"/>
          <w:sz w:val="24"/>
          <w:szCs w:val="24"/>
          <w:lang w:eastAsia="en-GB"/>
        </w:rPr>
      </w:pPr>
      <w:bookmarkStart w:id="1" w:name="_GoBack"/>
      <w:bookmarkEnd w:id="1"/>
    </w:p>
    <w:sectPr w:rsidR="001E21F5" w:rsidSect="003B6378">
      <w:pgSz w:w="11906" w:h="16838"/>
      <w:pgMar w:top="1276" w:right="1133" w:bottom="851" w:left="99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007A"/>
    <w:rsid w:val="000031A9"/>
    <w:rsid w:val="00023C76"/>
    <w:rsid w:val="00032F7D"/>
    <w:rsid w:val="00045A8A"/>
    <w:rsid w:val="00053970"/>
    <w:rsid w:val="00061DA6"/>
    <w:rsid w:val="00091A4F"/>
    <w:rsid w:val="000A51B1"/>
    <w:rsid w:val="000D550D"/>
    <w:rsid w:val="000F05DF"/>
    <w:rsid w:val="000F5B66"/>
    <w:rsid w:val="001361EB"/>
    <w:rsid w:val="00162901"/>
    <w:rsid w:val="00171328"/>
    <w:rsid w:val="001D01E8"/>
    <w:rsid w:val="001D540D"/>
    <w:rsid w:val="001E21F5"/>
    <w:rsid w:val="001F5D5F"/>
    <w:rsid w:val="001F61E2"/>
    <w:rsid w:val="00202514"/>
    <w:rsid w:val="00207060"/>
    <w:rsid w:val="0022762B"/>
    <w:rsid w:val="00272F62"/>
    <w:rsid w:val="002846DF"/>
    <w:rsid w:val="00296A2B"/>
    <w:rsid w:val="002A786D"/>
    <w:rsid w:val="002B636B"/>
    <w:rsid w:val="00316FCF"/>
    <w:rsid w:val="00327833"/>
    <w:rsid w:val="003318FD"/>
    <w:rsid w:val="00343372"/>
    <w:rsid w:val="00397FAC"/>
    <w:rsid w:val="003B6378"/>
    <w:rsid w:val="003F1220"/>
    <w:rsid w:val="003F7103"/>
    <w:rsid w:val="0040341E"/>
    <w:rsid w:val="004B32B1"/>
    <w:rsid w:val="005037C7"/>
    <w:rsid w:val="00504063"/>
    <w:rsid w:val="00512033"/>
    <w:rsid w:val="005226FD"/>
    <w:rsid w:val="00523804"/>
    <w:rsid w:val="00526D47"/>
    <w:rsid w:val="00574716"/>
    <w:rsid w:val="00594373"/>
    <w:rsid w:val="005C3F05"/>
    <w:rsid w:val="005D2485"/>
    <w:rsid w:val="005E1E7C"/>
    <w:rsid w:val="0063775C"/>
    <w:rsid w:val="006B334F"/>
    <w:rsid w:val="006D17F9"/>
    <w:rsid w:val="00717755"/>
    <w:rsid w:val="0072558D"/>
    <w:rsid w:val="00745270"/>
    <w:rsid w:val="0078225C"/>
    <w:rsid w:val="007A2354"/>
    <w:rsid w:val="007D4294"/>
    <w:rsid w:val="007F120C"/>
    <w:rsid w:val="008072EB"/>
    <w:rsid w:val="0082668D"/>
    <w:rsid w:val="0083156C"/>
    <w:rsid w:val="0086458F"/>
    <w:rsid w:val="00864B6A"/>
    <w:rsid w:val="00865DBA"/>
    <w:rsid w:val="008B6931"/>
    <w:rsid w:val="008C2A4D"/>
    <w:rsid w:val="008C53CF"/>
    <w:rsid w:val="0090194C"/>
    <w:rsid w:val="00952508"/>
    <w:rsid w:val="00984420"/>
    <w:rsid w:val="009A16E1"/>
    <w:rsid w:val="009B07F5"/>
    <w:rsid w:val="009D5290"/>
    <w:rsid w:val="009D5A91"/>
    <w:rsid w:val="009E1F5F"/>
    <w:rsid w:val="009E58E9"/>
    <w:rsid w:val="009E7FA3"/>
    <w:rsid w:val="009F5FF6"/>
    <w:rsid w:val="00A008BF"/>
    <w:rsid w:val="00A14DCC"/>
    <w:rsid w:val="00A20C36"/>
    <w:rsid w:val="00A27588"/>
    <w:rsid w:val="00A54D69"/>
    <w:rsid w:val="00A67F03"/>
    <w:rsid w:val="00AC6C37"/>
    <w:rsid w:val="00B16A79"/>
    <w:rsid w:val="00B4712D"/>
    <w:rsid w:val="00B56E3F"/>
    <w:rsid w:val="00B7232A"/>
    <w:rsid w:val="00B96EE4"/>
    <w:rsid w:val="00BA6721"/>
    <w:rsid w:val="00BA7636"/>
    <w:rsid w:val="00BF0C20"/>
    <w:rsid w:val="00C32001"/>
    <w:rsid w:val="00C32457"/>
    <w:rsid w:val="00C33351"/>
    <w:rsid w:val="00C338B9"/>
    <w:rsid w:val="00C42590"/>
    <w:rsid w:val="00C77FD5"/>
    <w:rsid w:val="00CC3279"/>
    <w:rsid w:val="00CD007A"/>
    <w:rsid w:val="00CF2948"/>
    <w:rsid w:val="00D00539"/>
    <w:rsid w:val="00D10CA0"/>
    <w:rsid w:val="00D31B56"/>
    <w:rsid w:val="00D72D45"/>
    <w:rsid w:val="00D8472B"/>
    <w:rsid w:val="00DB73C3"/>
    <w:rsid w:val="00DC269C"/>
    <w:rsid w:val="00DD2D50"/>
    <w:rsid w:val="00DE3EDE"/>
    <w:rsid w:val="00DE470D"/>
    <w:rsid w:val="00E026C1"/>
    <w:rsid w:val="00E416D0"/>
    <w:rsid w:val="00E65C1C"/>
    <w:rsid w:val="00E7005B"/>
    <w:rsid w:val="00E733DE"/>
    <w:rsid w:val="00E73FF5"/>
    <w:rsid w:val="00E81332"/>
    <w:rsid w:val="00EA6E6E"/>
    <w:rsid w:val="00EC351A"/>
    <w:rsid w:val="00ED2F5A"/>
    <w:rsid w:val="00EF6B8C"/>
    <w:rsid w:val="00F50D21"/>
    <w:rsid w:val="00F53D5D"/>
    <w:rsid w:val="00F60618"/>
    <w:rsid w:val="00F63AD6"/>
    <w:rsid w:val="00F93005"/>
    <w:rsid w:val="00FB6B02"/>
    <w:rsid w:val="00FC0514"/>
    <w:rsid w:val="00FC4219"/>
    <w:rsid w:val="00FE6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716"/>
    <w:rPr>
      <w:rFonts w:ascii="Arial" w:eastAsia="Times New Roman" w:hAnsi="Arial"/>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arch-body-text3">
    <w:name w:val="search-body-text3"/>
    <w:rsid w:val="00091A4F"/>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242</TotalTime>
  <Pages>1</Pages>
  <Words>151</Words>
  <Characters>861</Characters>
  <Application>Microsoft Office Word</Application>
  <DocSecurity>0</DocSecurity>
  <Lines>7</Lines>
  <Paragraphs>2</Paragraphs>
  <ScaleCrop>false</ScaleCrop>
  <Company>The Royal Bank of Scotland</Company>
  <LinksUpToDate>false</LinksUpToDate>
  <CharactersWithSpaces>1010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patteja</dc:creator>
  <cp:keywords/>
  <dc:description/>
  <cp:lastModifiedBy>Abdullah, Sairah</cp:lastModifiedBy>
  <cp:revision>71</cp:revision>
  <dcterms:created xsi:type="dcterms:W3CDTF">2015-11-30T10:47:00Z</dcterms:created>
  <dcterms:modified xsi:type="dcterms:W3CDTF">2018-04-30T15:51:00Z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451536229</vt:i4>
  </property>
  <property fmtid="{D5CDD505-2E9C-101B-9397-08002B2CF9AE}" pid="3" name="_NewReviewCycle">
    <vt:lpwstr/>
  </property>
  <property fmtid="{D5CDD505-2E9C-101B-9397-08002B2CF9AE}" pid="4" name="_EmailSubject">
    <vt:lpwstr>TVR</vt:lpwstr>
  </property>
  <property fmtid="{D5CDD505-2E9C-101B-9397-08002B2CF9AE}" pid="5" name="_AuthorEmail">
    <vt:lpwstr>Yvonne.Addison@rbs.co.uk</vt:lpwstr>
  </property>
  <property fmtid="{D5CDD505-2E9C-101B-9397-08002B2CF9AE}" pid="6" name="_AuthorEmailDisplayName">
    <vt:lpwstr>Addison, Yvonne (Corporate Governance and Regulatory Affairs)</vt:lpwstr>
  </property>
  <property fmtid="{D5CDD505-2E9C-101B-9397-08002B2CF9AE}" pid="7" name="_ReviewingToolsShownOnce">
    <vt:lpwstr/>
  </property>
</Properties>
</file>