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876" w:rsidRPr="008634A9" w:rsidRDefault="00090876" w:rsidP="00090876">
      <w:pPr>
        <w:jc w:val="both"/>
        <w:rPr>
          <w:rFonts w:ascii="Calibri" w:hAnsi="Calibri" w:cs="Calibri"/>
          <w:b/>
          <w:bCs/>
          <w:sz w:val="24"/>
          <w:szCs w:val="24"/>
        </w:rPr>
      </w:pPr>
      <w:r w:rsidRPr="008634A9">
        <w:rPr>
          <w:rFonts w:ascii="Calibri" w:hAnsi="Calibri" w:cs="Calibri"/>
          <w:b/>
          <w:bCs/>
          <w:sz w:val="24"/>
          <w:szCs w:val="24"/>
        </w:rPr>
        <w:t>The Royal Bank of Scotland Group plc</w:t>
      </w:r>
    </w:p>
    <w:p w:rsidR="00090876" w:rsidRDefault="00090876" w:rsidP="00090876">
      <w:pPr>
        <w:jc w:val="both"/>
        <w:rPr>
          <w:rFonts w:ascii="Calibri" w:hAnsi="Calibri" w:cs="Calibri"/>
          <w:b/>
          <w:bCs/>
          <w:sz w:val="24"/>
          <w:szCs w:val="24"/>
        </w:rPr>
      </w:pPr>
    </w:p>
    <w:p w:rsidR="00090876" w:rsidRPr="008634A9" w:rsidRDefault="00090876" w:rsidP="00090876">
      <w:pPr>
        <w:jc w:val="both"/>
        <w:rPr>
          <w:rFonts w:ascii="Calibri" w:hAnsi="Calibri" w:cs="Calibri"/>
          <w:b/>
          <w:bCs/>
          <w:sz w:val="24"/>
          <w:szCs w:val="24"/>
        </w:rPr>
      </w:pPr>
      <w:r w:rsidRPr="008634A9">
        <w:rPr>
          <w:rFonts w:ascii="Calibri" w:hAnsi="Calibri" w:cs="Calibri"/>
          <w:b/>
          <w:bCs/>
          <w:sz w:val="24"/>
          <w:szCs w:val="24"/>
        </w:rPr>
        <w:t xml:space="preserve">RBS </w:t>
      </w:r>
      <w:r w:rsidR="000D20A7">
        <w:rPr>
          <w:rFonts w:ascii="Calibri" w:hAnsi="Calibri" w:cs="Calibri"/>
          <w:b/>
          <w:bCs/>
          <w:sz w:val="24"/>
          <w:szCs w:val="24"/>
        </w:rPr>
        <w:t>agrees</w:t>
      </w:r>
      <w:r w:rsidR="000D20A7" w:rsidRPr="008634A9">
        <w:rPr>
          <w:rFonts w:ascii="Calibri" w:hAnsi="Calibri" w:cs="Calibri"/>
          <w:b/>
          <w:bCs/>
          <w:sz w:val="24"/>
          <w:szCs w:val="24"/>
        </w:rPr>
        <w:t xml:space="preserve"> </w:t>
      </w:r>
      <w:r w:rsidR="006145D5" w:rsidRPr="008634A9">
        <w:rPr>
          <w:rFonts w:ascii="Calibri" w:hAnsi="Calibri" w:cs="Calibri"/>
          <w:b/>
          <w:bCs/>
          <w:sz w:val="24"/>
          <w:szCs w:val="24"/>
        </w:rPr>
        <w:t xml:space="preserve">in principle </w:t>
      </w:r>
      <w:r w:rsidRPr="008634A9">
        <w:rPr>
          <w:rFonts w:ascii="Calibri" w:hAnsi="Calibri" w:cs="Calibri"/>
          <w:b/>
          <w:bCs/>
          <w:sz w:val="24"/>
          <w:szCs w:val="24"/>
        </w:rPr>
        <w:t xml:space="preserve">settlement </w:t>
      </w:r>
      <w:r w:rsidR="00F64AF2" w:rsidRPr="008634A9">
        <w:rPr>
          <w:rFonts w:ascii="Calibri" w:hAnsi="Calibri" w:cs="Calibri"/>
          <w:b/>
          <w:bCs/>
          <w:sz w:val="24"/>
          <w:szCs w:val="24"/>
        </w:rPr>
        <w:t xml:space="preserve">with </w:t>
      </w:r>
      <w:r w:rsidR="009D3953" w:rsidRPr="008634A9">
        <w:rPr>
          <w:rFonts w:ascii="Calibri" w:hAnsi="Calibri" w:cs="Calibri"/>
          <w:b/>
          <w:sz w:val="24"/>
          <w:szCs w:val="24"/>
        </w:rPr>
        <w:t xml:space="preserve">the US Department of Justice </w:t>
      </w:r>
      <w:r w:rsidRPr="008634A9">
        <w:rPr>
          <w:rFonts w:ascii="Calibri" w:hAnsi="Calibri" w:cs="Calibri"/>
          <w:b/>
          <w:bCs/>
          <w:sz w:val="24"/>
          <w:szCs w:val="24"/>
        </w:rPr>
        <w:t>regarding US RMBS investigation</w:t>
      </w:r>
    </w:p>
    <w:p w:rsidR="0046169B" w:rsidRPr="008634A9" w:rsidRDefault="0046169B" w:rsidP="00090876">
      <w:pPr>
        <w:jc w:val="both"/>
        <w:rPr>
          <w:rFonts w:ascii="Calibri" w:hAnsi="Calibri" w:cs="Calibri"/>
          <w:b/>
          <w:bCs/>
          <w:sz w:val="24"/>
          <w:szCs w:val="24"/>
        </w:rPr>
      </w:pPr>
    </w:p>
    <w:p w:rsidR="00090876" w:rsidRDefault="007F5A2C" w:rsidP="00090876">
      <w:pPr>
        <w:jc w:val="both"/>
        <w:rPr>
          <w:rFonts w:ascii="Calibri" w:hAnsi="Calibri" w:cs="Calibri"/>
          <w:sz w:val="24"/>
          <w:szCs w:val="24"/>
        </w:rPr>
      </w:pPr>
      <w:r>
        <w:rPr>
          <w:rFonts w:ascii="Calibri" w:hAnsi="Calibri" w:cs="Calibri"/>
          <w:sz w:val="24"/>
          <w:szCs w:val="24"/>
        </w:rPr>
        <w:t>10</w:t>
      </w:r>
      <w:r w:rsidR="00090876" w:rsidRPr="008634A9">
        <w:rPr>
          <w:rFonts w:ascii="Calibri" w:hAnsi="Calibri" w:cs="Calibri"/>
          <w:sz w:val="24"/>
          <w:szCs w:val="24"/>
        </w:rPr>
        <w:t xml:space="preserve"> May 2018</w:t>
      </w:r>
    </w:p>
    <w:p w:rsidR="001723D0" w:rsidRPr="008634A9" w:rsidRDefault="001723D0" w:rsidP="00090876">
      <w:pPr>
        <w:jc w:val="both"/>
        <w:rPr>
          <w:rFonts w:ascii="Calibri" w:hAnsi="Calibri" w:cs="Calibri"/>
          <w:sz w:val="24"/>
          <w:szCs w:val="24"/>
        </w:rPr>
      </w:pPr>
    </w:p>
    <w:p w:rsidR="00090876" w:rsidRPr="008634A9" w:rsidRDefault="00090876" w:rsidP="00090876">
      <w:pPr>
        <w:spacing w:line="280" w:lineRule="atLeast"/>
        <w:jc w:val="both"/>
        <w:rPr>
          <w:rFonts w:ascii="Calibri" w:hAnsi="Calibri" w:cs="Calibri"/>
          <w:sz w:val="24"/>
          <w:szCs w:val="24"/>
        </w:rPr>
      </w:pPr>
      <w:r w:rsidRPr="008634A9">
        <w:rPr>
          <w:rFonts w:ascii="Calibri" w:hAnsi="Calibri" w:cs="Calibri"/>
          <w:sz w:val="24"/>
          <w:szCs w:val="24"/>
        </w:rPr>
        <w:t xml:space="preserve">The Royal Bank of Scotland Group plc (together with its subsidiaries, “RBS”) today announces that </w:t>
      </w:r>
      <w:r w:rsidR="00EB15D4" w:rsidRPr="008634A9">
        <w:rPr>
          <w:rFonts w:ascii="Calibri" w:hAnsi="Calibri" w:cs="Calibri"/>
          <w:sz w:val="24"/>
          <w:szCs w:val="24"/>
        </w:rPr>
        <w:t xml:space="preserve">it </w:t>
      </w:r>
      <w:r w:rsidR="007316E5" w:rsidRPr="008634A9">
        <w:rPr>
          <w:rFonts w:ascii="Calibri" w:hAnsi="Calibri" w:cs="Calibri"/>
          <w:sz w:val="24"/>
          <w:szCs w:val="24"/>
        </w:rPr>
        <w:t>has reached</w:t>
      </w:r>
      <w:r w:rsidR="006145D5" w:rsidRPr="008634A9">
        <w:rPr>
          <w:rFonts w:ascii="Calibri" w:hAnsi="Calibri" w:cs="Calibri"/>
          <w:sz w:val="24"/>
          <w:szCs w:val="24"/>
        </w:rPr>
        <w:t xml:space="preserve"> </w:t>
      </w:r>
      <w:r w:rsidRPr="008634A9">
        <w:rPr>
          <w:rFonts w:ascii="Calibri" w:hAnsi="Calibri" w:cs="Calibri"/>
          <w:sz w:val="24"/>
          <w:szCs w:val="24"/>
        </w:rPr>
        <w:t xml:space="preserve">a civil settlement in principle with the US Department of Justice (“DoJ”) to resolve its investigation into RBS’s issuance and underwriting of US residential mortgage-backed securities (“RMBS”) between 2005 and 2007. </w:t>
      </w:r>
    </w:p>
    <w:p w:rsidR="00090876" w:rsidRPr="008634A9" w:rsidRDefault="00090876" w:rsidP="00090876">
      <w:pPr>
        <w:spacing w:line="280" w:lineRule="atLeast"/>
        <w:jc w:val="both"/>
        <w:rPr>
          <w:rFonts w:ascii="Calibri" w:hAnsi="Calibri" w:cs="Calibri"/>
          <w:sz w:val="24"/>
          <w:szCs w:val="24"/>
        </w:rPr>
      </w:pPr>
    </w:p>
    <w:p w:rsidR="008634A9" w:rsidRDefault="00090876" w:rsidP="008634A9">
      <w:pPr>
        <w:spacing w:line="280" w:lineRule="atLeast"/>
        <w:jc w:val="both"/>
        <w:rPr>
          <w:rFonts w:ascii="Calibri" w:eastAsia="Times New Roman" w:hAnsi="Calibri" w:cs="Calibri"/>
          <w:sz w:val="24"/>
          <w:szCs w:val="24"/>
        </w:rPr>
      </w:pPr>
      <w:r w:rsidRPr="008634A9">
        <w:rPr>
          <w:rFonts w:ascii="Calibri" w:hAnsi="Calibri" w:cs="Calibri"/>
          <w:sz w:val="24"/>
          <w:szCs w:val="24"/>
        </w:rPr>
        <w:t xml:space="preserve">Under the terms of the </w:t>
      </w:r>
      <w:r w:rsidR="009D3953" w:rsidRPr="008634A9">
        <w:rPr>
          <w:rFonts w:ascii="Calibri" w:hAnsi="Calibri" w:cs="Calibri"/>
          <w:sz w:val="24"/>
          <w:szCs w:val="24"/>
        </w:rPr>
        <w:t xml:space="preserve">proposed </w:t>
      </w:r>
      <w:r w:rsidRPr="008634A9">
        <w:rPr>
          <w:rFonts w:ascii="Calibri" w:hAnsi="Calibri" w:cs="Calibri"/>
          <w:sz w:val="24"/>
          <w:szCs w:val="24"/>
        </w:rPr>
        <w:t>settlement, RBS has</w:t>
      </w:r>
      <w:r w:rsidR="006145D5" w:rsidRPr="008634A9">
        <w:rPr>
          <w:rFonts w:ascii="Calibri" w:hAnsi="Calibri" w:cs="Calibri"/>
          <w:sz w:val="24"/>
          <w:szCs w:val="24"/>
        </w:rPr>
        <w:t>,</w:t>
      </w:r>
      <w:r w:rsidRPr="008634A9">
        <w:rPr>
          <w:rFonts w:ascii="Calibri" w:hAnsi="Calibri" w:cs="Calibri"/>
          <w:sz w:val="24"/>
          <w:szCs w:val="24"/>
        </w:rPr>
        <w:t xml:space="preserve"> </w:t>
      </w:r>
      <w:r w:rsidR="006145D5" w:rsidRPr="008634A9">
        <w:rPr>
          <w:rFonts w:ascii="Calibri" w:hAnsi="Calibri" w:cs="Calibri"/>
          <w:sz w:val="24"/>
          <w:szCs w:val="24"/>
        </w:rPr>
        <w:t xml:space="preserve">in principle, </w:t>
      </w:r>
      <w:r w:rsidRPr="008634A9">
        <w:rPr>
          <w:rFonts w:ascii="Calibri" w:hAnsi="Calibri" w:cs="Calibri"/>
          <w:sz w:val="24"/>
          <w:szCs w:val="24"/>
        </w:rPr>
        <w:t xml:space="preserve">agreed to pay a civil monetary </w:t>
      </w:r>
      <w:r w:rsidR="00A435B6">
        <w:rPr>
          <w:rFonts w:ascii="Calibri" w:hAnsi="Calibri" w:cs="Calibri"/>
          <w:sz w:val="24"/>
          <w:szCs w:val="24"/>
        </w:rPr>
        <w:t xml:space="preserve">cash </w:t>
      </w:r>
      <w:r w:rsidRPr="008634A9">
        <w:rPr>
          <w:rFonts w:ascii="Calibri" w:hAnsi="Calibri" w:cs="Calibri"/>
          <w:sz w:val="24"/>
          <w:szCs w:val="24"/>
        </w:rPr>
        <w:t>penalty of US $</w:t>
      </w:r>
      <w:r w:rsidR="00366E44">
        <w:rPr>
          <w:rFonts w:ascii="Calibri" w:hAnsi="Calibri" w:cs="Calibri"/>
          <w:sz w:val="24"/>
          <w:szCs w:val="24"/>
        </w:rPr>
        <w:t>4.9</w:t>
      </w:r>
      <w:r w:rsidRPr="008634A9">
        <w:rPr>
          <w:rFonts w:ascii="Calibri" w:hAnsi="Calibri" w:cs="Calibri"/>
          <w:sz w:val="24"/>
          <w:szCs w:val="24"/>
        </w:rPr>
        <w:t xml:space="preserve"> billion (c. £</w:t>
      </w:r>
      <w:r w:rsidR="00EF7A4F">
        <w:rPr>
          <w:rFonts w:ascii="Calibri" w:hAnsi="Calibri" w:cs="Calibri"/>
          <w:sz w:val="24"/>
          <w:szCs w:val="24"/>
        </w:rPr>
        <w:t>3.6bn</w:t>
      </w:r>
      <w:r w:rsidR="00A435B6">
        <w:rPr>
          <w:rFonts w:ascii="Calibri" w:hAnsi="Calibri" w:cs="Calibri"/>
          <w:sz w:val="24"/>
          <w:szCs w:val="24"/>
        </w:rPr>
        <w:t xml:space="preserve"> </w:t>
      </w:r>
      <w:r w:rsidR="00A435B6" w:rsidRPr="00A435B6">
        <w:rPr>
          <w:rFonts w:ascii="Calibri" w:hAnsi="Calibri" w:cs="Calibri"/>
          <w:sz w:val="24"/>
          <w:szCs w:val="24"/>
        </w:rPr>
        <w:t>at the current exchange rate</w:t>
      </w:r>
      <w:r w:rsidRPr="008634A9">
        <w:rPr>
          <w:rFonts w:ascii="Calibri" w:hAnsi="Calibri" w:cs="Calibri"/>
          <w:sz w:val="24"/>
          <w:szCs w:val="24"/>
        </w:rPr>
        <w:t>)</w:t>
      </w:r>
      <w:r w:rsidR="00462F05" w:rsidRPr="008634A9">
        <w:rPr>
          <w:rFonts w:ascii="Calibri" w:hAnsi="Calibri" w:cs="Calibri"/>
          <w:sz w:val="24"/>
          <w:szCs w:val="24"/>
        </w:rPr>
        <w:t xml:space="preserve">. Of this amount, </w:t>
      </w:r>
      <w:r w:rsidR="00311A60" w:rsidRPr="008634A9">
        <w:rPr>
          <w:rFonts w:ascii="Calibri" w:hAnsi="Calibri" w:cs="Calibri"/>
          <w:sz w:val="24"/>
          <w:szCs w:val="24"/>
        </w:rPr>
        <w:t>US$3.4</w:t>
      </w:r>
      <w:r w:rsidR="009D3953" w:rsidRPr="008634A9">
        <w:rPr>
          <w:rFonts w:ascii="Calibri" w:hAnsi="Calibri" w:cs="Calibri"/>
          <w:sz w:val="24"/>
          <w:szCs w:val="24"/>
        </w:rPr>
        <w:t>6</w:t>
      </w:r>
      <w:r w:rsidR="00311A60" w:rsidRPr="008634A9">
        <w:rPr>
          <w:rFonts w:ascii="Calibri" w:hAnsi="Calibri" w:cs="Calibri"/>
          <w:sz w:val="24"/>
          <w:szCs w:val="24"/>
        </w:rPr>
        <w:t xml:space="preserve"> billion</w:t>
      </w:r>
      <w:r w:rsidR="00DC01B7" w:rsidRPr="008634A9">
        <w:rPr>
          <w:rFonts w:ascii="Calibri" w:hAnsi="Calibri" w:cs="Calibri"/>
          <w:sz w:val="24"/>
          <w:szCs w:val="24"/>
        </w:rPr>
        <w:t xml:space="preserve"> </w:t>
      </w:r>
      <w:r w:rsidRPr="008634A9">
        <w:rPr>
          <w:rFonts w:ascii="Calibri" w:hAnsi="Calibri" w:cs="Calibri"/>
          <w:sz w:val="24"/>
          <w:szCs w:val="24"/>
        </w:rPr>
        <w:t>will be</w:t>
      </w:r>
      <w:r w:rsidR="00311A60" w:rsidRPr="008634A9">
        <w:rPr>
          <w:rFonts w:ascii="Calibri" w:hAnsi="Calibri" w:cs="Calibri"/>
          <w:sz w:val="24"/>
          <w:szCs w:val="24"/>
        </w:rPr>
        <w:t xml:space="preserve"> covered by existing provisions with an incremental charge of US$ </w:t>
      </w:r>
      <w:r w:rsidR="00EF7A4F">
        <w:rPr>
          <w:rFonts w:ascii="Calibri" w:hAnsi="Calibri" w:cs="Calibri"/>
          <w:sz w:val="24"/>
          <w:szCs w:val="24"/>
        </w:rPr>
        <w:t>1</w:t>
      </w:r>
      <w:r w:rsidR="00EB15D4" w:rsidRPr="008634A9">
        <w:rPr>
          <w:rFonts w:ascii="Calibri" w:hAnsi="Calibri" w:cs="Calibri"/>
          <w:sz w:val="24"/>
          <w:szCs w:val="24"/>
        </w:rPr>
        <w:t>.</w:t>
      </w:r>
      <w:r w:rsidR="00EF7A4F">
        <w:rPr>
          <w:rFonts w:ascii="Calibri" w:hAnsi="Calibri" w:cs="Calibri"/>
          <w:sz w:val="24"/>
          <w:szCs w:val="24"/>
        </w:rPr>
        <w:t>4</w:t>
      </w:r>
      <w:r w:rsidR="00A435B6">
        <w:rPr>
          <w:rFonts w:ascii="Calibri" w:hAnsi="Calibri" w:cs="Calibri"/>
          <w:sz w:val="24"/>
          <w:szCs w:val="24"/>
        </w:rPr>
        <w:t>4</w:t>
      </w:r>
      <w:r w:rsidR="00311A60" w:rsidRPr="008634A9">
        <w:rPr>
          <w:rFonts w:ascii="Calibri" w:hAnsi="Calibri" w:cs="Calibri"/>
          <w:sz w:val="24"/>
          <w:szCs w:val="24"/>
        </w:rPr>
        <w:t xml:space="preserve"> billion</w:t>
      </w:r>
      <w:r w:rsidR="009D3E55">
        <w:rPr>
          <w:rFonts w:ascii="Calibri" w:hAnsi="Calibri" w:cs="Calibri"/>
          <w:sz w:val="24"/>
          <w:szCs w:val="24"/>
        </w:rPr>
        <w:t xml:space="preserve"> in Q2 2018</w:t>
      </w:r>
      <w:r w:rsidR="003708EE" w:rsidRPr="008634A9">
        <w:rPr>
          <w:rFonts w:ascii="Calibri" w:hAnsi="Calibri" w:cs="Calibri"/>
          <w:sz w:val="24"/>
          <w:szCs w:val="24"/>
        </w:rPr>
        <w:t>.</w:t>
      </w:r>
      <w:r w:rsidR="00311A60" w:rsidRPr="008634A9">
        <w:rPr>
          <w:rFonts w:ascii="Calibri" w:hAnsi="Calibri" w:cs="Calibri"/>
          <w:sz w:val="24"/>
          <w:szCs w:val="24"/>
        </w:rPr>
        <w:t xml:space="preserve"> </w:t>
      </w:r>
      <w:r w:rsidR="009D3953" w:rsidRPr="008634A9">
        <w:rPr>
          <w:rFonts w:ascii="Calibri" w:hAnsi="Calibri" w:cs="Calibri"/>
          <w:sz w:val="24"/>
          <w:szCs w:val="24"/>
        </w:rPr>
        <w:t>T</w:t>
      </w:r>
      <w:r w:rsidR="00462F05" w:rsidRPr="008634A9">
        <w:rPr>
          <w:rFonts w:ascii="Calibri" w:hAnsi="Calibri" w:cs="Calibri"/>
          <w:sz w:val="24"/>
          <w:szCs w:val="24"/>
        </w:rPr>
        <w:t>he pro forma impact</w:t>
      </w:r>
      <w:r w:rsidR="00311A60" w:rsidRPr="008634A9">
        <w:rPr>
          <w:rFonts w:ascii="Calibri" w:hAnsi="Calibri" w:cs="Calibri"/>
          <w:sz w:val="24"/>
          <w:szCs w:val="24"/>
        </w:rPr>
        <w:t xml:space="preserve"> on RBS’s </w:t>
      </w:r>
      <w:r w:rsidR="009D3953" w:rsidRPr="008634A9">
        <w:rPr>
          <w:rFonts w:ascii="Calibri" w:hAnsi="Calibri" w:cs="Calibri"/>
          <w:sz w:val="24"/>
          <w:szCs w:val="24"/>
        </w:rPr>
        <w:t>31 March 2018</w:t>
      </w:r>
      <w:r w:rsidR="002B7AAE" w:rsidRPr="008634A9">
        <w:rPr>
          <w:rFonts w:ascii="Calibri" w:hAnsi="Calibri" w:cs="Calibri"/>
          <w:sz w:val="24"/>
          <w:szCs w:val="24"/>
        </w:rPr>
        <w:t xml:space="preserve"> </w:t>
      </w:r>
      <w:r w:rsidR="00311A60" w:rsidRPr="008634A9">
        <w:rPr>
          <w:rFonts w:ascii="Calibri" w:hAnsi="Calibri" w:cs="Calibri"/>
          <w:sz w:val="24"/>
          <w:szCs w:val="24"/>
        </w:rPr>
        <w:t xml:space="preserve">Common Equity Tier 1 ratio </w:t>
      </w:r>
      <w:r w:rsidR="0057457C">
        <w:rPr>
          <w:rFonts w:ascii="Calibri" w:hAnsi="Calibri" w:cs="Calibri"/>
          <w:sz w:val="24"/>
          <w:szCs w:val="24"/>
        </w:rPr>
        <w:t xml:space="preserve">(“CET1”) </w:t>
      </w:r>
      <w:r w:rsidR="00462F05" w:rsidRPr="008634A9">
        <w:rPr>
          <w:rFonts w:ascii="Calibri" w:hAnsi="Calibri" w:cs="Calibri"/>
          <w:sz w:val="24"/>
          <w:szCs w:val="24"/>
        </w:rPr>
        <w:t xml:space="preserve">is </w:t>
      </w:r>
      <w:r w:rsidR="00A435B6">
        <w:rPr>
          <w:rFonts w:ascii="Calibri" w:hAnsi="Calibri" w:cs="Calibri"/>
          <w:sz w:val="24"/>
          <w:szCs w:val="24"/>
        </w:rPr>
        <w:t xml:space="preserve">a reduction of </w:t>
      </w:r>
      <w:r w:rsidR="002B7AAE" w:rsidRPr="008634A9">
        <w:rPr>
          <w:rFonts w:ascii="Calibri" w:hAnsi="Calibri" w:cs="Calibri"/>
          <w:sz w:val="24"/>
          <w:szCs w:val="24"/>
        </w:rPr>
        <w:t xml:space="preserve">approximately </w:t>
      </w:r>
      <w:r w:rsidR="008634A9" w:rsidRPr="008634A9">
        <w:rPr>
          <w:rFonts w:ascii="Calibri" w:hAnsi="Calibri" w:cs="Calibri"/>
          <w:sz w:val="24"/>
          <w:szCs w:val="24"/>
        </w:rPr>
        <w:t>50</w:t>
      </w:r>
      <w:r w:rsidR="00FF7818">
        <w:rPr>
          <w:rFonts w:ascii="Calibri" w:hAnsi="Calibri" w:cs="Calibri"/>
          <w:sz w:val="24"/>
          <w:szCs w:val="24"/>
        </w:rPr>
        <w:t xml:space="preserve"> </w:t>
      </w:r>
      <w:r w:rsidR="00462F05" w:rsidRPr="008634A9">
        <w:rPr>
          <w:rFonts w:ascii="Calibri" w:hAnsi="Calibri" w:cs="Calibri"/>
          <w:sz w:val="24"/>
          <w:szCs w:val="24"/>
        </w:rPr>
        <w:t>basis points</w:t>
      </w:r>
      <w:r w:rsidR="00DC5FC2" w:rsidRPr="008634A9">
        <w:rPr>
          <w:rFonts w:ascii="Calibri" w:hAnsi="Calibri" w:cs="Calibri"/>
          <w:sz w:val="24"/>
          <w:szCs w:val="24"/>
        </w:rPr>
        <w:t xml:space="preserve"> </w:t>
      </w:r>
      <w:r w:rsidR="00BB0B2B" w:rsidRPr="008634A9">
        <w:rPr>
          <w:rFonts w:ascii="Calibri" w:hAnsi="Calibri" w:cs="Calibri"/>
          <w:sz w:val="24"/>
          <w:szCs w:val="24"/>
        </w:rPr>
        <w:t xml:space="preserve">and </w:t>
      </w:r>
      <w:r w:rsidR="00462F05" w:rsidRPr="008634A9">
        <w:rPr>
          <w:rFonts w:ascii="Calibri" w:hAnsi="Calibri" w:cs="Calibri"/>
          <w:sz w:val="24"/>
          <w:szCs w:val="24"/>
        </w:rPr>
        <w:t xml:space="preserve">a reduction of </w:t>
      </w:r>
      <w:r w:rsidR="008634A9" w:rsidRPr="008634A9">
        <w:rPr>
          <w:rFonts w:ascii="Calibri" w:hAnsi="Calibri" w:cs="Calibri"/>
          <w:sz w:val="24"/>
          <w:szCs w:val="24"/>
        </w:rPr>
        <w:t>9</w:t>
      </w:r>
      <w:r w:rsidR="00462F05" w:rsidRPr="008634A9">
        <w:rPr>
          <w:rFonts w:ascii="Calibri" w:hAnsi="Calibri" w:cs="Calibri"/>
          <w:sz w:val="24"/>
          <w:szCs w:val="24"/>
        </w:rPr>
        <w:t xml:space="preserve">p on </w:t>
      </w:r>
      <w:r w:rsidR="00BB0B2B" w:rsidRPr="008634A9">
        <w:rPr>
          <w:rFonts w:ascii="Calibri" w:hAnsi="Calibri" w:cs="Calibri"/>
          <w:sz w:val="24"/>
          <w:szCs w:val="24"/>
        </w:rPr>
        <w:t xml:space="preserve">31 March 2018 </w:t>
      </w:r>
      <w:r w:rsidR="008634A9" w:rsidRPr="008634A9">
        <w:rPr>
          <w:rFonts w:ascii="Calibri" w:eastAsia="Times New Roman" w:hAnsi="Calibri" w:cs="Calibri"/>
          <w:sz w:val="24"/>
          <w:szCs w:val="24"/>
        </w:rPr>
        <w:t>fully diluted</w:t>
      </w:r>
      <w:r w:rsidR="008634A9" w:rsidRPr="008634A9">
        <w:rPr>
          <w:rFonts w:ascii="Calibri" w:hAnsi="Calibri" w:cs="Calibri"/>
          <w:sz w:val="24"/>
          <w:szCs w:val="24"/>
        </w:rPr>
        <w:t xml:space="preserve"> </w:t>
      </w:r>
      <w:r w:rsidR="00462F05" w:rsidRPr="008634A9">
        <w:rPr>
          <w:rFonts w:ascii="Calibri" w:hAnsi="Calibri" w:cs="Calibri"/>
          <w:sz w:val="24"/>
          <w:szCs w:val="24"/>
        </w:rPr>
        <w:t>TNAV per share.</w:t>
      </w:r>
      <w:r w:rsidR="00122CBE" w:rsidRPr="008634A9">
        <w:rPr>
          <w:rFonts w:ascii="Calibri" w:hAnsi="Calibri" w:cs="Calibri"/>
          <w:sz w:val="24"/>
          <w:szCs w:val="24"/>
        </w:rPr>
        <w:t xml:space="preserve"> </w:t>
      </w:r>
      <w:r w:rsidR="008634A9" w:rsidRPr="008634A9">
        <w:rPr>
          <w:rFonts w:ascii="Calibri" w:eastAsia="Times New Roman" w:hAnsi="Calibri" w:cs="Calibri"/>
          <w:sz w:val="24"/>
          <w:szCs w:val="24"/>
        </w:rPr>
        <w:t xml:space="preserve">Adjusting for the combined impact of both the RMBS settlement and the pension deficit contribution </w:t>
      </w:r>
      <w:r w:rsidR="008634A9">
        <w:rPr>
          <w:rFonts w:ascii="Calibri" w:eastAsia="Times New Roman" w:hAnsi="Calibri" w:cs="Calibri"/>
          <w:sz w:val="24"/>
          <w:szCs w:val="24"/>
        </w:rPr>
        <w:t xml:space="preserve">of £2 billion </w:t>
      </w:r>
      <w:r w:rsidR="008634A9" w:rsidRPr="008634A9">
        <w:rPr>
          <w:rFonts w:ascii="Calibri" w:eastAsia="Times New Roman" w:hAnsi="Calibri" w:cs="Calibri"/>
          <w:sz w:val="24"/>
          <w:szCs w:val="24"/>
        </w:rPr>
        <w:t>announced on 17 April, the Q1 201</w:t>
      </w:r>
      <w:r w:rsidR="00B25D12">
        <w:rPr>
          <w:rFonts w:ascii="Calibri" w:eastAsia="Times New Roman" w:hAnsi="Calibri" w:cs="Calibri"/>
          <w:sz w:val="24"/>
          <w:szCs w:val="24"/>
        </w:rPr>
        <w:t>8</w:t>
      </w:r>
      <w:r w:rsidR="008634A9" w:rsidRPr="008634A9">
        <w:rPr>
          <w:rFonts w:ascii="Calibri" w:eastAsia="Times New Roman" w:hAnsi="Calibri" w:cs="Calibri"/>
          <w:sz w:val="24"/>
          <w:szCs w:val="24"/>
        </w:rPr>
        <w:t xml:space="preserve"> pro</w:t>
      </w:r>
      <w:r w:rsidR="008634A9">
        <w:rPr>
          <w:rFonts w:ascii="Calibri" w:eastAsia="Times New Roman" w:hAnsi="Calibri" w:cs="Calibri"/>
          <w:sz w:val="24"/>
          <w:szCs w:val="24"/>
        </w:rPr>
        <w:t xml:space="preserve"> </w:t>
      </w:r>
      <w:r w:rsidR="008634A9" w:rsidRPr="008634A9">
        <w:rPr>
          <w:rFonts w:ascii="Calibri" w:eastAsia="Times New Roman" w:hAnsi="Calibri" w:cs="Calibri"/>
          <w:sz w:val="24"/>
          <w:szCs w:val="24"/>
        </w:rPr>
        <w:t>forma CET1 is 15.1% and fully diluted TNAV is 274p.</w:t>
      </w:r>
    </w:p>
    <w:p w:rsidR="00622741" w:rsidRPr="008634A9" w:rsidRDefault="00622741" w:rsidP="008634A9">
      <w:pPr>
        <w:spacing w:line="280" w:lineRule="atLeast"/>
        <w:jc w:val="both"/>
        <w:rPr>
          <w:rFonts w:ascii="Times New Roman" w:eastAsia="Times New Roman" w:hAnsi="Times New Roman" w:cs="Times New Roman"/>
          <w:sz w:val="24"/>
          <w:szCs w:val="24"/>
        </w:rPr>
      </w:pPr>
    </w:p>
    <w:p w:rsidR="000C11F3" w:rsidRPr="008634A9" w:rsidRDefault="000C11F3" w:rsidP="000C11F3">
      <w:pPr>
        <w:spacing w:line="280" w:lineRule="atLeast"/>
        <w:jc w:val="both"/>
        <w:rPr>
          <w:rFonts w:ascii="Calibri" w:hAnsi="Calibri" w:cs="Calibri"/>
          <w:sz w:val="24"/>
          <w:szCs w:val="24"/>
          <w:lang w:val="en-GB"/>
        </w:rPr>
      </w:pPr>
      <w:r w:rsidRPr="008634A9">
        <w:rPr>
          <w:rFonts w:ascii="Calibri" w:hAnsi="Calibri" w:cs="Calibri"/>
          <w:sz w:val="24"/>
          <w:szCs w:val="24"/>
          <w:lang w:val="en-GB"/>
        </w:rPr>
        <w:t>Commenting on the developments, Ross McEw</w:t>
      </w:r>
      <w:r w:rsidR="00FF7818">
        <w:rPr>
          <w:rFonts w:ascii="Calibri" w:hAnsi="Calibri" w:cs="Calibri"/>
          <w:sz w:val="24"/>
          <w:szCs w:val="24"/>
          <w:lang w:val="en-GB"/>
        </w:rPr>
        <w:t>a</w:t>
      </w:r>
      <w:r w:rsidRPr="008634A9">
        <w:rPr>
          <w:rFonts w:ascii="Calibri" w:hAnsi="Calibri" w:cs="Calibri"/>
          <w:sz w:val="24"/>
          <w:szCs w:val="24"/>
          <w:lang w:val="en-GB"/>
        </w:rPr>
        <w:t>n (</w:t>
      </w:r>
      <w:r w:rsidR="006A62DE">
        <w:rPr>
          <w:rFonts w:ascii="Calibri" w:hAnsi="Calibri" w:cs="Calibri"/>
          <w:sz w:val="24"/>
          <w:szCs w:val="24"/>
          <w:lang w:val="en-GB"/>
        </w:rPr>
        <w:t>CEO</w:t>
      </w:r>
      <w:r w:rsidRPr="008634A9">
        <w:rPr>
          <w:rFonts w:ascii="Calibri" w:hAnsi="Calibri" w:cs="Calibri"/>
          <w:sz w:val="24"/>
          <w:szCs w:val="24"/>
          <w:lang w:val="en-GB"/>
        </w:rPr>
        <w:t xml:space="preserve">), said, </w:t>
      </w:r>
    </w:p>
    <w:p w:rsidR="000C11F3" w:rsidRPr="008634A9" w:rsidRDefault="000C11F3" w:rsidP="000C11F3">
      <w:pPr>
        <w:spacing w:line="280" w:lineRule="atLeast"/>
        <w:jc w:val="both"/>
        <w:rPr>
          <w:rFonts w:ascii="Calibri" w:hAnsi="Calibri" w:cs="Calibri"/>
          <w:sz w:val="24"/>
          <w:szCs w:val="24"/>
          <w:lang w:val="en-GB"/>
        </w:rPr>
      </w:pPr>
    </w:p>
    <w:p w:rsidR="004E0597" w:rsidRDefault="006A62DE" w:rsidP="004E0597">
      <w:pPr>
        <w:jc w:val="both"/>
        <w:rPr>
          <w:rFonts w:ascii="Times New Roman" w:hAnsi="Times New Roman" w:cs="Times New Roman"/>
          <w:i/>
          <w:iCs/>
          <w:sz w:val="22"/>
          <w:szCs w:val="22"/>
        </w:rPr>
      </w:pPr>
      <w:r w:rsidRPr="006A62DE">
        <w:rPr>
          <w:rFonts w:ascii="Calibri" w:hAnsi="Calibri" w:cs="Calibri"/>
          <w:i/>
          <w:sz w:val="24"/>
          <w:szCs w:val="24"/>
          <w:lang w:val="en-GB"/>
        </w:rPr>
        <w:t>“Today’s announcement is a milestone moment for the bank.  Reaching this settlement in principle with the US Department of Justice</w:t>
      </w:r>
      <w:r w:rsidR="005857B8">
        <w:rPr>
          <w:rFonts w:ascii="Calibri" w:hAnsi="Calibri" w:cs="Calibri"/>
          <w:i/>
          <w:sz w:val="24"/>
          <w:szCs w:val="24"/>
          <w:lang w:val="en-GB"/>
        </w:rPr>
        <w:t xml:space="preserve"> will, when finalised,</w:t>
      </w:r>
      <w:r w:rsidRPr="006A62DE">
        <w:rPr>
          <w:rFonts w:ascii="Calibri" w:hAnsi="Calibri" w:cs="Calibri"/>
          <w:i/>
          <w:sz w:val="24"/>
          <w:szCs w:val="24"/>
          <w:lang w:val="en-GB"/>
        </w:rPr>
        <w:t xml:space="preserve"> allow us to </w:t>
      </w:r>
      <w:r w:rsidR="004E0597">
        <w:rPr>
          <w:rFonts w:ascii="Calibri" w:hAnsi="Calibri" w:cs="Calibri"/>
          <w:i/>
          <w:sz w:val="24"/>
          <w:szCs w:val="24"/>
          <w:lang w:val="en-GB"/>
        </w:rPr>
        <w:t>deal with this significant remaining</w:t>
      </w:r>
      <w:r w:rsidRPr="006A62DE">
        <w:rPr>
          <w:rFonts w:ascii="Calibri" w:hAnsi="Calibri" w:cs="Calibri"/>
          <w:i/>
          <w:sz w:val="24"/>
          <w:szCs w:val="24"/>
          <w:lang w:val="en-GB"/>
        </w:rPr>
        <w:t xml:space="preserve"> legacy issue and is the price we have to pay for the global ambitions pursued by this bank before the crisis.   Removing the uncertainty over the scale of this settlement means that the investment case </w:t>
      </w:r>
      <w:r w:rsidR="004E0597">
        <w:rPr>
          <w:rFonts w:ascii="Calibri" w:hAnsi="Calibri" w:cs="Calibri"/>
          <w:i/>
          <w:sz w:val="24"/>
          <w:szCs w:val="24"/>
          <w:lang w:val="en-GB"/>
        </w:rPr>
        <w:t xml:space="preserve">for this bank </w:t>
      </w:r>
      <w:r w:rsidRPr="006A62DE">
        <w:rPr>
          <w:rFonts w:ascii="Calibri" w:hAnsi="Calibri" w:cs="Calibri"/>
          <w:i/>
          <w:sz w:val="24"/>
          <w:szCs w:val="24"/>
          <w:lang w:val="en-GB"/>
        </w:rPr>
        <w:t>is much clearer.”</w:t>
      </w:r>
      <w:r w:rsidR="004E0597">
        <w:rPr>
          <w:i/>
          <w:iCs/>
          <w:sz w:val="22"/>
          <w:szCs w:val="22"/>
        </w:rPr>
        <w:t xml:space="preserve"> </w:t>
      </w:r>
    </w:p>
    <w:p w:rsidR="004E0597" w:rsidRPr="008634A9" w:rsidRDefault="004E0597" w:rsidP="00090876">
      <w:pPr>
        <w:spacing w:line="280" w:lineRule="atLeast"/>
        <w:jc w:val="both"/>
        <w:rPr>
          <w:rFonts w:ascii="Calibri" w:hAnsi="Calibri" w:cs="Calibri"/>
          <w:sz w:val="24"/>
          <w:szCs w:val="24"/>
        </w:rPr>
      </w:pPr>
    </w:p>
    <w:p w:rsidR="00A35A9A" w:rsidRDefault="00A35A9A" w:rsidP="00BB0B2B">
      <w:pPr>
        <w:spacing w:line="280" w:lineRule="atLeast"/>
        <w:jc w:val="both"/>
        <w:rPr>
          <w:rFonts w:ascii="Calibri" w:hAnsi="Calibri" w:cs="Calibri"/>
          <w:sz w:val="24"/>
          <w:szCs w:val="24"/>
        </w:rPr>
      </w:pPr>
      <w:r w:rsidRPr="008634A9">
        <w:rPr>
          <w:rFonts w:ascii="Calibri" w:hAnsi="Calibri" w:cs="Calibri"/>
          <w:sz w:val="24"/>
          <w:szCs w:val="24"/>
        </w:rPr>
        <w:t xml:space="preserve">The </w:t>
      </w:r>
      <w:r w:rsidR="006145D5" w:rsidRPr="008634A9">
        <w:rPr>
          <w:rFonts w:ascii="Calibri" w:hAnsi="Calibri" w:cs="Calibri"/>
          <w:sz w:val="24"/>
          <w:szCs w:val="24"/>
        </w:rPr>
        <w:t xml:space="preserve">proposed </w:t>
      </w:r>
      <w:r w:rsidRPr="008634A9">
        <w:rPr>
          <w:rFonts w:ascii="Calibri" w:hAnsi="Calibri" w:cs="Calibri"/>
          <w:sz w:val="24"/>
          <w:szCs w:val="24"/>
        </w:rPr>
        <w:t>settlement is subject to the DOJ and RBS entering into a legally-binding agreement</w:t>
      </w:r>
      <w:r w:rsidR="006145D5" w:rsidRPr="008634A9">
        <w:rPr>
          <w:rFonts w:ascii="Calibri" w:hAnsi="Calibri" w:cs="Calibri"/>
          <w:sz w:val="24"/>
          <w:szCs w:val="24"/>
        </w:rPr>
        <w:t>,</w:t>
      </w:r>
      <w:r w:rsidRPr="008634A9">
        <w:rPr>
          <w:rFonts w:ascii="Calibri" w:hAnsi="Calibri" w:cs="Calibri"/>
          <w:sz w:val="24"/>
          <w:szCs w:val="24"/>
        </w:rPr>
        <w:t xml:space="preserve"> and there can be no assurance that the parties will agree on the final</w:t>
      </w:r>
      <w:r w:rsidR="006145D5" w:rsidRPr="008634A9">
        <w:rPr>
          <w:rFonts w:ascii="Calibri" w:hAnsi="Calibri" w:cs="Calibri"/>
          <w:sz w:val="24"/>
          <w:szCs w:val="24"/>
        </w:rPr>
        <w:t xml:space="preserve"> terms of any proposed settlement</w:t>
      </w:r>
      <w:r w:rsidRPr="008634A9">
        <w:rPr>
          <w:rFonts w:ascii="Calibri" w:hAnsi="Calibri" w:cs="Calibri"/>
          <w:sz w:val="24"/>
          <w:szCs w:val="24"/>
        </w:rPr>
        <w:t xml:space="preserve">. </w:t>
      </w:r>
    </w:p>
    <w:p w:rsidR="000C11F3" w:rsidRPr="008634A9" w:rsidRDefault="000C11F3" w:rsidP="00BB0B2B">
      <w:pPr>
        <w:spacing w:line="280" w:lineRule="atLeast"/>
        <w:jc w:val="both"/>
        <w:rPr>
          <w:rFonts w:ascii="Calibri" w:hAnsi="Calibri" w:cs="Calibri"/>
          <w:sz w:val="24"/>
          <w:szCs w:val="24"/>
        </w:rPr>
      </w:pPr>
    </w:p>
    <w:p w:rsidR="000C11F3" w:rsidRPr="008634A9" w:rsidRDefault="000C11F3" w:rsidP="000C11F3">
      <w:pPr>
        <w:spacing w:line="280" w:lineRule="atLeast"/>
        <w:jc w:val="both"/>
        <w:rPr>
          <w:rFonts w:ascii="Calibri" w:hAnsi="Calibri" w:cs="Calibri"/>
          <w:sz w:val="24"/>
          <w:szCs w:val="24"/>
        </w:rPr>
      </w:pPr>
      <w:r>
        <w:rPr>
          <w:rFonts w:ascii="Calibri" w:hAnsi="Calibri" w:cs="Calibri"/>
          <w:sz w:val="24"/>
          <w:szCs w:val="24"/>
        </w:rPr>
        <w:t>The incremental charges will be booked in NatWest Markets plc (“NWM”)</w:t>
      </w:r>
      <w:r w:rsidR="004C0720">
        <w:rPr>
          <w:rFonts w:ascii="Calibri" w:hAnsi="Calibri" w:cs="Calibri"/>
          <w:sz w:val="24"/>
          <w:szCs w:val="24"/>
        </w:rPr>
        <w:t xml:space="preserve"> on a consolidated basis</w:t>
      </w:r>
      <w:r>
        <w:rPr>
          <w:rFonts w:ascii="Calibri" w:hAnsi="Calibri" w:cs="Calibri"/>
          <w:sz w:val="24"/>
          <w:szCs w:val="24"/>
        </w:rPr>
        <w:t xml:space="preserve">. RBS retains its </w:t>
      </w:r>
      <w:r w:rsidRPr="00D40ECE">
        <w:rPr>
          <w:rFonts w:ascii="Calibri" w:hAnsi="Calibri" w:cs="Calibri"/>
          <w:sz w:val="24"/>
          <w:szCs w:val="24"/>
        </w:rPr>
        <w:t xml:space="preserve">guidance on </w:t>
      </w:r>
      <w:r w:rsidR="004C0720">
        <w:rPr>
          <w:rFonts w:ascii="Calibri" w:hAnsi="Calibri" w:cs="Calibri"/>
          <w:sz w:val="24"/>
          <w:szCs w:val="24"/>
        </w:rPr>
        <w:t xml:space="preserve">a </w:t>
      </w:r>
      <w:r w:rsidRPr="00D40ECE">
        <w:rPr>
          <w:rFonts w:ascii="Calibri" w:hAnsi="Calibri" w:cs="Calibri"/>
          <w:sz w:val="24"/>
          <w:szCs w:val="24"/>
        </w:rPr>
        <w:t xml:space="preserve">NWM </w:t>
      </w:r>
      <w:r>
        <w:rPr>
          <w:rFonts w:ascii="Calibri" w:hAnsi="Calibri" w:cs="Calibri"/>
          <w:sz w:val="24"/>
          <w:szCs w:val="24"/>
        </w:rPr>
        <w:t>consolidate</w:t>
      </w:r>
      <w:r w:rsidR="00FF7818">
        <w:rPr>
          <w:rFonts w:ascii="Calibri" w:hAnsi="Calibri" w:cs="Calibri"/>
          <w:sz w:val="24"/>
          <w:szCs w:val="24"/>
        </w:rPr>
        <w:t>d</w:t>
      </w:r>
      <w:r>
        <w:rPr>
          <w:rFonts w:ascii="Calibri" w:hAnsi="Calibri" w:cs="Calibri"/>
          <w:sz w:val="24"/>
          <w:szCs w:val="24"/>
        </w:rPr>
        <w:t xml:space="preserve"> </w:t>
      </w:r>
      <w:r w:rsidRPr="00D40ECE">
        <w:rPr>
          <w:rFonts w:ascii="Calibri" w:hAnsi="Calibri" w:cs="Calibri"/>
          <w:sz w:val="24"/>
          <w:szCs w:val="24"/>
        </w:rPr>
        <w:t>end state</w:t>
      </w:r>
      <w:r>
        <w:rPr>
          <w:rFonts w:ascii="Calibri" w:hAnsi="Calibri" w:cs="Calibri"/>
          <w:sz w:val="24"/>
          <w:szCs w:val="24"/>
        </w:rPr>
        <w:t xml:space="preserve"> (post ring-fencing transfers)</w:t>
      </w:r>
      <w:r w:rsidRPr="00D40ECE">
        <w:rPr>
          <w:rFonts w:ascii="Calibri" w:hAnsi="Calibri" w:cs="Calibri"/>
          <w:sz w:val="24"/>
          <w:szCs w:val="24"/>
        </w:rPr>
        <w:t xml:space="preserve"> </w:t>
      </w:r>
      <w:r>
        <w:rPr>
          <w:rFonts w:ascii="Calibri" w:hAnsi="Calibri" w:cs="Calibri"/>
          <w:sz w:val="24"/>
          <w:szCs w:val="24"/>
        </w:rPr>
        <w:t xml:space="preserve">CET1 target of </w:t>
      </w:r>
      <w:r w:rsidRPr="00D40ECE">
        <w:rPr>
          <w:rFonts w:ascii="Calibri" w:hAnsi="Calibri" w:cs="Calibri"/>
          <w:sz w:val="24"/>
          <w:szCs w:val="24"/>
          <w:lang w:val="en-GB"/>
        </w:rPr>
        <w:t>14%,</w:t>
      </w:r>
      <w:r>
        <w:rPr>
          <w:rFonts w:ascii="Calibri" w:hAnsi="Calibri" w:cs="Calibri"/>
          <w:sz w:val="24"/>
          <w:szCs w:val="24"/>
          <w:lang w:val="en-GB"/>
        </w:rPr>
        <w:t xml:space="preserve"> </w:t>
      </w:r>
      <w:r w:rsidRPr="00D40ECE">
        <w:rPr>
          <w:rFonts w:ascii="Calibri" w:hAnsi="Calibri" w:cs="Calibri"/>
          <w:sz w:val="24"/>
          <w:szCs w:val="24"/>
        </w:rPr>
        <w:t>as</w:t>
      </w:r>
      <w:r>
        <w:rPr>
          <w:rFonts w:ascii="Calibri" w:hAnsi="Calibri" w:cs="Calibri"/>
          <w:sz w:val="24"/>
          <w:szCs w:val="24"/>
        </w:rPr>
        <w:t xml:space="preserve"> per the outlook statement on p17 of </w:t>
      </w:r>
      <w:r w:rsidRPr="008634A9">
        <w:rPr>
          <w:rFonts w:ascii="Calibri" w:hAnsi="Calibri" w:cs="Calibri"/>
          <w:sz w:val="24"/>
          <w:szCs w:val="24"/>
        </w:rPr>
        <w:t>RBS’s 2017 Annual Report and Accounts</w:t>
      </w:r>
      <w:r>
        <w:rPr>
          <w:rFonts w:ascii="Calibri" w:hAnsi="Calibri" w:cs="Calibri"/>
          <w:sz w:val="24"/>
          <w:szCs w:val="24"/>
        </w:rPr>
        <w:t xml:space="preserve"> (“FY2017 A</w:t>
      </w:r>
      <w:r w:rsidR="00B6239A">
        <w:rPr>
          <w:rFonts w:ascii="Calibri" w:hAnsi="Calibri" w:cs="Calibri"/>
          <w:sz w:val="24"/>
          <w:szCs w:val="24"/>
        </w:rPr>
        <w:t>R&amp;</w:t>
      </w:r>
      <w:r>
        <w:rPr>
          <w:rFonts w:ascii="Calibri" w:hAnsi="Calibri" w:cs="Calibri"/>
          <w:sz w:val="24"/>
          <w:szCs w:val="24"/>
        </w:rPr>
        <w:t>A”).</w:t>
      </w:r>
    </w:p>
    <w:p w:rsidR="00A35A9A" w:rsidRPr="008634A9" w:rsidRDefault="00A35A9A" w:rsidP="00F64AF2">
      <w:pPr>
        <w:spacing w:line="280" w:lineRule="atLeast"/>
        <w:jc w:val="both"/>
        <w:rPr>
          <w:rFonts w:ascii="Calibri" w:hAnsi="Calibri" w:cs="Calibri"/>
          <w:sz w:val="24"/>
          <w:szCs w:val="24"/>
        </w:rPr>
      </w:pPr>
    </w:p>
    <w:p w:rsidR="00F64AF2" w:rsidRPr="008634A9" w:rsidRDefault="00A35A9A" w:rsidP="00F64AF2">
      <w:pPr>
        <w:spacing w:line="280" w:lineRule="atLeast"/>
        <w:jc w:val="both"/>
        <w:rPr>
          <w:rFonts w:ascii="Calibri" w:hAnsi="Calibri" w:cs="Calibri"/>
          <w:sz w:val="24"/>
          <w:szCs w:val="24"/>
        </w:rPr>
      </w:pPr>
      <w:r w:rsidRPr="008634A9">
        <w:rPr>
          <w:rFonts w:ascii="Calibri" w:hAnsi="Calibri" w:cs="Calibri"/>
          <w:sz w:val="24"/>
          <w:szCs w:val="24"/>
        </w:rPr>
        <w:t>Separately</w:t>
      </w:r>
      <w:r w:rsidR="00F64AF2" w:rsidRPr="008634A9">
        <w:rPr>
          <w:rFonts w:ascii="Calibri" w:hAnsi="Calibri" w:cs="Calibri"/>
          <w:sz w:val="24"/>
          <w:szCs w:val="24"/>
        </w:rPr>
        <w:t xml:space="preserve">, </w:t>
      </w:r>
      <w:r w:rsidR="00F94DB9">
        <w:rPr>
          <w:rFonts w:ascii="Calibri" w:hAnsi="Calibri" w:cs="Calibri"/>
          <w:sz w:val="24"/>
          <w:szCs w:val="24"/>
        </w:rPr>
        <w:t xml:space="preserve">as at 31 March 2018, </w:t>
      </w:r>
      <w:r w:rsidRPr="008634A9">
        <w:rPr>
          <w:rFonts w:ascii="Calibri" w:hAnsi="Calibri" w:cs="Calibri"/>
          <w:sz w:val="24"/>
          <w:szCs w:val="24"/>
        </w:rPr>
        <w:t xml:space="preserve">RBS </w:t>
      </w:r>
      <w:r w:rsidR="00F94DB9">
        <w:rPr>
          <w:rFonts w:ascii="Calibri" w:hAnsi="Calibri" w:cs="Calibri"/>
          <w:sz w:val="24"/>
          <w:szCs w:val="24"/>
        </w:rPr>
        <w:t xml:space="preserve">held </w:t>
      </w:r>
      <w:r w:rsidR="00F64AF2" w:rsidRPr="008634A9">
        <w:rPr>
          <w:rFonts w:ascii="Calibri" w:hAnsi="Calibri" w:cs="Calibri"/>
          <w:sz w:val="24"/>
          <w:szCs w:val="24"/>
        </w:rPr>
        <w:t>provisions of US$</w:t>
      </w:r>
      <w:r w:rsidR="00445EE3">
        <w:rPr>
          <w:rFonts w:ascii="Calibri" w:hAnsi="Calibri" w:cs="Calibri"/>
          <w:sz w:val="24"/>
          <w:szCs w:val="24"/>
        </w:rPr>
        <w:t>0.</w:t>
      </w:r>
      <w:r w:rsidR="00F94DB9">
        <w:rPr>
          <w:rFonts w:ascii="Calibri" w:hAnsi="Calibri" w:cs="Calibri"/>
          <w:sz w:val="24"/>
          <w:szCs w:val="24"/>
        </w:rPr>
        <w:t>8</w:t>
      </w:r>
      <w:r w:rsidR="00F64AF2" w:rsidRPr="008634A9">
        <w:rPr>
          <w:rFonts w:ascii="Calibri" w:hAnsi="Calibri" w:cs="Calibri"/>
          <w:sz w:val="24"/>
          <w:szCs w:val="24"/>
        </w:rPr>
        <w:t xml:space="preserve"> billion for other legacy RMBS matters.</w:t>
      </w:r>
      <w:r w:rsidR="003B5888" w:rsidRPr="008634A9">
        <w:rPr>
          <w:rFonts w:ascii="Calibri" w:hAnsi="Calibri" w:cs="Calibri"/>
          <w:sz w:val="24"/>
          <w:szCs w:val="24"/>
        </w:rPr>
        <w:t xml:space="preserve"> </w:t>
      </w:r>
      <w:r w:rsidR="00F64AF2" w:rsidRPr="008634A9">
        <w:rPr>
          <w:rFonts w:ascii="Calibri" w:hAnsi="Calibri" w:cs="Calibri"/>
          <w:sz w:val="24"/>
          <w:szCs w:val="24"/>
        </w:rPr>
        <w:t xml:space="preserve">Please see RBS’s </w:t>
      </w:r>
      <w:r w:rsidR="00D40ECE">
        <w:rPr>
          <w:rFonts w:ascii="Calibri" w:hAnsi="Calibri" w:cs="Calibri"/>
          <w:sz w:val="24"/>
          <w:szCs w:val="24"/>
        </w:rPr>
        <w:t>FY2017 AR</w:t>
      </w:r>
      <w:r w:rsidR="00B6239A">
        <w:rPr>
          <w:rFonts w:ascii="Calibri" w:hAnsi="Calibri" w:cs="Calibri"/>
          <w:sz w:val="24"/>
          <w:szCs w:val="24"/>
        </w:rPr>
        <w:t>&amp;</w:t>
      </w:r>
      <w:r w:rsidR="00D40ECE">
        <w:rPr>
          <w:rFonts w:ascii="Calibri" w:hAnsi="Calibri" w:cs="Calibri"/>
          <w:sz w:val="24"/>
          <w:szCs w:val="24"/>
        </w:rPr>
        <w:t>A</w:t>
      </w:r>
      <w:r w:rsidR="00F64AF2" w:rsidRPr="008634A9">
        <w:rPr>
          <w:rFonts w:ascii="Calibri" w:hAnsi="Calibri" w:cs="Calibri"/>
          <w:sz w:val="24"/>
          <w:szCs w:val="24"/>
        </w:rPr>
        <w:t xml:space="preserve"> for further information. </w:t>
      </w:r>
    </w:p>
    <w:p w:rsidR="00090876" w:rsidRDefault="00090876" w:rsidP="007C0B58">
      <w:pPr>
        <w:spacing w:line="280" w:lineRule="atLeast"/>
        <w:jc w:val="both"/>
        <w:rPr>
          <w:rFonts w:ascii="Calibri" w:hAnsi="Calibri" w:cs="Calibri"/>
          <w:sz w:val="24"/>
          <w:szCs w:val="24"/>
          <w:lang w:val="en-GB"/>
        </w:rPr>
      </w:pPr>
    </w:p>
    <w:p w:rsidR="000C136A" w:rsidRDefault="000C136A">
      <w:pPr>
        <w:spacing w:after="200" w:line="276" w:lineRule="auto"/>
        <w:rPr>
          <w:rFonts w:ascii="Calibri" w:hAnsi="Calibri" w:cs="Calibri"/>
          <w:i/>
          <w:sz w:val="24"/>
          <w:szCs w:val="24"/>
          <w:lang w:val="en-GB"/>
        </w:rPr>
      </w:pPr>
      <w:r>
        <w:rPr>
          <w:rFonts w:ascii="Calibri" w:hAnsi="Calibri" w:cs="Calibri"/>
          <w:i/>
          <w:sz w:val="24"/>
          <w:szCs w:val="24"/>
          <w:lang w:val="en-GB"/>
        </w:rPr>
        <w:br w:type="page"/>
      </w:r>
    </w:p>
    <w:p w:rsidR="00C74D29" w:rsidRDefault="000C136A" w:rsidP="00C74D29">
      <w:pPr>
        <w:spacing w:line="280" w:lineRule="atLeast"/>
        <w:jc w:val="both"/>
        <w:rPr>
          <w:rFonts w:ascii="Calibri" w:hAnsi="Calibri" w:cs="Calibri"/>
          <w:i/>
          <w:sz w:val="24"/>
          <w:szCs w:val="24"/>
          <w:lang w:val="en-GB"/>
        </w:rPr>
      </w:pPr>
      <w:r>
        <w:rPr>
          <w:rFonts w:ascii="Calibri" w:hAnsi="Calibri" w:cs="Calibri"/>
          <w:i/>
          <w:sz w:val="24"/>
          <w:szCs w:val="24"/>
          <w:lang w:val="en-GB"/>
        </w:rPr>
        <w:lastRenderedPageBreak/>
        <w:t>I</w:t>
      </w:r>
      <w:r w:rsidR="00C74D29" w:rsidRPr="00376411">
        <w:rPr>
          <w:rFonts w:ascii="Calibri" w:hAnsi="Calibri" w:cs="Calibri"/>
          <w:i/>
          <w:sz w:val="24"/>
          <w:szCs w:val="24"/>
          <w:lang w:val="en-GB"/>
        </w:rPr>
        <w:t>nvestor call</w:t>
      </w:r>
    </w:p>
    <w:p w:rsidR="001723D0" w:rsidRPr="008634A9" w:rsidRDefault="001723D0" w:rsidP="00C74D29">
      <w:pPr>
        <w:spacing w:line="280" w:lineRule="atLeast"/>
        <w:jc w:val="both"/>
        <w:rPr>
          <w:rFonts w:ascii="Calibri" w:hAnsi="Calibri" w:cs="Calibri"/>
          <w:sz w:val="24"/>
          <w:szCs w:val="24"/>
          <w:lang w:val="en-GB"/>
        </w:rPr>
      </w:pPr>
    </w:p>
    <w:p w:rsidR="00C74D29" w:rsidRPr="008634A9" w:rsidRDefault="008634A9" w:rsidP="00C74D29">
      <w:pPr>
        <w:spacing w:line="280" w:lineRule="atLeast"/>
        <w:jc w:val="both"/>
        <w:rPr>
          <w:rFonts w:ascii="Calibri" w:hAnsi="Calibri" w:cs="Calibri"/>
          <w:sz w:val="24"/>
          <w:szCs w:val="24"/>
          <w:lang w:val="en-GB"/>
        </w:rPr>
      </w:pPr>
      <w:r w:rsidRPr="008634A9">
        <w:rPr>
          <w:rFonts w:ascii="Calibri" w:hAnsi="Calibri" w:cs="Calibri"/>
          <w:sz w:val="24"/>
          <w:szCs w:val="24"/>
          <w:lang w:val="en-GB"/>
        </w:rPr>
        <w:t>Ross McEw</w:t>
      </w:r>
      <w:r w:rsidR="00FF7818">
        <w:rPr>
          <w:rFonts w:ascii="Calibri" w:hAnsi="Calibri" w:cs="Calibri"/>
          <w:sz w:val="24"/>
          <w:szCs w:val="24"/>
          <w:lang w:val="en-GB"/>
        </w:rPr>
        <w:t>a</w:t>
      </w:r>
      <w:r w:rsidRPr="008634A9">
        <w:rPr>
          <w:rFonts w:ascii="Calibri" w:hAnsi="Calibri" w:cs="Calibri"/>
          <w:sz w:val="24"/>
          <w:szCs w:val="24"/>
          <w:lang w:val="en-GB"/>
        </w:rPr>
        <w:t xml:space="preserve">n </w:t>
      </w:r>
      <w:r w:rsidR="000C11F3">
        <w:rPr>
          <w:rFonts w:ascii="Calibri" w:hAnsi="Calibri" w:cs="Calibri"/>
          <w:sz w:val="24"/>
          <w:szCs w:val="24"/>
          <w:lang w:val="en-GB"/>
        </w:rPr>
        <w:t>(CEO)</w:t>
      </w:r>
      <w:r w:rsidR="00C74D29" w:rsidRPr="008634A9">
        <w:rPr>
          <w:rFonts w:ascii="Calibri" w:hAnsi="Calibri" w:cs="Calibri"/>
          <w:sz w:val="24"/>
          <w:szCs w:val="24"/>
          <w:lang w:val="en-GB"/>
        </w:rPr>
        <w:t xml:space="preserve"> will host a conference call </w:t>
      </w:r>
      <w:r w:rsidR="006A62DE">
        <w:rPr>
          <w:rFonts w:ascii="Calibri" w:hAnsi="Calibri" w:cs="Calibri"/>
          <w:sz w:val="24"/>
          <w:szCs w:val="24"/>
          <w:lang w:val="en-GB"/>
        </w:rPr>
        <w:t xml:space="preserve">with Ewen Stevenson (CFO) </w:t>
      </w:r>
      <w:r w:rsidR="00C74D29" w:rsidRPr="008634A9">
        <w:rPr>
          <w:rFonts w:ascii="Calibri" w:hAnsi="Calibri" w:cs="Calibri"/>
          <w:sz w:val="24"/>
          <w:szCs w:val="24"/>
          <w:lang w:val="en-GB"/>
        </w:rPr>
        <w:t xml:space="preserve">for investors and analysts at </w:t>
      </w:r>
      <w:r w:rsidR="00EA1E31">
        <w:rPr>
          <w:rFonts w:ascii="Calibri" w:hAnsi="Calibri" w:cs="Calibri"/>
          <w:sz w:val="24"/>
          <w:szCs w:val="24"/>
          <w:lang w:val="en-GB"/>
        </w:rPr>
        <w:t>8</w:t>
      </w:r>
      <w:r w:rsidR="00CD4AEA">
        <w:rPr>
          <w:rFonts w:ascii="Calibri" w:hAnsi="Calibri" w:cs="Calibri"/>
          <w:sz w:val="24"/>
          <w:szCs w:val="24"/>
          <w:lang w:val="en-GB"/>
        </w:rPr>
        <w:t>:</w:t>
      </w:r>
      <w:r w:rsidR="00F94DB9">
        <w:rPr>
          <w:rFonts w:ascii="Calibri" w:hAnsi="Calibri" w:cs="Calibri"/>
          <w:sz w:val="24"/>
          <w:szCs w:val="24"/>
          <w:lang w:val="en-GB"/>
        </w:rPr>
        <w:t>0</w:t>
      </w:r>
      <w:r w:rsidR="00CD4AEA">
        <w:rPr>
          <w:rFonts w:ascii="Calibri" w:hAnsi="Calibri" w:cs="Calibri"/>
          <w:sz w:val="24"/>
          <w:szCs w:val="24"/>
          <w:lang w:val="en-GB"/>
        </w:rPr>
        <w:t>0</w:t>
      </w:r>
      <w:r w:rsidR="00EA1E31">
        <w:rPr>
          <w:rFonts w:ascii="Calibri" w:hAnsi="Calibri" w:cs="Calibri"/>
          <w:sz w:val="24"/>
          <w:szCs w:val="24"/>
          <w:lang w:val="en-GB"/>
        </w:rPr>
        <w:t>a</w:t>
      </w:r>
      <w:r w:rsidR="00EC1EBA">
        <w:rPr>
          <w:rFonts w:ascii="Calibri" w:hAnsi="Calibri" w:cs="Calibri"/>
          <w:sz w:val="24"/>
          <w:szCs w:val="24"/>
          <w:lang w:val="en-GB"/>
        </w:rPr>
        <w:t>m</w:t>
      </w:r>
      <w:r w:rsidR="006A62DE">
        <w:rPr>
          <w:rFonts w:ascii="Calibri" w:hAnsi="Calibri" w:cs="Calibri"/>
          <w:sz w:val="24"/>
          <w:szCs w:val="24"/>
          <w:lang w:val="en-GB"/>
        </w:rPr>
        <w:t xml:space="preserve"> </w:t>
      </w:r>
      <w:r w:rsidR="00F94DB9">
        <w:rPr>
          <w:rFonts w:ascii="Calibri" w:hAnsi="Calibri" w:cs="Calibri"/>
          <w:sz w:val="24"/>
          <w:szCs w:val="24"/>
          <w:lang w:val="en-GB"/>
        </w:rPr>
        <w:t xml:space="preserve">(UK) </w:t>
      </w:r>
      <w:r w:rsidR="00E1060A">
        <w:rPr>
          <w:rFonts w:ascii="Calibri" w:hAnsi="Calibri" w:cs="Calibri"/>
          <w:sz w:val="24"/>
          <w:szCs w:val="24"/>
          <w:lang w:val="en-GB"/>
        </w:rPr>
        <w:t>on Thursday 10 May</w:t>
      </w:r>
      <w:r w:rsidR="00C74D29" w:rsidRPr="008634A9">
        <w:rPr>
          <w:rFonts w:ascii="Calibri" w:hAnsi="Calibri" w:cs="Calibri"/>
          <w:sz w:val="24"/>
          <w:szCs w:val="24"/>
          <w:lang w:val="en-GB"/>
        </w:rPr>
        <w:t xml:space="preserve">. A replay of the call will be made available shortly afterwards. Only items relating to the above announcement will be discussed on the call; there will be no discussion relating to other matters </w:t>
      </w:r>
      <w:r w:rsidR="006A62DE">
        <w:rPr>
          <w:rFonts w:ascii="Calibri" w:hAnsi="Calibri" w:cs="Calibri"/>
          <w:sz w:val="24"/>
          <w:szCs w:val="24"/>
          <w:lang w:val="en-GB"/>
        </w:rPr>
        <w:t>or</w:t>
      </w:r>
      <w:r w:rsidR="006A62DE" w:rsidRPr="008634A9">
        <w:rPr>
          <w:rFonts w:ascii="Calibri" w:hAnsi="Calibri" w:cs="Calibri"/>
          <w:sz w:val="24"/>
          <w:szCs w:val="24"/>
          <w:lang w:val="en-GB"/>
        </w:rPr>
        <w:t xml:space="preserve"> </w:t>
      </w:r>
      <w:r w:rsidR="00C74D29" w:rsidRPr="008634A9">
        <w:rPr>
          <w:rFonts w:ascii="Calibri" w:hAnsi="Calibri" w:cs="Calibri"/>
          <w:sz w:val="24"/>
          <w:szCs w:val="24"/>
          <w:lang w:val="en-GB"/>
        </w:rPr>
        <w:t xml:space="preserve">the Q2 2018 results. </w:t>
      </w:r>
    </w:p>
    <w:p w:rsidR="00C74D29" w:rsidRPr="008634A9" w:rsidRDefault="00C74D29" w:rsidP="00C74D29">
      <w:pPr>
        <w:spacing w:line="280" w:lineRule="atLeast"/>
        <w:jc w:val="both"/>
        <w:rPr>
          <w:rFonts w:ascii="Calibri" w:hAnsi="Calibri" w:cs="Calibri"/>
          <w:sz w:val="24"/>
          <w:szCs w:val="24"/>
          <w:lang w:val="en-GB"/>
        </w:rPr>
      </w:pPr>
      <w:r w:rsidRPr="008634A9">
        <w:rPr>
          <w:rFonts w:ascii="Calibri" w:hAnsi="Calibri" w:cs="Calibri"/>
          <w:sz w:val="24"/>
          <w:szCs w:val="24"/>
          <w:lang w:val="en-GB"/>
        </w:rPr>
        <w:t> </w:t>
      </w:r>
    </w:p>
    <w:p w:rsidR="00C74D29" w:rsidRPr="008634A9" w:rsidRDefault="00C74D29" w:rsidP="00C74D29">
      <w:pPr>
        <w:spacing w:line="280" w:lineRule="atLeast"/>
        <w:jc w:val="both"/>
        <w:rPr>
          <w:rFonts w:ascii="Calibri" w:hAnsi="Calibri" w:cs="Calibri"/>
          <w:sz w:val="24"/>
          <w:szCs w:val="24"/>
          <w:lang w:val="en-GB"/>
        </w:rPr>
      </w:pPr>
      <w:r w:rsidRPr="008634A9">
        <w:rPr>
          <w:rFonts w:ascii="Calibri" w:hAnsi="Calibri" w:cs="Calibri"/>
          <w:sz w:val="24"/>
          <w:szCs w:val="24"/>
          <w:lang w:val="en-GB"/>
        </w:rPr>
        <w:t>Dial-in details:</w:t>
      </w:r>
    </w:p>
    <w:p w:rsidR="00C74D29" w:rsidRPr="008634A9" w:rsidRDefault="00C74D29" w:rsidP="00C74D29">
      <w:pPr>
        <w:spacing w:line="280" w:lineRule="atLeast"/>
        <w:jc w:val="both"/>
        <w:rPr>
          <w:rFonts w:ascii="Calibri" w:hAnsi="Calibri" w:cs="Calibri"/>
          <w:sz w:val="24"/>
          <w:szCs w:val="24"/>
          <w:lang w:val="en-GB"/>
        </w:rPr>
      </w:pPr>
      <w:r w:rsidRPr="008634A9">
        <w:rPr>
          <w:rFonts w:ascii="Calibri" w:hAnsi="Calibri" w:cs="Calibri"/>
          <w:sz w:val="24"/>
          <w:szCs w:val="24"/>
          <w:lang w:val="en-GB"/>
        </w:rPr>
        <w:t xml:space="preserve">UK: </w:t>
      </w:r>
      <w:r w:rsidR="006A62DE">
        <w:rPr>
          <w:rFonts w:ascii="Calibri" w:hAnsi="Calibri" w:cs="Calibri"/>
          <w:sz w:val="24"/>
          <w:szCs w:val="24"/>
          <w:lang w:val="en-GB"/>
        </w:rPr>
        <w:t>0800 279 6637</w:t>
      </w:r>
    </w:p>
    <w:p w:rsidR="00C74D29" w:rsidRPr="008634A9" w:rsidRDefault="00C74D29" w:rsidP="00C74D29">
      <w:pPr>
        <w:spacing w:line="280" w:lineRule="atLeast"/>
        <w:jc w:val="both"/>
        <w:rPr>
          <w:rFonts w:ascii="Calibri" w:hAnsi="Calibri" w:cs="Calibri"/>
          <w:sz w:val="24"/>
          <w:szCs w:val="24"/>
          <w:lang w:val="en-GB"/>
        </w:rPr>
      </w:pPr>
      <w:r w:rsidRPr="008634A9">
        <w:rPr>
          <w:rFonts w:ascii="Calibri" w:hAnsi="Calibri" w:cs="Calibri"/>
          <w:sz w:val="24"/>
          <w:szCs w:val="24"/>
          <w:lang w:val="en-GB"/>
        </w:rPr>
        <w:t>International: +</w:t>
      </w:r>
      <w:r w:rsidR="006A62DE">
        <w:rPr>
          <w:rFonts w:ascii="Calibri" w:hAnsi="Calibri" w:cs="Calibri"/>
          <w:sz w:val="24"/>
          <w:szCs w:val="24"/>
          <w:lang w:val="en-GB"/>
        </w:rPr>
        <w:t xml:space="preserve"> </w:t>
      </w:r>
      <w:r w:rsidR="006A62DE">
        <w:rPr>
          <w:rFonts w:ascii="Calibri" w:hAnsi="Calibri" w:cs="Calibri"/>
          <w:sz w:val="24"/>
          <w:szCs w:val="24"/>
        </w:rPr>
        <w:t xml:space="preserve">44 (0) </w:t>
      </w:r>
      <w:r w:rsidR="006A62DE" w:rsidRPr="006A62DE">
        <w:rPr>
          <w:rFonts w:ascii="Calibri" w:hAnsi="Calibri" w:cs="Calibri"/>
          <w:sz w:val="24"/>
          <w:szCs w:val="24"/>
        </w:rPr>
        <w:t>203 0095755</w:t>
      </w:r>
    </w:p>
    <w:p w:rsidR="00C74D29" w:rsidRPr="008634A9" w:rsidRDefault="00C74D29" w:rsidP="00C74D29">
      <w:pPr>
        <w:spacing w:line="280" w:lineRule="atLeast"/>
        <w:jc w:val="both"/>
        <w:rPr>
          <w:rFonts w:ascii="Calibri" w:hAnsi="Calibri" w:cs="Calibri"/>
          <w:sz w:val="24"/>
          <w:szCs w:val="24"/>
          <w:lang w:val="en-GB"/>
        </w:rPr>
      </w:pPr>
      <w:r w:rsidRPr="008634A9">
        <w:rPr>
          <w:rFonts w:ascii="Calibri" w:hAnsi="Calibri" w:cs="Calibri"/>
          <w:sz w:val="24"/>
          <w:szCs w:val="24"/>
          <w:lang w:val="en-GB"/>
        </w:rPr>
        <w:t xml:space="preserve">US: +1 </w:t>
      </w:r>
      <w:r w:rsidR="006A62DE" w:rsidRPr="006A62DE">
        <w:rPr>
          <w:rFonts w:ascii="Calibri" w:hAnsi="Calibri" w:cs="Calibri"/>
          <w:sz w:val="24"/>
          <w:szCs w:val="24"/>
        </w:rPr>
        <w:t>646</w:t>
      </w:r>
      <w:r w:rsidR="006A62DE">
        <w:rPr>
          <w:rFonts w:ascii="Calibri" w:hAnsi="Calibri" w:cs="Calibri"/>
          <w:sz w:val="24"/>
          <w:szCs w:val="24"/>
        </w:rPr>
        <w:t xml:space="preserve"> </w:t>
      </w:r>
      <w:r w:rsidR="006A62DE" w:rsidRPr="006A62DE">
        <w:rPr>
          <w:rFonts w:ascii="Calibri" w:hAnsi="Calibri" w:cs="Calibri"/>
          <w:sz w:val="24"/>
          <w:szCs w:val="24"/>
        </w:rPr>
        <w:t>517</w:t>
      </w:r>
      <w:r w:rsidR="006A62DE">
        <w:rPr>
          <w:rFonts w:ascii="Calibri" w:hAnsi="Calibri" w:cs="Calibri"/>
          <w:sz w:val="24"/>
          <w:szCs w:val="24"/>
        </w:rPr>
        <w:t xml:space="preserve"> </w:t>
      </w:r>
      <w:r w:rsidR="006A62DE" w:rsidRPr="006A62DE">
        <w:rPr>
          <w:rFonts w:ascii="Calibri" w:hAnsi="Calibri" w:cs="Calibri"/>
          <w:sz w:val="24"/>
          <w:szCs w:val="24"/>
        </w:rPr>
        <w:t>5063</w:t>
      </w:r>
    </w:p>
    <w:p w:rsidR="00C74D29" w:rsidRPr="008634A9" w:rsidRDefault="00C74D29" w:rsidP="00C74D29">
      <w:pPr>
        <w:spacing w:line="280" w:lineRule="atLeast"/>
        <w:jc w:val="both"/>
        <w:rPr>
          <w:rFonts w:ascii="Calibri" w:hAnsi="Calibri" w:cs="Calibri"/>
          <w:sz w:val="24"/>
          <w:szCs w:val="24"/>
          <w:lang w:val="en-GB"/>
        </w:rPr>
      </w:pPr>
      <w:r w:rsidRPr="008634A9">
        <w:rPr>
          <w:rFonts w:ascii="Calibri" w:hAnsi="Calibri" w:cs="Calibri"/>
          <w:sz w:val="24"/>
          <w:szCs w:val="24"/>
          <w:lang w:val="en-GB"/>
        </w:rPr>
        <w:t xml:space="preserve">Conference ID: </w:t>
      </w:r>
      <w:r w:rsidR="006A62DE" w:rsidRPr="006A62DE">
        <w:rPr>
          <w:rFonts w:ascii="Calibri" w:hAnsi="Calibri" w:cs="Calibri"/>
          <w:bCs/>
          <w:sz w:val="24"/>
          <w:szCs w:val="24"/>
        </w:rPr>
        <w:t>8162406</w:t>
      </w:r>
    </w:p>
    <w:p w:rsidR="006A62DE" w:rsidRPr="008634A9" w:rsidRDefault="00C74D29" w:rsidP="007C0B58">
      <w:pPr>
        <w:spacing w:line="280" w:lineRule="atLeast"/>
        <w:jc w:val="both"/>
        <w:rPr>
          <w:rFonts w:ascii="Calibri" w:hAnsi="Calibri" w:cs="Calibri"/>
          <w:sz w:val="24"/>
          <w:szCs w:val="24"/>
          <w:lang w:val="en-GB"/>
        </w:rPr>
      </w:pPr>
      <w:r w:rsidRPr="008634A9">
        <w:rPr>
          <w:rFonts w:ascii="Calibri" w:hAnsi="Calibri" w:cs="Calibri"/>
          <w:sz w:val="24"/>
          <w:szCs w:val="24"/>
          <w:lang w:val="en-GB"/>
        </w:rPr>
        <w:t> </w:t>
      </w:r>
    </w:p>
    <w:p w:rsidR="00462F05" w:rsidRPr="00F4382C" w:rsidRDefault="00462F05" w:rsidP="00462F05">
      <w:pPr>
        <w:spacing w:line="280" w:lineRule="atLeast"/>
        <w:jc w:val="both"/>
        <w:rPr>
          <w:rFonts w:ascii="Calibri" w:hAnsi="Calibri" w:cs="Calibri"/>
          <w:i/>
          <w:sz w:val="24"/>
          <w:szCs w:val="24"/>
          <w:lang w:val="en-GB"/>
        </w:rPr>
      </w:pPr>
      <w:r w:rsidRPr="00F4382C">
        <w:rPr>
          <w:rFonts w:ascii="Calibri" w:hAnsi="Calibri" w:cs="Calibri"/>
          <w:i/>
          <w:sz w:val="24"/>
          <w:szCs w:val="24"/>
          <w:lang w:val="en-GB"/>
        </w:rPr>
        <w:t xml:space="preserve">For further information, please contact: </w:t>
      </w:r>
    </w:p>
    <w:p w:rsidR="00462F05" w:rsidRPr="008634A9" w:rsidRDefault="00462F05" w:rsidP="00462F05">
      <w:pPr>
        <w:spacing w:line="280" w:lineRule="atLeast"/>
        <w:jc w:val="both"/>
        <w:rPr>
          <w:rFonts w:ascii="Calibri" w:hAnsi="Calibri" w:cs="Calibri"/>
          <w:sz w:val="24"/>
          <w:szCs w:val="24"/>
          <w:lang w:val="en-GB"/>
        </w:rPr>
      </w:pPr>
      <w:r w:rsidRPr="008634A9">
        <w:rPr>
          <w:rFonts w:ascii="Calibri" w:hAnsi="Calibri" w:cs="Calibri"/>
          <w:sz w:val="24"/>
          <w:szCs w:val="24"/>
          <w:lang w:val="en-GB"/>
        </w:rPr>
        <w:t> </w:t>
      </w:r>
    </w:p>
    <w:p w:rsidR="00462F05" w:rsidRPr="008634A9" w:rsidRDefault="00462F05" w:rsidP="00462F05">
      <w:pPr>
        <w:spacing w:line="280" w:lineRule="atLeast"/>
        <w:jc w:val="both"/>
        <w:rPr>
          <w:rFonts w:ascii="Calibri" w:hAnsi="Calibri" w:cs="Calibri"/>
          <w:sz w:val="24"/>
          <w:szCs w:val="24"/>
          <w:lang w:val="en-GB"/>
        </w:rPr>
      </w:pPr>
      <w:r w:rsidRPr="008634A9">
        <w:rPr>
          <w:rFonts w:ascii="Calibri" w:hAnsi="Calibri" w:cs="Calibri"/>
          <w:sz w:val="24"/>
          <w:szCs w:val="24"/>
          <w:lang w:val="en-GB"/>
        </w:rPr>
        <w:t xml:space="preserve">Investor Relations </w:t>
      </w:r>
    </w:p>
    <w:p w:rsidR="00462F05" w:rsidRPr="008634A9" w:rsidRDefault="00462F05" w:rsidP="00462F05">
      <w:pPr>
        <w:spacing w:line="280" w:lineRule="atLeast"/>
        <w:jc w:val="both"/>
        <w:rPr>
          <w:rFonts w:ascii="Calibri" w:hAnsi="Calibri" w:cs="Calibri"/>
          <w:sz w:val="24"/>
          <w:szCs w:val="24"/>
          <w:lang w:val="en-GB"/>
        </w:rPr>
      </w:pPr>
      <w:r w:rsidRPr="008634A9">
        <w:rPr>
          <w:rFonts w:ascii="Calibri" w:hAnsi="Calibri" w:cs="Calibri"/>
          <w:sz w:val="24"/>
          <w:szCs w:val="24"/>
          <w:lang w:val="en-GB"/>
        </w:rPr>
        <w:t>Matt Waymark</w:t>
      </w:r>
    </w:p>
    <w:p w:rsidR="00462F05" w:rsidRPr="008634A9" w:rsidRDefault="00462F05" w:rsidP="00462F05">
      <w:pPr>
        <w:spacing w:line="280" w:lineRule="atLeast"/>
        <w:jc w:val="both"/>
        <w:rPr>
          <w:rFonts w:ascii="Calibri" w:hAnsi="Calibri" w:cs="Calibri"/>
          <w:sz w:val="24"/>
          <w:szCs w:val="24"/>
          <w:lang w:val="en-GB"/>
        </w:rPr>
      </w:pPr>
      <w:r w:rsidRPr="008634A9">
        <w:rPr>
          <w:rFonts w:ascii="Calibri" w:hAnsi="Calibri" w:cs="Calibri"/>
          <w:sz w:val="24"/>
          <w:szCs w:val="24"/>
          <w:lang w:val="en-GB"/>
        </w:rPr>
        <w:t>Head of Investor Relations</w:t>
      </w:r>
    </w:p>
    <w:p w:rsidR="00462F05" w:rsidRPr="008634A9" w:rsidRDefault="00462F05" w:rsidP="00462F05">
      <w:pPr>
        <w:spacing w:line="280" w:lineRule="atLeast"/>
        <w:jc w:val="both"/>
        <w:rPr>
          <w:rFonts w:ascii="Calibri" w:hAnsi="Calibri" w:cs="Calibri"/>
          <w:sz w:val="24"/>
          <w:szCs w:val="24"/>
          <w:lang w:val="en-GB"/>
        </w:rPr>
      </w:pPr>
      <w:r w:rsidRPr="008634A9">
        <w:rPr>
          <w:rFonts w:ascii="Calibri" w:hAnsi="Calibri" w:cs="Calibri"/>
          <w:sz w:val="24"/>
          <w:szCs w:val="24"/>
          <w:lang w:val="en-GB"/>
        </w:rPr>
        <w:t>+44 (0) 207 672 1758</w:t>
      </w:r>
    </w:p>
    <w:p w:rsidR="00462F05" w:rsidRPr="008634A9" w:rsidRDefault="00462F05" w:rsidP="00462F05">
      <w:pPr>
        <w:spacing w:line="280" w:lineRule="atLeast"/>
        <w:jc w:val="both"/>
        <w:rPr>
          <w:rFonts w:ascii="Calibri" w:hAnsi="Calibri" w:cs="Calibri"/>
          <w:sz w:val="24"/>
          <w:szCs w:val="24"/>
          <w:lang w:val="en-GB"/>
        </w:rPr>
      </w:pPr>
      <w:r w:rsidRPr="008634A9">
        <w:rPr>
          <w:rFonts w:ascii="Calibri" w:hAnsi="Calibri" w:cs="Calibri"/>
          <w:sz w:val="24"/>
          <w:szCs w:val="24"/>
          <w:lang w:val="en-GB"/>
        </w:rPr>
        <w:t> </w:t>
      </w:r>
    </w:p>
    <w:p w:rsidR="00462F05" w:rsidRPr="008634A9" w:rsidRDefault="00462F05" w:rsidP="00462F05">
      <w:pPr>
        <w:spacing w:line="280" w:lineRule="atLeast"/>
        <w:jc w:val="both"/>
        <w:rPr>
          <w:rFonts w:ascii="Calibri" w:hAnsi="Calibri" w:cs="Calibri"/>
          <w:sz w:val="24"/>
          <w:szCs w:val="24"/>
          <w:lang w:val="en-GB"/>
        </w:rPr>
      </w:pPr>
      <w:r w:rsidRPr="008634A9">
        <w:rPr>
          <w:rFonts w:ascii="Calibri" w:hAnsi="Calibri" w:cs="Calibri"/>
          <w:sz w:val="24"/>
          <w:szCs w:val="24"/>
          <w:lang w:val="en-GB"/>
        </w:rPr>
        <w:t>RBS Media Relations</w:t>
      </w:r>
    </w:p>
    <w:p w:rsidR="00462F05" w:rsidRPr="008634A9" w:rsidRDefault="00462F05" w:rsidP="00462F05">
      <w:pPr>
        <w:spacing w:line="280" w:lineRule="atLeast"/>
        <w:jc w:val="both"/>
        <w:rPr>
          <w:rFonts w:ascii="Calibri" w:hAnsi="Calibri" w:cs="Calibri"/>
          <w:sz w:val="24"/>
          <w:szCs w:val="24"/>
          <w:lang w:val="en-GB"/>
        </w:rPr>
      </w:pPr>
      <w:r w:rsidRPr="008634A9">
        <w:rPr>
          <w:rFonts w:ascii="Calibri" w:hAnsi="Calibri" w:cs="Calibri"/>
          <w:sz w:val="24"/>
          <w:szCs w:val="24"/>
          <w:lang w:val="en-GB"/>
        </w:rPr>
        <w:t>+44 (0) 131 523 4205</w:t>
      </w:r>
    </w:p>
    <w:p w:rsidR="00462F05" w:rsidRPr="008634A9" w:rsidRDefault="00462F05" w:rsidP="00462F05">
      <w:pPr>
        <w:spacing w:line="280" w:lineRule="atLeast"/>
        <w:jc w:val="both"/>
        <w:rPr>
          <w:rFonts w:ascii="Calibri" w:hAnsi="Calibri" w:cs="Calibri"/>
          <w:sz w:val="24"/>
          <w:szCs w:val="24"/>
          <w:lang w:val="en-GB"/>
        </w:rPr>
      </w:pPr>
      <w:r w:rsidRPr="008634A9">
        <w:rPr>
          <w:rFonts w:ascii="Calibri" w:hAnsi="Calibri" w:cs="Calibri"/>
          <w:sz w:val="24"/>
          <w:szCs w:val="24"/>
          <w:lang w:val="en-GB"/>
        </w:rPr>
        <w:t> </w:t>
      </w:r>
    </w:p>
    <w:p w:rsidR="00462F05" w:rsidRPr="00AD7558" w:rsidRDefault="00462F05" w:rsidP="00462F05">
      <w:pPr>
        <w:spacing w:line="280" w:lineRule="atLeast"/>
        <w:jc w:val="both"/>
        <w:rPr>
          <w:rFonts w:ascii="Calibri" w:hAnsi="Calibri" w:cs="Calibri"/>
          <w:b/>
          <w:sz w:val="22"/>
          <w:szCs w:val="22"/>
          <w:lang w:val="en-GB"/>
        </w:rPr>
      </w:pPr>
      <w:r w:rsidRPr="00AD7558">
        <w:rPr>
          <w:rFonts w:ascii="Calibri" w:hAnsi="Calibri" w:cs="Calibri"/>
          <w:b/>
          <w:sz w:val="22"/>
          <w:szCs w:val="22"/>
          <w:lang w:val="en-GB"/>
        </w:rPr>
        <w:t>MAR - Inside Information</w:t>
      </w:r>
    </w:p>
    <w:p w:rsidR="00462F05" w:rsidRPr="00AD7558" w:rsidRDefault="00462F05" w:rsidP="00462F05">
      <w:pPr>
        <w:spacing w:line="280" w:lineRule="atLeast"/>
        <w:jc w:val="both"/>
        <w:rPr>
          <w:rFonts w:ascii="Calibri" w:hAnsi="Calibri" w:cs="Calibri"/>
          <w:sz w:val="22"/>
          <w:szCs w:val="22"/>
          <w:lang w:val="en-GB"/>
        </w:rPr>
      </w:pPr>
      <w:r w:rsidRPr="00AD7558">
        <w:rPr>
          <w:rFonts w:ascii="Calibri" w:hAnsi="Calibri" w:cs="Calibri"/>
          <w:sz w:val="22"/>
          <w:szCs w:val="22"/>
          <w:lang w:val="en-GB"/>
        </w:rPr>
        <w:t> </w:t>
      </w:r>
    </w:p>
    <w:p w:rsidR="00462F05" w:rsidRPr="00AD7558" w:rsidRDefault="00462F05" w:rsidP="00462F05">
      <w:pPr>
        <w:spacing w:line="280" w:lineRule="atLeast"/>
        <w:jc w:val="both"/>
        <w:rPr>
          <w:rFonts w:ascii="Calibri" w:hAnsi="Calibri" w:cs="Calibri"/>
          <w:sz w:val="22"/>
          <w:szCs w:val="22"/>
          <w:lang w:val="en-GB"/>
        </w:rPr>
      </w:pPr>
      <w:r w:rsidRPr="00AD7558">
        <w:rPr>
          <w:rFonts w:ascii="Calibri" w:hAnsi="Calibri" w:cs="Calibri"/>
          <w:sz w:val="22"/>
          <w:szCs w:val="22"/>
          <w:lang w:val="en-GB"/>
        </w:rPr>
        <w:t>This announcement Includes Inside information which is a disclosure required by the European Union Market Abuse Regulation EU 596/2014 of 16 April 2014. "Inside Information" is used as defined in that Regulation.</w:t>
      </w:r>
    </w:p>
    <w:p w:rsidR="00462F05" w:rsidRPr="00AD7558" w:rsidRDefault="00462F05" w:rsidP="00462F05">
      <w:pPr>
        <w:spacing w:line="280" w:lineRule="atLeast"/>
        <w:jc w:val="both"/>
        <w:rPr>
          <w:rFonts w:ascii="Calibri" w:hAnsi="Calibri" w:cs="Calibri"/>
          <w:sz w:val="22"/>
          <w:szCs w:val="22"/>
          <w:lang w:val="en-GB"/>
        </w:rPr>
      </w:pPr>
      <w:r w:rsidRPr="00AD7558">
        <w:rPr>
          <w:rFonts w:ascii="Calibri" w:hAnsi="Calibri" w:cs="Calibri"/>
          <w:sz w:val="22"/>
          <w:szCs w:val="22"/>
          <w:lang w:val="en-GB"/>
        </w:rPr>
        <w:t> </w:t>
      </w:r>
    </w:p>
    <w:p w:rsidR="00090876" w:rsidRPr="00090876" w:rsidRDefault="00090876" w:rsidP="00090876">
      <w:pPr>
        <w:pStyle w:val="aw"/>
        <w:rPr>
          <w:rFonts w:ascii="Calibri" w:eastAsiaTheme="minorHAnsi" w:hAnsi="Calibri" w:cs="Calibri"/>
          <w:sz w:val="22"/>
          <w:szCs w:val="22"/>
          <w:lang w:val="en-US"/>
        </w:rPr>
      </w:pPr>
      <w:r w:rsidRPr="00090876">
        <w:rPr>
          <w:rStyle w:val="aj"/>
          <w:rFonts w:ascii="Calibri" w:eastAsiaTheme="minorHAnsi" w:hAnsi="Calibri" w:cs="Calibri"/>
          <w:b/>
          <w:bCs/>
          <w:iCs/>
          <w:sz w:val="22"/>
          <w:szCs w:val="22"/>
        </w:rPr>
        <w:t>Forward Looking Statements</w:t>
      </w:r>
    </w:p>
    <w:p w:rsidR="00090876" w:rsidRPr="00090876" w:rsidRDefault="00090876" w:rsidP="00090876">
      <w:pPr>
        <w:rPr>
          <w:rStyle w:val="aj"/>
          <w:rFonts w:ascii="Calibri" w:hAnsi="Calibri" w:cs="Calibri"/>
          <w:sz w:val="22"/>
          <w:szCs w:val="22"/>
          <w:lang w:val="en-GB" w:eastAsia="en-GB"/>
        </w:rPr>
      </w:pPr>
      <w:r w:rsidRPr="00090876">
        <w:rPr>
          <w:rStyle w:val="aj"/>
          <w:rFonts w:ascii="Calibri" w:hAnsi="Calibri" w:cs="Calibri"/>
          <w:sz w:val="22"/>
          <w:szCs w:val="22"/>
        </w:rPr>
        <w:t xml:space="preserve">This announcement contains forward-looking statements within the meaning of the Private Securities Litigation Reform Act of 1995, including those related to RBS and its subsidiaries' regulatory capital position, risk-weighted assets, impairment losses and credit exposures under certain specified scenarios. In addition, forward-looking statements may include, without limitation, statements typically containing words such as "intends", "expects", "anticipates", "targets", "plans", "estimates" and words of similar import. These statements concern or may affect future matters, such as RBS's future economic results, business and capital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competitive conditions, technological developments, exchange rate fluctuations and general economic conditions. These and other factors, risks and uncertainties that may impact any forward-looking statement or RBS's actual results are discussed in RBS's UK annual report and accounts and interim reports and materials filed with, or furnished to, the US Securities and Exchange Commission, including, but not limited to, RBS's Reports on Form 6-K and most recent Annual Report on Form 20-F. The forward-looking statements contained in this announcement speak only as of the date of this announcement and RBS does not assume or undertake any obligation or </w:t>
      </w:r>
      <w:r w:rsidRPr="00090876">
        <w:rPr>
          <w:rStyle w:val="aj"/>
          <w:rFonts w:ascii="Calibri" w:hAnsi="Calibri" w:cs="Calibri"/>
          <w:sz w:val="22"/>
          <w:szCs w:val="22"/>
        </w:rPr>
        <w:lastRenderedPageBreak/>
        <w:t>responsibility to update any of the forward-looking statements contained in this announcement, whether as a result of new information, future events or otherwise, except to the extent legally required.</w:t>
      </w:r>
    </w:p>
    <w:p w:rsidR="00090876" w:rsidRDefault="00090876" w:rsidP="00090876">
      <w:pPr>
        <w:rPr>
          <w:rFonts w:ascii="Calibri" w:hAnsi="Calibri" w:cs="Calibri"/>
          <w:b/>
          <w:bCs/>
          <w:i/>
          <w:iCs/>
          <w:sz w:val="22"/>
          <w:szCs w:val="22"/>
        </w:rPr>
      </w:pPr>
    </w:p>
    <w:p w:rsidR="004F48F0" w:rsidRPr="00090876" w:rsidRDefault="004F48F0" w:rsidP="00090876">
      <w:pPr>
        <w:rPr>
          <w:rFonts w:ascii="Calibri" w:hAnsi="Calibri" w:cs="Calibri"/>
          <w:sz w:val="22"/>
          <w:szCs w:val="22"/>
        </w:rPr>
      </w:pPr>
      <w:r>
        <w:rPr>
          <w:rFonts w:ascii="Calibri" w:hAnsi="Calibri" w:cs="Calibri"/>
          <w:b/>
          <w:bCs/>
          <w:iCs/>
          <w:sz w:val="22"/>
          <w:szCs w:val="22"/>
        </w:rPr>
        <w:t>Legal Entity Identifiers</w:t>
      </w:r>
    </w:p>
    <w:tbl>
      <w:tblPr>
        <w:tblStyle w:val="TableGrid"/>
        <w:tblW w:w="0" w:type="auto"/>
        <w:tblLook w:val="04A0" w:firstRow="1" w:lastRow="0" w:firstColumn="1" w:lastColumn="0" w:noHBand="0" w:noVBand="1"/>
      </w:tblPr>
      <w:tblGrid>
        <w:gridCol w:w="4814"/>
        <w:gridCol w:w="4814"/>
      </w:tblGrid>
      <w:tr w:rsidR="00182559" w:rsidTr="00182559">
        <w:tc>
          <w:tcPr>
            <w:tcW w:w="4814" w:type="dxa"/>
          </w:tcPr>
          <w:p w:rsidR="00182559" w:rsidRPr="00DF6F3B" w:rsidRDefault="00182559" w:rsidP="00090876">
            <w:pPr>
              <w:rPr>
                <w:rFonts w:asciiTheme="minorHAnsi" w:hAnsiTheme="minorHAnsi" w:cstheme="minorHAnsi"/>
              </w:rPr>
            </w:pPr>
            <w:bookmarkStart w:id="0" w:name="_GoBack"/>
            <w:r w:rsidRPr="00DF6F3B">
              <w:rPr>
                <w:rFonts w:asciiTheme="minorHAnsi" w:hAnsiTheme="minorHAnsi" w:cstheme="minorHAnsi"/>
              </w:rPr>
              <w:t>The Royal Bank of Scotland Group</w:t>
            </w:r>
            <w:r w:rsidR="00DF6F3B" w:rsidRPr="00DF6F3B">
              <w:rPr>
                <w:rFonts w:asciiTheme="minorHAnsi" w:hAnsiTheme="minorHAnsi" w:cstheme="minorHAnsi"/>
              </w:rPr>
              <w:t xml:space="preserve"> plc</w:t>
            </w:r>
            <w:bookmarkEnd w:id="0"/>
          </w:p>
        </w:tc>
        <w:tc>
          <w:tcPr>
            <w:tcW w:w="4814" w:type="dxa"/>
          </w:tcPr>
          <w:p w:rsidR="00182559" w:rsidRDefault="00182559" w:rsidP="00090876">
            <w:pPr>
              <w:rPr>
                <w:rFonts w:ascii="Calibri" w:hAnsi="Calibri" w:cs="Calibri"/>
                <w:sz w:val="22"/>
                <w:szCs w:val="22"/>
              </w:rPr>
            </w:pPr>
            <w:r>
              <w:t>2138005O9XJIJN4JPN90</w:t>
            </w:r>
          </w:p>
        </w:tc>
      </w:tr>
      <w:tr w:rsidR="00182559" w:rsidTr="0049387D">
        <w:tc>
          <w:tcPr>
            <w:tcW w:w="4814" w:type="dxa"/>
          </w:tcPr>
          <w:p w:rsidR="00182559" w:rsidRDefault="00182559" w:rsidP="0049387D">
            <w:pPr>
              <w:rPr>
                <w:rFonts w:ascii="Calibri" w:hAnsi="Calibri" w:cs="Calibri"/>
                <w:sz w:val="22"/>
                <w:szCs w:val="22"/>
              </w:rPr>
            </w:pPr>
            <w:r>
              <w:rPr>
                <w:rFonts w:ascii="Calibri" w:hAnsi="Calibri" w:cs="Calibri"/>
                <w:sz w:val="22"/>
                <w:szCs w:val="22"/>
              </w:rPr>
              <w:t>NatWest Markets plc</w:t>
            </w:r>
          </w:p>
        </w:tc>
        <w:tc>
          <w:tcPr>
            <w:tcW w:w="4814" w:type="dxa"/>
          </w:tcPr>
          <w:p w:rsidR="00182559" w:rsidRDefault="00182559" w:rsidP="0049387D">
            <w:pPr>
              <w:rPr>
                <w:rFonts w:ascii="Calibri" w:hAnsi="Calibri" w:cs="Calibri"/>
                <w:sz w:val="22"/>
                <w:szCs w:val="22"/>
              </w:rPr>
            </w:pPr>
            <w:r>
              <w:t>RR3QWICWWIPCS8A4S074</w:t>
            </w:r>
          </w:p>
        </w:tc>
      </w:tr>
      <w:tr w:rsidR="00182559" w:rsidTr="0049387D">
        <w:tc>
          <w:tcPr>
            <w:tcW w:w="4814" w:type="dxa"/>
          </w:tcPr>
          <w:p w:rsidR="00182559" w:rsidRDefault="00182559" w:rsidP="0049387D">
            <w:pPr>
              <w:rPr>
                <w:rFonts w:ascii="Calibri" w:hAnsi="Calibri" w:cs="Calibri"/>
                <w:sz w:val="22"/>
                <w:szCs w:val="22"/>
              </w:rPr>
            </w:pPr>
            <w:r>
              <w:t xml:space="preserve">NatWest </w:t>
            </w:r>
            <w:r w:rsidR="00DF6F3B">
              <w:t xml:space="preserve">Markets </w:t>
            </w:r>
            <w:r>
              <w:t>Group Holdings Corp</w:t>
            </w:r>
            <w:r w:rsidR="00DF6F3B">
              <w:t>oration</w:t>
            </w:r>
          </w:p>
        </w:tc>
        <w:tc>
          <w:tcPr>
            <w:tcW w:w="4814" w:type="dxa"/>
          </w:tcPr>
          <w:p w:rsidR="00182559" w:rsidRDefault="004F48F0" w:rsidP="0049387D">
            <w:pPr>
              <w:rPr>
                <w:rFonts w:ascii="Calibri" w:hAnsi="Calibri" w:cs="Calibri"/>
                <w:sz w:val="22"/>
                <w:szCs w:val="22"/>
              </w:rPr>
            </w:pPr>
            <w:r>
              <w:t>213800DHGZJXAXE8MM34</w:t>
            </w:r>
          </w:p>
        </w:tc>
      </w:tr>
      <w:tr w:rsidR="00182559" w:rsidTr="0049387D">
        <w:tc>
          <w:tcPr>
            <w:tcW w:w="4814" w:type="dxa"/>
          </w:tcPr>
          <w:p w:rsidR="00182559" w:rsidRDefault="004F48F0" w:rsidP="0049387D">
            <w:pPr>
              <w:rPr>
                <w:rFonts w:ascii="Calibri" w:hAnsi="Calibri" w:cs="Calibri"/>
                <w:sz w:val="22"/>
                <w:szCs w:val="22"/>
              </w:rPr>
            </w:pPr>
            <w:r>
              <w:t xml:space="preserve">NatWest Markets Securities </w:t>
            </w:r>
            <w:proofErr w:type="spellStart"/>
            <w:r>
              <w:t>Inc</w:t>
            </w:r>
            <w:proofErr w:type="spellEnd"/>
          </w:p>
        </w:tc>
        <w:tc>
          <w:tcPr>
            <w:tcW w:w="4814" w:type="dxa"/>
          </w:tcPr>
          <w:p w:rsidR="00182559" w:rsidRDefault="004F48F0" w:rsidP="0049387D">
            <w:pPr>
              <w:rPr>
                <w:rFonts w:ascii="Calibri" w:hAnsi="Calibri" w:cs="Calibri"/>
                <w:sz w:val="22"/>
                <w:szCs w:val="22"/>
              </w:rPr>
            </w:pPr>
            <w:r>
              <w:t>ZE2ZWJ5BTIQJ8M0C6K34</w:t>
            </w:r>
          </w:p>
        </w:tc>
      </w:tr>
    </w:tbl>
    <w:p w:rsidR="00FD5978" w:rsidRPr="00090876" w:rsidRDefault="00FD5978" w:rsidP="008634A9">
      <w:pPr>
        <w:rPr>
          <w:rFonts w:ascii="Calibri" w:hAnsi="Calibri" w:cs="Calibri"/>
        </w:rPr>
      </w:pPr>
    </w:p>
    <w:sectPr w:rsidR="00FD5978" w:rsidRPr="00090876" w:rsidSect="00050C51">
      <w:pgSz w:w="11906" w:h="16838" w:code="9"/>
      <w:pgMar w:top="1247"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6A9" w:rsidRDefault="00DE06A9" w:rsidP="00AA4E94">
      <w:r>
        <w:separator/>
      </w:r>
    </w:p>
  </w:endnote>
  <w:endnote w:type="continuationSeparator" w:id="0">
    <w:p w:rsidR="00DE06A9" w:rsidRDefault="00DE06A9" w:rsidP="00A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Browallia New">
    <w:panose1 w:val="020B06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TXinwei">
    <w:altName w:val="华文新魏"/>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6A9" w:rsidRDefault="00DE06A9" w:rsidP="00AA4E94">
      <w:r>
        <w:separator/>
      </w:r>
    </w:p>
  </w:footnote>
  <w:footnote w:type="continuationSeparator" w:id="0">
    <w:p w:rsidR="00DE06A9" w:rsidRDefault="00DE06A9" w:rsidP="00AA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2F47B55"/>
    <w:multiLevelType w:val="hybridMultilevel"/>
    <w:tmpl w:val="A5F67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6"/>
  </w:num>
  <w:num w:numId="14">
    <w:abstractNumId w:val="13"/>
  </w:num>
  <w:num w:numId="15">
    <w:abstractNumId w:val="12"/>
  </w:num>
  <w:num w:numId="16">
    <w:abstractNumId w:val="17"/>
  </w:num>
  <w:num w:numId="17">
    <w:abstractNumId w:val="15"/>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y Authorised User">
    <w15:presenceInfo w15:providerId="None" w15:userId="Any Authorised User"/>
  </w15:person>
  <w15:person w15:author="Young, Reuven B.">
    <w15:presenceInfo w15:providerId="None" w15:userId="Young, Reuven 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76"/>
    <w:rsid w:val="00025690"/>
    <w:rsid w:val="00043FEC"/>
    <w:rsid w:val="00050C51"/>
    <w:rsid w:val="00072D44"/>
    <w:rsid w:val="00090876"/>
    <w:rsid w:val="00093631"/>
    <w:rsid w:val="000B3E65"/>
    <w:rsid w:val="000C11F3"/>
    <w:rsid w:val="000C136A"/>
    <w:rsid w:val="000D20A7"/>
    <w:rsid w:val="00116EE2"/>
    <w:rsid w:val="00122CBE"/>
    <w:rsid w:val="00127E29"/>
    <w:rsid w:val="001723D0"/>
    <w:rsid w:val="00182559"/>
    <w:rsid w:val="001A76B3"/>
    <w:rsid w:val="001D1699"/>
    <w:rsid w:val="001D5067"/>
    <w:rsid w:val="001E2C17"/>
    <w:rsid w:val="001F2EC9"/>
    <w:rsid w:val="001F36B3"/>
    <w:rsid w:val="00245195"/>
    <w:rsid w:val="002502E0"/>
    <w:rsid w:val="002A1F66"/>
    <w:rsid w:val="002A252D"/>
    <w:rsid w:val="002B7AAE"/>
    <w:rsid w:val="002C116F"/>
    <w:rsid w:val="002E13A6"/>
    <w:rsid w:val="00304DEA"/>
    <w:rsid w:val="003054E6"/>
    <w:rsid w:val="00311A60"/>
    <w:rsid w:val="0034016F"/>
    <w:rsid w:val="00360222"/>
    <w:rsid w:val="00366E44"/>
    <w:rsid w:val="003708EE"/>
    <w:rsid w:val="00376411"/>
    <w:rsid w:val="003A0233"/>
    <w:rsid w:val="003A13B9"/>
    <w:rsid w:val="003B5888"/>
    <w:rsid w:val="00445EE3"/>
    <w:rsid w:val="0046169B"/>
    <w:rsid w:val="00462F05"/>
    <w:rsid w:val="004C0720"/>
    <w:rsid w:val="004C109F"/>
    <w:rsid w:val="004D6B73"/>
    <w:rsid w:val="004E0597"/>
    <w:rsid w:val="004F48F0"/>
    <w:rsid w:val="00544150"/>
    <w:rsid w:val="0057457C"/>
    <w:rsid w:val="005857B8"/>
    <w:rsid w:val="00596078"/>
    <w:rsid w:val="005F6CBF"/>
    <w:rsid w:val="006145D5"/>
    <w:rsid w:val="00622741"/>
    <w:rsid w:val="00671043"/>
    <w:rsid w:val="006A62DE"/>
    <w:rsid w:val="006A67F3"/>
    <w:rsid w:val="006B5A67"/>
    <w:rsid w:val="006E252B"/>
    <w:rsid w:val="006E2E68"/>
    <w:rsid w:val="006E4102"/>
    <w:rsid w:val="006F37AD"/>
    <w:rsid w:val="007316E5"/>
    <w:rsid w:val="00752B89"/>
    <w:rsid w:val="007636E1"/>
    <w:rsid w:val="007B11BD"/>
    <w:rsid w:val="007C0B58"/>
    <w:rsid w:val="007F5A2C"/>
    <w:rsid w:val="00804F60"/>
    <w:rsid w:val="00816551"/>
    <w:rsid w:val="00825DD6"/>
    <w:rsid w:val="00836344"/>
    <w:rsid w:val="00841E4D"/>
    <w:rsid w:val="008634A9"/>
    <w:rsid w:val="008643CA"/>
    <w:rsid w:val="00864E34"/>
    <w:rsid w:val="00884A01"/>
    <w:rsid w:val="00890423"/>
    <w:rsid w:val="008F702A"/>
    <w:rsid w:val="00924F09"/>
    <w:rsid w:val="009362ED"/>
    <w:rsid w:val="00951549"/>
    <w:rsid w:val="00953704"/>
    <w:rsid w:val="00971152"/>
    <w:rsid w:val="009850EC"/>
    <w:rsid w:val="009974C9"/>
    <w:rsid w:val="009B7019"/>
    <w:rsid w:val="009D3953"/>
    <w:rsid w:val="009D3E55"/>
    <w:rsid w:val="009F6C2E"/>
    <w:rsid w:val="00A26B45"/>
    <w:rsid w:val="00A35A9A"/>
    <w:rsid w:val="00A435B6"/>
    <w:rsid w:val="00A85E6E"/>
    <w:rsid w:val="00A8695B"/>
    <w:rsid w:val="00AA4E94"/>
    <w:rsid w:val="00AA54FC"/>
    <w:rsid w:val="00AD7558"/>
    <w:rsid w:val="00B25D12"/>
    <w:rsid w:val="00B55D29"/>
    <w:rsid w:val="00B6239A"/>
    <w:rsid w:val="00B857D1"/>
    <w:rsid w:val="00BA75B8"/>
    <w:rsid w:val="00BB0B2B"/>
    <w:rsid w:val="00BC7350"/>
    <w:rsid w:val="00BD2B7A"/>
    <w:rsid w:val="00BE261A"/>
    <w:rsid w:val="00BF4249"/>
    <w:rsid w:val="00C032E4"/>
    <w:rsid w:val="00C06EAA"/>
    <w:rsid w:val="00C37A69"/>
    <w:rsid w:val="00C41080"/>
    <w:rsid w:val="00C4580D"/>
    <w:rsid w:val="00C56376"/>
    <w:rsid w:val="00C6721C"/>
    <w:rsid w:val="00C74D29"/>
    <w:rsid w:val="00C95A3C"/>
    <w:rsid w:val="00CB3C4E"/>
    <w:rsid w:val="00CC7B1A"/>
    <w:rsid w:val="00CD4AEA"/>
    <w:rsid w:val="00D37FE3"/>
    <w:rsid w:val="00D40ECE"/>
    <w:rsid w:val="00D46F77"/>
    <w:rsid w:val="00D61C00"/>
    <w:rsid w:val="00DC01B7"/>
    <w:rsid w:val="00DC5FC2"/>
    <w:rsid w:val="00DE06A9"/>
    <w:rsid w:val="00DE5894"/>
    <w:rsid w:val="00DF6F3B"/>
    <w:rsid w:val="00E0020F"/>
    <w:rsid w:val="00E1060A"/>
    <w:rsid w:val="00E15C7A"/>
    <w:rsid w:val="00E66150"/>
    <w:rsid w:val="00E80952"/>
    <w:rsid w:val="00E931D3"/>
    <w:rsid w:val="00EA1E31"/>
    <w:rsid w:val="00EB15D4"/>
    <w:rsid w:val="00EB3BF8"/>
    <w:rsid w:val="00EB6573"/>
    <w:rsid w:val="00EC1EBA"/>
    <w:rsid w:val="00EF7A4F"/>
    <w:rsid w:val="00F4382C"/>
    <w:rsid w:val="00F53556"/>
    <w:rsid w:val="00F55EC4"/>
    <w:rsid w:val="00F64AF2"/>
    <w:rsid w:val="00F94DB9"/>
    <w:rsid w:val="00FB7CEC"/>
    <w:rsid w:val="00FD5978"/>
    <w:rsid w:val="00FF781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90876"/>
    <w:pPr>
      <w:spacing w:after="0" w:line="240" w:lineRule="auto"/>
    </w:pPr>
    <w:rPr>
      <w:rFonts w:ascii="Arial" w:hAnsi="Arial" w:cs="Arial"/>
      <w:sz w:val="20"/>
      <w:szCs w:val="20"/>
      <w:lang w:val="en-US"/>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customStyle="1" w:styleId="aw">
    <w:name w:val="aw"/>
    <w:basedOn w:val="Normal"/>
    <w:uiPriority w:val="99"/>
    <w:rsid w:val="00090876"/>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j">
    <w:name w:val="aj"/>
    <w:basedOn w:val="DefaultParagraphFont"/>
    <w:rsid w:val="00090876"/>
  </w:style>
  <w:style w:type="paragraph" w:styleId="BalloonText">
    <w:name w:val="Balloon Text"/>
    <w:basedOn w:val="Normal"/>
    <w:link w:val="BalloonTextChar"/>
    <w:uiPriority w:val="99"/>
    <w:semiHidden/>
    <w:unhideWhenUsed/>
    <w:rsid w:val="000C11F3"/>
    <w:rPr>
      <w:rFonts w:ascii="Tahoma" w:hAnsi="Tahoma" w:cs="Tahoma"/>
      <w:sz w:val="16"/>
      <w:szCs w:val="16"/>
    </w:rPr>
  </w:style>
  <w:style w:type="character" w:customStyle="1" w:styleId="BalloonTextChar">
    <w:name w:val="Balloon Text Char"/>
    <w:basedOn w:val="DefaultParagraphFont"/>
    <w:link w:val="BalloonText"/>
    <w:uiPriority w:val="99"/>
    <w:semiHidden/>
    <w:rsid w:val="000C11F3"/>
    <w:rPr>
      <w:rFonts w:ascii="Tahoma" w:hAnsi="Tahoma" w:cs="Tahoma"/>
      <w:sz w:val="16"/>
      <w:szCs w:val="16"/>
      <w:lang w:val="en-US"/>
    </w:rPr>
  </w:style>
  <w:style w:type="table" w:styleId="TableGrid">
    <w:name w:val="Table Grid"/>
    <w:basedOn w:val="TableNormal"/>
    <w:uiPriority w:val="59"/>
    <w:rsid w:val="0018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3BF8"/>
  </w:style>
  <w:style w:type="character" w:customStyle="1" w:styleId="FootnoteTextChar">
    <w:name w:val="Footnote Text Char"/>
    <w:basedOn w:val="DefaultParagraphFont"/>
    <w:link w:val="FootnoteText"/>
    <w:uiPriority w:val="99"/>
    <w:semiHidden/>
    <w:rsid w:val="00EB3BF8"/>
    <w:rPr>
      <w:rFonts w:ascii="Arial" w:hAnsi="Arial" w:cs="Arial"/>
      <w:sz w:val="20"/>
      <w:szCs w:val="20"/>
      <w:lang w:val="en-US"/>
    </w:rPr>
  </w:style>
  <w:style w:type="character" w:styleId="FootnoteReference">
    <w:name w:val="footnote reference"/>
    <w:basedOn w:val="DefaultParagraphFont"/>
    <w:uiPriority w:val="99"/>
    <w:semiHidden/>
    <w:unhideWhenUsed/>
    <w:rsid w:val="00EB3B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90876"/>
    <w:pPr>
      <w:spacing w:after="0" w:line="240" w:lineRule="auto"/>
    </w:pPr>
    <w:rPr>
      <w:rFonts w:ascii="Arial" w:hAnsi="Arial" w:cs="Arial"/>
      <w:sz w:val="20"/>
      <w:szCs w:val="20"/>
      <w:lang w:val="en-US"/>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customStyle="1" w:styleId="aw">
    <w:name w:val="aw"/>
    <w:basedOn w:val="Normal"/>
    <w:uiPriority w:val="99"/>
    <w:rsid w:val="00090876"/>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j">
    <w:name w:val="aj"/>
    <w:basedOn w:val="DefaultParagraphFont"/>
    <w:rsid w:val="00090876"/>
  </w:style>
  <w:style w:type="paragraph" w:styleId="BalloonText">
    <w:name w:val="Balloon Text"/>
    <w:basedOn w:val="Normal"/>
    <w:link w:val="BalloonTextChar"/>
    <w:uiPriority w:val="99"/>
    <w:semiHidden/>
    <w:unhideWhenUsed/>
    <w:rsid w:val="000C11F3"/>
    <w:rPr>
      <w:rFonts w:ascii="Tahoma" w:hAnsi="Tahoma" w:cs="Tahoma"/>
      <w:sz w:val="16"/>
      <w:szCs w:val="16"/>
    </w:rPr>
  </w:style>
  <w:style w:type="character" w:customStyle="1" w:styleId="BalloonTextChar">
    <w:name w:val="Balloon Text Char"/>
    <w:basedOn w:val="DefaultParagraphFont"/>
    <w:link w:val="BalloonText"/>
    <w:uiPriority w:val="99"/>
    <w:semiHidden/>
    <w:rsid w:val="000C11F3"/>
    <w:rPr>
      <w:rFonts w:ascii="Tahoma" w:hAnsi="Tahoma" w:cs="Tahoma"/>
      <w:sz w:val="16"/>
      <w:szCs w:val="16"/>
      <w:lang w:val="en-US"/>
    </w:rPr>
  </w:style>
  <w:style w:type="table" w:styleId="TableGrid">
    <w:name w:val="Table Grid"/>
    <w:basedOn w:val="TableNormal"/>
    <w:uiPriority w:val="59"/>
    <w:rsid w:val="0018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3BF8"/>
  </w:style>
  <w:style w:type="character" w:customStyle="1" w:styleId="FootnoteTextChar">
    <w:name w:val="Footnote Text Char"/>
    <w:basedOn w:val="DefaultParagraphFont"/>
    <w:link w:val="FootnoteText"/>
    <w:uiPriority w:val="99"/>
    <w:semiHidden/>
    <w:rsid w:val="00EB3BF8"/>
    <w:rPr>
      <w:rFonts w:ascii="Arial" w:hAnsi="Arial" w:cs="Arial"/>
      <w:sz w:val="20"/>
      <w:szCs w:val="20"/>
      <w:lang w:val="en-US"/>
    </w:rPr>
  </w:style>
  <w:style w:type="character" w:styleId="FootnoteReference">
    <w:name w:val="footnote reference"/>
    <w:basedOn w:val="DefaultParagraphFont"/>
    <w:uiPriority w:val="99"/>
    <w:semiHidden/>
    <w:unhideWhenUsed/>
    <w:rsid w:val="00EB3B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540">
      <w:bodyDiv w:val="1"/>
      <w:marLeft w:val="0"/>
      <w:marRight w:val="0"/>
      <w:marTop w:val="0"/>
      <w:marBottom w:val="0"/>
      <w:divBdr>
        <w:top w:val="none" w:sz="0" w:space="0" w:color="auto"/>
        <w:left w:val="none" w:sz="0" w:space="0" w:color="auto"/>
        <w:bottom w:val="none" w:sz="0" w:space="0" w:color="auto"/>
        <w:right w:val="none" w:sz="0" w:space="0" w:color="auto"/>
      </w:divBdr>
      <w:divsChild>
        <w:div w:id="993487743">
          <w:marLeft w:val="0"/>
          <w:marRight w:val="0"/>
          <w:marTop w:val="0"/>
          <w:marBottom w:val="0"/>
          <w:divBdr>
            <w:top w:val="none" w:sz="0" w:space="0" w:color="auto"/>
            <w:left w:val="none" w:sz="0" w:space="0" w:color="auto"/>
            <w:bottom w:val="none" w:sz="0" w:space="0" w:color="auto"/>
            <w:right w:val="none" w:sz="0" w:space="0" w:color="auto"/>
          </w:divBdr>
          <w:divsChild>
            <w:div w:id="792479524">
              <w:marLeft w:val="0"/>
              <w:marRight w:val="0"/>
              <w:marTop w:val="0"/>
              <w:marBottom w:val="150"/>
              <w:divBdr>
                <w:top w:val="none" w:sz="0" w:space="0" w:color="auto"/>
                <w:left w:val="none" w:sz="0" w:space="0" w:color="auto"/>
                <w:bottom w:val="single" w:sz="6" w:space="0" w:color="CCCCCC"/>
                <w:right w:val="none" w:sz="0" w:space="0" w:color="auto"/>
              </w:divBdr>
              <w:divsChild>
                <w:div w:id="2016689207">
                  <w:marLeft w:val="0"/>
                  <w:marRight w:val="0"/>
                  <w:marTop w:val="0"/>
                  <w:marBottom w:val="0"/>
                  <w:divBdr>
                    <w:top w:val="none" w:sz="0" w:space="0" w:color="auto"/>
                    <w:left w:val="none" w:sz="0" w:space="0" w:color="auto"/>
                    <w:bottom w:val="none" w:sz="0" w:space="0" w:color="auto"/>
                    <w:right w:val="none" w:sz="0" w:space="0" w:color="auto"/>
                  </w:divBdr>
                  <w:divsChild>
                    <w:div w:id="13697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8837">
      <w:bodyDiv w:val="1"/>
      <w:marLeft w:val="0"/>
      <w:marRight w:val="0"/>
      <w:marTop w:val="0"/>
      <w:marBottom w:val="0"/>
      <w:divBdr>
        <w:top w:val="none" w:sz="0" w:space="0" w:color="auto"/>
        <w:left w:val="none" w:sz="0" w:space="0" w:color="auto"/>
        <w:bottom w:val="none" w:sz="0" w:space="0" w:color="auto"/>
        <w:right w:val="none" w:sz="0" w:space="0" w:color="auto"/>
      </w:divBdr>
      <w:divsChild>
        <w:div w:id="489635214">
          <w:marLeft w:val="0"/>
          <w:marRight w:val="0"/>
          <w:marTop w:val="0"/>
          <w:marBottom w:val="0"/>
          <w:divBdr>
            <w:top w:val="none" w:sz="0" w:space="0" w:color="auto"/>
            <w:left w:val="none" w:sz="0" w:space="0" w:color="auto"/>
            <w:bottom w:val="none" w:sz="0" w:space="0" w:color="auto"/>
            <w:right w:val="none" w:sz="0" w:space="0" w:color="auto"/>
          </w:divBdr>
          <w:divsChild>
            <w:div w:id="367532685">
              <w:marLeft w:val="0"/>
              <w:marRight w:val="0"/>
              <w:marTop w:val="0"/>
              <w:marBottom w:val="150"/>
              <w:divBdr>
                <w:top w:val="none" w:sz="0" w:space="0" w:color="auto"/>
                <w:left w:val="none" w:sz="0" w:space="0" w:color="auto"/>
                <w:bottom w:val="single" w:sz="6" w:space="0" w:color="CCCCCC"/>
                <w:right w:val="none" w:sz="0" w:space="0" w:color="auto"/>
              </w:divBdr>
              <w:divsChild>
                <w:div w:id="1946426430">
                  <w:marLeft w:val="0"/>
                  <w:marRight w:val="0"/>
                  <w:marTop w:val="0"/>
                  <w:marBottom w:val="0"/>
                  <w:divBdr>
                    <w:top w:val="none" w:sz="0" w:space="0" w:color="auto"/>
                    <w:left w:val="none" w:sz="0" w:space="0" w:color="auto"/>
                    <w:bottom w:val="none" w:sz="0" w:space="0" w:color="auto"/>
                    <w:right w:val="none" w:sz="0" w:space="0" w:color="auto"/>
                  </w:divBdr>
                  <w:divsChild>
                    <w:div w:id="20161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589011">
      <w:bodyDiv w:val="1"/>
      <w:marLeft w:val="0"/>
      <w:marRight w:val="0"/>
      <w:marTop w:val="0"/>
      <w:marBottom w:val="0"/>
      <w:divBdr>
        <w:top w:val="none" w:sz="0" w:space="0" w:color="auto"/>
        <w:left w:val="none" w:sz="0" w:space="0" w:color="auto"/>
        <w:bottom w:val="none" w:sz="0" w:space="0" w:color="auto"/>
        <w:right w:val="none" w:sz="0" w:space="0" w:color="auto"/>
      </w:divBdr>
    </w:div>
    <w:div w:id="556012386">
      <w:bodyDiv w:val="1"/>
      <w:marLeft w:val="0"/>
      <w:marRight w:val="0"/>
      <w:marTop w:val="0"/>
      <w:marBottom w:val="0"/>
      <w:divBdr>
        <w:top w:val="none" w:sz="0" w:space="0" w:color="auto"/>
        <w:left w:val="none" w:sz="0" w:space="0" w:color="auto"/>
        <w:bottom w:val="none" w:sz="0" w:space="0" w:color="auto"/>
        <w:right w:val="none" w:sz="0" w:space="0" w:color="auto"/>
      </w:divBdr>
    </w:div>
    <w:div w:id="926235160">
      <w:bodyDiv w:val="1"/>
      <w:marLeft w:val="0"/>
      <w:marRight w:val="0"/>
      <w:marTop w:val="0"/>
      <w:marBottom w:val="0"/>
      <w:divBdr>
        <w:top w:val="none" w:sz="0" w:space="0" w:color="auto"/>
        <w:left w:val="none" w:sz="0" w:space="0" w:color="auto"/>
        <w:bottom w:val="none" w:sz="0" w:space="0" w:color="auto"/>
        <w:right w:val="none" w:sz="0" w:space="0" w:color="auto"/>
      </w:divBdr>
      <w:divsChild>
        <w:div w:id="709302495">
          <w:marLeft w:val="0"/>
          <w:marRight w:val="0"/>
          <w:marTop w:val="0"/>
          <w:marBottom w:val="0"/>
          <w:divBdr>
            <w:top w:val="none" w:sz="0" w:space="0" w:color="auto"/>
            <w:left w:val="none" w:sz="0" w:space="0" w:color="auto"/>
            <w:bottom w:val="none" w:sz="0" w:space="0" w:color="auto"/>
            <w:right w:val="none" w:sz="0" w:space="0" w:color="auto"/>
          </w:divBdr>
          <w:divsChild>
            <w:div w:id="1083647103">
              <w:marLeft w:val="0"/>
              <w:marRight w:val="0"/>
              <w:marTop w:val="0"/>
              <w:marBottom w:val="150"/>
              <w:divBdr>
                <w:top w:val="none" w:sz="0" w:space="0" w:color="auto"/>
                <w:left w:val="none" w:sz="0" w:space="0" w:color="auto"/>
                <w:bottom w:val="single" w:sz="6" w:space="0" w:color="CCCCCC"/>
                <w:right w:val="none" w:sz="0" w:space="0" w:color="auto"/>
              </w:divBdr>
              <w:divsChild>
                <w:div w:id="1558468332">
                  <w:marLeft w:val="0"/>
                  <w:marRight w:val="0"/>
                  <w:marTop w:val="0"/>
                  <w:marBottom w:val="0"/>
                  <w:divBdr>
                    <w:top w:val="none" w:sz="0" w:space="0" w:color="auto"/>
                    <w:left w:val="none" w:sz="0" w:space="0" w:color="auto"/>
                    <w:bottom w:val="none" w:sz="0" w:space="0" w:color="auto"/>
                    <w:right w:val="none" w:sz="0" w:space="0" w:color="auto"/>
                  </w:divBdr>
                  <w:divsChild>
                    <w:div w:id="14843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0218">
      <w:bodyDiv w:val="1"/>
      <w:marLeft w:val="0"/>
      <w:marRight w:val="0"/>
      <w:marTop w:val="0"/>
      <w:marBottom w:val="0"/>
      <w:divBdr>
        <w:top w:val="none" w:sz="0" w:space="0" w:color="auto"/>
        <w:left w:val="none" w:sz="0" w:space="0" w:color="auto"/>
        <w:bottom w:val="none" w:sz="0" w:space="0" w:color="auto"/>
        <w:right w:val="none" w:sz="0" w:space="0" w:color="auto"/>
      </w:divBdr>
    </w:div>
    <w:div w:id="1478378894">
      <w:bodyDiv w:val="1"/>
      <w:marLeft w:val="0"/>
      <w:marRight w:val="0"/>
      <w:marTop w:val="0"/>
      <w:marBottom w:val="0"/>
      <w:divBdr>
        <w:top w:val="none" w:sz="0" w:space="0" w:color="auto"/>
        <w:left w:val="none" w:sz="0" w:space="0" w:color="auto"/>
        <w:bottom w:val="none" w:sz="0" w:space="0" w:color="auto"/>
        <w:right w:val="none" w:sz="0" w:space="0" w:color="auto"/>
      </w:divBdr>
      <w:divsChild>
        <w:div w:id="250892022">
          <w:marLeft w:val="0"/>
          <w:marRight w:val="0"/>
          <w:marTop w:val="0"/>
          <w:marBottom w:val="0"/>
          <w:divBdr>
            <w:top w:val="none" w:sz="0" w:space="0" w:color="auto"/>
            <w:left w:val="none" w:sz="0" w:space="0" w:color="auto"/>
            <w:bottom w:val="none" w:sz="0" w:space="0" w:color="auto"/>
            <w:right w:val="none" w:sz="0" w:space="0" w:color="auto"/>
          </w:divBdr>
          <w:divsChild>
            <w:div w:id="166137510">
              <w:marLeft w:val="0"/>
              <w:marRight w:val="0"/>
              <w:marTop w:val="0"/>
              <w:marBottom w:val="150"/>
              <w:divBdr>
                <w:top w:val="none" w:sz="0" w:space="0" w:color="auto"/>
                <w:left w:val="none" w:sz="0" w:space="0" w:color="auto"/>
                <w:bottom w:val="single" w:sz="6" w:space="0" w:color="CCCCCC"/>
                <w:right w:val="none" w:sz="0" w:space="0" w:color="auto"/>
              </w:divBdr>
              <w:divsChild>
                <w:div w:id="884486091">
                  <w:marLeft w:val="0"/>
                  <w:marRight w:val="0"/>
                  <w:marTop w:val="0"/>
                  <w:marBottom w:val="0"/>
                  <w:divBdr>
                    <w:top w:val="none" w:sz="0" w:space="0" w:color="auto"/>
                    <w:left w:val="none" w:sz="0" w:space="0" w:color="auto"/>
                    <w:bottom w:val="none" w:sz="0" w:space="0" w:color="auto"/>
                    <w:right w:val="none" w:sz="0" w:space="0" w:color="auto"/>
                  </w:divBdr>
                  <w:divsChild>
                    <w:div w:id="1704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94270">
      <w:bodyDiv w:val="1"/>
      <w:marLeft w:val="0"/>
      <w:marRight w:val="0"/>
      <w:marTop w:val="0"/>
      <w:marBottom w:val="0"/>
      <w:divBdr>
        <w:top w:val="none" w:sz="0" w:space="0" w:color="auto"/>
        <w:left w:val="none" w:sz="0" w:space="0" w:color="auto"/>
        <w:bottom w:val="none" w:sz="0" w:space="0" w:color="auto"/>
        <w:right w:val="none" w:sz="0" w:space="0" w:color="auto"/>
      </w:divBdr>
      <w:divsChild>
        <w:div w:id="675839651">
          <w:marLeft w:val="0"/>
          <w:marRight w:val="0"/>
          <w:marTop w:val="0"/>
          <w:marBottom w:val="0"/>
          <w:divBdr>
            <w:top w:val="none" w:sz="0" w:space="0" w:color="auto"/>
            <w:left w:val="none" w:sz="0" w:space="0" w:color="auto"/>
            <w:bottom w:val="none" w:sz="0" w:space="0" w:color="auto"/>
            <w:right w:val="none" w:sz="0" w:space="0" w:color="auto"/>
          </w:divBdr>
          <w:divsChild>
            <w:div w:id="1793087842">
              <w:marLeft w:val="0"/>
              <w:marRight w:val="0"/>
              <w:marTop w:val="0"/>
              <w:marBottom w:val="150"/>
              <w:divBdr>
                <w:top w:val="none" w:sz="0" w:space="0" w:color="auto"/>
                <w:left w:val="none" w:sz="0" w:space="0" w:color="auto"/>
                <w:bottom w:val="single" w:sz="6" w:space="0" w:color="CCCCCC"/>
                <w:right w:val="none" w:sz="0" w:space="0" w:color="auto"/>
              </w:divBdr>
              <w:divsChild>
                <w:div w:id="572589279">
                  <w:marLeft w:val="0"/>
                  <w:marRight w:val="0"/>
                  <w:marTop w:val="0"/>
                  <w:marBottom w:val="0"/>
                  <w:divBdr>
                    <w:top w:val="none" w:sz="0" w:space="0" w:color="auto"/>
                    <w:left w:val="none" w:sz="0" w:space="0" w:color="auto"/>
                    <w:bottom w:val="none" w:sz="0" w:space="0" w:color="auto"/>
                    <w:right w:val="none" w:sz="0" w:space="0" w:color="auto"/>
                  </w:divBdr>
                  <w:divsChild>
                    <w:div w:id="57902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782687">
      <w:bodyDiv w:val="1"/>
      <w:marLeft w:val="0"/>
      <w:marRight w:val="0"/>
      <w:marTop w:val="0"/>
      <w:marBottom w:val="0"/>
      <w:divBdr>
        <w:top w:val="none" w:sz="0" w:space="0" w:color="auto"/>
        <w:left w:val="none" w:sz="0" w:space="0" w:color="auto"/>
        <w:bottom w:val="none" w:sz="0" w:space="0" w:color="auto"/>
        <w:right w:val="none" w:sz="0" w:space="0" w:color="auto"/>
      </w:divBdr>
    </w:div>
    <w:div w:id="1724863662">
      <w:bodyDiv w:val="1"/>
      <w:marLeft w:val="0"/>
      <w:marRight w:val="0"/>
      <w:marTop w:val="0"/>
      <w:marBottom w:val="0"/>
      <w:divBdr>
        <w:top w:val="none" w:sz="0" w:space="0" w:color="auto"/>
        <w:left w:val="none" w:sz="0" w:space="0" w:color="auto"/>
        <w:bottom w:val="none" w:sz="0" w:space="0" w:color="auto"/>
        <w:right w:val="none" w:sz="0" w:space="0" w:color="auto"/>
      </w:divBdr>
    </w:div>
    <w:div w:id="212973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WM">
  <a:themeElements>
    <a:clrScheme name="NWM">
      <a:dk1>
        <a:sysClr val="windowText" lastClr="000000"/>
      </a:dk1>
      <a:lt1>
        <a:sysClr val="window" lastClr="FFFFFF"/>
      </a:lt1>
      <a:dk2>
        <a:srgbClr val="3B1256"/>
      </a:dk2>
      <a:lt2>
        <a:srgbClr val="EEECE1"/>
      </a:lt2>
      <a:accent1>
        <a:srgbClr val="42145F"/>
      </a:accent1>
      <a:accent2>
        <a:srgbClr val="06B3BB"/>
      </a:accent2>
      <a:accent3>
        <a:srgbClr val="516CB4"/>
      </a:accent3>
      <a:accent4>
        <a:srgbClr val="E84261"/>
      </a:accent4>
      <a:accent5>
        <a:srgbClr val="F9B122"/>
      </a:accent5>
      <a:accent6>
        <a:srgbClr val="81AA28"/>
      </a:accent6>
      <a:hlink>
        <a:srgbClr val="42145F"/>
      </a:hlink>
      <a:folHlink>
        <a:srgbClr val="42145F"/>
      </a:folHlink>
    </a:clrScheme>
    <a:fontScheme name="NWM">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mbria"/>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Yiii" typeface="Microsoft Yi Baiti"/>
        <a:font script="Cher" typeface="Plantagenet Cherokee"/>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5000" dir="5400000" rotWithShape="0">
              <a:srgbClr val="000000">
                <a:alpha val="36000"/>
              </a:srgbClr>
            </a:outerShdw>
          </a:effectLst>
        </a:effectStyle>
        <a:effectStyle>
          <a:effectLst>
            <a:outerShdw blurRad="40000" dist="25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spDef>
      <a:spPr>
        <a:ln w="9525">
          <a:noFill/>
        </a:ln>
      </a:spPr>
      <a:bodyPr rot="0" spcFirstLastPara="0" vertOverflow="overflow" horzOverflow="overflow" vert="horz" wrap="none" lIns="0" tIns="0" rIns="0" bIns="0" numCol="1" spcCol="0" rtlCol="0" fromWordArt="0" anchor="ctr" anchorCtr="0" forceAA="0" compatLnSpc="1">
        <a:prstTxWarp prst="textNoShape">
          <a:avLst/>
        </a:prstTxWarp>
        <a:noAutofit/>
      </a:bodyPr>
      <a:lstStyle>
        <a:defPPr algn="ctr">
          <a:defRPr sz="1000" b="1"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69616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100" dirty="0" err="1" smtClean="0">
            <a:solidFill>
              <a:schemeClr val="tx2"/>
            </a:solidFill>
            <a:latin typeface="Arial" panose="020B0604020202020204" pitchFamily="34" charset="0"/>
            <a:cs typeface="Arial" panose="020B0604020202020204" pitchFamily="34" charset="0"/>
          </a:defRPr>
        </a:defPPr>
      </a:lstStyle>
    </a:txDef>
  </a:objectDefaults>
  <a:extraClrSchemeLst/>
  <a:custClrLst>
    <a:custClr name="Purple 100% Accent 1">
      <a:srgbClr val="42145F"/>
    </a:custClr>
    <a:custClr name="Aqua 100% Accent 2">
      <a:srgbClr val="06B3BB"/>
    </a:custClr>
    <a:custClr name="Blue 100% Accent 3">
      <a:srgbClr val="516CB4"/>
    </a:custClr>
    <a:custClr name="Crimson 100% Accent 4">
      <a:srgbClr val="E84261"/>
    </a:custClr>
    <a:custClr name="Yellow 100% Accent 5">
      <a:srgbClr val="F9B122"/>
    </a:custClr>
    <a:custClr name="Green 100% Accent 6">
      <a:srgbClr val="81AA28"/>
    </a:custClr>
    <a:custClr name="Brown 100%">
      <a:srgbClr val="A6791D"/>
    </a:custClr>
    <a:custClr name="Orange 100%">
      <a:srgbClr val="F36F21"/>
    </a:custClr>
    <a:custClr name="Light Purple 100%">
      <a:srgbClr val="9C71B4"/>
    </a:custClr>
    <a:custClr name="Grey 100%">
      <a:srgbClr val="696161"/>
    </a:custClr>
    <a:custClr name="Purple 70% Accent 1">
      <a:srgbClr val="8629C1"/>
    </a:custClr>
    <a:custClr name="Aqua 70% Accent 2">
      <a:srgbClr val="28EFF8"/>
    </a:custClr>
    <a:custClr name="Blue 70% Accent 3">
      <a:srgbClr val="8598CA"/>
    </a:custClr>
    <a:custClr name="Crimson 70% Accent 4">
      <a:srgbClr val="EF7B90"/>
    </a:custClr>
    <a:custClr name="Yellow 70% Accent 5">
      <a:srgbClr val="FBC864"/>
    </a:custClr>
    <a:custClr name="Green 70% Accent 6">
      <a:srgbClr val="AED755"/>
    </a:custClr>
    <a:custClr name="Brown 70%">
      <a:srgbClr val="DEAB43"/>
    </a:custClr>
    <a:custClr name="Orange 70%">
      <a:srgbClr val="F79A64"/>
    </a:custClr>
    <a:custClr name="Light Purple 70%">
      <a:srgbClr val="BA9CCA"/>
    </a:custClr>
    <a:custClr name="Grey 70%">
      <a:srgbClr val="978F8F"/>
    </a:custClr>
    <a:custClr name="Purple 50% Accent 1">
      <a:srgbClr val="AB5CDD"/>
    </a:custClr>
    <a:custClr name="Aqua 50% Accent 2">
      <a:srgbClr val="65F4FA"/>
    </a:custClr>
    <a:custClr name="Blue 50% Accent  3">
      <a:srgbClr val="A8B6D9"/>
    </a:custClr>
    <a:custClr name="Crimson 50% Accent 4">
      <a:srgbClr val="F4A0B0"/>
    </a:custClr>
    <a:custClr name="Yellow 50% Accent 5">
      <a:srgbClr val="FCD891"/>
    </a:custClr>
    <a:custClr name="Green 50% Accent 6">
      <a:srgbClr val="C5E286"/>
    </a:custClr>
    <a:custClr name="Brown 50%">
      <a:srgbClr val="E8C379"/>
    </a:custClr>
    <a:custClr name="Orange 50%">
      <a:srgbClr val="F9B790"/>
    </a:custClr>
    <a:custClr name="Light Purple 50%">
      <a:srgbClr val="CDB8D9"/>
    </a:custClr>
    <a:custClr name="Grey 50%">
      <a:srgbClr val="B5AFAF"/>
    </a:custClr>
    <a:custClr name="Purple 30% Accent 1">
      <a:srgbClr val="CD9DEA"/>
    </a:custClr>
    <a:custClr name="Aqua 30% Accent 2">
      <a:srgbClr val="A3F8FC"/>
    </a:custClr>
    <a:custClr name="Blue 30% Accent 3">
      <a:srgbClr val="CBD3E8"/>
    </a:custClr>
    <a:custClr name="Crimson 30% Accent 4">
      <a:srgbClr val="F8C6D0"/>
    </a:custClr>
    <a:custClr name="Yellow 30% Accent 5">
      <a:srgbClr val="FDE8BD"/>
    </a:custClr>
    <a:custClr name="Green 30% Accent 6">
      <a:srgbClr val="DCEEB6"/>
    </a:custClr>
    <a:custClr name="Brown 30%">
      <a:srgbClr val="F1DBAF"/>
    </a:custClr>
    <a:custClr name="Orange 30%">
      <a:srgbClr val="FBD4BC"/>
    </a:custClr>
    <a:custClr name="Light Purple 30%">
      <a:srgbClr val="E1D4E8"/>
    </a:custClr>
    <a:custClr name="Grey 30%">
      <a:srgbClr val="D3CFCF"/>
    </a:custClr>
  </a:custClr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835</Words>
  <Characters>4622</Characters>
  <Application>Microsoft Office Word</Application>
  <DocSecurity>0</DocSecurity>
  <Lines>102</Lines>
  <Paragraphs>44</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patteja</dc:creator>
  <cp:lastModifiedBy>patteja</cp:lastModifiedBy>
  <cp:revision>5</cp:revision>
  <cp:lastPrinted>2018-05-09T16:54:00Z</cp:lastPrinted>
  <dcterms:created xsi:type="dcterms:W3CDTF">2018-05-10T05:17:00Z</dcterms:created>
  <dcterms:modified xsi:type="dcterms:W3CDTF">2018-05-10T05:32:00Z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-1806282002</vt:i4>
  </property>
  <property fmtid="{D5CDD505-2E9C-101B-9397-08002B2CF9AE}" pid="3" name="_NewReviewCycle">
    <vt:lpwstr/>
  </property>
  <property fmtid="{D5CDD505-2E9C-101B-9397-08002B2CF9AE}" pid="4" name="_EmailSubject">
    <vt:lpwstr>Call timings</vt:lpwstr>
  </property>
  <property fmtid="{D5CDD505-2E9C-101B-9397-08002B2CF9AE}" pid="5" name="_AuthorEmail">
    <vt:lpwstr>Matthew.Waymark@rbs.co.uk</vt:lpwstr>
  </property>
  <property fmtid="{D5CDD505-2E9C-101B-9397-08002B2CF9AE}" pid="6" name="_AuthorEmailDisplayName">
    <vt:lpwstr>Waymark, Matthew (Investor Relations)</vt:lpwstr>
  </property>
  <property fmtid="{D5CDD505-2E9C-101B-9397-08002B2CF9AE}" pid="7" name="_ReviewingToolsShownOnce">
    <vt:lpwstr/>
  </property>
</Properties>
</file>