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97" w:rsidRPr="00A96FFA" w:rsidRDefault="00A05ADE" w:rsidP="006D5997">
      <w:pPr>
        <w:pStyle w:val="Heading1"/>
        <w:rPr>
          <w:rFonts w:ascii="Calibri" w:eastAsiaTheme="minorHAnsi" w:hAnsi="Calibri" w:cs="Calibri"/>
          <w:b w:val="0"/>
          <w:bCs w:val="0"/>
          <w:sz w:val="22"/>
          <w:szCs w:val="22"/>
        </w:rPr>
      </w:pPr>
      <w:r>
        <w:rPr>
          <w:rFonts w:ascii="Calibri" w:eastAsia="Times New Roman" w:hAnsi="Calibri" w:cs="Calibri"/>
          <w:sz w:val="22"/>
          <w:szCs w:val="22"/>
        </w:rPr>
        <w:t xml:space="preserve">FINAL RNS – </w:t>
      </w:r>
      <w:r w:rsidR="00E66CA2">
        <w:rPr>
          <w:rFonts w:ascii="Calibri" w:eastAsia="Times New Roman" w:hAnsi="Calibri" w:cs="Calibri"/>
          <w:sz w:val="22"/>
          <w:szCs w:val="22"/>
        </w:rPr>
        <w:t>30</w:t>
      </w:r>
      <w:r w:rsidR="006D5997">
        <w:rPr>
          <w:rFonts w:ascii="Calibri" w:eastAsia="Times New Roman" w:hAnsi="Calibri" w:cs="Calibri"/>
          <w:sz w:val="22"/>
          <w:szCs w:val="22"/>
        </w:rPr>
        <w:t xml:space="preserve"> May</w:t>
      </w:r>
      <w:r w:rsidR="006D5997" w:rsidRPr="00A96FFA">
        <w:rPr>
          <w:rFonts w:ascii="Calibri" w:eastAsia="Times New Roman" w:hAnsi="Calibri" w:cs="Calibri"/>
          <w:sz w:val="22"/>
          <w:szCs w:val="22"/>
        </w:rPr>
        <w:t xml:space="preserve"> 2018</w:t>
      </w:r>
    </w:p>
    <w:p w:rsidR="006D5997" w:rsidRPr="00A96FFA" w:rsidRDefault="006D5997" w:rsidP="006D5997">
      <w:pPr>
        <w:jc w:val="both"/>
        <w:rPr>
          <w:rFonts w:cs="Calibri"/>
          <w:b/>
          <w:bCs/>
        </w:rPr>
      </w:pPr>
      <w:r w:rsidRPr="00A96FFA">
        <w:rPr>
          <w:rFonts w:cs="Calibri"/>
          <w:b/>
          <w:bCs/>
        </w:rPr>
        <w:t>The Royal Bank of Scotland Group plc</w:t>
      </w:r>
    </w:p>
    <w:p w:rsidR="006D5997" w:rsidRDefault="006D5997" w:rsidP="006D5997"/>
    <w:p w:rsidR="006D5997" w:rsidRPr="006D5997" w:rsidRDefault="006D5997" w:rsidP="006D5997">
      <w:pPr>
        <w:rPr>
          <w:b/>
          <w:i/>
        </w:rPr>
      </w:pPr>
      <w:r w:rsidRPr="006D5997">
        <w:rPr>
          <w:b/>
          <w:i/>
        </w:rPr>
        <w:t>Director Change</w:t>
      </w:r>
    </w:p>
    <w:p w:rsidR="006D5997" w:rsidRDefault="006D5997" w:rsidP="006D5997"/>
    <w:p w:rsidR="006D5997" w:rsidRDefault="006D5997" w:rsidP="006D5997">
      <w:r>
        <w:t>RBS announces that Ewen Stevenson has resigned from his role as Chief Financial Officer and Executive Director to</w:t>
      </w:r>
      <w:r w:rsidR="00E66CA2">
        <w:t xml:space="preserve"> take up an opportunity</w:t>
      </w:r>
      <w:r w:rsidR="00401458">
        <w:t xml:space="preserve"> elsewhere</w:t>
      </w:r>
      <w:r>
        <w:t xml:space="preserve">. </w:t>
      </w:r>
    </w:p>
    <w:p w:rsidR="006D5997" w:rsidRDefault="006D5997" w:rsidP="006D5997"/>
    <w:p w:rsidR="006D5997" w:rsidRDefault="006D5997" w:rsidP="006D5997">
      <w:r>
        <w:t xml:space="preserve">The effective date of his </w:t>
      </w:r>
      <w:r w:rsidR="0095789F">
        <w:t>departure</w:t>
      </w:r>
      <w:r>
        <w:t xml:space="preserve"> will be confirmed in due course but he will remain in his position to oversee an orderly handover of his responsibilities.  The search for a successor will commence immediately. </w:t>
      </w:r>
    </w:p>
    <w:p w:rsidR="006D5997" w:rsidRDefault="006D5997" w:rsidP="006D5997"/>
    <w:p w:rsidR="006D5997" w:rsidRDefault="006D5997" w:rsidP="006D5997">
      <w:r>
        <w:t>Chairman Howard Davies said:</w:t>
      </w:r>
    </w:p>
    <w:p w:rsidR="00E66CA2" w:rsidRPr="00E66CA2" w:rsidRDefault="00E66CA2" w:rsidP="00E66CA2">
      <w:pPr>
        <w:rPr>
          <w:i/>
          <w:iCs/>
        </w:rPr>
      </w:pPr>
      <w:r w:rsidRPr="00E66CA2">
        <w:rPr>
          <w:i/>
          <w:iCs/>
        </w:rPr>
        <w:t xml:space="preserve">“The Board and I </w:t>
      </w:r>
      <w:r w:rsidR="00401458">
        <w:rPr>
          <w:i/>
          <w:iCs/>
        </w:rPr>
        <w:t>are sorry to learn that Ewen has</w:t>
      </w:r>
      <w:r w:rsidRPr="00E66CA2">
        <w:rPr>
          <w:i/>
          <w:iCs/>
        </w:rPr>
        <w:t xml:space="preserve"> decided to move elsewhere.  He will go with our thanks for a job well done and our good wishes.”</w:t>
      </w:r>
    </w:p>
    <w:p w:rsidR="006D5997" w:rsidRDefault="006D5997" w:rsidP="006D5997"/>
    <w:p w:rsidR="006D5997" w:rsidRDefault="006D5997" w:rsidP="006D5997">
      <w:r>
        <w:t>Chief Executive Ross McEwan added:  </w:t>
      </w:r>
    </w:p>
    <w:p w:rsidR="006D5997" w:rsidRPr="00E66CA2" w:rsidRDefault="006D5997" w:rsidP="006D5997">
      <w:pPr>
        <w:rPr>
          <w:i/>
        </w:rPr>
      </w:pPr>
      <w:r w:rsidRPr="00E66CA2">
        <w:rPr>
          <w:i/>
        </w:rPr>
        <w:t>“For the past four years Ewen has worked tirelessly with me and my executive team to make RBS a much simpler</w:t>
      </w:r>
      <w:r w:rsidR="00B73718">
        <w:rPr>
          <w:i/>
        </w:rPr>
        <w:t>, safer and more customer focu</w:t>
      </w:r>
      <w:r w:rsidRPr="00E66CA2">
        <w:rPr>
          <w:i/>
        </w:rPr>
        <w:t>s</w:t>
      </w:r>
      <w:r w:rsidR="00B526A1">
        <w:rPr>
          <w:i/>
        </w:rPr>
        <w:t>s</w:t>
      </w:r>
      <w:bookmarkStart w:id="0" w:name="_GoBack"/>
      <w:bookmarkEnd w:id="0"/>
      <w:r w:rsidRPr="00E66CA2">
        <w:rPr>
          <w:i/>
        </w:rPr>
        <w:t>ed business and to resolve a number of major legacy challenges.  When Ewen leaves RBS he will go with my enormous thanks and best wishes</w:t>
      </w:r>
      <w:r w:rsidR="00E66CA2" w:rsidRPr="00E66CA2">
        <w:rPr>
          <w:i/>
        </w:rPr>
        <w:t>, he has been a fantastic CFO</w:t>
      </w:r>
      <w:r w:rsidRPr="00E66CA2">
        <w:rPr>
          <w:i/>
        </w:rPr>
        <w:t>.”</w:t>
      </w:r>
    </w:p>
    <w:p w:rsidR="006D5997" w:rsidRDefault="006D5997" w:rsidP="006D5997"/>
    <w:p w:rsidR="006D5997" w:rsidRDefault="006D5997" w:rsidP="006D5997">
      <w:pPr>
        <w:rPr>
          <w:rFonts w:cs="Calibri"/>
        </w:rPr>
      </w:pPr>
      <w:r>
        <w:rPr>
          <w:rFonts w:cs="Calibri"/>
        </w:rPr>
        <w:t xml:space="preserve">For further information, please contact: </w:t>
      </w:r>
    </w:p>
    <w:p w:rsidR="006D5997" w:rsidRPr="0099671A" w:rsidRDefault="006D5997" w:rsidP="006D5997">
      <w:pPr>
        <w:rPr>
          <w:rFonts w:cs="Calibri"/>
        </w:rPr>
      </w:pPr>
    </w:p>
    <w:p w:rsidR="006D5997" w:rsidRPr="0099671A" w:rsidRDefault="006D5997" w:rsidP="006D5997">
      <w:pPr>
        <w:rPr>
          <w:rFonts w:cs="Calibri"/>
          <w:b/>
          <w:bCs/>
        </w:rPr>
      </w:pPr>
      <w:r w:rsidRPr="0099671A">
        <w:rPr>
          <w:rFonts w:cs="Calibri"/>
          <w:b/>
          <w:bCs/>
        </w:rPr>
        <w:t xml:space="preserve">Investor Relations </w:t>
      </w:r>
    </w:p>
    <w:p w:rsidR="006D5997" w:rsidRPr="0099671A" w:rsidRDefault="006D5997" w:rsidP="006D5997">
      <w:pPr>
        <w:rPr>
          <w:rFonts w:cs="Calibri"/>
        </w:rPr>
      </w:pPr>
      <w:r w:rsidRPr="0099671A">
        <w:rPr>
          <w:rFonts w:cs="Calibri"/>
        </w:rPr>
        <w:t>Matt Waymark</w:t>
      </w:r>
    </w:p>
    <w:p w:rsidR="006D5997" w:rsidRPr="0099671A" w:rsidRDefault="006D5997" w:rsidP="006D5997">
      <w:pPr>
        <w:rPr>
          <w:rFonts w:cs="Calibri"/>
        </w:rPr>
      </w:pPr>
      <w:r w:rsidRPr="0099671A">
        <w:rPr>
          <w:rFonts w:cs="Calibri"/>
        </w:rPr>
        <w:t>Head of Investor Relations</w:t>
      </w:r>
    </w:p>
    <w:p w:rsidR="006D5997" w:rsidRDefault="006D5997" w:rsidP="006D5997">
      <w:pPr>
        <w:rPr>
          <w:rFonts w:cs="Calibri"/>
        </w:rPr>
      </w:pPr>
      <w:r w:rsidRPr="0099671A">
        <w:rPr>
          <w:rFonts w:cs="Calibri"/>
        </w:rPr>
        <w:t xml:space="preserve">+44 (0) </w:t>
      </w:r>
      <w:r>
        <w:rPr>
          <w:rFonts w:cs="Calibri"/>
        </w:rPr>
        <w:t>207</w:t>
      </w:r>
      <w:r w:rsidRPr="0099671A">
        <w:rPr>
          <w:rFonts w:cs="Calibri"/>
        </w:rPr>
        <w:t xml:space="preserve"> </w:t>
      </w:r>
      <w:r>
        <w:rPr>
          <w:rFonts w:cs="Calibri"/>
        </w:rPr>
        <w:t>672 1758</w:t>
      </w:r>
    </w:p>
    <w:p w:rsidR="006D5997" w:rsidRPr="0099671A" w:rsidRDefault="006D5997" w:rsidP="006D5997">
      <w:pPr>
        <w:rPr>
          <w:rFonts w:cs="Calibri"/>
        </w:rPr>
      </w:pPr>
    </w:p>
    <w:p w:rsidR="006D5997" w:rsidRPr="0099671A" w:rsidRDefault="006D5997" w:rsidP="006D5997">
      <w:pPr>
        <w:rPr>
          <w:rFonts w:cs="Calibri"/>
          <w:b/>
          <w:bCs/>
        </w:rPr>
      </w:pPr>
      <w:r w:rsidRPr="0099671A">
        <w:rPr>
          <w:rFonts w:cs="Calibri"/>
          <w:b/>
          <w:bCs/>
        </w:rPr>
        <w:t>RBS Media Relations</w:t>
      </w:r>
    </w:p>
    <w:p w:rsidR="006D5997" w:rsidRPr="0099671A" w:rsidRDefault="006D5997" w:rsidP="006D5997">
      <w:pPr>
        <w:rPr>
          <w:rFonts w:cs="Calibri"/>
        </w:rPr>
      </w:pPr>
      <w:r w:rsidRPr="0099671A">
        <w:rPr>
          <w:rFonts w:cs="Calibri"/>
        </w:rPr>
        <w:t>+44 (0) 131 523 4205</w:t>
      </w:r>
    </w:p>
    <w:p w:rsidR="006D5997" w:rsidRPr="0099671A" w:rsidRDefault="006D5997" w:rsidP="006D5997">
      <w:pPr>
        <w:jc w:val="both"/>
        <w:rPr>
          <w:rFonts w:cs="Calibri"/>
          <w:b/>
          <w:bCs/>
        </w:rPr>
      </w:pPr>
    </w:p>
    <w:p w:rsidR="006D5997" w:rsidRPr="0099671A" w:rsidRDefault="006D5997" w:rsidP="006D5997">
      <w:pPr>
        <w:jc w:val="both"/>
        <w:rPr>
          <w:rFonts w:cs="Calibri"/>
          <w:b/>
          <w:bCs/>
        </w:rPr>
      </w:pPr>
      <w:r w:rsidRPr="0099671A">
        <w:rPr>
          <w:rFonts w:cs="Calibri"/>
          <w:b/>
          <w:bCs/>
        </w:rPr>
        <w:t>Forward-looking statements</w:t>
      </w:r>
    </w:p>
    <w:p w:rsidR="006D5997" w:rsidRPr="0099671A" w:rsidRDefault="006D5997" w:rsidP="006D5997">
      <w:pPr>
        <w:jc w:val="both"/>
        <w:rPr>
          <w:rFonts w:cs="Calibri"/>
        </w:rPr>
      </w:pPr>
      <w:r w:rsidRPr="0099671A">
        <w:rPr>
          <w:rFonts w:cs="Calibri"/>
        </w:rPr>
        <w:t>This document contains forward-looking statements within the meaning of the United States Private Securities Litigation Reform Act of 1995, including (but not limited to) those related to RBS and its subsidiaries' regulatory capital position and requirements, financial position, future pension funding and contribution requirements, ongoing litigation and regulatory investigations, profitability and financial performance (including financial performance targets), structural reform and the implementation of the UK ring-fencing regime, the implementation of RBS’s restructuring and transformation programme, impairment losses and credit exposures under certain specified scenarios, increasing competition from new incumbents and disruptive technologies and RBS’s exposure to political risks, operational risk, conduct risk, cyber and IT risk and credit rating risk. In addition, forward-looking statements may include, without limitation, the words ‘expect’, ‘estimate’, ‘project’, ‘anticipate’, ‘commit’, ‘believe’, ‘should’, ‘intend’, ‘plan’, ‘could’, ‘probability’, ‘risk’, ‘Value-at-Risk (</w:t>
      </w:r>
      <w:proofErr w:type="spellStart"/>
      <w:r w:rsidRPr="0099671A">
        <w:rPr>
          <w:rFonts w:cs="Calibri"/>
        </w:rPr>
        <w:t>VaR</w:t>
      </w:r>
      <w:proofErr w:type="spellEnd"/>
      <w:r w:rsidRPr="0099671A">
        <w:rPr>
          <w:rFonts w:cs="Calibri"/>
        </w:rPr>
        <w:t xml:space="preserve">)’, ‘target’, ‘goal’, ‘objective’, ‘may’, ‘endeavour’, ‘outlook’, ‘optimistic’, ‘prospects’ and similar expressions or variations on these expressions.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w:t>
      </w:r>
      <w:r w:rsidRPr="0099671A">
        <w:rPr>
          <w:rFonts w:cs="Calibri"/>
        </w:rPr>
        <w:lastRenderedPageBreak/>
        <w:t>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2017 Annual Report and Accounts (ARA). The forward-looking statements contained in this document speak only as of the date of this document and RBS does not assume or undertake any obligation or responsibility to update any of the forward-looking statements contained in this document, whether as a result of new information, future events or otherwise, except to the extent legally required.</w:t>
      </w:r>
    </w:p>
    <w:p w:rsidR="006D5997" w:rsidRPr="004D6A1F" w:rsidRDefault="006D5997" w:rsidP="006D5997">
      <w:pPr>
        <w:jc w:val="both"/>
        <w:rPr>
          <w:rFonts w:cs="Calibri"/>
          <w:b/>
          <w:bCs/>
          <w:i/>
          <w:iCs/>
          <w:lang w:val="en-US"/>
        </w:rPr>
      </w:pPr>
    </w:p>
    <w:p w:rsidR="006D5997" w:rsidRPr="0099671A" w:rsidRDefault="006D5997" w:rsidP="006D5997">
      <w:pPr>
        <w:jc w:val="both"/>
        <w:rPr>
          <w:rFonts w:cs="Calibri"/>
          <w:b/>
          <w:bCs/>
          <w:iCs/>
        </w:rPr>
      </w:pPr>
      <w:r w:rsidRPr="0099671A">
        <w:rPr>
          <w:rFonts w:cs="Calibri"/>
          <w:b/>
          <w:bCs/>
          <w:iCs/>
        </w:rPr>
        <w:t>MAR – Inside Information</w:t>
      </w:r>
    </w:p>
    <w:p w:rsidR="006D5997" w:rsidRPr="0099671A" w:rsidRDefault="006D5997" w:rsidP="006D5997">
      <w:pPr>
        <w:jc w:val="both"/>
        <w:rPr>
          <w:rFonts w:cs="Calibri"/>
          <w:bCs/>
          <w:iCs/>
        </w:rPr>
      </w:pPr>
    </w:p>
    <w:p w:rsidR="006D5997" w:rsidRPr="0099671A" w:rsidRDefault="006D5997" w:rsidP="006D5997">
      <w:pPr>
        <w:jc w:val="both"/>
        <w:rPr>
          <w:rFonts w:cs="Calibri"/>
          <w:bCs/>
          <w:iCs/>
        </w:rPr>
      </w:pPr>
      <w:r w:rsidRPr="0099671A">
        <w:rPr>
          <w:rFonts w:cs="Calibri"/>
          <w:bCs/>
          <w:iCs/>
        </w:rPr>
        <w:t>This announcement contains information that qualified or may have qualified as inside information for the purposes of Article 7 of the Market Abuse Regulation (EU) 596/2014 (MAR).  For the purposes of MAR and Article 2 of Commission Implementing Regulation (EU) 2016/1055, this announcement is made by Matt Waymark, Head of Investor Relations for Th</w:t>
      </w:r>
      <w:r>
        <w:rPr>
          <w:rFonts w:cs="Calibri"/>
          <w:bCs/>
          <w:iCs/>
        </w:rPr>
        <w:t>e Royal Bank of Scotland Group.</w:t>
      </w:r>
    </w:p>
    <w:p w:rsidR="006D5997" w:rsidRPr="0099671A" w:rsidRDefault="006D5997" w:rsidP="006D5997">
      <w:pPr>
        <w:rPr>
          <w:rFonts w:cs="Calibri"/>
        </w:rPr>
      </w:pPr>
    </w:p>
    <w:tbl>
      <w:tblPr>
        <w:tblW w:w="0" w:type="auto"/>
        <w:tblCellMar>
          <w:left w:w="0" w:type="dxa"/>
          <w:right w:w="0" w:type="dxa"/>
        </w:tblCellMar>
        <w:tblLook w:val="04A0" w:firstRow="1" w:lastRow="0" w:firstColumn="1" w:lastColumn="0" w:noHBand="0" w:noVBand="1"/>
      </w:tblPr>
      <w:tblGrid>
        <w:gridCol w:w="4840"/>
        <w:gridCol w:w="4402"/>
      </w:tblGrid>
      <w:tr w:rsidR="006D5997" w:rsidRPr="00FE5A06" w:rsidTr="00D5164D">
        <w:tc>
          <w:tcPr>
            <w:tcW w:w="4840" w:type="dxa"/>
            <w:tcMar>
              <w:top w:w="0" w:type="dxa"/>
              <w:left w:w="108" w:type="dxa"/>
              <w:bottom w:w="0" w:type="dxa"/>
              <w:right w:w="108" w:type="dxa"/>
            </w:tcMar>
          </w:tcPr>
          <w:p w:rsidR="006D5997" w:rsidRPr="0099671A" w:rsidRDefault="006D5997" w:rsidP="00725E84">
            <w:pPr>
              <w:rPr>
                <w:rFonts w:cs="Calibri"/>
                <w:color w:val="333333"/>
                <w:lang w:eastAsia="en-GB"/>
              </w:rPr>
            </w:pPr>
          </w:p>
        </w:tc>
        <w:tc>
          <w:tcPr>
            <w:tcW w:w="4402"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Legal Entity Identifier</w:t>
            </w:r>
          </w:p>
        </w:tc>
      </w:tr>
      <w:tr w:rsidR="006D5997" w:rsidRPr="00FE5A06" w:rsidTr="00D5164D">
        <w:tc>
          <w:tcPr>
            <w:tcW w:w="4840"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 xml:space="preserve">The Royal Bank of Scotland Group plc </w:t>
            </w:r>
          </w:p>
        </w:tc>
        <w:tc>
          <w:tcPr>
            <w:tcW w:w="4402"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2138005O9XJIJN4JPN90</w:t>
            </w:r>
          </w:p>
        </w:tc>
      </w:tr>
      <w:tr w:rsidR="006D5997" w:rsidRPr="00FE5A06" w:rsidTr="00D5164D">
        <w:tc>
          <w:tcPr>
            <w:tcW w:w="4840"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 xml:space="preserve">National Westminster Bank Plc </w:t>
            </w:r>
          </w:p>
        </w:tc>
        <w:tc>
          <w:tcPr>
            <w:tcW w:w="4402"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213800IBT39XQ9C4CP71</w:t>
            </w:r>
          </w:p>
        </w:tc>
      </w:tr>
      <w:tr w:rsidR="006D5997" w:rsidRPr="00FE5A06" w:rsidTr="00D5164D">
        <w:tc>
          <w:tcPr>
            <w:tcW w:w="4840" w:type="dxa"/>
            <w:tcMar>
              <w:top w:w="0" w:type="dxa"/>
              <w:left w:w="108" w:type="dxa"/>
              <w:bottom w:w="0" w:type="dxa"/>
              <w:right w:w="108" w:type="dxa"/>
            </w:tcMar>
          </w:tcPr>
          <w:p w:rsidR="006D5997" w:rsidRPr="0099671A" w:rsidRDefault="006D5997" w:rsidP="006D5997">
            <w:pPr>
              <w:rPr>
                <w:rFonts w:cs="Calibri"/>
                <w:color w:val="333333"/>
                <w:lang w:eastAsia="en-GB"/>
              </w:rPr>
            </w:pPr>
          </w:p>
        </w:tc>
        <w:tc>
          <w:tcPr>
            <w:tcW w:w="4402" w:type="dxa"/>
            <w:tcMar>
              <w:top w:w="0" w:type="dxa"/>
              <w:left w:w="108" w:type="dxa"/>
              <w:bottom w:w="0" w:type="dxa"/>
              <w:right w:w="108" w:type="dxa"/>
            </w:tcMar>
          </w:tcPr>
          <w:p w:rsidR="006D5997" w:rsidRPr="0099671A" w:rsidRDefault="006D5997" w:rsidP="00725E84">
            <w:pPr>
              <w:rPr>
                <w:rFonts w:cs="Calibri"/>
                <w:lang w:eastAsia="en-GB"/>
              </w:rPr>
            </w:pPr>
          </w:p>
        </w:tc>
      </w:tr>
    </w:tbl>
    <w:p w:rsidR="008134CC" w:rsidRDefault="008134CC"/>
    <w:sectPr w:rsidR="00813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97"/>
    <w:rsid w:val="000C02C5"/>
    <w:rsid w:val="00263A64"/>
    <w:rsid w:val="00401458"/>
    <w:rsid w:val="006D5997"/>
    <w:rsid w:val="007965AB"/>
    <w:rsid w:val="007E25DC"/>
    <w:rsid w:val="008134CC"/>
    <w:rsid w:val="0095789F"/>
    <w:rsid w:val="00A05ADE"/>
    <w:rsid w:val="00B526A1"/>
    <w:rsid w:val="00B73718"/>
    <w:rsid w:val="00C570BE"/>
    <w:rsid w:val="00D03FD1"/>
    <w:rsid w:val="00D5164D"/>
    <w:rsid w:val="00E6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D5997"/>
    <w:pPr>
      <w:keepNext/>
      <w:spacing w:before="240" w:after="320"/>
      <w:outlineLvl w:val="0"/>
    </w:pPr>
    <w:rPr>
      <w:rFonts w:ascii="Arial" w:eastAsiaTheme="majorEastAsia" w:hAnsi="Arial" w:cstheme="majorBidi"/>
      <w:b/>
      <w:bCs/>
      <w:kern w:val="2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97"/>
    <w:rPr>
      <w:rFonts w:ascii="Arial" w:eastAsiaTheme="majorEastAsia" w:hAnsi="Arial" w:cstheme="majorBidi"/>
      <w:b/>
      <w:bCs/>
      <w:kern w:val="28"/>
      <w:sz w:val="32"/>
      <w:szCs w:val="28"/>
    </w:rPr>
  </w:style>
  <w:style w:type="paragraph" w:styleId="BalloonText">
    <w:name w:val="Balloon Text"/>
    <w:basedOn w:val="Normal"/>
    <w:link w:val="BalloonTextChar"/>
    <w:uiPriority w:val="99"/>
    <w:semiHidden/>
    <w:unhideWhenUsed/>
    <w:rsid w:val="00C570BE"/>
    <w:rPr>
      <w:rFonts w:ascii="Tahoma" w:hAnsi="Tahoma" w:cs="Tahoma"/>
      <w:sz w:val="16"/>
      <w:szCs w:val="16"/>
    </w:rPr>
  </w:style>
  <w:style w:type="character" w:customStyle="1" w:styleId="BalloonTextChar">
    <w:name w:val="Balloon Text Char"/>
    <w:basedOn w:val="DefaultParagraphFont"/>
    <w:link w:val="BalloonText"/>
    <w:uiPriority w:val="99"/>
    <w:semiHidden/>
    <w:rsid w:val="00C57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D5997"/>
    <w:pPr>
      <w:keepNext/>
      <w:spacing w:before="240" w:after="320"/>
      <w:outlineLvl w:val="0"/>
    </w:pPr>
    <w:rPr>
      <w:rFonts w:ascii="Arial" w:eastAsiaTheme="majorEastAsia" w:hAnsi="Arial" w:cstheme="majorBidi"/>
      <w:b/>
      <w:bCs/>
      <w:kern w:val="2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97"/>
    <w:rPr>
      <w:rFonts w:ascii="Arial" w:eastAsiaTheme="majorEastAsia" w:hAnsi="Arial" w:cstheme="majorBidi"/>
      <w:b/>
      <w:bCs/>
      <w:kern w:val="28"/>
      <w:sz w:val="32"/>
      <w:szCs w:val="28"/>
    </w:rPr>
  </w:style>
  <w:style w:type="paragraph" w:styleId="BalloonText">
    <w:name w:val="Balloon Text"/>
    <w:basedOn w:val="Normal"/>
    <w:link w:val="BalloonTextChar"/>
    <w:uiPriority w:val="99"/>
    <w:semiHidden/>
    <w:unhideWhenUsed/>
    <w:rsid w:val="00C570BE"/>
    <w:rPr>
      <w:rFonts w:ascii="Tahoma" w:hAnsi="Tahoma" w:cs="Tahoma"/>
      <w:sz w:val="16"/>
      <w:szCs w:val="16"/>
    </w:rPr>
  </w:style>
  <w:style w:type="character" w:customStyle="1" w:styleId="BalloonTextChar">
    <w:name w:val="Balloon Text Char"/>
    <w:basedOn w:val="DefaultParagraphFont"/>
    <w:link w:val="BalloonText"/>
    <w:uiPriority w:val="99"/>
    <w:semiHidden/>
    <w:rsid w:val="00C57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3057">
      <w:bodyDiv w:val="1"/>
      <w:marLeft w:val="0"/>
      <w:marRight w:val="0"/>
      <w:marTop w:val="0"/>
      <w:marBottom w:val="0"/>
      <w:divBdr>
        <w:top w:val="none" w:sz="0" w:space="0" w:color="auto"/>
        <w:left w:val="none" w:sz="0" w:space="0" w:color="auto"/>
        <w:bottom w:val="none" w:sz="0" w:space="0" w:color="auto"/>
        <w:right w:val="none" w:sz="0" w:space="0" w:color="auto"/>
      </w:divBdr>
    </w:div>
    <w:div w:id="207658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603</Words>
  <Characters>3602</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5</cp:revision>
  <cp:lastPrinted>2018-05-30T05:02:00Z</cp:lastPrinted>
  <dcterms:created xsi:type="dcterms:W3CDTF">2018-05-30T05:03:00Z</dcterms:created>
  <dcterms:modified xsi:type="dcterms:W3CDTF">2018-05-30T05:44:00Z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1579260959</vt:i4>
  </property>
  <property fmtid="{D5CDD505-2E9C-101B-9397-08002B2CF9AE}" pid="3" name="_NewReviewCycle">
    <vt:lpwstr/>
  </property>
  <property fmtid="{D5CDD505-2E9C-101B-9397-08002B2CF9AE}" pid="4" name="_EmailSubject">
    <vt:lpwstr>7am RNS 29 May 2018</vt:lpwstr>
  </property>
  <property fmtid="{D5CDD505-2E9C-101B-9397-08002B2CF9AE}" pid="5" name="_AuthorEmail">
    <vt:lpwstr>Caroline.Storrie@rbs.com</vt:lpwstr>
  </property>
  <property fmtid="{D5CDD505-2E9C-101B-9397-08002B2CF9AE}" pid="6" name="_AuthorEmailDisplayName">
    <vt:lpwstr>Storrie, Caroline (Corporate Governance and Regulatory Affairs)</vt:lpwstr>
  </property>
  <property fmtid="{D5CDD505-2E9C-101B-9397-08002B2CF9AE}" pid="7" name="_ReviewingToolsShownOnce">
    <vt:lpwstr/>
  </property>
</Properties>
</file>