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AF" w:rsidRDefault="007A7DAF" w:rsidP="007A7DAF">
      <w:pPr>
        <w:autoSpaceDE w:val="0"/>
        <w:autoSpaceDN w:val="0"/>
        <w:adjustRightInd w:val="0"/>
        <w:rPr>
          <w:rFonts w:ascii="Arial-BoldMT" w:hAnsi="Arial-BoldMT" w:cs="Arial-BoldMT"/>
          <w:b/>
          <w:bCs/>
          <w:color w:val="000000"/>
          <w:sz w:val="24"/>
          <w:szCs w:val="24"/>
        </w:rPr>
      </w:pPr>
    </w:p>
    <w:p w:rsidR="00B12A05" w:rsidRDefault="00B12A05" w:rsidP="007A7DAF">
      <w:pPr>
        <w:autoSpaceDE w:val="0"/>
        <w:autoSpaceDN w:val="0"/>
        <w:adjustRightInd w:val="0"/>
        <w:rPr>
          <w:rFonts w:ascii="Arial-BoldMT" w:hAnsi="Arial-BoldMT" w:cs="Arial-BoldMT"/>
          <w:b/>
          <w:bCs/>
          <w:color w:val="000000"/>
          <w:sz w:val="24"/>
          <w:szCs w:val="24"/>
        </w:rPr>
      </w:pPr>
      <w:bookmarkStart w:id="0" w:name="_GoBack"/>
      <w:bookmarkEnd w:id="0"/>
    </w:p>
    <w:p w:rsidR="007A7DAF" w:rsidRPr="007A7DAF" w:rsidRDefault="007A7DAF" w:rsidP="007A7DAF">
      <w:pPr>
        <w:autoSpaceDE w:val="0"/>
        <w:autoSpaceDN w:val="0"/>
        <w:adjustRightInd w:val="0"/>
        <w:rPr>
          <w:rFonts w:ascii="Arial-BoldMT" w:hAnsi="Arial-BoldMT" w:cs="Arial-BoldMT"/>
          <w:b/>
          <w:bCs/>
          <w:color w:val="000000"/>
          <w:sz w:val="24"/>
          <w:szCs w:val="24"/>
        </w:rPr>
      </w:pPr>
      <w:r w:rsidRPr="007A7DAF">
        <w:rPr>
          <w:rFonts w:ascii="Arial-BoldMT" w:hAnsi="Arial-BoldMT" w:cs="Arial-BoldMT"/>
          <w:b/>
          <w:bCs/>
          <w:color w:val="000000"/>
          <w:sz w:val="24"/>
          <w:szCs w:val="24"/>
        </w:rPr>
        <w:t xml:space="preserve">RBS </w:t>
      </w:r>
      <w:r>
        <w:rPr>
          <w:rFonts w:ascii="Arial-BoldMT" w:hAnsi="Arial-BoldMT" w:cs="Arial-BoldMT"/>
          <w:b/>
          <w:bCs/>
          <w:color w:val="000000"/>
          <w:sz w:val="24"/>
          <w:szCs w:val="24"/>
        </w:rPr>
        <w:t>notes</w:t>
      </w:r>
      <w:r w:rsidRPr="007A7DAF">
        <w:rPr>
          <w:rFonts w:ascii="Arial-BoldMT" w:hAnsi="Arial-BoldMT" w:cs="Arial-BoldMT"/>
          <w:b/>
          <w:bCs/>
          <w:color w:val="000000"/>
          <w:sz w:val="24"/>
          <w:szCs w:val="24"/>
        </w:rPr>
        <w:t xml:space="preserve"> credit rating </w:t>
      </w:r>
      <w:r>
        <w:rPr>
          <w:rFonts w:ascii="Arial-BoldMT" w:hAnsi="Arial-BoldMT" w:cs="Arial-BoldMT"/>
          <w:b/>
          <w:bCs/>
          <w:color w:val="000000"/>
          <w:sz w:val="24"/>
          <w:szCs w:val="24"/>
        </w:rPr>
        <w:t xml:space="preserve">actions </w:t>
      </w:r>
      <w:r w:rsidRPr="007A7DAF">
        <w:rPr>
          <w:rFonts w:ascii="Arial-BoldMT" w:hAnsi="Arial-BoldMT" w:cs="Arial-BoldMT"/>
          <w:b/>
          <w:bCs/>
          <w:color w:val="000000"/>
          <w:sz w:val="24"/>
          <w:szCs w:val="24"/>
        </w:rPr>
        <w:t xml:space="preserve">by </w:t>
      </w:r>
      <w:r w:rsidR="003967AB">
        <w:rPr>
          <w:rFonts w:ascii="Arial-BoldMT" w:hAnsi="Arial-BoldMT" w:cs="Arial-BoldMT"/>
          <w:b/>
          <w:bCs/>
          <w:color w:val="000000"/>
          <w:sz w:val="24"/>
          <w:szCs w:val="24"/>
        </w:rPr>
        <w:t>Standard &amp; Poor’s</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 xml:space="preserve">The Royal Bank of Scotland Group plc </w:t>
      </w:r>
    </w:p>
    <w:p w:rsidR="007A7DAF" w:rsidRPr="007A7DAF" w:rsidRDefault="007A7DAF"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3</w:t>
      </w:r>
      <w:r w:rsidR="00B72AAB">
        <w:rPr>
          <w:rFonts w:eastAsia="Times New Roman" w:cs="Arial"/>
          <w:color w:val="333333"/>
          <w:sz w:val="17"/>
          <w:szCs w:val="17"/>
          <w:lang w:eastAsia="en-GB"/>
        </w:rPr>
        <w:t>1</w:t>
      </w:r>
      <w:r>
        <w:rPr>
          <w:rFonts w:eastAsia="Times New Roman" w:cs="Arial"/>
          <w:color w:val="333333"/>
          <w:sz w:val="17"/>
          <w:szCs w:val="17"/>
          <w:lang w:eastAsia="en-GB"/>
        </w:rPr>
        <w:t xml:space="preserve"> May</w:t>
      </w:r>
      <w:r w:rsidRPr="007A7DAF">
        <w:rPr>
          <w:rFonts w:eastAsia="Times New Roman" w:cs="Arial"/>
          <w:color w:val="333333"/>
          <w:sz w:val="17"/>
          <w:szCs w:val="17"/>
          <w:lang w:eastAsia="en-GB"/>
        </w:rPr>
        <w:t xml:space="preserve"> 2018</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 xml:space="preserve">The Royal Bank of Scotland Group plc ("RBS") notes the decision by the credit rating agency </w:t>
      </w:r>
      <w:r w:rsidR="003967AB">
        <w:rPr>
          <w:rFonts w:eastAsia="Times New Roman" w:cs="Arial"/>
          <w:color w:val="333333"/>
          <w:sz w:val="17"/>
          <w:szCs w:val="17"/>
          <w:lang w:eastAsia="en-GB"/>
        </w:rPr>
        <w:t>Standard &amp; Poor’s (“S&amp;P”)</w:t>
      </w:r>
      <w:r w:rsidRPr="007A7DAF">
        <w:rPr>
          <w:rFonts w:eastAsia="Times New Roman" w:cs="Arial"/>
          <w:color w:val="333333"/>
          <w:sz w:val="17"/>
          <w:szCs w:val="17"/>
          <w:lang w:eastAsia="en-GB"/>
        </w:rPr>
        <w:t xml:space="preserve"> to </w:t>
      </w:r>
      <w:r w:rsidR="003967AB">
        <w:rPr>
          <w:rFonts w:eastAsia="Times New Roman" w:cs="Arial"/>
          <w:color w:val="333333"/>
          <w:sz w:val="17"/>
          <w:szCs w:val="17"/>
          <w:lang w:eastAsia="en-GB"/>
        </w:rPr>
        <w:t>amend</w:t>
      </w:r>
      <w:r w:rsidRPr="007A7DAF">
        <w:rPr>
          <w:rFonts w:eastAsia="Times New Roman" w:cs="Arial"/>
          <w:color w:val="333333"/>
          <w:sz w:val="17"/>
          <w:szCs w:val="17"/>
          <w:lang w:eastAsia="en-GB"/>
        </w:rPr>
        <w:t xml:space="preserve"> </w:t>
      </w:r>
      <w:r w:rsidR="003967AB">
        <w:rPr>
          <w:rFonts w:eastAsia="Times New Roman" w:cs="Arial"/>
          <w:color w:val="333333"/>
          <w:sz w:val="17"/>
          <w:szCs w:val="17"/>
          <w:lang w:eastAsia="en-GB"/>
        </w:rPr>
        <w:t xml:space="preserve">a </w:t>
      </w:r>
      <w:r w:rsidRPr="007A7DAF">
        <w:rPr>
          <w:rFonts w:eastAsia="Times New Roman" w:cs="Arial"/>
          <w:color w:val="333333"/>
          <w:sz w:val="17"/>
          <w:szCs w:val="17"/>
          <w:lang w:eastAsia="en-GB"/>
        </w:rPr>
        <w:t>number of ratings across the group, including</w:t>
      </w:r>
      <w:r w:rsidR="001F0F37">
        <w:rPr>
          <w:rFonts w:eastAsia="Times New Roman" w:cs="Arial"/>
          <w:color w:val="333333"/>
          <w:sz w:val="17"/>
          <w:szCs w:val="17"/>
          <w:lang w:eastAsia="en-GB"/>
        </w:rPr>
        <w:t xml:space="preserve"> to</w:t>
      </w:r>
      <w:r w:rsidRPr="007A7DAF">
        <w:rPr>
          <w:rFonts w:eastAsia="Times New Roman" w:cs="Arial"/>
          <w:color w:val="333333"/>
          <w:sz w:val="17"/>
          <w:szCs w:val="17"/>
          <w:lang w:eastAsia="en-GB"/>
        </w:rPr>
        <w:t>:</w:t>
      </w:r>
    </w:p>
    <w:p w:rsidR="007A7DAF" w:rsidRPr="007A7DAF" w:rsidRDefault="007A7DAF" w:rsidP="006640FA">
      <w:pPr>
        <w:spacing w:before="100" w:beforeAutospacing="1" w:after="100" w:afterAutospacing="1"/>
        <w:ind w:left="567" w:hanging="567"/>
        <w:rPr>
          <w:rFonts w:eastAsia="Times New Roman" w:cs="Arial"/>
          <w:color w:val="333333"/>
          <w:sz w:val="17"/>
          <w:szCs w:val="17"/>
          <w:lang w:eastAsia="en-GB"/>
        </w:rPr>
      </w:pPr>
      <w:r>
        <w:rPr>
          <w:rFonts w:eastAsia="Times New Roman" w:cs="Arial"/>
          <w:color w:val="333333"/>
          <w:sz w:val="17"/>
          <w:szCs w:val="17"/>
          <w:lang w:eastAsia="en-GB"/>
        </w:rPr>
        <w:t>-</w:t>
      </w:r>
      <w:r w:rsidRPr="007A7DAF">
        <w:rPr>
          <w:rFonts w:eastAsia="Times New Roman" w:cs="Arial"/>
          <w:color w:val="333333"/>
          <w:sz w:val="17"/>
          <w:szCs w:val="17"/>
          <w:lang w:eastAsia="en-GB"/>
        </w:rPr>
        <w:t xml:space="preserve">      </w:t>
      </w:r>
      <w:r w:rsidRPr="007A7DAF">
        <w:rPr>
          <w:rFonts w:eastAsia="Times New Roman" w:cs="Arial"/>
          <w:color w:val="333333"/>
          <w:sz w:val="17"/>
          <w:szCs w:val="17"/>
          <w:lang w:eastAsia="en-GB"/>
        </w:rPr>
        <w:tab/>
        <w:t xml:space="preserve">Upgrade the </w:t>
      </w:r>
      <w:r w:rsidR="00AB023C">
        <w:rPr>
          <w:rFonts w:eastAsia="Times New Roman" w:cs="Arial"/>
          <w:color w:val="333333"/>
          <w:sz w:val="17"/>
          <w:szCs w:val="17"/>
          <w:lang w:eastAsia="en-GB"/>
        </w:rPr>
        <w:t xml:space="preserve">long-term ratings </w:t>
      </w:r>
      <w:r w:rsidRPr="007A7DAF">
        <w:rPr>
          <w:rFonts w:eastAsia="Times New Roman" w:cs="Arial"/>
          <w:color w:val="333333"/>
          <w:sz w:val="17"/>
          <w:szCs w:val="17"/>
          <w:lang w:eastAsia="en-GB"/>
        </w:rPr>
        <w:t>of Nat</w:t>
      </w:r>
      <w:r w:rsidR="00B91FA4">
        <w:rPr>
          <w:rFonts w:eastAsia="Times New Roman" w:cs="Arial"/>
          <w:color w:val="333333"/>
          <w:sz w:val="17"/>
          <w:szCs w:val="17"/>
          <w:lang w:eastAsia="en-GB"/>
        </w:rPr>
        <w:t xml:space="preserve">ional </w:t>
      </w:r>
      <w:r w:rsidRPr="007A7DAF">
        <w:rPr>
          <w:rFonts w:eastAsia="Times New Roman" w:cs="Arial"/>
          <w:color w:val="333333"/>
          <w:sz w:val="17"/>
          <w:szCs w:val="17"/>
          <w:lang w:eastAsia="en-GB"/>
        </w:rPr>
        <w:t>West</w:t>
      </w:r>
      <w:r w:rsidR="00B91FA4">
        <w:rPr>
          <w:rFonts w:eastAsia="Times New Roman" w:cs="Arial"/>
          <w:color w:val="333333"/>
          <w:sz w:val="17"/>
          <w:szCs w:val="17"/>
          <w:lang w:eastAsia="en-GB"/>
        </w:rPr>
        <w:t>minster</w:t>
      </w:r>
      <w:r w:rsidRPr="007A7DAF">
        <w:rPr>
          <w:rFonts w:eastAsia="Times New Roman" w:cs="Arial"/>
          <w:color w:val="333333"/>
          <w:sz w:val="17"/>
          <w:szCs w:val="17"/>
          <w:lang w:eastAsia="en-GB"/>
        </w:rPr>
        <w:t xml:space="preserve"> Bank</w:t>
      </w:r>
      <w:r w:rsidR="006640FA">
        <w:rPr>
          <w:rFonts w:eastAsia="Times New Roman" w:cs="Arial"/>
          <w:color w:val="333333"/>
          <w:sz w:val="17"/>
          <w:szCs w:val="17"/>
          <w:lang w:eastAsia="en-GB"/>
        </w:rPr>
        <w:t xml:space="preserve"> Plc</w:t>
      </w:r>
      <w:r w:rsidR="007C5F6B">
        <w:rPr>
          <w:rFonts w:eastAsia="Times New Roman" w:cs="Arial"/>
          <w:color w:val="333333"/>
          <w:sz w:val="17"/>
          <w:szCs w:val="17"/>
          <w:lang w:eastAsia="en-GB"/>
        </w:rPr>
        <w:t xml:space="preserve"> (NatWest)</w:t>
      </w:r>
      <w:r w:rsidR="006640FA">
        <w:rPr>
          <w:rFonts w:eastAsia="Times New Roman" w:cs="Arial"/>
          <w:color w:val="333333"/>
          <w:sz w:val="17"/>
          <w:szCs w:val="17"/>
          <w:lang w:eastAsia="en-GB"/>
        </w:rPr>
        <w:t xml:space="preserve">, The Royal Bank of Scotland </w:t>
      </w:r>
      <w:r w:rsidR="007C5F6B">
        <w:rPr>
          <w:rFonts w:eastAsia="Times New Roman" w:cs="Arial"/>
          <w:color w:val="333333"/>
          <w:sz w:val="17"/>
          <w:szCs w:val="17"/>
          <w:lang w:eastAsia="en-GB"/>
        </w:rPr>
        <w:t xml:space="preserve">(RBS) </w:t>
      </w:r>
      <w:r w:rsidR="006640FA">
        <w:rPr>
          <w:rFonts w:eastAsia="Times New Roman" w:cs="Arial"/>
          <w:color w:val="333333"/>
          <w:sz w:val="17"/>
          <w:szCs w:val="17"/>
          <w:lang w:eastAsia="en-GB"/>
        </w:rPr>
        <w:t xml:space="preserve">plc </w:t>
      </w:r>
      <w:r w:rsidRPr="007A7DAF">
        <w:rPr>
          <w:rFonts w:eastAsia="Times New Roman" w:cs="Arial"/>
          <w:color w:val="333333"/>
          <w:sz w:val="17"/>
          <w:szCs w:val="17"/>
          <w:lang w:eastAsia="en-GB"/>
        </w:rPr>
        <w:t>and U</w:t>
      </w:r>
      <w:r w:rsidR="006640FA">
        <w:rPr>
          <w:rFonts w:eastAsia="Times New Roman" w:cs="Arial"/>
          <w:color w:val="333333"/>
          <w:sz w:val="17"/>
          <w:szCs w:val="17"/>
          <w:lang w:eastAsia="en-GB"/>
        </w:rPr>
        <w:t xml:space="preserve">lster </w:t>
      </w:r>
      <w:r w:rsidRPr="007A7DAF">
        <w:rPr>
          <w:rFonts w:eastAsia="Times New Roman" w:cs="Arial"/>
          <w:color w:val="333333"/>
          <w:sz w:val="17"/>
          <w:szCs w:val="17"/>
          <w:lang w:eastAsia="en-GB"/>
        </w:rPr>
        <w:t>B</w:t>
      </w:r>
      <w:r w:rsidR="006640FA">
        <w:rPr>
          <w:rFonts w:eastAsia="Times New Roman" w:cs="Arial"/>
          <w:color w:val="333333"/>
          <w:sz w:val="17"/>
          <w:szCs w:val="17"/>
          <w:lang w:eastAsia="en-GB"/>
        </w:rPr>
        <w:t xml:space="preserve">ank </w:t>
      </w:r>
      <w:r w:rsidRPr="007A7DAF">
        <w:rPr>
          <w:rFonts w:eastAsia="Times New Roman" w:cs="Arial"/>
          <w:color w:val="333333"/>
          <w:sz w:val="17"/>
          <w:szCs w:val="17"/>
          <w:lang w:eastAsia="en-GB"/>
        </w:rPr>
        <w:t>L</w:t>
      </w:r>
      <w:r w:rsidR="006640FA">
        <w:rPr>
          <w:rFonts w:eastAsia="Times New Roman" w:cs="Arial"/>
          <w:color w:val="333333"/>
          <w:sz w:val="17"/>
          <w:szCs w:val="17"/>
          <w:lang w:eastAsia="en-GB"/>
        </w:rPr>
        <w:t>imited</w:t>
      </w:r>
      <w:r w:rsidR="007C5F6B">
        <w:rPr>
          <w:rFonts w:eastAsia="Times New Roman" w:cs="Arial"/>
          <w:color w:val="333333"/>
          <w:sz w:val="17"/>
          <w:szCs w:val="17"/>
          <w:lang w:eastAsia="en-GB"/>
        </w:rPr>
        <w:t xml:space="preserve"> (UBL) </w:t>
      </w:r>
      <w:r w:rsidRPr="007A7DAF">
        <w:rPr>
          <w:rFonts w:eastAsia="Times New Roman" w:cs="Arial"/>
          <w:color w:val="333333"/>
          <w:sz w:val="17"/>
          <w:szCs w:val="17"/>
          <w:lang w:eastAsia="en-GB"/>
        </w:rPr>
        <w:t>to A- (from BBB+)</w:t>
      </w:r>
      <w:r w:rsidR="00456B92">
        <w:rPr>
          <w:rFonts w:eastAsia="Times New Roman" w:cs="Arial"/>
          <w:color w:val="333333"/>
          <w:sz w:val="17"/>
          <w:szCs w:val="17"/>
          <w:lang w:eastAsia="en-GB"/>
        </w:rPr>
        <w:t>, which S&amp;P consider</w:t>
      </w:r>
      <w:r w:rsidR="00B91FA4">
        <w:rPr>
          <w:rFonts w:eastAsia="Times New Roman" w:cs="Arial"/>
          <w:color w:val="333333"/>
          <w:sz w:val="17"/>
          <w:szCs w:val="17"/>
          <w:lang w:eastAsia="en-GB"/>
        </w:rPr>
        <w:t xml:space="preserve"> to be </w:t>
      </w:r>
      <w:r w:rsidR="00456B92">
        <w:rPr>
          <w:rFonts w:eastAsia="Times New Roman" w:cs="Arial"/>
          <w:color w:val="333333"/>
          <w:sz w:val="17"/>
          <w:szCs w:val="17"/>
          <w:lang w:eastAsia="en-GB"/>
        </w:rPr>
        <w:t>“core</w:t>
      </w:r>
      <w:r w:rsidR="00B91FA4">
        <w:rPr>
          <w:rFonts w:eastAsia="Times New Roman" w:cs="Arial"/>
          <w:color w:val="333333"/>
          <w:sz w:val="17"/>
          <w:szCs w:val="17"/>
          <w:lang w:eastAsia="en-GB"/>
        </w:rPr>
        <w:t xml:space="preserve"> </w:t>
      </w:r>
      <w:r w:rsidR="00456B92">
        <w:rPr>
          <w:rFonts w:eastAsia="Times New Roman" w:cs="Arial"/>
          <w:color w:val="333333"/>
          <w:sz w:val="17"/>
          <w:szCs w:val="17"/>
          <w:lang w:eastAsia="en-GB"/>
        </w:rPr>
        <w:t>”</w:t>
      </w:r>
      <w:r w:rsidR="008F344F">
        <w:rPr>
          <w:rFonts w:eastAsia="Times New Roman" w:cs="Arial"/>
          <w:color w:val="333333"/>
          <w:sz w:val="17"/>
          <w:szCs w:val="17"/>
          <w:lang w:eastAsia="en-GB"/>
        </w:rPr>
        <w:t>.</w:t>
      </w:r>
    </w:p>
    <w:p w:rsidR="007A7DAF" w:rsidRDefault="007A7DAF" w:rsidP="006640FA">
      <w:pPr>
        <w:spacing w:before="100" w:beforeAutospacing="1" w:after="100" w:afterAutospacing="1"/>
        <w:ind w:left="567" w:hanging="567"/>
        <w:rPr>
          <w:rFonts w:eastAsia="Times New Roman" w:cs="Arial"/>
          <w:color w:val="333333"/>
          <w:sz w:val="17"/>
          <w:szCs w:val="17"/>
          <w:lang w:eastAsia="en-GB"/>
        </w:rPr>
      </w:pPr>
      <w:r w:rsidRPr="007A7DAF">
        <w:rPr>
          <w:rFonts w:eastAsia="Times New Roman" w:cs="Arial"/>
          <w:color w:val="333333"/>
          <w:sz w:val="17"/>
          <w:szCs w:val="17"/>
          <w:lang w:eastAsia="en-GB"/>
        </w:rPr>
        <w:t>-</w:t>
      </w:r>
      <w:r w:rsidRPr="007A7DAF">
        <w:rPr>
          <w:rFonts w:eastAsia="Times New Roman" w:cs="Arial"/>
          <w:color w:val="333333"/>
          <w:sz w:val="17"/>
          <w:szCs w:val="17"/>
          <w:lang w:eastAsia="en-GB"/>
        </w:rPr>
        <w:tab/>
        <w:t xml:space="preserve">Upgrade </w:t>
      </w:r>
      <w:r w:rsidR="00AB023C">
        <w:rPr>
          <w:rFonts w:eastAsia="Times New Roman" w:cs="Arial"/>
          <w:color w:val="333333"/>
          <w:sz w:val="17"/>
          <w:szCs w:val="17"/>
          <w:lang w:eastAsia="en-GB"/>
        </w:rPr>
        <w:t xml:space="preserve">the long-term ratings of </w:t>
      </w:r>
      <w:r w:rsidR="006640FA">
        <w:rPr>
          <w:rFonts w:eastAsia="Times New Roman" w:cs="Arial"/>
          <w:color w:val="333333"/>
          <w:sz w:val="17"/>
          <w:szCs w:val="17"/>
          <w:lang w:eastAsia="en-GB"/>
        </w:rPr>
        <w:t>The Royal Bank of Sc</w:t>
      </w:r>
      <w:r w:rsidR="001F0F37">
        <w:rPr>
          <w:rFonts w:eastAsia="Times New Roman" w:cs="Arial"/>
          <w:color w:val="333333"/>
          <w:sz w:val="17"/>
          <w:szCs w:val="17"/>
          <w:lang w:eastAsia="en-GB"/>
        </w:rPr>
        <w:t>otland International Limited</w:t>
      </w:r>
      <w:r w:rsidR="006640FA">
        <w:rPr>
          <w:rFonts w:eastAsia="Times New Roman" w:cs="Arial"/>
          <w:color w:val="333333"/>
          <w:sz w:val="17"/>
          <w:szCs w:val="17"/>
          <w:lang w:eastAsia="en-GB"/>
        </w:rPr>
        <w:t xml:space="preserve"> (</w:t>
      </w:r>
      <w:r w:rsidRPr="007A7DAF">
        <w:rPr>
          <w:rFonts w:eastAsia="Times New Roman" w:cs="Arial"/>
          <w:color w:val="333333"/>
          <w:sz w:val="17"/>
          <w:szCs w:val="17"/>
          <w:lang w:eastAsia="en-GB"/>
        </w:rPr>
        <w:t>RBSI</w:t>
      </w:r>
      <w:r w:rsidR="006640FA">
        <w:rPr>
          <w:rFonts w:eastAsia="Times New Roman" w:cs="Arial"/>
          <w:color w:val="333333"/>
          <w:sz w:val="17"/>
          <w:szCs w:val="17"/>
          <w:lang w:eastAsia="en-GB"/>
        </w:rPr>
        <w:t>)</w:t>
      </w:r>
      <w:r w:rsidRPr="007A7DAF">
        <w:rPr>
          <w:rFonts w:eastAsia="Times New Roman" w:cs="Arial"/>
          <w:color w:val="333333"/>
          <w:sz w:val="17"/>
          <w:szCs w:val="17"/>
          <w:lang w:eastAsia="en-GB"/>
        </w:rPr>
        <w:t xml:space="preserve"> and </w:t>
      </w:r>
      <w:r w:rsidR="00AB023C" w:rsidRPr="007A7DAF">
        <w:rPr>
          <w:rFonts w:eastAsia="Times New Roman" w:cs="Arial"/>
          <w:color w:val="333333"/>
          <w:sz w:val="17"/>
          <w:szCs w:val="17"/>
          <w:lang w:eastAsia="en-GB"/>
        </w:rPr>
        <w:t>Ulster Bank Ireland</w:t>
      </w:r>
      <w:r w:rsidRPr="007A7DAF">
        <w:rPr>
          <w:rFonts w:eastAsia="Times New Roman" w:cs="Arial"/>
          <w:color w:val="333333"/>
          <w:sz w:val="17"/>
          <w:szCs w:val="17"/>
          <w:lang w:eastAsia="en-GB"/>
        </w:rPr>
        <w:t xml:space="preserve"> DAC </w:t>
      </w:r>
      <w:r w:rsidR="006640FA">
        <w:rPr>
          <w:rFonts w:eastAsia="Times New Roman" w:cs="Arial"/>
          <w:color w:val="333333"/>
          <w:sz w:val="17"/>
          <w:szCs w:val="17"/>
          <w:lang w:eastAsia="en-GB"/>
        </w:rPr>
        <w:t xml:space="preserve">(UBIDAC) </w:t>
      </w:r>
      <w:r w:rsidRPr="007A7DAF">
        <w:rPr>
          <w:rFonts w:eastAsia="Times New Roman" w:cs="Arial"/>
          <w:color w:val="333333"/>
          <w:sz w:val="17"/>
          <w:szCs w:val="17"/>
          <w:lang w:eastAsia="en-GB"/>
        </w:rPr>
        <w:t>to BBB+ (from BBB)</w:t>
      </w:r>
      <w:r w:rsidR="008F344F">
        <w:rPr>
          <w:rFonts w:eastAsia="Times New Roman" w:cs="Arial"/>
          <w:color w:val="333333"/>
          <w:sz w:val="17"/>
          <w:szCs w:val="17"/>
          <w:lang w:eastAsia="en-GB"/>
        </w:rPr>
        <w:t>, which S&amp;P consider</w:t>
      </w:r>
      <w:r w:rsidR="00B91FA4">
        <w:rPr>
          <w:rFonts w:eastAsia="Times New Roman" w:cs="Arial"/>
          <w:color w:val="333333"/>
          <w:sz w:val="17"/>
          <w:szCs w:val="17"/>
          <w:lang w:eastAsia="en-GB"/>
        </w:rPr>
        <w:t xml:space="preserve"> to be</w:t>
      </w:r>
      <w:r w:rsidR="008F344F">
        <w:rPr>
          <w:rFonts w:eastAsia="Times New Roman" w:cs="Arial"/>
          <w:color w:val="333333"/>
          <w:sz w:val="17"/>
          <w:szCs w:val="17"/>
          <w:lang w:eastAsia="en-GB"/>
        </w:rPr>
        <w:t xml:space="preserve"> </w:t>
      </w:r>
      <w:r w:rsidR="00456B92">
        <w:rPr>
          <w:rFonts w:eastAsia="Times New Roman" w:cs="Arial"/>
          <w:color w:val="333333"/>
          <w:sz w:val="17"/>
          <w:szCs w:val="17"/>
          <w:lang w:eastAsia="en-GB"/>
        </w:rPr>
        <w:t>“highly strategic”.</w:t>
      </w:r>
    </w:p>
    <w:p w:rsidR="007A7DAF" w:rsidRPr="007A7DAF" w:rsidRDefault="007A7DAF" w:rsidP="00AB023C">
      <w:pPr>
        <w:spacing w:before="100" w:beforeAutospacing="1" w:after="100" w:afterAutospacing="1"/>
        <w:ind w:left="567" w:hanging="567"/>
        <w:rPr>
          <w:rFonts w:eastAsia="Times New Roman" w:cs="Arial"/>
          <w:color w:val="333333"/>
          <w:sz w:val="17"/>
          <w:szCs w:val="17"/>
          <w:lang w:eastAsia="en-GB"/>
        </w:rPr>
      </w:pPr>
      <w:r>
        <w:rPr>
          <w:rFonts w:eastAsia="Times New Roman" w:cs="Arial"/>
          <w:color w:val="333333"/>
          <w:sz w:val="17"/>
          <w:szCs w:val="17"/>
          <w:lang w:eastAsia="en-GB"/>
        </w:rPr>
        <w:t>-</w:t>
      </w:r>
      <w:r>
        <w:rPr>
          <w:rFonts w:eastAsia="Times New Roman" w:cs="Arial"/>
          <w:color w:val="333333"/>
          <w:sz w:val="17"/>
          <w:szCs w:val="17"/>
          <w:lang w:eastAsia="en-GB"/>
        </w:rPr>
        <w:tab/>
      </w:r>
      <w:r w:rsidRPr="007A7DAF">
        <w:rPr>
          <w:rFonts w:eastAsia="Times New Roman" w:cs="Arial"/>
          <w:color w:val="333333"/>
          <w:sz w:val="17"/>
          <w:szCs w:val="17"/>
          <w:lang w:eastAsia="en-GB"/>
        </w:rPr>
        <w:t xml:space="preserve">Affirm </w:t>
      </w:r>
      <w:r w:rsidR="00AB023C">
        <w:rPr>
          <w:rFonts w:eastAsia="Times New Roman" w:cs="Arial"/>
          <w:color w:val="333333"/>
          <w:sz w:val="17"/>
          <w:szCs w:val="17"/>
          <w:lang w:eastAsia="en-GB"/>
        </w:rPr>
        <w:t xml:space="preserve">the long-term ratings of </w:t>
      </w:r>
      <w:r w:rsidRPr="007A7DAF">
        <w:rPr>
          <w:rFonts w:eastAsia="Times New Roman" w:cs="Arial"/>
          <w:color w:val="333333"/>
          <w:sz w:val="17"/>
          <w:szCs w:val="17"/>
          <w:lang w:eastAsia="en-GB"/>
        </w:rPr>
        <w:t>The Royal Bank of Scotland Group plc</w:t>
      </w:r>
      <w:r w:rsidR="007C5F6B">
        <w:rPr>
          <w:rFonts w:eastAsia="Times New Roman" w:cs="Arial"/>
          <w:color w:val="333333"/>
          <w:sz w:val="17"/>
          <w:szCs w:val="17"/>
          <w:lang w:eastAsia="en-GB"/>
        </w:rPr>
        <w:t xml:space="preserve"> (RBSG)</w:t>
      </w:r>
      <w:r w:rsidRPr="007A7DAF">
        <w:rPr>
          <w:rFonts w:eastAsia="Times New Roman" w:cs="Arial"/>
          <w:color w:val="333333"/>
          <w:sz w:val="17"/>
          <w:szCs w:val="17"/>
          <w:lang w:eastAsia="en-GB"/>
        </w:rPr>
        <w:t xml:space="preserve">'s </w:t>
      </w:r>
      <w:r w:rsidR="003967AB">
        <w:rPr>
          <w:rFonts w:eastAsia="Times New Roman" w:cs="Arial"/>
          <w:color w:val="333333"/>
          <w:sz w:val="17"/>
          <w:szCs w:val="17"/>
          <w:lang w:eastAsia="en-GB"/>
        </w:rPr>
        <w:t>at</w:t>
      </w:r>
      <w:r w:rsidR="00AB023C">
        <w:rPr>
          <w:rFonts w:eastAsia="Times New Roman" w:cs="Arial"/>
          <w:color w:val="333333"/>
          <w:sz w:val="17"/>
          <w:szCs w:val="17"/>
          <w:lang w:eastAsia="en-GB"/>
        </w:rPr>
        <w:t xml:space="preserve"> BBB- </w:t>
      </w:r>
      <w:r>
        <w:rPr>
          <w:rFonts w:eastAsia="Times New Roman" w:cs="Arial"/>
          <w:color w:val="333333"/>
          <w:sz w:val="17"/>
          <w:szCs w:val="17"/>
          <w:lang w:eastAsia="en-GB"/>
        </w:rPr>
        <w:t xml:space="preserve">and </w:t>
      </w:r>
      <w:r w:rsidR="003967AB">
        <w:rPr>
          <w:rFonts w:eastAsia="Times New Roman" w:cs="Arial"/>
          <w:color w:val="333333"/>
          <w:sz w:val="17"/>
          <w:szCs w:val="17"/>
          <w:lang w:eastAsia="en-GB"/>
        </w:rPr>
        <w:t>NatWest Markets P</w:t>
      </w:r>
      <w:r>
        <w:rPr>
          <w:rFonts w:eastAsia="Times New Roman" w:cs="Arial"/>
          <w:color w:val="333333"/>
          <w:sz w:val="17"/>
          <w:szCs w:val="17"/>
          <w:lang w:eastAsia="en-GB"/>
        </w:rPr>
        <w:t>lc</w:t>
      </w:r>
      <w:r w:rsidR="00456B92">
        <w:rPr>
          <w:rFonts w:eastAsia="Times New Roman" w:cs="Arial"/>
          <w:color w:val="333333"/>
          <w:sz w:val="17"/>
          <w:szCs w:val="17"/>
          <w:lang w:eastAsia="en-GB"/>
        </w:rPr>
        <w:t>, NatWest Markets N.V. and NatWest Markets Securities Inc.</w:t>
      </w:r>
      <w:r>
        <w:rPr>
          <w:rFonts w:eastAsia="Times New Roman" w:cs="Arial"/>
          <w:color w:val="333333"/>
          <w:sz w:val="17"/>
          <w:szCs w:val="17"/>
          <w:lang w:eastAsia="en-GB"/>
        </w:rPr>
        <w:t xml:space="preserve"> </w:t>
      </w:r>
      <w:r w:rsidRPr="007A7DAF">
        <w:rPr>
          <w:rFonts w:eastAsia="Times New Roman" w:cs="Arial"/>
          <w:color w:val="333333"/>
          <w:sz w:val="17"/>
          <w:szCs w:val="17"/>
          <w:lang w:eastAsia="en-GB"/>
        </w:rPr>
        <w:t xml:space="preserve">senior unsecured debt ratings at </w:t>
      </w:r>
      <w:r>
        <w:rPr>
          <w:rFonts w:eastAsia="Times New Roman" w:cs="Arial"/>
          <w:color w:val="333333"/>
          <w:sz w:val="17"/>
          <w:szCs w:val="17"/>
          <w:lang w:eastAsia="en-GB"/>
        </w:rPr>
        <w:t>BBB+</w:t>
      </w:r>
      <w:r w:rsidR="00456B92">
        <w:rPr>
          <w:rFonts w:eastAsia="Times New Roman" w:cs="Arial"/>
          <w:color w:val="333333"/>
          <w:sz w:val="17"/>
          <w:szCs w:val="17"/>
          <w:lang w:eastAsia="en-GB"/>
        </w:rPr>
        <w:t>, which S&amp;P views now as “highly strategic”</w:t>
      </w:r>
      <w:r w:rsidRPr="007A7DAF">
        <w:rPr>
          <w:rFonts w:eastAsia="Times New Roman" w:cs="Arial"/>
          <w:color w:val="333333"/>
          <w:sz w:val="17"/>
          <w:szCs w:val="17"/>
          <w:lang w:eastAsia="en-GB"/>
        </w:rPr>
        <w:t>.</w:t>
      </w:r>
    </w:p>
    <w:p w:rsidR="007A7DAF" w:rsidRPr="007A7DAF" w:rsidRDefault="007A7DAF" w:rsidP="006640FA">
      <w:pPr>
        <w:spacing w:before="100" w:beforeAutospacing="1" w:after="100" w:afterAutospacing="1"/>
        <w:ind w:left="567" w:hanging="567"/>
        <w:rPr>
          <w:rFonts w:eastAsia="Times New Roman" w:cs="Arial"/>
          <w:color w:val="333333"/>
          <w:sz w:val="17"/>
          <w:szCs w:val="17"/>
          <w:lang w:eastAsia="en-GB"/>
        </w:rPr>
      </w:pPr>
      <w:r>
        <w:rPr>
          <w:rFonts w:eastAsia="Times New Roman" w:cs="Arial"/>
          <w:color w:val="333333"/>
          <w:sz w:val="17"/>
          <w:szCs w:val="17"/>
          <w:lang w:eastAsia="en-GB"/>
        </w:rPr>
        <w:t>-</w:t>
      </w:r>
      <w:r>
        <w:rPr>
          <w:rFonts w:eastAsia="Times New Roman" w:cs="Arial"/>
          <w:color w:val="333333"/>
          <w:sz w:val="17"/>
          <w:szCs w:val="17"/>
          <w:lang w:eastAsia="en-GB"/>
        </w:rPr>
        <w:tab/>
        <w:t xml:space="preserve">Affirm all short term </w:t>
      </w:r>
      <w:r w:rsidR="00AB023C">
        <w:rPr>
          <w:rFonts w:eastAsia="Times New Roman" w:cs="Arial"/>
          <w:color w:val="333333"/>
          <w:sz w:val="17"/>
          <w:szCs w:val="17"/>
          <w:lang w:eastAsia="en-GB"/>
        </w:rPr>
        <w:t xml:space="preserve">operating entities </w:t>
      </w:r>
      <w:r>
        <w:rPr>
          <w:rFonts w:eastAsia="Times New Roman" w:cs="Arial"/>
          <w:color w:val="333333"/>
          <w:sz w:val="17"/>
          <w:szCs w:val="17"/>
          <w:lang w:eastAsia="en-GB"/>
        </w:rPr>
        <w:t>ratings assigned to group entities at A-2</w:t>
      </w:r>
      <w:r w:rsidR="00AB023C">
        <w:rPr>
          <w:rFonts w:eastAsia="Times New Roman" w:cs="Arial"/>
          <w:color w:val="333333"/>
          <w:sz w:val="17"/>
          <w:szCs w:val="17"/>
          <w:lang w:eastAsia="en-GB"/>
        </w:rPr>
        <w:t xml:space="preserve"> and The Royal Bank of Scotland Group plc’s short term rating at A-3</w:t>
      </w:r>
      <w:r w:rsidR="00AB2C85">
        <w:rPr>
          <w:rFonts w:eastAsia="Times New Roman" w:cs="Arial"/>
          <w:color w:val="333333"/>
          <w:sz w:val="17"/>
          <w:szCs w:val="17"/>
          <w:lang w:eastAsia="en-GB"/>
        </w:rPr>
        <w:t>.</w:t>
      </w:r>
      <w:r w:rsidR="00AB023C">
        <w:rPr>
          <w:rFonts w:eastAsia="Times New Roman" w:cs="Arial"/>
          <w:color w:val="333333"/>
          <w:sz w:val="17"/>
          <w:szCs w:val="17"/>
          <w:lang w:eastAsia="en-GB"/>
        </w:rPr>
        <w:t xml:space="preserve"> </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w:t>
      </w:r>
      <w:r w:rsidRPr="007A7DAF">
        <w:rPr>
          <w:rFonts w:eastAsia="Times New Roman" w:cs="Arial"/>
          <w:color w:val="333333"/>
          <w:sz w:val="17"/>
          <w:szCs w:val="17"/>
          <w:lang w:eastAsia="en-GB"/>
        </w:rPr>
        <w:tab/>
        <w:t>Assign RBSG and all group entities a Positive Outlook </w:t>
      </w:r>
    </w:p>
    <w:p w:rsidR="00717B25" w:rsidRPr="00284A23" w:rsidRDefault="008F344F" w:rsidP="00456B92">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The upgrade</w:t>
      </w:r>
      <w:r w:rsidR="00E23120">
        <w:rPr>
          <w:rFonts w:eastAsia="Times New Roman" w:cs="Arial"/>
          <w:color w:val="333333"/>
          <w:sz w:val="17"/>
          <w:szCs w:val="17"/>
          <w:lang w:eastAsia="en-GB"/>
        </w:rPr>
        <w:t xml:space="preserve"> </w:t>
      </w:r>
      <w:r w:rsidR="00806A39">
        <w:rPr>
          <w:rFonts w:eastAsia="Times New Roman" w:cs="Arial"/>
          <w:color w:val="333333"/>
          <w:sz w:val="17"/>
          <w:szCs w:val="17"/>
          <w:lang w:eastAsia="en-GB"/>
        </w:rPr>
        <w:t xml:space="preserve">reflects </w:t>
      </w:r>
      <w:r>
        <w:rPr>
          <w:rFonts w:eastAsia="Times New Roman" w:cs="Arial"/>
          <w:color w:val="333333"/>
          <w:sz w:val="17"/>
          <w:szCs w:val="17"/>
          <w:lang w:eastAsia="en-GB"/>
        </w:rPr>
        <w:t xml:space="preserve">S&amp;P’s </w:t>
      </w:r>
      <w:r w:rsidR="00806A39">
        <w:rPr>
          <w:rFonts w:eastAsia="Times New Roman" w:cs="Arial"/>
          <w:color w:val="333333"/>
          <w:sz w:val="17"/>
          <w:szCs w:val="17"/>
          <w:lang w:eastAsia="en-GB"/>
        </w:rPr>
        <w:t xml:space="preserve">view that </w:t>
      </w:r>
      <w:r>
        <w:rPr>
          <w:rFonts w:eastAsia="Times New Roman" w:cs="Arial"/>
          <w:color w:val="333333"/>
          <w:sz w:val="17"/>
          <w:szCs w:val="17"/>
          <w:lang w:eastAsia="en-GB"/>
        </w:rPr>
        <w:t>RBS group</w:t>
      </w:r>
      <w:r w:rsidR="00A12FB3">
        <w:rPr>
          <w:rFonts w:eastAsia="Times New Roman" w:cs="Arial"/>
          <w:color w:val="333333"/>
          <w:sz w:val="17"/>
          <w:szCs w:val="17"/>
          <w:lang w:eastAsia="en-GB"/>
        </w:rPr>
        <w:t>’s</w:t>
      </w:r>
      <w:r w:rsidR="00806A39">
        <w:rPr>
          <w:rFonts w:eastAsia="Times New Roman" w:cs="Arial"/>
          <w:color w:val="333333"/>
          <w:sz w:val="17"/>
          <w:szCs w:val="17"/>
          <w:lang w:eastAsia="en-GB"/>
        </w:rPr>
        <w:t xml:space="preserve"> shift to a </w:t>
      </w:r>
      <w:r w:rsidR="00806A39" w:rsidRPr="00284A23">
        <w:rPr>
          <w:rFonts w:eastAsia="Times New Roman" w:cs="Arial"/>
          <w:color w:val="333333"/>
          <w:sz w:val="17"/>
          <w:szCs w:val="17"/>
          <w:lang w:eastAsia="en-GB"/>
        </w:rPr>
        <w:t xml:space="preserve">simpler, more U.K.-centric retail and commercial banking operations, will yield more consistent statutory profit. The May 2018 </w:t>
      </w:r>
      <w:r w:rsidR="00F21D9A">
        <w:rPr>
          <w:rFonts w:eastAsia="Times New Roman" w:cs="Arial"/>
          <w:color w:val="333333"/>
          <w:sz w:val="17"/>
          <w:szCs w:val="17"/>
          <w:lang w:eastAsia="en-GB"/>
        </w:rPr>
        <w:t xml:space="preserve">agreement in principle </w:t>
      </w:r>
      <w:r w:rsidR="00806A39" w:rsidRPr="00284A23">
        <w:rPr>
          <w:rFonts w:eastAsia="Times New Roman" w:cs="Arial"/>
          <w:color w:val="333333"/>
          <w:sz w:val="17"/>
          <w:szCs w:val="17"/>
          <w:lang w:eastAsia="en-GB"/>
        </w:rPr>
        <w:t xml:space="preserve">with the U.S. </w:t>
      </w:r>
      <w:r w:rsidR="00F21D9A" w:rsidRPr="00284A23">
        <w:rPr>
          <w:rFonts w:eastAsia="Times New Roman" w:cs="Arial"/>
          <w:color w:val="333333"/>
          <w:sz w:val="17"/>
          <w:szCs w:val="17"/>
          <w:lang w:eastAsia="en-GB"/>
        </w:rPr>
        <w:t xml:space="preserve">Department </w:t>
      </w:r>
      <w:r w:rsidR="00F21D9A">
        <w:rPr>
          <w:rFonts w:eastAsia="Times New Roman" w:cs="Arial"/>
          <w:color w:val="333333"/>
          <w:sz w:val="17"/>
          <w:szCs w:val="17"/>
          <w:lang w:eastAsia="en-GB"/>
        </w:rPr>
        <w:t>o</w:t>
      </w:r>
      <w:r w:rsidR="00806A39" w:rsidRPr="00284A23">
        <w:rPr>
          <w:rFonts w:eastAsia="Times New Roman" w:cs="Arial"/>
          <w:color w:val="333333"/>
          <w:sz w:val="17"/>
          <w:szCs w:val="17"/>
          <w:lang w:eastAsia="en-GB"/>
        </w:rPr>
        <w:t xml:space="preserve">f Justice </w:t>
      </w:r>
      <w:r w:rsidR="00F21D9A">
        <w:rPr>
          <w:rFonts w:eastAsia="Times New Roman" w:cs="Arial"/>
          <w:color w:val="333333"/>
          <w:sz w:val="17"/>
          <w:szCs w:val="17"/>
          <w:lang w:eastAsia="en-GB"/>
        </w:rPr>
        <w:t>to settle legacy litigation related to RMBS “el</w:t>
      </w:r>
      <w:r w:rsidR="00806A39" w:rsidRPr="00284A23">
        <w:rPr>
          <w:rFonts w:eastAsia="Times New Roman" w:cs="Arial"/>
          <w:color w:val="333333"/>
          <w:sz w:val="17"/>
          <w:szCs w:val="17"/>
          <w:lang w:eastAsia="en-GB"/>
        </w:rPr>
        <w:t>iminates the largest litigation risk to RBS'</w:t>
      </w:r>
      <w:r w:rsidR="00A12FB3">
        <w:rPr>
          <w:rFonts w:eastAsia="Times New Roman" w:cs="Arial"/>
          <w:color w:val="333333"/>
          <w:sz w:val="17"/>
          <w:szCs w:val="17"/>
          <w:lang w:eastAsia="en-GB"/>
        </w:rPr>
        <w:t xml:space="preserve"> </w:t>
      </w:r>
      <w:r w:rsidR="00806A39" w:rsidRPr="00284A23">
        <w:rPr>
          <w:rFonts w:eastAsia="Times New Roman" w:cs="Arial"/>
          <w:color w:val="333333"/>
          <w:sz w:val="17"/>
          <w:szCs w:val="17"/>
          <w:lang w:eastAsia="en-GB"/>
        </w:rPr>
        <w:t>solvency</w:t>
      </w:r>
      <w:r w:rsidR="00F21D9A">
        <w:rPr>
          <w:rFonts w:eastAsia="Times New Roman" w:cs="Arial"/>
          <w:color w:val="333333"/>
          <w:sz w:val="17"/>
          <w:szCs w:val="17"/>
          <w:lang w:eastAsia="en-GB"/>
        </w:rPr>
        <w:t>”</w:t>
      </w:r>
      <w:r w:rsidR="00A12FB3">
        <w:rPr>
          <w:rFonts w:eastAsia="Times New Roman" w:cs="Arial"/>
          <w:color w:val="333333"/>
          <w:sz w:val="17"/>
          <w:szCs w:val="17"/>
          <w:lang w:eastAsia="en-GB"/>
        </w:rPr>
        <w:t>.</w:t>
      </w:r>
      <w:r w:rsidR="00F21D9A">
        <w:rPr>
          <w:rFonts w:eastAsia="Times New Roman" w:cs="Arial"/>
          <w:color w:val="333333"/>
          <w:sz w:val="17"/>
          <w:szCs w:val="17"/>
          <w:lang w:eastAsia="en-GB"/>
        </w:rPr>
        <w:t xml:space="preserve"> </w:t>
      </w:r>
      <w:r w:rsidR="00456B92" w:rsidRPr="00456B92">
        <w:rPr>
          <w:rFonts w:eastAsia="Times New Roman" w:cs="Arial"/>
          <w:color w:val="333333"/>
          <w:sz w:val="17"/>
          <w:szCs w:val="17"/>
          <w:lang w:eastAsia="en-GB"/>
        </w:rPr>
        <w:t>The positive outlook</w:t>
      </w:r>
      <w:r w:rsidR="00F21D9A">
        <w:rPr>
          <w:rFonts w:eastAsia="Times New Roman" w:cs="Arial"/>
          <w:color w:val="333333"/>
          <w:sz w:val="17"/>
          <w:szCs w:val="17"/>
          <w:lang w:eastAsia="en-GB"/>
        </w:rPr>
        <w:t xml:space="preserve"> on all group entities</w:t>
      </w:r>
      <w:r w:rsidR="00456B92" w:rsidRPr="00456B92">
        <w:rPr>
          <w:rFonts w:eastAsia="Times New Roman" w:cs="Arial"/>
          <w:color w:val="333333"/>
          <w:sz w:val="17"/>
          <w:szCs w:val="17"/>
          <w:lang w:eastAsia="en-GB"/>
        </w:rPr>
        <w:t xml:space="preserve"> indicate</w:t>
      </w:r>
      <w:r w:rsidR="00F21D9A">
        <w:rPr>
          <w:rFonts w:eastAsia="Times New Roman" w:cs="Arial"/>
          <w:color w:val="333333"/>
          <w:sz w:val="17"/>
          <w:szCs w:val="17"/>
          <w:lang w:eastAsia="en-GB"/>
        </w:rPr>
        <w:t>s</w:t>
      </w:r>
      <w:r w:rsidR="00456B92" w:rsidRPr="00456B92">
        <w:rPr>
          <w:rFonts w:eastAsia="Times New Roman" w:cs="Arial"/>
          <w:color w:val="333333"/>
          <w:sz w:val="17"/>
          <w:szCs w:val="17"/>
          <w:lang w:eastAsia="en-GB"/>
        </w:rPr>
        <w:t xml:space="preserve"> </w:t>
      </w:r>
      <w:r>
        <w:rPr>
          <w:rFonts w:eastAsia="Times New Roman" w:cs="Arial"/>
          <w:color w:val="333333"/>
          <w:sz w:val="17"/>
          <w:szCs w:val="17"/>
          <w:lang w:eastAsia="en-GB"/>
        </w:rPr>
        <w:t>“</w:t>
      </w:r>
      <w:r w:rsidR="00456B92" w:rsidRPr="00456B92">
        <w:rPr>
          <w:rFonts w:eastAsia="Times New Roman" w:cs="Arial"/>
          <w:color w:val="333333"/>
          <w:sz w:val="17"/>
          <w:szCs w:val="17"/>
          <w:lang w:eastAsia="en-GB"/>
        </w:rPr>
        <w:t>the potential for a further upgrade, since</w:t>
      </w:r>
      <w:r w:rsidR="00456B92">
        <w:rPr>
          <w:rFonts w:eastAsia="Times New Roman" w:cs="Arial"/>
          <w:color w:val="333333"/>
          <w:sz w:val="17"/>
          <w:szCs w:val="17"/>
          <w:lang w:eastAsia="en-GB"/>
        </w:rPr>
        <w:t xml:space="preserve"> </w:t>
      </w:r>
      <w:r w:rsidR="00B91FA4">
        <w:rPr>
          <w:rFonts w:eastAsia="Times New Roman" w:cs="Arial"/>
          <w:color w:val="333333"/>
          <w:sz w:val="17"/>
          <w:szCs w:val="17"/>
          <w:lang w:eastAsia="en-GB"/>
        </w:rPr>
        <w:t>[</w:t>
      </w:r>
      <w:r>
        <w:rPr>
          <w:rFonts w:eastAsia="Times New Roman" w:cs="Arial"/>
          <w:color w:val="333333"/>
          <w:sz w:val="17"/>
          <w:szCs w:val="17"/>
          <w:lang w:eastAsia="en-GB"/>
        </w:rPr>
        <w:t>S&amp;P</w:t>
      </w:r>
      <w:r w:rsidR="00B91FA4">
        <w:rPr>
          <w:rFonts w:eastAsia="Times New Roman" w:cs="Arial"/>
          <w:color w:val="333333"/>
          <w:sz w:val="17"/>
          <w:szCs w:val="17"/>
          <w:lang w:eastAsia="en-GB"/>
        </w:rPr>
        <w:t>]</w:t>
      </w:r>
      <w:r w:rsidR="00456B92" w:rsidRPr="00456B92">
        <w:rPr>
          <w:rFonts w:eastAsia="Times New Roman" w:cs="Arial"/>
          <w:color w:val="333333"/>
          <w:sz w:val="17"/>
          <w:szCs w:val="17"/>
          <w:lang w:eastAsia="en-GB"/>
        </w:rPr>
        <w:t xml:space="preserve"> believe</w:t>
      </w:r>
      <w:r>
        <w:rPr>
          <w:rFonts w:eastAsia="Times New Roman" w:cs="Arial"/>
          <w:color w:val="333333"/>
          <w:sz w:val="17"/>
          <w:szCs w:val="17"/>
          <w:lang w:eastAsia="en-GB"/>
        </w:rPr>
        <w:t>s</w:t>
      </w:r>
      <w:r w:rsidR="00456B92" w:rsidRPr="00456B92">
        <w:rPr>
          <w:rFonts w:eastAsia="Times New Roman" w:cs="Arial"/>
          <w:color w:val="333333"/>
          <w:sz w:val="17"/>
          <w:szCs w:val="17"/>
          <w:lang w:eastAsia="en-GB"/>
        </w:rPr>
        <w:t xml:space="preserve"> the bank's risk profile, notably asset quality, and risks to</w:t>
      </w:r>
      <w:r w:rsidR="00456B92">
        <w:rPr>
          <w:rFonts w:eastAsia="Times New Roman" w:cs="Arial"/>
          <w:color w:val="333333"/>
          <w:sz w:val="17"/>
          <w:szCs w:val="17"/>
          <w:lang w:eastAsia="en-GB"/>
        </w:rPr>
        <w:t xml:space="preserve"> </w:t>
      </w:r>
      <w:r w:rsidR="00456B92" w:rsidRPr="00456B92">
        <w:rPr>
          <w:rFonts w:eastAsia="Times New Roman" w:cs="Arial"/>
          <w:color w:val="333333"/>
          <w:sz w:val="17"/>
          <w:szCs w:val="17"/>
          <w:lang w:eastAsia="en-GB"/>
        </w:rPr>
        <w:t>its capitalization are gradually converging toward those of RBS' U.K.</w:t>
      </w:r>
      <w:r w:rsidR="00717B25">
        <w:rPr>
          <w:rFonts w:eastAsia="Times New Roman" w:cs="Arial"/>
          <w:color w:val="333333"/>
          <w:sz w:val="17"/>
          <w:szCs w:val="17"/>
          <w:lang w:eastAsia="en-GB"/>
        </w:rPr>
        <w:t xml:space="preserve"> </w:t>
      </w:r>
      <w:r w:rsidR="00456B92" w:rsidRPr="00284A23">
        <w:rPr>
          <w:rFonts w:eastAsia="Times New Roman" w:cs="Arial"/>
          <w:color w:val="333333"/>
          <w:sz w:val="17"/>
          <w:szCs w:val="17"/>
          <w:lang w:eastAsia="en-GB"/>
        </w:rPr>
        <w:t>peers.</w:t>
      </w:r>
      <w:r>
        <w:rPr>
          <w:rFonts w:eastAsia="Times New Roman" w:cs="Arial"/>
          <w:color w:val="333333"/>
          <w:sz w:val="17"/>
          <w:szCs w:val="17"/>
          <w:lang w:eastAsia="en-GB"/>
        </w:rPr>
        <w:t>”</w:t>
      </w:r>
    </w:p>
    <w:p w:rsidR="007A7DAF" w:rsidRPr="007A7DAF" w:rsidRDefault="007C5F6B" w:rsidP="00456B92">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S&amp;P’s s</w:t>
      </w:r>
      <w:r w:rsidR="007A7DAF" w:rsidRPr="007A7DAF">
        <w:rPr>
          <w:rFonts w:eastAsia="Times New Roman" w:cs="Arial"/>
          <w:color w:val="333333"/>
          <w:sz w:val="17"/>
          <w:szCs w:val="17"/>
          <w:lang w:eastAsia="en-GB"/>
        </w:rPr>
        <w:t>ummary credit ratings:</w:t>
      </w:r>
    </w:p>
    <w:tbl>
      <w:tblPr>
        <w:tblW w:w="0" w:type="auto"/>
        <w:tblCellSpacing w:w="0" w:type="dxa"/>
        <w:tblCellMar>
          <w:left w:w="0" w:type="dxa"/>
          <w:right w:w="0" w:type="dxa"/>
        </w:tblCellMar>
        <w:tblLook w:val="04A0" w:firstRow="1" w:lastRow="0" w:firstColumn="1" w:lastColumn="0" w:noHBand="0" w:noVBand="1"/>
      </w:tblPr>
      <w:tblGrid>
        <w:gridCol w:w="3955"/>
        <w:gridCol w:w="1432"/>
        <w:gridCol w:w="1276"/>
        <w:gridCol w:w="850"/>
        <w:gridCol w:w="1899"/>
      </w:tblGrid>
      <w:tr w:rsidR="003967AB" w:rsidRPr="007A7DAF" w:rsidTr="003967AB">
        <w:trPr>
          <w:tblCellSpacing w:w="0" w:type="dxa"/>
        </w:trPr>
        <w:tc>
          <w:tcPr>
            <w:tcW w:w="3955" w:type="dxa"/>
            <w:vAlign w:val="center"/>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Entity</w:t>
            </w:r>
          </w:p>
        </w:tc>
        <w:tc>
          <w:tcPr>
            <w:tcW w:w="1432" w:type="dxa"/>
            <w:vAlign w:val="center"/>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Long term rating</w:t>
            </w:r>
          </w:p>
        </w:tc>
        <w:tc>
          <w:tcPr>
            <w:tcW w:w="1276" w:type="dxa"/>
            <w:vAlign w:val="center"/>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Short term rating</w:t>
            </w:r>
          </w:p>
        </w:tc>
        <w:tc>
          <w:tcPr>
            <w:tcW w:w="850" w:type="dxa"/>
          </w:tcPr>
          <w:p w:rsidR="003967AB" w:rsidRPr="007A7DAF" w:rsidRDefault="003967AB"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Outlook</w:t>
            </w:r>
          </w:p>
        </w:tc>
        <w:tc>
          <w:tcPr>
            <w:tcW w:w="1899" w:type="dxa"/>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Status post-Ringfencing</w:t>
            </w:r>
          </w:p>
        </w:tc>
      </w:tr>
      <w:tr w:rsidR="003967AB" w:rsidRPr="007A7DAF" w:rsidTr="003967AB">
        <w:trPr>
          <w:tblCellSpacing w:w="0" w:type="dxa"/>
        </w:trPr>
        <w:tc>
          <w:tcPr>
            <w:tcW w:w="3955" w:type="dxa"/>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The Royal Bank of Scotland Group plc</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BBB-</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A-3</w:t>
            </w:r>
          </w:p>
        </w:tc>
        <w:tc>
          <w:tcPr>
            <w:tcW w:w="850" w:type="dxa"/>
          </w:tcPr>
          <w:p w:rsidR="003967AB"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Positive</w:t>
            </w:r>
          </w:p>
        </w:tc>
        <w:tc>
          <w:tcPr>
            <w:tcW w:w="1899"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Holding Company</w:t>
            </w:r>
          </w:p>
        </w:tc>
      </w:tr>
      <w:tr w:rsidR="003967AB" w:rsidRPr="007A7DAF" w:rsidTr="003967AB">
        <w:trPr>
          <w:tblCellSpacing w:w="0" w:type="dxa"/>
        </w:trPr>
        <w:tc>
          <w:tcPr>
            <w:tcW w:w="3955" w:type="dxa"/>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National Westminster Bank Plc</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Ring-fenced bank</w:t>
            </w:r>
          </w:p>
        </w:tc>
      </w:tr>
      <w:tr w:rsidR="003967AB" w:rsidRPr="007A7DAF" w:rsidTr="003967AB">
        <w:trPr>
          <w:tblCellSpacing w:w="0" w:type="dxa"/>
        </w:trPr>
        <w:tc>
          <w:tcPr>
            <w:tcW w:w="3955" w:type="dxa"/>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Ulster Bank Limited</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Ring-fenced bank</w:t>
            </w:r>
          </w:p>
        </w:tc>
      </w:tr>
      <w:tr w:rsidR="003967AB" w:rsidRPr="007A7DAF" w:rsidTr="003967AB">
        <w:trPr>
          <w:tblCellSpacing w:w="0" w:type="dxa"/>
        </w:trPr>
        <w:tc>
          <w:tcPr>
            <w:tcW w:w="3955" w:type="dxa"/>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The Royal Bank of Scotland plc</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Ring-fenced bank</w:t>
            </w:r>
          </w:p>
        </w:tc>
      </w:tr>
      <w:tr w:rsidR="003967AB" w:rsidRPr="007A7DAF" w:rsidTr="003967AB">
        <w:trPr>
          <w:tblCellSpacing w:w="0" w:type="dxa"/>
        </w:trPr>
        <w:tc>
          <w:tcPr>
            <w:tcW w:w="3955" w:type="dxa"/>
            <w:hideMark/>
          </w:tcPr>
          <w:p w:rsidR="007A7DAF" w:rsidRPr="007A7DAF" w:rsidRDefault="003967AB"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Ulster Bank Ireland DAC</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B</w:t>
            </w:r>
            <w:r>
              <w:rPr>
                <w:rFonts w:eastAsia="Times New Roman" w:cs="Arial"/>
                <w:color w:val="333333"/>
                <w:sz w:val="17"/>
                <w:szCs w:val="17"/>
                <w:lang w:eastAsia="en-GB"/>
              </w:rPr>
              <w:t>BB+</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w:t>
            </w:r>
            <w:r w:rsidRPr="007A7DAF">
              <w:rPr>
                <w:rFonts w:eastAsia="Times New Roman" w:cs="Arial"/>
                <w:color w:val="333333"/>
                <w:sz w:val="17"/>
                <w:szCs w:val="17"/>
                <w:lang w:eastAsia="en-GB"/>
              </w:rPr>
              <w:t>-2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Ring-fenced bank</w:t>
            </w:r>
          </w:p>
        </w:tc>
      </w:tr>
      <w:tr w:rsidR="003967AB" w:rsidRPr="007A7DAF" w:rsidTr="003967AB">
        <w:trPr>
          <w:tblCellSpacing w:w="0" w:type="dxa"/>
        </w:trPr>
        <w:tc>
          <w:tcPr>
            <w:tcW w:w="3955" w:type="dxa"/>
            <w:hideMark/>
          </w:tcPr>
          <w:p w:rsidR="007A7DAF" w:rsidRPr="007A7DAF" w:rsidRDefault="003967AB" w:rsidP="00AB023C">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NatWest Markets Plc</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BBB+</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w:t>
            </w:r>
            <w:r w:rsidRPr="007A7DAF">
              <w:rPr>
                <w:rFonts w:eastAsia="Times New Roman" w:cs="Arial"/>
                <w:color w:val="333333"/>
                <w:sz w:val="17"/>
                <w:szCs w:val="17"/>
                <w:lang w:eastAsia="en-GB"/>
              </w:rPr>
              <w:t>-2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Non Ring-fenced bank</w:t>
            </w:r>
          </w:p>
        </w:tc>
      </w:tr>
      <w:tr w:rsidR="003967AB" w:rsidRPr="007A7DAF" w:rsidTr="003967AB">
        <w:trPr>
          <w:tblCellSpacing w:w="0" w:type="dxa"/>
        </w:trPr>
        <w:tc>
          <w:tcPr>
            <w:tcW w:w="3955" w:type="dxa"/>
            <w:hideMark/>
          </w:tcPr>
          <w:p w:rsidR="007A7DAF" w:rsidRPr="007A7DAF" w:rsidRDefault="001F0F37"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NatWest Markets</w:t>
            </w:r>
            <w:r w:rsidR="003967AB" w:rsidRPr="007A7DAF">
              <w:rPr>
                <w:rFonts w:eastAsia="Times New Roman" w:cs="Arial"/>
                <w:color w:val="333333"/>
                <w:sz w:val="17"/>
                <w:szCs w:val="17"/>
                <w:lang w:eastAsia="en-GB"/>
              </w:rPr>
              <w:t xml:space="preserve"> N.V.</w:t>
            </w:r>
          </w:p>
        </w:tc>
        <w:tc>
          <w:tcPr>
            <w:tcW w:w="1432"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sidRPr="007A7DAF">
              <w:rPr>
                <w:rFonts w:eastAsia="Times New Roman" w:cs="Arial"/>
                <w:color w:val="333333"/>
                <w:sz w:val="17"/>
                <w:szCs w:val="17"/>
                <w:lang w:eastAsia="en-GB"/>
              </w:rPr>
              <w:t>B</w:t>
            </w:r>
            <w:r>
              <w:rPr>
                <w:rFonts w:eastAsia="Times New Roman" w:cs="Arial"/>
                <w:color w:val="333333"/>
                <w:sz w:val="17"/>
                <w:szCs w:val="17"/>
                <w:lang w:eastAsia="en-GB"/>
              </w:rPr>
              <w:t>BB+</w:t>
            </w:r>
          </w:p>
        </w:tc>
        <w:tc>
          <w:tcPr>
            <w:tcW w:w="1276" w:type="dxa"/>
            <w:hideMark/>
          </w:tcPr>
          <w:p w:rsidR="007A7DAF"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w:t>
            </w:r>
            <w:r w:rsidRPr="007A7DAF">
              <w:rPr>
                <w:rFonts w:eastAsia="Times New Roman" w:cs="Arial"/>
                <w:color w:val="333333"/>
                <w:sz w:val="17"/>
                <w:szCs w:val="17"/>
                <w:lang w:eastAsia="en-GB"/>
              </w:rPr>
              <w:t>-2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hideMark/>
          </w:tcPr>
          <w:p w:rsidR="007A7DAF" w:rsidRPr="00284A23" w:rsidRDefault="003967AB" w:rsidP="003967AB">
            <w:pPr>
              <w:spacing w:before="100" w:beforeAutospacing="1" w:after="100" w:afterAutospacing="1"/>
              <w:jc w:val="center"/>
              <w:rPr>
                <w:rFonts w:eastAsia="Times New Roman" w:cs="Arial"/>
                <w:color w:val="333333"/>
                <w:sz w:val="17"/>
                <w:szCs w:val="17"/>
                <w:lang w:eastAsia="en-GB"/>
              </w:rPr>
            </w:pPr>
            <w:r w:rsidRPr="00284A23">
              <w:rPr>
                <w:rFonts w:eastAsia="Times New Roman" w:cs="Arial"/>
                <w:color w:val="333333"/>
                <w:sz w:val="17"/>
                <w:szCs w:val="17"/>
                <w:lang w:eastAsia="en-GB"/>
              </w:rPr>
              <w:t>Outside the ring-fence</w:t>
            </w:r>
          </w:p>
        </w:tc>
      </w:tr>
      <w:tr w:rsidR="009062DB" w:rsidRPr="007A7DAF" w:rsidTr="003967AB">
        <w:trPr>
          <w:tblCellSpacing w:w="0" w:type="dxa"/>
        </w:trPr>
        <w:tc>
          <w:tcPr>
            <w:tcW w:w="3955" w:type="dxa"/>
          </w:tcPr>
          <w:p w:rsidR="009062DB" w:rsidRDefault="009062DB"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NatWest Markets Securities Inc.</w:t>
            </w:r>
          </w:p>
        </w:tc>
        <w:tc>
          <w:tcPr>
            <w:tcW w:w="1432" w:type="dxa"/>
          </w:tcPr>
          <w:p w:rsidR="009062DB" w:rsidRDefault="009062D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BBB+</w:t>
            </w:r>
          </w:p>
        </w:tc>
        <w:tc>
          <w:tcPr>
            <w:tcW w:w="1276" w:type="dxa"/>
          </w:tcPr>
          <w:p w:rsidR="009062DB" w:rsidRDefault="009062D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A.2</w:t>
            </w:r>
          </w:p>
        </w:tc>
        <w:tc>
          <w:tcPr>
            <w:tcW w:w="850" w:type="dxa"/>
          </w:tcPr>
          <w:p w:rsidR="009062DB" w:rsidRPr="009F3B40" w:rsidRDefault="009062DB" w:rsidP="003967AB">
            <w:pPr>
              <w:jc w:val="center"/>
              <w:rPr>
                <w:rFonts w:eastAsia="Times New Roman" w:cs="Arial"/>
                <w:color w:val="333333"/>
                <w:sz w:val="17"/>
                <w:szCs w:val="17"/>
                <w:lang w:eastAsia="en-GB"/>
              </w:rPr>
            </w:pPr>
            <w:r>
              <w:rPr>
                <w:rFonts w:eastAsia="Times New Roman" w:cs="Arial"/>
                <w:color w:val="333333"/>
                <w:sz w:val="17"/>
                <w:szCs w:val="17"/>
                <w:lang w:eastAsia="en-GB"/>
              </w:rPr>
              <w:t>Positive</w:t>
            </w:r>
          </w:p>
        </w:tc>
        <w:tc>
          <w:tcPr>
            <w:tcW w:w="1899" w:type="dxa"/>
          </w:tcPr>
          <w:p w:rsidR="009062DB" w:rsidRPr="00284A23" w:rsidRDefault="009062D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Ou</w:t>
            </w:r>
            <w:r w:rsidR="00A65247">
              <w:rPr>
                <w:rFonts w:eastAsia="Times New Roman" w:cs="Arial"/>
                <w:color w:val="333333"/>
                <w:sz w:val="17"/>
                <w:szCs w:val="17"/>
                <w:lang w:eastAsia="en-GB"/>
              </w:rPr>
              <w:t>t</w:t>
            </w:r>
            <w:r>
              <w:rPr>
                <w:rFonts w:eastAsia="Times New Roman" w:cs="Arial"/>
                <w:color w:val="333333"/>
                <w:sz w:val="17"/>
                <w:szCs w:val="17"/>
                <w:lang w:eastAsia="en-GB"/>
              </w:rPr>
              <w:t>side the ring</w:t>
            </w:r>
            <w:r w:rsidR="00A65247">
              <w:rPr>
                <w:rFonts w:eastAsia="Times New Roman" w:cs="Arial"/>
                <w:color w:val="333333"/>
                <w:sz w:val="17"/>
                <w:szCs w:val="17"/>
                <w:lang w:eastAsia="en-GB"/>
              </w:rPr>
              <w:t>-</w:t>
            </w:r>
            <w:r>
              <w:rPr>
                <w:rFonts w:eastAsia="Times New Roman" w:cs="Arial"/>
                <w:color w:val="333333"/>
                <w:sz w:val="17"/>
                <w:szCs w:val="17"/>
                <w:lang w:eastAsia="en-GB"/>
              </w:rPr>
              <w:t>fence</w:t>
            </w:r>
          </w:p>
        </w:tc>
      </w:tr>
      <w:tr w:rsidR="003967AB" w:rsidRPr="007A7DAF" w:rsidTr="003967AB">
        <w:trPr>
          <w:tblCellSpacing w:w="0" w:type="dxa"/>
        </w:trPr>
        <w:tc>
          <w:tcPr>
            <w:tcW w:w="3955" w:type="dxa"/>
          </w:tcPr>
          <w:p w:rsidR="003967AB" w:rsidRPr="007A7DAF" w:rsidRDefault="003967AB"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The Royal Bank of Scotland International Limited</w:t>
            </w:r>
          </w:p>
        </w:tc>
        <w:tc>
          <w:tcPr>
            <w:tcW w:w="1432" w:type="dxa"/>
          </w:tcPr>
          <w:p w:rsidR="003967AB" w:rsidRPr="007A7DAF"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BBB+</w:t>
            </w:r>
          </w:p>
        </w:tc>
        <w:tc>
          <w:tcPr>
            <w:tcW w:w="1276" w:type="dxa"/>
          </w:tcPr>
          <w:p w:rsidR="003967AB" w:rsidRDefault="003967AB" w:rsidP="003967AB">
            <w:pPr>
              <w:spacing w:before="100" w:beforeAutospacing="1" w:after="100" w:afterAutospacing="1"/>
              <w:jc w:val="center"/>
              <w:rPr>
                <w:rFonts w:eastAsia="Times New Roman" w:cs="Arial"/>
                <w:color w:val="333333"/>
                <w:sz w:val="17"/>
                <w:szCs w:val="17"/>
                <w:lang w:eastAsia="en-GB"/>
              </w:rPr>
            </w:pPr>
            <w:r>
              <w:rPr>
                <w:rFonts w:eastAsia="Times New Roman" w:cs="Arial"/>
                <w:color w:val="333333"/>
                <w:sz w:val="17"/>
                <w:szCs w:val="17"/>
                <w:lang w:eastAsia="en-GB"/>
              </w:rPr>
              <w:t>A-2</w:t>
            </w:r>
          </w:p>
        </w:tc>
        <w:tc>
          <w:tcPr>
            <w:tcW w:w="850" w:type="dxa"/>
          </w:tcPr>
          <w:p w:rsidR="003967AB" w:rsidRDefault="003967AB" w:rsidP="003967AB">
            <w:pPr>
              <w:jc w:val="center"/>
            </w:pPr>
            <w:r w:rsidRPr="009F3B40">
              <w:rPr>
                <w:rFonts w:eastAsia="Times New Roman" w:cs="Arial"/>
                <w:color w:val="333333"/>
                <w:sz w:val="17"/>
                <w:szCs w:val="17"/>
                <w:lang w:eastAsia="en-GB"/>
              </w:rPr>
              <w:t>Positive</w:t>
            </w:r>
          </w:p>
        </w:tc>
        <w:tc>
          <w:tcPr>
            <w:tcW w:w="1899" w:type="dxa"/>
          </w:tcPr>
          <w:p w:rsidR="003967AB" w:rsidRPr="00284A23" w:rsidRDefault="003967AB" w:rsidP="003967AB">
            <w:pPr>
              <w:spacing w:before="100" w:beforeAutospacing="1" w:after="100" w:afterAutospacing="1"/>
              <w:jc w:val="center"/>
              <w:rPr>
                <w:rFonts w:eastAsia="Times New Roman" w:cs="Arial"/>
                <w:color w:val="333333"/>
                <w:sz w:val="17"/>
                <w:szCs w:val="17"/>
                <w:lang w:eastAsia="en-GB"/>
              </w:rPr>
            </w:pPr>
            <w:r w:rsidRPr="00284A23">
              <w:rPr>
                <w:rFonts w:eastAsia="Times New Roman" w:cs="Arial"/>
                <w:color w:val="333333"/>
                <w:sz w:val="17"/>
                <w:szCs w:val="17"/>
                <w:lang w:eastAsia="en-GB"/>
              </w:rPr>
              <w:t>Outside the ring-fence</w:t>
            </w:r>
          </w:p>
        </w:tc>
      </w:tr>
    </w:tbl>
    <w:p w:rsidR="007A7DAF" w:rsidRPr="007A7DAF" w:rsidRDefault="003967AB" w:rsidP="007A7DAF">
      <w:pPr>
        <w:spacing w:before="100" w:beforeAutospacing="1" w:after="100" w:afterAutospacing="1"/>
        <w:rPr>
          <w:rFonts w:eastAsia="Times New Roman" w:cs="Arial"/>
          <w:color w:val="333333"/>
          <w:sz w:val="17"/>
          <w:szCs w:val="17"/>
          <w:lang w:eastAsia="en-GB"/>
        </w:rPr>
      </w:pPr>
      <w:r>
        <w:rPr>
          <w:rFonts w:eastAsia="Times New Roman" w:cs="Arial"/>
          <w:color w:val="333333"/>
          <w:sz w:val="17"/>
          <w:szCs w:val="17"/>
          <w:lang w:eastAsia="en-GB"/>
        </w:rPr>
        <w:t>For further information please c</w:t>
      </w:r>
      <w:r w:rsidR="007A7DAF" w:rsidRPr="007A7DAF">
        <w:rPr>
          <w:rFonts w:eastAsia="Times New Roman" w:cs="Arial"/>
          <w:color w:val="333333"/>
          <w:sz w:val="17"/>
          <w:szCs w:val="17"/>
          <w:lang w:eastAsia="en-GB"/>
        </w:rPr>
        <w:t>ontact:</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Paul Pybus</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Head of Debt Investor Relations</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+44 (0) 20 7678 1153</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b/>
          <w:bCs/>
          <w:color w:val="333333"/>
          <w:sz w:val="17"/>
          <w:szCs w:val="17"/>
          <w:lang w:eastAsia="en-GB"/>
        </w:rPr>
        <w:t>RBS Media Relations</w:t>
      </w:r>
      <w:r w:rsidRPr="007A7DAF">
        <w:rPr>
          <w:rFonts w:eastAsia="Times New Roman" w:cs="Arial"/>
          <w:color w:val="333333"/>
          <w:sz w:val="17"/>
          <w:szCs w:val="17"/>
          <w:lang w:eastAsia="en-GB"/>
        </w:rPr>
        <w:t>:</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+44 (0) 13 1523 4205</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Forward-looking statements</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 xml:space="preserve">This announcement contains forward-looking statements within the meaning of the United States Private Securities Litigation Reform Act of 1995, including (but not limited to) those related to RBS and its subsidiaries' regulatory capital position and requirements, financial position, future pension funding and contribution requirements, ongoing litigation and regulatory investigations, profitability and financial performance (including financial performance targets), structural reform and the </w:t>
      </w:r>
      <w:r w:rsidRPr="007A7DAF">
        <w:rPr>
          <w:rFonts w:eastAsia="Times New Roman" w:cs="Arial"/>
          <w:color w:val="333333"/>
          <w:sz w:val="17"/>
          <w:szCs w:val="17"/>
          <w:lang w:eastAsia="en-GB"/>
        </w:rPr>
        <w:lastRenderedPageBreak/>
        <w:t>implementation of the UK ring-fencing regime, the implementation of RBS's restructuring and transformation programme, impairment losses and credit exposures under certain specified scenarios, increasing competition from new incumbents and disruptive technologies and RBS's exposure to political risks, operational risk, conduct risk, cyber and IT risk and credit rating risk. In addition, forward-looking statements may include, without limitation, the words 'expect', 'estimate', 'project', 'anticipate', 'commit', 'believe', 'should', 'intend', 'plan', 'could', 'probability', 'risk', 'Value-at-Risk (</w:t>
      </w:r>
      <w:proofErr w:type="spellStart"/>
      <w:r w:rsidRPr="007A7DAF">
        <w:rPr>
          <w:rFonts w:eastAsia="Times New Roman" w:cs="Arial"/>
          <w:color w:val="333333"/>
          <w:sz w:val="17"/>
          <w:szCs w:val="17"/>
          <w:lang w:eastAsia="en-GB"/>
        </w:rPr>
        <w:t>VaR</w:t>
      </w:r>
      <w:proofErr w:type="spellEnd"/>
      <w:r w:rsidRPr="007A7DAF">
        <w:rPr>
          <w:rFonts w:eastAsia="Times New Roman" w:cs="Arial"/>
          <w:color w:val="333333"/>
          <w:sz w:val="17"/>
          <w:szCs w:val="17"/>
          <w:lang w:eastAsia="en-GB"/>
        </w:rPr>
        <w:t>)', 'target', 'goal', 'objective', 'may', 'endeavour', 'outlook', 'optimistic', 'prospects' and similar expressions or variations on these expressions.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2017 Annual Report and Accounts (ARA) and other materials filed with, or furnished to, the US Securities and Exchange Commission.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tbl>
      <w:tblPr>
        <w:tblW w:w="0" w:type="auto"/>
        <w:tblCellSpacing w:w="0" w:type="dxa"/>
        <w:tblLayout w:type="fixed"/>
        <w:tblCellMar>
          <w:left w:w="0" w:type="dxa"/>
          <w:right w:w="0" w:type="dxa"/>
        </w:tblCellMar>
        <w:tblLook w:val="04A0" w:firstRow="1" w:lastRow="0" w:firstColumn="1" w:lastColumn="0" w:noHBand="0" w:noVBand="1"/>
      </w:tblPr>
      <w:tblGrid>
        <w:gridCol w:w="3686"/>
        <w:gridCol w:w="2551"/>
      </w:tblGrid>
      <w:tr w:rsidR="007A7DAF" w:rsidRPr="007A7DAF" w:rsidTr="008F4706">
        <w:trPr>
          <w:tblCellSpacing w:w="0" w:type="dxa"/>
        </w:trPr>
        <w:tc>
          <w:tcPr>
            <w:tcW w:w="3686" w:type="dxa"/>
            <w:hideMark/>
          </w:tcPr>
          <w:p w:rsidR="007A7DAF" w:rsidRPr="007A7DAF" w:rsidRDefault="007A7DAF" w:rsidP="007A7DAF">
            <w:pPr>
              <w:spacing w:before="100" w:beforeAutospacing="1" w:after="100" w:afterAutospacing="1"/>
              <w:rPr>
                <w:rFonts w:eastAsia="Times New Roman" w:cs="Arial"/>
                <w:color w:val="333333"/>
                <w:sz w:val="17"/>
                <w:szCs w:val="17"/>
                <w:lang w:eastAsia="en-GB"/>
              </w:rPr>
            </w:pPr>
          </w:p>
        </w:tc>
        <w:tc>
          <w:tcPr>
            <w:tcW w:w="2551" w:type="dxa"/>
            <w:hideMark/>
          </w:tcPr>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Legal Entity Identifier</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The Royal Bank of Scotland Group plc</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2138005O9XJIJN4JPN90</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National Westminster Bank Plc</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C3640F">
              <w:rPr>
                <w:rFonts w:eastAsia="Times New Roman" w:cs="Arial"/>
                <w:color w:val="333333"/>
                <w:sz w:val="17"/>
                <w:szCs w:val="17"/>
                <w:lang w:eastAsia="en-GB"/>
              </w:rPr>
              <w:t>213800IBT39XQ9C4CP71</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Ulster Bank Limited</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C3640F">
              <w:rPr>
                <w:rFonts w:eastAsia="Times New Roman" w:cs="Arial"/>
                <w:color w:val="333333"/>
                <w:sz w:val="17"/>
                <w:szCs w:val="17"/>
                <w:lang w:eastAsia="en-GB"/>
              </w:rPr>
              <w:t>213800BZ9V4RRA2IRN26</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The Royal Bank of Scotland plc</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C3640F">
              <w:rPr>
                <w:rFonts w:eastAsia="Times New Roman" w:cs="Arial"/>
                <w:color w:val="333333"/>
                <w:sz w:val="17"/>
                <w:szCs w:val="17"/>
                <w:lang w:eastAsia="en-GB"/>
              </w:rPr>
              <w:t>549300WHU4EIHRP28H10</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Ulster Bank Ireland DAC</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C3640F">
              <w:rPr>
                <w:rFonts w:eastAsia="Times New Roman" w:cs="Arial"/>
                <w:color w:val="333333"/>
                <w:sz w:val="17"/>
                <w:szCs w:val="17"/>
                <w:lang w:eastAsia="en-GB"/>
              </w:rPr>
              <w:t>635400KQIMALJ4XLAD78</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NatWest Markets Plc</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C3640F">
              <w:rPr>
                <w:rFonts w:eastAsia="Times New Roman" w:cs="Arial"/>
                <w:color w:val="333333"/>
                <w:sz w:val="17"/>
                <w:szCs w:val="17"/>
                <w:lang w:eastAsia="en-GB"/>
              </w:rPr>
              <w:t>RR3QWICWWIPCS8A4S074</w:t>
            </w:r>
          </w:p>
        </w:tc>
      </w:tr>
      <w:tr w:rsidR="00C3640F" w:rsidRPr="007A7DAF" w:rsidTr="008F4706">
        <w:trPr>
          <w:tblCellSpacing w:w="0" w:type="dxa"/>
        </w:trPr>
        <w:tc>
          <w:tcPr>
            <w:tcW w:w="3686" w:type="dxa"/>
            <w:hideMark/>
          </w:tcPr>
          <w:p w:rsidR="00C3640F" w:rsidRPr="00C3640F" w:rsidRDefault="00C3640F" w:rsidP="00BE55F6">
            <w:pPr>
              <w:rPr>
                <w:sz w:val="16"/>
              </w:rPr>
            </w:pPr>
            <w:r w:rsidRPr="00C3640F">
              <w:rPr>
                <w:sz w:val="16"/>
              </w:rPr>
              <w:t>NatWest Markets N.V.</w:t>
            </w:r>
          </w:p>
        </w:tc>
        <w:tc>
          <w:tcPr>
            <w:tcW w:w="2551" w:type="dxa"/>
            <w:hideMark/>
          </w:tcPr>
          <w:p w:rsidR="00C3640F" w:rsidRPr="007A7DAF" w:rsidRDefault="00C3640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X3CZP3CK64YBHON1LE12</w:t>
            </w:r>
          </w:p>
        </w:tc>
      </w:tr>
      <w:tr w:rsidR="009062DB" w:rsidRPr="004F756C" w:rsidTr="008F4706">
        <w:trPr>
          <w:tblCellSpacing w:w="0" w:type="dxa"/>
        </w:trPr>
        <w:tc>
          <w:tcPr>
            <w:tcW w:w="3686" w:type="dxa"/>
          </w:tcPr>
          <w:p w:rsidR="009062DB" w:rsidRPr="00C3640F" w:rsidRDefault="009062DB" w:rsidP="009062DB">
            <w:pPr>
              <w:rPr>
                <w:sz w:val="16"/>
              </w:rPr>
            </w:pPr>
            <w:r>
              <w:rPr>
                <w:sz w:val="16"/>
              </w:rPr>
              <w:t xml:space="preserve">NatWest Markets Securities Inc. </w:t>
            </w:r>
          </w:p>
        </w:tc>
        <w:tc>
          <w:tcPr>
            <w:tcW w:w="2551" w:type="dxa"/>
          </w:tcPr>
          <w:p w:rsidR="009062DB" w:rsidRPr="004F756C" w:rsidRDefault="009062DB" w:rsidP="007A7DAF">
            <w:pPr>
              <w:spacing w:before="100" w:beforeAutospacing="1" w:after="100" w:afterAutospacing="1"/>
              <w:rPr>
                <w:rFonts w:eastAsia="Times New Roman" w:cs="Arial"/>
                <w:color w:val="333333"/>
                <w:sz w:val="17"/>
                <w:szCs w:val="17"/>
                <w:lang w:eastAsia="en-GB"/>
              </w:rPr>
            </w:pPr>
            <w:r w:rsidRPr="009062DB">
              <w:rPr>
                <w:rFonts w:eastAsia="Times New Roman" w:cs="Arial"/>
                <w:color w:val="333333"/>
                <w:sz w:val="17"/>
                <w:szCs w:val="17"/>
                <w:lang w:eastAsia="en-GB"/>
              </w:rPr>
              <w:t>ZE2ZWJ5BTIQJ8M0C6K34</w:t>
            </w:r>
          </w:p>
        </w:tc>
      </w:tr>
      <w:tr w:rsidR="00C3640F" w:rsidRPr="004F756C" w:rsidTr="008F4706">
        <w:trPr>
          <w:tblCellSpacing w:w="0" w:type="dxa"/>
        </w:trPr>
        <w:tc>
          <w:tcPr>
            <w:tcW w:w="3686" w:type="dxa"/>
          </w:tcPr>
          <w:p w:rsidR="00C3640F" w:rsidRPr="00C3640F" w:rsidRDefault="00C3640F" w:rsidP="00BE55F6">
            <w:pPr>
              <w:rPr>
                <w:sz w:val="16"/>
              </w:rPr>
            </w:pPr>
            <w:r w:rsidRPr="00C3640F">
              <w:rPr>
                <w:sz w:val="16"/>
              </w:rPr>
              <w:t>The Royal Bank of Scotland International Limited</w:t>
            </w:r>
          </w:p>
        </w:tc>
        <w:tc>
          <w:tcPr>
            <w:tcW w:w="2551" w:type="dxa"/>
          </w:tcPr>
          <w:p w:rsidR="00C3640F" w:rsidRPr="007A7DAF" w:rsidRDefault="00182F11" w:rsidP="007A7DAF">
            <w:pPr>
              <w:spacing w:before="100" w:beforeAutospacing="1" w:after="100" w:afterAutospacing="1"/>
              <w:rPr>
                <w:rFonts w:eastAsia="Times New Roman" w:cs="Arial"/>
                <w:color w:val="333333"/>
                <w:sz w:val="17"/>
                <w:szCs w:val="17"/>
                <w:lang w:eastAsia="en-GB"/>
              </w:rPr>
            </w:pPr>
            <w:r w:rsidRPr="004F756C">
              <w:rPr>
                <w:rFonts w:eastAsia="Times New Roman" w:cs="Arial"/>
                <w:color w:val="333333"/>
                <w:sz w:val="17"/>
                <w:szCs w:val="17"/>
                <w:lang w:eastAsia="en-GB"/>
              </w:rPr>
              <w:t>21380078CCZSEEIIKA41</w:t>
            </w:r>
          </w:p>
        </w:tc>
      </w:tr>
    </w:tbl>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 </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 </w:t>
      </w:r>
    </w:p>
    <w:p w:rsidR="007A7DAF" w:rsidRPr="007A7DAF" w:rsidRDefault="007A7DAF" w:rsidP="007A7DAF">
      <w:pPr>
        <w:spacing w:before="100" w:beforeAutospacing="1" w:after="100" w:afterAutospacing="1"/>
        <w:rPr>
          <w:rFonts w:eastAsia="Times New Roman" w:cs="Arial"/>
          <w:color w:val="333333"/>
          <w:sz w:val="17"/>
          <w:szCs w:val="17"/>
          <w:lang w:eastAsia="en-GB"/>
        </w:rPr>
      </w:pPr>
      <w:r w:rsidRPr="007A7DAF">
        <w:rPr>
          <w:rFonts w:eastAsia="Times New Roman" w:cs="Arial"/>
          <w:color w:val="333333"/>
          <w:sz w:val="17"/>
          <w:szCs w:val="17"/>
          <w:lang w:eastAsia="en-GB"/>
        </w:rPr>
        <w:t> </w:t>
      </w:r>
    </w:p>
    <w:p w:rsidR="007A7DAF" w:rsidRPr="007A7DAF" w:rsidRDefault="007A7DAF" w:rsidP="007A7DAF">
      <w:pPr>
        <w:jc w:val="center"/>
        <w:rPr>
          <w:rFonts w:eastAsia="Times New Roman" w:cs="Arial"/>
          <w:color w:val="333333"/>
          <w:sz w:val="17"/>
          <w:szCs w:val="17"/>
          <w:lang w:eastAsia="en-GB"/>
        </w:rPr>
      </w:pPr>
      <w:r w:rsidRPr="007A7DAF">
        <w:rPr>
          <w:rFonts w:eastAsia="Times New Roman" w:cs="Arial"/>
          <w:color w:val="333333"/>
          <w:sz w:val="17"/>
          <w:szCs w:val="17"/>
          <w:lang w:eastAsia="en-GB"/>
        </w:rPr>
        <w:br/>
        <w:t>This information is provided by RNS</w:t>
      </w:r>
    </w:p>
    <w:p w:rsidR="007A7DAF" w:rsidRPr="007A7DAF" w:rsidRDefault="007A7DAF" w:rsidP="007A7DAF">
      <w:pPr>
        <w:jc w:val="center"/>
        <w:rPr>
          <w:rFonts w:eastAsia="Times New Roman" w:cs="Arial"/>
          <w:color w:val="333333"/>
          <w:sz w:val="17"/>
          <w:szCs w:val="17"/>
          <w:lang w:eastAsia="en-GB"/>
        </w:rPr>
      </w:pPr>
      <w:r w:rsidRPr="007A7DAF">
        <w:rPr>
          <w:rFonts w:eastAsia="Times New Roman" w:cs="Arial"/>
          <w:color w:val="333333"/>
          <w:sz w:val="17"/>
          <w:szCs w:val="17"/>
          <w:lang w:eastAsia="en-GB"/>
        </w:rPr>
        <w:t>The company news service from the London Stock Exchange</w:t>
      </w:r>
    </w:p>
    <w:p w:rsidR="007A7DAF" w:rsidRPr="007A7DAF" w:rsidRDefault="007A7DAF" w:rsidP="007A7DAF">
      <w:pPr>
        <w:rPr>
          <w:rFonts w:eastAsia="Times New Roman" w:cs="Arial"/>
          <w:color w:val="333333"/>
          <w:sz w:val="17"/>
          <w:szCs w:val="17"/>
          <w:lang w:eastAsia="en-GB"/>
        </w:rPr>
      </w:pPr>
      <w:r w:rsidRPr="007A7DAF">
        <w:rPr>
          <w:rFonts w:eastAsia="Times New Roman" w:cs="Arial"/>
          <w:color w:val="333333"/>
          <w:sz w:val="17"/>
          <w:szCs w:val="17"/>
          <w:lang w:eastAsia="en-GB"/>
        </w:rPr>
        <w:t> </w:t>
      </w:r>
    </w:p>
    <w:p w:rsidR="007A7DAF" w:rsidRPr="007A7DAF" w:rsidRDefault="007A7DAF" w:rsidP="007A7DAF">
      <w:pPr>
        <w:rPr>
          <w:rFonts w:eastAsia="Times New Roman" w:cs="Arial"/>
          <w:color w:val="333333"/>
          <w:sz w:val="17"/>
          <w:szCs w:val="17"/>
          <w:lang w:eastAsia="en-GB"/>
        </w:rPr>
      </w:pPr>
      <w:r w:rsidRPr="007A7DAF">
        <w:rPr>
          <w:rFonts w:eastAsia="Times New Roman" w:cs="Arial"/>
          <w:color w:val="333333"/>
          <w:sz w:val="17"/>
          <w:szCs w:val="17"/>
          <w:lang w:eastAsia="en-GB"/>
        </w:rPr>
        <w:t>END</w:t>
      </w:r>
    </w:p>
    <w:p w:rsidR="007A7DAF" w:rsidRPr="007A7DAF" w:rsidRDefault="007A7DAF" w:rsidP="007A7DAF">
      <w:pPr>
        <w:rPr>
          <w:rFonts w:eastAsia="Times New Roman" w:cs="Arial"/>
          <w:color w:val="333333"/>
          <w:sz w:val="17"/>
          <w:szCs w:val="17"/>
          <w:lang w:eastAsia="en-GB"/>
        </w:rPr>
      </w:pPr>
      <w:r w:rsidRPr="007A7DAF">
        <w:rPr>
          <w:rFonts w:eastAsia="Times New Roman" w:cs="Arial"/>
          <w:color w:val="333333"/>
          <w:sz w:val="17"/>
          <w:szCs w:val="17"/>
          <w:lang w:eastAsia="en-GB"/>
        </w:rPr>
        <w:t> </w:t>
      </w:r>
    </w:p>
    <w:p w:rsidR="00FD5978" w:rsidRPr="007A7DAF" w:rsidRDefault="00FD5978" w:rsidP="007A7DAF">
      <w:pPr>
        <w:autoSpaceDE w:val="0"/>
        <w:autoSpaceDN w:val="0"/>
        <w:adjustRightInd w:val="0"/>
        <w:rPr>
          <w:sz w:val="24"/>
          <w:szCs w:val="24"/>
        </w:rPr>
      </w:pPr>
    </w:p>
    <w:sectPr w:rsidR="00FD5978" w:rsidRPr="007A7DAF"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0C" w:rsidRDefault="00D6670C" w:rsidP="00AA4E94">
      <w:r>
        <w:separator/>
      </w:r>
    </w:p>
  </w:endnote>
  <w:endnote w:type="continuationSeparator" w:id="0">
    <w:p w:rsidR="00D6670C" w:rsidRDefault="00D6670C"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0C" w:rsidRDefault="00D6670C" w:rsidP="00AA4E94">
      <w:r>
        <w:separator/>
      </w:r>
    </w:p>
  </w:footnote>
  <w:footnote w:type="continuationSeparator" w:id="0">
    <w:p w:rsidR="00D6670C" w:rsidRDefault="00D6670C"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AF"/>
    <w:rsid w:val="00050C51"/>
    <w:rsid w:val="00072D44"/>
    <w:rsid w:val="000B3E65"/>
    <w:rsid w:val="00116EE2"/>
    <w:rsid w:val="00182F11"/>
    <w:rsid w:val="001A76B3"/>
    <w:rsid w:val="001D1699"/>
    <w:rsid w:val="001D5067"/>
    <w:rsid w:val="001E2C17"/>
    <w:rsid w:val="001F0F37"/>
    <w:rsid w:val="001F2EC9"/>
    <w:rsid w:val="002502E0"/>
    <w:rsid w:val="00284A23"/>
    <w:rsid w:val="002A1F66"/>
    <w:rsid w:val="002C47C3"/>
    <w:rsid w:val="002E13A6"/>
    <w:rsid w:val="00304DEA"/>
    <w:rsid w:val="0038763E"/>
    <w:rsid w:val="003967AB"/>
    <w:rsid w:val="003A13B9"/>
    <w:rsid w:val="00456B92"/>
    <w:rsid w:val="004D6B73"/>
    <w:rsid w:val="004E76B4"/>
    <w:rsid w:val="004F756C"/>
    <w:rsid w:val="00544150"/>
    <w:rsid w:val="005E7FEC"/>
    <w:rsid w:val="006640FA"/>
    <w:rsid w:val="006A1170"/>
    <w:rsid w:val="006E252B"/>
    <w:rsid w:val="006E4102"/>
    <w:rsid w:val="006F37AD"/>
    <w:rsid w:val="00717B25"/>
    <w:rsid w:val="00752B89"/>
    <w:rsid w:val="0077118D"/>
    <w:rsid w:val="007A7DAF"/>
    <w:rsid w:val="007B11BD"/>
    <w:rsid w:val="007C5F6B"/>
    <w:rsid w:val="00804F60"/>
    <w:rsid w:val="00806A39"/>
    <w:rsid w:val="0081737E"/>
    <w:rsid w:val="00841E4D"/>
    <w:rsid w:val="00864E34"/>
    <w:rsid w:val="00884A01"/>
    <w:rsid w:val="00890423"/>
    <w:rsid w:val="008C5D27"/>
    <w:rsid w:val="008C6F22"/>
    <w:rsid w:val="008E27E7"/>
    <w:rsid w:val="008F344F"/>
    <w:rsid w:val="008F4706"/>
    <w:rsid w:val="009062DB"/>
    <w:rsid w:val="00924F09"/>
    <w:rsid w:val="009362ED"/>
    <w:rsid w:val="00951549"/>
    <w:rsid w:val="00953704"/>
    <w:rsid w:val="009850EC"/>
    <w:rsid w:val="009974C9"/>
    <w:rsid w:val="00A12FB3"/>
    <w:rsid w:val="00A26B45"/>
    <w:rsid w:val="00A65247"/>
    <w:rsid w:val="00A85E6E"/>
    <w:rsid w:val="00A8695B"/>
    <w:rsid w:val="00AA4E94"/>
    <w:rsid w:val="00AB023C"/>
    <w:rsid w:val="00AB2C85"/>
    <w:rsid w:val="00B12A05"/>
    <w:rsid w:val="00B55D29"/>
    <w:rsid w:val="00B72AAB"/>
    <w:rsid w:val="00B91FA4"/>
    <w:rsid w:val="00BA75B8"/>
    <w:rsid w:val="00BC7350"/>
    <w:rsid w:val="00BD2B7A"/>
    <w:rsid w:val="00BE261A"/>
    <w:rsid w:val="00BF4249"/>
    <w:rsid w:val="00C032E4"/>
    <w:rsid w:val="00C06EAA"/>
    <w:rsid w:val="00C3640F"/>
    <w:rsid w:val="00C37A69"/>
    <w:rsid w:val="00C41080"/>
    <w:rsid w:val="00C56376"/>
    <w:rsid w:val="00CB1D5D"/>
    <w:rsid w:val="00CB3C4E"/>
    <w:rsid w:val="00CC7B1A"/>
    <w:rsid w:val="00D6670C"/>
    <w:rsid w:val="00DE5894"/>
    <w:rsid w:val="00E15C7A"/>
    <w:rsid w:val="00E23120"/>
    <w:rsid w:val="00E66150"/>
    <w:rsid w:val="00E80952"/>
    <w:rsid w:val="00EB6573"/>
    <w:rsid w:val="00F00491"/>
    <w:rsid w:val="00F21D9A"/>
    <w:rsid w:val="00F53556"/>
    <w:rsid w:val="00F55EC4"/>
    <w:rsid w:val="00FB7CEC"/>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styleId="BalloonText">
    <w:name w:val="Balloon Text"/>
    <w:basedOn w:val="Normal"/>
    <w:link w:val="BalloonTextChar"/>
    <w:uiPriority w:val="99"/>
    <w:semiHidden/>
    <w:unhideWhenUsed/>
    <w:rsid w:val="00717B25"/>
    <w:rPr>
      <w:rFonts w:ascii="Tahoma" w:hAnsi="Tahoma" w:cs="Tahoma"/>
      <w:sz w:val="16"/>
      <w:szCs w:val="16"/>
    </w:rPr>
  </w:style>
  <w:style w:type="character" w:customStyle="1" w:styleId="BalloonTextChar">
    <w:name w:val="Balloon Text Char"/>
    <w:basedOn w:val="DefaultParagraphFont"/>
    <w:link w:val="BalloonText"/>
    <w:uiPriority w:val="99"/>
    <w:semiHidden/>
    <w:rsid w:val="00717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styleId="BalloonText">
    <w:name w:val="Balloon Text"/>
    <w:basedOn w:val="Normal"/>
    <w:link w:val="BalloonTextChar"/>
    <w:uiPriority w:val="99"/>
    <w:semiHidden/>
    <w:unhideWhenUsed/>
    <w:rsid w:val="00717B25"/>
    <w:rPr>
      <w:rFonts w:ascii="Tahoma" w:hAnsi="Tahoma" w:cs="Tahoma"/>
      <w:sz w:val="16"/>
      <w:szCs w:val="16"/>
    </w:rPr>
  </w:style>
  <w:style w:type="character" w:customStyle="1" w:styleId="BalloonTextChar">
    <w:name w:val="Balloon Text Char"/>
    <w:basedOn w:val="DefaultParagraphFont"/>
    <w:link w:val="BalloonText"/>
    <w:uiPriority w:val="99"/>
    <w:semiHidden/>
    <w:rsid w:val="00717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5002">
      <w:bodyDiv w:val="1"/>
      <w:marLeft w:val="0"/>
      <w:marRight w:val="0"/>
      <w:marTop w:val="0"/>
      <w:marBottom w:val="0"/>
      <w:divBdr>
        <w:top w:val="none" w:sz="0" w:space="0" w:color="auto"/>
        <w:left w:val="none" w:sz="0" w:space="0" w:color="auto"/>
        <w:bottom w:val="none" w:sz="0" w:space="0" w:color="auto"/>
        <w:right w:val="none" w:sz="0" w:space="0" w:color="auto"/>
      </w:divBdr>
      <w:divsChild>
        <w:div w:id="834423183">
          <w:marLeft w:val="0"/>
          <w:marRight w:val="0"/>
          <w:marTop w:val="0"/>
          <w:marBottom w:val="0"/>
          <w:divBdr>
            <w:top w:val="none" w:sz="0" w:space="0" w:color="auto"/>
            <w:left w:val="none" w:sz="0" w:space="0" w:color="auto"/>
            <w:bottom w:val="none" w:sz="0" w:space="0" w:color="auto"/>
            <w:right w:val="none" w:sz="0" w:space="0" w:color="auto"/>
          </w:divBdr>
          <w:divsChild>
            <w:div w:id="1752586104">
              <w:marLeft w:val="0"/>
              <w:marRight w:val="0"/>
              <w:marTop w:val="0"/>
              <w:marBottom w:val="150"/>
              <w:divBdr>
                <w:top w:val="none" w:sz="0" w:space="0" w:color="auto"/>
                <w:left w:val="none" w:sz="0" w:space="0" w:color="auto"/>
                <w:bottom w:val="single" w:sz="6" w:space="0" w:color="CCCCCC"/>
                <w:right w:val="none" w:sz="0" w:space="0" w:color="auto"/>
              </w:divBdr>
              <w:divsChild>
                <w:div w:id="2143695231">
                  <w:marLeft w:val="0"/>
                  <w:marRight w:val="0"/>
                  <w:marTop w:val="0"/>
                  <w:marBottom w:val="0"/>
                  <w:divBdr>
                    <w:top w:val="none" w:sz="0" w:space="0" w:color="auto"/>
                    <w:left w:val="none" w:sz="0" w:space="0" w:color="auto"/>
                    <w:bottom w:val="none" w:sz="0" w:space="0" w:color="auto"/>
                    <w:right w:val="none" w:sz="0" w:space="0" w:color="auto"/>
                  </w:divBdr>
                  <w:divsChild>
                    <w:div w:id="3857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30980">
      <w:bodyDiv w:val="1"/>
      <w:marLeft w:val="0"/>
      <w:marRight w:val="0"/>
      <w:marTop w:val="0"/>
      <w:marBottom w:val="0"/>
      <w:divBdr>
        <w:top w:val="none" w:sz="0" w:space="0" w:color="auto"/>
        <w:left w:val="none" w:sz="0" w:space="0" w:color="auto"/>
        <w:bottom w:val="none" w:sz="0" w:space="0" w:color="auto"/>
        <w:right w:val="none" w:sz="0" w:space="0" w:color="auto"/>
      </w:divBdr>
      <w:divsChild>
        <w:div w:id="507793682">
          <w:marLeft w:val="0"/>
          <w:marRight w:val="0"/>
          <w:marTop w:val="0"/>
          <w:marBottom w:val="0"/>
          <w:divBdr>
            <w:top w:val="none" w:sz="0" w:space="0" w:color="auto"/>
            <w:left w:val="none" w:sz="0" w:space="0" w:color="auto"/>
            <w:bottom w:val="none" w:sz="0" w:space="0" w:color="auto"/>
            <w:right w:val="none" w:sz="0" w:space="0" w:color="auto"/>
          </w:divBdr>
          <w:divsChild>
            <w:div w:id="2134906095">
              <w:marLeft w:val="0"/>
              <w:marRight w:val="0"/>
              <w:marTop w:val="0"/>
              <w:marBottom w:val="150"/>
              <w:divBdr>
                <w:top w:val="none" w:sz="0" w:space="0" w:color="auto"/>
                <w:left w:val="none" w:sz="0" w:space="0" w:color="auto"/>
                <w:bottom w:val="single" w:sz="6" w:space="0" w:color="CCCCCC"/>
                <w:right w:val="none" w:sz="0" w:space="0" w:color="auto"/>
              </w:divBdr>
              <w:divsChild>
                <w:div w:id="1899434108">
                  <w:marLeft w:val="0"/>
                  <w:marRight w:val="0"/>
                  <w:marTop w:val="0"/>
                  <w:marBottom w:val="0"/>
                  <w:divBdr>
                    <w:top w:val="none" w:sz="0" w:space="0" w:color="auto"/>
                    <w:left w:val="none" w:sz="0" w:space="0" w:color="auto"/>
                    <w:bottom w:val="none" w:sz="0" w:space="0" w:color="auto"/>
                    <w:right w:val="none" w:sz="0" w:space="0" w:color="auto"/>
                  </w:divBdr>
                  <w:divsChild>
                    <w:div w:id="1048721928">
                      <w:marLeft w:val="0"/>
                      <w:marRight w:val="0"/>
                      <w:marTop w:val="0"/>
                      <w:marBottom w:val="0"/>
                      <w:divBdr>
                        <w:top w:val="none" w:sz="0" w:space="0" w:color="auto"/>
                        <w:left w:val="none" w:sz="0" w:space="0" w:color="auto"/>
                        <w:bottom w:val="none" w:sz="0" w:space="0" w:color="auto"/>
                        <w:right w:val="none" w:sz="0" w:space="0" w:color="auto"/>
                      </w:divBdr>
                    </w:div>
                    <w:div w:id="1376005343">
                      <w:marLeft w:val="0"/>
                      <w:marRight w:val="0"/>
                      <w:marTop w:val="0"/>
                      <w:marBottom w:val="0"/>
                      <w:divBdr>
                        <w:top w:val="none" w:sz="0" w:space="0" w:color="auto"/>
                        <w:left w:val="none" w:sz="0" w:space="0" w:color="auto"/>
                        <w:bottom w:val="none" w:sz="0" w:space="0" w:color="auto"/>
                        <w:right w:val="none" w:sz="0" w:space="0" w:color="auto"/>
                      </w:divBdr>
                    </w:div>
                    <w:div w:id="19272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9807-EED2-426D-98D6-B9DF64E0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Dispenza, Gabriella, RBS Treasury</dc:creator>
  <cp:lastModifiedBy>Abdullah, Sairah</cp:lastModifiedBy>
  <cp:revision>8</cp:revision>
  <cp:lastPrinted>2018-05-30T08:28:00Z</cp:lastPrinted>
  <dcterms:created xsi:type="dcterms:W3CDTF">2018-05-31T11:11:00Z</dcterms:created>
  <dcterms:modified xsi:type="dcterms:W3CDTF">2018-05-31T15:12:00Z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-1143357375</vt:i4>
  </property>
  <property fmtid="{D5CDD505-2E9C-101B-9397-08002B2CF9AE}" pid="3" name="_NewReviewCycle">
    <vt:lpwstr/>
  </property>
  <property fmtid="{D5CDD505-2E9C-101B-9397-08002B2CF9AE}" pid="4" name="_EmailSubject">
    <vt:lpwstr> EDC - Draft RNS Project Seine - Urgent Approval </vt:lpwstr>
  </property>
  <property fmtid="{D5CDD505-2E9C-101B-9397-08002B2CF9AE}" pid="5" name="_AuthorEmail">
    <vt:lpwstr>Gabriella.Dispenza@rbs.com</vt:lpwstr>
  </property>
  <property fmtid="{D5CDD505-2E9C-101B-9397-08002B2CF9AE}" pid="6" name="_AuthorEmailDisplayName">
    <vt:lpwstr>Dispenza, Gabriella, RBS Treasury</vt:lpwstr>
  </property>
  <property fmtid="{D5CDD505-2E9C-101B-9397-08002B2CF9AE}" pid="7" name="_PreviousAdHocReviewCycleID">
    <vt:i4>-2114180287</vt:i4>
  </property>
  <property fmtid="{D5CDD505-2E9C-101B-9397-08002B2CF9AE}" pid="8" name="_ReviewingToolsShownOnce">
    <vt:lpwstr/>
  </property>
</Properties>
</file>