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997" w:rsidRPr="00A96FFA" w:rsidRDefault="00DE276C" w:rsidP="006D5997">
      <w:pPr>
        <w:pStyle w:val="Heading1"/>
        <w:rPr>
          <w:rFonts w:ascii="Calibri" w:eastAsiaTheme="minorHAnsi" w:hAnsi="Calibri" w:cs="Calibri"/>
          <w:b w:val="0"/>
          <w:bCs w:val="0"/>
          <w:sz w:val="22"/>
          <w:szCs w:val="22"/>
        </w:rPr>
      </w:pPr>
      <w:r>
        <w:rPr>
          <w:rFonts w:ascii="Calibri" w:eastAsia="Times New Roman" w:hAnsi="Calibri" w:cs="Calibri"/>
          <w:sz w:val="22"/>
          <w:szCs w:val="22"/>
        </w:rPr>
        <w:t>17</w:t>
      </w:r>
      <w:r w:rsidR="00753562">
        <w:rPr>
          <w:rFonts w:ascii="Calibri" w:eastAsia="Times New Roman" w:hAnsi="Calibri" w:cs="Calibri"/>
          <w:sz w:val="22"/>
          <w:szCs w:val="22"/>
        </w:rPr>
        <w:t xml:space="preserve"> August </w:t>
      </w:r>
      <w:r w:rsidR="006D5997" w:rsidRPr="00A96FFA">
        <w:rPr>
          <w:rFonts w:ascii="Calibri" w:eastAsia="Times New Roman" w:hAnsi="Calibri" w:cs="Calibri"/>
          <w:sz w:val="22"/>
          <w:szCs w:val="22"/>
        </w:rPr>
        <w:t>2018</w:t>
      </w:r>
    </w:p>
    <w:p w:rsidR="006D5997" w:rsidRPr="00A96FFA" w:rsidRDefault="006D5997" w:rsidP="006D5997">
      <w:pPr>
        <w:jc w:val="both"/>
        <w:rPr>
          <w:rFonts w:cs="Calibri"/>
          <w:b/>
          <w:bCs/>
        </w:rPr>
      </w:pPr>
      <w:r w:rsidRPr="00A96FFA">
        <w:rPr>
          <w:rFonts w:cs="Calibri"/>
          <w:b/>
          <w:bCs/>
        </w:rPr>
        <w:t>The Royal Bank of Scotland Group plc</w:t>
      </w:r>
    </w:p>
    <w:p w:rsidR="006D5997" w:rsidRDefault="006D5997" w:rsidP="006D5997"/>
    <w:p w:rsidR="006D5997" w:rsidRPr="006D5997" w:rsidRDefault="006D5997" w:rsidP="006D5997">
      <w:pPr>
        <w:rPr>
          <w:b/>
          <w:i/>
        </w:rPr>
      </w:pPr>
      <w:r w:rsidRPr="006D5997">
        <w:rPr>
          <w:b/>
          <w:i/>
        </w:rPr>
        <w:t>Director</w:t>
      </w:r>
      <w:r w:rsidR="00654E1B">
        <w:rPr>
          <w:b/>
          <w:i/>
        </w:rPr>
        <w:t>ate</w:t>
      </w:r>
      <w:r w:rsidRPr="006D5997">
        <w:rPr>
          <w:b/>
          <w:i/>
        </w:rPr>
        <w:t xml:space="preserve"> Change</w:t>
      </w:r>
    </w:p>
    <w:p w:rsidR="006D5997" w:rsidRDefault="006D5997" w:rsidP="006D5997"/>
    <w:p w:rsidR="00455814" w:rsidRPr="00455814" w:rsidRDefault="00455814" w:rsidP="006D5997">
      <w:pPr>
        <w:rPr>
          <w:b/>
        </w:rPr>
      </w:pPr>
      <w:r w:rsidRPr="00455814">
        <w:rPr>
          <w:b/>
        </w:rPr>
        <w:t>Chief Financial Officer</w:t>
      </w:r>
    </w:p>
    <w:p w:rsidR="00455814" w:rsidRDefault="00455814" w:rsidP="006D5997"/>
    <w:p w:rsidR="00594830" w:rsidRDefault="003920D4" w:rsidP="005362FE">
      <w:pPr>
        <w:jc w:val="both"/>
      </w:pPr>
      <w:r>
        <w:t>O</w:t>
      </w:r>
      <w:r w:rsidR="00753562">
        <w:t xml:space="preserve">n 30 May 2018 </w:t>
      </w:r>
      <w:r>
        <w:t xml:space="preserve">RBS announced </w:t>
      </w:r>
      <w:r w:rsidR="00753562">
        <w:t>that Ewen Stevenson had</w:t>
      </w:r>
      <w:r w:rsidR="006D5997">
        <w:t xml:space="preserve"> resigned from his role as Chief Financial Officer</w:t>
      </w:r>
      <w:r>
        <w:t xml:space="preserve">. </w:t>
      </w:r>
      <w:r w:rsidR="002D1909">
        <w:t xml:space="preserve">RBS confirms that </w:t>
      </w:r>
      <w:r w:rsidR="00B3449C">
        <w:t xml:space="preserve">Mr Stevenson will step down from the Board and </w:t>
      </w:r>
      <w:r w:rsidR="00654E1B">
        <w:t>cease</w:t>
      </w:r>
      <w:r w:rsidR="00A0096A">
        <w:t xml:space="preserve"> to be Chief Financial Officer</w:t>
      </w:r>
      <w:r w:rsidR="000530E0">
        <w:t xml:space="preserve"> on 30 September 2018.  </w:t>
      </w:r>
    </w:p>
    <w:p w:rsidR="00860995" w:rsidRDefault="00860995" w:rsidP="005362FE">
      <w:pPr>
        <w:jc w:val="both"/>
      </w:pPr>
    </w:p>
    <w:p w:rsidR="002D1909" w:rsidRDefault="00347AAC" w:rsidP="005362FE">
      <w:pPr>
        <w:jc w:val="both"/>
      </w:pPr>
      <w:r>
        <w:t>T</w:t>
      </w:r>
      <w:r w:rsidR="00860995" w:rsidRPr="00860995">
        <w:t xml:space="preserve">he search for a successor </w:t>
      </w:r>
      <w:r w:rsidR="002D1909">
        <w:t>for</w:t>
      </w:r>
      <w:r>
        <w:t xml:space="preserve"> Mr Stevenson </w:t>
      </w:r>
      <w:r w:rsidR="002D1909">
        <w:t>i</w:t>
      </w:r>
      <w:r w:rsidR="00860995">
        <w:t>s underway</w:t>
      </w:r>
      <w:r>
        <w:t>, and a further announcement will be made in due course</w:t>
      </w:r>
      <w:r w:rsidR="002D1909">
        <w:t>.</w:t>
      </w:r>
      <w:r w:rsidR="000530E0" w:rsidRPr="000530E0">
        <w:t xml:space="preserve"> </w:t>
      </w:r>
      <w:r w:rsidR="000530E0">
        <w:t>Katie Murray</w:t>
      </w:r>
      <w:r w:rsidR="00A0096A">
        <w:t>, who is currently Deputy C</w:t>
      </w:r>
      <w:r w:rsidR="00761411">
        <w:t>hief Financial Officer,</w:t>
      </w:r>
      <w:r w:rsidR="000530E0">
        <w:t xml:space="preserve"> will be appointed Inte</w:t>
      </w:r>
      <w:r w:rsidR="00B3449C">
        <w:t xml:space="preserve">rim </w:t>
      </w:r>
      <w:r w:rsidR="00761411" w:rsidRPr="00761411">
        <w:t>Chief Financial Officer</w:t>
      </w:r>
      <w:r w:rsidR="00761411">
        <w:t xml:space="preserve"> </w:t>
      </w:r>
      <w:r w:rsidR="00A0096A">
        <w:t>o</w:t>
      </w:r>
      <w:r w:rsidR="00B3449C">
        <w:t xml:space="preserve">n </w:t>
      </w:r>
      <w:r w:rsidR="00A0096A">
        <w:t>1 October 2018.</w:t>
      </w:r>
    </w:p>
    <w:p w:rsidR="00594830" w:rsidRDefault="00594830" w:rsidP="005362FE">
      <w:pPr>
        <w:jc w:val="both"/>
      </w:pPr>
    </w:p>
    <w:p w:rsidR="00654E1B" w:rsidRPr="00654E1B" w:rsidRDefault="00654E1B" w:rsidP="005362FE">
      <w:pPr>
        <w:jc w:val="both"/>
        <w:rPr>
          <w:u w:val="single"/>
        </w:rPr>
      </w:pPr>
      <w:r w:rsidRPr="00654E1B">
        <w:rPr>
          <w:u w:val="single"/>
        </w:rPr>
        <w:t>Termination arrangements</w:t>
      </w:r>
    </w:p>
    <w:p w:rsidR="00654E1B" w:rsidRPr="00654E1B" w:rsidRDefault="00654E1B" w:rsidP="005362FE">
      <w:pPr>
        <w:jc w:val="both"/>
      </w:pPr>
      <w:r w:rsidRPr="00654E1B">
        <w:t>Mr Stevens</w:t>
      </w:r>
      <w:r w:rsidR="004D59FB">
        <w:t xml:space="preserve">on </w:t>
      </w:r>
      <w:r w:rsidR="00041500">
        <w:t xml:space="preserve">will remain on the </w:t>
      </w:r>
      <w:r w:rsidRPr="00654E1B">
        <w:t xml:space="preserve">Board </w:t>
      </w:r>
      <w:r w:rsidR="00041500">
        <w:t xml:space="preserve">until </w:t>
      </w:r>
      <w:r w:rsidRPr="00654E1B">
        <w:t>30 September 2018</w:t>
      </w:r>
      <w:r w:rsidR="00041500">
        <w:t xml:space="preserve"> to facilitate an orderly handover to Ms Murray,</w:t>
      </w:r>
      <w:r w:rsidRPr="00654E1B">
        <w:t xml:space="preserve"> and </w:t>
      </w:r>
      <w:r w:rsidR="00041500">
        <w:t xml:space="preserve">thereafter </w:t>
      </w:r>
      <w:r w:rsidRPr="00654E1B">
        <w:t xml:space="preserve">will be placed on gardening leave until </w:t>
      </w:r>
      <w:r w:rsidR="00041500" w:rsidRPr="00041500">
        <w:t xml:space="preserve">his employment </w:t>
      </w:r>
      <w:r w:rsidR="00041500">
        <w:t xml:space="preserve">with RBS </w:t>
      </w:r>
      <w:r w:rsidR="00041500" w:rsidRPr="00041500">
        <w:t xml:space="preserve">ceases </w:t>
      </w:r>
      <w:r w:rsidRPr="00654E1B">
        <w:t>on 30 November 2018. In line with his contractual arrangements and the circumstances of his departure, Mr Stevenson will not receive any compensation for loss of office. Mr Stevenson will continue to receive his salary, fixed share allowance, pension and benefit funding up to 30 November 2018.  No other remuneration payment will be made in connection with his departure. In accordance with the rules of RBS’s 2014 Employee Share Plan, Mr Stevenson’s outstanding long-term incentive awards will lapse on his final date of employment.</w:t>
      </w:r>
    </w:p>
    <w:p w:rsidR="00907600" w:rsidRPr="00654E1B" w:rsidRDefault="00907600" w:rsidP="00907600"/>
    <w:p w:rsidR="00455814" w:rsidRDefault="00455814" w:rsidP="006D5997"/>
    <w:p w:rsidR="006D5997" w:rsidRDefault="006D5997" w:rsidP="006D5997">
      <w:pPr>
        <w:rPr>
          <w:rFonts w:cs="Calibri"/>
        </w:rPr>
      </w:pPr>
      <w:r>
        <w:rPr>
          <w:rFonts w:cs="Calibri"/>
        </w:rPr>
        <w:t xml:space="preserve">For further information, please contact: </w:t>
      </w:r>
    </w:p>
    <w:p w:rsidR="006D5997" w:rsidRPr="0099671A" w:rsidRDefault="006D5997" w:rsidP="006D5997">
      <w:pPr>
        <w:rPr>
          <w:rFonts w:cs="Calibri"/>
        </w:rPr>
      </w:pPr>
    </w:p>
    <w:p w:rsidR="006D5997" w:rsidRPr="0099671A" w:rsidRDefault="006D5997" w:rsidP="006D5997">
      <w:pPr>
        <w:rPr>
          <w:rFonts w:cs="Calibri"/>
          <w:b/>
          <w:bCs/>
        </w:rPr>
      </w:pPr>
      <w:r w:rsidRPr="0099671A">
        <w:rPr>
          <w:rFonts w:cs="Calibri"/>
          <w:b/>
          <w:bCs/>
        </w:rPr>
        <w:t xml:space="preserve">Investor Relations </w:t>
      </w:r>
    </w:p>
    <w:p w:rsidR="006D5997" w:rsidRPr="0099671A" w:rsidRDefault="006D5997" w:rsidP="006D5997">
      <w:pPr>
        <w:rPr>
          <w:rFonts w:cs="Calibri"/>
        </w:rPr>
      </w:pPr>
      <w:r w:rsidRPr="0099671A">
        <w:rPr>
          <w:rFonts w:cs="Calibri"/>
        </w:rPr>
        <w:t>Matt Waymark</w:t>
      </w:r>
    </w:p>
    <w:p w:rsidR="006D5997" w:rsidRPr="0099671A" w:rsidRDefault="006D5997" w:rsidP="006D5997">
      <w:pPr>
        <w:rPr>
          <w:rFonts w:cs="Calibri"/>
        </w:rPr>
      </w:pPr>
      <w:r w:rsidRPr="0099671A">
        <w:rPr>
          <w:rFonts w:cs="Calibri"/>
        </w:rPr>
        <w:t>Head of Investor Relations</w:t>
      </w:r>
    </w:p>
    <w:p w:rsidR="006D5997" w:rsidRDefault="006D5997" w:rsidP="006D5997">
      <w:pPr>
        <w:rPr>
          <w:rFonts w:cs="Calibri"/>
        </w:rPr>
      </w:pPr>
      <w:r w:rsidRPr="0099671A">
        <w:rPr>
          <w:rFonts w:cs="Calibri"/>
        </w:rPr>
        <w:t xml:space="preserve">+44 (0) </w:t>
      </w:r>
      <w:r>
        <w:rPr>
          <w:rFonts w:cs="Calibri"/>
        </w:rPr>
        <w:t>207</w:t>
      </w:r>
      <w:r w:rsidRPr="0099671A">
        <w:rPr>
          <w:rFonts w:cs="Calibri"/>
        </w:rPr>
        <w:t xml:space="preserve"> </w:t>
      </w:r>
      <w:r>
        <w:rPr>
          <w:rFonts w:cs="Calibri"/>
        </w:rPr>
        <w:t>672 1758</w:t>
      </w:r>
    </w:p>
    <w:p w:rsidR="006D5997" w:rsidRPr="0099671A" w:rsidRDefault="006D5997" w:rsidP="006D5997">
      <w:pPr>
        <w:rPr>
          <w:rFonts w:cs="Calibri"/>
        </w:rPr>
      </w:pPr>
    </w:p>
    <w:p w:rsidR="006D5997" w:rsidRPr="0099671A" w:rsidRDefault="006D5997" w:rsidP="006D5997">
      <w:pPr>
        <w:rPr>
          <w:rFonts w:cs="Calibri"/>
          <w:b/>
          <w:bCs/>
        </w:rPr>
      </w:pPr>
      <w:r w:rsidRPr="0099671A">
        <w:rPr>
          <w:rFonts w:cs="Calibri"/>
          <w:b/>
          <w:bCs/>
        </w:rPr>
        <w:t>RBS Media Relations</w:t>
      </w:r>
    </w:p>
    <w:p w:rsidR="006D5997" w:rsidRPr="0099671A" w:rsidRDefault="006D5997" w:rsidP="006D5997">
      <w:pPr>
        <w:rPr>
          <w:rFonts w:cs="Calibri"/>
        </w:rPr>
      </w:pPr>
      <w:r w:rsidRPr="0099671A">
        <w:rPr>
          <w:rFonts w:cs="Calibri"/>
        </w:rPr>
        <w:t>+44 (0) 131 523 4205</w:t>
      </w:r>
    </w:p>
    <w:p w:rsidR="006D5997" w:rsidRPr="0099671A" w:rsidRDefault="006D5997" w:rsidP="006D5997">
      <w:pPr>
        <w:jc w:val="both"/>
        <w:rPr>
          <w:rFonts w:cs="Calibri"/>
          <w:b/>
          <w:bCs/>
        </w:rPr>
      </w:pPr>
    </w:p>
    <w:tbl>
      <w:tblPr>
        <w:tblW w:w="0" w:type="auto"/>
        <w:tblCellMar>
          <w:left w:w="0" w:type="dxa"/>
          <w:right w:w="0" w:type="dxa"/>
        </w:tblCellMar>
        <w:tblLook w:val="04A0" w:firstRow="1" w:lastRow="0" w:firstColumn="1" w:lastColumn="0" w:noHBand="0" w:noVBand="1"/>
      </w:tblPr>
      <w:tblGrid>
        <w:gridCol w:w="4831"/>
        <w:gridCol w:w="4411"/>
      </w:tblGrid>
      <w:tr w:rsidR="006D5997" w:rsidRPr="00FE5A06" w:rsidTr="007B3B92">
        <w:tc>
          <w:tcPr>
            <w:tcW w:w="4831" w:type="dxa"/>
            <w:tcMar>
              <w:top w:w="0" w:type="dxa"/>
              <w:left w:w="108" w:type="dxa"/>
              <w:bottom w:w="0" w:type="dxa"/>
              <w:right w:w="108" w:type="dxa"/>
            </w:tcMar>
          </w:tcPr>
          <w:p w:rsidR="006D5997" w:rsidRPr="0099671A" w:rsidRDefault="006D5997" w:rsidP="00725E84">
            <w:pPr>
              <w:rPr>
                <w:rFonts w:cs="Calibri"/>
                <w:color w:val="333333"/>
                <w:lang w:eastAsia="en-GB"/>
              </w:rPr>
            </w:pPr>
          </w:p>
        </w:tc>
        <w:tc>
          <w:tcPr>
            <w:tcW w:w="4411" w:type="dxa"/>
            <w:tcMar>
              <w:top w:w="0" w:type="dxa"/>
              <w:left w:w="108" w:type="dxa"/>
              <w:bottom w:w="0" w:type="dxa"/>
              <w:right w:w="108" w:type="dxa"/>
            </w:tcMar>
            <w:hideMark/>
          </w:tcPr>
          <w:p w:rsidR="006D5997" w:rsidRPr="0099671A" w:rsidRDefault="006D5997" w:rsidP="00725E84">
            <w:pPr>
              <w:rPr>
                <w:rFonts w:cs="Calibri"/>
                <w:color w:val="333333"/>
                <w:lang w:eastAsia="en-GB"/>
              </w:rPr>
            </w:pPr>
            <w:r w:rsidRPr="0099671A">
              <w:rPr>
                <w:rFonts w:cs="Calibri"/>
                <w:color w:val="333333"/>
                <w:lang w:eastAsia="en-GB"/>
              </w:rPr>
              <w:t>Legal Entity Identifier</w:t>
            </w:r>
          </w:p>
        </w:tc>
      </w:tr>
      <w:tr w:rsidR="006D5997" w:rsidRPr="00FE5A06" w:rsidTr="007B3B92">
        <w:tc>
          <w:tcPr>
            <w:tcW w:w="4831" w:type="dxa"/>
            <w:tcMar>
              <w:top w:w="0" w:type="dxa"/>
              <w:left w:w="108" w:type="dxa"/>
              <w:bottom w:w="0" w:type="dxa"/>
              <w:right w:w="108" w:type="dxa"/>
            </w:tcMar>
            <w:hideMark/>
          </w:tcPr>
          <w:p w:rsidR="006D5997" w:rsidRPr="0099671A" w:rsidRDefault="006D5997" w:rsidP="00725E84">
            <w:pPr>
              <w:rPr>
                <w:rFonts w:cs="Calibri"/>
                <w:color w:val="333333"/>
                <w:lang w:eastAsia="en-GB"/>
              </w:rPr>
            </w:pPr>
            <w:r w:rsidRPr="0099671A">
              <w:rPr>
                <w:rFonts w:cs="Calibri"/>
                <w:color w:val="333333"/>
                <w:lang w:eastAsia="en-GB"/>
              </w:rPr>
              <w:t xml:space="preserve">The Royal Bank of Scotland Group plc </w:t>
            </w:r>
          </w:p>
        </w:tc>
        <w:tc>
          <w:tcPr>
            <w:tcW w:w="4411" w:type="dxa"/>
            <w:tcMar>
              <w:top w:w="0" w:type="dxa"/>
              <w:left w:w="108" w:type="dxa"/>
              <w:bottom w:w="0" w:type="dxa"/>
              <w:right w:w="108" w:type="dxa"/>
            </w:tcMar>
            <w:hideMark/>
          </w:tcPr>
          <w:p w:rsidR="006D5997" w:rsidRPr="0099671A" w:rsidRDefault="006D5997" w:rsidP="00725E84">
            <w:pPr>
              <w:rPr>
                <w:rFonts w:cs="Calibri"/>
                <w:color w:val="333333"/>
                <w:lang w:eastAsia="en-GB"/>
              </w:rPr>
            </w:pPr>
            <w:r w:rsidRPr="0099671A">
              <w:rPr>
                <w:rFonts w:cs="Calibri"/>
                <w:color w:val="333333"/>
                <w:lang w:eastAsia="en-GB"/>
              </w:rPr>
              <w:t>2138005O9XJIJN4JPN90</w:t>
            </w:r>
          </w:p>
        </w:tc>
      </w:tr>
      <w:tr w:rsidR="006D5997" w:rsidRPr="00FE5A06" w:rsidTr="007B3B92">
        <w:tc>
          <w:tcPr>
            <w:tcW w:w="4831" w:type="dxa"/>
            <w:tcMar>
              <w:top w:w="0" w:type="dxa"/>
              <w:left w:w="108" w:type="dxa"/>
              <w:bottom w:w="0" w:type="dxa"/>
              <w:right w:w="108" w:type="dxa"/>
            </w:tcMar>
            <w:hideMark/>
          </w:tcPr>
          <w:p w:rsidR="006D5997" w:rsidRPr="0099671A" w:rsidRDefault="006D5997" w:rsidP="00725E84">
            <w:pPr>
              <w:rPr>
                <w:rFonts w:cs="Calibri"/>
                <w:color w:val="333333"/>
                <w:lang w:eastAsia="en-GB"/>
              </w:rPr>
            </w:pPr>
            <w:r w:rsidRPr="0099671A">
              <w:rPr>
                <w:rFonts w:cs="Calibri"/>
                <w:color w:val="333333"/>
                <w:lang w:eastAsia="en-GB"/>
              </w:rPr>
              <w:t xml:space="preserve">The Royal Bank of Scotland plc </w:t>
            </w:r>
          </w:p>
        </w:tc>
        <w:tc>
          <w:tcPr>
            <w:tcW w:w="4411" w:type="dxa"/>
            <w:tcMar>
              <w:top w:w="0" w:type="dxa"/>
              <w:left w:w="108" w:type="dxa"/>
              <w:bottom w:w="0" w:type="dxa"/>
              <w:right w:w="108" w:type="dxa"/>
            </w:tcMar>
            <w:hideMark/>
          </w:tcPr>
          <w:p w:rsidR="006D5997" w:rsidRPr="0099671A" w:rsidRDefault="00BC0642" w:rsidP="00725E84">
            <w:pPr>
              <w:rPr>
                <w:rFonts w:cs="Calibri"/>
                <w:color w:val="333333"/>
                <w:lang w:eastAsia="en-GB"/>
              </w:rPr>
            </w:pPr>
            <w:r w:rsidRPr="001A02D1">
              <w:rPr>
                <w:lang w:eastAsia="en-GB"/>
              </w:rPr>
              <w:t>549300WHU4EIHRP28H10</w:t>
            </w:r>
            <w:bookmarkStart w:id="0" w:name="_GoBack"/>
            <w:bookmarkEnd w:id="0"/>
          </w:p>
        </w:tc>
      </w:tr>
      <w:tr w:rsidR="006D5997" w:rsidRPr="00FE5A06" w:rsidTr="007B3B92">
        <w:tc>
          <w:tcPr>
            <w:tcW w:w="4831" w:type="dxa"/>
            <w:tcMar>
              <w:top w:w="0" w:type="dxa"/>
              <w:left w:w="108" w:type="dxa"/>
              <w:bottom w:w="0" w:type="dxa"/>
              <w:right w:w="108" w:type="dxa"/>
            </w:tcMar>
            <w:hideMark/>
          </w:tcPr>
          <w:p w:rsidR="006D5997" w:rsidRPr="0099671A" w:rsidRDefault="006D5997" w:rsidP="00725E84">
            <w:pPr>
              <w:rPr>
                <w:rFonts w:cs="Calibri"/>
                <w:color w:val="333333"/>
                <w:lang w:eastAsia="en-GB"/>
              </w:rPr>
            </w:pPr>
            <w:r w:rsidRPr="0099671A">
              <w:rPr>
                <w:rFonts w:cs="Calibri"/>
                <w:color w:val="333333"/>
                <w:lang w:eastAsia="en-GB"/>
              </w:rPr>
              <w:t xml:space="preserve">National Westminster Bank Plc </w:t>
            </w:r>
          </w:p>
        </w:tc>
        <w:tc>
          <w:tcPr>
            <w:tcW w:w="4411" w:type="dxa"/>
            <w:tcMar>
              <w:top w:w="0" w:type="dxa"/>
              <w:left w:w="108" w:type="dxa"/>
              <w:bottom w:w="0" w:type="dxa"/>
              <w:right w:w="108" w:type="dxa"/>
            </w:tcMar>
            <w:hideMark/>
          </w:tcPr>
          <w:p w:rsidR="006D5997" w:rsidRPr="0099671A" w:rsidRDefault="006D5997" w:rsidP="00725E84">
            <w:pPr>
              <w:rPr>
                <w:rFonts w:cs="Calibri"/>
                <w:color w:val="333333"/>
                <w:lang w:eastAsia="en-GB"/>
              </w:rPr>
            </w:pPr>
            <w:r w:rsidRPr="0099671A">
              <w:rPr>
                <w:rFonts w:cs="Calibri"/>
                <w:color w:val="333333"/>
                <w:lang w:eastAsia="en-GB"/>
              </w:rPr>
              <w:t>213800IBT39XQ9C4CP71</w:t>
            </w:r>
          </w:p>
        </w:tc>
      </w:tr>
      <w:tr w:rsidR="006D5997" w:rsidRPr="00FE5A06" w:rsidTr="007B3B92">
        <w:tc>
          <w:tcPr>
            <w:tcW w:w="4831" w:type="dxa"/>
            <w:tcMar>
              <w:top w:w="0" w:type="dxa"/>
              <w:left w:w="108" w:type="dxa"/>
              <w:bottom w:w="0" w:type="dxa"/>
              <w:right w:w="108" w:type="dxa"/>
            </w:tcMar>
          </w:tcPr>
          <w:p w:rsidR="006D5997" w:rsidRPr="0099671A" w:rsidRDefault="006D5997" w:rsidP="006D5997">
            <w:pPr>
              <w:rPr>
                <w:rFonts w:cs="Calibri"/>
                <w:color w:val="333333"/>
                <w:lang w:eastAsia="en-GB"/>
              </w:rPr>
            </w:pPr>
          </w:p>
        </w:tc>
        <w:tc>
          <w:tcPr>
            <w:tcW w:w="4411" w:type="dxa"/>
            <w:tcMar>
              <w:top w:w="0" w:type="dxa"/>
              <w:left w:w="108" w:type="dxa"/>
              <w:bottom w:w="0" w:type="dxa"/>
              <w:right w:w="108" w:type="dxa"/>
            </w:tcMar>
          </w:tcPr>
          <w:p w:rsidR="006D5997" w:rsidRPr="0099671A" w:rsidRDefault="006D5997" w:rsidP="00725E84">
            <w:pPr>
              <w:rPr>
                <w:rFonts w:cs="Calibri"/>
                <w:lang w:eastAsia="en-GB"/>
              </w:rPr>
            </w:pPr>
          </w:p>
        </w:tc>
      </w:tr>
    </w:tbl>
    <w:p w:rsidR="008134CC" w:rsidRDefault="008134CC"/>
    <w:sectPr w:rsidR="008134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97"/>
    <w:rsid w:val="00000A2D"/>
    <w:rsid w:val="00041500"/>
    <w:rsid w:val="000530E0"/>
    <w:rsid w:val="000C02C5"/>
    <w:rsid w:val="001A5C3A"/>
    <w:rsid w:val="002D1909"/>
    <w:rsid w:val="002F34A4"/>
    <w:rsid w:val="00310F84"/>
    <w:rsid w:val="00347AAC"/>
    <w:rsid w:val="00391811"/>
    <w:rsid w:val="003920D4"/>
    <w:rsid w:val="003A2D2A"/>
    <w:rsid w:val="00401458"/>
    <w:rsid w:val="00455814"/>
    <w:rsid w:val="004D59FB"/>
    <w:rsid w:val="005362FE"/>
    <w:rsid w:val="00594830"/>
    <w:rsid w:val="00654E1B"/>
    <w:rsid w:val="006A67B1"/>
    <w:rsid w:val="006D5997"/>
    <w:rsid w:val="00753562"/>
    <w:rsid w:val="00761411"/>
    <w:rsid w:val="007965AB"/>
    <w:rsid w:val="007B3B92"/>
    <w:rsid w:val="007E25DC"/>
    <w:rsid w:val="00807896"/>
    <w:rsid w:val="008134CC"/>
    <w:rsid w:val="00860995"/>
    <w:rsid w:val="00907600"/>
    <w:rsid w:val="0095789F"/>
    <w:rsid w:val="00A0096A"/>
    <w:rsid w:val="00A05ADE"/>
    <w:rsid w:val="00B053C7"/>
    <w:rsid w:val="00B24D8C"/>
    <w:rsid w:val="00B3449C"/>
    <w:rsid w:val="00B427B3"/>
    <w:rsid w:val="00BC0642"/>
    <w:rsid w:val="00C90A26"/>
    <w:rsid w:val="00D03FD1"/>
    <w:rsid w:val="00D43018"/>
    <w:rsid w:val="00DE276C"/>
    <w:rsid w:val="00E66CA2"/>
    <w:rsid w:val="00F17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97"/>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D5997"/>
    <w:pPr>
      <w:keepNext/>
      <w:spacing w:before="240" w:after="320"/>
      <w:outlineLvl w:val="0"/>
    </w:pPr>
    <w:rPr>
      <w:rFonts w:ascii="Arial" w:eastAsiaTheme="majorEastAsia" w:hAnsi="Arial" w:cstheme="majorBidi"/>
      <w:b/>
      <w:bCs/>
      <w:kern w:val="28"/>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97"/>
    <w:rPr>
      <w:rFonts w:ascii="Arial" w:eastAsiaTheme="majorEastAsia" w:hAnsi="Arial" w:cstheme="majorBidi"/>
      <w:b/>
      <w:bCs/>
      <w:kern w:val="28"/>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97"/>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D5997"/>
    <w:pPr>
      <w:keepNext/>
      <w:spacing w:before="240" w:after="320"/>
      <w:outlineLvl w:val="0"/>
    </w:pPr>
    <w:rPr>
      <w:rFonts w:ascii="Arial" w:eastAsiaTheme="majorEastAsia" w:hAnsi="Arial" w:cstheme="majorBidi"/>
      <w:b/>
      <w:bCs/>
      <w:kern w:val="28"/>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97"/>
    <w:rPr>
      <w:rFonts w:ascii="Arial" w:eastAsiaTheme="majorEastAsia" w:hAnsi="Arial" w:cstheme="majorBidi"/>
      <w:b/>
      <w:bCs/>
      <w:kern w:val="28"/>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8370">
      <w:bodyDiv w:val="1"/>
      <w:marLeft w:val="0"/>
      <w:marRight w:val="0"/>
      <w:marTop w:val="0"/>
      <w:marBottom w:val="0"/>
      <w:divBdr>
        <w:top w:val="none" w:sz="0" w:space="0" w:color="auto"/>
        <w:left w:val="none" w:sz="0" w:space="0" w:color="auto"/>
        <w:bottom w:val="none" w:sz="0" w:space="0" w:color="auto"/>
        <w:right w:val="none" w:sz="0" w:space="0" w:color="auto"/>
      </w:divBdr>
    </w:div>
    <w:div w:id="651445022">
      <w:bodyDiv w:val="1"/>
      <w:marLeft w:val="0"/>
      <w:marRight w:val="0"/>
      <w:marTop w:val="0"/>
      <w:marBottom w:val="0"/>
      <w:divBdr>
        <w:top w:val="none" w:sz="0" w:space="0" w:color="auto"/>
        <w:left w:val="none" w:sz="0" w:space="0" w:color="auto"/>
        <w:bottom w:val="none" w:sz="0" w:space="0" w:color="auto"/>
        <w:right w:val="none" w:sz="0" w:space="0" w:color="auto"/>
      </w:divBdr>
    </w:div>
    <w:div w:id="1397123057">
      <w:bodyDiv w:val="1"/>
      <w:marLeft w:val="0"/>
      <w:marRight w:val="0"/>
      <w:marTop w:val="0"/>
      <w:marBottom w:val="0"/>
      <w:divBdr>
        <w:top w:val="none" w:sz="0" w:space="0" w:color="auto"/>
        <w:left w:val="none" w:sz="0" w:space="0" w:color="auto"/>
        <w:bottom w:val="none" w:sz="0" w:space="0" w:color="auto"/>
        <w:right w:val="none" w:sz="0" w:space="0" w:color="auto"/>
      </w:divBdr>
    </w:div>
    <w:div w:id="1502508615">
      <w:bodyDiv w:val="1"/>
      <w:marLeft w:val="0"/>
      <w:marRight w:val="0"/>
      <w:marTop w:val="0"/>
      <w:marBottom w:val="0"/>
      <w:divBdr>
        <w:top w:val="none" w:sz="0" w:space="0" w:color="auto"/>
        <w:left w:val="none" w:sz="0" w:space="0" w:color="auto"/>
        <w:bottom w:val="none" w:sz="0" w:space="0" w:color="auto"/>
        <w:right w:val="none" w:sz="0" w:space="0" w:color="auto"/>
      </w:divBdr>
    </w:div>
    <w:div w:id="207658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Cargill</dc:creator>
  <cp:lastModifiedBy>patteja</cp:lastModifiedBy>
  <cp:revision>3</cp:revision>
  <cp:lastPrinted>2018-05-29T17:34:00Z</cp:lastPrinted>
  <dcterms:created xsi:type="dcterms:W3CDTF">2018-08-16T17:19:00Z</dcterms:created>
  <dcterms:modified xsi:type="dcterms:W3CDTF">2018-08-16T19:03:00Z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-1816783443</vt:i4>
  </property>
  <property fmtid="{D5CDD505-2E9C-101B-9397-08002B2CF9AE}" pid="3" name="_NewReviewCycle">
    <vt:lpwstr/>
  </property>
  <property fmtid="{D5CDD505-2E9C-101B-9397-08002B2CF9AE}" pid="4" name="_EmailSubject">
    <vt:lpwstr>RNS - 7 a.m.</vt:lpwstr>
  </property>
  <property fmtid="{D5CDD505-2E9C-101B-9397-08002B2CF9AE}" pid="5" name="_AuthorEmail">
    <vt:lpwstr>Jan.Cargill@rbs.com</vt:lpwstr>
  </property>
  <property fmtid="{D5CDD505-2E9C-101B-9397-08002B2CF9AE}" pid="6" name="_AuthorEmailDisplayName">
    <vt:lpwstr>Cargill, Jan (Corporate Governance and Regulatory Affairs)</vt:lpwstr>
  </property>
  <property fmtid="{D5CDD505-2E9C-101B-9397-08002B2CF9AE}" pid="7" name="_PreviousAdHocReviewCycleID">
    <vt:i4>378677586</vt:i4>
  </property>
  <property fmtid="{D5CDD505-2E9C-101B-9397-08002B2CF9AE}" pid="8" name="_ReviewingToolsShownOnce">
    <vt:lpwstr/>
  </property>
</Properties>
</file>