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C6C" w:rsidRPr="00654A58" w:rsidRDefault="00012C6C" w:rsidP="00BF4249">
      <w:pPr>
        <w:rPr>
          <w:color w:val="000000" w:themeColor="text1"/>
        </w:rPr>
      </w:pPr>
    </w:p>
    <w:p w:rsidR="001C3B58" w:rsidRDefault="001C3B58" w:rsidP="001C3B58">
      <w:pPr>
        <w:pStyle w:val="Body"/>
        <w:spacing w:after="0" w:line="240" w:lineRule="auto"/>
        <w:rPr>
          <w:b/>
        </w:rPr>
      </w:pPr>
      <w:bookmarkStart w:id="0" w:name="_GoBack"/>
      <w:bookmarkEnd w:id="0"/>
    </w:p>
    <w:p w:rsidR="001C3B58" w:rsidRDefault="001C3B58" w:rsidP="001C3B58">
      <w:pPr>
        <w:pStyle w:val="Body"/>
        <w:spacing w:after="0" w:line="240" w:lineRule="auto"/>
        <w:rPr>
          <w:b/>
        </w:rPr>
      </w:pPr>
      <w:r>
        <w:rPr>
          <w:b/>
        </w:rPr>
        <w:t>Royal Bank of Scotland Group</w:t>
      </w:r>
    </w:p>
    <w:p w:rsidR="001C3B58" w:rsidRDefault="001C3B58" w:rsidP="001C3B58">
      <w:pPr>
        <w:pStyle w:val="Body"/>
        <w:spacing w:after="0" w:line="240" w:lineRule="auto"/>
        <w:rPr>
          <w:b/>
        </w:rPr>
      </w:pPr>
    </w:p>
    <w:p w:rsidR="00012C6C" w:rsidRDefault="00031405" w:rsidP="001C3B58">
      <w:pPr>
        <w:pStyle w:val="Body"/>
        <w:spacing w:after="0" w:line="240" w:lineRule="auto"/>
      </w:pPr>
      <w:r>
        <w:t>31</w:t>
      </w:r>
      <w:r w:rsidRPr="00031405">
        <w:rPr>
          <w:vertAlign w:val="superscript"/>
        </w:rPr>
        <w:t>st</w:t>
      </w:r>
      <w:r>
        <w:t xml:space="preserve"> October</w:t>
      </w:r>
      <w:r w:rsidR="001C3B58">
        <w:t xml:space="preserve"> 2018</w:t>
      </w:r>
    </w:p>
    <w:p w:rsidR="00012C6C" w:rsidRPr="00654A58" w:rsidRDefault="00012C6C" w:rsidP="00012C6C">
      <w:pPr>
        <w:rPr>
          <w:rFonts w:ascii="Arial" w:hAnsi="Arial"/>
          <w:color w:val="000000" w:themeColor="text1"/>
          <w:sz w:val="20"/>
          <w:szCs w:val="22"/>
        </w:rPr>
      </w:pPr>
    </w:p>
    <w:p w:rsidR="00012C6C" w:rsidRPr="00654A58" w:rsidRDefault="00012C6C" w:rsidP="00012C6C">
      <w:pPr>
        <w:rPr>
          <w:color w:val="000000" w:themeColor="text1"/>
        </w:rPr>
      </w:pPr>
      <w:r w:rsidRPr="00654A58">
        <w:rPr>
          <w:rFonts w:ascii="Arial" w:hAnsi="Arial" w:cs="Arial"/>
          <w:b/>
          <w:bCs/>
          <w:color w:val="000000" w:themeColor="text1"/>
          <w:sz w:val="20"/>
          <w:szCs w:val="20"/>
        </w:rPr>
        <w:t xml:space="preserve">NatWest Markets Plc </w:t>
      </w:r>
      <w:r w:rsidRPr="00654A58">
        <w:rPr>
          <w:rFonts w:ascii="Cambria Math" w:hAnsi="Cambria Math"/>
          <w:b/>
          <w:bCs/>
          <w:color w:val="000000" w:themeColor="text1"/>
          <w:sz w:val="20"/>
          <w:szCs w:val="20"/>
        </w:rPr>
        <w:t>‐</w:t>
      </w:r>
      <w:r w:rsidRPr="00654A58">
        <w:rPr>
          <w:rFonts w:ascii="Arial" w:hAnsi="Arial" w:cs="Arial"/>
          <w:b/>
          <w:bCs/>
          <w:color w:val="000000" w:themeColor="text1"/>
          <w:sz w:val="20"/>
          <w:szCs w:val="20"/>
        </w:rPr>
        <w:t xml:space="preserve"> Declaration of Interim Dividend</w:t>
      </w:r>
    </w:p>
    <w:p w:rsidR="00012C6C" w:rsidRPr="00654A58" w:rsidRDefault="00012C6C" w:rsidP="00012C6C">
      <w:pPr>
        <w:rPr>
          <w:color w:val="000000" w:themeColor="text1"/>
        </w:rPr>
      </w:pPr>
      <w:r w:rsidRPr="00654A58">
        <w:rPr>
          <w:color w:val="000000" w:themeColor="text1"/>
        </w:rPr>
        <w:t> </w:t>
      </w:r>
    </w:p>
    <w:p w:rsidR="00012C6C" w:rsidRPr="001C3B58" w:rsidRDefault="00012C6C" w:rsidP="00012C6C">
      <w:pPr>
        <w:rPr>
          <w:rFonts w:ascii="Arial" w:hAnsi="Arial" w:cs="Arial"/>
          <w:color w:val="000000" w:themeColor="text1"/>
          <w:sz w:val="20"/>
          <w:szCs w:val="20"/>
        </w:rPr>
      </w:pPr>
      <w:r w:rsidRPr="00654A58">
        <w:rPr>
          <w:rFonts w:ascii="Arial" w:hAnsi="Arial" w:cs="Arial"/>
          <w:color w:val="000000" w:themeColor="text1"/>
          <w:sz w:val="20"/>
          <w:szCs w:val="20"/>
        </w:rPr>
        <w:t>NatWest Markets Plc (N</w:t>
      </w:r>
      <w:r w:rsidR="001C3B58">
        <w:rPr>
          <w:rFonts w:ascii="Arial" w:hAnsi="Arial" w:cs="Arial"/>
          <w:color w:val="000000" w:themeColor="text1"/>
          <w:sz w:val="20"/>
          <w:szCs w:val="20"/>
        </w:rPr>
        <w:t>atWest Markets</w:t>
      </w:r>
      <w:r w:rsidRPr="00654A58">
        <w:rPr>
          <w:rFonts w:ascii="Arial" w:hAnsi="Arial" w:cs="Arial"/>
          <w:color w:val="000000" w:themeColor="text1"/>
          <w:sz w:val="20"/>
          <w:szCs w:val="20"/>
        </w:rPr>
        <w:t xml:space="preserve">) </w:t>
      </w:r>
      <w:r w:rsidR="001C3B58">
        <w:rPr>
          <w:rFonts w:ascii="Arial" w:hAnsi="Arial" w:cs="Arial"/>
          <w:color w:val="000000" w:themeColor="text1"/>
          <w:sz w:val="20"/>
          <w:szCs w:val="20"/>
        </w:rPr>
        <w:t xml:space="preserve">today announces it </w:t>
      </w:r>
      <w:r w:rsidRPr="00654A58">
        <w:rPr>
          <w:rFonts w:ascii="Arial" w:hAnsi="Arial" w:cs="Arial"/>
          <w:color w:val="000000" w:themeColor="text1"/>
          <w:sz w:val="20"/>
          <w:szCs w:val="20"/>
        </w:rPr>
        <w:t>has declared an</w:t>
      </w:r>
      <w:r w:rsidRPr="00654A58">
        <w:rPr>
          <w:color w:val="000000" w:themeColor="text1"/>
        </w:rPr>
        <w:t xml:space="preserve"> </w:t>
      </w:r>
      <w:r w:rsidRPr="00654A58">
        <w:rPr>
          <w:rFonts w:ascii="Arial" w:hAnsi="Arial" w:cs="Arial"/>
          <w:color w:val="000000" w:themeColor="text1"/>
          <w:sz w:val="20"/>
          <w:szCs w:val="20"/>
        </w:rPr>
        <w:t xml:space="preserve">interim ordinary dividend </w:t>
      </w:r>
      <w:r w:rsidR="00621B92" w:rsidRPr="00654A58">
        <w:rPr>
          <w:rFonts w:ascii="Arial" w:hAnsi="Arial" w:cs="Arial"/>
          <w:color w:val="000000" w:themeColor="text1"/>
          <w:sz w:val="20"/>
          <w:szCs w:val="20"/>
        </w:rPr>
        <w:t xml:space="preserve">payable </w:t>
      </w:r>
      <w:r w:rsidRPr="00654A58">
        <w:rPr>
          <w:rFonts w:ascii="Arial" w:hAnsi="Arial" w:cs="Arial"/>
          <w:color w:val="000000" w:themeColor="text1"/>
          <w:sz w:val="20"/>
          <w:szCs w:val="20"/>
        </w:rPr>
        <w:t>to its parent company, The Royal Bank of Scotland Group plc</w:t>
      </w:r>
      <w:r w:rsidR="001C3B58">
        <w:rPr>
          <w:rFonts w:ascii="Arial" w:hAnsi="Arial" w:cs="Arial"/>
          <w:color w:val="000000" w:themeColor="text1"/>
          <w:sz w:val="20"/>
          <w:szCs w:val="20"/>
        </w:rPr>
        <w:t xml:space="preserve"> (RBSG Group)</w:t>
      </w:r>
      <w:r w:rsidRPr="00654A58">
        <w:rPr>
          <w:rFonts w:ascii="Arial" w:hAnsi="Arial" w:cs="Arial"/>
          <w:color w:val="000000" w:themeColor="text1"/>
          <w:sz w:val="20"/>
          <w:szCs w:val="20"/>
        </w:rPr>
        <w:t xml:space="preserve">, of 575.70 pence per ordinary share, corresponding to a total </w:t>
      </w:r>
      <w:r w:rsidR="00654A58" w:rsidRPr="00654A58">
        <w:rPr>
          <w:rFonts w:ascii="Arial" w:hAnsi="Arial" w:cs="Arial"/>
          <w:color w:val="000000" w:themeColor="text1"/>
          <w:sz w:val="20"/>
          <w:szCs w:val="20"/>
        </w:rPr>
        <w:t xml:space="preserve">payment </w:t>
      </w:r>
      <w:r w:rsidRPr="00654A58">
        <w:rPr>
          <w:rFonts w:ascii="Arial" w:hAnsi="Arial" w:cs="Arial"/>
          <w:color w:val="000000" w:themeColor="text1"/>
          <w:sz w:val="20"/>
          <w:szCs w:val="20"/>
        </w:rPr>
        <w:t>of £</w:t>
      </w:r>
      <w:r w:rsidR="00621B92" w:rsidRPr="00654A58">
        <w:rPr>
          <w:rFonts w:ascii="Arial" w:hAnsi="Arial" w:cs="Arial"/>
          <w:color w:val="000000" w:themeColor="text1"/>
          <w:sz w:val="20"/>
          <w:szCs w:val="20"/>
        </w:rPr>
        <w:t>2.3</w:t>
      </w:r>
      <w:r w:rsidRPr="00654A58">
        <w:rPr>
          <w:rFonts w:ascii="Arial" w:hAnsi="Arial" w:cs="Arial"/>
          <w:color w:val="000000" w:themeColor="text1"/>
          <w:sz w:val="20"/>
          <w:szCs w:val="20"/>
        </w:rPr>
        <w:t xml:space="preserve"> billion. </w:t>
      </w:r>
    </w:p>
    <w:p w:rsidR="00012C6C" w:rsidRPr="00654A58" w:rsidRDefault="00012C6C" w:rsidP="00012C6C">
      <w:pPr>
        <w:rPr>
          <w:rFonts w:ascii="Arial" w:hAnsi="Arial"/>
          <w:color w:val="000000" w:themeColor="text1"/>
          <w:sz w:val="20"/>
          <w:szCs w:val="22"/>
        </w:rPr>
      </w:pPr>
    </w:p>
    <w:p w:rsidR="00621B92" w:rsidRPr="00654A58" w:rsidRDefault="00621B92" w:rsidP="00621B92">
      <w:pPr>
        <w:rPr>
          <w:rFonts w:ascii="Arial" w:hAnsi="Arial" w:cs="Arial"/>
          <w:color w:val="000000" w:themeColor="text1"/>
          <w:sz w:val="20"/>
          <w:szCs w:val="20"/>
        </w:rPr>
      </w:pPr>
      <w:r w:rsidRPr="00654A58">
        <w:rPr>
          <w:rFonts w:ascii="Arial" w:hAnsi="Arial" w:cs="Arial"/>
          <w:color w:val="000000" w:themeColor="text1"/>
          <w:sz w:val="20"/>
          <w:szCs w:val="20"/>
        </w:rPr>
        <w:t xml:space="preserve">On a pro forma basis, the dividend reduces NatWest Markets’ Common Equity Tier 1 (CET1) </w:t>
      </w:r>
      <w:r w:rsidR="00654A58" w:rsidRPr="00654A58">
        <w:rPr>
          <w:rFonts w:ascii="Arial" w:hAnsi="Arial" w:cs="Arial"/>
          <w:color w:val="000000" w:themeColor="text1"/>
          <w:sz w:val="20"/>
          <w:szCs w:val="20"/>
        </w:rPr>
        <w:t xml:space="preserve">ratio </w:t>
      </w:r>
      <w:r w:rsidRPr="00654A58">
        <w:rPr>
          <w:rFonts w:ascii="Arial" w:hAnsi="Arial" w:cs="Arial"/>
          <w:color w:val="000000" w:themeColor="text1"/>
          <w:sz w:val="20"/>
          <w:szCs w:val="20"/>
        </w:rPr>
        <w:t>as at 30 September 2018 by 5.6% from 22.7% to 17.1%, in line with the RBS Group’s internal capital management plan.</w:t>
      </w:r>
      <w:r w:rsidR="00654A58" w:rsidRPr="00654A58">
        <w:rPr>
          <w:rFonts w:ascii="Arial" w:hAnsi="Arial" w:cs="Arial"/>
          <w:color w:val="000000" w:themeColor="text1"/>
          <w:sz w:val="20"/>
          <w:szCs w:val="20"/>
        </w:rPr>
        <w:t xml:space="preserve"> The dividend does not have any impact on the RBS Group</w:t>
      </w:r>
      <w:r w:rsidR="001C3B58">
        <w:rPr>
          <w:rFonts w:ascii="Arial" w:hAnsi="Arial" w:cs="Arial"/>
          <w:color w:val="000000" w:themeColor="text1"/>
          <w:sz w:val="20"/>
          <w:szCs w:val="20"/>
        </w:rPr>
        <w:t>’s</w:t>
      </w:r>
      <w:r w:rsidR="00654A58" w:rsidRPr="00654A58">
        <w:rPr>
          <w:rFonts w:ascii="Arial" w:hAnsi="Arial" w:cs="Arial"/>
          <w:color w:val="000000" w:themeColor="text1"/>
          <w:sz w:val="20"/>
          <w:szCs w:val="20"/>
        </w:rPr>
        <w:t xml:space="preserve"> CET1 ratio.</w:t>
      </w:r>
    </w:p>
    <w:p w:rsidR="00012C6C" w:rsidRPr="00654A58" w:rsidRDefault="00012C6C" w:rsidP="00BF4249">
      <w:pPr>
        <w:rPr>
          <w:color w:val="000000" w:themeColor="text1"/>
        </w:rPr>
      </w:pPr>
    </w:p>
    <w:p w:rsidR="00012C6C" w:rsidRPr="00654A58" w:rsidRDefault="00012C6C" w:rsidP="00012C6C">
      <w:pPr>
        <w:rPr>
          <w:rFonts w:ascii="Arial" w:hAnsi="Arial" w:cs="Arial"/>
          <w:color w:val="000000" w:themeColor="text1"/>
          <w:sz w:val="20"/>
          <w:szCs w:val="20"/>
        </w:rPr>
      </w:pPr>
      <w:r w:rsidRPr="00654A58">
        <w:rPr>
          <w:rFonts w:ascii="Arial" w:hAnsi="Arial" w:cs="Arial"/>
          <w:color w:val="000000" w:themeColor="text1"/>
          <w:sz w:val="20"/>
          <w:szCs w:val="20"/>
        </w:rPr>
        <w:t>For further information contact:</w:t>
      </w:r>
    </w:p>
    <w:p w:rsidR="00012C6C" w:rsidRPr="00654A58" w:rsidRDefault="00012C6C" w:rsidP="00012C6C">
      <w:pPr>
        <w:rPr>
          <w:rFonts w:ascii="Arial" w:hAnsi="Arial" w:cs="Arial"/>
          <w:b/>
          <w:bCs/>
          <w:color w:val="000000" w:themeColor="text1"/>
          <w:sz w:val="20"/>
          <w:szCs w:val="20"/>
        </w:rPr>
      </w:pPr>
    </w:p>
    <w:p w:rsidR="00012C6C" w:rsidRPr="00654A58" w:rsidRDefault="00012C6C" w:rsidP="00012C6C">
      <w:pPr>
        <w:rPr>
          <w:rFonts w:ascii="Arial" w:hAnsi="Arial" w:cs="Arial"/>
          <w:b/>
          <w:bCs/>
          <w:color w:val="000000" w:themeColor="text1"/>
          <w:sz w:val="20"/>
          <w:szCs w:val="20"/>
        </w:rPr>
      </w:pPr>
      <w:r w:rsidRPr="00654A58">
        <w:rPr>
          <w:rFonts w:ascii="Arial" w:hAnsi="Arial" w:cs="Arial"/>
          <w:b/>
          <w:bCs/>
          <w:color w:val="000000" w:themeColor="text1"/>
          <w:sz w:val="20"/>
          <w:szCs w:val="20"/>
        </w:rPr>
        <w:t>NatWest Markets Investor Relations</w:t>
      </w:r>
    </w:p>
    <w:p w:rsidR="00012C6C" w:rsidRPr="00654A58" w:rsidRDefault="00012C6C" w:rsidP="00012C6C">
      <w:pPr>
        <w:rPr>
          <w:rFonts w:ascii="Arial" w:hAnsi="Arial" w:cs="Arial"/>
          <w:color w:val="000000" w:themeColor="text1"/>
          <w:sz w:val="20"/>
          <w:szCs w:val="20"/>
        </w:rPr>
      </w:pPr>
      <w:r w:rsidRPr="00654A58">
        <w:rPr>
          <w:rFonts w:ascii="Arial" w:hAnsi="Arial" w:cs="Arial"/>
          <w:color w:val="000000" w:themeColor="text1"/>
          <w:sz w:val="20"/>
          <w:szCs w:val="20"/>
        </w:rPr>
        <w:t>Richard Coombs</w:t>
      </w:r>
    </w:p>
    <w:p w:rsidR="00012C6C" w:rsidRPr="00654A58" w:rsidRDefault="00012C6C" w:rsidP="00012C6C">
      <w:pPr>
        <w:rPr>
          <w:rFonts w:ascii="Arial" w:hAnsi="Arial" w:cs="Arial"/>
          <w:color w:val="000000" w:themeColor="text1"/>
          <w:sz w:val="20"/>
          <w:szCs w:val="20"/>
        </w:rPr>
      </w:pPr>
      <w:r w:rsidRPr="00654A58">
        <w:rPr>
          <w:rFonts w:ascii="Arial" w:hAnsi="Arial" w:cs="Arial"/>
          <w:color w:val="000000" w:themeColor="text1"/>
          <w:sz w:val="20"/>
          <w:szCs w:val="20"/>
        </w:rPr>
        <w:t>Head of NatWest Markets Investor Relations</w:t>
      </w:r>
    </w:p>
    <w:p w:rsidR="00012C6C" w:rsidRPr="00654A58" w:rsidRDefault="00012C6C" w:rsidP="00012C6C">
      <w:pPr>
        <w:rPr>
          <w:rFonts w:ascii="Arial" w:hAnsi="Arial" w:cs="Arial"/>
          <w:color w:val="000000" w:themeColor="text1"/>
          <w:sz w:val="20"/>
          <w:szCs w:val="20"/>
        </w:rPr>
      </w:pPr>
      <w:r w:rsidRPr="00654A58">
        <w:rPr>
          <w:rFonts w:ascii="Arial" w:hAnsi="Arial" w:cs="Arial"/>
          <w:color w:val="000000" w:themeColor="text1"/>
          <w:sz w:val="20"/>
          <w:szCs w:val="20"/>
        </w:rPr>
        <w:t>+44 (0) 20 7678 2069</w:t>
      </w:r>
    </w:p>
    <w:p w:rsidR="00012C6C" w:rsidRPr="00654A58" w:rsidRDefault="00012C6C" w:rsidP="00012C6C">
      <w:pPr>
        <w:rPr>
          <w:rFonts w:ascii="Arial" w:hAnsi="Arial" w:cs="Arial"/>
          <w:b/>
          <w:bCs/>
          <w:color w:val="000000" w:themeColor="text1"/>
          <w:sz w:val="20"/>
          <w:szCs w:val="20"/>
        </w:rPr>
      </w:pPr>
    </w:p>
    <w:p w:rsidR="00012C6C" w:rsidRPr="00654A58" w:rsidRDefault="00012C6C" w:rsidP="00012C6C">
      <w:pPr>
        <w:rPr>
          <w:rFonts w:ascii="Arial" w:hAnsi="Arial" w:cs="Arial"/>
          <w:b/>
          <w:bCs/>
          <w:color w:val="000000" w:themeColor="text1"/>
          <w:sz w:val="20"/>
          <w:szCs w:val="20"/>
        </w:rPr>
      </w:pPr>
      <w:r w:rsidRPr="00654A58">
        <w:rPr>
          <w:rFonts w:ascii="Arial" w:hAnsi="Arial" w:cs="Arial"/>
          <w:b/>
          <w:bCs/>
          <w:color w:val="000000" w:themeColor="text1"/>
          <w:sz w:val="20"/>
          <w:szCs w:val="20"/>
        </w:rPr>
        <w:t>RBS Investor Relations:</w:t>
      </w:r>
    </w:p>
    <w:p w:rsidR="00012C6C" w:rsidRPr="00654A58" w:rsidRDefault="00012C6C" w:rsidP="00012C6C">
      <w:pPr>
        <w:rPr>
          <w:rFonts w:ascii="Arial" w:hAnsi="Arial" w:cs="Arial"/>
          <w:color w:val="000000" w:themeColor="text1"/>
          <w:sz w:val="20"/>
          <w:szCs w:val="20"/>
        </w:rPr>
      </w:pPr>
      <w:r w:rsidRPr="00654A58">
        <w:rPr>
          <w:rFonts w:ascii="Arial" w:hAnsi="Arial" w:cs="Arial"/>
          <w:color w:val="000000" w:themeColor="text1"/>
          <w:sz w:val="20"/>
          <w:szCs w:val="20"/>
        </w:rPr>
        <w:t>Matt Waymark</w:t>
      </w:r>
    </w:p>
    <w:p w:rsidR="00012C6C" w:rsidRPr="00654A58" w:rsidRDefault="00012C6C" w:rsidP="00012C6C">
      <w:pPr>
        <w:rPr>
          <w:rFonts w:ascii="Arial" w:hAnsi="Arial" w:cs="Arial"/>
          <w:color w:val="000000" w:themeColor="text1"/>
          <w:sz w:val="20"/>
          <w:szCs w:val="20"/>
        </w:rPr>
      </w:pPr>
      <w:r w:rsidRPr="00654A58">
        <w:rPr>
          <w:rFonts w:ascii="Arial" w:hAnsi="Arial" w:cs="Arial"/>
          <w:color w:val="000000" w:themeColor="text1"/>
          <w:sz w:val="20"/>
          <w:szCs w:val="20"/>
        </w:rPr>
        <w:t>Head of Investor Relations</w:t>
      </w:r>
    </w:p>
    <w:p w:rsidR="00012C6C" w:rsidRPr="00654A58" w:rsidRDefault="00012C6C" w:rsidP="00012C6C">
      <w:pPr>
        <w:rPr>
          <w:color w:val="000000" w:themeColor="text1"/>
        </w:rPr>
      </w:pPr>
      <w:r w:rsidRPr="00654A58">
        <w:rPr>
          <w:rFonts w:ascii="Arial" w:hAnsi="Arial" w:cs="Arial"/>
          <w:color w:val="000000" w:themeColor="text1"/>
          <w:sz w:val="20"/>
          <w:szCs w:val="20"/>
        </w:rPr>
        <w:t>+44 (0) 20 7672 1758</w:t>
      </w:r>
      <w:r w:rsidRPr="00654A58">
        <w:rPr>
          <w:color w:val="000000" w:themeColor="text1"/>
        </w:rPr>
        <w:t> </w:t>
      </w:r>
    </w:p>
    <w:p w:rsidR="00012C6C" w:rsidRDefault="00012C6C" w:rsidP="00BF4249">
      <w:pPr>
        <w:rPr>
          <w:color w:val="000000" w:themeColor="text1"/>
        </w:rPr>
      </w:pPr>
    </w:p>
    <w:p w:rsidR="001C3B58" w:rsidRDefault="001C3B58" w:rsidP="001C3B58">
      <w:pPr>
        <w:pStyle w:val="Body"/>
        <w:spacing w:after="0" w:line="240" w:lineRule="auto"/>
        <w:rPr>
          <w:b/>
        </w:rPr>
      </w:pPr>
    </w:p>
    <w:p w:rsidR="001C3B58" w:rsidRPr="003D4B18" w:rsidRDefault="001C3B58" w:rsidP="001C3B58">
      <w:pPr>
        <w:pStyle w:val="Body"/>
        <w:spacing w:after="0" w:line="240" w:lineRule="auto"/>
        <w:rPr>
          <w:b/>
          <w:i/>
          <w:sz w:val="18"/>
          <w:szCs w:val="18"/>
        </w:rPr>
      </w:pPr>
      <w:r w:rsidRPr="003D4B18">
        <w:rPr>
          <w:b/>
          <w:i/>
          <w:sz w:val="18"/>
          <w:szCs w:val="18"/>
        </w:rPr>
        <w:t>Forward Looking Statements</w:t>
      </w:r>
    </w:p>
    <w:p w:rsidR="001C3B58" w:rsidRPr="003D4B18" w:rsidRDefault="001C3B58" w:rsidP="001C3B58">
      <w:pPr>
        <w:pStyle w:val="Body"/>
        <w:spacing w:after="0" w:line="240" w:lineRule="auto"/>
        <w:rPr>
          <w:i/>
          <w:sz w:val="18"/>
          <w:szCs w:val="18"/>
        </w:rPr>
      </w:pPr>
      <w:r w:rsidRPr="003D4B18">
        <w:rPr>
          <w:i/>
          <w:sz w:val="18"/>
          <w:szCs w:val="18"/>
        </w:rPr>
        <w:t>This announcement contains forward-looking statements within the meaning of the Private Securities Litigation Reform Act of 1995, including those related to RBS and its subsidiaries' regulatory capital position, and requirements, financial position, future pension funding requirements, on-going litigation and regulatory investigations, profitability, risk-weighted assets, impairment losses and credit exposures under certain specified scenarios. In addition, forward-looking statements may include, without limitation, statements typically containing words such as "intends", "expects", "anticipates", "targets", "plans", "believes", "risk", "estimates" and words of similar import. These statements concern or may affect future matters, such as RBS's future economic results, business and capital plans and current strategies. Forward-looking statements are subject to a number of risks and uncertainties that might cause actual results and performance to differ materially from any expected future results or performance expressed or implied by the forward-looking statements. Factors that could cause or contribute to differences in current expectations include, but are not limited to, legislative, fiscal and regulatory developments, accounting standards, competitive conditions, technological developments, exchange rate fluctuations and general economic conditions. These and other factors, risks and uncertainties that may impact any forward-looking statement or RBS's actual results are discussed in RBS's UK annual report and accounts and interim reports and materials filed with, or furnished to, the US Securities and Exchange Commission, including, but not limited to, RBS's Reports on Form 6-K and most recent Annual Report on Form 20-F. The forward-looking statements contained in this announcement speak only as of the date of this announcement and RBS does not assume or undertake any obligation or responsibility to update any of the forward-looking statements contained in this announcement, whether as a result of new information, future events or otherwise, except to the extent legally required.</w:t>
      </w:r>
    </w:p>
    <w:p w:rsidR="00621B92" w:rsidRDefault="00621B92" w:rsidP="00621B92">
      <w:pPr>
        <w:rPr>
          <w:rFonts w:ascii="Arial" w:hAnsi="Arial" w:cs="Arial"/>
          <w:color w:val="002469"/>
          <w:sz w:val="20"/>
          <w:szCs w:val="20"/>
        </w:rPr>
      </w:pPr>
    </w:p>
    <w:p w:rsidR="00621B92" w:rsidRPr="001C3B58" w:rsidRDefault="00621B92" w:rsidP="00621B92">
      <w:pPr>
        <w:rPr>
          <w:rFonts w:ascii="Arial" w:hAnsi="Arial" w:cs="Arial"/>
          <w:b/>
          <w:bCs/>
          <w:color w:val="000000" w:themeColor="text1"/>
          <w:sz w:val="20"/>
          <w:szCs w:val="20"/>
        </w:rPr>
      </w:pPr>
    </w:p>
    <w:p w:rsidR="00621B92" w:rsidRPr="001C3B58" w:rsidRDefault="00621B92" w:rsidP="00621B92">
      <w:pPr>
        <w:rPr>
          <w:rFonts w:ascii="Arial" w:hAnsi="Arial" w:cs="Arial"/>
          <w:b/>
          <w:bCs/>
          <w:color w:val="000000" w:themeColor="text1"/>
          <w:sz w:val="20"/>
          <w:szCs w:val="20"/>
        </w:rPr>
      </w:pPr>
    </w:p>
    <w:p w:rsidR="00621B92" w:rsidRPr="001C3B58" w:rsidRDefault="00621B92" w:rsidP="00621B92">
      <w:pPr>
        <w:rPr>
          <w:rFonts w:ascii="Arial" w:hAnsi="Arial" w:cs="Arial"/>
          <w:b/>
          <w:bCs/>
          <w:color w:val="000000" w:themeColor="text1"/>
          <w:sz w:val="20"/>
          <w:szCs w:val="20"/>
        </w:rPr>
      </w:pPr>
      <w:r w:rsidRPr="001C3B58">
        <w:rPr>
          <w:rFonts w:ascii="Arial" w:hAnsi="Arial" w:cs="Arial"/>
          <w:b/>
          <w:bCs/>
          <w:color w:val="000000" w:themeColor="text1"/>
          <w:sz w:val="20"/>
          <w:szCs w:val="20"/>
        </w:rPr>
        <w:t>Legal Entity Identifiers</w:t>
      </w:r>
    </w:p>
    <w:p w:rsidR="00621B92" w:rsidRPr="001C3B58" w:rsidRDefault="00621B92" w:rsidP="00621B92">
      <w:pPr>
        <w:rPr>
          <w:rFonts w:ascii="Arial" w:hAnsi="Arial" w:cs="Arial"/>
          <w:b/>
          <w:bCs/>
          <w:color w:val="000000" w:themeColor="text1"/>
          <w:sz w:val="20"/>
          <w:szCs w:val="20"/>
        </w:rPr>
      </w:pPr>
    </w:p>
    <w:tbl>
      <w:tblPr>
        <w:tblW w:w="0" w:type="auto"/>
        <w:tblCellMar>
          <w:left w:w="0" w:type="dxa"/>
          <w:right w:w="0" w:type="dxa"/>
        </w:tblCellMar>
        <w:tblLook w:val="04A0" w:firstRow="1" w:lastRow="0" w:firstColumn="1" w:lastColumn="0" w:noHBand="0" w:noVBand="1"/>
      </w:tblPr>
      <w:tblGrid>
        <w:gridCol w:w="4788"/>
        <w:gridCol w:w="4788"/>
      </w:tblGrid>
      <w:tr w:rsidR="001C3B58" w:rsidRPr="001C3B58" w:rsidTr="00621B92">
        <w:tc>
          <w:tcPr>
            <w:tcW w:w="4788" w:type="dxa"/>
            <w:tcMar>
              <w:top w:w="0" w:type="dxa"/>
              <w:left w:w="108" w:type="dxa"/>
              <w:bottom w:w="0" w:type="dxa"/>
              <w:right w:w="108" w:type="dxa"/>
            </w:tcMar>
          </w:tcPr>
          <w:p w:rsidR="00621B92" w:rsidRPr="001C3B58" w:rsidRDefault="00621B92">
            <w:pPr>
              <w:rPr>
                <w:rFonts w:ascii="Arial" w:eastAsiaTheme="minorHAnsi" w:hAnsi="Arial" w:cs="Arial"/>
                <w:color w:val="000000" w:themeColor="text1"/>
                <w:sz w:val="20"/>
                <w:szCs w:val="20"/>
              </w:rPr>
            </w:pPr>
            <w:r w:rsidRPr="001C3B58">
              <w:rPr>
                <w:rFonts w:ascii="Arial" w:hAnsi="Arial" w:cs="Arial"/>
                <w:color w:val="000000" w:themeColor="text1"/>
                <w:sz w:val="20"/>
                <w:szCs w:val="20"/>
              </w:rPr>
              <w:t xml:space="preserve">NatWest Markets Plc </w:t>
            </w:r>
          </w:p>
          <w:p w:rsidR="00621B92" w:rsidRPr="001C3B58" w:rsidRDefault="00621B92">
            <w:pPr>
              <w:rPr>
                <w:rFonts w:ascii="Arial" w:eastAsiaTheme="minorHAnsi" w:hAnsi="Arial" w:cs="Arial"/>
                <w:b/>
                <w:bCs/>
                <w:color w:val="000000" w:themeColor="text1"/>
                <w:sz w:val="20"/>
                <w:szCs w:val="20"/>
              </w:rPr>
            </w:pPr>
          </w:p>
        </w:tc>
        <w:tc>
          <w:tcPr>
            <w:tcW w:w="4788" w:type="dxa"/>
            <w:tcMar>
              <w:top w:w="0" w:type="dxa"/>
              <w:left w:w="108" w:type="dxa"/>
              <w:bottom w:w="0" w:type="dxa"/>
              <w:right w:w="108" w:type="dxa"/>
            </w:tcMar>
            <w:hideMark/>
          </w:tcPr>
          <w:p w:rsidR="00621B92" w:rsidRPr="001C3B58" w:rsidRDefault="00621B92">
            <w:pPr>
              <w:rPr>
                <w:rFonts w:ascii="Arial" w:eastAsiaTheme="minorHAnsi" w:hAnsi="Arial" w:cs="Arial"/>
                <w:b/>
                <w:bCs/>
                <w:color w:val="000000" w:themeColor="text1"/>
                <w:sz w:val="20"/>
                <w:szCs w:val="20"/>
              </w:rPr>
            </w:pPr>
            <w:r w:rsidRPr="001C3B58">
              <w:rPr>
                <w:rFonts w:ascii="Arial" w:hAnsi="Arial" w:cs="Arial"/>
                <w:color w:val="000000" w:themeColor="text1"/>
                <w:sz w:val="20"/>
                <w:szCs w:val="20"/>
              </w:rPr>
              <w:t>RR3QWICWWIPCS8A4S074</w:t>
            </w:r>
          </w:p>
        </w:tc>
      </w:tr>
      <w:tr w:rsidR="001C3B58" w:rsidRPr="001C3B58" w:rsidTr="00621B92">
        <w:tc>
          <w:tcPr>
            <w:tcW w:w="4788" w:type="dxa"/>
            <w:tcMar>
              <w:top w:w="0" w:type="dxa"/>
              <w:left w:w="108" w:type="dxa"/>
              <w:bottom w:w="0" w:type="dxa"/>
              <w:right w:w="108" w:type="dxa"/>
            </w:tcMar>
          </w:tcPr>
          <w:p w:rsidR="00621B92" w:rsidRPr="001C3B58" w:rsidRDefault="00621B92">
            <w:pPr>
              <w:rPr>
                <w:rFonts w:ascii="Arial" w:eastAsiaTheme="minorHAnsi" w:hAnsi="Arial" w:cs="Arial"/>
                <w:color w:val="000000" w:themeColor="text1"/>
                <w:sz w:val="20"/>
                <w:szCs w:val="20"/>
              </w:rPr>
            </w:pPr>
            <w:r w:rsidRPr="001C3B58">
              <w:rPr>
                <w:rFonts w:ascii="Arial" w:hAnsi="Arial" w:cs="Arial"/>
                <w:color w:val="000000" w:themeColor="text1"/>
                <w:sz w:val="20"/>
                <w:szCs w:val="20"/>
              </w:rPr>
              <w:t xml:space="preserve">The Royal Bank of Scotland Group plc </w:t>
            </w:r>
          </w:p>
          <w:p w:rsidR="00621B92" w:rsidRPr="001C3B58" w:rsidRDefault="00621B92">
            <w:pPr>
              <w:rPr>
                <w:rFonts w:ascii="Arial" w:eastAsiaTheme="minorHAnsi" w:hAnsi="Arial" w:cs="Arial"/>
                <w:b/>
                <w:bCs/>
                <w:color w:val="000000" w:themeColor="text1"/>
                <w:sz w:val="20"/>
                <w:szCs w:val="20"/>
              </w:rPr>
            </w:pPr>
          </w:p>
        </w:tc>
        <w:tc>
          <w:tcPr>
            <w:tcW w:w="4788" w:type="dxa"/>
            <w:tcMar>
              <w:top w:w="0" w:type="dxa"/>
              <w:left w:w="108" w:type="dxa"/>
              <w:bottom w:w="0" w:type="dxa"/>
              <w:right w:w="108" w:type="dxa"/>
            </w:tcMar>
            <w:hideMark/>
          </w:tcPr>
          <w:p w:rsidR="00621B92" w:rsidRPr="001C3B58" w:rsidRDefault="00621B92">
            <w:pPr>
              <w:rPr>
                <w:rFonts w:ascii="Arial" w:eastAsiaTheme="minorHAnsi" w:hAnsi="Arial" w:cs="Arial"/>
                <w:b/>
                <w:bCs/>
                <w:color w:val="000000" w:themeColor="text1"/>
                <w:sz w:val="20"/>
                <w:szCs w:val="20"/>
              </w:rPr>
            </w:pPr>
            <w:r w:rsidRPr="001C3B58">
              <w:rPr>
                <w:rFonts w:ascii="Arial" w:hAnsi="Arial" w:cs="Arial"/>
                <w:color w:val="000000" w:themeColor="text1"/>
                <w:sz w:val="20"/>
                <w:szCs w:val="20"/>
              </w:rPr>
              <w:t>2138005O9XJIJN4JPN90</w:t>
            </w:r>
          </w:p>
        </w:tc>
      </w:tr>
    </w:tbl>
    <w:p w:rsidR="00621B92" w:rsidRDefault="00621B92" w:rsidP="001C3B58">
      <w:pPr>
        <w:rPr>
          <w:rFonts w:ascii="Arial" w:eastAsiaTheme="minorHAnsi" w:hAnsi="Arial" w:cs="Arial"/>
          <w:b/>
          <w:bCs/>
          <w:color w:val="002469"/>
          <w:sz w:val="20"/>
          <w:szCs w:val="20"/>
        </w:rPr>
      </w:pPr>
    </w:p>
    <w:p w:rsidR="001C3B58" w:rsidRDefault="001C3B58" w:rsidP="001C3B58">
      <w:pPr>
        <w:rPr>
          <w:rFonts w:ascii="Arial" w:eastAsiaTheme="minorHAnsi" w:hAnsi="Arial" w:cs="Arial"/>
          <w:b/>
          <w:bCs/>
          <w:color w:val="002469"/>
          <w:sz w:val="20"/>
          <w:szCs w:val="20"/>
        </w:rPr>
      </w:pPr>
    </w:p>
    <w:sectPr w:rsidR="001C3B58" w:rsidSect="00050C51">
      <w:pgSz w:w="11906" w:h="16838" w:code="9"/>
      <w:pgMar w:top="1247" w:right="1247" w:bottom="1247" w:left="1247"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C6C" w:rsidRDefault="00012C6C" w:rsidP="00AA4E94">
      <w:r>
        <w:separator/>
      </w:r>
    </w:p>
  </w:endnote>
  <w:endnote w:type="continuationSeparator" w:id="0">
    <w:p w:rsidR="00012C6C" w:rsidRDefault="00012C6C" w:rsidP="00AA4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C6C" w:rsidRDefault="00012C6C" w:rsidP="00AA4E94">
      <w:r>
        <w:separator/>
      </w:r>
    </w:p>
  </w:footnote>
  <w:footnote w:type="continuationSeparator" w:id="0">
    <w:p w:rsidR="00012C6C" w:rsidRDefault="00012C6C" w:rsidP="00AA4E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CAF228"/>
    <w:lvl w:ilvl="0">
      <w:start w:val="1"/>
      <w:numFmt w:val="decimal"/>
      <w:lvlText w:val="%1."/>
      <w:lvlJc w:val="left"/>
      <w:pPr>
        <w:tabs>
          <w:tab w:val="num" w:pos="1492"/>
        </w:tabs>
        <w:ind w:left="1492" w:hanging="360"/>
      </w:pPr>
    </w:lvl>
  </w:abstractNum>
  <w:abstractNum w:abstractNumId="1">
    <w:nsid w:val="FFFFFF7D"/>
    <w:multiLevelType w:val="singleLevel"/>
    <w:tmpl w:val="F36E8A52"/>
    <w:lvl w:ilvl="0">
      <w:start w:val="1"/>
      <w:numFmt w:val="decimal"/>
      <w:lvlText w:val="%1."/>
      <w:lvlJc w:val="left"/>
      <w:pPr>
        <w:tabs>
          <w:tab w:val="num" w:pos="1209"/>
        </w:tabs>
        <w:ind w:left="1209" w:hanging="360"/>
      </w:pPr>
    </w:lvl>
  </w:abstractNum>
  <w:abstractNum w:abstractNumId="2">
    <w:nsid w:val="FFFFFF7E"/>
    <w:multiLevelType w:val="singleLevel"/>
    <w:tmpl w:val="45B6BDD6"/>
    <w:lvl w:ilvl="0">
      <w:start w:val="1"/>
      <w:numFmt w:val="decimal"/>
      <w:lvlText w:val="%1."/>
      <w:lvlJc w:val="left"/>
      <w:pPr>
        <w:tabs>
          <w:tab w:val="num" w:pos="926"/>
        </w:tabs>
        <w:ind w:left="926" w:hanging="360"/>
      </w:pPr>
    </w:lvl>
  </w:abstractNum>
  <w:abstractNum w:abstractNumId="3">
    <w:nsid w:val="FFFFFF7F"/>
    <w:multiLevelType w:val="singleLevel"/>
    <w:tmpl w:val="22E8A504"/>
    <w:lvl w:ilvl="0">
      <w:start w:val="1"/>
      <w:numFmt w:val="decimal"/>
      <w:lvlText w:val="%1."/>
      <w:lvlJc w:val="left"/>
      <w:pPr>
        <w:tabs>
          <w:tab w:val="num" w:pos="643"/>
        </w:tabs>
        <w:ind w:left="643" w:hanging="360"/>
      </w:pPr>
    </w:lvl>
  </w:abstractNum>
  <w:abstractNum w:abstractNumId="4">
    <w:nsid w:val="FFFFFF80"/>
    <w:multiLevelType w:val="singleLevel"/>
    <w:tmpl w:val="9D80A65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D6FC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AE4490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40C404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85CFEF6"/>
    <w:lvl w:ilvl="0">
      <w:start w:val="1"/>
      <w:numFmt w:val="decimal"/>
      <w:lvlText w:val="%1."/>
      <w:lvlJc w:val="left"/>
      <w:pPr>
        <w:tabs>
          <w:tab w:val="num" w:pos="360"/>
        </w:tabs>
        <w:ind w:left="360" w:hanging="360"/>
      </w:pPr>
    </w:lvl>
  </w:abstractNum>
  <w:abstractNum w:abstractNumId="9">
    <w:nsid w:val="FFFFFF89"/>
    <w:multiLevelType w:val="singleLevel"/>
    <w:tmpl w:val="49B65BEE"/>
    <w:lvl w:ilvl="0">
      <w:start w:val="1"/>
      <w:numFmt w:val="bullet"/>
      <w:lvlText w:val=""/>
      <w:lvlJc w:val="left"/>
      <w:pPr>
        <w:tabs>
          <w:tab w:val="num" w:pos="360"/>
        </w:tabs>
        <w:ind w:left="360" w:hanging="360"/>
      </w:pPr>
      <w:rPr>
        <w:rFonts w:ascii="Symbol" w:hAnsi="Symbol" w:hint="default"/>
      </w:rPr>
    </w:lvl>
  </w:abstractNum>
  <w:abstractNum w:abstractNumId="10">
    <w:nsid w:val="028377FC"/>
    <w:multiLevelType w:val="hybridMultilevel"/>
    <w:tmpl w:val="9C9A5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FD601C6"/>
    <w:multiLevelType w:val="multilevel"/>
    <w:tmpl w:val="C6C880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29D3BC6"/>
    <w:multiLevelType w:val="hybridMultilevel"/>
    <w:tmpl w:val="C6C880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6434398"/>
    <w:multiLevelType w:val="hybridMultilevel"/>
    <w:tmpl w:val="A7225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7BB23AC"/>
    <w:multiLevelType w:val="hybridMultilevel"/>
    <w:tmpl w:val="4E323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25512FE"/>
    <w:multiLevelType w:val="hybridMultilevel"/>
    <w:tmpl w:val="B05A0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A722ADD"/>
    <w:multiLevelType w:val="hybridMultilevel"/>
    <w:tmpl w:val="4E50C4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5"/>
  </w:num>
  <w:num w:numId="14">
    <w:abstractNumId w:val="12"/>
  </w:num>
  <w:num w:numId="15">
    <w:abstractNumId w:val="11"/>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C6C"/>
    <w:rsid w:val="00012C6C"/>
    <w:rsid w:val="00031405"/>
    <w:rsid w:val="00050C51"/>
    <w:rsid w:val="00072D44"/>
    <w:rsid w:val="000B3E65"/>
    <w:rsid w:val="000B77C0"/>
    <w:rsid w:val="001076AF"/>
    <w:rsid w:val="00116EE2"/>
    <w:rsid w:val="0019572F"/>
    <w:rsid w:val="001A76B3"/>
    <w:rsid w:val="001B6042"/>
    <w:rsid w:val="001C3B58"/>
    <w:rsid w:val="001D1699"/>
    <w:rsid w:val="001D5067"/>
    <w:rsid w:val="001E2C17"/>
    <w:rsid w:val="001F2EC9"/>
    <w:rsid w:val="002502E0"/>
    <w:rsid w:val="002A1F66"/>
    <w:rsid w:val="002E13A6"/>
    <w:rsid w:val="00304DEA"/>
    <w:rsid w:val="00334D10"/>
    <w:rsid w:val="003A13B9"/>
    <w:rsid w:val="003A5F6B"/>
    <w:rsid w:val="004030FD"/>
    <w:rsid w:val="004341A5"/>
    <w:rsid w:val="004455C5"/>
    <w:rsid w:val="00493351"/>
    <w:rsid w:val="004D6B73"/>
    <w:rsid w:val="00514392"/>
    <w:rsid w:val="00544150"/>
    <w:rsid w:val="00586640"/>
    <w:rsid w:val="005A119B"/>
    <w:rsid w:val="005C4369"/>
    <w:rsid w:val="005D23AB"/>
    <w:rsid w:val="00621B92"/>
    <w:rsid w:val="00654A58"/>
    <w:rsid w:val="006C426F"/>
    <w:rsid w:val="006E1AED"/>
    <w:rsid w:val="006E252B"/>
    <w:rsid w:val="006E4102"/>
    <w:rsid w:val="006F37AD"/>
    <w:rsid w:val="00703B80"/>
    <w:rsid w:val="00752B89"/>
    <w:rsid w:val="007B11BD"/>
    <w:rsid w:val="00804F60"/>
    <w:rsid w:val="00841E4D"/>
    <w:rsid w:val="00864E34"/>
    <w:rsid w:val="00884A01"/>
    <w:rsid w:val="00890423"/>
    <w:rsid w:val="00924F09"/>
    <w:rsid w:val="009362ED"/>
    <w:rsid w:val="00951549"/>
    <w:rsid w:val="00953704"/>
    <w:rsid w:val="00971F1D"/>
    <w:rsid w:val="009850EC"/>
    <w:rsid w:val="009974C9"/>
    <w:rsid w:val="009C1F81"/>
    <w:rsid w:val="009F60F4"/>
    <w:rsid w:val="00A26B45"/>
    <w:rsid w:val="00A72C4F"/>
    <w:rsid w:val="00A731B3"/>
    <w:rsid w:val="00A85E6E"/>
    <w:rsid w:val="00A8695B"/>
    <w:rsid w:val="00AA4E94"/>
    <w:rsid w:val="00AE1AE9"/>
    <w:rsid w:val="00B52B15"/>
    <w:rsid w:val="00B55D29"/>
    <w:rsid w:val="00B83435"/>
    <w:rsid w:val="00BA75B8"/>
    <w:rsid w:val="00BC7350"/>
    <w:rsid w:val="00BD1E05"/>
    <w:rsid w:val="00BD2B7A"/>
    <w:rsid w:val="00BE261A"/>
    <w:rsid w:val="00BF4249"/>
    <w:rsid w:val="00C032E4"/>
    <w:rsid w:val="00C06EAA"/>
    <w:rsid w:val="00C378DB"/>
    <w:rsid w:val="00C37A69"/>
    <w:rsid w:val="00C41080"/>
    <w:rsid w:val="00C56376"/>
    <w:rsid w:val="00CB3C4E"/>
    <w:rsid w:val="00CC7B1A"/>
    <w:rsid w:val="00CD5772"/>
    <w:rsid w:val="00CF3178"/>
    <w:rsid w:val="00D14105"/>
    <w:rsid w:val="00D25DB3"/>
    <w:rsid w:val="00D85A20"/>
    <w:rsid w:val="00D95418"/>
    <w:rsid w:val="00DE5894"/>
    <w:rsid w:val="00DF6189"/>
    <w:rsid w:val="00E15C7A"/>
    <w:rsid w:val="00E614C2"/>
    <w:rsid w:val="00E66150"/>
    <w:rsid w:val="00E80952"/>
    <w:rsid w:val="00EA015A"/>
    <w:rsid w:val="00EB6573"/>
    <w:rsid w:val="00EC21BD"/>
    <w:rsid w:val="00F1405F"/>
    <w:rsid w:val="00F3259A"/>
    <w:rsid w:val="00F53556"/>
    <w:rsid w:val="00F547EF"/>
    <w:rsid w:val="00F55EC4"/>
    <w:rsid w:val="00FB7CEC"/>
    <w:rsid w:val="00FD5978"/>
    <w:rsid w:val="00FF35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012C6C"/>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CC7B1A"/>
    <w:pPr>
      <w:keepNext/>
      <w:spacing w:before="240" w:after="320"/>
      <w:outlineLvl w:val="0"/>
    </w:pPr>
    <w:rPr>
      <w:rFonts w:ascii="Arial" w:eastAsiaTheme="majorEastAsia" w:hAnsi="Arial" w:cstheme="majorBidi"/>
      <w:b/>
      <w:bCs/>
      <w:kern w:val="28"/>
      <w:sz w:val="32"/>
      <w:szCs w:val="28"/>
      <w:lang w:eastAsia="en-US"/>
    </w:rPr>
  </w:style>
  <w:style w:type="paragraph" w:styleId="Heading2">
    <w:name w:val="heading 2"/>
    <w:basedOn w:val="Normal"/>
    <w:next w:val="Normal"/>
    <w:link w:val="Heading2Char"/>
    <w:uiPriority w:val="9"/>
    <w:semiHidden/>
    <w:unhideWhenUsed/>
    <w:qFormat/>
    <w:rsid w:val="00CC7B1A"/>
    <w:pPr>
      <w:keepNext/>
      <w:spacing w:before="240" w:after="240"/>
      <w:outlineLvl w:val="1"/>
    </w:pPr>
    <w:rPr>
      <w:rFonts w:ascii="Arial" w:eastAsiaTheme="majorEastAsia" w:hAnsi="Arial" w:cstheme="majorBidi"/>
      <w:b/>
      <w:bCs/>
      <w:kern w:val="28"/>
      <w:sz w:val="28"/>
      <w:szCs w:val="26"/>
      <w:lang w:eastAsia="en-US"/>
    </w:rPr>
  </w:style>
  <w:style w:type="paragraph" w:styleId="Heading3">
    <w:name w:val="heading 3"/>
    <w:basedOn w:val="Normal"/>
    <w:next w:val="Normal"/>
    <w:link w:val="Heading3Char"/>
    <w:uiPriority w:val="9"/>
    <w:unhideWhenUsed/>
    <w:qFormat/>
    <w:rsid w:val="00CC7B1A"/>
    <w:pPr>
      <w:keepNext/>
      <w:spacing w:before="240" w:after="240"/>
      <w:outlineLvl w:val="2"/>
    </w:pPr>
    <w:rPr>
      <w:rFonts w:ascii="Arial" w:eastAsiaTheme="majorEastAsia" w:hAnsi="Arial" w:cstheme="majorBidi"/>
      <w:b/>
      <w:bCs/>
      <w:szCs w:val="22"/>
      <w:lang w:eastAsia="en-US"/>
    </w:rPr>
  </w:style>
  <w:style w:type="paragraph" w:styleId="Heading4">
    <w:name w:val="heading 4"/>
    <w:basedOn w:val="Normal"/>
    <w:next w:val="Normal"/>
    <w:link w:val="Heading4Char"/>
    <w:uiPriority w:val="9"/>
    <w:semiHidden/>
    <w:unhideWhenUsed/>
    <w:qFormat/>
    <w:rsid w:val="00CC7B1A"/>
    <w:pPr>
      <w:keepNext/>
      <w:spacing w:before="240" w:after="240"/>
      <w:outlineLvl w:val="3"/>
    </w:pPr>
    <w:rPr>
      <w:rFonts w:ascii="Arial" w:eastAsiaTheme="majorEastAsia" w:hAnsi="Arial" w:cstheme="majorBidi"/>
      <w:b/>
      <w:bCs/>
      <w:iCs/>
      <w:sz w:val="22"/>
      <w:szCs w:val="22"/>
      <w:lang w:eastAsia="en-US"/>
    </w:rPr>
  </w:style>
  <w:style w:type="paragraph" w:styleId="Heading5">
    <w:name w:val="heading 5"/>
    <w:basedOn w:val="Normal"/>
    <w:next w:val="Normal"/>
    <w:link w:val="Heading5Char"/>
    <w:uiPriority w:val="9"/>
    <w:semiHidden/>
    <w:unhideWhenUsed/>
    <w:qFormat/>
    <w:rsid w:val="00864E34"/>
    <w:pPr>
      <w:keepNext/>
      <w:spacing w:before="240" w:after="120"/>
      <w:outlineLvl w:val="4"/>
    </w:pPr>
    <w:rPr>
      <w:rFonts w:ascii="Arial" w:eastAsiaTheme="majorEastAsia" w:hAnsi="Arial" w:cstheme="majorBidi"/>
      <w:b/>
      <w:sz w:val="20"/>
      <w:szCs w:val="22"/>
      <w:lang w:eastAsia="en-US"/>
    </w:rPr>
  </w:style>
  <w:style w:type="paragraph" w:styleId="Heading6">
    <w:name w:val="heading 6"/>
    <w:basedOn w:val="Normal"/>
    <w:next w:val="Normal"/>
    <w:link w:val="Heading6Char"/>
    <w:uiPriority w:val="9"/>
    <w:semiHidden/>
    <w:unhideWhenUsed/>
    <w:qFormat/>
    <w:rsid w:val="00864E34"/>
    <w:pPr>
      <w:keepNext/>
      <w:spacing w:before="240" w:after="60"/>
      <w:outlineLvl w:val="5"/>
    </w:pPr>
    <w:rPr>
      <w:rFonts w:ascii="Arial" w:eastAsiaTheme="majorEastAsia" w:hAnsi="Arial" w:cstheme="majorBidi"/>
      <w:b/>
      <w:iCs/>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E94"/>
    <w:pPr>
      <w:tabs>
        <w:tab w:val="center" w:pos="4706"/>
        <w:tab w:val="right" w:pos="9412"/>
      </w:tabs>
    </w:pPr>
    <w:rPr>
      <w:rFonts w:ascii="Arial" w:eastAsiaTheme="minorHAnsi" w:hAnsi="Arial" w:cstheme="minorBidi"/>
      <w:sz w:val="20"/>
      <w:szCs w:val="22"/>
      <w:lang w:eastAsia="en-US"/>
    </w:rPr>
  </w:style>
  <w:style w:type="character" w:customStyle="1" w:styleId="HeaderChar">
    <w:name w:val="Header Char"/>
    <w:basedOn w:val="DefaultParagraphFont"/>
    <w:link w:val="Header"/>
    <w:uiPriority w:val="99"/>
    <w:rsid w:val="00890423"/>
    <w:rPr>
      <w:rFonts w:ascii="Arial" w:hAnsi="Arial"/>
      <w:sz w:val="20"/>
    </w:rPr>
  </w:style>
  <w:style w:type="paragraph" w:styleId="Footer">
    <w:name w:val="footer"/>
    <w:basedOn w:val="Normal"/>
    <w:link w:val="FooterChar"/>
    <w:uiPriority w:val="99"/>
    <w:unhideWhenUsed/>
    <w:rsid w:val="00951549"/>
    <w:pPr>
      <w:tabs>
        <w:tab w:val="center" w:pos="4706"/>
        <w:tab w:val="right" w:pos="9412"/>
      </w:tabs>
    </w:pPr>
    <w:rPr>
      <w:rFonts w:ascii="Arial" w:eastAsiaTheme="minorHAnsi" w:hAnsi="Arial" w:cstheme="minorBidi"/>
      <w:sz w:val="16"/>
      <w:szCs w:val="22"/>
      <w:lang w:eastAsia="en-US"/>
    </w:rPr>
  </w:style>
  <w:style w:type="character" w:customStyle="1" w:styleId="FooterChar">
    <w:name w:val="Footer Char"/>
    <w:basedOn w:val="DefaultParagraphFont"/>
    <w:link w:val="Footer"/>
    <w:uiPriority w:val="99"/>
    <w:rsid w:val="00890423"/>
    <w:rPr>
      <w:rFonts w:ascii="Arial" w:hAnsi="Arial"/>
      <w:sz w:val="16"/>
    </w:rPr>
  </w:style>
  <w:style w:type="character" w:customStyle="1" w:styleId="Heading1Char">
    <w:name w:val="Heading 1 Char"/>
    <w:basedOn w:val="DefaultParagraphFont"/>
    <w:link w:val="Heading1"/>
    <w:uiPriority w:val="9"/>
    <w:rsid w:val="00CC7B1A"/>
    <w:rPr>
      <w:rFonts w:ascii="Arial" w:eastAsiaTheme="majorEastAsia" w:hAnsi="Arial" w:cstheme="majorBidi"/>
      <w:b/>
      <w:bCs/>
      <w:kern w:val="28"/>
      <w:sz w:val="32"/>
      <w:szCs w:val="28"/>
    </w:rPr>
  </w:style>
  <w:style w:type="character" w:customStyle="1" w:styleId="Heading2Char">
    <w:name w:val="Heading 2 Char"/>
    <w:basedOn w:val="DefaultParagraphFont"/>
    <w:link w:val="Heading2"/>
    <w:uiPriority w:val="9"/>
    <w:semiHidden/>
    <w:rsid w:val="00890423"/>
    <w:rPr>
      <w:rFonts w:ascii="Arial" w:eastAsiaTheme="majorEastAsia" w:hAnsi="Arial" w:cstheme="majorBidi"/>
      <w:b/>
      <w:bCs/>
      <w:kern w:val="28"/>
      <w:sz w:val="28"/>
      <w:szCs w:val="26"/>
    </w:rPr>
  </w:style>
  <w:style w:type="character" w:customStyle="1" w:styleId="Heading3Char">
    <w:name w:val="Heading 3 Char"/>
    <w:basedOn w:val="DefaultParagraphFont"/>
    <w:link w:val="Heading3"/>
    <w:uiPriority w:val="9"/>
    <w:rsid w:val="00890423"/>
    <w:rPr>
      <w:rFonts w:ascii="Arial" w:eastAsiaTheme="majorEastAsia" w:hAnsi="Arial" w:cstheme="majorBidi"/>
      <w:b/>
      <w:bCs/>
      <w:sz w:val="24"/>
    </w:rPr>
  </w:style>
  <w:style w:type="character" w:customStyle="1" w:styleId="Heading4Char">
    <w:name w:val="Heading 4 Char"/>
    <w:basedOn w:val="DefaultParagraphFont"/>
    <w:link w:val="Heading4"/>
    <w:uiPriority w:val="9"/>
    <w:semiHidden/>
    <w:rsid w:val="00890423"/>
    <w:rPr>
      <w:rFonts w:ascii="Arial" w:eastAsiaTheme="majorEastAsia" w:hAnsi="Arial" w:cstheme="majorBidi"/>
      <w:b/>
      <w:bCs/>
      <w:iCs/>
    </w:rPr>
  </w:style>
  <w:style w:type="character" w:customStyle="1" w:styleId="Heading5Char">
    <w:name w:val="Heading 5 Char"/>
    <w:basedOn w:val="DefaultParagraphFont"/>
    <w:link w:val="Heading5"/>
    <w:uiPriority w:val="9"/>
    <w:semiHidden/>
    <w:rsid w:val="00864E34"/>
    <w:rPr>
      <w:rFonts w:ascii="Arial" w:eastAsiaTheme="majorEastAsia" w:hAnsi="Arial" w:cstheme="majorBidi"/>
      <w:b/>
      <w:sz w:val="20"/>
    </w:rPr>
  </w:style>
  <w:style w:type="character" w:styleId="PageNumber">
    <w:name w:val="page number"/>
    <w:basedOn w:val="DefaultParagraphFont"/>
    <w:uiPriority w:val="99"/>
    <w:semiHidden/>
    <w:unhideWhenUsed/>
    <w:rsid w:val="00951549"/>
    <w:rPr>
      <w:rFonts w:ascii="Arial" w:hAnsi="Arial"/>
      <w:sz w:val="16"/>
    </w:rPr>
  </w:style>
  <w:style w:type="paragraph" w:styleId="TOCHeading">
    <w:name w:val="TOC Heading"/>
    <w:basedOn w:val="Heading1"/>
    <w:next w:val="Normal"/>
    <w:uiPriority w:val="39"/>
    <w:semiHidden/>
    <w:unhideWhenUsed/>
    <w:qFormat/>
    <w:rsid w:val="00951549"/>
    <w:pPr>
      <w:outlineLvl w:val="9"/>
    </w:pPr>
    <w:rPr>
      <w:kern w:val="0"/>
    </w:rPr>
  </w:style>
  <w:style w:type="character" w:customStyle="1" w:styleId="Heading6Char">
    <w:name w:val="Heading 6 Char"/>
    <w:basedOn w:val="DefaultParagraphFont"/>
    <w:link w:val="Heading6"/>
    <w:uiPriority w:val="9"/>
    <w:semiHidden/>
    <w:rsid w:val="00864E34"/>
    <w:rPr>
      <w:rFonts w:ascii="Arial" w:eastAsiaTheme="majorEastAsia" w:hAnsi="Arial" w:cstheme="majorBidi"/>
      <w:b/>
      <w:iCs/>
      <w:sz w:val="20"/>
    </w:rPr>
  </w:style>
  <w:style w:type="paragraph" w:styleId="TOC1">
    <w:name w:val="toc 1"/>
    <w:basedOn w:val="Normal"/>
    <w:next w:val="Normal"/>
    <w:uiPriority w:val="39"/>
    <w:semiHidden/>
    <w:unhideWhenUsed/>
    <w:rsid w:val="001A76B3"/>
    <w:pPr>
      <w:spacing w:before="240"/>
    </w:pPr>
    <w:rPr>
      <w:rFonts w:ascii="Arial" w:eastAsiaTheme="minorHAnsi" w:hAnsi="Arial" w:cstheme="minorBidi"/>
      <w:b/>
      <w:sz w:val="20"/>
      <w:szCs w:val="22"/>
      <w:lang w:eastAsia="en-US"/>
    </w:rPr>
  </w:style>
  <w:style w:type="paragraph" w:styleId="TOC2">
    <w:name w:val="toc 2"/>
    <w:basedOn w:val="Normal"/>
    <w:next w:val="Normal"/>
    <w:uiPriority w:val="39"/>
    <w:semiHidden/>
    <w:unhideWhenUsed/>
    <w:rsid w:val="001A76B3"/>
    <w:rPr>
      <w:rFonts w:ascii="Arial" w:eastAsiaTheme="minorHAnsi" w:hAnsi="Arial" w:cstheme="minorBidi"/>
      <w:sz w:val="20"/>
      <w:szCs w:val="22"/>
      <w:lang w:eastAsia="en-US"/>
    </w:rPr>
  </w:style>
  <w:style w:type="paragraph" w:styleId="TOC3">
    <w:name w:val="toc 3"/>
    <w:basedOn w:val="Normal"/>
    <w:next w:val="Normal"/>
    <w:uiPriority w:val="39"/>
    <w:semiHidden/>
    <w:unhideWhenUsed/>
    <w:rsid w:val="001A76B3"/>
    <w:rPr>
      <w:rFonts w:ascii="Arial" w:eastAsiaTheme="minorHAnsi" w:hAnsi="Arial" w:cstheme="minorBidi"/>
      <w:sz w:val="20"/>
      <w:szCs w:val="22"/>
      <w:lang w:eastAsia="en-US"/>
    </w:rPr>
  </w:style>
  <w:style w:type="paragraph" w:styleId="TOC4">
    <w:name w:val="toc 4"/>
    <w:basedOn w:val="Normal"/>
    <w:next w:val="Normal"/>
    <w:uiPriority w:val="39"/>
    <w:semiHidden/>
    <w:unhideWhenUsed/>
    <w:rsid w:val="001A76B3"/>
    <w:rPr>
      <w:rFonts w:ascii="Arial" w:eastAsiaTheme="minorHAnsi" w:hAnsi="Arial" w:cstheme="minorBidi"/>
      <w:sz w:val="20"/>
      <w:szCs w:val="22"/>
      <w:lang w:eastAsia="en-US"/>
    </w:rPr>
  </w:style>
  <w:style w:type="paragraph" w:styleId="TOC6">
    <w:name w:val="toc 6"/>
    <w:basedOn w:val="Normal"/>
    <w:next w:val="Normal"/>
    <w:uiPriority w:val="39"/>
    <w:semiHidden/>
    <w:unhideWhenUsed/>
    <w:rsid w:val="001A76B3"/>
    <w:rPr>
      <w:rFonts w:ascii="Arial" w:eastAsiaTheme="minorHAnsi" w:hAnsi="Arial" w:cstheme="minorBidi"/>
      <w:sz w:val="20"/>
      <w:szCs w:val="22"/>
      <w:lang w:eastAsia="en-US"/>
    </w:rPr>
  </w:style>
  <w:style w:type="paragraph" w:styleId="TOC5">
    <w:name w:val="toc 5"/>
    <w:basedOn w:val="Normal"/>
    <w:next w:val="Normal"/>
    <w:uiPriority w:val="39"/>
    <w:semiHidden/>
    <w:unhideWhenUsed/>
    <w:rsid w:val="00072D44"/>
    <w:rPr>
      <w:rFonts w:ascii="Arial" w:eastAsiaTheme="minorHAnsi" w:hAnsi="Arial" w:cstheme="minorBidi"/>
      <w:sz w:val="20"/>
      <w:szCs w:val="22"/>
      <w:lang w:eastAsia="en-US"/>
    </w:rPr>
  </w:style>
  <w:style w:type="paragraph" w:styleId="TOC7">
    <w:name w:val="toc 7"/>
    <w:basedOn w:val="Normal"/>
    <w:next w:val="Normal"/>
    <w:uiPriority w:val="39"/>
    <w:semiHidden/>
    <w:unhideWhenUsed/>
    <w:rsid w:val="00072D44"/>
    <w:rPr>
      <w:rFonts w:ascii="Arial" w:eastAsiaTheme="minorHAnsi" w:hAnsi="Arial" w:cstheme="minorBidi"/>
      <w:sz w:val="20"/>
      <w:szCs w:val="22"/>
      <w:lang w:eastAsia="en-US"/>
    </w:rPr>
  </w:style>
  <w:style w:type="paragraph" w:styleId="TOC8">
    <w:name w:val="toc 8"/>
    <w:basedOn w:val="Normal"/>
    <w:next w:val="Normal"/>
    <w:uiPriority w:val="39"/>
    <w:semiHidden/>
    <w:unhideWhenUsed/>
    <w:rsid w:val="00072D44"/>
    <w:rPr>
      <w:rFonts w:ascii="Arial" w:eastAsiaTheme="minorHAnsi" w:hAnsi="Arial" w:cstheme="minorBidi"/>
      <w:sz w:val="20"/>
      <w:szCs w:val="22"/>
      <w:lang w:eastAsia="en-US"/>
    </w:rPr>
  </w:style>
  <w:style w:type="paragraph" w:styleId="TOC9">
    <w:name w:val="toc 9"/>
    <w:basedOn w:val="Normal"/>
    <w:next w:val="Normal"/>
    <w:uiPriority w:val="39"/>
    <w:semiHidden/>
    <w:unhideWhenUsed/>
    <w:rsid w:val="00072D44"/>
    <w:rPr>
      <w:rFonts w:ascii="Arial" w:eastAsiaTheme="minorHAnsi" w:hAnsi="Arial" w:cstheme="minorBidi"/>
      <w:sz w:val="20"/>
      <w:szCs w:val="22"/>
      <w:lang w:eastAsia="en-US"/>
    </w:rPr>
  </w:style>
  <w:style w:type="paragraph" w:styleId="ListParagraph">
    <w:name w:val="List Paragraph"/>
    <w:basedOn w:val="Normal"/>
    <w:uiPriority w:val="34"/>
    <w:rsid w:val="00BE261A"/>
    <w:pPr>
      <w:ind w:left="720"/>
    </w:pPr>
    <w:rPr>
      <w:rFonts w:ascii="Arial" w:eastAsiaTheme="minorHAnsi" w:hAnsi="Arial" w:cstheme="minorBidi"/>
      <w:sz w:val="20"/>
      <w:szCs w:val="22"/>
      <w:lang w:eastAsia="en-US"/>
    </w:rPr>
  </w:style>
  <w:style w:type="paragraph" w:customStyle="1" w:styleId="Body">
    <w:name w:val="Body"/>
    <w:basedOn w:val="Normal"/>
    <w:rsid w:val="001C3B58"/>
    <w:pPr>
      <w:spacing w:after="140" w:line="290" w:lineRule="auto"/>
      <w:jc w:val="both"/>
    </w:pPr>
    <w:rPr>
      <w:rFonts w:ascii="Arial" w:hAnsi="Arial"/>
      <w:kern w:val="2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012C6C"/>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CC7B1A"/>
    <w:pPr>
      <w:keepNext/>
      <w:spacing w:before="240" w:after="320"/>
      <w:outlineLvl w:val="0"/>
    </w:pPr>
    <w:rPr>
      <w:rFonts w:ascii="Arial" w:eastAsiaTheme="majorEastAsia" w:hAnsi="Arial" w:cstheme="majorBidi"/>
      <w:b/>
      <w:bCs/>
      <w:kern w:val="28"/>
      <w:sz w:val="32"/>
      <w:szCs w:val="28"/>
      <w:lang w:eastAsia="en-US"/>
    </w:rPr>
  </w:style>
  <w:style w:type="paragraph" w:styleId="Heading2">
    <w:name w:val="heading 2"/>
    <w:basedOn w:val="Normal"/>
    <w:next w:val="Normal"/>
    <w:link w:val="Heading2Char"/>
    <w:uiPriority w:val="9"/>
    <w:semiHidden/>
    <w:unhideWhenUsed/>
    <w:qFormat/>
    <w:rsid w:val="00CC7B1A"/>
    <w:pPr>
      <w:keepNext/>
      <w:spacing w:before="240" w:after="240"/>
      <w:outlineLvl w:val="1"/>
    </w:pPr>
    <w:rPr>
      <w:rFonts w:ascii="Arial" w:eastAsiaTheme="majorEastAsia" w:hAnsi="Arial" w:cstheme="majorBidi"/>
      <w:b/>
      <w:bCs/>
      <w:kern w:val="28"/>
      <w:sz w:val="28"/>
      <w:szCs w:val="26"/>
      <w:lang w:eastAsia="en-US"/>
    </w:rPr>
  </w:style>
  <w:style w:type="paragraph" w:styleId="Heading3">
    <w:name w:val="heading 3"/>
    <w:basedOn w:val="Normal"/>
    <w:next w:val="Normal"/>
    <w:link w:val="Heading3Char"/>
    <w:uiPriority w:val="9"/>
    <w:unhideWhenUsed/>
    <w:qFormat/>
    <w:rsid w:val="00CC7B1A"/>
    <w:pPr>
      <w:keepNext/>
      <w:spacing w:before="240" w:after="240"/>
      <w:outlineLvl w:val="2"/>
    </w:pPr>
    <w:rPr>
      <w:rFonts w:ascii="Arial" w:eastAsiaTheme="majorEastAsia" w:hAnsi="Arial" w:cstheme="majorBidi"/>
      <w:b/>
      <w:bCs/>
      <w:szCs w:val="22"/>
      <w:lang w:eastAsia="en-US"/>
    </w:rPr>
  </w:style>
  <w:style w:type="paragraph" w:styleId="Heading4">
    <w:name w:val="heading 4"/>
    <w:basedOn w:val="Normal"/>
    <w:next w:val="Normal"/>
    <w:link w:val="Heading4Char"/>
    <w:uiPriority w:val="9"/>
    <w:semiHidden/>
    <w:unhideWhenUsed/>
    <w:qFormat/>
    <w:rsid w:val="00CC7B1A"/>
    <w:pPr>
      <w:keepNext/>
      <w:spacing w:before="240" w:after="240"/>
      <w:outlineLvl w:val="3"/>
    </w:pPr>
    <w:rPr>
      <w:rFonts w:ascii="Arial" w:eastAsiaTheme="majorEastAsia" w:hAnsi="Arial" w:cstheme="majorBidi"/>
      <w:b/>
      <w:bCs/>
      <w:iCs/>
      <w:sz w:val="22"/>
      <w:szCs w:val="22"/>
      <w:lang w:eastAsia="en-US"/>
    </w:rPr>
  </w:style>
  <w:style w:type="paragraph" w:styleId="Heading5">
    <w:name w:val="heading 5"/>
    <w:basedOn w:val="Normal"/>
    <w:next w:val="Normal"/>
    <w:link w:val="Heading5Char"/>
    <w:uiPriority w:val="9"/>
    <w:semiHidden/>
    <w:unhideWhenUsed/>
    <w:qFormat/>
    <w:rsid w:val="00864E34"/>
    <w:pPr>
      <w:keepNext/>
      <w:spacing w:before="240" w:after="120"/>
      <w:outlineLvl w:val="4"/>
    </w:pPr>
    <w:rPr>
      <w:rFonts w:ascii="Arial" w:eastAsiaTheme="majorEastAsia" w:hAnsi="Arial" w:cstheme="majorBidi"/>
      <w:b/>
      <w:sz w:val="20"/>
      <w:szCs w:val="22"/>
      <w:lang w:eastAsia="en-US"/>
    </w:rPr>
  </w:style>
  <w:style w:type="paragraph" w:styleId="Heading6">
    <w:name w:val="heading 6"/>
    <w:basedOn w:val="Normal"/>
    <w:next w:val="Normal"/>
    <w:link w:val="Heading6Char"/>
    <w:uiPriority w:val="9"/>
    <w:semiHidden/>
    <w:unhideWhenUsed/>
    <w:qFormat/>
    <w:rsid w:val="00864E34"/>
    <w:pPr>
      <w:keepNext/>
      <w:spacing w:before="240" w:after="60"/>
      <w:outlineLvl w:val="5"/>
    </w:pPr>
    <w:rPr>
      <w:rFonts w:ascii="Arial" w:eastAsiaTheme="majorEastAsia" w:hAnsi="Arial" w:cstheme="majorBidi"/>
      <w:b/>
      <w:iCs/>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E94"/>
    <w:pPr>
      <w:tabs>
        <w:tab w:val="center" w:pos="4706"/>
        <w:tab w:val="right" w:pos="9412"/>
      </w:tabs>
    </w:pPr>
    <w:rPr>
      <w:rFonts w:ascii="Arial" w:eastAsiaTheme="minorHAnsi" w:hAnsi="Arial" w:cstheme="minorBidi"/>
      <w:sz w:val="20"/>
      <w:szCs w:val="22"/>
      <w:lang w:eastAsia="en-US"/>
    </w:rPr>
  </w:style>
  <w:style w:type="character" w:customStyle="1" w:styleId="HeaderChar">
    <w:name w:val="Header Char"/>
    <w:basedOn w:val="DefaultParagraphFont"/>
    <w:link w:val="Header"/>
    <w:uiPriority w:val="99"/>
    <w:rsid w:val="00890423"/>
    <w:rPr>
      <w:rFonts w:ascii="Arial" w:hAnsi="Arial"/>
      <w:sz w:val="20"/>
    </w:rPr>
  </w:style>
  <w:style w:type="paragraph" w:styleId="Footer">
    <w:name w:val="footer"/>
    <w:basedOn w:val="Normal"/>
    <w:link w:val="FooterChar"/>
    <w:uiPriority w:val="99"/>
    <w:unhideWhenUsed/>
    <w:rsid w:val="00951549"/>
    <w:pPr>
      <w:tabs>
        <w:tab w:val="center" w:pos="4706"/>
        <w:tab w:val="right" w:pos="9412"/>
      </w:tabs>
    </w:pPr>
    <w:rPr>
      <w:rFonts w:ascii="Arial" w:eastAsiaTheme="minorHAnsi" w:hAnsi="Arial" w:cstheme="minorBidi"/>
      <w:sz w:val="16"/>
      <w:szCs w:val="22"/>
      <w:lang w:eastAsia="en-US"/>
    </w:rPr>
  </w:style>
  <w:style w:type="character" w:customStyle="1" w:styleId="FooterChar">
    <w:name w:val="Footer Char"/>
    <w:basedOn w:val="DefaultParagraphFont"/>
    <w:link w:val="Footer"/>
    <w:uiPriority w:val="99"/>
    <w:rsid w:val="00890423"/>
    <w:rPr>
      <w:rFonts w:ascii="Arial" w:hAnsi="Arial"/>
      <w:sz w:val="16"/>
    </w:rPr>
  </w:style>
  <w:style w:type="character" w:customStyle="1" w:styleId="Heading1Char">
    <w:name w:val="Heading 1 Char"/>
    <w:basedOn w:val="DefaultParagraphFont"/>
    <w:link w:val="Heading1"/>
    <w:uiPriority w:val="9"/>
    <w:rsid w:val="00CC7B1A"/>
    <w:rPr>
      <w:rFonts w:ascii="Arial" w:eastAsiaTheme="majorEastAsia" w:hAnsi="Arial" w:cstheme="majorBidi"/>
      <w:b/>
      <w:bCs/>
      <w:kern w:val="28"/>
      <w:sz w:val="32"/>
      <w:szCs w:val="28"/>
    </w:rPr>
  </w:style>
  <w:style w:type="character" w:customStyle="1" w:styleId="Heading2Char">
    <w:name w:val="Heading 2 Char"/>
    <w:basedOn w:val="DefaultParagraphFont"/>
    <w:link w:val="Heading2"/>
    <w:uiPriority w:val="9"/>
    <w:semiHidden/>
    <w:rsid w:val="00890423"/>
    <w:rPr>
      <w:rFonts w:ascii="Arial" w:eastAsiaTheme="majorEastAsia" w:hAnsi="Arial" w:cstheme="majorBidi"/>
      <w:b/>
      <w:bCs/>
      <w:kern w:val="28"/>
      <w:sz w:val="28"/>
      <w:szCs w:val="26"/>
    </w:rPr>
  </w:style>
  <w:style w:type="character" w:customStyle="1" w:styleId="Heading3Char">
    <w:name w:val="Heading 3 Char"/>
    <w:basedOn w:val="DefaultParagraphFont"/>
    <w:link w:val="Heading3"/>
    <w:uiPriority w:val="9"/>
    <w:rsid w:val="00890423"/>
    <w:rPr>
      <w:rFonts w:ascii="Arial" w:eastAsiaTheme="majorEastAsia" w:hAnsi="Arial" w:cstheme="majorBidi"/>
      <w:b/>
      <w:bCs/>
      <w:sz w:val="24"/>
    </w:rPr>
  </w:style>
  <w:style w:type="character" w:customStyle="1" w:styleId="Heading4Char">
    <w:name w:val="Heading 4 Char"/>
    <w:basedOn w:val="DefaultParagraphFont"/>
    <w:link w:val="Heading4"/>
    <w:uiPriority w:val="9"/>
    <w:semiHidden/>
    <w:rsid w:val="00890423"/>
    <w:rPr>
      <w:rFonts w:ascii="Arial" w:eastAsiaTheme="majorEastAsia" w:hAnsi="Arial" w:cstheme="majorBidi"/>
      <w:b/>
      <w:bCs/>
      <w:iCs/>
    </w:rPr>
  </w:style>
  <w:style w:type="character" w:customStyle="1" w:styleId="Heading5Char">
    <w:name w:val="Heading 5 Char"/>
    <w:basedOn w:val="DefaultParagraphFont"/>
    <w:link w:val="Heading5"/>
    <w:uiPriority w:val="9"/>
    <w:semiHidden/>
    <w:rsid w:val="00864E34"/>
    <w:rPr>
      <w:rFonts w:ascii="Arial" w:eastAsiaTheme="majorEastAsia" w:hAnsi="Arial" w:cstheme="majorBidi"/>
      <w:b/>
      <w:sz w:val="20"/>
    </w:rPr>
  </w:style>
  <w:style w:type="character" w:styleId="PageNumber">
    <w:name w:val="page number"/>
    <w:basedOn w:val="DefaultParagraphFont"/>
    <w:uiPriority w:val="99"/>
    <w:semiHidden/>
    <w:unhideWhenUsed/>
    <w:rsid w:val="00951549"/>
    <w:rPr>
      <w:rFonts w:ascii="Arial" w:hAnsi="Arial"/>
      <w:sz w:val="16"/>
    </w:rPr>
  </w:style>
  <w:style w:type="paragraph" w:styleId="TOCHeading">
    <w:name w:val="TOC Heading"/>
    <w:basedOn w:val="Heading1"/>
    <w:next w:val="Normal"/>
    <w:uiPriority w:val="39"/>
    <w:semiHidden/>
    <w:unhideWhenUsed/>
    <w:qFormat/>
    <w:rsid w:val="00951549"/>
    <w:pPr>
      <w:outlineLvl w:val="9"/>
    </w:pPr>
    <w:rPr>
      <w:kern w:val="0"/>
    </w:rPr>
  </w:style>
  <w:style w:type="character" w:customStyle="1" w:styleId="Heading6Char">
    <w:name w:val="Heading 6 Char"/>
    <w:basedOn w:val="DefaultParagraphFont"/>
    <w:link w:val="Heading6"/>
    <w:uiPriority w:val="9"/>
    <w:semiHidden/>
    <w:rsid w:val="00864E34"/>
    <w:rPr>
      <w:rFonts w:ascii="Arial" w:eastAsiaTheme="majorEastAsia" w:hAnsi="Arial" w:cstheme="majorBidi"/>
      <w:b/>
      <w:iCs/>
      <w:sz w:val="20"/>
    </w:rPr>
  </w:style>
  <w:style w:type="paragraph" w:styleId="TOC1">
    <w:name w:val="toc 1"/>
    <w:basedOn w:val="Normal"/>
    <w:next w:val="Normal"/>
    <w:uiPriority w:val="39"/>
    <w:semiHidden/>
    <w:unhideWhenUsed/>
    <w:rsid w:val="001A76B3"/>
    <w:pPr>
      <w:spacing w:before="240"/>
    </w:pPr>
    <w:rPr>
      <w:rFonts w:ascii="Arial" w:eastAsiaTheme="minorHAnsi" w:hAnsi="Arial" w:cstheme="minorBidi"/>
      <w:b/>
      <w:sz w:val="20"/>
      <w:szCs w:val="22"/>
      <w:lang w:eastAsia="en-US"/>
    </w:rPr>
  </w:style>
  <w:style w:type="paragraph" w:styleId="TOC2">
    <w:name w:val="toc 2"/>
    <w:basedOn w:val="Normal"/>
    <w:next w:val="Normal"/>
    <w:uiPriority w:val="39"/>
    <w:semiHidden/>
    <w:unhideWhenUsed/>
    <w:rsid w:val="001A76B3"/>
    <w:rPr>
      <w:rFonts w:ascii="Arial" w:eastAsiaTheme="minorHAnsi" w:hAnsi="Arial" w:cstheme="minorBidi"/>
      <w:sz w:val="20"/>
      <w:szCs w:val="22"/>
      <w:lang w:eastAsia="en-US"/>
    </w:rPr>
  </w:style>
  <w:style w:type="paragraph" w:styleId="TOC3">
    <w:name w:val="toc 3"/>
    <w:basedOn w:val="Normal"/>
    <w:next w:val="Normal"/>
    <w:uiPriority w:val="39"/>
    <w:semiHidden/>
    <w:unhideWhenUsed/>
    <w:rsid w:val="001A76B3"/>
    <w:rPr>
      <w:rFonts w:ascii="Arial" w:eastAsiaTheme="minorHAnsi" w:hAnsi="Arial" w:cstheme="minorBidi"/>
      <w:sz w:val="20"/>
      <w:szCs w:val="22"/>
      <w:lang w:eastAsia="en-US"/>
    </w:rPr>
  </w:style>
  <w:style w:type="paragraph" w:styleId="TOC4">
    <w:name w:val="toc 4"/>
    <w:basedOn w:val="Normal"/>
    <w:next w:val="Normal"/>
    <w:uiPriority w:val="39"/>
    <w:semiHidden/>
    <w:unhideWhenUsed/>
    <w:rsid w:val="001A76B3"/>
    <w:rPr>
      <w:rFonts w:ascii="Arial" w:eastAsiaTheme="minorHAnsi" w:hAnsi="Arial" w:cstheme="minorBidi"/>
      <w:sz w:val="20"/>
      <w:szCs w:val="22"/>
      <w:lang w:eastAsia="en-US"/>
    </w:rPr>
  </w:style>
  <w:style w:type="paragraph" w:styleId="TOC6">
    <w:name w:val="toc 6"/>
    <w:basedOn w:val="Normal"/>
    <w:next w:val="Normal"/>
    <w:uiPriority w:val="39"/>
    <w:semiHidden/>
    <w:unhideWhenUsed/>
    <w:rsid w:val="001A76B3"/>
    <w:rPr>
      <w:rFonts w:ascii="Arial" w:eastAsiaTheme="minorHAnsi" w:hAnsi="Arial" w:cstheme="minorBidi"/>
      <w:sz w:val="20"/>
      <w:szCs w:val="22"/>
      <w:lang w:eastAsia="en-US"/>
    </w:rPr>
  </w:style>
  <w:style w:type="paragraph" w:styleId="TOC5">
    <w:name w:val="toc 5"/>
    <w:basedOn w:val="Normal"/>
    <w:next w:val="Normal"/>
    <w:uiPriority w:val="39"/>
    <w:semiHidden/>
    <w:unhideWhenUsed/>
    <w:rsid w:val="00072D44"/>
    <w:rPr>
      <w:rFonts w:ascii="Arial" w:eastAsiaTheme="minorHAnsi" w:hAnsi="Arial" w:cstheme="minorBidi"/>
      <w:sz w:val="20"/>
      <w:szCs w:val="22"/>
      <w:lang w:eastAsia="en-US"/>
    </w:rPr>
  </w:style>
  <w:style w:type="paragraph" w:styleId="TOC7">
    <w:name w:val="toc 7"/>
    <w:basedOn w:val="Normal"/>
    <w:next w:val="Normal"/>
    <w:uiPriority w:val="39"/>
    <w:semiHidden/>
    <w:unhideWhenUsed/>
    <w:rsid w:val="00072D44"/>
    <w:rPr>
      <w:rFonts w:ascii="Arial" w:eastAsiaTheme="minorHAnsi" w:hAnsi="Arial" w:cstheme="minorBidi"/>
      <w:sz w:val="20"/>
      <w:szCs w:val="22"/>
      <w:lang w:eastAsia="en-US"/>
    </w:rPr>
  </w:style>
  <w:style w:type="paragraph" w:styleId="TOC8">
    <w:name w:val="toc 8"/>
    <w:basedOn w:val="Normal"/>
    <w:next w:val="Normal"/>
    <w:uiPriority w:val="39"/>
    <w:semiHidden/>
    <w:unhideWhenUsed/>
    <w:rsid w:val="00072D44"/>
    <w:rPr>
      <w:rFonts w:ascii="Arial" w:eastAsiaTheme="minorHAnsi" w:hAnsi="Arial" w:cstheme="minorBidi"/>
      <w:sz w:val="20"/>
      <w:szCs w:val="22"/>
      <w:lang w:eastAsia="en-US"/>
    </w:rPr>
  </w:style>
  <w:style w:type="paragraph" w:styleId="TOC9">
    <w:name w:val="toc 9"/>
    <w:basedOn w:val="Normal"/>
    <w:next w:val="Normal"/>
    <w:uiPriority w:val="39"/>
    <w:semiHidden/>
    <w:unhideWhenUsed/>
    <w:rsid w:val="00072D44"/>
    <w:rPr>
      <w:rFonts w:ascii="Arial" w:eastAsiaTheme="minorHAnsi" w:hAnsi="Arial" w:cstheme="minorBidi"/>
      <w:sz w:val="20"/>
      <w:szCs w:val="22"/>
      <w:lang w:eastAsia="en-US"/>
    </w:rPr>
  </w:style>
  <w:style w:type="paragraph" w:styleId="ListParagraph">
    <w:name w:val="List Paragraph"/>
    <w:basedOn w:val="Normal"/>
    <w:uiPriority w:val="34"/>
    <w:rsid w:val="00BE261A"/>
    <w:pPr>
      <w:ind w:left="720"/>
    </w:pPr>
    <w:rPr>
      <w:rFonts w:ascii="Arial" w:eastAsiaTheme="minorHAnsi" w:hAnsi="Arial" w:cstheme="minorBidi"/>
      <w:sz w:val="20"/>
      <w:szCs w:val="22"/>
      <w:lang w:eastAsia="en-US"/>
    </w:rPr>
  </w:style>
  <w:style w:type="paragraph" w:customStyle="1" w:styleId="Body">
    <w:name w:val="Body"/>
    <w:basedOn w:val="Normal"/>
    <w:rsid w:val="001C3B58"/>
    <w:pPr>
      <w:spacing w:after="140" w:line="290" w:lineRule="auto"/>
      <w:jc w:val="both"/>
    </w:pPr>
    <w:rPr>
      <w:rFonts w:ascii="Arial" w:hAnsi="Arial"/>
      <w:kern w:val="2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066186">
      <w:bodyDiv w:val="1"/>
      <w:marLeft w:val="0"/>
      <w:marRight w:val="0"/>
      <w:marTop w:val="0"/>
      <w:marBottom w:val="0"/>
      <w:divBdr>
        <w:top w:val="none" w:sz="0" w:space="0" w:color="auto"/>
        <w:left w:val="none" w:sz="0" w:space="0" w:color="auto"/>
        <w:bottom w:val="none" w:sz="0" w:space="0" w:color="auto"/>
        <w:right w:val="none" w:sz="0" w:space="0" w:color="auto"/>
      </w:divBdr>
    </w:div>
    <w:div w:id="635793392">
      <w:bodyDiv w:val="1"/>
      <w:marLeft w:val="0"/>
      <w:marRight w:val="0"/>
      <w:marTop w:val="0"/>
      <w:marBottom w:val="0"/>
      <w:divBdr>
        <w:top w:val="none" w:sz="0" w:space="0" w:color="auto"/>
        <w:left w:val="none" w:sz="0" w:space="0" w:color="auto"/>
        <w:bottom w:val="none" w:sz="0" w:space="0" w:color="auto"/>
        <w:right w:val="none" w:sz="0" w:space="0" w:color="auto"/>
      </w:divBdr>
    </w:div>
    <w:div w:id="757556366">
      <w:bodyDiv w:val="1"/>
      <w:marLeft w:val="0"/>
      <w:marRight w:val="0"/>
      <w:marTop w:val="0"/>
      <w:marBottom w:val="0"/>
      <w:divBdr>
        <w:top w:val="none" w:sz="0" w:space="0" w:color="auto"/>
        <w:left w:val="none" w:sz="0" w:space="0" w:color="auto"/>
        <w:bottom w:val="none" w:sz="0" w:space="0" w:color="auto"/>
        <w:right w:val="none" w:sz="0" w:space="0" w:color="auto"/>
      </w:divBdr>
    </w:div>
    <w:div w:id="877157193">
      <w:bodyDiv w:val="1"/>
      <w:marLeft w:val="0"/>
      <w:marRight w:val="0"/>
      <w:marTop w:val="0"/>
      <w:marBottom w:val="0"/>
      <w:divBdr>
        <w:top w:val="none" w:sz="0" w:space="0" w:color="auto"/>
        <w:left w:val="none" w:sz="0" w:space="0" w:color="auto"/>
        <w:bottom w:val="none" w:sz="0" w:space="0" w:color="auto"/>
        <w:right w:val="none" w:sz="0" w:space="0" w:color="auto"/>
      </w:divBdr>
    </w:div>
    <w:div w:id="1098405329">
      <w:bodyDiv w:val="1"/>
      <w:marLeft w:val="0"/>
      <w:marRight w:val="0"/>
      <w:marTop w:val="0"/>
      <w:marBottom w:val="0"/>
      <w:divBdr>
        <w:top w:val="none" w:sz="0" w:space="0" w:color="auto"/>
        <w:left w:val="none" w:sz="0" w:space="0" w:color="auto"/>
        <w:bottom w:val="none" w:sz="0" w:space="0" w:color="auto"/>
        <w:right w:val="none" w:sz="0" w:space="0" w:color="auto"/>
      </w:divBdr>
    </w:div>
    <w:div w:id="169241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NWM">
  <a:themeElements>
    <a:clrScheme name="NWM">
      <a:dk1>
        <a:sysClr val="windowText" lastClr="000000"/>
      </a:dk1>
      <a:lt1>
        <a:sysClr val="window" lastClr="FFFFFF"/>
      </a:lt1>
      <a:dk2>
        <a:srgbClr val="3B1256"/>
      </a:dk2>
      <a:lt2>
        <a:srgbClr val="EEECE1"/>
      </a:lt2>
      <a:accent1>
        <a:srgbClr val="42145F"/>
      </a:accent1>
      <a:accent2>
        <a:srgbClr val="06B3BB"/>
      </a:accent2>
      <a:accent3>
        <a:srgbClr val="516CB4"/>
      </a:accent3>
      <a:accent4>
        <a:srgbClr val="E84261"/>
      </a:accent4>
      <a:accent5>
        <a:srgbClr val="F9B122"/>
      </a:accent5>
      <a:accent6>
        <a:srgbClr val="81AA28"/>
      </a:accent6>
      <a:hlink>
        <a:srgbClr val="42145F"/>
      </a:hlink>
      <a:folHlink>
        <a:srgbClr val="42145F"/>
      </a:folHlink>
    </a:clrScheme>
    <a:fontScheme name="NWM">
      <a:majorFont>
        <a:latin typeface="Arial"/>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Grek" typeface="Calibri"/>
        <a:font script="Cyrl" typeface="Cambria"/>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Yiii" typeface="Microsoft Yi Baiti"/>
        <a:font script="Cher" typeface="Plantagenet Cherokee"/>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RB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5000" dir="5400000" rotWithShape="0">
              <a:srgbClr val="000000">
                <a:alpha val="36000"/>
              </a:srgbClr>
            </a:outerShdw>
          </a:effectLst>
        </a:effectStyle>
        <a:effectStyle>
          <a:effectLst>
            <a:outerShdw blurRad="40000" dist="25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spDef>
      <a:spPr>
        <a:ln w="9525">
          <a:noFill/>
        </a:ln>
      </a:spPr>
      <a:bodyPr rot="0" spcFirstLastPara="0" vertOverflow="overflow" horzOverflow="overflow" vert="horz" wrap="none" lIns="0" tIns="0" rIns="0" bIns="0" numCol="1" spcCol="0" rtlCol="0" fromWordArt="0" anchor="ctr" anchorCtr="0" forceAA="0" compatLnSpc="1">
        <a:prstTxWarp prst="textNoShape">
          <a:avLst/>
        </a:prstTxWarp>
        <a:noAutofit/>
      </a:bodyPr>
      <a:lstStyle>
        <a:defPPr algn="ctr">
          <a:defRPr sz="1000" b="1" dirty="0" err="1"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rgbClr val="69616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noAutofit/>
      </a:bodyPr>
      <a:lstStyle>
        <a:defPPr>
          <a:defRPr sz="1100" dirty="0" err="1" smtClean="0">
            <a:solidFill>
              <a:schemeClr val="tx2"/>
            </a:solidFill>
            <a:latin typeface="Arial" panose="020B0604020202020204" pitchFamily="34" charset="0"/>
            <a:cs typeface="Arial" panose="020B0604020202020204" pitchFamily="34" charset="0"/>
          </a:defRPr>
        </a:defPPr>
      </a:lstStyle>
    </a:txDef>
  </a:objectDefaults>
  <a:extraClrSchemeLst/>
  <a:custClrLst>
    <a:custClr name="Purple 100% Accent 1">
      <a:srgbClr val="42145F"/>
    </a:custClr>
    <a:custClr name="Aqua 100% Accent 2">
      <a:srgbClr val="06B3BB"/>
    </a:custClr>
    <a:custClr name="Blue 100% Accent 3">
      <a:srgbClr val="516CB4"/>
    </a:custClr>
    <a:custClr name="Crimson 100% Accent 4">
      <a:srgbClr val="E84261"/>
    </a:custClr>
    <a:custClr name="Yellow 100% Accent 5">
      <a:srgbClr val="F9B122"/>
    </a:custClr>
    <a:custClr name="Green 100% Accent 6">
      <a:srgbClr val="81AA28"/>
    </a:custClr>
    <a:custClr name="Brown 100%">
      <a:srgbClr val="A6791D"/>
    </a:custClr>
    <a:custClr name="Orange 100%">
      <a:srgbClr val="F36F21"/>
    </a:custClr>
    <a:custClr name="Light Purple 100%">
      <a:srgbClr val="9C71B4"/>
    </a:custClr>
    <a:custClr name="Grey 100%">
      <a:srgbClr val="696161"/>
    </a:custClr>
    <a:custClr name="Purple 70% Accent 1">
      <a:srgbClr val="8629C1"/>
    </a:custClr>
    <a:custClr name="Aqua 70% Accent 2">
      <a:srgbClr val="28EFF8"/>
    </a:custClr>
    <a:custClr name="Blue 70% Accent 3">
      <a:srgbClr val="8598CA"/>
    </a:custClr>
    <a:custClr name="Crimson 70% Accent 4">
      <a:srgbClr val="EF7B90"/>
    </a:custClr>
    <a:custClr name="Yellow 70% Accent 5">
      <a:srgbClr val="FBC864"/>
    </a:custClr>
    <a:custClr name="Green 70% Accent 6">
      <a:srgbClr val="AED755"/>
    </a:custClr>
    <a:custClr name="Brown 70%">
      <a:srgbClr val="DEAB43"/>
    </a:custClr>
    <a:custClr name="Orange 70%">
      <a:srgbClr val="F79A64"/>
    </a:custClr>
    <a:custClr name="Light Purple 70%">
      <a:srgbClr val="BA9CCA"/>
    </a:custClr>
    <a:custClr name="Grey 70%">
      <a:srgbClr val="978F8F"/>
    </a:custClr>
    <a:custClr name="Purple 50% Accent 1">
      <a:srgbClr val="AB5CDD"/>
    </a:custClr>
    <a:custClr name="Aqua 50% Accent 2">
      <a:srgbClr val="65F4FA"/>
    </a:custClr>
    <a:custClr name="Blue 50% Accent  3">
      <a:srgbClr val="A8B6D9"/>
    </a:custClr>
    <a:custClr name="Crimson 50% Accent 4">
      <a:srgbClr val="F4A0B0"/>
    </a:custClr>
    <a:custClr name="Yellow 50% Accent 5">
      <a:srgbClr val="FCD891"/>
    </a:custClr>
    <a:custClr name="Green 50% Accent 6">
      <a:srgbClr val="C5E286"/>
    </a:custClr>
    <a:custClr name="Brown 50%">
      <a:srgbClr val="E8C379"/>
    </a:custClr>
    <a:custClr name="Orange 50%">
      <a:srgbClr val="F9B790"/>
    </a:custClr>
    <a:custClr name="Light Purple 50%">
      <a:srgbClr val="CDB8D9"/>
    </a:custClr>
    <a:custClr name="Grey 50%">
      <a:srgbClr val="B5AFAF"/>
    </a:custClr>
    <a:custClr name="Purple 30% Accent 1">
      <a:srgbClr val="CD9DEA"/>
    </a:custClr>
    <a:custClr name="Aqua 30% Accent 2">
      <a:srgbClr val="A3F8FC"/>
    </a:custClr>
    <a:custClr name="Blue 30% Accent 3">
      <a:srgbClr val="CBD3E8"/>
    </a:custClr>
    <a:custClr name="Crimson 30% Accent 4">
      <a:srgbClr val="F8C6D0"/>
    </a:custClr>
    <a:custClr name="Yellow 30% Accent 5">
      <a:srgbClr val="FDE8BD"/>
    </a:custClr>
    <a:custClr name="Green 30% Accent 6">
      <a:srgbClr val="DCEEB6"/>
    </a:custClr>
    <a:custClr name="Brown 30%">
      <a:srgbClr val="F1DBAF"/>
    </a:custClr>
    <a:custClr name="Orange 30%">
      <a:srgbClr val="FBD4BC"/>
    </a:custClr>
    <a:custClr name="Light Purple 30%">
      <a:srgbClr val="E1D4E8"/>
    </a:custClr>
    <a:custClr name="Grey 30%">
      <a:srgbClr val="D3CFCF"/>
    </a:custClr>
  </a:custClr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The Royal Bank of Scotland</Company>
  <LinksUpToDate>false</LinksUpToDate>
  <CharactersWithSpaces>3171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patteja</dc:creator>
  <cp:lastModifiedBy>patteja</cp:lastModifiedBy>
  <cp:revision>5</cp:revision>
  <dcterms:created xsi:type="dcterms:W3CDTF">2018-10-30T19:25:00Z</dcterms:created>
  <dcterms:modified xsi:type="dcterms:W3CDTF">2018-10-30T21:29:00Z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-355784106</vt:i4>
  </property>
  <property fmtid="{D5CDD505-2E9C-101B-9397-08002B2CF9AE}" pid="3" name="_NewReviewCycle">
    <vt:lpwstr/>
  </property>
  <property fmtid="{D5CDD505-2E9C-101B-9397-08002B2CF9AE}" pid="4" name="_EmailSubject">
    <vt:lpwstr>NWM Dividend RNS</vt:lpwstr>
  </property>
  <property fmtid="{D5CDD505-2E9C-101B-9397-08002B2CF9AE}" pid="5" name="_AuthorEmail">
    <vt:lpwstr>Fiona.Watson@rbs.com</vt:lpwstr>
  </property>
  <property fmtid="{D5CDD505-2E9C-101B-9397-08002B2CF9AE}" pid="6" name="_AuthorEmailDisplayName">
    <vt:lpwstr>Watson, Fiona (Treasury Legal)</vt:lpwstr>
  </property>
  <property fmtid="{D5CDD505-2E9C-101B-9397-08002B2CF9AE}" pid="7" name="_ReviewingToolsShownOnce">
    <vt:lpwstr/>
  </property>
</Properties>
</file>