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08" w:rsidRDefault="00F51F33" w:rsidP="00000D08">
      <w:pPr>
        <w:spacing w:after="0" w:line="240" w:lineRule="auto"/>
        <w:rPr>
          <w:rFonts w:ascii="Arial" w:eastAsia="Times New Roman" w:hAnsi="Arial" w:cs="Arial"/>
          <w:color w:val="333333"/>
          <w:sz w:val="17"/>
          <w:szCs w:val="17"/>
          <w:lang w:eastAsia="en-GB"/>
        </w:rPr>
      </w:pPr>
      <w:bookmarkStart w:id="0" w:name="_GoBack"/>
      <w:bookmarkEnd w:id="0"/>
      <w:r>
        <w:rPr>
          <w:rFonts w:ascii="Arial" w:eastAsia="Times New Roman" w:hAnsi="Arial" w:cs="Arial"/>
          <w:color w:val="333333"/>
          <w:sz w:val="17"/>
          <w:szCs w:val="17"/>
          <w:lang w:eastAsia="en-GB"/>
        </w:rPr>
        <w:t>The Royal Bank of Scotland Group plc</w:t>
      </w:r>
    </w:p>
    <w:p w:rsidR="00F51F33" w:rsidRPr="00000D08" w:rsidRDefault="00F51F33" w:rsidP="00000D08">
      <w:pPr>
        <w:spacing w:after="0" w:line="240" w:lineRule="auto"/>
        <w:rPr>
          <w:rFonts w:ascii="Arial" w:eastAsia="Times New Roman" w:hAnsi="Arial" w:cs="Arial"/>
          <w:color w:val="333333"/>
          <w:sz w:val="17"/>
          <w:szCs w:val="17"/>
          <w:lang w:eastAsia="en-GB"/>
        </w:rPr>
      </w:pPr>
    </w:p>
    <w:p w:rsidR="00000D08" w:rsidRPr="00000D08" w:rsidRDefault="00000D08" w:rsidP="00000D08">
      <w:pPr>
        <w:spacing w:after="0" w:line="240" w:lineRule="auto"/>
        <w:rPr>
          <w:rFonts w:ascii="Arial" w:eastAsia="Times New Roman" w:hAnsi="Arial" w:cs="Arial"/>
          <w:color w:val="333333"/>
          <w:sz w:val="17"/>
          <w:szCs w:val="17"/>
          <w:lang w:eastAsia="en-GB"/>
        </w:rPr>
      </w:pPr>
      <w:r>
        <w:rPr>
          <w:rFonts w:ascii="Arial" w:eastAsia="Times New Roman" w:hAnsi="Arial" w:cs="Arial"/>
          <w:color w:val="333333"/>
          <w:sz w:val="17"/>
          <w:szCs w:val="17"/>
          <w:lang w:eastAsia="en-GB"/>
        </w:rPr>
        <w:t>02</w:t>
      </w:r>
      <w:r w:rsidRPr="00000D08">
        <w:rPr>
          <w:rFonts w:ascii="Arial" w:eastAsia="Times New Roman" w:hAnsi="Arial" w:cs="Arial"/>
          <w:color w:val="333333"/>
          <w:sz w:val="17"/>
          <w:szCs w:val="17"/>
          <w:lang w:eastAsia="en-GB"/>
        </w:rPr>
        <w:t xml:space="preserve"> </w:t>
      </w:r>
      <w:r>
        <w:rPr>
          <w:rFonts w:ascii="Arial" w:eastAsia="Times New Roman" w:hAnsi="Arial" w:cs="Arial"/>
          <w:color w:val="333333"/>
          <w:sz w:val="17"/>
          <w:szCs w:val="17"/>
          <w:lang w:eastAsia="en-GB"/>
        </w:rPr>
        <w:t>November 2018</w:t>
      </w:r>
    </w:p>
    <w:p w:rsidR="00336D71" w:rsidRPr="00F51F33" w:rsidRDefault="00000D08" w:rsidP="00F51F33">
      <w:pPr>
        <w:spacing w:after="0" w:line="240" w:lineRule="auto"/>
        <w:rPr>
          <w:rFonts w:ascii="Arial" w:eastAsia="Times New Roman" w:hAnsi="Arial" w:cs="Arial"/>
          <w:color w:val="333333"/>
          <w:sz w:val="17"/>
          <w:szCs w:val="17"/>
          <w:lang w:eastAsia="en-GB"/>
        </w:rPr>
      </w:pPr>
      <w:r w:rsidRPr="00000D08">
        <w:rPr>
          <w:rFonts w:ascii="Arial" w:eastAsia="Times New Roman" w:hAnsi="Arial" w:cs="Arial"/>
          <w:color w:val="333333"/>
          <w:sz w:val="17"/>
          <w:szCs w:val="17"/>
          <w:lang w:eastAsia="en-GB"/>
        </w:rPr>
        <w:t> </w:t>
      </w:r>
    </w:p>
    <w:p w:rsidR="00000D08" w:rsidRPr="00336D71" w:rsidRDefault="00000D08" w:rsidP="00000D08">
      <w:pPr>
        <w:spacing w:before="100" w:beforeAutospacing="1" w:after="100" w:afterAutospacing="1" w:line="240" w:lineRule="auto"/>
        <w:rPr>
          <w:rFonts w:ascii="Arial" w:eastAsia="Times New Roman" w:hAnsi="Arial" w:cs="Arial"/>
          <w:b/>
          <w:color w:val="333333"/>
          <w:sz w:val="17"/>
          <w:szCs w:val="17"/>
          <w:lang w:eastAsia="en-GB"/>
        </w:rPr>
      </w:pPr>
      <w:r w:rsidRPr="007563E6">
        <w:rPr>
          <w:rFonts w:ascii="Arial" w:eastAsia="Times New Roman" w:hAnsi="Arial" w:cs="Arial"/>
          <w:b/>
          <w:color w:val="333333"/>
          <w:sz w:val="17"/>
          <w:szCs w:val="17"/>
          <w:lang w:eastAsia="en-GB"/>
        </w:rPr>
        <w:t>Statement on the publication of the 2018 EBA EU-wide stress test results</w:t>
      </w:r>
      <w:r w:rsidR="007563E6">
        <w:rPr>
          <w:rFonts w:ascii="Arial" w:eastAsia="Times New Roman" w:hAnsi="Arial" w:cs="Arial"/>
          <w:b/>
          <w:color w:val="333333"/>
          <w:sz w:val="17"/>
          <w:szCs w:val="17"/>
          <w:lang w:eastAsia="en-GB"/>
        </w:rPr>
        <w:t xml:space="preserve"> and update on Pillar 2A</w:t>
      </w:r>
      <w:r w:rsidRPr="00000D08">
        <w:rPr>
          <w:rFonts w:ascii="Arial" w:eastAsia="Times New Roman" w:hAnsi="Arial" w:cs="Arial"/>
          <w:color w:val="333333"/>
          <w:sz w:val="17"/>
          <w:szCs w:val="17"/>
          <w:lang w:eastAsia="en-GB"/>
        </w:rPr>
        <w:t xml:space="preserve"> </w:t>
      </w:r>
    </w:p>
    <w:p w:rsidR="0097224A" w:rsidRDefault="007A4E2F" w:rsidP="0097224A">
      <w:pPr>
        <w:spacing w:before="100" w:beforeAutospacing="1" w:after="100" w:afterAutospacing="1" w:line="240" w:lineRule="auto"/>
        <w:rPr>
          <w:rFonts w:ascii="Arial" w:eastAsia="Times New Roman" w:hAnsi="Arial" w:cs="Arial"/>
          <w:b/>
          <w:color w:val="333333"/>
          <w:sz w:val="17"/>
          <w:szCs w:val="17"/>
          <w:u w:val="single"/>
          <w:lang w:eastAsia="en-GB"/>
        </w:rPr>
      </w:pPr>
      <w:r>
        <w:rPr>
          <w:rFonts w:ascii="Arial" w:eastAsia="Times New Roman" w:hAnsi="Arial" w:cs="Arial"/>
          <w:color w:val="333333"/>
          <w:sz w:val="17"/>
          <w:szCs w:val="17"/>
          <w:lang w:eastAsia="en-GB"/>
        </w:rPr>
        <w:t xml:space="preserve">The </w:t>
      </w:r>
      <w:r w:rsidR="0097224A" w:rsidRPr="00000D08">
        <w:rPr>
          <w:rFonts w:ascii="Arial" w:eastAsia="Times New Roman" w:hAnsi="Arial" w:cs="Arial"/>
          <w:color w:val="333333"/>
          <w:sz w:val="17"/>
          <w:szCs w:val="17"/>
          <w:lang w:eastAsia="en-GB"/>
        </w:rPr>
        <w:t>Royal Bank of Scotland Group plc ("RBS")</w:t>
      </w:r>
      <w:r w:rsidR="0097224A">
        <w:rPr>
          <w:rFonts w:ascii="Arial" w:eastAsia="Times New Roman" w:hAnsi="Arial" w:cs="Arial"/>
          <w:color w:val="333333"/>
          <w:sz w:val="17"/>
          <w:szCs w:val="17"/>
          <w:lang w:eastAsia="en-GB"/>
        </w:rPr>
        <w:t xml:space="preserve"> today updates the market on two developments. </w:t>
      </w:r>
    </w:p>
    <w:p w:rsidR="0097224A" w:rsidRPr="00336D71" w:rsidRDefault="0097224A" w:rsidP="0097224A">
      <w:pPr>
        <w:spacing w:before="100" w:beforeAutospacing="1" w:after="100" w:afterAutospacing="1" w:line="240" w:lineRule="auto"/>
        <w:rPr>
          <w:rFonts w:ascii="Arial" w:eastAsia="Times New Roman" w:hAnsi="Arial" w:cs="Arial"/>
          <w:b/>
          <w:i/>
          <w:color w:val="333333"/>
          <w:sz w:val="17"/>
          <w:szCs w:val="17"/>
          <w:lang w:eastAsia="en-GB"/>
        </w:rPr>
      </w:pPr>
      <w:r w:rsidRPr="00336D71">
        <w:rPr>
          <w:rFonts w:ascii="Arial" w:eastAsia="Times New Roman" w:hAnsi="Arial" w:cs="Arial"/>
          <w:b/>
          <w:i/>
          <w:color w:val="333333"/>
          <w:sz w:val="17"/>
          <w:szCs w:val="17"/>
          <w:lang w:eastAsia="en-GB"/>
        </w:rPr>
        <w:t>2018 EBA EU-wide stress test results</w:t>
      </w:r>
    </w:p>
    <w:p w:rsidR="00000D08" w:rsidRDefault="00305EDD" w:rsidP="00000D08">
      <w:pPr>
        <w:spacing w:before="100" w:beforeAutospacing="1" w:after="100" w:afterAutospacing="1" w:line="240" w:lineRule="auto"/>
        <w:rPr>
          <w:rFonts w:ascii="Arial" w:eastAsia="Times New Roman" w:hAnsi="Arial" w:cs="Arial"/>
          <w:color w:val="333333"/>
          <w:sz w:val="17"/>
          <w:szCs w:val="17"/>
          <w:lang w:eastAsia="en-GB"/>
        </w:rPr>
      </w:pPr>
      <w:r>
        <w:rPr>
          <w:rFonts w:ascii="Arial" w:eastAsia="Times New Roman" w:hAnsi="Arial" w:cs="Arial"/>
          <w:color w:val="333333"/>
          <w:sz w:val="17"/>
          <w:szCs w:val="17"/>
          <w:lang w:eastAsia="en-GB"/>
        </w:rPr>
        <w:t xml:space="preserve">RBS </w:t>
      </w:r>
      <w:r w:rsidR="00000D08" w:rsidRPr="00000D08">
        <w:rPr>
          <w:rFonts w:ascii="Arial" w:eastAsia="Times New Roman" w:hAnsi="Arial" w:cs="Arial"/>
          <w:color w:val="333333"/>
          <w:sz w:val="17"/>
          <w:szCs w:val="17"/>
          <w:lang w:eastAsia="en-GB"/>
        </w:rPr>
        <w:t>notes the announcement made today by the Eur</w:t>
      </w:r>
      <w:r w:rsidR="00F3564A">
        <w:rPr>
          <w:rFonts w:ascii="Arial" w:eastAsia="Times New Roman" w:hAnsi="Arial" w:cs="Arial"/>
          <w:color w:val="333333"/>
          <w:sz w:val="17"/>
          <w:szCs w:val="17"/>
          <w:lang w:eastAsia="en-GB"/>
        </w:rPr>
        <w:t>opean Banking Authority ("EBA")</w:t>
      </w:r>
      <w:r w:rsidR="00590C4C">
        <w:rPr>
          <w:rFonts w:ascii="Arial" w:eastAsia="Times New Roman" w:hAnsi="Arial" w:cs="Arial"/>
          <w:color w:val="333333"/>
          <w:sz w:val="17"/>
          <w:szCs w:val="17"/>
          <w:lang w:eastAsia="en-GB"/>
        </w:rPr>
        <w:t xml:space="preserve"> </w:t>
      </w:r>
      <w:r w:rsidR="00F3564A" w:rsidRPr="00F3564A">
        <w:rPr>
          <w:rFonts w:ascii="Arial" w:eastAsia="Times New Roman" w:hAnsi="Arial" w:cs="Arial"/>
          <w:color w:val="333333"/>
          <w:sz w:val="17"/>
          <w:szCs w:val="17"/>
          <w:lang w:eastAsia="en-GB"/>
        </w:rPr>
        <w:t>r</w:t>
      </w:r>
      <w:r w:rsidR="00F3564A">
        <w:rPr>
          <w:rFonts w:ascii="Arial" w:eastAsia="Times New Roman" w:hAnsi="Arial" w:cs="Arial"/>
          <w:color w:val="333333"/>
          <w:sz w:val="17"/>
          <w:szCs w:val="17"/>
          <w:lang w:eastAsia="en-GB"/>
        </w:rPr>
        <w:t>egarding the results of the 2018</w:t>
      </w:r>
      <w:r w:rsidR="00F3564A" w:rsidRPr="00F3564A">
        <w:rPr>
          <w:rFonts w:ascii="Arial" w:eastAsia="Times New Roman" w:hAnsi="Arial" w:cs="Arial"/>
          <w:color w:val="333333"/>
          <w:sz w:val="17"/>
          <w:szCs w:val="17"/>
          <w:lang w:eastAsia="en-GB"/>
        </w:rPr>
        <w:t xml:space="preserve"> EBA EU-wide stress test</w:t>
      </w:r>
      <w:r w:rsidR="00F3564A">
        <w:rPr>
          <w:rFonts w:ascii="Arial" w:eastAsia="Times New Roman" w:hAnsi="Arial" w:cs="Arial"/>
          <w:color w:val="333333"/>
          <w:sz w:val="17"/>
          <w:szCs w:val="17"/>
          <w:lang w:eastAsia="en-GB"/>
        </w:rPr>
        <w:t xml:space="preserve">. </w:t>
      </w:r>
    </w:p>
    <w:p w:rsidR="007A610D" w:rsidRDefault="009819A5" w:rsidP="007A610D">
      <w:pPr>
        <w:spacing w:before="100" w:beforeAutospacing="1" w:after="100" w:afterAutospacing="1"/>
        <w:rPr>
          <w:rFonts w:ascii="Arial" w:hAnsi="Arial" w:cs="Arial"/>
          <w:i/>
          <w:color w:val="FF0000"/>
          <w:sz w:val="17"/>
          <w:szCs w:val="17"/>
          <w:lang w:eastAsia="en-GB"/>
        </w:rPr>
      </w:pPr>
      <w:r w:rsidRPr="00F66094">
        <w:rPr>
          <w:rFonts w:ascii="Arial" w:eastAsia="Times New Roman" w:hAnsi="Arial" w:cs="Arial"/>
          <w:color w:val="333333"/>
          <w:sz w:val="17"/>
          <w:szCs w:val="17"/>
          <w:lang w:eastAsia="en-GB"/>
        </w:rPr>
        <w:t>On a fully</w:t>
      </w:r>
      <w:r w:rsidRPr="0056189D">
        <w:rPr>
          <w:rFonts w:ascii="Arial" w:eastAsia="Times New Roman" w:hAnsi="Arial" w:cs="Arial"/>
          <w:sz w:val="17"/>
          <w:szCs w:val="17"/>
          <w:lang w:eastAsia="en-GB"/>
        </w:rPr>
        <w:t xml:space="preserve"> loaded </w:t>
      </w:r>
      <w:r w:rsidR="003E6174" w:rsidRPr="0056189D">
        <w:rPr>
          <w:rFonts w:ascii="Arial" w:eastAsia="Times New Roman" w:hAnsi="Arial" w:cs="Arial"/>
          <w:sz w:val="17"/>
          <w:szCs w:val="17"/>
          <w:lang w:eastAsia="en-GB"/>
        </w:rPr>
        <w:t xml:space="preserve">Basel 3 </w:t>
      </w:r>
      <w:r w:rsidR="007A610D">
        <w:rPr>
          <w:rFonts w:ascii="Arial" w:eastAsia="Times New Roman" w:hAnsi="Arial" w:cs="Arial"/>
          <w:sz w:val="17"/>
          <w:szCs w:val="17"/>
          <w:lang w:eastAsia="en-GB"/>
        </w:rPr>
        <w:t xml:space="preserve">and IFRS 9 </w:t>
      </w:r>
      <w:r w:rsidR="00000D08" w:rsidRPr="0056189D">
        <w:rPr>
          <w:rFonts w:ascii="Arial" w:eastAsia="Times New Roman" w:hAnsi="Arial" w:cs="Arial"/>
          <w:sz w:val="17"/>
          <w:szCs w:val="17"/>
          <w:lang w:eastAsia="en-GB"/>
        </w:rPr>
        <w:t>basis, RBS's modelled Common Equity Tier 1 ("CET1") ratio un</w:t>
      </w:r>
      <w:r w:rsidR="008F0EF8">
        <w:rPr>
          <w:rFonts w:ascii="Arial" w:eastAsia="Times New Roman" w:hAnsi="Arial" w:cs="Arial"/>
          <w:sz w:val="17"/>
          <w:szCs w:val="17"/>
          <w:lang w:eastAsia="en-GB"/>
        </w:rPr>
        <w:t xml:space="preserve">der the adverse scenario was </w:t>
      </w:r>
      <w:r w:rsidR="007A610D">
        <w:rPr>
          <w:rFonts w:ascii="Arial" w:eastAsia="Times New Roman" w:hAnsi="Arial" w:cs="Arial"/>
          <w:sz w:val="17"/>
          <w:szCs w:val="17"/>
          <w:lang w:eastAsia="en-GB"/>
        </w:rPr>
        <w:t>9.5</w:t>
      </w:r>
      <w:r w:rsidR="00000D08" w:rsidRPr="0056189D">
        <w:rPr>
          <w:rFonts w:ascii="Arial" w:eastAsia="Times New Roman" w:hAnsi="Arial" w:cs="Arial"/>
          <w:sz w:val="17"/>
          <w:szCs w:val="17"/>
          <w:lang w:eastAsia="en-GB"/>
        </w:rPr>
        <w:t>%</w:t>
      </w:r>
      <w:r w:rsidR="009B713C">
        <w:rPr>
          <w:rFonts w:ascii="Arial" w:eastAsia="Times New Roman" w:hAnsi="Arial" w:cs="Arial"/>
          <w:sz w:val="17"/>
          <w:szCs w:val="17"/>
          <w:lang w:eastAsia="en-GB"/>
        </w:rPr>
        <w:t xml:space="preserve"> </w:t>
      </w:r>
      <w:r w:rsidR="008F0EF8">
        <w:rPr>
          <w:rFonts w:ascii="Arial" w:eastAsia="Times New Roman" w:hAnsi="Arial" w:cs="Arial"/>
          <w:sz w:val="17"/>
          <w:szCs w:val="17"/>
          <w:lang w:eastAsia="en-GB"/>
        </w:rPr>
        <w:t>as at 31 December 20</w:t>
      </w:r>
      <w:r w:rsidR="007A610D">
        <w:rPr>
          <w:rFonts w:ascii="Arial" w:eastAsia="Times New Roman" w:hAnsi="Arial" w:cs="Arial"/>
          <w:sz w:val="17"/>
          <w:szCs w:val="17"/>
          <w:lang w:eastAsia="en-GB"/>
        </w:rPr>
        <w:t xml:space="preserve">19. </w:t>
      </w:r>
      <w:r w:rsidR="007A610D">
        <w:rPr>
          <w:rFonts w:ascii="Arial" w:hAnsi="Arial" w:cs="Arial"/>
          <w:sz w:val="17"/>
          <w:szCs w:val="17"/>
          <w:lang w:eastAsia="en-GB"/>
        </w:rPr>
        <w:t>The low-point on a transitional IFRS</w:t>
      </w:r>
      <w:r w:rsidR="009B713C">
        <w:rPr>
          <w:rFonts w:ascii="Arial" w:hAnsi="Arial" w:cs="Arial"/>
          <w:sz w:val="17"/>
          <w:szCs w:val="17"/>
          <w:lang w:eastAsia="en-GB"/>
        </w:rPr>
        <w:t xml:space="preserve"> </w:t>
      </w:r>
      <w:r w:rsidR="008F0EF8">
        <w:rPr>
          <w:rFonts w:ascii="Arial" w:hAnsi="Arial" w:cs="Arial"/>
          <w:sz w:val="17"/>
          <w:szCs w:val="17"/>
          <w:lang w:eastAsia="en-GB"/>
        </w:rPr>
        <w:t>9 basis was 9.9% (as at 31 December 2019</w:t>
      </w:r>
      <w:r w:rsidR="007A610D">
        <w:rPr>
          <w:rFonts w:ascii="Arial" w:hAnsi="Arial" w:cs="Arial"/>
          <w:sz w:val="17"/>
          <w:szCs w:val="17"/>
          <w:lang w:eastAsia="en-GB"/>
        </w:rPr>
        <w:t xml:space="preserve">). </w:t>
      </w:r>
    </w:p>
    <w:p w:rsidR="009B66D4" w:rsidRPr="0079485F" w:rsidRDefault="009B66D4" w:rsidP="009B66D4">
      <w:pPr>
        <w:rPr>
          <w:rFonts w:ascii="Arial" w:hAnsi="Arial" w:cs="Arial"/>
          <w:sz w:val="17"/>
          <w:szCs w:val="17"/>
          <w:lang w:eastAsia="en-GB"/>
        </w:rPr>
      </w:pPr>
      <w:r w:rsidRPr="0079485F">
        <w:rPr>
          <w:rFonts w:ascii="Arial" w:hAnsi="Arial" w:cs="Arial"/>
          <w:sz w:val="17"/>
          <w:szCs w:val="17"/>
          <w:lang w:eastAsia="en-GB"/>
        </w:rPr>
        <w:t xml:space="preserve">RBS's modelled low-point Leverage ratio </w:t>
      </w:r>
      <w:r w:rsidR="008F0EF8">
        <w:rPr>
          <w:rFonts w:ascii="Arial" w:hAnsi="Arial" w:cs="Arial"/>
          <w:sz w:val="17"/>
          <w:szCs w:val="17"/>
          <w:lang w:eastAsia="en-GB"/>
        </w:rPr>
        <w:t>under the adverse scenario was 4.1</w:t>
      </w:r>
      <w:r w:rsidRPr="0079485F">
        <w:rPr>
          <w:rFonts w:ascii="Arial" w:hAnsi="Arial" w:cs="Arial"/>
          <w:sz w:val="17"/>
          <w:szCs w:val="17"/>
          <w:lang w:eastAsia="en-GB"/>
        </w:rPr>
        <w:t>% on a fully loaded Basel 3</w:t>
      </w:r>
      <w:r w:rsidR="001E26BE">
        <w:rPr>
          <w:rFonts w:ascii="Arial" w:hAnsi="Arial" w:cs="Arial"/>
          <w:sz w:val="17"/>
          <w:szCs w:val="17"/>
          <w:lang w:eastAsia="en-GB"/>
        </w:rPr>
        <w:t xml:space="preserve"> an</w:t>
      </w:r>
      <w:r w:rsidR="008F0EF8">
        <w:rPr>
          <w:rFonts w:ascii="Arial" w:hAnsi="Arial" w:cs="Arial"/>
          <w:sz w:val="17"/>
          <w:szCs w:val="17"/>
          <w:lang w:eastAsia="en-GB"/>
        </w:rPr>
        <w:t>d IFRS9 basis as at 31 December 2018, and 4.8</w:t>
      </w:r>
      <w:r w:rsidRPr="0079485F">
        <w:rPr>
          <w:rFonts w:ascii="Arial" w:hAnsi="Arial" w:cs="Arial"/>
          <w:sz w:val="17"/>
          <w:szCs w:val="17"/>
          <w:lang w:eastAsia="en-GB"/>
        </w:rPr>
        <w:t>% under the IFRS 9 transitiona</w:t>
      </w:r>
      <w:r w:rsidR="008F0EF8">
        <w:rPr>
          <w:rFonts w:ascii="Arial" w:hAnsi="Arial" w:cs="Arial"/>
          <w:sz w:val="17"/>
          <w:szCs w:val="17"/>
          <w:lang w:eastAsia="en-GB"/>
        </w:rPr>
        <w:t>l definition as at 31 December 2020</w:t>
      </w:r>
      <w:r w:rsidRPr="0079485F">
        <w:rPr>
          <w:rFonts w:ascii="Arial" w:hAnsi="Arial" w:cs="Arial"/>
          <w:sz w:val="17"/>
          <w:szCs w:val="17"/>
          <w:lang w:eastAsia="en-GB"/>
        </w:rPr>
        <w:t>.</w:t>
      </w:r>
    </w:p>
    <w:p w:rsidR="008A398A" w:rsidRPr="008A398A" w:rsidRDefault="0002537A" w:rsidP="008A398A">
      <w:pPr>
        <w:spacing w:before="100" w:beforeAutospacing="1" w:after="100" w:afterAutospacing="1" w:line="240" w:lineRule="auto"/>
        <w:rPr>
          <w:rFonts w:ascii="Arial" w:eastAsia="Times New Roman" w:hAnsi="Arial" w:cs="Arial"/>
          <w:sz w:val="17"/>
          <w:szCs w:val="17"/>
          <w:lang w:eastAsia="en-GB"/>
        </w:rPr>
      </w:pPr>
      <w:r w:rsidRPr="0002537A">
        <w:rPr>
          <w:rFonts w:ascii="Arial" w:eastAsia="Times New Roman" w:hAnsi="Arial" w:cs="Arial"/>
          <w:sz w:val="17"/>
          <w:szCs w:val="17"/>
          <w:lang w:eastAsia="en-GB"/>
        </w:rPr>
        <w:t xml:space="preserve">Commenting on the results, </w:t>
      </w:r>
      <w:r>
        <w:rPr>
          <w:rFonts w:ascii="Arial" w:eastAsia="Times New Roman" w:hAnsi="Arial" w:cs="Arial"/>
          <w:sz w:val="17"/>
          <w:szCs w:val="17"/>
          <w:lang w:eastAsia="en-GB"/>
        </w:rPr>
        <w:t>Katie Murray, Interim</w:t>
      </w:r>
      <w:r w:rsidRPr="0002537A">
        <w:rPr>
          <w:rFonts w:ascii="Arial" w:eastAsia="Times New Roman" w:hAnsi="Arial" w:cs="Arial"/>
          <w:sz w:val="17"/>
          <w:szCs w:val="17"/>
          <w:lang w:eastAsia="en-GB"/>
        </w:rPr>
        <w:t xml:space="preserve"> Chief Financial Officer, said:</w:t>
      </w:r>
    </w:p>
    <w:p w:rsidR="008A398A" w:rsidRPr="008A398A" w:rsidRDefault="008A398A" w:rsidP="008A398A">
      <w:pPr>
        <w:rPr>
          <w:rFonts w:ascii="Arial" w:eastAsia="Times New Roman" w:hAnsi="Arial" w:cs="Arial"/>
          <w:sz w:val="17"/>
          <w:szCs w:val="17"/>
          <w:lang w:eastAsia="en-GB"/>
        </w:rPr>
      </w:pPr>
      <w:r w:rsidRPr="008A398A">
        <w:rPr>
          <w:rFonts w:ascii="Arial" w:eastAsia="Times New Roman" w:hAnsi="Arial" w:cs="Arial"/>
          <w:sz w:val="17"/>
          <w:szCs w:val="17"/>
          <w:lang w:eastAsia="en-GB"/>
        </w:rPr>
        <w:t xml:space="preserve">“This result is a clear demonstration of the bank’s financial resilience and our ability to continue to support our customers, even in </w:t>
      </w:r>
      <w:r w:rsidR="001E26BE">
        <w:rPr>
          <w:rFonts w:ascii="Arial" w:eastAsia="Times New Roman" w:hAnsi="Arial" w:cs="Arial"/>
          <w:sz w:val="17"/>
          <w:szCs w:val="17"/>
          <w:lang w:eastAsia="en-GB"/>
        </w:rPr>
        <w:t>the</w:t>
      </w:r>
      <w:r w:rsidRPr="008A398A">
        <w:rPr>
          <w:rFonts w:ascii="Arial" w:eastAsia="Times New Roman" w:hAnsi="Arial" w:cs="Arial"/>
          <w:sz w:val="17"/>
          <w:szCs w:val="17"/>
          <w:lang w:eastAsia="en-GB"/>
        </w:rPr>
        <w:t> difficult economic scenario modelled as part of this exercise.”</w:t>
      </w:r>
    </w:p>
    <w:p w:rsidR="00000D08" w:rsidRPr="00000D08" w:rsidRDefault="00000D08" w:rsidP="00000D08">
      <w:pPr>
        <w:spacing w:before="100" w:beforeAutospacing="1" w:after="100" w:afterAutospacing="1" w:line="240" w:lineRule="auto"/>
        <w:rPr>
          <w:rFonts w:ascii="Arial" w:eastAsia="Times New Roman" w:hAnsi="Arial" w:cs="Arial"/>
          <w:color w:val="FF0000"/>
          <w:sz w:val="17"/>
          <w:szCs w:val="17"/>
          <w:lang w:eastAsia="en-GB"/>
        </w:rPr>
      </w:pPr>
      <w:r w:rsidRPr="00000D08">
        <w:rPr>
          <w:rFonts w:ascii="Arial" w:eastAsia="Times New Roman" w:hAnsi="Arial" w:cs="Arial"/>
          <w:color w:val="333333"/>
          <w:sz w:val="17"/>
          <w:szCs w:val="17"/>
          <w:lang w:eastAsia="en-GB"/>
        </w:rPr>
        <w:t> The detai</w:t>
      </w:r>
      <w:r w:rsidR="00727ABB">
        <w:rPr>
          <w:rFonts w:ascii="Arial" w:eastAsia="Times New Roman" w:hAnsi="Arial" w:cs="Arial"/>
          <w:color w:val="333333"/>
          <w:sz w:val="17"/>
          <w:szCs w:val="17"/>
          <w:lang w:eastAsia="en-GB"/>
        </w:rPr>
        <w:t xml:space="preserve">led results of the stress test </w:t>
      </w:r>
      <w:r w:rsidRPr="00000D08">
        <w:rPr>
          <w:rFonts w:ascii="Arial" w:eastAsia="Times New Roman" w:hAnsi="Arial" w:cs="Arial"/>
          <w:color w:val="333333"/>
          <w:sz w:val="17"/>
          <w:szCs w:val="17"/>
          <w:lang w:eastAsia="en-GB"/>
        </w:rPr>
        <w:t>are available via the link below:</w:t>
      </w:r>
    </w:p>
    <w:p w:rsidR="00261243" w:rsidRDefault="00C7121C" w:rsidP="007563E6">
      <w:pPr>
        <w:rPr>
          <w:rFonts w:ascii="Arial" w:eastAsia="Times New Roman" w:hAnsi="Arial" w:cs="Arial"/>
          <w:color w:val="333333"/>
          <w:sz w:val="17"/>
          <w:szCs w:val="17"/>
          <w:lang w:eastAsia="en-GB"/>
        </w:rPr>
      </w:pPr>
      <w:hyperlink r:id="rId5" w:history="1">
        <w:r w:rsidR="00FF5F64" w:rsidRPr="00B27D4A">
          <w:rPr>
            <w:rStyle w:val="Hyperlink"/>
            <w:rFonts w:ascii="Arial" w:eastAsia="Times New Roman" w:hAnsi="Arial" w:cs="Arial"/>
            <w:sz w:val="17"/>
            <w:szCs w:val="17"/>
            <w:lang w:eastAsia="en-GB"/>
          </w:rPr>
          <w:t>http://storage.eba.europa.eu/documents/10180/2419188/EBA_ST_UK_2138005O9XJIJN4JPN90.pdf</w:t>
        </w:r>
      </w:hyperlink>
    </w:p>
    <w:p w:rsidR="007563E6" w:rsidRPr="00336D71" w:rsidRDefault="007563E6" w:rsidP="007563E6">
      <w:pPr>
        <w:rPr>
          <w:rFonts w:ascii="Arial" w:eastAsia="Times New Roman" w:hAnsi="Arial" w:cs="Arial"/>
          <w:b/>
          <w:i/>
          <w:sz w:val="17"/>
          <w:szCs w:val="17"/>
          <w:lang w:eastAsia="en-GB"/>
        </w:rPr>
      </w:pPr>
      <w:r w:rsidRPr="00336D71">
        <w:rPr>
          <w:rFonts w:ascii="Arial" w:eastAsia="Times New Roman" w:hAnsi="Arial" w:cs="Arial"/>
          <w:b/>
          <w:i/>
          <w:sz w:val="17"/>
          <w:szCs w:val="17"/>
          <w:lang w:eastAsia="en-GB"/>
        </w:rPr>
        <w:t>Update on Pillar 2A </w:t>
      </w:r>
    </w:p>
    <w:p w:rsidR="00631B1D" w:rsidRDefault="007563E6" w:rsidP="00000D08">
      <w:pPr>
        <w:spacing w:before="100" w:beforeAutospacing="1" w:after="100" w:afterAutospacing="1" w:line="240" w:lineRule="auto"/>
        <w:rPr>
          <w:rFonts w:ascii="Arial" w:eastAsia="Times New Roman" w:hAnsi="Arial" w:cs="Arial"/>
          <w:color w:val="333333"/>
          <w:sz w:val="17"/>
          <w:szCs w:val="17"/>
          <w:lang w:eastAsia="en-GB"/>
        </w:rPr>
      </w:pPr>
      <w:r w:rsidRPr="007563E6">
        <w:rPr>
          <w:rFonts w:ascii="Arial" w:eastAsia="Times New Roman" w:hAnsi="Arial" w:cs="Arial"/>
          <w:sz w:val="17"/>
          <w:szCs w:val="17"/>
          <w:lang w:eastAsia="en-GB"/>
        </w:rPr>
        <w:t xml:space="preserve">The Prudential Regulatory Authority has confirmed to RBS that its </w:t>
      </w:r>
      <w:r w:rsidR="0097224A">
        <w:rPr>
          <w:rFonts w:ascii="Arial" w:eastAsia="Times New Roman" w:hAnsi="Arial" w:cs="Arial"/>
          <w:sz w:val="17"/>
          <w:szCs w:val="17"/>
          <w:lang w:eastAsia="en-GB"/>
        </w:rPr>
        <w:t xml:space="preserve">consolidated </w:t>
      </w:r>
      <w:r w:rsidRPr="007563E6">
        <w:rPr>
          <w:rFonts w:ascii="Arial" w:eastAsia="Times New Roman" w:hAnsi="Arial" w:cs="Arial"/>
          <w:sz w:val="17"/>
          <w:szCs w:val="17"/>
          <w:lang w:eastAsia="en-GB"/>
        </w:rPr>
        <w:t xml:space="preserve">Pillar 2A requirement </w:t>
      </w:r>
      <w:r w:rsidR="000B2694" w:rsidRPr="000B2694">
        <w:rPr>
          <w:rFonts w:ascii="Arial" w:eastAsia="Times New Roman" w:hAnsi="Arial" w:cs="Arial"/>
          <w:sz w:val="17"/>
          <w:szCs w:val="17"/>
          <w:lang w:eastAsia="en-GB"/>
        </w:rPr>
        <w:t xml:space="preserve">reduced to 3.6%, of which 2.0% must be met by CET1 (this represents </w:t>
      </w:r>
      <w:r w:rsidR="00DE4718">
        <w:rPr>
          <w:rFonts w:ascii="Arial" w:eastAsia="Times New Roman" w:hAnsi="Arial" w:cs="Arial"/>
          <w:sz w:val="17"/>
          <w:szCs w:val="17"/>
          <w:lang w:eastAsia="en-GB"/>
        </w:rPr>
        <w:t xml:space="preserve">a reduction of approximately 15 </w:t>
      </w:r>
      <w:r w:rsidR="000B2694" w:rsidRPr="000B2694">
        <w:rPr>
          <w:rFonts w:ascii="Arial" w:eastAsia="Times New Roman" w:hAnsi="Arial" w:cs="Arial"/>
          <w:sz w:val="17"/>
          <w:szCs w:val="17"/>
          <w:lang w:eastAsia="en-GB"/>
        </w:rPr>
        <w:t>basis points</w:t>
      </w:r>
      <w:r w:rsidR="000B2694">
        <w:rPr>
          <w:rFonts w:ascii="Arial" w:eastAsia="Times New Roman" w:hAnsi="Arial" w:cs="Arial"/>
          <w:sz w:val="17"/>
          <w:szCs w:val="17"/>
          <w:lang w:eastAsia="en-GB"/>
        </w:rPr>
        <w:t xml:space="preserve">) </w:t>
      </w:r>
      <w:r w:rsidRPr="007563E6">
        <w:rPr>
          <w:rFonts w:ascii="Arial" w:eastAsia="Times New Roman" w:hAnsi="Arial" w:cs="Arial"/>
          <w:sz w:val="17"/>
          <w:szCs w:val="17"/>
          <w:lang w:eastAsia="en-GB"/>
        </w:rPr>
        <w:t>, as calculated against Q3 2018 risk weighted assets of £194.5 billion</w:t>
      </w:r>
      <w:r w:rsidR="00AE43A9">
        <w:rPr>
          <w:rFonts w:ascii="Arial" w:eastAsia="Times New Roman" w:hAnsi="Arial" w:cs="Arial"/>
          <w:sz w:val="17"/>
          <w:szCs w:val="17"/>
          <w:lang w:eastAsia="en-GB"/>
        </w:rPr>
        <w:t>.</w:t>
      </w:r>
      <w:r w:rsidR="000B2694">
        <w:rPr>
          <w:rFonts w:ascii="Arial" w:eastAsia="Times New Roman" w:hAnsi="Arial" w:cs="Arial"/>
          <w:sz w:val="17"/>
          <w:szCs w:val="17"/>
          <w:lang w:eastAsia="en-GB"/>
        </w:rPr>
        <w:t xml:space="preserve"> </w:t>
      </w:r>
      <w:r w:rsidR="000B2694" w:rsidRPr="000B2694">
        <w:rPr>
          <w:rFonts w:ascii="Arial" w:eastAsia="Times New Roman" w:hAnsi="Arial" w:cs="Arial"/>
          <w:sz w:val="17"/>
          <w:szCs w:val="17"/>
          <w:lang w:eastAsia="en-GB"/>
        </w:rPr>
        <w:t>Together with the Pillar 1 requirement of 8</w:t>
      </w:r>
      <w:r w:rsidR="00336D71">
        <w:rPr>
          <w:rFonts w:ascii="Arial" w:eastAsia="Times New Roman" w:hAnsi="Arial" w:cs="Arial"/>
          <w:sz w:val="17"/>
          <w:szCs w:val="17"/>
          <w:lang w:eastAsia="en-GB"/>
        </w:rPr>
        <w:t>%</w:t>
      </w:r>
      <w:r w:rsidR="000B2694" w:rsidRPr="000B2694">
        <w:rPr>
          <w:rFonts w:ascii="Arial" w:eastAsia="Times New Roman" w:hAnsi="Arial" w:cs="Arial"/>
          <w:sz w:val="17"/>
          <w:szCs w:val="17"/>
          <w:lang w:eastAsia="en-GB"/>
        </w:rPr>
        <w:t>, RBS’s consolidated Total Ca</w:t>
      </w:r>
      <w:r w:rsidR="00336D71">
        <w:rPr>
          <w:rFonts w:ascii="Arial" w:eastAsia="Times New Roman" w:hAnsi="Arial" w:cs="Arial"/>
          <w:sz w:val="17"/>
          <w:szCs w:val="17"/>
          <w:lang w:eastAsia="en-GB"/>
        </w:rPr>
        <w:t xml:space="preserve">pital Requirement is therefore </w:t>
      </w:r>
      <w:r w:rsidR="000B2694" w:rsidRPr="000B2694">
        <w:rPr>
          <w:rFonts w:ascii="Arial" w:eastAsia="Times New Roman" w:hAnsi="Arial" w:cs="Arial"/>
          <w:sz w:val="17"/>
          <w:szCs w:val="17"/>
          <w:lang w:eastAsia="en-GB"/>
        </w:rPr>
        <w:t>11.6%.</w:t>
      </w:r>
    </w:p>
    <w:p w:rsidR="00000D08" w:rsidRPr="00000D08" w:rsidRDefault="00000D08" w:rsidP="00000D08">
      <w:pPr>
        <w:spacing w:before="100" w:beforeAutospacing="1" w:after="100" w:afterAutospacing="1" w:line="240" w:lineRule="auto"/>
        <w:rPr>
          <w:rFonts w:ascii="Arial" w:eastAsia="Times New Roman" w:hAnsi="Arial" w:cs="Arial"/>
          <w:color w:val="333333"/>
          <w:sz w:val="17"/>
          <w:szCs w:val="17"/>
          <w:lang w:eastAsia="en-GB"/>
        </w:rPr>
      </w:pPr>
      <w:r w:rsidRPr="00000D08">
        <w:rPr>
          <w:rFonts w:ascii="Arial" w:eastAsia="Times New Roman" w:hAnsi="Arial" w:cs="Arial"/>
          <w:color w:val="333333"/>
          <w:sz w:val="17"/>
          <w:szCs w:val="17"/>
          <w:lang w:eastAsia="en-GB"/>
        </w:rPr>
        <w:t>For further information, please contact:</w:t>
      </w:r>
    </w:p>
    <w:p w:rsidR="00000D08" w:rsidRPr="00000D08" w:rsidRDefault="00000D08" w:rsidP="00000D08">
      <w:pPr>
        <w:spacing w:before="100" w:beforeAutospacing="1" w:after="100" w:afterAutospacing="1" w:line="240" w:lineRule="auto"/>
        <w:rPr>
          <w:rFonts w:ascii="Arial" w:eastAsia="Times New Roman" w:hAnsi="Arial" w:cs="Arial"/>
          <w:color w:val="333333"/>
          <w:sz w:val="17"/>
          <w:szCs w:val="17"/>
          <w:lang w:eastAsia="en-GB"/>
        </w:rPr>
      </w:pPr>
      <w:r w:rsidRPr="00000D08">
        <w:rPr>
          <w:rFonts w:ascii="Arial" w:eastAsia="Times New Roman" w:hAnsi="Arial" w:cs="Arial"/>
          <w:color w:val="333333"/>
          <w:sz w:val="17"/>
          <w:szCs w:val="17"/>
          <w:lang w:eastAsia="en-GB"/>
        </w:rPr>
        <w:t> Investor Relations</w:t>
      </w:r>
    </w:p>
    <w:p w:rsidR="00000D08" w:rsidRPr="00000D08" w:rsidRDefault="00000D08" w:rsidP="00000D08">
      <w:pPr>
        <w:spacing w:before="100" w:beforeAutospacing="1" w:after="100" w:afterAutospacing="1" w:line="240" w:lineRule="auto"/>
        <w:rPr>
          <w:rFonts w:ascii="Arial" w:eastAsia="Times New Roman" w:hAnsi="Arial" w:cs="Arial"/>
          <w:color w:val="333333"/>
          <w:sz w:val="17"/>
          <w:szCs w:val="17"/>
          <w:lang w:eastAsia="en-GB"/>
        </w:rPr>
      </w:pPr>
      <w:r w:rsidRPr="00000D08">
        <w:rPr>
          <w:rFonts w:ascii="Arial" w:eastAsia="Times New Roman" w:hAnsi="Arial" w:cs="Arial"/>
          <w:color w:val="333333"/>
          <w:sz w:val="17"/>
          <w:szCs w:val="17"/>
          <w:lang w:eastAsia="en-GB"/>
        </w:rPr>
        <w:t>+44 (0) 20 7672 1758</w:t>
      </w:r>
    </w:p>
    <w:p w:rsidR="00000D08" w:rsidRPr="00000D08" w:rsidRDefault="00000D08" w:rsidP="00000D08">
      <w:pPr>
        <w:spacing w:before="100" w:beforeAutospacing="1" w:after="100" w:afterAutospacing="1" w:line="240" w:lineRule="auto"/>
        <w:rPr>
          <w:rFonts w:ascii="Arial" w:eastAsia="Times New Roman" w:hAnsi="Arial" w:cs="Arial"/>
          <w:color w:val="333333"/>
          <w:sz w:val="17"/>
          <w:szCs w:val="17"/>
          <w:lang w:eastAsia="en-GB"/>
        </w:rPr>
      </w:pPr>
      <w:r w:rsidRPr="00000D08">
        <w:rPr>
          <w:rFonts w:ascii="Arial" w:eastAsia="Times New Roman" w:hAnsi="Arial" w:cs="Arial"/>
          <w:color w:val="333333"/>
          <w:sz w:val="17"/>
          <w:szCs w:val="17"/>
          <w:lang w:eastAsia="en-GB"/>
        </w:rPr>
        <w:t> RBS Media Relations</w:t>
      </w:r>
    </w:p>
    <w:p w:rsidR="00073CC7" w:rsidRDefault="00000D08" w:rsidP="00000D08">
      <w:pPr>
        <w:spacing w:before="100" w:beforeAutospacing="1" w:after="100" w:afterAutospacing="1" w:line="240" w:lineRule="auto"/>
        <w:rPr>
          <w:rFonts w:ascii="Arial" w:eastAsia="Times New Roman" w:hAnsi="Arial" w:cs="Arial"/>
          <w:color w:val="333333"/>
          <w:sz w:val="17"/>
          <w:szCs w:val="17"/>
          <w:lang w:eastAsia="en-GB"/>
        </w:rPr>
      </w:pPr>
      <w:r w:rsidRPr="00000D08">
        <w:rPr>
          <w:rFonts w:ascii="Arial" w:eastAsia="Times New Roman" w:hAnsi="Arial" w:cs="Arial"/>
          <w:color w:val="333333"/>
          <w:sz w:val="17"/>
          <w:szCs w:val="17"/>
          <w:lang w:eastAsia="en-GB"/>
        </w:rPr>
        <w:t>+44 (0) 131 523 4205</w:t>
      </w:r>
    </w:p>
    <w:p w:rsidR="00414E96" w:rsidRPr="00414E96" w:rsidRDefault="00414E96" w:rsidP="00414E96">
      <w:pPr>
        <w:pStyle w:val="Normal4"/>
        <w:rPr>
          <w:rFonts w:ascii="Arial" w:hAnsi="Arial" w:cs="Arial"/>
          <w:color w:val="333333"/>
          <w:sz w:val="17"/>
          <w:szCs w:val="17"/>
        </w:rPr>
      </w:pPr>
    </w:p>
    <w:p w:rsidR="00414E96" w:rsidRPr="00414E96" w:rsidRDefault="00414E96" w:rsidP="00414E96">
      <w:pPr>
        <w:pStyle w:val="Normal4"/>
        <w:rPr>
          <w:rFonts w:ascii="Arial" w:hAnsi="Arial" w:cs="Arial"/>
          <w:color w:val="333333"/>
          <w:sz w:val="17"/>
          <w:szCs w:val="17"/>
        </w:rPr>
      </w:pPr>
      <w:r w:rsidRPr="00414E96">
        <w:rPr>
          <w:rFonts w:ascii="Arial" w:hAnsi="Arial" w:cs="Arial"/>
          <w:color w:val="333333"/>
          <w:sz w:val="17"/>
          <w:szCs w:val="17"/>
        </w:rPr>
        <w:t>Forward-Looking Statements</w:t>
      </w:r>
    </w:p>
    <w:p w:rsidR="00414E96" w:rsidRPr="00414E96" w:rsidRDefault="00414E96" w:rsidP="00414E96">
      <w:pPr>
        <w:pStyle w:val="Normal4"/>
        <w:rPr>
          <w:rFonts w:ascii="Arial" w:hAnsi="Arial" w:cs="Arial"/>
          <w:color w:val="333333"/>
          <w:sz w:val="17"/>
          <w:szCs w:val="17"/>
        </w:rPr>
      </w:pPr>
    </w:p>
    <w:p w:rsidR="00F66094" w:rsidRPr="00F66094" w:rsidRDefault="00F66094" w:rsidP="00F66094">
      <w:pPr>
        <w:pStyle w:val="Normal4"/>
        <w:rPr>
          <w:rFonts w:ascii="Arial" w:hAnsi="Arial" w:cs="Arial"/>
          <w:color w:val="333333"/>
          <w:sz w:val="17"/>
          <w:szCs w:val="17"/>
        </w:rPr>
      </w:pPr>
      <w:r w:rsidRPr="00F66094">
        <w:rPr>
          <w:rFonts w:ascii="Arial" w:hAnsi="Arial" w:cs="Arial"/>
          <w:color w:val="333333"/>
          <w:sz w:val="17"/>
          <w:szCs w:val="17"/>
        </w:rPr>
        <w:t>This announcement contains forward-looking statements within the meaning of the United States Private Securities Litigation Reform Act of 1995, including (but not limited to) those related to RBS and its subsidiaries' regulatory capital position and funding requirements, financial position, ongoing litigation and regulatory investigations, profitability and financial performance (including financial performance targets and expectations), structural reform and the implementation of the UK ring-fencing regime, the implementation of RBS’s restructuring and transformation programme, impairment losses and credit exposures under certain specified scenarios, increasing competition from new incumbents and disruptive technologies and RBS’s exposure to political and economic risks (including with respect to Brexit), operational risk, conduct risk, cyber and IT risk and credit rating risk. In addition, forward-looking statements may include, without limitation, the words ‘expect’, ‘estimate’, ‘project’, ‘anticipate’, ‘commit’, ‘believe’, ‘should’, ‘intend’, ‘plan’, ‘could’, ‘probability’, ‘risk’, ‘Value-at-Risk (</w:t>
      </w:r>
      <w:proofErr w:type="spellStart"/>
      <w:r w:rsidRPr="00F66094">
        <w:rPr>
          <w:rFonts w:ascii="Arial" w:hAnsi="Arial" w:cs="Arial"/>
          <w:color w:val="333333"/>
          <w:sz w:val="17"/>
          <w:szCs w:val="17"/>
        </w:rPr>
        <w:t>VaR</w:t>
      </w:r>
      <w:proofErr w:type="spellEnd"/>
      <w:r w:rsidRPr="00F66094">
        <w:rPr>
          <w:rFonts w:ascii="Arial" w:hAnsi="Arial" w:cs="Arial"/>
          <w:color w:val="333333"/>
          <w:sz w:val="17"/>
          <w:szCs w:val="17"/>
        </w:rPr>
        <w:t xml:space="preserve">)’, ‘target’, ‘goal’, ‘objective’, ‘may’, ‘endeavour’, ‘outlook’, ‘optimistic’, ‘prospects’ and similar expressions or variations on these expressions. These statements concern or may affect future matters, such as RBS's future economic results, business plans and current strategies. Forward-looking </w:t>
      </w:r>
      <w:r w:rsidRPr="00F66094">
        <w:rPr>
          <w:rFonts w:ascii="Arial" w:hAnsi="Arial" w:cs="Arial"/>
          <w:color w:val="333333"/>
          <w:sz w:val="17"/>
          <w:szCs w:val="17"/>
        </w:rPr>
        <w:lastRenderedPageBreak/>
        <w:t>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political, fiscal and regulatory developments, accounting standards, competitive conditions, technological developments, interest and exchange rate fluctuations and general economic and political conditions. These and other factors, risks and uncertainties that may impact any forward-looking statement or RBS's actual results are discussed in RBS's UK 2017 Annual Report and Accounts (ARA) and materials filed with, or furnished to, the US Securities and Exchange Commission, including, but not limited to, RBS's most recent Annual Report on Form 20-F and Reports on Form 6-K.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p w:rsidR="00B62BD7" w:rsidRDefault="00B62BD7" w:rsidP="00F66094">
      <w:pPr>
        <w:pStyle w:val="Normal4"/>
        <w:rPr>
          <w:rFonts w:ascii="Arial" w:hAnsi="Arial" w:cs="Arial"/>
          <w:color w:val="333333"/>
          <w:sz w:val="17"/>
          <w:szCs w:val="17"/>
        </w:rPr>
      </w:pPr>
    </w:p>
    <w:p w:rsidR="00D557EB" w:rsidRDefault="00D557EB" w:rsidP="00D557EB">
      <w:pPr>
        <w:pStyle w:val="Normal4"/>
        <w:rPr>
          <w:rFonts w:ascii="Arial" w:hAnsi="Arial" w:cs="Arial"/>
          <w:color w:val="333333"/>
          <w:sz w:val="17"/>
          <w:szCs w:val="17"/>
        </w:rPr>
      </w:pPr>
    </w:p>
    <w:p w:rsidR="00D557EB" w:rsidRPr="003122F1" w:rsidRDefault="00D557EB" w:rsidP="00D557EB">
      <w:pPr>
        <w:autoSpaceDE w:val="0"/>
        <w:autoSpaceDN w:val="0"/>
        <w:adjustRightInd w:val="0"/>
        <w:spacing w:after="0" w:line="240" w:lineRule="auto"/>
        <w:rPr>
          <w:rFonts w:ascii="Arial" w:eastAsia="Times New Roman" w:hAnsi="Arial" w:cs="Arial"/>
          <w:b/>
          <w:color w:val="333333"/>
          <w:sz w:val="17"/>
          <w:szCs w:val="17"/>
          <w:lang w:eastAsia="en-GB"/>
        </w:rPr>
      </w:pPr>
      <w:r w:rsidRPr="003122F1">
        <w:rPr>
          <w:rFonts w:ascii="Arial" w:eastAsia="Times New Roman" w:hAnsi="Arial" w:cs="Arial"/>
          <w:b/>
          <w:color w:val="333333"/>
          <w:sz w:val="17"/>
          <w:szCs w:val="17"/>
          <w:lang w:eastAsia="en-GB"/>
        </w:rPr>
        <w:t>Legal Entity Identifier:</w:t>
      </w:r>
    </w:p>
    <w:p w:rsidR="00D557EB" w:rsidRPr="00F66094" w:rsidRDefault="00D557EB" w:rsidP="00D557EB">
      <w:pPr>
        <w:pStyle w:val="Normal4"/>
        <w:rPr>
          <w:rFonts w:ascii="Arial" w:hAnsi="Arial" w:cs="Arial"/>
          <w:color w:val="333333"/>
          <w:sz w:val="17"/>
          <w:szCs w:val="17"/>
        </w:rPr>
      </w:pPr>
      <w:r>
        <w:rPr>
          <w:rFonts w:ascii="ArialMT" w:hAnsi="ArialMT" w:cs="ArialMT"/>
          <w:color w:val="333333"/>
          <w:sz w:val="15"/>
          <w:szCs w:val="15"/>
        </w:rPr>
        <w:t>The Royal Bank of Scotland Group plc - 2138005O9XJIJN4JPN90</w:t>
      </w:r>
    </w:p>
    <w:p w:rsidR="000B2694" w:rsidRDefault="000B2694" w:rsidP="00F66094">
      <w:pPr>
        <w:pStyle w:val="Normal4"/>
        <w:rPr>
          <w:rFonts w:ascii="Arial" w:hAnsi="Arial" w:cs="Arial"/>
          <w:color w:val="333333"/>
          <w:sz w:val="17"/>
          <w:szCs w:val="17"/>
        </w:rPr>
      </w:pPr>
    </w:p>
    <w:p w:rsidR="00D557EB" w:rsidRPr="00F66094" w:rsidRDefault="00D557EB" w:rsidP="00F66094">
      <w:pPr>
        <w:pStyle w:val="Normal4"/>
        <w:rPr>
          <w:rFonts w:ascii="Arial" w:hAnsi="Arial" w:cs="Arial"/>
          <w:color w:val="333333"/>
          <w:sz w:val="17"/>
          <w:szCs w:val="17"/>
        </w:rPr>
      </w:pPr>
    </w:p>
    <w:sectPr w:rsidR="00D557EB" w:rsidRPr="00F66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08"/>
    <w:rsid w:val="00000D08"/>
    <w:rsid w:val="0002537A"/>
    <w:rsid w:val="00073CC7"/>
    <w:rsid w:val="000B2694"/>
    <w:rsid w:val="001E26BE"/>
    <w:rsid w:val="00261243"/>
    <w:rsid w:val="00262F93"/>
    <w:rsid w:val="00305EDD"/>
    <w:rsid w:val="00336D71"/>
    <w:rsid w:val="003E6174"/>
    <w:rsid w:val="004077C5"/>
    <w:rsid w:val="00414E96"/>
    <w:rsid w:val="00440EF9"/>
    <w:rsid w:val="0056189D"/>
    <w:rsid w:val="00563007"/>
    <w:rsid w:val="00590C4C"/>
    <w:rsid w:val="005D2382"/>
    <w:rsid w:val="00631B1D"/>
    <w:rsid w:val="006850EA"/>
    <w:rsid w:val="0071449B"/>
    <w:rsid w:val="00727ABB"/>
    <w:rsid w:val="00735778"/>
    <w:rsid w:val="007563E6"/>
    <w:rsid w:val="0079485F"/>
    <w:rsid w:val="007A4E2F"/>
    <w:rsid w:val="007A610D"/>
    <w:rsid w:val="007B4981"/>
    <w:rsid w:val="008932EF"/>
    <w:rsid w:val="008A398A"/>
    <w:rsid w:val="008E1639"/>
    <w:rsid w:val="008F0EF8"/>
    <w:rsid w:val="0097224A"/>
    <w:rsid w:val="009819A5"/>
    <w:rsid w:val="009B66D4"/>
    <w:rsid w:val="009B713C"/>
    <w:rsid w:val="009C72AE"/>
    <w:rsid w:val="00AE43A9"/>
    <w:rsid w:val="00B34AD3"/>
    <w:rsid w:val="00B62BD7"/>
    <w:rsid w:val="00C7121C"/>
    <w:rsid w:val="00D06DDE"/>
    <w:rsid w:val="00D557EB"/>
    <w:rsid w:val="00DE4718"/>
    <w:rsid w:val="00E469E6"/>
    <w:rsid w:val="00E9461A"/>
    <w:rsid w:val="00F3564A"/>
    <w:rsid w:val="00F51F33"/>
    <w:rsid w:val="00F610B2"/>
    <w:rsid w:val="00F66094"/>
    <w:rsid w:val="00FC43B2"/>
    <w:rsid w:val="00FF5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n">
    <w:name w:val="bn"/>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l">
    <w:name w:val="bl"/>
    <w:basedOn w:val="DefaultParagraphFont"/>
    <w:rsid w:val="00000D08"/>
  </w:style>
  <w:style w:type="paragraph" w:customStyle="1" w:styleId="bo">
    <w:name w:val="bo"/>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p">
    <w:name w:val="bp"/>
    <w:basedOn w:val="DefaultParagraphFont"/>
    <w:rsid w:val="00000D08"/>
  </w:style>
  <w:style w:type="paragraph" w:customStyle="1" w:styleId="bq">
    <w:name w:val="bq"/>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r">
    <w:name w:val="br"/>
    <w:basedOn w:val="DefaultParagraphFont"/>
    <w:rsid w:val="00000D08"/>
  </w:style>
  <w:style w:type="paragraph" w:customStyle="1" w:styleId="i">
    <w:name w:val="i"/>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s">
    <w:name w:val="bs"/>
    <w:basedOn w:val="DefaultParagraphFont"/>
    <w:rsid w:val="00000D08"/>
  </w:style>
  <w:style w:type="character" w:customStyle="1" w:styleId="bt">
    <w:name w:val="bt"/>
    <w:basedOn w:val="DefaultParagraphFont"/>
    <w:rsid w:val="00000D08"/>
  </w:style>
  <w:style w:type="character" w:customStyle="1" w:styleId="bv">
    <w:name w:val="bv"/>
    <w:basedOn w:val="DefaultParagraphFont"/>
    <w:rsid w:val="00000D08"/>
  </w:style>
  <w:style w:type="paragraph" w:customStyle="1" w:styleId="bw">
    <w:name w:val="bw"/>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x">
    <w:name w:val="bx"/>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
    <w:name w:val="by"/>
    <w:basedOn w:val="DefaultParagraphFont"/>
    <w:rsid w:val="00000D08"/>
  </w:style>
  <w:style w:type="paragraph" w:customStyle="1" w:styleId="bz">
    <w:name w:val="bz"/>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
    <w:name w:val="ca"/>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y">
    <w:name w:val="ay"/>
    <w:basedOn w:val="DefaultParagraphFont"/>
    <w:rsid w:val="00000D08"/>
  </w:style>
  <w:style w:type="character" w:customStyle="1" w:styleId="cb">
    <w:name w:val="cb"/>
    <w:basedOn w:val="DefaultParagraphFont"/>
    <w:rsid w:val="00000D08"/>
  </w:style>
  <w:style w:type="paragraph" w:customStyle="1" w:styleId="cd">
    <w:name w:val="cd"/>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
    <w:name w:val="n"/>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
    <w:name w:val="a"/>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0D08"/>
    <w:rPr>
      <w:color w:val="0000FF"/>
      <w:u w:val="single"/>
    </w:rPr>
  </w:style>
  <w:style w:type="paragraph" w:customStyle="1" w:styleId="ce">
    <w:name w:val="ce"/>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f">
    <w:name w:val="cf"/>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g">
    <w:name w:val="cg"/>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
    <w:name w:val="ch"/>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g">
    <w:name w:val="bg"/>
    <w:basedOn w:val="DefaultParagraphFont"/>
    <w:rsid w:val="00000D08"/>
  </w:style>
  <w:style w:type="character" w:customStyle="1" w:styleId="ci">
    <w:name w:val="ci"/>
    <w:basedOn w:val="DefaultParagraphFont"/>
    <w:rsid w:val="00000D08"/>
  </w:style>
  <w:style w:type="paragraph" w:customStyle="1" w:styleId="Normal4">
    <w:name w:val="Normal_4"/>
    <w:basedOn w:val="Normal"/>
    <w:rsid w:val="00414E96"/>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72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24A"/>
    <w:rPr>
      <w:rFonts w:ascii="Tahoma" w:hAnsi="Tahoma" w:cs="Tahoma"/>
      <w:sz w:val="16"/>
      <w:szCs w:val="16"/>
    </w:rPr>
  </w:style>
  <w:style w:type="character" w:styleId="FollowedHyperlink">
    <w:name w:val="FollowedHyperlink"/>
    <w:basedOn w:val="DefaultParagraphFont"/>
    <w:uiPriority w:val="99"/>
    <w:semiHidden/>
    <w:unhideWhenUsed/>
    <w:rsid w:val="00FF5F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n">
    <w:name w:val="bn"/>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l">
    <w:name w:val="bl"/>
    <w:basedOn w:val="DefaultParagraphFont"/>
    <w:rsid w:val="00000D08"/>
  </w:style>
  <w:style w:type="paragraph" w:customStyle="1" w:styleId="bo">
    <w:name w:val="bo"/>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p">
    <w:name w:val="bp"/>
    <w:basedOn w:val="DefaultParagraphFont"/>
    <w:rsid w:val="00000D08"/>
  </w:style>
  <w:style w:type="paragraph" w:customStyle="1" w:styleId="bq">
    <w:name w:val="bq"/>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r">
    <w:name w:val="br"/>
    <w:basedOn w:val="DefaultParagraphFont"/>
    <w:rsid w:val="00000D08"/>
  </w:style>
  <w:style w:type="paragraph" w:customStyle="1" w:styleId="i">
    <w:name w:val="i"/>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s">
    <w:name w:val="bs"/>
    <w:basedOn w:val="DefaultParagraphFont"/>
    <w:rsid w:val="00000D08"/>
  </w:style>
  <w:style w:type="character" w:customStyle="1" w:styleId="bt">
    <w:name w:val="bt"/>
    <w:basedOn w:val="DefaultParagraphFont"/>
    <w:rsid w:val="00000D08"/>
  </w:style>
  <w:style w:type="character" w:customStyle="1" w:styleId="bv">
    <w:name w:val="bv"/>
    <w:basedOn w:val="DefaultParagraphFont"/>
    <w:rsid w:val="00000D08"/>
  </w:style>
  <w:style w:type="paragraph" w:customStyle="1" w:styleId="bw">
    <w:name w:val="bw"/>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x">
    <w:name w:val="bx"/>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
    <w:name w:val="by"/>
    <w:basedOn w:val="DefaultParagraphFont"/>
    <w:rsid w:val="00000D08"/>
  </w:style>
  <w:style w:type="paragraph" w:customStyle="1" w:styleId="bz">
    <w:name w:val="bz"/>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
    <w:name w:val="ca"/>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y">
    <w:name w:val="ay"/>
    <w:basedOn w:val="DefaultParagraphFont"/>
    <w:rsid w:val="00000D08"/>
  </w:style>
  <w:style w:type="character" w:customStyle="1" w:styleId="cb">
    <w:name w:val="cb"/>
    <w:basedOn w:val="DefaultParagraphFont"/>
    <w:rsid w:val="00000D08"/>
  </w:style>
  <w:style w:type="paragraph" w:customStyle="1" w:styleId="cd">
    <w:name w:val="cd"/>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
    <w:name w:val="n"/>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
    <w:name w:val="a"/>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0D08"/>
    <w:rPr>
      <w:color w:val="0000FF"/>
      <w:u w:val="single"/>
    </w:rPr>
  </w:style>
  <w:style w:type="paragraph" w:customStyle="1" w:styleId="ce">
    <w:name w:val="ce"/>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f">
    <w:name w:val="cf"/>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g">
    <w:name w:val="cg"/>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
    <w:name w:val="ch"/>
    <w:basedOn w:val="Normal"/>
    <w:rsid w:val="0000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g">
    <w:name w:val="bg"/>
    <w:basedOn w:val="DefaultParagraphFont"/>
    <w:rsid w:val="00000D08"/>
  </w:style>
  <w:style w:type="character" w:customStyle="1" w:styleId="ci">
    <w:name w:val="ci"/>
    <w:basedOn w:val="DefaultParagraphFont"/>
    <w:rsid w:val="00000D08"/>
  </w:style>
  <w:style w:type="paragraph" w:customStyle="1" w:styleId="Normal4">
    <w:name w:val="Normal_4"/>
    <w:basedOn w:val="Normal"/>
    <w:rsid w:val="00414E96"/>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72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24A"/>
    <w:rPr>
      <w:rFonts w:ascii="Tahoma" w:hAnsi="Tahoma" w:cs="Tahoma"/>
      <w:sz w:val="16"/>
      <w:szCs w:val="16"/>
    </w:rPr>
  </w:style>
  <w:style w:type="character" w:styleId="FollowedHyperlink">
    <w:name w:val="FollowedHyperlink"/>
    <w:basedOn w:val="DefaultParagraphFont"/>
    <w:uiPriority w:val="99"/>
    <w:semiHidden/>
    <w:unhideWhenUsed/>
    <w:rsid w:val="00FF5F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021411">
      <w:bodyDiv w:val="1"/>
      <w:marLeft w:val="0"/>
      <w:marRight w:val="0"/>
      <w:marTop w:val="0"/>
      <w:marBottom w:val="0"/>
      <w:divBdr>
        <w:top w:val="none" w:sz="0" w:space="0" w:color="auto"/>
        <w:left w:val="none" w:sz="0" w:space="0" w:color="auto"/>
        <w:bottom w:val="none" w:sz="0" w:space="0" w:color="auto"/>
        <w:right w:val="none" w:sz="0" w:space="0" w:color="auto"/>
      </w:divBdr>
    </w:div>
    <w:div w:id="656228948">
      <w:bodyDiv w:val="1"/>
      <w:marLeft w:val="0"/>
      <w:marRight w:val="0"/>
      <w:marTop w:val="0"/>
      <w:marBottom w:val="0"/>
      <w:divBdr>
        <w:top w:val="none" w:sz="0" w:space="0" w:color="auto"/>
        <w:left w:val="none" w:sz="0" w:space="0" w:color="auto"/>
        <w:bottom w:val="none" w:sz="0" w:space="0" w:color="auto"/>
        <w:right w:val="none" w:sz="0" w:space="0" w:color="auto"/>
      </w:divBdr>
      <w:divsChild>
        <w:div w:id="2903914">
          <w:marLeft w:val="0"/>
          <w:marRight w:val="0"/>
          <w:marTop w:val="0"/>
          <w:marBottom w:val="0"/>
          <w:divBdr>
            <w:top w:val="none" w:sz="0" w:space="0" w:color="auto"/>
            <w:left w:val="none" w:sz="0" w:space="0" w:color="auto"/>
            <w:bottom w:val="none" w:sz="0" w:space="0" w:color="auto"/>
            <w:right w:val="none" w:sz="0" w:space="0" w:color="auto"/>
          </w:divBdr>
          <w:divsChild>
            <w:div w:id="1394499567">
              <w:marLeft w:val="0"/>
              <w:marRight w:val="0"/>
              <w:marTop w:val="0"/>
              <w:marBottom w:val="150"/>
              <w:divBdr>
                <w:top w:val="none" w:sz="0" w:space="0" w:color="auto"/>
                <w:left w:val="none" w:sz="0" w:space="0" w:color="auto"/>
                <w:bottom w:val="single" w:sz="6" w:space="0" w:color="CCCCCC"/>
                <w:right w:val="none" w:sz="0" w:space="0" w:color="auto"/>
              </w:divBdr>
              <w:divsChild>
                <w:div w:id="123620690">
                  <w:marLeft w:val="0"/>
                  <w:marRight w:val="0"/>
                  <w:marTop w:val="0"/>
                  <w:marBottom w:val="0"/>
                  <w:divBdr>
                    <w:top w:val="none" w:sz="0" w:space="0" w:color="auto"/>
                    <w:left w:val="none" w:sz="0" w:space="0" w:color="auto"/>
                    <w:bottom w:val="none" w:sz="0" w:space="0" w:color="auto"/>
                    <w:right w:val="none" w:sz="0" w:space="0" w:color="auto"/>
                  </w:divBdr>
                  <w:divsChild>
                    <w:div w:id="794372432">
                      <w:marLeft w:val="0"/>
                      <w:marRight w:val="0"/>
                      <w:marTop w:val="0"/>
                      <w:marBottom w:val="0"/>
                      <w:divBdr>
                        <w:top w:val="none" w:sz="0" w:space="0" w:color="auto"/>
                        <w:left w:val="none" w:sz="0" w:space="0" w:color="auto"/>
                        <w:bottom w:val="none" w:sz="0" w:space="0" w:color="auto"/>
                        <w:right w:val="none" w:sz="0" w:space="0" w:color="auto"/>
                      </w:divBdr>
                    </w:div>
                    <w:div w:id="2141533182">
                      <w:marLeft w:val="0"/>
                      <w:marRight w:val="0"/>
                      <w:marTop w:val="0"/>
                      <w:marBottom w:val="0"/>
                      <w:divBdr>
                        <w:top w:val="none" w:sz="0" w:space="0" w:color="auto"/>
                        <w:left w:val="none" w:sz="0" w:space="0" w:color="auto"/>
                        <w:bottom w:val="none" w:sz="0" w:space="0" w:color="auto"/>
                        <w:right w:val="none" w:sz="0" w:space="0" w:color="auto"/>
                      </w:divBdr>
                    </w:div>
                    <w:div w:id="984822483">
                      <w:marLeft w:val="0"/>
                      <w:marRight w:val="0"/>
                      <w:marTop w:val="0"/>
                      <w:marBottom w:val="0"/>
                      <w:divBdr>
                        <w:top w:val="none" w:sz="0" w:space="0" w:color="auto"/>
                        <w:left w:val="none" w:sz="0" w:space="0" w:color="auto"/>
                        <w:bottom w:val="none" w:sz="0" w:space="0" w:color="auto"/>
                        <w:right w:val="none" w:sz="0" w:space="0" w:color="auto"/>
                      </w:divBdr>
                    </w:div>
                    <w:div w:id="1863014900">
                      <w:marLeft w:val="0"/>
                      <w:marRight w:val="0"/>
                      <w:marTop w:val="0"/>
                      <w:marBottom w:val="0"/>
                      <w:divBdr>
                        <w:top w:val="none" w:sz="0" w:space="0" w:color="auto"/>
                        <w:left w:val="none" w:sz="0" w:space="0" w:color="auto"/>
                        <w:bottom w:val="none" w:sz="0" w:space="0" w:color="auto"/>
                        <w:right w:val="none" w:sz="0" w:space="0" w:color="auto"/>
                      </w:divBdr>
                    </w:div>
                    <w:div w:id="1864323992">
                      <w:marLeft w:val="0"/>
                      <w:marRight w:val="0"/>
                      <w:marTop w:val="0"/>
                      <w:marBottom w:val="0"/>
                      <w:divBdr>
                        <w:top w:val="none" w:sz="0" w:space="0" w:color="auto"/>
                        <w:left w:val="none" w:sz="0" w:space="0" w:color="auto"/>
                        <w:bottom w:val="none" w:sz="0" w:space="0" w:color="auto"/>
                        <w:right w:val="none" w:sz="0" w:space="0" w:color="auto"/>
                      </w:divBdr>
                    </w:div>
                    <w:div w:id="4967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399724">
      <w:bodyDiv w:val="1"/>
      <w:marLeft w:val="0"/>
      <w:marRight w:val="0"/>
      <w:marTop w:val="0"/>
      <w:marBottom w:val="0"/>
      <w:divBdr>
        <w:top w:val="none" w:sz="0" w:space="0" w:color="auto"/>
        <w:left w:val="none" w:sz="0" w:space="0" w:color="auto"/>
        <w:bottom w:val="none" w:sz="0" w:space="0" w:color="auto"/>
        <w:right w:val="none" w:sz="0" w:space="0" w:color="auto"/>
      </w:divBdr>
    </w:div>
    <w:div w:id="854614650">
      <w:bodyDiv w:val="1"/>
      <w:marLeft w:val="0"/>
      <w:marRight w:val="0"/>
      <w:marTop w:val="0"/>
      <w:marBottom w:val="0"/>
      <w:divBdr>
        <w:top w:val="none" w:sz="0" w:space="0" w:color="auto"/>
        <w:left w:val="none" w:sz="0" w:space="0" w:color="auto"/>
        <w:bottom w:val="none" w:sz="0" w:space="0" w:color="auto"/>
        <w:right w:val="none" w:sz="0" w:space="0" w:color="auto"/>
      </w:divBdr>
    </w:div>
    <w:div w:id="1338457118">
      <w:bodyDiv w:val="1"/>
      <w:marLeft w:val="0"/>
      <w:marRight w:val="0"/>
      <w:marTop w:val="0"/>
      <w:marBottom w:val="0"/>
      <w:divBdr>
        <w:top w:val="none" w:sz="0" w:space="0" w:color="auto"/>
        <w:left w:val="none" w:sz="0" w:space="0" w:color="auto"/>
        <w:bottom w:val="none" w:sz="0" w:space="0" w:color="auto"/>
        <w:right w:val="none" w:sz="0" w:space="0" w:color="auto"/>
      </w:divBdr>
    </w:div>
    <w:div w:id="1549032408">
      <w:bodyDiv w:val="1"/>
      <w:marLeft w:val="0"/>
      <w:marRight w:val="0"/>
      <w:marTop w:val="0"/>
      <w:marBottom w:val="0"/>
      <w:divBdr>
        <w:top w:val="none" w:sz="0" w:space="0" w:color="auto"/>
        <w:left w:val="none" w:sz="0" w:space="0" w:color="auto"/>
        <w:bottom w:val="none" w:sz="0" w:space="0" w:color="auto"/>
        <w:right w:val="none" w:sz="0" w:space="0" w:color="auto"/>
      </w:divBdr>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
    <w:div w:id="20713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rage.eba.europa.eu/documents/10180/2419188/EBA_ST_UK_2138005O9XJIJN4JPN9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4091</Characters>
  <Application>Microsoft Office Word</Application>
  <DocSecurity>4</DocSecurity>
  <Lines>240</Lines>
  <Paragraphs>114</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lunnsa</dc:creator>
  <cp:lastModifiedBy>patteja</cp:lastModifiedBy>
  <cp:revision>2</cp:revision>
  <cp:lastPrinted>2018-10-29T09:01:00Z</cp:lastPrinted>
  <dcterms:created xsi:type="dcterms:W3CDTF">2018-11-02T17:08:00Z</dcterms:created>
  <dcterms:modified xsi:type="dcterms:W3CDTF">2018-11-02T17:08:00Z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1986517921</vt:i4>
  </property>
  <property fmtid="{D5CDD505-2E9C-101B-9397-08002B2CF9AE}" pid="3" name="_NewReviewCycle">
    <vt:lpwstr/>
  </property>
  <property fmtid="{D5CDD505-2E9C-101B-9397-08002B2CF9AE}" pid="4" name="_EmailSubject">
    <vt:lpwstr>**FINAL RNS** RE: EBA stress test announcement DRAFT 5pm Friday</vt:lpwstr>
  </property>
  <property fmtid="{D5CDD505-2E9C-101B-9397-08002B2CF9AE}" pid="5" name="_AuthorEmail">
    <vt:lpwstr>Sarah.Lunn@rbs.com</vt:lpwstr>
  </property>
  <property fmtid="{D5CDD505-2E9C-101B-9397-08002B2CF9AE}" pid="6" name="_AuthorEmailDisplayName">
    <vt:lpwstr>Lunn, Sarah (Investor Relations)</vt:lpwstr>
  </property>
  <property fmtid="{D5CDD505-2E9C-101B-9397-08002B2CF9AE}" pid="7" name="_PreviousAdHocReviewCycleID">
    <vt:i4>848373479</vt:i4>
  </property>
  <property fmtid="{D5CDD505-2E9C-101B-9397-08002B2CF9AE}" pid="8" name="_ReviewingToolsShownOnce">
    <vt:lpwstr/>
  </property>
</Properties>
</file>