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DE" w:rsidRPr="00013FBF" w:rsidRDefault="0013333A" w:rsidP="003D7CDE">
      <w:pPr>
        <w:rPr>
          <w:rFonts w:ascii="RN House Sans Regular" w:eastAsia="Times New Roman" w:hAnsi="RN House Sans Regular" w:cs="Arial"/>
          <w:color w:val="333333"/>
          <w:sz w:val="18"/>
          <w:szCs w:val="20"/>
          <w:lang w:eastAsia="en-GB"/>
        </w:rPr>
      </w:pPr>
      <w:r>
        <w:rPr>
          <w:rFonts w:ascii="RN House Sans Regular" w:eastAsia="Times New Roman" w:hAnsi="RN House Sans Regular" w:cs="Arial"/>
          <w:color w:val="333333"/>
          <w:sz w:val="18"/>
          <w:szCs w:val="20"/>
          <w:lang w:eastAsia="en-GB"/>
        </w:rPr>
        <w:t xml:space="preserve">The </w:t>
      </w:r>
      <w:r w:rsidR="003D7CDE" w:rsidRPr="00013FBF">
        <w:rPr>
          <w:rFonts w:ascii="RN House Sans Regular" w:eastAsia="Times New Roman" w:hAnsi="RN House Sans Regular" w:cs="Arial"/>
          <w:color w:val="333333"/>
          <w:sz w:val="18"/>
          <w:szCs w:val="20"/>
          <w:lang w:eastAsia="en-GB"/>
        </w:rPr>
        <w:t xml:space="preserve">Royal Bank of Scotland Group </w:t>
      </w:r>
      <w:r w:rsidR="009441CE" w:rsidRPr="00013FBF">
        <w:rPr>
          <w:rFonts w:ascii="RN House Sans Regular" w:eastAsia="Times New Roman" w:hAnsi="RN House Sans Regular" w:cs="Arial"/>
          <w:color w:val="333333"/>
          <w:sz w:val="18"/>
          <w:szCs w:val="20"/>
          <w:lang w:eastAsia="en-GB"/>
        </w:rPr>
        <w:t>plc</w:t>
      </w:r>
    </w:p>
    <w:p w:rsidR="003D7CDE" w:rsidRPr="00013FBF" w:rsidRDefault="003D7CDE" w:rsidP="003D7CDE">
      <w:pPr>
        <w:rPr>
          <w:rFonts w:ascii="RN House Sans Regular" w:eastAsia="Times New Roman" w:hAnsi="RN House Sans Regular" w:cs="Arial"/>
          <w:b/>
          <w:color w:val="333333"/>
          <w:sz w:val="18"/>
          <w:szCs w:val="20"/>
          <w:lang w:eastAsia="en-GB"/>
        </w:rPr>
      </w:pPr>
    </w:p>
    <w:p w:rsidR="003D7CDE" w:rsidRPr="00013FBF" w:rsidRDefault="00117D21" w:rsidP="003D7CDE">
      <w:pPr>
        <w:rPr>
          <w:rFonts w:ascii="RN House Sans Regular" w:eastAsia="Times New Roman" w:hAnsi="RN House Sans Regular" w:cs="Arial"/>
          <w:b/>
          <w:color w:val="333333"/>
          <w:sz w:val="18"/>
          <w:szCs w:val="20"/>
          <w:lang w:eastAsia="en-GB"/>
        </w:rPr>
      </w:pPr>
      <w:r>
        <w:rPr>
          <w:rFonts w:ascii="RN House Sans Regular" w:eastAsia="Times New Roman" w:hAnsi="RN House Sans Regular" w:cs="Arial"/>
          <w:b/>
          <w:color w:val="333333"/>
          <w:sz w:val="18"/>
          <w:szCs w:val="20"/>
          <w:lang w:eastAsia="en-GB"/>
        </w:rPr>
        <w:t>17</w:t>
      </w:r>
      <w:r w:rsidR="003D7CDE" w:rsidRPr="00013FBF">
        <w:rPr>
          <w:rFonts w:ascii="RN House Sans Regular" w:eastAsia="Times New Roman" w:hAnsi="RN House Sans Regular" w:cs="Arial"/>
          <w:b/>
          <w:color w:val="333333"/>
          <w:sz w:val="18"/>
          <w:szCs w:val="20"/>
          <w:lang w:eastAsia="en-GB"/>
        </w:rPr>
        <w:t xml:space="preserve"> June 2019</w:t>
      </w:r>
    </w:p>
    <w:p w:rsidR="002C51B8" w:rsidRPr="00013FBF" w:rsidRDefault="007F7290">
      <w:pPr>
        <w:rPr>
          <w:rFonts w:ascii="RN House Sans Regular" w:hAnsi="RN House Sans Regular"/>
          <w:sz w:val="20"/>
        </w:rPr>
      </w:pPr>
    </w:p>
    <w:p w:rsidR="003D7CDE" w:rsidRPr="00013FBF" w:rsidRDefault="00C76BFB">
      <w:pPr>
        <w:rPr>
          <w:rFonts w:ascii="RN House Sans Regular" w:hAnsi="RN House Sans Regular"/>
          <w:b/>
          <w:sz w:val="20"/>
        </w:rPr>
      </w:pPr>
      <w:r w:rsidRPr="00013FBF">
        <w:rPr>
          <w:rFonts w:ascii="RN House Sans Regular" w:hAnsi="RN House Sans Regular"/>
          <w:b/>
          <w:sz w:val="20"/>
        </w:rPr>
        <w:t>RBS announces</w:t>
      </w:r>
      <w:r w:rsidR="001B4FEC">
        <w:rPr>
          <w:rFonts w:ascii="RN House Sans Regular" w:hAnsi="RN House Sans Regular"/>
          <w:b/>
          <w:sz w:val="20"/>
        </w:rPr>
        <w:t xml:space="preserve"> the</w:t>
      </w:r>
      <w:r w:rsidRPr="00013FBF">
        <w:rPr>
          <w:rFonts w:ascii="RN House Sans Regular" w:hAnsi="RN House Sans Regular"/>
          <w:b/>
          <w:sz w:val="20"/>
        </w:rPr>
        <w:t xml:space="preserve"> impact of </w:t>
      </w:r>
      <w:r w:rsidR="001B4FEC">
        <w:rPr>
          <w:rFonts w:ascii="RN House Sans Regular" w:hAnsi="RN House Sans Regular"/>
          <w:b/>
          <w:sz w:val="20"/>
        </w:rPr>
        <w:t xml:space="preserve">the </w:t>
      </w:r>
      <w:r w:rsidRPr="00013FBF">
        <w:rPr>
          <w:rFonts w:ascii="RN House Sans Regular" w:hAnsi="RN House Sans Regular"/>
          <w:b/>
          <w:sz w:val="20"/>
        </w:rPr>
        <w:t xml:space="preserve">merger of Alawwal </w:t>
      </w:r>
      <w:r w:rsidR="00DC70C5">
        <w:rPr>
          <w:rFonts w:ascii="RN House Sans Regular" w:hAnsi="RN House Sans Regular"/>
          <w:b/>
          <w:sz w:val="20"/>
        </w:rPr>
        <w:t>b</w:t>
      </w:r>
      <w:r w:rsidRPr="00013FBF">
        <w:rPr>
          <w:rFonts w:ascii="RN House Sans Regular" w:hAnsi="RN House Sans Regular"/>
          <w:b/>
          <w:sz w:val="20"/>
        </w:rPr>
        <w:t>ank</w:t>
      </w:r>
      <w:r w:rsidR="005D63BC" w:rsidRPr="00013FBF">
        <w:rPr>
          <w:rFonts w:ascii="RN House Sans Regular" w:hAnsi="RN House Sans Regular"/>
          <w:b/>
          <w:sz w:val="20"/>
        </w:rPr>
        <w:t xml:space="preserve"> and</w:t>
      </w:r>
      <w:r w:rsidRPr="00013FBF">
        <w:rPr>
          <w:rFonts w:ascii="RN House Sans Regular" w:hAnsi="RN House Sans Regular"/>
          <w:b/>
          <w:sz w:val="20"/>
        </w:rPr>
        <w:t xml:space="preserve"> </w:t>
      </w:r>
      <w:r w:rsidR="00772FB1" w:rsidRPr="00013FBF">
        <w:rPr>
          <w:rFonts w:ascii="RN House Sans Regular" w:hAnsi="RN House Sans Regular"/>
          <w:b/>
          <w:sz w:val="20"/>
        </w:rPr>
        <w:t>Saudi British Bank</w:t>
      </w:r>
    </w:p>
    <w:p w:rsidR="003D7CDE" w:rsidRPr="00013FBF" w:rsidRDefault="003D7CDE" w:rsidP="003D7CDE">
      <w:pPr>
        <w:rPr>
          <w:rFonts w:ascii="RN House Sans Regular" w:hAnsi="RN House Sans Regular"/>
          <w:sz w:val="20"/>
        </w:rPr>
      </w:pPr>
    </w:p>
    <w:p w:rsidR="003D7CDE" w:rsidRPr="00013FBF" w:rsidRDefault="003D7CDE" w:rsidP="00013FBF">
      <w:pPr>
        <w:rPr>
          <w:rFonts w:ascii="RN House Sans Regular" w:hAnsi="RN House Sans Regular"/>
          <w:sz w:val="20"/>
        </w:rPr>
      </w:pPr>
      <w:r w:rsidRPr="00013FBF">
        <w:rPr>
          <w:rFonts w:ascii="RN House Sans Regular" w:hAnsi="RN House Sans Regular"/>
          <w:sz w:val="20"/>
        </w:rPr>
        <w:t>The Royal Bank of Scotland Group plc (</w:t>
      </w:r>
      <w:r w:rsidR="009441CE" w:rsidRPr="00013FBF">
        <w:rPr>
          <w:rFonts w:ascii="RN House Sans Regular" w:hAnsi="RN House Sans Regular"/>
          <w:sz w:val="20"/>
        </w:rPr>
        <w:t>“</w:t>
      </w:r>
      <w:r w:rsidRPr="00013FBF">
        <w:rPr>
          <w:rFonts w:ascii="RN House Sans Regular" w:hAnsi="RN House Sans Regular"/>
          <w:sz w:val="20"/>
        </w:rPr>
        <w:t>RBS</w:t>
      </w:r>
      <w:r w:rsidR="009441CE" w:rsidRPr="00013FBF">
        <w:rPr>
          <w:rFonts w:ascii="RN House Sans Regular" w:hAnsi="RN House Sans Regular"/>
          <w:sz w:val="20"/>
        </w:rPr>
        <w:t>”</w:t>
      </w:r>
      <w:r w:rsidRPr="00013FBF">
        <w:rPr>
          <w:rFonts w:ascii="RN House Sans Regular" w:hAnsi="RN House Sans Regular"/>
          <w:sz w:val="20"/>
        </w:rPr>
        <w:t xml:space="preserve">) notes the completion of the merger of Alawwal </w:t>
      </w:r>
      <w:r w:rsidR="00DC70C5">
        <w:rPr>
          <w:rFonts w:ascii="RN House Sans Regular" w:hAnsi="RN House Sans Regular"/>
          <w:sz w:val="20"/>
        </w:rPr>
        <w:t>b</w:t>
      </w:r>
      <w:r w:rsidRPr="00013FBF">
        <w:rPr>
          <w:rFonts w:ascii="RN House Sans Regular" w:hAnsi="RN House Sans Regular"/>
          <w:sz w:val="20"/>
        </w:rPr>
        <w:t xml:space="preserve">ank </w:t>
      </w:r>
      <w:r w:rsidR="00772FB1" w:rsidRPr="00013FBF">
        <w:rPr>
          <w:rFonts w:ascii="RN House Sans Regular" w:hAnsi="RN House Sans Regular"/>
          <w:sz w:val="20"/>
        </w:rPr>
        <w:t xml:space="preserve">and </w:t>
      </w:r>
      <w:r w:rsidRPr="00013FBF">
        <w:rPr>
          <w:rFonts w:ascii="RN House Sans Regular" w:hAnsi="RN House Sans Regular"/>
          <w:sz w:val="20"/>
        </w:rPr>
        <w:t>Saudi British Bank</w:t>
      </w:r>
      <w:r w:rsidR="009441CE" w:rsidRPr="00013FBF">
        <w:rPr>
          <w:rFonts w:ascii="RN House Sans Regular" w:hAnsi="RN House Sans Regular"/>
          <w:sz w:val="20"/>
        </w:rPr>
        <w:t xml:space="preserve"> (“SABB”)</w:t>
      </w:r>
      <w:r w:rsidRPr="00013FBF">
        <w:rPr>
          <w:rFonts w:ascii="RN House Sans Regular" w:hAnsi="RN House Sans Regular"/>
          <w:sz w:val="20"/>
        </w:rPr>
        <w:t xml:space="preserve"> announced </w:t>
      </w:r>
      <w:r w:rsidR="00625B7E" w:rsidRPr="00013FBF">
        <w:rPr>
          <w:rFonts w:ascii="RN House Sans Regular" w:hAnsi="RN House Sans Regular"/>
          <w:sz w:val="20"/>
        </w:rPr>
        <w:t>on 16 June 2019</w:t>
      </w:r>
      <w:r w:rsidR="002A3BCF">
        <w:rPr>
          <w:rFonts w:ascii="RN House Sans Regular" w:hAnsi="RN House Sans Regular"/>
          <w:sz w:val="20"/>
        </w:rPr>
        <w:t xml:space="preserve"> (the “</w:t>
      </w:r>
      <w:r w:rsidR="00C50F2D">
        <w:rPr>
          <w:rFonts w:ascii="RN House Sans Regular" w:hAnsi="RN House Sans Regular"/>
          <w:sz w:val="20"/>
        </w:rPr>
        <w:t>Merger”)</w:t>
      </w:r>
      <w:r w:rsidRPr="00013FBF">
        <w:rPr>
          <w:rFonts w:ascii="RN House Sans Regular" w:hAnsi="RN House Sans Regular"/>
          <w:sz w:val="20"/>
        </w:rPr>
        <w:t>.</w:t>
      </w:r>
      <w:r w:rsidR="00C50F2D">
        <w:rPr>
          <w:rFonts w:ascii="RN House Sans Regular" w:hAnsi="RN House Sans Regular"/>
          <w:sz w:val="20"/>
        </w:rPr>
        <w:t xml:space="preserve"> </w:t>
      </w:r>
      <w:r w:rsidRPr="00013FBF">
        <w:rPr>
          <w:rFonts w:ascii="RN House Sans Regular" w:hAnsi="RN House Sans Regular"/>
          <w:sz w:val="20"/>
        </w:rPr>
        <w:t xml:space="preserve"> The completion of the merger</w:t>
      </w:r>
      <w:r w:rsidRPr="00013FBF">
        <w:rPr>
          <w:rFonts w:ascii="Arial" w:hAnsi="Arial" w:cs="Arial"/>
          <w:sz w:val="20"/>
        </w:rPr>
        <w:t> </w:t>
      </w:r>
      <w:r w:rsidRPr="00013FBF">
        <w:rPr>
          <w:rFonts w:ascii="RN House Sans Regular" w:hAnsi="RN House Sans Regular"/>
          <w:sz w:val="20"/>
        </w:rPr>
        <w:t>impacts RBS and its subsidiaries NatWest Markets N.V. (</w:t>
      </w:r>
      <w:r w:rsidR="009441CE" w:rsidRPr="00013FBF">
        <w:rPr>
          <w:rFonts w:ascii="RN House Sans Regular" w:hAnsi="RN House Sans Regular"/>
          <w:sz w:val="20"/>
        </w:rPr>
        <w:t>“</w:t>
      </w:r>
      <w:r w:rsidRPr="00013FBF">
        <w:rPr>
          <w:rFonts w:ascii="RN House Sans Regular" w:hAnsi="RN House Sans Regular"/>
          <w:sz w:val="20"/>
        </w:rPr>
        <w:t>NWM NV</w:t>
      </w:r>
      <w:r w:rsidR="009441CE" w:rsidRPr="00013FBF">
        <w:rPr>
          <w:rFonts w:ascii="RN House Sans Regular" w:hAnsi="RN House Sans Regular"/>
          <w:sz w:val="20"/>
        </w:rPr>
        <w:t>”</w:t>
      </w:r>
      <w:r w:rsidRPr="00013FBF">
        <w:rPr>
          <w:rFonts w:ascii="RN House Sans Regular" w:hAnsi="RN House Sans Regular"/>
          <w:sz w:val="20"/>
        </w:rPr>
        <w:t>) and NatWest Markets Plc (</w:t>
      </w:r>
      <w:r w:rsidR="009441CE" w:rsidRPr="00013FBF">
        <w:rPr>
          <w:rFonts w:ascii="RN House Sans Regular" w:hAnsi="RN House Sans Regular"/>
          <w:sz w:val="20"/>
        </w:rPr>
        <w:t>“</w:t>
      </w:r>
      <w:r w:rsidRPr="00013FBF">
        <w:rPr>
          <w:rFonts w:ascii="RN House Sans Regular" w:hAnsi="RN House Sans Regular"/>
          <w:sz w:val="20"/>
        </w:rPr>
        <w:t xml:space="preserve">NWM </w:t>
      </w:r>
      <w:r w:rsidR="002D75E4" w:rsidRPr="00013FBF">
        <w:rPr>
          <w:rFonts w:ascii="RN House Sans Regular" w:hAnsi="RN House Sans Regular"/>
          <w:sz w:val="20"/>
        </w:rPr>
        <w:t>P</w:t>
      </w:r>
      <w:r w:rsidRPr="00013FBF">
        <w:rPr>
          <w:rFonts w:ascii="RN House Sans Regular" w:hAnsi="RN House Sans Regular"/>
          <w:sz w:val="20"/>
        </w:rPr>
        <w:t>lc</w:t>
      </w:r>
      <w:r w:rsidR="009441CE" w:rsidRPr="00013FBF">
        <w:rPr>
          <w:rFonts w:ascii="RN House Sans Regular" w:hAnsi="RN House Sans Regular"/>
          <w:sz w:val="20"/>
        </w:rPr>
        <w:t>”</w:t>
      </w:r>
      <w:r w:rsidRPr="00013FBF">
        <w:rPr>
          <w:rFonts w:ascii="RN House Sans Regular" w:hAnsi="RN House Sans Regular"/>
          <w:sz w:val="20"/>
        </w:rPr>
        <w:t>).</w:t>
      </w:r>
      <w:r w:rsidRPr="00013FBF">
        <w:rPr>
          <w:rFonts w:ascii="Arial" w:hAnsi="Arial" w:cs="Arial"/>
          <w:sz w:val="20"/>
        </w:rPr>
        <w:t> </w:t>
      </w:r>
    </w:p>
    <w:p w:rsidR="003D7CDE" w:rsidRPr="00013FBF" w:rsidRDefault="003D7CDE" w:rsidP="003D7CDE">
      <w:pPr>
        <w:rPr>
          <w:rFonts w:ascii="RN House Sans Regular" w:hAnsi="RN House Sans Regular"/>
          <w:sz w:val="20"/>
        </w:rPr>
      </w:pPr>
    </w:p>
    <w:p w:rsidR="009F71AA" w:rsidRPr="00013FBF" w:rsidRDefault="003D7CDE" w:rsidP="003D7CDE">
      <w:pPr>
        <w:rPr>
          <w:rFonts w:ascii="RN House Sans Regular" w:hAnsi="RN House Sans Regular"/>
          <w:sz w:val="20"/>
        </w:rPr>
      </w:pPr>
      <w:r w:rsidRPr="00013FBF">
        <w:rPr>
          <w:rFonts w:ascii="RN House Sans Regular" w:hAnsi="RN House Sans Regular"/>
          <w:sz w:val="20"/>
        </w:rPr>
        <w:t xml:space="preserve">RBS, through its Dutch subsidiary NWM NV, </w:t>
      </w:r>
      <w:r w:rsidR="00013FBF" w:rsidRPr="00013FBF">
        <w:rPr>
          <w:rFonts w:ascii="RN House Sans Regular" w:hAnsi="RN House Sans Regular"/>
          <w:sz w:val="20"/>
        </w:rPr>
        <w:t>h</w:t>
      </w:r>
      <w:r w:rsidR="00013FBF">
        <w:rPr>
          <w:rFonts w:ascii="RN House Sans Regular" w:hAnsi="RN House Sans Regular"/>
          <w:sz w:val="20"/>
        </w:rPr>
        <w:t>eld</w:t>
      </w:r>
      <w:r w:rsidR="00013FBF" w:rsidRPr="00013FBF">
        <w:rPr>
          <w:rFonts w:ascii="RN House Sans Regular" w:hAnsi="RN House Sans Regular"/>
          <w:sz w:val="20"/>
        </w:rPr>
        <w:t xml:space="preserve"> </w:t>
      </w:r>
      <w:r w:rsidRPr="00013FBF">
        <w:rPr>
          <w:rFonts w:ascii="RN House Sans Regular" w:hAnsi="RN House Sans Regular"/>
          <w:sz w:val="20"/>
        </w:rPr>
        <w:t xml:space="preserve">an </w:t>
      </w:r>
      <w:r w:rsidR="00772FB1" w:rsidRPr="00013FBF">
        <w:rPr>
          <w:rFonts w:ascii="RN House Sans Regular" w:hAnsi="RN House Sans Regular"/>
          <w:sz w:val="20"/>
        </w:rPr>
        <w:t xml:space="preserve">aggregate 40% shareholding </w:t>
      </w:r>
      <w:r w:rsidRPr="00013FBF">
        <w:rPr>
          <w:rFonts w:ascii="RN House Sans Regular" w:hAnsi="RN House Sans Regular"/>
          <w:sz w:val="20"/>
        </w:rPr>
        <w:t xml:space="preserve">in Alawwal </w:t>
      </w:r>
      <w:r w:rsidR="00DC70C5">
        <w:rPr>
          <w:rFonts w:ascii="RN House Sans Regular" w:hAnsi="RN House Sans Regular"/>
          <w:sz w:val="20"/>
        </w:rPr>
        <w:t>b</w:t>
      </w:r>
      <w:r w:rsidRPr="00013FBF">
        <w:rPr>
          <w:rFonts w:ascii="RN House Sans Regular" w:hAnsi="RN House Sans Regular"/>
          <w:sz w:val="20"/>
        </w:rPr>
        <w:t>ank</w:t>
      </w:r>
      <w:r w:rsidR="00772FB1" w:rsidRPr="00013FBF">
        <w:rPr>
          <w:rFonts w:ascii="RN House Sans Regular" w:hAnsi="RN House Sans Regular"/>
          <w:sz w:val="20"/>
        </w:rPr>
        <w:t xml:space="preserve"> on behalf of itself, </w:t>
      </w:r>
      <w:proofErr w:type="spellStart"/>
      <w:r w:rsidR="000A6A5C" w:rsidRPr="00013FBF">
        <w:rPr>
          <w:rFonts w:ascii="RN House Sans Regular" w:hAnsi="RN House Sans Regular"/>
          <w:iCs/>
          <w:sz w:val="20"/>
        </w:rPr>
        <w:t>Stichting</w:t>
      </w:r>
      <w:proofErr w:type="spellEnd"/>
      <w:r w:rsidR="000A6A5C" w:rsidRPr="00013FBF">
        <w:rPr>
          <w:rFonts w:ascii="RN House Sans Regular" w:hAnsi="RN House Sans Regular"/>
          <w:iCs/>
          <w:sz w:val="20"/>
        </w:rPr>
        <w:t xml:space="preserve"> </w:t>
      </w:r>
      <w:proofErr w:type="spellStart"/>
      <w:r w:rsidR="000A6A5C" w:rsidRPr="00013FBF">
        <w:rPr>
          <w:rFonts w:ascii="RN House Sans Regular" w:hAnsi="RN House Sans Regular"/>
          <w:iCs/>
          <w:sz w:val="20"/>
        </w:rPr>
        <w:t>Administratiekantoor</w:t>
      </w:r>
      <w:proofErr w:type="spellEnd"/>
      <w:r w:rsidR="000A6A5C" w:rsidRPr="00013FBF">
        <w:rPr>
          <w:rFonts w:ascii="RN House Sans Regular" w:hAnsi="RN House Sans Regular"/>
          <w:iCs/>
          <w:sz w:val="20"/>
        </w:rPr>
        <w:t xml:space="preserve"> </w:t>
      </w:r>
      <w:proofErr w:type="spellStart"/>
      <w:r w:rsidR="000A6A5C" w:rsidRPr="00013FBF">
        <w:rPr>
          <w:rFonts w:ascii="RN House Sans Regular" w:hAnsi="RN House Sans Regular"/>
          <w:iCs/>
          <w:sz w:val="20"/>
        </w:rPr>
        <w:t>Beheer</w:t>
      </w:r>
      <w:proofErr w:type="spellEnd"/>
      <w:r w:rsidR="000A6A5C" w:rsidRPr="00013FBF">
        <w:rPr>
          <w:rFonts w:ascii="RN House Sans Regular" w:hAnsi="RN House Sans Regular"/>
          <w:iCs/>
          <w:sz w:val="20"/>
        </w:rPr>
        <w:t xml:space="preserve"> </w:t>
      </w:r>
      <w:proofErr w:type="spellStart"/>
      <w:r w:rsidR="000A6A5C" w:rsidRPr="00013FBF">
        <w:rPr>
          <w:rFonts w:ascii="RN House Sans Regular" w:hAnsi="RN House Sans Regular"/>
          <w:iCs/>
          <w:sz w:val="20"/>
        </w:rPr>
        <w:t>Financiële</w:t>
      </w:r>
      <w:proofErr w:type="spellEnd"/>
      <w:r w:rsidR="000A6A5C" w:rsidRPr="00013FBF">
        <w:rPr>
          <w:rFonts w:ascii="RN House Sans Regular" w:hAnsi="RN House Sans Regular"/>
          <w:iCs/>
          <w:sz w:val="20"/>
        </w:rPr>
        <w:t xml:space="preserve"> </w:t>
      </w:r>
      <w:proofErr w:type="spellStart"/>
      <w:r w:rsidR="000A6A5C" w:rsidRPr="00013FBF">
        <w:rPr>
          <w:rFonts w:ascii="RN House Sans Regular" w:hAnsi="RN House Sans Regular"/>
          <w:iCs/>
          <w:sz w:val="20"/>
        </w:rPr>
        <w:t>Instellingen</w:t>
      </w:r>
      <w:proofErr w:type="spellEnd"/>
      <w:r w:rsidR="00772FB1" w:rsidRPr="00013FBF">
        <w:rPr>
          <w:rFonts w:ascii="RN House Sans Regular" w:hAnsi="RN House Sans Regular"/>
          <w:sz w:val="20"/>
        </w:rPr>
        <w:t xml:space="preserve"> (</w:t>
      </w:r>
      <w:r w:rsidR="009441CE" w:rsidRPr="00013FBF">
        <w:rPr>
          <w:rFonts w:ascii="RN House Sans Regular" w:hAnsi="RN House Sans Regular"/>
          <w:sz w:val="20"/>
        </w:rPr>
        <w:t>“</w:t>
      </w:r>
      <w:r w:rsidR="00772FB1" w:rsidRPr="00013FBF">
        <w:rPr>
          <w:rFonts w:ascii="RN House Sans Regular" w:hAnsi="RN House Sans Regular"/>
          <w:sz w:val="20"/>
        </w:rPr>
        <w:t>NLFI</w:t>
      </w:r>
      <w:r w:rsidR="009441CE" w:rsidRPr="00013FBF">
        <w:rPr>
          <w:rFonts w:ascii="RN House Sans Regular" w:hAnsi="RN House Sans Regular"/>
          <w:sz w:val="20"/>
        </w:rPr>
        <w:t>”</w:t>
      </w:r>
      <w:r w:rsidR="00772FB1" w:rsidRPr="00013FBF">
        <w:rPr>
          <w:rFonts w:ascii="RN House Sans Regular" w:hAnsi="RN House Sans Regular"/>
          <w:sz w:val="20"/>
        </w:rPr>
        <w:t xml:space="preserve">) and </w:t>
      </w:r>
      <w:r w:rsidR="000A6A5C" w:rsidRPr="00013FBF">
        <w:rPr>
          <w:rFonts w:ascii="RN House Sans Regular" w:hAnsi="RN House Sans Regular"/>
          <w:sz w:val="20"/>
        </w:rPr>
        <w:t xml:space="preserve">Banco </w:t>
      </w:r>
      <w:r w:rsidR="00772FB1" w:rsidRPr="00013FBF">
        <w:rPr>
          <w:rFonts w:ascii="RN House Sans Regular" w:hAnsi="RN House Sans Regular"/>
          <w:sz w:val="20"/>
        </w:rPr>
        <w:t>Santander</w:t>
      </w:r>
      <w:r w:rsidR="000A6A5C" w:rsidRPr="00013FBF">
        <w:rPr>
          <w:rFonts w:ascii="RN House Sans Regular" w:hAnsi="RN House Sans Regular"/>
          <w:sz w:val="20"/>
        </w:rPr>
        <w:t xml:space="preserve"> S.A.</w:t>
      </w:r>
      <w:r w:rsidRPr="00013FBF">
        <w:rPr>
          <w:rFonts w:ascii="RN House Sans Regular" w:hAnsi="RN House Sans Regular"/>
          <w:sz w:val="20"/>
        </w:rPr>
        <w:t xml:space="preserve"> (</w:t>
      </w:r>
      <w:r w:rsidR="00A55CB0" w:rsidRPr="00013FBF">
        <w:rPr>
          <w:rFonts w:ascii="RN House Sans Regular" w:hAnsi="RN House Sans Regular"/>
          <w:sz w:val="20"/>
        </w:rPr>
        <w:t xml:space="preserve">together </w:t>
      </w:r>
      <w:r w:rsidRPr="00013FBF">
        <w:rPr>
          <w:rFonts w:ascii="RN House Sans Regular" w:hAnsi="RN House Sans Regular"/>
          <w:sz w:val="20"/>
        </w:rPr>
        <w:t>the “Consortium”)</w:t>
      </w:r>
      <w:r w:rsidR="009F71AA" w:rsidRPr="00013FBF">
        <w:rPr>
          <w:rFonts w:ascii="RN House Sans Regular" w:hAnsi="RN House Sans Regular"/>
          <w:sz w:val="20"/>
        </w:rPr>
        <w:t xml:space="preserve"> which </w:t>
      </w:r>
      <w:r w:rsidR="00013FBF" w:rsidRPr="00013FBF">
        <w:rPr>
          <w:rFonts w:ascii="RN House Sans Regular" w:hAnsi="RN House Sans Regular"/>
          <w:sz w:val="20"/>
        </w:rPr>
        <w:t>date</w:t>
      </w:r>
      <w:r w:rsidR="00013FBF">
        <w:rPr>
          <w:rFonts w:ascii="RN House Sans Regular" w:hAnsi="RN House Sans Regular"/>
          <w:sz w:val="20"/>
        </w:rPr>
        <w:t>d</w:t>
      </w:r>
      <w:r w:rsidR="00013FBF" w:rsidRPr="00013FBF">
        <w:rPr>
          <w:rFonts w:ascii="RN House Sans Regular" w:hAnsi="RN House Sans Regular"/>
          <w:sz w:val="20"/>
        </w:rPr>
        <w:t xml:space="preserve"> </w:t>
      </w:r>
      <w:r w:rsidR="009F71AA" w:rsidRPr="00013FBF">
        <w:rPr>
          <w:rFonts w:ascii="RN House Sans Regular" w:hAnsi="RN House Sans Regular"/>
          <w:sz w:val="20"/>
        </w:rPr>
        <w:t>back to RBS’s acquisition of ABN AMRO in 2007</w:t>
      </w:r>
      <w:r w:rsidR="00772FB1" w:rsidRPr="00013FBF">
        <w:rPr>
          <w:rFonts w:ascii="RN House Sans Regular" w:hAnsi="RN House Sans Regular"/>
          <w:sz w:val="20"/>
        </w:rPr>
        <w:t xml:space="preserve">.  The economic interest of RBS </w:t>
      </w:r>
      <w:r w:rsidR="00013FBF">
        <w:rPr>
          <w:rFonts w:ascii="RN House Sans Regular" w:hAnsi="RN House Sans Regular"/>
          <w:sz w:val="20"/>
        </w:rPr>
        <w:t>wa</w:t>
      </w:r>
      <w:r w:rsidR="00013FBF" w:rsidRPr="00013FBF">
        <w:rPr>
          <w:rFonts w:ascii="RN House Sans Regular" w:hAnsi="RN House Sans Regular"/>
          <w:sz w:val="20"/>
        </w:rPr>
        <w:t xml:space="preserve">s </w:t>
      </w:r>
      <w:r w:rsidR="009F71AA" w:rsidRPr="00013FBF">
        <w:rPr>
          <w:rFonts w:ascii="RN House Sans Regular" w:hAnsi="RN House Sans Regular"/>
          <w:sz w:val="20"/>
        </w:rPr>
        <w:t>equivalent to</w:t>
      </w:r>
      <w:r w:rsidR="00772FB1" w:rsidRPr="00013FBF">
        <w:rPr>
          <w:rFonts w:ascii="RN House Sans Regular" w:hAnsi="RN House Sans Regular"/>
          <w:sz w:val="20"/>
        </w:rPr>
        <w:t xml:space="preserve"> a 15.3% shareholding in Alawwal </w:t>
      </w:r>
      <w:r w:rsidR="00DC70C5">
        <w:rPr>
          <w:rFonts w:ascii="RN House Sans Regular" w:hAnsi="RN House Sans Regular"/>
          <w:sz w:val="20"/>
        </w:rPr>
        <w:t>b</w:t>
      </w:r>
      <w:r w:rsidR="00772FB1" w:rsidRPr="00013FBF">
        <w:rPr>
          <w:rFonts w:ascii="RN House Sans Regular" w:hAnsi="RN House Sans Regular"/>
          <w:sz w:val="20"/>
        </w:rPr>
        <w:t>ank.</w:t>
      </w:r>
      <w:r w:rsidRPr="00013FBF">
        <w:rPr>
          <w:rFonts w:ascii="RN House Sans Regular" w:hAnsi="RN House Sans Regular"/>
          <w:sz w:val="20"/>
        </w:rPr>
        <w:t xml:space="preserve"> </w:t>
      </w:r>
    </w:p>
    <w:p w:rsidR="009F71AA" w:rsidRPr="00013FBF" w:rsidRDefault="009F71AA" w:rsidP="003D7CDE">
      <w:pPr>
        <w:rPr>
          <w:rFonts w:ascii="RN House Sans Regular" w:hAnsi="RN House Sans Regular"/>
          <w:sz w:val="20"/>
        </w:rPr>
      </w:pPr>
    </w:p>
    <w:p w:rsidR="003D7CDE" w:rsidRPr="00013FBF" w:rsidRDefault="00C047E3" w:rsidP="003D7CDE">
      <w:pPr>
        <w:rPr>
          <w:rFonts w:ascii="RN House Sans Regular" w:hAnsi="RN House Sans Regular"/>
          <w:sz w:val="20"/>
        </w:rPr>
      </w:pPr>
      <w:proofErr w:type="gramStart"/>
      <w:r w:rsidRPr="00013FBF">
        <w:rPr>
          <w:rFonts w:ascii="RN House Sans Regular" w:hAnsi="RN House Sans Regular"/>
          <w:sz w:val="20"/>
        </w:rPr>
        <w:t xml:space="preserve">As a result of the </w:t>
      </w:r>
      <w:r w:rsidR="00C50F2D">
        <w:rPr>
          <w:rFonts w:ascii="RN House Sans Regular" w:hAnsi="RN House Sans Regular"/>
          <w:sz w:val="20"/>
        </w:rPr>
        <w:t>M</w:t>
      </w:r>
      <w:r w:rsidRPr="00013FBF">
        <w:rPr>
          <w:rFonts w:ascii="RN House Sans Regular" w:hAnsi="RN House Sans Regular"/>
          <w:sz w:val="20"/>
        </w:rPr>
        <w:t>erger</w:t>
      </w:r>
      <w:r w:rsidR="009F71AA" w:rsidRPr="00013FBF">
        <w:rPr>
          <w:rFonts w:ascii="RN House Sans Regular" w:hAnsi="RN House Sans Regular"/>
          <w:sz w:val="20"/>
        </w:rPr>
        <w:t xml:space="preserve"> NWM NV receive</w:t>
      </w:r>
      <w:r w:rsidRPr="00013FBF">
        <w:rPr>
          <w:rFonts w:ascii="RN House Sans Regular" w:hAnsi="RN House Sans Regular"/>
          <w:sz w:val="20"/>
        </w:rPr>
        <w:t>d</w:t>
      </w:r>
      <w:r w:rsidR="009F71AA" w:rsidRPr="00013FBF">
        <w:rPr>
          <w:rFonts w:ascii="RN House Sans Regular" w:hAnsi="RN House Sans Regular"/>
          <w:sz w:val="20"/>
        </w:rPr>
        <w:t xml:space="preserve"> an aggregate shareholding of 10.</w:t>
      </w:r>
      <w:r w:rsidRPr="00013FBF">
        <w:rPr>
          <w:rFonts w:ascii="RN House Sans Regular" w:hAnsi="RN House Sans Regular"/>
          <w:sz w:val="20"/>
        </w:rPr>
        <w:t>8</w:t>
      </w:r>
      <w:r w:rsidR="009F71AA" w:rsidRPr="00013FBF">
        <w:rPr>
          <w:rFonts w:ascii="RN House Sans Regular" w:hAnsi="RN House Sans Regular"/>
          <w:sz w:val="20"/>
        </w:rPr>
        <w:t>% in SABB</w:t>
      </w:r>
      <w:r w:rsidR="00E41CFD" w:rsidRPr="00013FBF">
        <w:rPr>
          <w:rFonts w:ascii="RN House Sans Regular" w:hAnsi="RN House Sans Regular"/>
          <w:sz w:val="20"/>
        </w:rPr>
        <w:t xml:space="preserve">, </w:t>
      </w:r>
      <w:r w:rsidRPr="00013FBF">
        <w:rPr>
          <w:rFonts w:ascii="RN House Sans Regular" w:hAnsi="RN House Sans Regular"/>
          <w:sz w:val="20"/>
        </w:rPr>
        <w:t>representing the total interests</w:t>
      </w:r>
      <w:r w:rsidR="009F71AA" w:rsidRPr="00013FBF">
        <w:rPr>
          <w:rFonts w:ascii="RN House Sans Regular" w:hAnsi="RN House Sans Regular"/>
          <w:sz w:val="20"/>
        </w:rPr>
        <w:t xml:space="preserve"> of the Consortium</w:t>
      </w:r>
      <w:r w:rsidRPr="00013FBF">
        <w:rPr>
          <w:rFonts w:ascii="RN House Sans Regular" w:hAnsi="RN House Sans Regular"/>
          <w:sz w:val="20"/>
        </w:rPr>
        <w:t>.</w:t>
      </w:r>
      <w:proofErr w:type="gramEnd"/>
      <w:r w:rsidRPr="00013FBF">
        <w:rPr>
          <w:rFonts w:ascii="RN House Sans Regular" w:hAnsi="RN House Sans Regular"/>
          <w:sz w:val="20"/>
        </w:rPr>
        <w:t xml:space="preserve">   NWM NV then immediately transferred </w:t>
      </w:r>
      <w:r w:rsidR="00E41CFD" w:rsidRPr="00013FBF">
        <w:rPr>
          <w:rFonts w:ascii="RN House Sans Regular" w:hAnsi="RN House Sans Regular"/>
          <w:sz w:val="20"/>
        </w:rPr>
        <w:t xml:space="preserve">the RBS economic interest of 4.1% in SABB </w:t>
      </w:r>
      <w:r w:rsidRPr="00013FBF">
        <w:rPr>
          <w:rFonts w:ascii="RN House Sans Regular" w:hAnsi="RN House Sans Regular"/>
          <w:sz w:val="20"/>
        </w:rPr>
        <w:t xml:space="preserve">to </w:t>
      </w:r>
      <w:r w:rsidR="004D2C52" w:rsidRPr="00013FBF">
        <w:rPr>
          <w:rFonts w:ascii="RN House Sans Regular" w:hAnsi="RN House Sans Regular"/>
          <w:sz w:val="20"/>
        </w:rPr>
        <w:t xml:space="preserve">NWM </w:t>
      </w:r>
      <w:r w:rsidRPr="00013FBF">
        <w:rPr>
          <w:rFonts w:ascii="RN House Sans Regular" w:hAnsi="RN House Sans Regular"/>
          <w:sz w:val="20"/>
        </w:rPr>
        <w:t>P</w:t>
      </w:r>
      <w:r w:rsidR="007827CE" w:rsidRPr="00013FBF">
        <w:rPr>
          <w:rFonts w:ascii="RN House Sans Regular" w:hAnsi="RN House Sans Regular"/>
          <w:sz w:val="20"/>
        </w:rPr>
        <w:t>lc</w:t>
      </w:r>
      <w:r w:rsidR="00E41CFD" w:rsidRPr="00013FBF">
        <w:rPr>
          <w:rFonts w:ascii="RN House Sans Regular" w:hAnsi="RN House Sans Regular"/>
          <w:sz w:val="20"/>
        </w:rPr>
        <w:t xml:space="preserve">, and </w:t>
      </w:r>
      <w:r w:rsidR="004D2C52" w:rsidRPr="00013FBF">
        <w:rPr>
          <w:rFonts w:ascii="RN House Sans Regular" w:hAnsi="RN House Sans Regular"/>
          <w:sz w:val="20"/>
        </w:rPr>
        <w:t xml:space="preserve">the balance </w:t>
      </w:r>
      <w:r w:rsidR="004215B8" w:rsidRPr="00013FBF">
        <w:rPr>
          <w:rFonts w:ascii="RN House Sans Regular" w:hAnsi="RN House Sans Regular"/>
          <w:sz w:val="20"/>
        </w:rPr>
        <w:t>of the shares</w:t>
      </w:r>
      <w:r w:rsidR="004D2C52" w:rsidRPr="00013FBF">
        <w:rPr>
          <w:rFonts w:ascii="RN House Sans Regular" w:hAnsi="RN House Sans Regular"/>
          <w:sz w:val="20"/>
        </w:rPr>
        <w:t xml:space="preserve"> separately to </w:t>
      </w:r>
      <w:r w:rsidR="009F71AA" w:rsidRPr="00013FBF">
        <w:rPr>
          <w:rFonts w:ascii="RN House Sans Regular" w:hAnsi="RN House Sans Regular"/>
          <w:sz w:val="20"/>
        </w:rPr>
        <w:t xml:space="preserve">NLFI and </w:t>
      </w:r>
      <w:r w:rsidR="000A6A5C" w:rsidRPr="00013FBF">
        <w:rPr>
          <w:rFonts w:ascii="RN House Sans Regular" w:hAnsi="RN House Sans Regular"/>
          <w:sz w:val="20"/>
        </w:rPr>
        <w:t xml:space="preserve">Banco </w:t>
      </w:r>
      <w:r w:rsidR="00E41CFD" w:rsidRPr="00013FBF">
        <w:rPr>
          <w:rFonts w:ascii="RN House Sans Regular" w:hAnsi="RN House Sans Regular"/>
          <w:sz w:val="20"/>
        </w:rPr>
        <w:t>Santander</w:t>
      </w:r>
      <w:r w:rsidR="000A6A5C" w:rsidRPr="00013FBF">
        <w:rPr>
          <w:rFonts w:ascii="RN House Sans Regular" w:hAnsi="RN House Sans Regular"/>
          <w:sz w:val="20"/>
        </w:rPr>
        <w:t xml:space="preserve"> S.A.</w:t>
      </w:r>
      <w:r w:rsidR="00A55CB0" w:rsidRPr="00013FBF">
        <w:rPr>
          <w:rFonts w:ascii="RN House Sans Regular" w:hAnsi="RN House Sans Regular"/>
          <w:sz w:val="20"/>
        </w:rPr>
        <w:t>,</w:t>
      </w:r>
      <w:r w:rsidR="00E41CFD" w:rsidRPr="00013FBF">
        <w:rPr>
          <w:rFonts w:ascii="RN House Sans Regular" w:hAnsi="RN House Sans Regular"/>
          <w:sz w:val="20"/>
        </w:rPr>
        <w:t xml:space="preserve"> </w:t>
      </w:r>
      <w:r w:rsidR="00A55CB0" w:rsidRPr="00013FBF">
        <w:rPr>
          <w:rFonts w:ascii="RN House Sans Regular" w:hAnsi="RN House Sans Regular"/>
          <w:sz w:val="20"/>
        </w:rPr>
        <w:t xml:space="preserve">as part of an </w:t>
      </w:r>
      <w:r w:rsidR="00E41CFD" w:rsidRPr="00013FBF">
        <w:rPr>
          <w:rFonts w:ascii="RN House Sans Regular" w:hAnsi="RN House Sans Regular"/>
          <w:sz w:val="20"/>
        </w:rPr>
        <w:t xml:space="preserve">unwind of the Consortium arrangements.  </w:t>
      </w:r>
    </w:p>
    <w:p w:rsidR="00C76BFB" w:rsidRPr="00013FBF" w:rsidRDefault="00C76BFB" w:rsidP="003D7CDE">
      <w:pPr>
        <w:rPr>
          <w:rFonts w:ascii="RN House Sans Regular" w:hAnsi="RN House Sans Regular"/>
          <w:sz w:val="20"/>
        </w:rPr>
      </w:pPr>
    </w:p>
    <w:p w:rsidR="00C76BFB" w:rsidRPr="00013FBF" w:rsidRDefault="00C76BFB" w:rsidP="003D7CDE">
      <w:pPr>
        <w:rPr>
          <w:rFonts w:ascii="RN House Sans Regular" w:hAnsi="RN House Sans Regular"/>
          <w:sz w:val="20"/>
        </w:rPr>
      </w:pPr>
      <w:r w:rsidRPr="00013FBF">
        <w:rPr>
          <w:rFonts w:ascii="RN House Sans Regular" w:hAnsi="RN House Sans Regular"/>
          <w:sz w:val="20"/>
        </w:rPr>
        <w:t xml:space="preserve">NWM NV is reported as part of RBS’s </w:t>
      </w:r>
      <w:r w:rsidR="002D75E4" w:rsidRPr="00013FBF">
        <w:rPr>
          <w:rFonts w:ascii="RN House Sans Regular" w:hAnsi="RN House Sans Regular"/>
          <w:sz w:val="20"/>
        </w:rPr>
        <w:t xml:space="preserve">NatWest Markets </w:t>
      </w:r>
      <w:r w:rsidRPr="00013FBF">
        <w:rPr>
          <w:rFonts w:ascii="RN House Sans Regular" w:hAnsi="RN House Sans Regular"/>
          <w:sz w:val="20"/>
        </w:rPr>
        <w:t xml:space="preserve">franchise. </w:t>
      </w:r>
      <w:r w:rsidR="00C50F2D">
        <w:rPr>
          <w:rFonts w:ascii="RN House Sans Regular" w:hAnsi="RN House Sans Regular"/>
          <w:sz w:val="20"/>
        </w:rPr>
        <w:t xml:space="preserve"> </w:t>
      </w:r>
      <w:r w:rsidRPr="00013FBF">
        <w:rPr>
          <w:rFonts w:ascii="RN House Sans Regular" w:hAnsi="RN House Sans Regular"/>
          <w:sz w:val="20"/>
        </w:rPr>
        <w:t xml:space="preserve">NWM NV is now expected to transfer to NWM </w:t>
      </w:r>
      <w:r w:rsidR="009441CE" w:rsidRPr="00013FBF">
        <w:rPr>
          <w:rFonts w:ascii="RN House Sans Regular" w:hAnsi="RN House Sans Regular"/>
          <w:sz w:val="20"/>
        </w:rPr>
        <w:t>P</w:t>
      </w:r>
      <w:r w:rsidRPr="00013FBF">
        <w:rPr>
          <w:rFonts w:ascii="RN House Sans Regular" w:hAnsi="RN House Sans Regular"/>
          <w:sz w:val="20"/>
        </w:rPr>
        <w:t>lc</w:t>
      </w:r>
      <w:r w:rsidR="00B238A9" w:rsidRPr="00013FBF">
        <w:rPr>
          <w:rFonts w:ascii="RN House Sans Regular" w:hAnsi="RN House Sans Regular"/>
          <w:sz w:val="20"/>
        </w:rPr>
        <w:t xml:space="preserve"> ownership</w:t>
      </w:r>
      <w:r w:rsidRPr="00013FBF">
        <w:rPr>
          <w:rFonts w:ascii="RN House Sans Regular" w:hAnsi="RN House Sans Regular"/>
          <w:sz w:val="20"/>
        </w:rPr>
        <w:t xml:space="preserve"> during </w:t>
      </w:r>
      <w:r w:rsidR="005F2C39" w:rsidRPr="00013FBF">
        <w:rPr>
          <w:rFonts w:ascii="RN House Sans Regular" w:hAnsi="RN House Sans Regular"/>
          <w:sz w:val="20"/>
        </w:rPr>
        <w:t>the second half of 2019</w:t>
      </w:r>
      <w:r w:rsidRPr="00013FBF">
        <w:rPr>
          <w:rFonts w:ascii="RN House Sans Regular" w:hAnsi="RN House Sans Regular"/>
          <w:sz w:val="20"/>
        </w:rPr>
        <w:t>,</w:t>
      </w:r>
      <w:r w:rsidR="004B131A" w:rsidRPr="00013FBF">
        <w:rPr>
          <w:rFonts w:ascii="RN House Sans Regular" w:hAnsi="RN House Sans Regular"/>
          <w:sz w:val="20"/>
        </w:rPr>
        <w:t xml:space="preserve"> </w:t>
      </w:r>
      <w:r w:rsidRPr="00013FBF">
        <w:rPr>
          <w:rFonts w:ascii="RN House Sans Regular" w:hAnsi="RN House Sans Regular"/>
          <w:sz w:val="20"/>
        </w:rPr>
        <w:t xml:space="preserve">subject to regulatory </w:t>
      </w:r>
      <w:r w:rsidR="00E41CFD" w:rsidRPr="00013FBF">
        <w:rPr>
          <w:rFonts w:ascii="RN House Sans Regular" w:hAnsi="RN House Sans Regular"/>
          <w:sz w:val="20"/>
        </w:rPr>
        <w:t>approvals</w:t>
      </w:r>
      <w:r w:rsidR="00B238A9" w:rsidRPr="00013FBF">
        <w:rPr>
          <w:rFonts w:ascii="RN House Sans Regular" w:hAnsi="RN House Sans Regular"/>
          <w:sz w:val="20"/>
        </w:rPr>
        <w:t>, and will continue to be reported as part of the franchise.</w:t>
      </w:r>
    </w:p>
    <w:p w:rsidR="00CF54CA" w:rsidRPr="00013FBF" w:rsidRDefault="00CF54CA" w:rsidP="003D7CDE">
      <w:pPr>
        <w:rPr>
          <w:rFonts w:ascii="RN House Sans Regular" w:hAnsi="RN House Sans Regular"/>
          <w:sz w:val="20"/>
        </w:rPr>
      </w:pPr>
    </w:p>
    <w:p w:rsidR="00825D34" w:rsidRPr="00013FBF" w:rsidRDefault="004215B8" w:rsidP="003D7CDE">
      <w:pPr>
        <w:rPr>
          <w:rFonts w:ascii="RN House Sans Regular" w:hAnsi="RN House Sans Regular"/>
          <w:sz w:val="20"/>
        </w:rPr>
      </w:pPr>
      <w:r w:rsidRPr="00013FBF">
        <w:rPr>
          <w:rFonts w:ascii="RN House Sans Regular" w:hAnsi="RN House Sans Regular"/>
          <w:sz w:val="20"/>
        </w:rPr>
        <w:t xml:space="preserve">Commenting on the transaction, Ross McEwan, CEO of RBS said, </w:t>
      </w:r>
    </w:p>
    <w:p w:rsidR="004215B8" w:rsidRPr="00013FBF" w:rsidRDefault="00B71388" w:rsidP="003D7CDE">
      <w:pPr>
        <w:rPr>
          <w:rFonts w:ascii="RN House Sans Regular" w:hAnsi="RN House Sans Regular"/>
          <w:sz w:val="20"/>
        </w:rPr>
      </w:pPr>
      <w:r w:rsidRPr="00013FBF">
        <w:rPr>
          <w:rFonts w:ascii="RN House Sans Regular" w:hAnsi="RN House Sans Regular"/>
          <w:sz w:val="20"/>
        </w:rPr>
        <w:t>“</w:t>
      </w:r>
      <w:r w:rsidRPr="00AB3413">
        <w:rPr>
          <w:rFonts w:ascii="RN House Sans Regular" w:hAnsi="RN House Sans Regular"/>
          <w:i/>
          <w:sz w:val="20"/>
        </w:rPr>
        <w:t>We are pleased that this merger has now concluded; it will help facilitate the future exit of our shareholding as we continue to focus on our key target markets.  The release of capital will also have a positive and material financial impact for RBS</w:t>
      </w:r>
      <w:r w:rsidRPr="00013FBF">
        <w:rPr>
          <w:rFonts w:ascii="RN House Sans Regular" w:hAnsi="RN House Sans Regular"/>
          <w:sz w:val="20"/>
        </w:rPr>
        <w:t>.”</w:t>
      </w:r>
    </w:p>
    <w:p w:rsidR="00CF54CA" w:rsidRPr="00013FBF" w:rsidRDefault="00CF54CA" w:rsidP="003D7CDE">
      <w:pPr>
        <w:rPr>
          <w:rFonts w:ascii="RN House Sans Regular" w:hAnsi="RN House Sans Regular"/>
          <w:sz w:val="20"/>
        </w:rPr>
      </w:pPr>
    </w:p>
    <w:p w:rsidR="003D7CDE" w:rsidRPr="00013FBF" w:rsidRDefault="003D7CDE" w:rsidP="003D7CDE">
      <w:pPr>
        <w:rPr>
          <w:rFonts w:ascii="RN House Sans Regular" w:hAnsi="RN House Sans Regular"/>
          <w:sz w:val="20"/>
          <w:u w:val="single"/>
        </w:rPr>
      </w:pPr>
      <w:r w:rsidRPr="00013FBF">
        <w:rPr>
          <w:rFonts w:ascii="RN House Sans Regular" w:hAnsi="RN House Sans Regular"/>
          <w:sz w:val="20"/>
          <w:u w:val="single"/>
        </w:rPr>
        <w:t xml:space="preserve">Impact </w:t>
      </w:r>
      <w:r w:rsidR="0010245A">
        <w:rPr>
          <w:rFonts w:ascii="RN House Sans Regular" w:hAnsi="RN House Sans Regular"/>
          <w:sz w:val="20"/>
          <w:u w:val="single"/>
        </w:rPr>
        <w:t xml:space="preserve">of the Merger </w:t>
      </w:r>
      <w:r w:rsidRPr="00013FBF">
        <w:rPr>
          <w:rFonts w:ascii="RN House Sans Regular" w:hAnsi="RN House Sans Regular"/>
          <w:sz w:val="20"/>
          <w:u w:val="single"/>
        </w:rPr>
        <w:t>on RBS</w:t>
      </w:r>
      <w:r w:rsidR="00133FD1" w:rsidRPr="00013FBF">
        <w:rPr>
          <w:rFonts w:ascii="RN House Sans Regular" w:hAnsi="RN House Sans Regular"/>
          <w:sz w:val="20"/>
          <w:u w:val="single"/>
        </w:rPr>
        <w:t xml:space="preserve"> </w:t>
      </w:r>
    </w:p>
    <w:p w:rsidR="000C60CA" w:rsidRPr="00013FBF" w:rsidRDefault="002D75E4" w:rsidP="00013FBF">
      <w:pPr>
        <w:pStyle w:val="ListParagraph"/>
        <w:numPr>
          <w:ilvl w:val="0"/>
          <w:numId w:val="1"/>
        </w:numPr>
        <w:ind w:left="360"/>
        <w:rPr>
          <w:rFonts w:ascii="RN House Sans Regular" w:hAnsi="RN House Sans Regular"/>
          <w:sz w:val="20"/>
        </w:rPr>
      </w:pPr>
      <w:r w:rsidRPr="00013FBF">
        <w:rPr>
          <w:rFonts w:ascii="RN House Sans Regular" w:hAnsi="RN House Sans Regular"/>
          <w:sz w:val="20"/>
        </w:rPr>
        <w:t xml:space="preserve">Within the NatWest Markets franchise, RBS will recognise an income gain on disposal </w:t>
      </w:r>
      <w:r w:rsidR="004D2C52" w:rsidRPr="00013FBF">
        <w:rPr>
          <w:rFonts w:ascii="RN House Sans Regular" w:hAnsi="RN House Sans Regular"/>
          <w:sz w:val="20"/>
        </w:rPr>
        <w:t>of the Alawwal</w:t>
      </w:r>
      <w:r w:rsidR="00D56F70" w:rsidRPr="00013FBF">
        <w:rPr>
          <w:rFonts w:ascii="RN House Sans Regular" w:hAnsi="RN House Sans Regular"/>
          <w:sz w:val="20"/>
        </w:rPr>
        <w:t xml:space="preserve"> </w:t>
      </w:r>
      <w:r w:rsidR="00DC70C5">
        <w:rPr>
          <w:rFonts w:ascii="RN House Sans Regular" w:hAnsi="RN House Sans Regular"/>
          <w:sz w:val="20"/>
        </w:rPr>
        <w:t>b</w:t>
      </w:r>
      <w:r w:rsidR="00D56F70" w:rsidRPr="00013FBF">
        <w:rPr>
          <w:rFonts w:ascii="RN House Sans Regular" w:hAnsi="RN House Sans Regular"/>
          <w:sz w:val="20"/>
        </w:rPr>
        <w:t>ank</w:t>
      </w:r>
      <w:r w:rsidR="004D2C52" w:rsidRPr="00013FBF">
        <w:rPr>
          <w:rFonts w:ascii="RN House Sans Regular" w:hAnsi="RN House Sans Regular"/>
          <w:sz w:val="20"/>
        </w:rPr>
        <w:t xml:space="preserve"> stake for shares received in SABB </w:t>
      </w:r>
      <w:r w:rsidRPr="00013FBF">
        <w:rPr>
          <w:rFonts w:ascii="RN House Sans Regular" w:hAnsi="RN House Sans Regular"/>
          <w:sz w:val="20"/>
        </w:rPr>
        <w:t>of</w:t>
      </w:r>
      <w:r w:rsidR="000469D8">
        <w:rPr>
          <w:rFonts w:ascii="RN House Sans Regular" w:hAnsi="RN House Sans Regular"/>
          <w:sz w:val="20"/>
        </w:rPr>
        <w:t xml:space="preserve"> </w:t>
      </w:r>
      <w:r w:rsidR="00E8735A" w:rsidRPr="00013FBF">
        <w:rPr>
          <w:rFonts w:ascii="RN House Sans Regular" w:hAnsi="RN House Sans Regular"/>
          <w:sz w:val="20"/>
        </w:rPr>
        <w:t>£</w:t>
      </w:r>
      <w:r w:rsidR="0099570D">
        <w:rPr>
          <w:rFonts w:ascii="RN House Sans Regular" w:hAnsi="RN House Sans Regular"/>
          <w:sz w:val="20"/>
        </w:rPr>
        <w:t>0.</w:t>
      </w:r>
      <w:r w:rsidR="006F2EA3">
        <w:rPr>
          <w:rFonts w:ascii="RN House Sans Regular" w:hAnsi="RN House Sans Regular"/>
          <w:sz w:val="20"/>
        </w:rPr>
        <w:t>4</w:t>
      </w:r>
      <w:r w:rsidR="00E8735A" w:rsidRPr="00013FBF">
        <w:rPr>
          <w:rFonts w:ascii="RN House Sans Regular" w:hAnsi="RN House Sans Regular"/>
          <w:sz w:val="20"/>
        </w:rPr>
        <w:t xml:space="preserve"> </w:t>
      </w:r>
      <w:r w:rsidR="0099570D">
        <w:rPr>
          <w:rFonts w:ascii="RN House Sans Regular" w:hAnsi="RN House Sans Regular"/>
          <w:sz w:val="20"/>
        </w:rPr>
        <w:t>billion</w:t>
      </w:r>
      <w:r w:rsidRPr="00013FBF">
        <w:rPr>
          <w:rFonts w:ascii="RN House Sans Regular" w:hAnsi="RN House Sans Regular"/>
          <w:sz w:val="20"/>
        </w:rPr>
        <w:t xml:space="preserve"> and</w:t>
      </w:r>
      <w:r w:rsidR="00AA0EAB" w:rsidRPr="00013FBF">
        <w:rPr>
          <w:rFonts w:ascii="RN House Sans Regular" w:hAnsi="RN House Sans Regular"/>
          <w:sz w:val="20"/>
        </w:rPr>
        <w:t xml:space="preserve"> a reduction in</w:t>
      </w:r>
      <w:r w:rsidRPr="00013FBF">
        <w:rPr>
          <w:rFonts w:ascii="RN House Sans Regular" w:hAnsi="RN House Sans Regular"/>
          <w:sz w:val="20"/>
        </w:rPr>
        <w:t xml:space="preserve"> </w:t>
      </w:r>
      <w:r w:rsidR="00133FD1" w:rsidRPr="00013FBF">
        <w:rPr>
          <w:rFonts w:ascii="RN House Sans Regular" w:hAnsi="RN House Sans Regular"/>
          <w:sz w:val="20"/>
        </w:rPr>
        <w:t>risk weighted assets (“</w:t>
      </w:r>
      <w:r w:rsidRPr="00013FBF">
        <w:rPr>
          <w:rFonts w:ascii="RN House Sans Regular" w:hAnsi="RN House Sans Regular"/>
          <w:sz w:val="20"/>
        </w:rPr>
        <w:t>RWA</w:t>
      </w:r>
      <w:r w:rsidR="00AA0EAB" w:rsidRPr="00013FBF">
        <w:rPr>
          <w:rFonts w:ascii="RN House Sans Regular" w:hAnsi="RN House Sans Regular"/>
          <w:sz w:val="20"/>
        </w:rPr>
        <w:t>s</w:t>
      </w:r>
      <w:r w:rsidR="00133FD1" w:rsidRPr="00013FBF">
        <w:rPr>
          <w:rFonts w:ascii="RN House Sans Regular" w:hAnsi="RN House Sans Regular"/>
          <w:sz w:val="20"/>
        </w:rPr>
        <w:t>”)</w:t>
      </w:r>
      <w:r w:rsidRPr="00013FBF">
        <w:rPr>
          <w:rFonts w:ascii="RN House Sans Regular" w:hAnsi="RN House Sans Regular"/>
          <w:sz w:val="20"/>
        </w:rPr>
        <w:t xml:space="preserve"> of £</w:t>
      </w:r>
      <w:r w:rsidR="0099570D">
        <w:rPr>
          <w:rFonts w:ascii="RN House Sans Regular" w:hAnsi="RN House Sans Regular"/>
          <w:sz w:val="20"/>
        </w:rPr>
        <w:t>4.</w:t>
      </w:r>
      <w:r w:rsidR="00507B75">
        <w:rPr>
          <w:rFonts w:ascii="RN House Sans Regular" w:hAnsi="RN House Sans Regular"/>
          <w:sz w:val="20"/>
        </w:rPr>
        <w:t>7</w:t>
      </w:r>
      <w:r w:rsidRPr="00013FBF">
        <w:rPr>
          <w:rFonts w:ascii="RN House Sans Regular" w:hAnsi="RN House Sans Regular"/>
          <w:sz w:val="20"/>
        </w:rPr>
        <w:t xml:space="preserve"> billion.</w:t>
      </w:r>
      <w:r w:rsidRPr="00013FBF">
        <w:rPr>
          <w:rFonts w:ascii="Arial" w:hAnsi="Arial" w:cs="Arial"/>
          <w:sz w:val="20"/>
        </w:rPr>
        <w:t> </w:t>
      </w:r>
      <w:r w:rsidR="00133FD1" w:rsidRPr="00013FBF">
        <w:rPr>
          <w:rFonts w:ascii="RN House Sans Regular" w:hAnsi="RN House Sans Regular"/>
          <w:sz w:val="20"/>
        </w:rPr>
        <w:t xml:space="preserve"> </w:t>
      </w:r>
    </w:p>
    <w:p w:rsidR="002D75E4" w:rsidRPr="00013FBF" w:rsidRDefault="002D75E4" w:rsidP="00013FBF">
      <w:pPr>
        <w:pStyle w:val="ListParagraph"/>
        <w:numPr>
          <w:ilvl w:val="0"/>
          <w:numId w:val="1"/>
        </w:numPr>
        <w:ind w:left="360"/>
        <w:rPr>
          <w:rFonts w:ascii="RN House Sans Regular" w:hAnsi="RN House Sans Regular"/>
          <w:sz w:val="20"/>
        </w:rPr>
      </w:pPr>
      <w:r w:rsidRPr="00013FBF">
        <w:rPr>
          <w:rFonts w:ascii="RN House Sans Regular" w:hAnsi="RN House Sans Regular"/>
          <w:sz w:val="20"/>
        </w:rPr>
        <w:t>Within Central Items, RBS will recycle foreign exchange of £</w:t>
      </w:r>
      <w:r w:rsidR="0099570D">
        <w:rPr>
          <w:rFonts w:ascii="RN House Sans Regular" w:hAnsi="RN House Sans Regular"/>
          <w:sz w:val="20"/>
        </w:rPr>
        <w:t>0.</w:t>
      </w:r>
      <w:r w:rsidR="00C76D92">
        <w:rPr>
          <w:rFonts w:ascii="RN House Sans Regular" w:hAnsi="RN House Sans Regular"/>
          <w:sz w:val="20"/>
        </w:rPr>
        <w:t>3</w:t>
      </w:r>
      <w:r w:rsidRPr="00013FBF">
        <w:rPr>
          <w:rFonts w:ascii="RN House Sans Regular" w:hAnsi="RN House Sans Regular"/>
          <w:sz w:val="20"/>
        </w:rPr>
        <w:t xml:space="preserve"> </w:t>
      </w:r>
      <w:r w:rsidR="0099570D">
        <w:rPr>
          <w:rFonts w:ascii="RN House Sans Regular" w:hAnsi="RN House Sans Regular"/>
          <w:sz w:val="20"/>
        </w:rPr>
        <w:t>b</w:t>
      </w:r>
      <w:r w:rsidRPr="00013FBF">
        <w:rPr>
          <w:rFonts w:ascii="RN House Sans Regular" w:hAnsi="RN House Sans Regular"/>
          <w:sz w:val="20"/>
        </w:rPr>
        <w:t xml:space="preserve">illion which is capital neutral and will </w:t>
      </w:r>
      <w:r w:rsidR="002A3BCF">
        <w:rPr>
          <w:rFonts w:ascii="RN House Sans Regular" w:hAnsi="RN House Sans Regular"/>
          <w:sz w:val="20"/>
        </w:rPr>
        <w:t xml:space="preserve">in addition </w:t>
      </w:r>
      <w:r w:rsidR="00133FD1" w:rsidRPr="00013FBF">
        <w:rPr>
          <w:rFonts w:ascii="RN House Sans Regular" w:hAnsi="RN House Sans Regular"/>
          <w:sz w:val="20"/>
        </w:rPr>
        <w:t>extinguish</w:t>
      </w:r>
      <w:r w:rsidRPr="00013FBF">
        <w:rPr>
          <w:rFonts w:ascii="RN House Sans Regular" w:hAnsi="RN House Sans Regular"/>
          <w:sz w:val="20"/>
        </w:rPr>
        <w:t xml:space="preserve"> legacy liabilities of £</w:t>
      </w:r>
      <w:r w:rsidR="0099570D">
        <w:rPr>
          <w:rFonts w:ascii="RN House Sans Regular" w:hAnsi="RN House Sans Regular"/>
          <w:sz w:val="20"/>
        </w:rPr>
        <w:t>0.3</w:t>
      </w:r>
      <w:r w:rsidRPr="00013FBF">
        <w:rPr>
          <w:rFonts w:ascii="RN House Sans Regular" w:hAnsi="RN House Sans Regular"/>
          <w:sz w:val="20"/>
        </w:rPr>
        <w:t xml:space="preserve"> </w:t>
      </w:r>
      <w:r w:rsidR="0099570D">
        <w:rPr>
          <w:rFonts w:ascii="RN House Sans Regular" w:hAnsi="RN House Sans Regular"/>
          <w:sz w:val="20"/>
        </w:rPr>
        <w:t>b</w:t>
      </w:r>
      <w:r w:rsidRPr="00013FBF">
        <w:rPr>
          <w:rFonts w:ascii="RN House Sans Regular" w:hAnsi="RN House Sans Regular"/>
          <w:sz w:val="20"/>
        </w:rPr>
        <w:t>illion</w:t>
      </w:r>
      <w:r w:rsidR="004D2C52" w:rsidRPr="00013FBF">
        <w:rPr>
          <w:rFonts w:ascii="RN House Sans Regular" w:hAnsi="RN House Sans Regular"/>
          <w:sz w:val="20"/>
        </w:rPr>
        <w:t>.</w:t>
      </w:r>
    </w:p>
    <w:p w:rsidR="00E8735A" w:rsidRPr="00013FBF" w:rsidRDefault="00E8735A" w:rsidP="00C91266">
      <w:pPr>
        <w:pStyle w:val="ListParagraph"/>
        <w:numPr>
          <w:ilvl w:val="0"/>
          <w:numId w:val="1"/>
        </w:numPr>
        <w:ind w:left="360"/>
        <w:rPr>
          <w:rFonts w:ascii="RN House Sans Regular" w:hAnsi="RN House Sans Regular"/>
          <w:sz w:val="20"/>
        </w:rPr>
      </w:pPr>
      <w:r w:rsidRPr="00013FBF">
        <w:rPr>
          <w:rFonts w:ascii="RN House Sans Regular" w:hAnsi="RN House Sans Regular"/>
          <w:sz w:val="20"/>
        </w:rPr>
        <w:t>The gains above the line will be partially offset by £</w:t>
      </w:r>
      <w:r w:rsidR="000469D8">
        <w:rPr>
          <w:rFonts w:ascii="RN House Sans Regular" w:hAnsi="RN House Sans Regular"/>
          <w:sz w:val="20"/>
        </w:rPr>
        <w:t>0.3</w:t>
      </w:r>
      <w:r w:rsidRPr="00013FBF">
        <w:rPr>
          <w:rFonts w:ascii="RN House Sans Regular" w:hAnsi="RN House Sans Regular"/>
          <w:sz w:val="20"/>
        </w:rPr>
        <w:t xml:space="preserve"> </w:t>
      </w:r>
      <w:r w:rsidR="0099570D">
        <w:rPr>
          <w:rFonts w:ascii="RN House Sans Regular" w:hAnsi="RN House Sans Regular"/>
          <w:sz w:val="20"/>
        </w:rPr>
        <w:t>b</w:t>
      </w:r>
      <w:r w:rsidRPr="00013FBF">
        <w:rPr>
          <w:rFonts w:ascii="RN House Sans Regular" w:hAnsi="RN House Sans Regular"/>
          <w:sz w:val="20"/>
        </w:rPr>
        <w:t xml:space="preserve">illion </w:t>
      </w:r>
      <w:r w:rsidR="002A3BCF">
        <w:rPr>
          <w:rFonts w:ascii="RN House Sans Regular" w:hAnsi="RN House Sans Regular"/>
          <w:sz w:val="20"/>
        </w:rPr>
        <w:t xml:space="preserve">of </w:t>
      </w:r>
      <w:r w:rsidRPr="00013FBF">
        <w:rPr>
          <w:rFonts w:ascii="RN House Sans Regular" w:hAnsi="RN House Sans Regular"/>
          <w:sz w:val="20"/>
        </w:rPr>
        <w:t>non-controlling interests</w:t>
      </w:r>
      <w:r w:rsidR="00D17707">
        <w:rPr>
          <w:rFonts w:ascii="RN House Sans Regular" w:hAnsi="RN House Sans Regular"/>
          <w:sz w:val="20"/>
        </w:rPr>
        <w:t>.</w:t>
      </w:r>
    </w:p>
    <w:p w:rsidR="002D75E4" w:rsidRPr="00013FBF" w:rsidRDefault="0010245A" w:rsidP="00C91266">
      <w:pPr>
        <w:pStyle w:val="ListParagraph"/>
        <w:numPr>
          <w:ilvl w:val="0"/>
          <w:numId w:val="1"/>
        </w:numPr>
        <w:ind w:left="360"/>
        <w:rPr>
          <w:rFonts w:ascii="RN House Sans Regular" w:hAnsi="RN House Sans Regular"/>
          <w:sz w:val="20"/>
        </w:rPr>
      </w:pPr>
      <w:r>
        <w:rPr>
          <w:rFonts w:ascii="RN House Sans Regular" w:hAnsi="RN House Sans Regular"/>
          <w:sz w:val="20"/>
        </w:rPr>
        <w:t>T</w:t>
      </w:r>
      <w:r w:rsidR="00652968">
        <w:rPr>
          <w:rFonts w:ascii="RN House Sans Regular" w:hAnsi="RN House Sans Regular"/>
          <w:sz w:val="20"/>
        </w:rPr>
        <w:t xml:space="preserve">hese impacts </w:t>
      </w:r>
      <w:r>
        <w:rPr>
          <w:rFonts w:ascii="RN House Sans Regular" w:hAnsi="RN House Sans Regular"/>
          <w:sz w:val="20"/>
        </w:rPr>
        <w:t xml:space="preserve">would have increased </w:t>
      </w:r>
      <w:r w:rsidR="00652968">
        <w:rPr>
          <w:rFonts w:ascii="RN House Sans Regular" w:hAnsi="RN House Sans Regular"/>
          <w:sz w:val="20"/>
        </w:rPr>
        <w:t xml:space="preserve">the 31 March 2019 CET1 </w:t>
      </w:r>
      <w:r>
        <w:rPr>
          <w:rFonts w:ascii="RN House Sans Regular" w:hAnsi="RN House Sans Regular"/>
          <w:sz w:val="20"/>
        </w:rPr>
        <w:t>by</w:t>
      </w:r>
      <w:r w:rsidR="00652968">
        <w:rPr>
          <w:rFonts w:ascii="RN House Sans Regular" w:hAnsi="RN House Sans Regular"/>
          <w:sz w:val="20"/>
        </w:rPr>
        <w:t xml:space="preserve"> 60</w:t>
      </w:r>
      <w:r w:rsidR="002D75E4" w:rsidRPr="00013FBF">
        <w:rPr>
          <w:rFonts w:ascii="RN House Sans Regular" w:hAnsi="RN House Sans Regular"/>
          <w:sz w:val="20"/>
        </w:rPr>
        <w:t>bps</w:t>
      </w:r>
      <w:r w:rsidR="00652968">
        <w:rPr>
          <w:rFonts w:ascii="RN House Sans Regular" w:hAnsi="RN House Sans Regular"/>
          <w:sz w:val="20"/>
        </w:rPr>
        <w:t>, being 20</w:t>
      </w:r>
      <w:r w:rsidR="002D75E4" w:rsidRPr="00013FBF">
        <w:rPr>
          <w:rFonts w:ascii="RN House Sans Regular" w:hAnsi="RN House Sans Regular"/>
          <w:sz w:val="20"/>
        </w:rPr>
        <w:t xml:space="preserve">bps </w:t>
      </w:r>
      <w:r>
        <w:rPr>
          <w:rFonts w:ascii="RN House Sans Regular" w:hAnsi="RN House Sans Regular"/>
          <w:sz w:val="20"/>
        </w:rPr>
        <w:t>attributable profit</w:t>
      </w:r>
      <w:r w:rsidR="002D75E4" w:rsidRPr="00013FBF">
        <w:rPr>
          <w:rFonts w:ascii="RN House Sans Regular" w:hAnsi="RN House Sans Regular"/>
          <w:sz w:val="20"/>
        </w:rPr>
        <w:t xml:space="preserve"> and </w:t>
      </w:r>
      <w:r w:rsidR="00652968">
        <w:rPr>
          <w:rFonts w:ascii="RN House Sans Regular" w:hAnsi="RN House Sans Regular"/>
          <w:sz w:val="20"/>
        </w:rPr>
        <w:t>40bps RWA relief</w:t>
      </w:r>
      <w:r w:rsidR="004D2C52" w:rsidRPr="00013FBF">
        <w:rPr>
          <w:rFonts w:ascii="RN House Sans Regular" w:hAnsi="RN House Sans Regular"/>
          <w:sz w:val="20"/>
        </w:rPr>
        <w:t>.</w:t>
      </w:r>
    </w:p>
    <w:p w:rsidR="004215B8" w:rsidRPr="00013FBF" w:rsidRDefault="004215B8" w:rsidP="00C91266">
      <w:pPr>
        <w:rPr>
          <w:rFonts w:ascii="RN House Sans Regular" w:hAnsi="RN House Sans Regular"/>
          <w:sz w:val="20"/>
        </w:rPr>
      </w:pPr>
    </w:p>
    <w:p w:rsidR="00E8735A" w:rsidRDefault="00E8735A" w:rsidP="00C91266">
      <w:pPr>
        <w:rPr>
          <w:rFonts w:ascii="RN House Sans Regular" w:hAnsi="RN House Sans Regular"/>
          <w:sz w:val="20"/>
        </w:rPr>
      </w:pPr>
      <w:r w:rsidRPr="00013FBF">
        <w:rPr>
          <w:rFonts w:ascii="RN House Sans Regular" w:hAnsi="RN House Sans Regular"/>
          <w:sz w:val="20"/>
        </w:rPr>
        <w:t>The</w:t>
      </w:r>
      <w:r w:rsidR="00FE4CD2" w:rsidRPr="00013FBF">
        <w:rPr>
          <w:rFonts w:ascii="RN House Sans Regular" w:hAnsi="RN House Sans Regular"/>
          <w:sz w:val="20"/>
        </w:rPr>
        <w:t xml:space="preserve"> profit and loss</w:t>
      </w:r>
      <w:r w:rsidRPr="00013FBF">
        <w:rPr>
          <w:rFonts w:ascii="RN House Sans Regular" w:hAnsi="RN House Sans Regular"/>
          <w:sz w:val="20"/>
        </w:rPr>
        <w:t xml:space="preserve"> impacts </w:t>
      </w:r>
      <w:r w:rsidR="005F2C39" w:rsidRPr="00013FBF">
        <w:rPr>
          <w:rFonts w:ascii="RN House Sans Regular" w:hAnsi="RN House Sans Regular"/>
          <w:sz w:val="20"/>
        </w:rPr>
        <w:t xml:space="preserve">on franchises </w:t>
      </w:r>
      <w:r w:rsidRPr="00013FBF">
        <w:rPr>
          <w:rFonts w:ascii="RN House Sans Regular" w:hAnsi="RN House Sans Regular"/>
          <w:sz w:val="20"/>
        </w:rPr>
        <w:t xml:space="preserve">are summarised in </w:t>
      </w:r>
      <w:r w:rsidR="00825D34">
        <w:rPr>
          <w:rFonts w:ascii="RN House Sans Regular" w:hAnsi="RN House Sans Regular"/>
          <w:sz w:val="20"/>
        </w:rPr>
        <w:t>T</w:t>
      </w:r>
      <w:r w:rsidRPr="00013FBF">
        <w:rPr>
          <w:rFonts w:ascii="RN House Sans Regular" w:hAnsi="RN House Sans Regular"/>
          <w:sz w:val="20"/>
        </w:rPr>
        <w:t>able</w:t>
      </w:r>
      <w:r w:rsidR="00825D34">
        <w:rPr>
          <w:rFonts w:ascii="RN House Sans Regular" w:hAnsi="RN House Sans Regular"/>
          <w:sz w:val="20"/>
        </w:rPr>
        <w:t xml:space="preserve"> 1 below</w:t>
      </w:r>
      <w:r w:rsidR="004D72E7">
        <w:rPr>
          <w:rFonts w:ascii="RN House Sans Regular" w:hAnsi="RN House Sans Regular"/>
          <w:sz w:val="20"/>
        </w:rPr>
        <w:t>, with affected entities noted</w:t>
      </w:r>
      <w:r w:rsidR="00825D34">
        <w:rPr>
          <w:rFonts w:ascii="RN House Sans Regular" w:hAnsi="RN House Sans Regular"/>
          <w:sz w:val="20"/>
        </w:rPr>
        <w:t>.</w:t>
      </w:r>
      <w:r w:rsidR="00C8385D">
        <w:rPr>
          <w:rFonts w:ascii="RN House Sans Regular" w:hAnsi="RN House Sans Regular"/>
          <w:sz w:val="20"/>
        </w:rPr>
        <w:t xml:space="preserve"> </w:t>
      </w:r>
    </w:p>
    <w:p w:rsidR="00C50F2D" w:rsidRDefault="00C50F2D" w:rsidP="00C91266">
      <w:pPr>
        <w:rPr>
          <w:rFonts w:ascii="RN House Sans Regular" w:hAnsi="RN House Sans Regular"/>
          <w:sz w:val="20"/>
        </w:rPr>
      </w:pPr>
    </w:p>
    <w:p w:rsidR="00C50F2D" w:rsidRPr="00C50F2D" w:rsidRDefault="00C50F2D" w:rsidP="00C91266">
      <w:pPr>
        <w:rPr>
          <w:rFonts w:ascii="RN House Sans Regular" w:hAnsi="RN House Sans Regular"/>
          <w:sz w:val="20"/>
          <w:u w:val="single"/>
        </w:rPr>
      </w:pPr>
      <w:r w:rsidRPr="00C50F2D">
        <w:rPr>
          <w:rFonts w:ascii="RN House Sans Regular" w:hAnsi="RN House Sans Regular"/>
          <w:sz w:val="20"/>
          <w:u w:val="single"/>
        </w:rPr>
        <w:t>Table 1</w:t>
      </w:r>
    </w:p>
    <w:p w:rsidR="004D72E7" w:rsidRPr="00013FBF" w:rsidRDefault="004D72E7" w:rsidP="00C91266">
      <w:pPr>
        <w:rPr>
          <w:rFonts w:ascii="RN House Sans Regular" w:hAnsi="RN House Sans Regular"/>
          <w:sz w:val="2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5"/>
        <w:gridCol w:w="1052"/>
        <w:gridCol w:w="366"/>
        <w:gridCol w:w="890"/>
        <w:gridCol w:w="386"/>
        <w:gridCol w:w="992"/>
        <w:gridCol w:w="425"/>
        <w:gridCol w:w="1134"/>
      </w:tblGrid>
      <w:tr w:rsidR="002F4315" w:rsidRPr="00013FBF" w:rsidTr="004D72E7">
        <w:tc>
          <w:tcPr>
            <w:tcW w:w="4361" w:type="dxa"/>
          </w:tcPr>
          <w:p w:rsidR="002F4315" w:rsidRPr="00013FBF" w:rsidRDefault="002F4315" w:rsidP="00CC3399">
            <w:pPr>
              <w:rPr>
                <w:rFonts w:ascii="RN House Sans Regular" w:hAnsi="RN House Sans Regular"/>
                <w:b/>
                <w:sz w:val="16"/>
              </w:rPr>
            </w:pPr>
          </w:p>
          <w:p w:rsidR="002F4315" w:rsidRPr="0099570D" w:rsidRDefault="002F4315" w:rsidP="000469D8">
            <w:pPr>
              <w:rPr>
                <w:rFonts w:ascii="RN House Sans Regular" w:hAnsi="RN House Sans Regular"/>
                <w:b/>
                <w:sz w:val="20"/>
              </w:rPr>
            </w:pPr>
            <w:r w:rsidRPr="0099570D">
              <w:rPr>
                <w:rFonts w:ascii="RN House Sans Regular" w:hAnsi="RN House Sans Regular"/>
                <w:b/>
                <w:sz w:val="16"/>
              </w:rPr>
              <w:t>£bn</w:t>
            </w:r>
          </w:p>
        </w:tc>
        <w:tc>
          <w:tcPr>
            <w:tcW w:w="425" w:type="dxa"/>
          </w:tcPr>
          <w:p w:rsidR="002F4315" w:rsidRPr="00013FBF" w:rsidRDefault="002F4315" w:rsidP="002F4315">
            <w:pPr>
              <w:jc w:val="center"/>
              <w:rPr>
                <w:rFonts w:ascii="RN House Sans Regular" w:hAnsi="RN House Sans Regular"/>
                <w:sz w:val="20"/>
                <w:u w:val="single"/>
              </w:rPr>
            </w:pPr>
          </w:p>
        </w:tc>
        <w:tc>
          <w:tcPr>
            <w:tcW w:w="1052" w:type="dxa"/>
          </w:tcPr>
          <w:p w:rsidR="002F4315" w:rsidRDefault="002F4315" w:rsidP="00013FBF">
            <w:pPr>
              <w:jc w:val="center"/>
              <w:rPr>
                <w:rFonts w:ascii="RN House Sans Regular" w:hAnsi="RN House Sans Regular"/>
                <w:sz w:val="20"/>
                <w:u w:val="single"/>
              </w:rPr>
            </w:pPr>
            <w:r w:rsidRPr="00013FBF">
              <w:rPr>
                <w:rFonts w:ascii="RN House Sans Regular" w:hAnsi="RN House Sans Regular"/>
                <w:sz w:val="20"/>
                <w:u w:val="single"/>
              </w:rPr>
              <w:t>NWM</w:t>
            </w:r>
          </w:p>
          <w:p w:rsidR="002F4315" w:rsidRPr="00013FBF" w:rsidRDefault="002F4315" w:rsidP="00013FBF">
            <w:pPr>
              <w:jc w:val="center"/>
              <w:rPr>
                <w:rFonts w:ascii="RN House Sans Regular" w:hAnsi="RN House Sans Regular"/>
                <w:sz w:val="20"/>
                <w:u w:val="single"/>
              </w:rPr>
            </w:pPr>
            <w:r w:rsidRPr="00013FBF">
              <w:rPr>
                <w:rFonts w:ascii="RN House Sans Regular" w:hAnsi="RN House Sans Regular"/>
                <w:sz w:val="20"/>
                <w:u w:val="single"/>
              </w:rPr>
              <w:t>franchise</w:t>
            </w:r>
          </w:p>
        </w:tc>
        <w:tc>
          <w:tcPr>
            <w:tcW w:w="366" w:type="dxa"/>
          </w:tcPr>
          <w:p w:rsidR="002F4315" w:rsidRPr="00013FBF" w:rsidRDefault="002F4315" w:rsidP="002F4315">
            <w:pPr>
              <w:jc w:val="center"/>
              <w:rPr>
                <w:rFonts w:ascii="RN House Sans Regular" w:hAnsi="RN House Sans Regular"/>
                <w:sz w:val="20"/>
                <w:u w:val="single"/>
              </w:rPr>
            </w:pPr>
          </w:p>
        </w:tc>
        <w:tc>
          <w:tcPr>
            <w:tcW w:w="890" w:type="dxa"/>
          </w:tcPr>
          <w:p w:rsidR="002F4315" w:rsidRDefault="002F4315" w:rsidP="00013FBF">
            <w:pPr>
              <w:jc w:val="center"/>
              <w:rPr>
                <w:rFonts w:ascii="RN House Sans Regular" w:hAnsi="RN House Sans Regular"/>
                <w:sz w:val="20"/>
                <w:u w:val="single"/>
              </w:rPr>
            </w:pPr>
            <w:r w:rsidRPr="00013FBF">
              <w:rPr>
                <w:rFonts w:ascii="RN House Sans Regular" w:hAnsi="RN House Sans Regular"/>
                <w:sz w:val="20"/>
                <w:u w:val="single"/>
              </w:rPr>
              <w:t>Central</w:t>
            </w:r>
          </w:p>
          <w:p w:rsidR="002F4315" w:rsidRPr="00013FBF" w:rsidRDefault="002F4315" w:rsidP="00013FBF">
            <w:pPr>
              <w:jc w:val="center"/>
              <w:rPr>
                <w:rFonts w:ascii="RN House Sans Regular" w:hAnsi="RN House Sans Regular"/>
                <w:sz w:val="20"/>
                <w:u w:val="single"/>
              </w:rPr>
            </w:pPr>
            <w:r w:rsidRPr="00013FBF">
              <w:rPr>
                <w:rFonts w:ascii="RN House Sans Regular" w:hAnsi="RN House Sans Regular"/>
                <w:sz w:val="20"/>
                <w:u w:val="single"/>
              </w:rPr>
              <w:t>Items</w:t>
            </w:r>
          </w:p>
        </w:tc>
        <w:tc>
          <w:tcPr>
            <w:tcW w:w="386" w:type="dxa"/>
          </w:tcPr>
          <w:p w:rsidR="002F4315" w:rsidRPr="00013FBF" w:rsidRDefault="002F4315" w:rsidP="00CC3399">
            <w:pPr>
              <w:jc w:val="center"/>
              <w:rPr>
                <w:rFonts w:ascii="RN House Sans Regular" w:hAnsi="RN House Sans Regular"/>
                <w:sz w:val="20"/>
                <w:u w:val="single"/>
              </w:rPr>
            </w:pPr>
          </w:p>
        </w:tc>
        <w:tc>
          <w:tcPr>
            <w:tcW w:w="992" w:type="dxa"/>
          </w:tcPr>
          <w:p w:rsidR="002F4315" w:rsidRPr="00013FBF" w:rsidRDefault="002F4315" w:rsidP="00CC3399">
            <w:pPr>
              <w:jc w:val="center"/>
              <w:rPr>
                <w:rFonts w:ascii="RN House Sans Regular" w:hAnsi="RN House Sans Regular"/>
                <w:sz w:val="20"/>
                <w:u w:val="single"/>
              </w:rPr>
            </w:pPr>
            <w:r w:rsidRPr="00013FBF">
              <w:rPr>
                <w:rFonts w:ascii="RN House Sans Regular" w:hAnsi="RN House Sans Regular"/>
                <w:sz w:val="20"/>
                <w:u w:val="single"/>
              </w:rPr>
              <w:t>RBS Group</w:t>
            </w:r>
          </w:p>
        </w:tc>
        <w:tc>
          <w:tcPr>
            <w:tcW w:w="425" w:type="dxa"/>
          </w:tcPr>
          <w:p w:rsidR="002F4315" w:rsidRPr="00013FBF" w:rsidRDefault="002F4315" w:rsidP="00CC3399">
            <w:pPr>
              <w:jc w:val="center"/>
              <w:rPr>
                <w:rFonts w:ascii="RN House Sans Regular" w:hAnsi="RN House Sans Regular"/>
                <w:i/>
                <w:sz w:val="18"/>
                <w:u w:val="single"/>
              </w:rPr>
            </w:pPr>
          </w:p>
        </w:tc>
        <w:tc>
          <w:tcPr>
            <w:tcW w:w="1134" w:type="dxa"/>
          </w:tcPr>
          <w:p w:rsidR="002F4315" w:rsidRPr="00013FBF" w:rsidRDefault="002F4315" w:rsidP="00013FBF">
            <w:pPr>
              <w:rPr>
                <w:rFonts w:ascii="RN House Sans Regular" w:hAnsi="RN House Sans Regular"/>
                <w:i/>
                <w:sz w:val="18"/>
                <w:u w:val="single"/>
              </w:rPr>
            </w:pPr>
            <w:r w:rsidRPr="00013FBF">
              <w:rPr>
                <w:rFonts w:ascii="RN House Sans Regular" w:hAnsi="RN House Sans Regular"/>
                <w:i/>
                <w:sz w:val="18"/>
                <w:u w:val="single"/>
              </w:rPr>
              <w:t>Entity</w:t>
            </w:r>
          </w:p>
        </w:tc>
      </w:tr>
      <w:tr w:rsidR="002F4315" w:rsidRPr="00013FBF" w:rsidTr="004D72E7">
        <w:tc>
          <w:tcPr>
            <w:tcW w:w="4361" w:type="dxa"/>
          </w:tcPr>
          <w:p w:rsidR="002F4315" w:rsidRPr="00013FBF" w:rsidRDefault="002F4315" w:rsidP="007F7290">
            <w:pPr>
              <w:rPr>
                <w:rFonts w:ascii="RN House Sans Regular" w:hAnsi="RN House Sans Regular"/>
                <w:sz w:val="20"/>
              </w:rPr>
            </w:pPr>
            <w:r w:rsidRPr="00013FBF">
              <w:rPr>
                <w:rFonts w:ascii="RN House Sans Regular" w:hAnsi="RN House Sans Regular"/>
                <w:sz w:val="20"/>
              </w:rPr>
              <w:t xml:space="preserve">Gain on disposal </w:t>
            </w:r>
          </w:p>
        </w:tc>
        <w:tc>
          <w:tcPr>
            <w:tcW w:w="425" w:type="dxa"/>
          </w:tcPr>
          <w:p w:rsidR="002F4315" w:rsidRPr="00013FBF" w:rsidRDefault="002F4315" w:rsidP="00CC3399">
            <w:pPr>
              <w:jc w:val="center"/>
              <w:rPr>
                <w:rFonts w:ascii="RN House Sans Regular" w:hAnsi="RN House Sans Regular"/>
                <w:sz w:val="20"/>
              </w:rPr>
            </w:pPr>
          </w:p>
        </w:tc>
        <w:tc>
          <w:tcPr>
            <w:tcW w:w="1052" w:type="dxa"/>
          </w:tcPr>
          <w:p w:rsidR="002F4315" w:rsidRPr="00013FBF" w:rsidRDefault="007B66F9">
            <w:pPr>
              <w:jc w:val="center"/>
              <w:rPr>
                <w:rFonts w:ascii="RN House Sans Regular" w:hAnsi="RN House Sans Regular"/>
                <w:sz w:val="20"/>
              </w:rPr>
            </w:pPr>
            <w:r>
              <w:rPr>
                <w:rFonts w:ascii="RN House Sans Regular" w:hAnsi="RN House Sans Regular"/>
                <w:sz w:val="20"/>
              </w:rPr>
              <w:t>0.4</w:t>
            </w:r>
          </w:p>
        </w:tc>
        <w:tc>
          <w:tcPr>
            <w:tcW w:w="366" w:type="dxa"/>
          </w:tcPr>
          <w:p w:rsidR="002F4315" w:rsidRPr="00013FBF" w:rsidDel="000C60CA" w:rsidRDefault="002F4315" w:rsidP="00CC3399">
            <w:pPr>
              <w:jc w:val="center"/>
              <w:rPr>
                <w:rFonts w:ascii="RN House Sans Regular" w:hAnsi="RN House Sans Regular"/>
                <w:sz w:val="20"/>
              </w:rPr>
            </w:pPr>
          </w:p>
        </w:tc>
        <w:tc>
          <w:tcPr>
            <w:tcW w:w="890" w:type="dxa"/>
          </w:tcPr>
          <w:p w:rsidR="002F4315" w:rsidRPr="00013FBF" w:rsidRDefault="002F4315" w:rsidP="00CC3399">
            <w:pPr>
              <w:jc w:val="center"/>
              <w:rPr>
                <w:rFonts w:ascii="RN House Sans Regular" w:hAnsi="RN House Sans Regular"/>
                <w:sz w:val="20"/>
              </w:rPr>
            </w:pPr>
            <w:r w:rsidRPr="00013FBF">
              <w:rPr>
                <w:rFonts w:ascii="RN House Sans Regular" w:hAnsi="RN House Sans Regular"/>
                <w:sz w:val="20"/>
              </w:rPr>
              <w:t>-</w:t>
            </w:r>
          </w:p>
        </w:tc>
        <w:tc>
          <w:tcPr>
            <w:tcW w:w="386" w:type="dxa"/>
          </w:tcPr>
          <w:p w:rsidR="002F4315" w:rsidRPr="00013FBF" w:rsidRDefault="002F4315" w:rsidP="00CC3399">
            <w:pPr>
              <w:jc w:val="center"/>
              <w:rPr>
                <w:rFonts w:ascii="RN House Sans Regular" w:hAnsi="RN House Sans Regular"/>
                <w:sz w:val="20"/>
              </w:rPr>
            </w:pPr>
          </w:p>
        </w:tc>
        <w:tc>
          <w:tcPr>
            <w:tcW w:w="992" w:type="dxa"/>
          </w:tcPr>
          <w:p w:rsidR="002F4315" w:rsidRPr="00013FBF" w:rsidRDefault="007B66F9">
            <w:pPr>
              <w:jc w:val="center"/>
              <w:rPr>
                <w:rFonts w:ascii="RN House Sans Regular" w:hAnsi="RN House Sans Regular"/>
                <w:sz w:val="20"/>
              </w:rPr>
            </w:pPr>
            <w:r>
              <w:rPr>
                <w:rFonts w:ascii="RN House Sans Regular" w:hAnsi="RN House Sans Regular"/>
                <w:sz w:val="20"/>
              </w:rPr>
              <w:t>0.4</w:t>
            </w:r>
          </w:p>
        </w:tc>
        <w:tc>
          <w:tcPr>
            <w:tcW w:w="425" w:type="dxa"/>
          </w:tcPr>
          <w:p w:rsidR="002F4315" w:rsidRPr="00013FBF" w:rsidRDefault="002F4315" w:rsidP="00CC3399">
            <w:pPr>
              <w:jc w:val="center"/>
              <w:rPr>
                <w:rFonts w:ascii="RN House Sans Regular" w:hAnsi="RN House Sans Regular"/>
                <w:i/>
                <w:sz w:val="18"/>
              </w:rPr>
            </w:pPr>
          </w:p>
        </w:tc>
        <w:tc>
          <w:tcPr>
            <w:tcW w:w="1134" w:type="dxa"/>
          </w:tcPr>
          <w:p w:rsidR="002F4315" w:rsidRPr="00013FBF" w:rsidRDefault="002F4315" w:rsidP="00013FBF">
            <w:pPr>
              <w:rPr>
                <w:rFonts w:ascii="RN House Sans Regular" w:hAnsi="RN House Sans Regular"/>
                <w:i/>
                <w:sz w:val="18"/>
              </w:rPr>
            </w:pPr>
            <w:r w:rsidRPr="00013FBF">
              <w:rPr>
                <w:rFonts w:ascii="RN House Sans Regular" w:hAnsi="RN House Sans Regular"/>
                <w:i/>
                <w:sz w:val="18"/>
              </w:rPr>
              <w:t>NWM NV</w:t>
            </w:r>
          </w:p>
        </w:tc>
      </w:tr>
      <w:tr w:rsidR="002F4315" w:rsidRPr="00013FBF" w:rsidTr="004D72E7">
        <w:tc>
          <w:tcPr>
            <w:tcW w:w="4361" w:type="dxa"/>
          </w:tcPr>
          <w:p w:rsidR="002F4315" w:rsidRPr="00013FBF" w:rsidRDefault="002F4315" w:rsidP="007F7290">
            <w:pPr>
              <w:rPr>
                <w:rFonts w:ascii="RN House Sans Regular" w:hAnsi="RN House Sans Regular"/>
                <w:sz w:val="20"/>
              </w:rPr>
            </w:pPr>
            <w:r w:rsidRPr="00013FBF">
              <w:rPr>
                <w:rFonts w:ascii="RN House Sans Regular" w:hAnsi="RN House Sans Regular"/>
                <w:sz w:val="20"/>
              </w:rPr>
              <w:t>Legacy liability release</w:t>
            </w:r>
          </w:p>
        </w:tc>
        <w:tc>
          <w:tcPr>
            <w:tcW w:w="425" w:type="dxa"/>
          </w:tcPr>
          <w:p w:rsidR="002F4315" w:rsidRPr="00013FBF" w:rsidRDefault="002F4315" w:rsidP="00CC3399">
            <w:pPr>
              <w:jc w:val="center"/>
              <w:rPr>
                <w:rFonts w:ascii="RN House Sans Regular" w:hAnsi="RN House Sans Regular"/>
                <w:sz w:val="20"/>
              </w:rPr>
            </w:pPr>
          </w:p>
        </w:tc>
        <w:tc>
          <w:tcPr>
            <w:tcW w:w="1052" w:type="dxa"/>
          </w:tcPr>
          <w:p w:rsidR="002F4315" w:rsidRPr="00013FBF" w:rsidRDefault="002F4315" w:rsidP="00CC3399">
            <w:pPr>
              <w:jc w:val="center"/>
              <w:rPr>
                <w:rFonts w:ascii="RN House Sans Regular" w:hAnsi="RN House Sans Regular"/>
                <w:sz w:val="20"/>
              </w:rPr>
            </w:pPr>
            <w:r w:rsidRPr="00013FBF">
              <w:rPr>
                <w:rFonts w:ascii="RN House Sans Regular" w:hAnsi="RN House Sans Regular"/>
                <w:sz w:val="20"/>
              </w:rPr>
              <w:t>-</w:t>
            </w:r>
          </w:p>
        </w:tc>
        <w:tc>
          <w:tcPr>
            <w:tcW w:w="366" w:type="dxa"/>
          </w:tcPr>
          <w:p w:rsidR="002F4315" w:rsidRPr="00013FBF" w:rsidRDefault="002F4315" w:rsidP="00CC3399">
            <w:pPr>
              <w:jc w:val="center"/>
              <w:rPr>
                <w:rFonts w:ascii="RN House Sans Regular" w:hAnsi="RN House Sans Regular"/>
                <w:sz w:val="20"/>
              </w:rPr>
            </w:pPr>
          </w:p>
        </w:tc>
        <w:tc>
          <w:tcPr>
            <w:tcW w:w="890" w:type="dxa"/>
          </w:tcPr>
          <w:p w:rsidR="002F4315" w:rsidRPr="00013FBF" w:rsidRDefault="004D72E7" w:rsidP="00CC3399">
            <w:pPr>
              <w:jc w:val="center"/>
              <w:rPr>
                <w:rFonts w:ascii="RN House Sans Regular" w:hAnsi="RN House Sans Regular"/>
                <w:sz w:val="20"/>
              </w:rPr>
            </w:pPr>
            <w:r>
              <w:rPr>
                <w:rFonts w:ascii="RN House Sans Regular" w:hAnsi="RN House Sans Regular"/>
                <w:sz w:val="20"/>
              </w:rPr>
              <w:t>0.3</w:t>
            </w:r>
          </w:p>
        </w:tc>
        <w:tc>
          <w:tcPr>
            <w:tcW w:w="386" w:type="dxa"/>
          </w:tcPr>
          <w:p w:rsidR="002F4315" w:rsidRPr="00013FBF" w:rsidRDefault="002F4315" w:rsidP="00CC3399">
            <w:pPr>
              <w:jc w:val="center"/>
              <w:rPr>
                <w:rFonts w:ascii="RN House Sans Regular" w:hAnsi="RN House Sans Regular"/>
                <w:sz w:val="20"/>
              </w:rPr>
            </w:pPr>
          </w:p>
        </w:tc>
        <w:tc>
          <w:tcPr>
            <w:tcW w:w="992" w:type="dxa"/>
          </w:tcPr>
          <w:p w:rsidR="002F4315" w:rsidRPr="00013FBF" w:rsidRDefault="004D72E7" w:rsidP="00CC3399">
            <w:pPr>
              <w:jc w:val="center"/>
              <w:rPr>
                <w:rFonts w:ascii="RN House Sans Regular" w:hAnsi="RN House Sans Regular"/>
                <w:sz w:val="20"/>
              </w:rPr>
            </w:pPr>
            <w:r>
              <w:rPr>
                <w:rFonts w:ascii="RN House Sans Regular" w:hAnsi="RN House Sans Regular"/>
                <w:sz w:val="20"/>
              </w:rPr>
              <w:t>0.3</w:t>
            </w:r>
          </w:p>
        </w:tc>
        <w:tc>
          <w:tcPr>
            <w:tcW w:w="425" w:type="dxa"/>
          </w:tcPr>
          <w:p w:rsidR="002F4315" w:rsidRPr="00013FBF" w:rsidRDefault="002F4315" w:rsidP="00CC3399">
            <w:pPr>
              <w:jc w:val="center"/>
              <w:rPr>
                <w:rFonts w:ascii="RN House Sans Regular" w:hAnsi="RN House Sans Regular"/>
                <w:i/>
                <w:sz w:val="18"/>
              </w:rPr>
            </w:pPr>
          </w:p>
        </w:tc>
        <w:tc>
          <w:tcPr>
            <w:tcW w:w="1134" w:type="dxa"/>
          </w:tcPr>
          <w:p w:rsidR="002F4315" w:rsidRPr="00013FBF" w:rsidRDefault="002F4315" w:rsidP="00013FBF">
            <w:pPr>
              <w:rPr>
                <w:rFonts w:ascii="RN House Sans Regular" w:hAnsi="RN House Sans Regular"/>
                <w:i/>
                <w:sz w:val="18"/>
              </w:rPr>
            </w:pPr>
            <w:r w:rsidRPr="00013FBF">
              <w:rPr>
                <w:rFonts w:ascii="RN House Sans Regular" w:hAnsi="RN House Sans Regular"/>
                <w:i/>
                <w:sz w:val="18"/>
              </w:rPr>
              <w:t>RBS</w:t>
            </w:r>
          </w:p>
        </w:tc>
      </w:tr>
      <w:tr w:rsidR="002F4315" w:rsidRPr="00013FBF" w:rsidTr="004D72E7">
        <w:tc>
          <w:tcPr>
            <w:tcW w:w="4361" w:type="dxa"/>
          </w:tcPr>
          <w:p w:rsidR="002F4315" w:rsidRPr="00013FBF" w:rsidRDefault="002F4315" w:rsidP="007F7290">
            <w:pPr>
              <w:rPr>
                <w:rFonts w:ascii="RN House Sans Regular" w:hAnsi="RN House Sans Regular"/>
                <w:sz w:val="20"/>
              </w:rPr>
            </w:pPr>
            <w:r w:rsidRPr="00013FBF">
              <w:rPr>
                <w:rFonts w:ascii="RN House Sans Regular" w:hAnsi="RN House Sans Regular"/>
                <w:sz w:val="20"/>
              </w:rPr>
              <w:t>FX reserves recycling</w:t>
            </w:r>
          </w:p>
        </w:tc>
        <w:tc>
          <w:tcPr>
            <w:tcW w:w="425" w:type="dxa"/>
          </w:tcPr>
          <w:p w:rsidR="002F4315" w:rsidRPr="00013FBF" w:rsidRDefault="002F4315" w:rsidP="00CC3399">
            <w:pPr>
              <w:jc w:val="center"/>
              <w:rPr>
                <w:rFonts w:ascii="RN House Sans Regular" w:hAnsi="RN House Sans Regular"/>
                <w:sz w:val="20"/>
                <w:u w:val="single"/>
              </w:rPr>
            </w:pPr>
          </w:p>
        </w:tc>
        <w:tc>
          <w:tcPr>
            <w:tcW w:w="1052" w:type="dxa"/>
            <w:tcBorders>
              <w:bottom w:val="single" w:sz="4" w:space="0" w:color="auto"/>
            </w:tcBorders>
          </w:tcPr>
          <w:p w:rsidR="002F4315" w:rsidRPr="00013FBF" w:rsidRDefault="002F4315" w:rsidP="00CC3399">
            <w:pPr>
              <w:jc w:val="center"/>
              <w:rPr>
                <w:rFonts w:ascii="RN House Sans Regular" w:hAnsi="RN House Sans Regular"/>
                <w:sz w:val="20"/>
              </w:rPr>
            </w:pPr>
            <w:r w:rsidRPr="00013FBF">
              <w:rPr>
                <w:rFonts w:ascii="RN House Sans Regular" w:hAnsi="RN House Sans Regular"/>
                <w:sz w:val="20"/>
              </w:rPr>
              <w:t xml:space="preserve">- </w:t>
            </w:r>
          </w:p>
        </w:tc>
        <w:tc>
          <w:tcPr>
            <w:tcW w:w="366" w:type="dxa"/>
          </w:tcPr>
          <w:p w:rsidR="002F4315" w:rsidRPr="00013FBF" w:rsidRDefault="002F4315" w:rsidP="00CC3399">
            <w:pPr>
              <w:jc w:val="center"/>
              <w:rPr>
                <w:rFonts w:ascii="RN House Sans Regular" w:hAnsi="RN House Sans Regular"/>
                <w:sz w:val="20"/>
              </w:rPr>
            </w:pPr>
          </w:p>
        </w:tc>
        <w:tc>
          <w:tcPr>
            <w:tcW w:w="890" w:type="dxa"/>
            <w:tcBorders>
              <w:bottom w:val="single" w:sz="4" w:space="0" w:color="auto"/>
            </w:tcBorders>
          </w:tcPr>
          <w:p w:rsidR="002F4315" w:rsidRPr="00013FBF" w:rsidRDefault="004D72E7" w:rsidP="007B66F9">
            <w:pPr>
              <w:jc w:val="center"/>
              <w:rPr>
                <w:rFonts w:ascii="RN House Sans Regular" w:hAnsi="RN House Sans Regular"/>
                <w:sz w:val="20"/>
              </w:rPr>
            </w:pPr>
            <w:r>
              <w:rPr>
                <w:rFonts w:ascii="RN House Sans Regular" w:hAnsi="RN House Sans Regular"/>
                <w:sz w:val="20"/>
              </w:rPr>
              <w:t>0.</w:t>
            </w:r>
            <w:r w:rsidR="00DC70C5">
              <w:rPr>
                <w:rFonts w:ascii="RN House Sans Regular" w:hAnsi="RN House Sans Regular"/>
                <w:sz w:val="20"/>
              </w:rPr>
              <w:t>3</w:t>
            </w:r>
          </w:p>
        </w:tc>
        <w:tc>
          <w:tcPr>
            <w:tcW w:w="386" w:type="dxa"/>
          </w:tcPr>
          <w:p w:rsidR="002F4315" w:rsidRPr="00013FBF" w:rsidRDefault="002F4315" w:rsidP="00CC3399">
            <w:pPr>
              <w:jc w:val="center"/>
              <w:rPr>
                <w:rFonts w:ascii="RN House Sans Regular" w:hAnsi="RN House Sans Regular"/>
                <w:sz w:val="20"/>
              </w:rPr>
            </w:pPr>
          </w:p>
        </w:tc>
        <w:tc>
          <w:tcPr>
            <w:tcW w:w="992" w:type="dxa"/>
            <w:tcBorders>
              <w:bottom w:val="single" w:sz="4" w:space="0" w:color="auto"/>
            </w:tcBorders>
          </w:tcPr>
          <w:p w:rsidR="002F4315" w:rsidRPr="00013FBF" w:rsidRDefault="004D72E7" w:rsidP="007B66F9">
            <w:pPr>
              <w:jc w:val="center"/>
              <w:rPr>
                <w:rFonts w:ascii="RN House Sans Regular" w:hAnsi="RN House Sans Regular"/>
                <w:sz w:val="20"/>
              </w:rPr>
            </w:pPr>
            <w:r>
              <w:rPr>
                <w:rFonts w:ascii="RN House Sans Regular" w:hAnsi="RN House Sans Regular"/>
                <w:sz w:val="20"/>
              </w:rPr>
              <w:t>0.</w:t>
            </w:r>
            <w:r w:rsidR="00DC70C5">
              <w:rPr>
                <w:rFonts w:ascii="RN House Sans Regular" w:hAnsi="RN House Sans Regular"/>
                <w:sz w:val="20"/>
              </w:rPr>
              <w:t>3</w:t>
            </w:r>
          </w:p>
        </w:tc>
        <w:tc>
          <w:tcPr>
            <w:tcW w:w="425" w:type="dxa"/>
          </w:tcPr>
          <w:p w:rsidR="002F4315" w:rsidRPr="00013FBF" w:rsidRDefault="002F4315" w:rsidP="000C60CA">
            <w:pPr>
              <w:jc w:val="center"/>
              <w:rPr>
                <w:rFonts w:ascii="RN House Sans Regular" w:hAnsi="RN House Sans Regular"/>
                <w:i/>
                <w:sz w:val="18"/>
              </w:rPr>
            </w:pPr>
          </w:p>
        </w:tc>
        <w:tc>
          <w:tcPr>
            <w:tcW w:w="1134" w:type="dxa"/>
          </w:tcPr>
          <w:p w:rsidR="002F4315" w:rsidRPr="00013FBF" w:rsidRDefault="002F4315" w:rsidP="0005452C">
            <w:pPr>
              <w:rPr>
                <w:rFonts w:ascii="RN House Sans Regular" w:hAnsi="RN House Sans Regular"/>
                <w:i/>
                <w:sz w:val="18"/>
              </w:rPr>
            </w:pPr>
            <w:r w:rsidRPr="00013FBF">
              <w:rPr>
                <w:rFonts w:ascii="RN House Sans Regular" w:hAnsi="RN House Sans Regular"/>
                <w:i/>
                <w:sz w:val="18"/>
              </w:rPr>
              <w:t>RBS</w:t>
            </w:r>
          </w:p>
        </w:tc>
      </w:tr>
      <w:tr w:rsidR="002F4315" w:rsidRPr="00013FBF" w:rsidTr="004D72E7">
        <w:tc>
          <w:tcPr>
            <w:tcW w:w="4361" w:type="dxa"/>
          </w:tcPr>
          <w:p w:rsidR="002F4315" w:rsidRPr="00013FBF" w:rsidRDefault="002F4315" w:rsidP="00CC3399">
            <w:pPr>
              <w:rPr>
                <w:rFonts w:ascii="RN House Sans Regular" w:hAnsi="RN House Sans Regular"/>
                <w:sz w:val="20"/>
              </w:rPr>
            </w:pPr>
            <w:r w:rsidRPr="00013FBF">
              <w:rPr>
                <w:rFonts w:ascii="RN House Sans Regular" w:hAnsi="RN House Sans Regular"/>
                <w:sz w:val="20"/>
              </w:rPr>
              <w:t>Non interest income</w:t>
            </w:r>
          </w:p>
        </w:tc>
        <w:tc>
          <w:tcPr>
            <w:tcW w:w="425" w:type="dxa"/>
          </w:tcPr>
          <w:p w:rsidR="002F4315" w:rsidRPr="00013FBF" w:rsidRDefault="002F4315" w:rsidP="00CC3399">
            <w:pPr>
              <w:jc w:val="center"/>
              <w:rPr>
                <w:rFonts w:ascii="RN House Sans Regular" w:hAnsi="RN House Sans Regular"/>
                <w:sz w:val="20"/>
                <w:u w:val="single"/>
              </w:rPr>
            </w:pPr>
          </w:p>
        </w:tc>
        <w:tc>
          <w:tcPr>
            <w:tcW w:w="1052" w:type="dxa"/>
            <w:tcBorders>
              <w:top w:val="single" w:sz="4" w:space="0" w:color="auto"/>
            </w:tcBorders>
          </w:tcPr>
          <w:p w:rsidR="002F4315" w:rsidRPr="00013FBF" w:rsidRDefault="007B66F9" w:rsidP="00CC3399">
            <w:pPr>
              <w:jc w:val="center"/>
              <w:rPr>
                <w:rFonts w:ascii="RN House Sans Regular" w:hAnsi="RN House Sans Regular"/>
                <w:sz w:val="20"/>
              </w:rPr>
            </w:pPr>
            <w:r>
              <w:rPr>
                <w:rFonts w:ascii="RN House Sans Regular" w:hAnsi="RN House Sans Regular"/>
                <w:sz w:val="20"/>
              </w:rPr>
              <w:t>0.4</w:t>
            </w:r>
          </w:p>
        </w:tc>
        <w:tc>
          <w:tcPr>
            <w:tcW w:w="366" w:type="dxa"/>
          </w:tcPr>
          <w:p w:rsidR="002F4315" w:rsidRPr="00013FBF" w:rsidRDefault="002F4315" w:rsidP="00CC3399">
            <w:pPr>
              <w:jc w:val="center"/>
              <w:rPr>
                <w:rFonts w:ascii="RN House Sans Regular" w:hAnsi="RN House Sans Regular"/>
                <w:sz w:val="20"/>
              </w:rPr>
            </w:pPr>
          </w:p>
        </w:tc>
        <w:tc>
          <w:tcPr>
            <w:tcW w:w="890" w:type="dxa"/>
            <w:tcBorders>
              <w:top w:val="single" w:sz="4" w:space="0" w:color="auto"/>
            </w:tcBorders>
          </w:tcPr>
          <w:p w:rsidR="002F4315" w:rsidRPr="00013FBF" w:rsidRDefault="004D72E7" w:rsidP="007B66F9">
            <w:pPr>
              <w:jc w:val="center"/>
              <w:rPr>
                <w:rFonts w:ascii="RN House Sans Regular" w:hAnsi="RN House Sans Regular"/>
                <w:sz w:val="20"/>
              </w:rPr>
            </w:pPr>
            <w:r>
              <w:rPr>
                <w:rFonts w:ascii="RN House Sans Regular" w:hAnsi="RN House Sans Regular"/>
                <w:sz w:val="20"/>
              </w:rPr>
              <w:t>0.</w:t>
            </w:r>
            <w:r w:rsidR="00DC70C5">
              <w:rPr>
                <w:rFonts w:ascii="RN House Sans Regular" w:hAnsi="RN House Sans Regular"/>
                <w:sz w:val="20"/>
              </w:rPr>
              <w:t>6</w:t>
            </w:r>
          </w:p>
        </w:tc>
        <w:tc>
          <w:tcPr>
            <w:tcW w:w="386" w:type="dxa"/>
          </w:tcPr>
          <w:p w:rsidR="002F4315" w:rsidRPr="00013FBF" w:rsidRDefault="002F4315" w:rsidP="00CC3399">
            <w:pPr>
              <w:jc w:val="center"/>
              <w:rPr>
                <w:rFonts w:ascii="RN House Sans Regular" w:hAnsi="RN House Sans Regular"/>
                <w:sz w:val="20"/>
              </w:rPr>
            </w:pPr>
          </w:p>
        </w:tc>
        <w:tc>
          <w:tcPr>
            <w:tcW w:w="992" w:type="dxa"/>
            <w:tcBorders>
              <w:top w:val="single" w:sz="4" w:space="0" w:color="auto"/>
            </w:tcBorders>
          </w:tcPr>
          <w:p w:rsidR="002F4315" w:rsidRPr="00013FBF" w:rsidRDefault="007B66F9" w:rsidP="00DC70C5">
            <w:pPr>
              <w:jc w:val="center"/>
              <w:rPr>
                <w:rFonts w:ascii="RN House Sans Regular" w:hAnsi="RN House Sans Regular"/>
                <w:sz w:val="20"/>
              </w:rPr>
            </w:pPr>
            <w:r>
              <w:rPr>
                <w:rFonts w:ascii="RN House Sans Regular" w:hAnsi="RN House Sans Regular"/>
                <w:sz w:val="20"/>
              </w:rPr>
              <w:t>1.0</w:t>
            </w:r>
          </w:p>
        </w:tc>
        <w:tc>
          <w:tcPr>
            <w:tcW w:w="425" w:type="dxa"/>
          </w:tcPr>
          <w:p w:rsidR="002F4315" w:rsidRPr="00013FBF" w:rsidRDefault="002F4315" w:rsidP="00CC3399">
            <w:pPr>
              <w:jc w:val="center"/>
              <w:rPr>
                <w:rFonts w:ascii="RN House Sans Regular" w:hAnsi="RN House Sans Regular"/>
                <w:i/>
                <w:sz w:val="18"/>
                <w:u w:val="single"/>
              </w:rPr>
            </w:pPr>
          </w:p>
        </w:tc>
        <w:tc>
          <w:tcPr>
            <w:tcW w:w="1134" w:type="dxa"/>
          </w:tcPr>
          <w:p w:rsidR="002F4315" w:rsidRPr="00013FBF" w:rsidRDefault="002F4315" w:rsidP="00013FBF">
            <w:pPr>
              <w:rPr>
                <w:rFonts w:ascii="RN House Sans Regular" w:hAnsi="RN House Sans Regular"/>
                <w:i/>
                <w:sz w:val="18"/>
                <w:u w:val="single"/>
              </w:rPr>
            </w:pPr>
          </w:p>
        </w:tc>
      </w:tr>
      <w:tr w:rsidR="004D72E7" w:rsidRPr="004D72E7" w:rsidTr="005323C2">
        <w:tc>
          <w:tcPr>
            <w:tcW w:w="4361" w:type="dxa"/>
          </w:tcPr>
          <w:p w:rsidR="004D72E7" w:rsidRPr="004D72E7" w:rsidRDefault="004D72E7" w:rsidP="00CC3399">
            <w:pPr>
              <w:rPr>
                <w:rFonts w:ascii="RN House Sans Regular" w:hAnsi="RN House Sans Regular"/>
                <w:sz w:val="6"/>
              </w:rPr>
            </w:pPr>
          </w:p>
        </w:tc>
        <w:tc>
          <w:tcPr>
            <w:tcW w:w="425" w:type="dxa"/>
          </w:tcPr>
          <w:p w:rsidR="004D72E7" w:rsidRPr="004D72E7" w:rsidRDefault="004D72E7" w:rsidP="00CC3399">
            <w:pPr>
              <w:jc w:val="center"/>
              <w:rPr>
                <w:rFonts w:ascii="RN House Sans Regular" w:hAnsi="RN House Sans Regular"/>
                <w:sz w:val="6"/>
              </w:rPr>
            </w:pPr>
          </w:p>
        </w:tc>
        <w:tc>
          <w:tcPr>
            <w:tcW w:w="1052" w:type="dxa"/>
          </w:tcPr>
          <w:p w:rsidR="004D72E7" w:rsidRPr="004D72E7" w:rsidRDefault="004D72E7" w:rsidP="00CC3399">
            <w:pPr>
              <w:jc w:val="center"/>
              <w:rPr>
                <w:rFonts w:ascii="RN House Sans Regular" w:hAnsi="RN House Sans Regular"/>
                <w:sz w:val="6"/>
              </w:rPr>
            </w:pPr>
          </w:p>
        </w:tc>
        <w:tc>
          <w:tcPr>
            <w:tcW w:w="366" w:type="dxa"/>
          </w:tcPr>
          <w:p w:rsidR="004D72E7" w:rsidRPr="004D72E7" w:rsidRDefault="004D72E7" w:rsidP="00CC3399">
            <w:pPr>
              <w:jc w:val="center"/>
              <w:rPr>
                <w:rFonts w:ascii="RN House Sans Regular" w:hAnsi="RN House Sans Regular"/>
                <w:sz w:val="6"/>
              </w:rPr>
            </w:pPr>
          </w:p>
        </w:tc>
        <w:tc>
          <w:tcPr>
            <w:tcW w:w="890" w:type="dxa"/>
          </w:tcPr>
          <w:p w:rsidR="004D72E7" w:rsidRPr="004D72E7" w:rsidRDefault="004D72E7" w:rsidP="00CC3399">
            <w:pPr>
              <w:jc w:val="center"/>
              <w:rPr>
                <w:rFonts w:ascii="RN House Sans Regular" w:hAnsi="RN House Sans Regular"/>
                <w:sz w:val="6"/>
              </w:rPr>
            </w:pPr>
          </w:p>
        </w:tc>
        <w:tc>
          <w:tcPr>
            <w:tcW w:w="386" w:type="dxa"/>
          </w:tcPr>
          <w:p w:rsidR="004D72E7" w:rsidRPr="004D72E7" w:rsidRDefault="004D72E7" w:rsidP="00CC3399">
            <w:pPr>
              <w:jc w:val="center"/>
              <w:rPr>
                <w:rFonts w:ascii="RN House Sans Regular" w:hAnsi="RN House Sans Regular"/>
                <w:sz w:val="6"/>
                <w:u w:val="single"/>
              </w:rPr>
            </w:pPr>
          </w:p>
        </w:tc>
        <w:tc>
          <w:tcPr>
            <w:tcW w:w="992" w:type="dxa"/>
            <w:tcBorders>
              <w:bottom w:val="single" w:sz="4" w:space="0" w:color="auto"/>
            </w:tcBorders>
          </w:tcPr>
          <w:p w:rsidR="004D72E7" w:rsidRPr="004D72E7" w:rsidRDefault="004D72E7" w:rsidP="00CC3399">
            <w:pPr>
              <w:jc w:val="center"/>
              <w:rPr>
                <w:rFonts w:ascii="RN House Sans Regular" w:hAnsi="RN House Sans Regular"/>
                <w:sz w:val="6"/>
              </w:rPr>
            </w:pPr>
          </w:p>
        </w:tc>
        <w:tc>
          <w:tcPr>
            <w:tcW w:w="425" w:type="dxa"/>
          </w:tcPr>
          <w:p w:rsidR="004D72E7" w:rsidRPr="004D72E7" w:rsidRDefault="004D72E7" w:rsidP="00CC3399">
            <w:pPr>
              <w:jc w:val="center"/>
              <w:rPr>
                <w:rFonts w:ascii="RN House Sans Regular" w:hAnsi="RN House Sans Regular"/>
                <w:i/>
                <w:sz w:val="6"/>
                <w:u w:val="single"/>
              </w:rPr>
            </w:pPr>
          </w:p>
        </w:tc>
        <w:tc>
          <w:tcPr>
            <w:tcW w:w="1134" w:type="dxa"/>
          </w:tcPr>
          <w:p w:rsidR="004D72E7" w:rsidRPr="004D72E7" w:rsidRDefault="004D72E7" w:rsidP="00013FBF">
            <w:pPr>
              <w:rPr>
                <w:rFonts w:ascii="RN House Sans Regular" w:hAnsi="RN House Sans Regular"/>
                <w:i/>
                <w:sz w:val="6"/>
                <w:u w:val="single"/>
              </w:rPr>
            </w:pPr>
          </w:p>
        </w:tc>
      </w:tr>
      <w:tr w:rsidR="002F4315" w:rsidRPr="00013FBF" w:rsidTr="005323C2">
        <w:tc>
          <w:tcPr>
            <w:tcW w:w="4361" w:type="dxa"/>
          </w:tcPr>
          <w:p w:rsidR="002F4315" w:rsidRPr="00013FBF" w:rsidRDefault="002F4315" w:rsidP="005323C2">
            <w:pPr>
              <w:rPr>
                <w:rFonts w:ascii="RN House Sans Regular" w:hAnsi="RN House Sans Regular"/>
                <w:sz w:val="20"/>
              </w:rPr>
            </w:pPr>
            <w:r w:rsidRPr="00013FBF">
              <w:rPr>
                <w:rFonts w:ascii="RN House Sans Regular" w:hAnsi="RN House Sans Regular"/>
                <w:sz w:val="20"/>
              </w:rPr>
              <w:t xml:space="preserve">Profit </w:t>
            </w:r>
            <w:r w:rsidR="005323C2">
              <w:rPr>
                <w:rFonts w:ascii="RN House Sans Regular" w:hAnsi="RN House Sans Regular"/>
                <w:sz w:val="20"/>
              </w:rPr>
              <w:t>after</w:t>
            </w:r>
            <w:r w:rsidRPr="00013FBF">
              <w:rPr>
                <w:rFonts w:ascii="RN House Sans Regular" w:hAnsi="RN House Sans Regular"/>
                <w:sz w:val="20"/>
              </w:rPr>
              <w:t xml:space="preserve"> Tax</w:t>
            </w:r>
          </w:p>
        </w:tc>
        <w:tc>
          <w:tcPr>
            <w:tcW w:w="425" w:type="dxa"/>
          </w:tcPr>
          <w:p w:rsidR="002F4315" w:rsidRPr="00013FBF" w:rsidRDefault="002F4315" w:rsidP="00CC3399">
            <w:pPr>
              <w:jc w:val="center"/>
              <w:rPr>
                <w:rFonts w:ascii="RN House Sans Regular" w:hAnsi="RN House Sans Regular"/>
                <w:sz w:val="20"/>
              </w:rPr>
            </w:pPr>
          </w:p>
        </w:tc>
        <w:tc>
          <w:tcPr>
            <w:tcW w:w="1052" w:type="dxa"/>
          </w:tcPr>
          <w:p w:rsidR="002F4315" w:rsidRPr="00013FBF" w:rsidRDefault="002F4315" w:rsidP="00CC3399">
            <w:pPr>
              <w:jc w:val="center"/>
              <w:rPr>
                <w:rFonts w:ascii="RN House Sans Regular" w:hAnsi="RN House Sans Regular"/>
                <w:sz w:val="20"/>
              </w:rPr>
            </w:pPr>
          </w:p>
        </w:tc>
        <w:tc>
          <w:tcPr>
            <w:tcW w:w="366" w:type="dxa"/>
          </w:tcPr>
          <w:p w:rsidR="002F4315" w:rsidRPr="00013FBF" w:rsidRDefault="002F4315" w:rsidP="00CC3399">
            <w:pPr>
              <w:jc w:val="center"/>
              <w:rPr>
                <w:rFonts w:ascii="RN House Sans Regular" w:hAnsi="RN House Sans Regular"/>
                <w:sz w:val="20"/>
              </w:rPr>
            </w:pPr>
          </w:p>
        </w:tc>
        <w:tc>
          <w:tcPr>
            <w:tcW w:w="890" w:type="dxa"/>
          </w:tcPr>
          <w:p w:rsidR="002F4315" w:rsidRPr="00013FBF" w:rsidRDefault="002F4315" w:rsidP="00CC3399">
            <w:pPr>
              <w:jc w:val="center"/>
              <w:rPr>
                <w:rFonts w:ascii="RN House Sans Regular" w:hAnsi="RN House Sans Regular"/>
                <w:sz w:val="20"/>
              </w:rPr>
            </w:pPr>
          </w:p>
        </w:tc>
        <w:tc>
          <w:tcPr>
            <w:tcW w:w="386" w:type="dxa"/>
          </w:tcPr>
          <w:p w:rsidR="002F4315" w:rsidRPr="00013FBF" w:rsidRDefault="002F4315" w:rsidP="00CC3399">
            <w:pPr>
              <w:jc w:val="center"/>
              <w:rPr>
                <w:rFonts w:ascii="RN House Sans Regular" w:hAnsi="RN House Sans Regular"/>
                <w:sz w:val="20"/>
                <w:u w:val="single"/>
              </w:rPr>
            </w:pPr>
          </w:p>
        </w:tc>
        <w:tc>
          <w:tcPr>
            <w:tcW w:w="992" w:type="dxa"/>
            <w:tcBorders>
              <w:top w:val="single" w:sz="4" w:space="0" w:color="auto"/>
            </w:tcBorders>
          </w:tcPr>
          <w:p w:rsidR="002F4315" w:rsidRPr="00013FBF" w:rsidRDefault="007B66F9" w:rsidP="00DC70C5">
            <w:pPr>
              <w:jc w:val="center"/>
              <w:rPr>
                <w:rFonts w:ascii="RN House Sans Regular" w:hAnsi="RN House Sans Regular"/>
                <w:sz w:val="20"/>
              </w:rPr>
            </w:pPr>
            <w:r>
              <w:rPr>
                <w:rFonts w:ascii="RN House Sans Regular" w:hAnsi="RN House Sans Regular"/>
                <w:sz w:val="20"/>
              </w:rPr>
              <w:t>1.0</w:t>
            </w:r>
          </w:p>
        </w:tc>
        <w:tc>
          <w:tcPr>
            <w:tcW w:w="425" w:type="dxa"/>
          </w:tcPr>
          <w:p w:rsidR="002F4315" w:rsidRPr="00013FBF" w:rsidRDefault="002F4315" w:rsidP="00CC3399">
            <w:pPr>
              <w:jc w:val="center"/>
              <w:rPr>
                <w:rFonts w:ascii="RN House Sans Regular" w:hAnsi="RN House Sans Regular"/>
                <w:i/>
                <w:sz w:val="18"/>
                <w:u w:val="single"/>
              </w:rPr>
            </w:pPr>
          </w:p>
        </w:tc>
        <w:tc>
          <w:tcPr>
            <w:tcW w:w="1134" w:type="dxa"/>
          </w:tcPr>
          <w:p w:rsidR="002F4315" w:rsidRPr="00013FBF" w:rsidRDefault="002F4315" w:rsidP="00013FBF">
            <w:pPr>
              <w:rPr>
                <w:rFonts w:ascii="RN House Sans Regular" w:hAnsi="RN House Sans Regular"/>
                <w:i/>
                <w:sz w:val="18"/>
                <w:u w:val="single"/>
              </w:rPr>
            </w:pPr>
          </w:p>
        </w:tc>
      </w:tr>
      <w:tr w:rsidR="002F4315" w:rsidRPr="00013FBF" w:rsidTr="005323C2">
        <w:tc>
          <w:tcPr>
            <w:tcW w:w="4361" w:type="dxa"/>
          </w:tcPr>
          <w:p w:rsidR="002F4315" w:rsidRPr="00013FBF" w:rsidRDefault="002A3BCF" w:rsidP="007F7290">
            <w:pPr>
              <w:rPr>
                <w:rFonts w:ascii="RN House Sans Regular" w:hAnsi="RN House Sans Regular"/>
                <w:sz w:val="20"/>
              </w:rPr>
            </w:pPr>
            <w:r>
              <w:rPr>
                <w:rFonts w:ascii="RN House Sans Regular" w:hAnsi="RN House Sans Regular"/>
                <w:sz w:val="20"/>
              </w:rPr>
              <w:t>Non-controlling</w:t>
            </w:r>
            <w:r w:rsidR="002F4315" w:rsidRPr="00013FBF">
              <w:rPr>
                <w:rFonts w:ascii="RN House Sans Regular" w:hAnsi="RN House Sans Regular"/>
                <w:sz w:val="20"/>
              </w:rPr>
              <w:t xml:space="preserve"> interests </w:t>
            </w:r>
          </w:p>
        </w:tc>
        <w:tc>
          <w:tcPr>
            <w:tcW w:w="425" w:type="dxa"/>
          </w:tcPr>
          <w:p w:rsidR="002F4315" w:rsidRPr="00013FBF" w:rsidRDefault="002F4315" w:rsidP="00CC3399">
            <w:pPr>
              <w:jc w:val="center"/>
              <w:rPr>
                <w:rFonts w:ascii="RN House Sans Regular" w:hAnsi="RN House Sans Regular"/>
                <w:sz w:val="20"/>
              </w:rPr>
            </w:pPr>
          </w:p>
        </w:tc>
        <w:tc>
          <w:tcPr>
            <w:tcW w:w="1052" w:type="dxa"/>
          </w:tcPr>
          <w:p w:rsidR="002F4315" w:rsidRPr="00013FBF" w:rsidRDefault="002F4315" w:rsidP="00CC3399">
            <w:pPr>
              <w:jc w:val="center"/>
              <w:rPr>
                <w:rFonts w:ascii="RN House Sans Regular" w:hAnsi="RN House Sans Regular"/>
                <w:sz w:val="20"/>
              </w:rPr>
            </w:pPr>
          </w:p>
        </w:tc>
        <w:tc>
          <w:tcPr>
            <w:tcW w:w="366" w:type="dxa"/>
          </w:tcPr>
          <w:p w:rsidR="002F4315" w:rsidRPr="00013FBF" w:rsidRDefault="002F4315" w:rsidP="00CC3399">
            <w:pPr>
              <w:jc w:val="center"/>
              <w:rPr>
                <w:rFonts w:ascii="RN House Sans Regular" w:hAnsi="RN House Sans Regular"/>
                <w:sz w:val="20"/>
              </w:rPr>
            </w:pPr>
          </w:p>
        </w:tc>
        <w:tc>
          <w:tcPr>
            <w:tcW w:w="890" w:type="dxa"/>
          </w:tcPr>
          <w:p w:rsidR="002F4315" w:rsidRPr="00013FBF" w:rsidRDefault="002F4315" w:rsidP="00CC3399">
            <w:pPr>
              <w:jc w:val="center"/>
              <w:rPr>
                <w:rFonts w:ascii="RN House Sans Regular" w:hAnsi="RN House Sans Regular"/>
                <w:sz w:val="20"/>
              </w:rPr>
            </w:pPr>
          </w:p>
        </w:tc>
        <w:tc>
          <w:tcPr>
            <w:tcW w:w="386" w:type="dxa"/>
          </w:tcPr>
          <w:p w:rsidR="002F4315" w:rsidRPr="00013FBF" w:rsidRDefault="002F4315" w:rsidP="00CC3399">
            <w:pPr>
              <w:jc w:val="center"/>
              <w:rPr>
                <w:rFonts w:ascii="RN House Sans Regular" w:hAnsi="RN House Sans Regular"/>
                <w:sz w:val="20"/>
              </w:rPr>
            </w:pPr>
          </w:p>
        </w:tc>
        <w:tc>
          <w:tcPr>
            <w:tcW w:w="992" w:type="dxa"/>
            <w:tcBorders>
              <w:bottom w:val="single" w:sz="4" w:space="0" w:color="auto"/>
            </w:tcBorders>
          </w:tcPr>
          <w:p w:rsidR="002F4315" w:rsidRPr="00013FBF" w:rsidRDefault="007B66F9" w:rsidP="004D72E7">
            <w:pPr>
              <w:jc w:val="center"/>
              <w:rPr>
                <w:rFonts w:ascii="RN House Sans Regular" w:hAnsi="RN House Sans Regular"/>
                <w:sz w:val="20"/>
              </w:rPr>
            </w:pPr>
            <w:r>
              <w:rPr>
                <w:rFonts w:ascii="RN House Sans Regular" w:hAnsi="RN House Sans Regular"/>
                <w:sz w:val="20"/>
              </w:rPr>
              <w:t>(0.3)</w:t>
            </w:r>
          </w:p>
        </w:tc>
        <w:tc>
          <w:tcPr>
            <w:tcW w:w="425" w:type="dxa"/>
          </w:tcPr>
          <w:p w:rsidR="002F4315" w:rsidRPr="00013FBF" w:rsidRDefault="002F4315" w:rsidP="00CC3399">
            <w:pPr>
              <w:jc w:val="center"/>
              <w:rPr>
                <w:rFonts w:ascii="RN House Sans Regular" w:hAnsi="RN House Sans Regular"/>
                <w:i/>
                <w:sz w:val="18"/>
              </w:rPr>
            </w:pPr>
          </w:p>
        </w:tc>
        <w:tc>
          <w:tcPr>
            <w:tcW w:w="1134" w:type="dxa"/>
          </w:tcPr>
          <w:p w:rsidR="002F4315" w:rsidRPr="00013FBF" w:rsidRDefault="00370558" w:rsidP="00013FBF">
            <w:pPr>
              <w:rPr>
                <w:rFonts w:ascii="RN House Sans Regular" w:hAnsi="RN House Sans Regular"/>
                <w:i/>
                <w:sz w:val="18"/>
              </w:rPr>
            </w:pPr>
            <w:r>
              <w:rPr>
                <w:rFonts w:ascii="RN House Sans Regular" w:hAnsi="RN House Sans Regular"/>
                <w:i/>
                <w:sz w:val="18"/>
              </w:rPr>
              <w:t>RBS</w:t>
            </w:r>
          </w:p>
        </w:tc>
      </w:tr>
      <w:tr w:rsidR="002F4315" w:rsidRPr="004D72E7" w:rsidTr="004D72E7">
        <w:tc>
          <w:tcPr>
            <w:tcW w:w="4361" w:type="dxa"/>
          </w:tcPr>
          <w:p w:rsidR="002F4315" w:rsidRPr="004D72E7" w:rsidRDefault="004D72E7" w:rsidP="00CC3399">
            <w:pPr>
              <w:rPr>
                <w:rFonts w:ascii="RN House Sans Regular" w:hAnsi="RN House Sans Regular"/>
                <w:b/>
                <w:sz w:val="20"/>
              </w:rPr>
            </w:pPr>
            <w:r w:rsidRPr="004D72E7">
              <w:rPr>
                <w:rFonts w:ascii="RN House Sans Regular" w:hAnsi="RN House Sans Regular"/>
                <w:b/>
                <w:sz w:val="20"/>
              </w:rPr>
              <w:t>P</w:t>
            </w:r>
            <w:r w:rsidR="002F4315" w:rsidRPr="004D72E7">
              <w:rPr>
                <w:rFonts w:ascii="RN House Sans Regular" w:hAnsi="RN House Sans Regular"/>
                <w:b/>
                <w:sz w:val="20"/>
              </w:rPr>
              <w:t>rofit</w:t>
            </w:r>
            <w:r w:rsidRPr="004D72E7">
              <w:rPr>
                <w:rFonts w:ascii="RN House Sans Regular" w:hAnsi="RN House Sans Regular"/>
                <w:b/>
                <w:sz w:val="20"/>
              </w:rPr>
              <w:t xml:space="preserve"> attributable to ordinary shareholders</w:t>
            </w:r>
          </w:p>
        </w:tc>
        <w:tc>
          <w:tcPr>
            <w:tcW w:w="425" w:type="dxa"/>
          </w:tcPr>
          <w:p w:rsidR="002F4315" w:rsidRPr="004D72E7" w:rsidRDefault="002F4315" w:rsidP="00CC3399">
            <w:pPr>
              <w:jc w:val="center"/>
              <w:rPr>
                <w:rFonts w:ascii="RN House Sans Regular" w:hAnsi="RN House Sans Regular"/>
                <w:b/>
                <w:sz w:val="20"/>
              </w:rPr>
            </w:pPr>
          </w:p>
        </w:tc>
        <w:tc>
          <w:tcPr>
            <w:tcW w:w="1052" w:type="dxa"/>
          </w:tcPr>
          <w:p w:rsidR="002F4315" w:rsidRPr="004D72E7" w:rsidRDefault="002F4315" w:rsidP="00CC3399">
            <w:pPr>
              <w:jc w:val="center"/>
              <w:rPr>
                <w:rFonts w:ascii="RN House Sans Regular" w:hAnsi="RN House Sans Regular"/>
                <w:b/>
                <w:sz w:val="20"/>
              </w:rPr>
            </w:pPr>
          </w:p>
        </w:tc>
        <w:tc>
          <w:tcPr>
            <w:tcW w:w="366" w:type="dxa"/>
          </w:tcPr>
          <w:p w:rsidR="002F4315" w:rsidRPr="004D72E7" w:rsidRDefault="002F4315" w:rsidP="00CC3399">
            <w:pPr>
              <w:jc w:val="center"/>
              <w:rPr>
                <w:rFonts w:ascii="RN House Sans Regular" w:hAnsi="RN House Sans Regular"/>
                <w:b/>
                <w:sz w:val="20"/>
              </w:rPr>
            </w:pPr>
          </w:p>
        </w:tc>
        <w:tc>
          <w:tcPr>
            <w:tcW w:w="890" w:type="dxa"/>
          </w:tcPr>
          <w:p w:rsidR="002F4315" w:rsidRPr="004D72E7" w:rsidRDefault="002F4315" w:rsidP="00CC3399">
            <w:pPr>
              <w:jc w:val="center"/>
              <w:rPr>
                <w:rFonts w:ascii="RN House Sans Regular" w:hAnsi="RN House Sans Regular"/>
                <w:b/>
                <w:sz w:val="20"/>
              </w:rPr>
            </w:pPr>
          </w:p>
        </w:tc>
        <w:tc>
          <w:tcPr>
            <w:tcW w:w="386" w:type="dxa"/>
          </w:tcPr>
          <w:p w:rsidR="002F4315" w:rsidRPr="004D72E7" w:rsidRDefault="002F4315" w:rsidP="00CC3399">
            <w:pPr>
              <w:jc w:val="center"/>
              <w:rPr>
                <w:rFonts w:ascii="RN House Sans Regular" w:hAnsi="RN House Sans Regular"/>
                <w:b/>
                <w:sz w:val="20"/>
              </w:rPr>
            </w:pPr>
          </w:p>
        </w:tc>
        <w:tc>
          <w:tcPr>
            <w:tcW w:w="992" w:type="dxa"/>
            <w:tcBorders>
              <w:top w:val="single" w:sz="4" w:space="0" w:color="auto"/>
              <w:bottom w:val="single" w:sz="4" w:space="0" w:color="auto"/>
            </w:tcBorders>
          </w:tcPr>
          <w:p w:rsidR="002F4315" w:rsidRPr="004D72E7" w:rsidRDefault="007B66F9" w:rsidP="0099570D">
            <w:pPr>
              <w:jc w:val="center"/>
              <w:rPr>
                <w:rFonts w:ascii="RN House Sans Regular" w:hAnsi="RN House Sans Regular"/>
                <w:b/>
                <w:sz w:val="20"/>
              </w:rPr>
            </w:pPr>
            <w:r>
              <w:rPr>
                <w:rFonts w:ascii="RN House Sans Regular" w:hAnsi="RN House Sans Regular"/>
                <w:b/>
                <w:sz w:val="20"/>
              </w:rPr>
              <w:t>0.7</w:t>
            </w:r>
          </w:p>
        </w:tc>
        <w:tc>
          <w:tcPr>
            <w:tcW w:w="425" w:type="dxa"/>
          </w:tcPr>
          <w:p w:rsidR="002F4315" w:rsidRPr="004D72E7" w:rsidRDefault="002F4315" w:rsidP="00CC3399">
            <w:pPr>
              <w:jc w:val="center"/>
              <w:rPr>
                <w:rFonts w:ascii="RN House Sans Regular" w:hAnsi="RN House Sans Regular"/>
                <w:b/>
                <w:i/>
                <w:sz w:val="18"/>
              </w:rPr>
            </w:pPr>
          </w:p>
        </w:tc>
        <w:tc>
          <w:tcPr>
            <w:tcW w:w="1134" w:type="dxa"/>
          </w:tcPr>
          <w:p w:rsidR="002F4315" w:rsidRPr="004D72E7" w:rsidRDefault="002F4315" w:rsidP="00013FBF">
            <w:pPr>
              <w:rPr>
                <w:rFonts w:ascii="RN House Sans Regular" w:hAnsi="RN House Sans Regular"/>
                <w:b/>
                <w:i/>
                <w:sz w:val="18"/>
              </w:rPr>
            </w:pPr>
          </w:p>
        </w:tc>
      </w:tr>
    </w:tbl>
    <w:p w:rsidR="00E8735A" w:rsidRPr="00013FBF" w:rsidRDefault="00E8735A" w:rsidP="00E8735A">
      <w:pPr>
        <w:ind w:left="360"/>
        <w:rPr>
          <w:rFonts w:ascii="RN House Sans Regular" w:hAnsi="RN House Sans Regular"/>
          <w:sz w:val="20"/>
        </w:rPr>
      </w:pPr>
    </w:p>
    <w:p w:rsidR="004D72E7" w:rsidRDefault="00C50F2D" w:rsidP="00F1480F">
      <w:pPr>
        <w:rPr>
          <w:rFonts w:ascii="RN House Sans Regular" w:hAnsi="RN House Sans Regular"/>
          <w:sz w:val="20"/>
        </w:rPr>
      </w:pPr>
      <w:r w:rsidRPr="000469D8">
        <w:rPr>
          <w:rFonts w:ascii="RN House Sans Regular" w:hAnsi="RN House Sans Regular"/>
          <w:sz w:val="20"/>
        </w:rPr>
        <w:t xml:space="preserve">We </w:t>
      </w:r>
      <w:r w:rsidR="004C1963">
        <w:rPr>
          <w:rFonts w:ascii="RN House Sans Regular" w:hAnsi="RN House Sans Regular"/>
          <w:sz w:val="20"/>
        </w:rPr>
        <w:t>estimate</w:t>
      </w:r>
      <w:r w:rsidRPr="000469D8">
        <w:rPr>
          <w:rFonts w:ascii="RN House Sans Regular" w:hAnsi="RN House Sans Regular"/>
          <w:sz w:val="20"/>
        </w:rPr>
        <w:t xml:space="preserve"> a further </w:t>
      </w:r>
      <w:r w:rsidR="004D72E7" w:rsidRPr="000469D8">
        <w:rPr>
          <w:rFonts w:ascii="RN House Sans Regular" w:hAnsi="RN House Sans Regular"/>
          <w:sz w:val="20"/>
        </w:rPr>
        <w:t>£</w:t>
      </w:r>
      <w:r w:rsidR="00DC70C5" w:rsidRPr="000469D8">
        <w:rPr>
          <w:rFonts w:ascii="RN House Sans Regular" w:hAnsi="RN House Sans Regular"/>
          <w:sz w:val="20"/>
        </w:rPr>
        <w:t>1.2</w:t>
      </w:r>
      <w:r w:rsidR="000469D8" w:rsidRPr="000469D8">
        <w:rPr>
          <w:rFonts w:ascii="RN House Sans Regular" w:hAnsi="RN House Sans Regular"/>
          <w:sz w:val="20"/>
        </w:rPr>
        <w:t xml:space="preserve"> billio</w:t>
      </w:r>
      <w:r w:rsidR="004D72E7" w:rsidRPr="000469D8">
        <w:rPr>
          <w:rFonts w:ascii="RN House Sans Regular" w:hAnsi="RN House Sans Regular"/>
          <w:sz w:val="20"/>
        </w:rPr>
        <w:t>n of FX reserves recycling to be crystallised through RBS at the point at which NWM NV transfers ownership to NWM Plc</w:t>
      </w:r>
      <w:r w:rsidR="005323C2" w:rsidRPr="000469D8">
        <w:rPr>
          <w:rFonts w:ascii="RN House Sans Regular" w:hAnsi="RN House Sans Regular"/>
          <w:sz w:val="20"/>
        </w:rPr>
        <w:t xml:space="preserve"> during the second half of 2019</w:t>
      </w:r>
      <w:r w:rsidR="004D72E7" w:rsidRPr="000469D8">
        <w:rPr>
          <w:rFonts w:ascii="RN House Sans Regular" w:hAnsi="RN House Sans Regular"/>
          <w:sz w:val="20"/>
        </w:rPr>
        <w:t xml:space="preserve">, </w:t>
      </w:r>
      <w:r w:rsidR="00825D34" w:rsidRPr="000469D8">
        <w:rPr>
          <w:rFonts w:ascii="RN House Sans Regular" w:hAnsi="RN House Sans Regular"/>
          <w:sz w:val="20"/>
        </w:rPr>
        <w:t>subject to regulatory approval,</w:t>
      </w:r>
      <w:r w:rsidR="00825D34">
        <w:rPr>
          <w:rFonts w:ascii="RN House Sans Regular" w:hAnsi="RN House Sans Regular"/>
          <w:sz w:val="20"/>
        </w:rPr>
        <w:t xml:space="preserve"> </w:t>
      </w:r>
      <w:r w:rsidR="004D72E7">
        <w:rPr>
          <w:rFonts w:ascii="RN House Sans Regular" w:hAnsi="RN House Sans Regular"/>
          <w:sz w:val="20"/>
        </w:rPr>
        <w:t xml:space="preserve">which is also </w:t>
      </w:r>
      <w:r w:rsidR="002A3BCF">
        <w:rPr>
          <w:rFonts w:ascii="RN House Sans Regular" w:hAnsi="RN House Sans Regular"/>
          <w:sz w:val="20"/>
        </w:rPr>
        <w:t xml:space="preserve">capital and TNAV </w:t>
      </w:r>
      <w:r w:rsidR="004D72E7">
        <w:rPr>
          <w:rFonts w:ascii="RN House Sans Regular" w:hAnsi="RN House Sans Regular"/>
          <w:sz w:val="20"/>
        </w:rPr>
        <w:t>neutral.</w:t>
      </w:r>
      <w:r w:rsidR="004D72E7">
        <w:rPr>
          <w:rFonts w:ascii="RN House Sans Regular" w:hAnsi="RN House Sans Regular"/>
          <w:sz w:val="20"/>
        </w:rPr>
        <w:br w:type="page"/>
      </w:r>
    </w:p>
    <w:p w:rsidR="00FE4CD2" w:rsidRPr="00013FBF" w:rsidRDefault="000D6C09" w:rsidP="003D7CDE">
      <w:pPr>
        <w:rPr>
          <w:rFonts w:ascii="RN House Sans Regular" w:hAnsi="RN House Sans Regular"/>
          <w:sz w:val="20"/>
        </w:rPr>
      </w:pPr>
      <w:r>
        <w:rPr>
          <w:rFonts w:ascii="RN House Sans Regular" w:hAnsi="RN House Sans Regular"/>
          <w:sz w:val="20"/>
        </w:rPr>
        <w:lastRenderedPageBreak/>
        <w:t xml:space="preserve">Table 2 </w:t>
      </w:r>
      <w:r w:rsidR="00825D34">
        <w:rPr>
          <w:rFonts w:ascii="RN House Sans Regular" w:hAnsi="RN House Sans Regular"/>
          <w:sz w:val="20"/>
        </w:rPr>
        <w:t>illustrates</w:t>
      </w:r>
      <w:r>
        <w:rPr>
          <w:rFonts w:ascii="RN House Sans Regular" w:hAnsi="RN House Sans Regular"/>
          <w:sz w:val="20"/>
        </w:rPr>
        <w:t xml:space="preserve"> t</w:t>
      </w:r>
      <w:r w:rsidR="00FE4CD2" w:rsidRPr="00013FBF">
        <w:rPr>
          <w:rFonts w:ascii="RN House Sans Regular" w:hAnsi="RN House Sans Regular"/>
          <w:sz w:val="20"/>
        </w:rPr>
        <w:t xml:space="preserve">he risk weighted asset movements related to </w:t>
      </w:r>
      <w:r>
        <w:rPr>
          <w:rFonts w:ascii="RN House Sans Regular" w:hAnsi="RN House Sans Regular"/>
          <w:sz w:val="20"/>
        </w:rPr>
        <w:t>the transactions</w:t>
      </w:r>
      <w:r w:rsidR="00825D34">
        <w:rPr>
          <w:rFonts w:ascii="RN House Sans Regular" w:hAnsi="RN House Sans Regular"/>
          <w:sz w:val="20"/>
        </w:rPr>
        <w:t>. These are</w:t>
      </w:r>
      <w:r w:rsidR="00FE4CD2" w:rsidRPr="00013FBF">
        <w:rPr>
          <w:rFonts w:ascii="RN House Sans Regular" w:hAnsi="RN House Sans Regular"/>
          <w:sz w:val="20"/>
        </w:rPr>
        <w:t xml:space="preserve"> </w:t>
      </w:r>
      <w:r>
        <w:rPr>
          <w:rFonts w:ascii="RN House Sans Regular" w:hAnsi="RN House Sans Regular"/>
          <w:sz w:val="20"/>
        </w:rPr>
        <w:t xml:space="preserve">indicative of the expected impact and act </w:t>
      </w:r>
      <w:r w:rsidR="00825D34">
        <w:rPr>
          <w:rFonts w:ascii="RN House Sans Regular" w:hAnsi="RN House Sans Regular"/>
          <w:sz w:val="20"/>
        </w:rPr>
        <w:t xml:space="preserve">only </w:t>
      </w:r>
      <w:r>
        <w:rPr>
          <w:rFonts w:ascii="RN House Sans Regular" w:hAnsi="RN House Sans Regular"/>
          <w:sz w:val="20"/>
        </w:rPr>
        <w:t>as a guide.</w:t>
      </w:r>
      <w:r w:rsidR="00FE4CD2" w:rsidRPr="00013FBF">
        <w:rPr>
          <w:rFonts w:ascii="RN House Sans Regular" w:hAnsi="RN House Sans Regular"/>
          <w:sz w:val="20"/>
        </w:rPr>
        <w:t xml:space="preserve"> </w:t>
      </w:r>
    </w:p>
    <w:p w:rsidR="00FE4CD2" w:rsidRDefault="00FE4CD2" w:rsidP="003D7CDE">
      <w:pPr>
        <w:rPr>
          <w:rFonts w:ascii="RN House Sans Regular" w:hAnsi="RN House Sans Regular"/>
          <w:sz w:val="20"/>
          <w:u w:val="single"/>
        </w:rPr>
      </w:pPr>
    </w:p>
    <w:p w:rsidR="00C50F2D" w:rsidRPr="00013FBF" w:rsidRDefault="00C50F2D" w:rsidP="003D7CDE">
      <w:pPr>
        <w:rPr>
          <w:rFonts w:ascii="RN House Sans Regular" w:hAnsi="RN House Sans Regular"/>
          <w:sz w:val="20"/>
          <w:u w:val="single"/>
        </w:rPr>
      </w:pPr>
      <w:r>
        <w:rPr>
          <w:rFonts w:ascii="RN House Sans Regular" w:hAnsi="RN House Sans Regular"/>
          <w:sz w:val="20"/>
          <w:u w:val="single"/>
        </w:rPr>
        <w:t>Table 2</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426"/>
        <w:gridCol w:w="1134"/>
        <w:gridCol w:w="425"/>
        <w:gridCol w:w="1134"/>
        <w:gridCol w:w="425"/>
        <w:gridCol w:w="1276"/>
        <w:gridCol w:w="426"/>
        <w:gridCol w:w="1133"/>
      </w:tblGrid>
      <w:tr w:rsidR="00F1480F" w:rsidRPr="00013FBF" w:rsidTr="00F1480F">
        <w:tc>
          <w:tcPr>
            <w:tcW w:w="2943" w:type="dxa"/>
          </w:tcPr>
          <w:p w:rsidR="00F1480F" w:rsidRPr="00013FBF" w:rsidRDefault="00F1480F" w:rsidP="00FF14C7">
            <w:pPr>
              <w:rPr>
                <w:rFonts w:ascii="RN House Sans Regular" w:hAnsi="RN House Sans Regular"/>
                <w:b/>
                <w:sz w:val="20"/>
              </w:rPr>
            </w:pPr>
          </w:p>
        </w:tc>
        <w:tc>
          <w:tcPr>
            <w:tcW w:w="426" w:type="dxa"/>
          </w:tcPr>
          <w:p w:rsidR="00F1480F" w:rsidRPr="00013FBF" w:rsidRDefault="00F1480F" w:rsidP="00FF14C7">
            <w:pPr>
              <w:jc w:val="center"/>
              <w:rPr>
                <w:rFonts w:ascii="RN House Sans Regular" w:hAnsi="RN House Sans Regular"/>
                <w:sz w:val="20"/>
                <w:u w:val="single"/>
              </w:rPr>
            </w:pPr>
          </w:p>
        </w:tc>
        <w:tc>
          <w:tcPr>
            <w:tcW w:w="1134" w:type="dxa"/>
          </w:tcPr>
          <w:p w:rsidR="00F1480F" w:rsidRPr="00013FBF" w:rsidRDefault="00F1480F" w:rsidP="00FF14C7">
            <w:pPr>
              <w:jc w:val="center"/>
              <w:rPr>
                <w:rFonts w:ascii="RN House Sans Regular" w:hAnsi="RN House Sans Regular"/>
                <w:sz w:val="20"/>
                <w:u w:val="single"/>
              </w:rPr>
            </w:pPr>
            <w:r w:rsidRPr="00013FBF">
              <w:rPr>
                <w:rFonts w:ascii="RN House Sans Regular" w:hAnsi="RN House Sans Regular"/>
                <w:sz w:val="20"/>
                <w:u w:val="single"/>
              </w:rPr>
              <w:t>NWM NV</w:t>
            </w:r>
          </w:p>
        </w:tc>
        <w:tc>
          <w:tcPr>
            <w:tcW w:w="425" w:type="dxa"/>
          </w:tcPr>
          <w:p w:rsidR="00F1480F" w:rsidRPr="00013FBF" w:rsidRDefault="00F1480F" w:rsidP="00FF14C7">
            <w:pPr>
              <w:jc w:val="center"/>
              <w:rPr>
                <w:rFonts w:ascii="RN House Sans Regular" w:hAnsi="RN House Sans Regular"/>
                <w:sz w:val="20"/>
                <w:u w:val="single"/>
              </w:rPr>
            </w:pPr>
          </w:p>
        </w:tc>
        <w:tc>
          <w:tcPr>
            <w:tcW w:w="1134" w:type="dxa"/>
          </w:tcPr>
          <w:p w:rsidR="00F1480F" w:rsidRPr="00013FBF" w:rsidRDefault="00F1480F" w:rsidP="00FF14C7">
            <w:pPr>
              <w:jc w:val="center"/>
              <w:rPr>
                <w:rFonts w:ascii="RN House Sans Regular" w:hAnsi="RN House Sans Regular"/>
                <w:sz w:val="20"/>
                <w:u w:val="single"/>
              </w:rPr>
            </w:pPr>
            <w:r w:rsidRPr="00013FBF">
              <w:rPr>
                <w:rFonts w:ascii="RN House Sans Regular" w:hAnsi="RN House Sans Regular"/>
                <w:sz w:val="20"/>
                <w:u w:val="single"/>
              </w:rPr>
              <w:t>NWM Plc</w:t>
            </w:r>
          </w:p>
        </w:tc>
        <w:tc>
          <w:tcPr>
            <w:tcW w:w="425" w:type="dxa"/>
          </w:tcPr>
          <w:p w:rsidR="00F1480F" w:rsidRPr="00013FBF" w:rsidRDefault="00F1480F" w:rsidP="00FF14C7">
            <w:pPr>
              <w:jc w:val="center"/>
              <w:rPr>
                <w:rFonts w:ascii="RN House Sans Regular" w:hAnsi="RN House Sans Regular"/>
                <w:sz w:val="20"/>
                <w:u w:val="single"/>
              </w:rPr>
            </w:pPr>
          </w:p>
        </w:tc>
        <w:tc>
          <w:tcPr>
            <w:tcW w:w="1276" w:type="dxa"/>
          </w:tcPr>
          <w:p w:rsidR="00F1480F" w:rsidRPr="00013FBF" w:rsidRDefault="00F1480F" w:rsidP="00F1480F">
            <w:pPr>
              <w:jc w:val="center"/>
              <w:rPr>
                <w:rFonts w:ascii="RN House Sans Regular" w:hAnsi="RN House Sans Regular"/>
                <w:sz w:val="20"/>
                <w:u w:val="single"/>
              </w:rPr>
            </w:pPr>
            <w:r>
              <w:rPr>
                <w:rFonts w:ascii="RN House Sans Regular" w:hAnsi="RN House Sans Regular"/>
                <w:sz w:val="20"/>
                <w:u w:val="single"/>
              </w:rPr>
              <w:t>Group Adjustment</w:t>
            </w:r>
          </w:p>
        </w:tc>
        <w:tc>
          <w:tcPr>
            <w:tcW w:w="426" w:type="dxa"/>
          </w:tcPr>
          <w:p w:rsidR="00F1480F" w:rsidRPr="00013FBF" w:rsidRDefault="00F1480F" w:rsidP="00FF14C7">
            <w:pPr>
              <w:jc w:val="center"/>
              <w:rPr>
                <w:rFonts w:ascii="RN House Sans Regular" w:hAnsi="RN House Sans Regular"/>
                <w:sz w:val="20"/>
                <w:u w:val="single"/>
              </w:rPr>
            </w:pPr>
          </w:p>
        </w:tc>
        <w:tc>
          <w:tcPr>
            <w:tcW w:w="1133" w:type="dxa"/>
          </w:tcPr>
          <w:p w:rsidR="00F1480F" w:rsidRPr="00013FBF" w:rsidRDefault="00F1480F" w:rsidP="00FF14C7">
            <w:pPr>
              <w:jc w:val="center"/>
              <w:rPr>
                <w:rFonts w:ascii="RN House Sans Regular" w:hAnsi="RN House Sans Regular"/>
                <w:sz w:val="20"/>
                <w:u w:val="single"/>
              </w:rPr>
            </w:pPr>
            <w:r w:rsidRPr="00013FBF">
              <w:rPr>
                <w:rFonts w:ascii="RN House Sans Regular" w:hAnsi="RN House Sans Regular"/>
                <w:sz w:val="20"/>
                <w:u w:val="single"/>
              </w:rPr>
              <w:t>RBS Group</w:t>
            </w:r>
          </w:p>
        </w:tc>
      </w:tr>
      <w:tr w:rsidR="00F1480F" w:rsidRPr="00013FBF" w:rsidTr="00F1480F">
        <w:tc>
          <w:tcPr>
            <w:tcW w:w="2943" w:type="dxa"/>
          </w:tcPr>
          <w:p w:rsidR="00F1480F" w:rsidRPr="00013FBF" w:rsidRDefault="00F1480F" w:rsidP="00013FBF">
            <w:pPr>
              <w:rPr>
                <w:rFonts w:ascii="RN House Sans Regular" w:hAnsi="RN House Sans Regular"/>
                <w:sz w:val="20"/>
              </w:rPr>
            </w:pPr>
            <w:r w:rsidRPr="00013FBF">
              <w:rPr>
                <w:rFonts w:ascii="RN House Sans Regular" w:hAnsi="RN House Sans Regular"/>
                <w:sz w:val="20"/>
              </w:rPr>
              <w:t>As at 31 March 2019</w:t>
            </w:r>
          </w:p>
        </w:tc>
        <w:tc>
          <w:tcPr>
            <w:tcW w:w="426" w:type="dxa"/>
          </w:tcPr>
          <w:p w:rsidR="00F1480F" w:rsidRPr="00013FBF" w:rsidRDefault="00F1480F" w:rsidP="00FF14C7">
            <w:pPr>
              <w:jc w:val="center"/>
              <w:rPr>
                <w:rFonts w:ascii="RN House Sans Regular" w:hAnsi="RN House Sans Regular"/>
                <w:sz w:val="20"/>
              </w:rPr>
            </w:pPr>
          </w:p>
        </w:tc>
        <w:tc>
          <w:tcPr>
            <w:tcW w:w="1134" w:type="dxa"/>
          </w:tcPr>
          <w:p w:rsidR="00F1480F" w:rsidRPr="00013FBF" w:rsidRDefault="00F1480F" w:rsidP="00FF14C7">
            <w:pPr>
              <w:jc w:val="center"/>
              <w:rPr>
                <w:rFonts w:ascii="RN House Sans Regular" w:hAnsi="RN House Sans Regular"/>
                <w:sz w:val="20"/>
              </w:rPr>
            </w:pPr>
            <w:r w:rsidRPr="00013FBF">
              <w:rPr>
                <w:rFonts w:ascii="RN House Sans Regular" w:hAnsi="RN House Sans Regular"/>
                <w:sz w:val="20"/>
              </w:rPr>
              <w:t>€6.</w:t>
            </w:r>
            <w:r>
              <w:rPr>
                <w:rFonts w:ascii="RN House Sans Regular" w:hAnsi="RN House Sans Regular"/>
                <w:sz w:val="20"/>
              </w:rPr>
              <w:t>5</w:t>
            </w:r>
            <w:r w:rsidRPr="00013FBF">
              <w:rPr>
                <w:rFonts w:ascii="RN House Sans Regular" w:hAnsi="RN House Sans Regular"/>
                <w:sz w:val="20"/>
              </w:rPr>
              <w:t>bn</w:t>
            </w:r>
          </w:p>
        </w:tc>
        <w:tc>
          <w:tcPr>
            <w:tcW w:w="425" w:type="dxa"/>
          </w:tcPr>
          <w:p w:rsidR="00F1480F" w:rsidRPr="00013FBF" w:rsidRDefault="00F1480F" w:rsidP="00FF14C7">
            <w:pPr>
              <w:jc w:val="center"/>
              <w:rPr>
                <w:rFonts w:ascii="RN House Sans Regular" w:hAnsi="RN House Sans Regular"/>
                <w:sz w:val="20"/>
              </w:rPr>
            </w:pPr>
          </w:p>
        </w:tc>
        <w:tc>
          <w:tcPr>
            <w:tcW w:w="1134" w:type="dxa"/>
          </w:tcPr>
          <w:p w:rsidR="00F1480F" w:rsidRPr="00013FBF" w:rsidRDefault="00F1480F" w:rsidP="00FF14C7">
            <w:pPr>
              <w:jc w:val="center"/>
              <w:rPr>
                <w:rFonts w:ascii="RN House Sans Regular" w:hAnsi="RN House Sans Regular"/>
                <w:sz w:val="20"/>
              </w:rPr>
            </w:pPr>
            <w:r w:rsidRPr="00013FBF">
              <w:rPr>
                <w:rFonts w:ascii="RN House Sans Regular" w:hAnsi="RN House Sans Regular"/>
                <w:sz w:val="20"/>
              </w:rPr>
              <w:t>-</w:t>
            </w:r>
          </w:p>
        </w:tc>
        <w:tc>
          <w:tcPr>
            <w:tcW w:w="425" w:type="dxa"/>
          </w:tcPr>
          <w:p w:rsidR="00F1480F" w:rsidRPr="00013FBF" w:rsidRDefault="00F1480F" w:rsidP="00FF14C7">
            <w:pPr>
              <w:jc w:val="center"/>
              <w:rPr>
                <w:rFonts w:ascii="RN House Sans Regular" w:hAnsi="RN House Sans Regular"/>
                <w:sz w:val="20"/>
              </w:rPr>
            </w:pPr>
          </w:p>
        </w:tc>
        <w:tc>
          <w:tcPr>
            <w:tcW w:w="1276" w:type="dxa"/>
          </w:tcPr>
          <w:p w:rsidR="00F1480F" w:rsidRPr="00013FBF" w:rsidRDefault="00F1480F" w:rsidP="00FF14C7">
            <w:pPr>
              <w:jc w:val="center"/>
              <w:rPr>
                <w:rFonts w:ascii="RN House Sans Regular" w:hAnsi="RN House Sans Regular"/>
                <w:sz w:val="20"/>
              </w:rPr>
            </w:pPr>
            <w:r w:rsidRPr="00013FBF">
              <w:rPr>
                <w:rFonts w:ascii="RN House Sans Regular" w:hAnsi="RN House Sans Regular"/>
                <w:sz w:val="20"/>
              </w:rPr>
              <w:t>-</w:t>
            </w:r>
          </w:p>
        </w:tc>
        <w:tc>
          <w:tcPr>
            <w:tcW w:w="426" w:type="dxa"/>
          </w:tcPr>
          <w:p w:rsidR="00F1480F" w:rsidRPr="00013FBF" w:rsidRDefault="00F1480F" w:rsidP="00FF14C7">
            <w:pPr>
              <w:jc w:val="center"/>
              <w:rPr>
                <w:rFonts w:ascii="RN House Sans Regular" w:hAnsi="RN House Sans Regular"/>
                <w:sz w:val="20"/>
              </w:rPr>
            </w:pPr>
          </w:p>
        </w:tc>
        <w:tc>
          <w:tcPr>
            <w:tcW w:w="1133" w:type="dxa"/>
          </w:tcPr>
          <w:p w:rsidR="00F1480F" w:rsidRPr="00013FBF" w:rsidRDefault="00F1480F" w:rsidP="00FF14C7">
            <w:pPr>
              <w:jc w:val="center"/>
              <w:rPr>
                <w:rFonts w:ascii="RN House Sans Regular" w:hAnsi="RN House Sans Regular"/>
                <w:sz w:val="20"/>
              </w:rPr>
            </w:pPr>
            <w:r w:rsidRPr="00F1480F">
              <w:rPr>
                <w:rFonts w:ascii="RN House Sans Regular" w:hAnsi="RN House Sans Regular"/>
                <w:sz w:val="20"/>
              </w:rPr>
              <w:t>£5.6bn</w:t>
            </w:r>
          </w:p>
        </w:tc>
      </w:tr>
      <w:tr w:rsidR="00F1480F" w:rsidRPr="00013FBF" w:rsidTr="00F1480F">
        <w:tc>
          <w:tcPr>
            <w:tcW w:w="2943" w:type="dxa"/>
          </w:tcPr>
          <w:p w:rsidR="00F1480F" w:rsidRPr="00013FBF" w:rsidRDefault="00F1480F" w:rsidP="007F7290">
            <w:pPr>
              <w:rPr>
                <w:rFonts w:ascii="RN House Sans Regular" w:hAnsi="RN House Sans Regular"/>
                <w:sz w:val="20"/>
              </w:rPr>
            </w:pPr>
            <w:bookmarkStart w:id="0" w:name="_GoBack"/>
            <w:bookmarkEnd w:id="0"/>
            <w:r>
              <w:rPr>
                <w:rFonts w:ascii="RN House Sans Regular" w:hAnsi="RN House Sans Regular"/>
                <w:sz w:val="20"/>
              </w:rPr>
              <w:t>Transaction</w:t>
            </w:r>
            <w:r w:rsidRPr="00013FBF">
              <w:rPr>
                <w:rFonts w:ascii="RN House Sans Regular" w:hAnsi="RN House Sans Regular"/>
                <w:sz w:val="20"/>
              </w:rPr>
              <w:t xml:space="preserve"> impac</w:t>
            </w:r>
            <w:r>
              <w:rPr>
                <w:rFonts w:ascii="RN House Sans Regular" w:hAnsi="RN House Sans Regular"/>
                <w:sz w:val="20"/>
              </w:rPr>
              <w:t>t</w:t>
            </w:r>
          </w:p>
        </w:tc>
        <w:tc>
          <w:tcPr>
            <w:tcW w:w="426" w:type="dxa"/>
          </w:tcPr>
          <w:p w:rsidR="00F1480F" w:rsidRPr="00013FBF" w:rsidRDefault="00F1480F" w:rsidP="00FF14C7">
            <w:pPr>
              <w:jc w:val="center"/>
              <w:rPr>
                <w:rFonts w:ascii="RN House Sans Regular" w:hAnsi="RN House Sans Regular"/>
                <w:sz w:val="20"/>
              </w:rPr>
            </w:pPr>
          </w:p>
        </w:tc>
        <w:tc>
          <w:tcPr>
            <w:tcW w:w="1134" w:type="dxa"/>
          </w:tcPr>
          <w:p w:rsidR="00F1480F" w:rsidRPr="00013FBF" w:rsidRDefault="00F1480F" w:rsidP="008E7DF1">
            <w:pPr>
              <w:jc w:val="center"/>
              <w:rPr>
                <w:rFonts w:ascii="RN House Sans Regular" w:hAnsi="RN House Sans Regular"/>
                <w:sz w:val="20"/>
              </w:rPr>
            </w:pPr>
            <w:r w:rsidRPr="00013FBF">
              <w:rPr>
                <w:rFonts w:ascii="RN House Sans Regular" w:hAnsi="RN House Sans Regular"/>
                <w:sz w:val="20"/>
              </w:rPr>
              <w:t>(€</w:t>
            </w:r>
            <w:r>
              <w:rPr>
                <w:rFonts w:ascii="RN House Sans Regular" w:hAnsi="RN House Sans Regular"/>
                <w:sz w:val="20"/>
              </w:rPr>
              <w:t>6.5</w:t>
            </w:r>
            <w:r w:rsidRPr="00013FBF">
              <w:rPr>
                <w:rFonts w:ascii="RN House Sans Regular" w:hAnsi="RN House Sans Regular"/>
                <w:sz w:val="20"/>
              </w:rPr>
              <w:t>bn)</w:t>
            </w:r>
          </w:p>
        </w:tc>
        <w:tc>
          <w:tcPr>
            <w:tcW w:w="425" w:type="dxa"/>
          </w:tcPr>
          <w:p w:rsidR="00F1480F" w:rsidRPr="00013FBF" w:rsidRDefault="00F1480F" w:rsidP="00FF14C7">
            <w:pPr>
              <w:jc w:val="center"/>
              <w:rPr>
                <w:rFonts w:ascii="RN House Sans Regular" w:hAnsi="RN House Sans Regular"/>
                <w:sz w:val="20"/>
              </w:rPr>
            </w:pPr>
          </w:p>
        </w:tc>
        <w:tc>
          <w:tcPr>
            <w:tcW w:w="1134" w:type="dxa"/>
          </w:tcPr>
          <w:p w:rsidR="00F1480F" w:rsidRPr="00013FBF" w:rsidRDefault="00F1480F" w:rsidP="00FF14C7">
            <w:pPr>
              <w:jc w:val="center"/>
              <w:rPr>
                <w:rFonts w:ascii="RN House Sans Regular" w:hAnsi="RN House Sans Regular"/>
                <w:sz w:val="20"/>
              </w:rPr>
            </w:pPr>
            <w:r>
              <w:rPr>
                <w:rFonts w:ascii="RN House Sans Regular" w:hAnsi="RN House Sans Regular"/>
                <w:sz w:val="20"/>
              </w:rPr>
              <w:t>£0.4bn</w:t>
            </w:r>
          </w:p>
        </w:tc>
        <w:tc>
          <w:tcPr>
            <w:tcW w:w="425" w:type="dxa"/>
          </w:tcPr>
          <w:p w:rsidR="00F1480F" w:rsidRPr="00013FBF" w:rsidRDefault="00F1480F" w:rsidP="00FE4CD2">
            <w:pPr>
              <w:jc w:val="center"/>
              <w:rPr>
                <w:rFonts w:ascii="RN House Sans Regular" w:hAnsi="RN House Sans Regular"/>
                <w:sz w:val="20"/>
              </w:rPr>
            </w:pPr>
          </w:p>
        </w:tc>
        <w:tc>
          <w:tcPr>
            <w:tcW w:w="1276" w:type="dxa"/>
          </w:tcPr>
          <w:p w:rsidR="00F1480F" w:rsidRPr="00013FBF" w:rsidRDefault="00F1480F" w:rsidP="00F1480F">
            <w:pPr>
              <w:jc w:val="center"/>
              <w:rPr>
                <w:rFonts w:ascii="RN House Sans Regular" w:hAnsi="RN House Sans Regular"/>
                <w:sz w:val="20"/>
              </w:rPr>
            </w:pPr>
            <w:r>
              <w:rPr>
                <w:rFonts w:ascii="RN House Sans Regular" w:hAnsi="RN House Sans Regular"/>
                <w:sz w:val="20"/>
              </w:rPr>
              <w:t>£0.5bn</w:t>
            </w:r>
          </w:p>
        </w:tc>
        <w:tc>
          <w:tcPr>
            <w:tcW w:w="426" w:type="dxa"/>
          </w:tcPr>
          <w:p w:rsidR="00F1480F" w:rsidRPr="00013FBF" w:rsidRDefault="00F1480F" w:rsidP="00FE4CD2">
            <w:pPr>
              <w:jc w:val="center"/>
              <w:rPr>
                <w:rFonts w:ascii="RN House Sans Regular" w:hAnsi="RN House Sans Regular"/>
                <w:sz w:val="20"/>
              </w:rPr>
            </w:pPr>
          </w:p>
        </w:tc>
        <w:tc>
          <w:tcPr>
            <w:tcW w:w="1133" w:type="dxa"/>
          </w:tcPr>
          <w:p w:rsidR="00F1480F" w:rsidRPr="00013FBF" w:rsidRDefault="00F1480F">
            <w:pPr>
              <w:jc w:val="center"/>
              <w:rPr>
                <w:rFonts w:ascii="RN House Sans Regular" w:hAnsi="RN House Sans Regular"/>
                <w:sz w:val="20"/>
              </w:rPr>
            </w:pPr>
            <w:r w:rsidRPr="00013FBF">
              <w:rPr>
                <w:rFonts w:ascii="RN House Sans Regular" w:hAnsi="RN House Sans Regular"/>
                <w:sz w:val="20"/>
              </w:rPr>
              <w:t>(£</w:t>
            </w:r>
            <w:r>
              <w:rPr>
                <w:rFonts w:ascii="RN House Sans Regular" w:hAnsi="RN House Sans Regular"/>
                <w:sz w:val="20"/>
              </w:rPr>
              <w:t>4.7</w:t>
            </w:r>
            <w:r w:rsidRPr="00013FBF">
              <w:rPr>
                <w:rFonts w:ascii="RN House Sans Regular" w:hAnsi="RN House Sans Regular"/>
                <w:sz w:val="20"/>
              </w:rPr>
              <w:t>bn)</w:t>
            </w:r>
          </w:p>
        </w:tc>
      </w:tr>
      <w:tr w:rsidR="00F1480F" w:rsidRPr="00013FBF" w:rsidTr="00F1480F">
        <w:tc>
          <w:tcPr>
            <w:tcW w:w="2943" w:type="dxa"/>
          </w:tcPr>
          <w:p w:rsidR="00F1480F" w:rsidRPr="00013FBF" w:rsidRDefault="00F1480F" w:rsidP="00FF14C7">
            <w:pPr>
              <w:rPr>
                <w:rFonts w:ascii="RN House Sans Regular" w:hAnsi="RN House Sans Regular"/>
                <w:sz w:val="20"/>
              </w:rPr>
            </w:pPr>
            <w:r>
              <w:rPr>
                <w:rFonts w:ascii="RN House Sans Regular" w:hAnsi="RN House Sans Regular"/>
                <w:sz w:val="20"/>
              </w:rPr>
              <w:t>Adjusted</w:t>
            </w:r>
            <w:r w:rsidRPr="00013FBF">
              <w:rPr>
                <w:rFonts w:ascii="RN House Sans Regular" w:hAnsi="RN House Sans Regular"/>
                <w:sz w:val="20"/>
              </w:rPr>
              <w:t xml:space="preserve"> 31 Mar</w:t>
            </w:r>
            <w:r>
              <w:rPr>
                <w:rFonts w:ascii="RN House Sans Regular" w:hAnsi="RN House Sans Regular"/>
                <w:sz w:val="20"/>
              </w:rPr>
              <w:t>ch</w:t>
            </w:r>
            <w:r w:rsidRPr="00013FBF">
              <w:rPr>
                <w:rFonts w:ascii="RN House Sans Regular" w:hAnsi="RN House Sans Regular"/>
                <w:sz w:val="20"/>
              </w:rPr>
              <w:t xml:space="preserve"> </w:t>
            </w:r>
            <w:r>
              <w:rPr>
                <w:rFonts w:ascii="RN House Sans Regular" w:hAnsi="RN House Sans Regular"/>
                <w:sz w:val="20"/>
              </w:rPr>
              <w:t>20</w:t>
            </w:r>
            <w:r w:rsidRPr="00013FBF">
              <w:rPr>
                <w:rFonts w:ascii="RN House Sans Regular" w:hAnsi="RN House Sans Regular"/>
                <w:sz w:val="20"/>
              </w:rPr>
              <w:t>19</w:t>
            </w:r>
          </w:p>
        </w:tc>
        <w:tc>
          <w:tcPr>
            <w:tcW w:w="426" w:type="dxa"/>
          </w:tcPr>
          <w:p w:rsidR="00F1480F" w:rsidRPr="00013FBF" w:rsidRDefault="00F1480F" w:rsidP="00FF14C7">
            <w:pPr>
              <w:jc w:val="center"/>
              <w:rPr>
                <w:rFonts w:ascii="RN House Sans Regular" w:hAnsi="RN House Sans Regular"/>
                <w:sz w:val="20"/>
                <w:u w:val="single"/>
              </w:rPr>
            </w:pPr>
          </w:p>
        </w:tc>
        <w:tc>
          <w:tcPr>
            <w:tcW w:w="1134" w:type="dxa"/>
            <w:tcBorders>
              <w:top w:val="single" w:sz="4" w:space="0" w:color="auto"/>
              <w:bottom w:val="single" w:sz="4" w:space="0" w:color="auto"/>
            </w:tcBorders>
          </w:tcPr>
          <w:p w:rsidR="00F1480F" w:rsidRPr="00013FBF" w:rsidRDefault="00F1480F" w:rsidP="00FF14C7">
            <w:pPr>
              <w:jc w:val="center"/>
              <w:rPr>
                <w:rFonts w:ascii="RN House Sans Regular" w:hAnsi="RN House Sans Regular"/>
                <w:sz w:val="20"/>
              </w:rPr>
            </w:pPr>
            <w:r>
              <w:rPr>
                <w:rFonts w:ascii="RN House Sans Regular" w:hAnsi="RN House Sans Regular"/>
                <w:sz w:val="20"/>
              </w:rPr>
              <w:t>-</w:t>
            </w:r>
          </w:p>
        </w:tc>
        <w:tc>
          <w:tcPr>
            <w:tcW w:w="425" w:type="dxa"/>
          </w:tcPr>
          <w:p w:rsidR="00F1480F" w:rsidRPr="00013FBF" w:rsidRDefault="00F1480F" w:rsidP="00FF14C7">
            <w:pPr>
              <w:jc w:val="center"/>
              <w:rPr>
                <w:rFonts w:ascii="RN House Sans Regular" w:hAnsi="RN House Sans Regular"/>
                <w:sz w:val="20"/>
              </w:rPr>
            </w:pPr>
          </w:p>
        </w:tc>
        <w:tc>
          <w:tcPr>
            <w:tcW w:w="1134" w:type="dxa"/>
            <w:tcBorders>
              <w:top w:val="single" w:sz="4" w:space="0" w:color="auto"/>
              <w:bottom w:val="single" w:sz="4" w:space="0" w:color="auto"/>
            </w:tcBorders>
          </w:tcPr>
          <w:p w:rsidR="00F1480F" w:rsidRPr="00013FBF" w:rsidRDefault="00F1480F" w:rsidP="00471909">
            <w:pPr>
              <w:jc w:val="center"/>
              <w:rPr>
                <w:rFonts w:ascii="RN House Sans Regular" w:hAnsi="RN House Sans Regular"/>
                <w:sz w:val="20"/>
              </w:rPr>
            </w:pPr>
            <w:r w:rsidRPr="00013FBF">
              <w:rPr>
                <w:rFonts w:ascii="RN House Sans Regular" w:hAnsi="RN House Sans Regular"/>
                <w:sz w:val="20"/>
              </w:rPr>
              <w:t>£</w:t>
            </w:r>
            <w:r>
              <w:rPr>
                <w:rFonts w:ascii="RN House Sans Regular" w:hAnsi="RN House Sans Regular"/>
                <w:sz w:val="20"/>
              </w:rPr>
              <w:t>0.4</w:t>
            </w:r>
            <w:r w:rsidRPr="00013FBF">
              <w:rPr>
                <w:rFonts w:ascii="RN House Sans Regular" w:hAnsi="RN House Sans Regular"/>
                <w:sz w:val="20"/>
              </w:rPr>
              <w:t>bn</w:t>
            </w:r>
          </w:p>
        </w:tc>
        <w:tc>
          <w:tcPr>
            <w:tcW w:w="425" w:type="dxa"/>
          </w:tcPr>
          <w:p w:rsidR="00F1480F" w:rsidRPr="00013FBF" w:rsidRDefault="00F1480F" w:rsidP="00FF14C7">
            <w:pPr>
              <w:jc w:val="center"/>
              <w:rPr>
                <w:rFonts w:ascii="RN House Sans Regular" w:hAnsi="RN House Sans Regular"/>
                <w:sz w:val="20"/>
              </w:rPr>
            </w:pPr>
          </w:p>
        </w:tc>
        <w:tc>
          <w:tcPr>
            <w:tcW w:w="1276" w:type="dxa"/>
            <w:tcBorders>
              <w:top w:val="single" w:sz="4" w:space="0" w:color="auto"/>
              <w:bottom w:val="single" w:sz="4" w:space="0" w:color="auto"/>
            </w:tcBorders>
          </w:tcPr>
          <w:p w:rsidR="00F1480F" w:rsidRPr="00013FBF" w:rsidRDefault="00F1480F" w:rsidP="00FF14C7">
            <w:pPr>
              <w:jc w:val="center"/>
              <w:rPr>
                <w:rFonts w:ascii="RN House Sans Regular" w:hAnsi="RN House Sans Regular"/>
                <w:sz w:val="20"/>
              </w:rPr>
            </w:pPr>
            <w:r>
              <w:rPr>
                <w:rFonts w:ascii="RN House Sans Regular" w:hAnsi="RN House Sans Regular"/>
                <w:sz w:val="20"/>
              </w:rPr>
              <w:t>£0.5bn</w:t>
            </w:r>
          </w:p>
        </w:tc>
        <w:tc>
          <w:tcPr>
            <w:tcW w:w="426" w:type="dxa"/>
          </w:tcPr>
          <w:p w:rsidR="00F1480F" w:rsidRPr="00013FBF" w:rsidRDefault="00F1480F" w:rsidP="00FF14C7">
            <w:pPr>
              <w:jc w:val="center"/>
              <w:rPr>
                <w:rFonts w:ascii="RN House Sans Regular" w:hAnsi="RN House Sans Regular"/>
                <w:sz w:val="20"/>
              </w:rPr>
            </w:pPr>
          </w:p>
        </w:tc>
        <w:tc>
          <w:tcPr>
            <w:tcW w:w="1133" w:type="dxa"/>
            <w:tcBorders>
              <w:top w:val="single" w:sz="4" w:space="0" w:color="auto"/>
              <w:bottom w:val="single" w:sz="4" w:space="0" w:color="auto"/>
            </w:tcBorders>
          </w:tcPr>
          <w:p w:rsidR="00F1480F" w:rsidRPr="00013FBF" w:rsidRDefault="00F1480F">
            <w:pPr>
              <w:jc w:val="center"/>
              <w:rPr>
                <w:rFonts w:ascii="RN House Sans Regular" w:hAnsi="RN House Sans Regular"/>
                <w:sz w:val="20"/>
              </w:rPr>
            </w:pPr>
            <w:r w:rsidRPr="00013FBF">
              <w:rPr>
                <w:rFonts w:ascii="RN House Sans Regular" w:hAnsi="RN House Sans Regular"/>
                <w:sz w:val="20"/>
              </w:rPr>
              <w:t>£</w:t>
            </w:r>
            <w:r>
              <w:rPr>
                <w:rFonts w:ascii="RN House Sans Regular" w:hAnsi="RN House Sans Regular"/>
                <w:sz w:val="20"/>
              </w:rPr>
              <w:t>0.9</w:t>
            </w:r>
            <w:r w:rsidRPr="00013FBF">
              <w:rPr>
                <w:rFonts w:ascii="RN House Sans Regular" w:hAnsi="RN House Sans Regular"/>
                <w:sz w:val="20"/>
              </w:rPr>
              <w:t>bn</w:t>
            </w:r>
          </w:p>
        </w:tc>
      </w:tr>
    </w:tbl>
    <w:p w:rsidR="00FE4CD2" w:rsidRPr="00013FBF" w:rsidRDefault="00FE4CD2" w:rsidP="003D7CDE">
      <w:pPr>
        <w:rPr>
          <w:rFonts w:ascii="RN House Sans Regular" w:hAnsi="RN House Sans Regular"/>
          <w:sz w:val="20"/>
          <w:u w:val="single"/>
        </w:rPr>
      </w:pPr>
    </w:p>
    <w:p w:rsidR="00370558" w:rsidRDefault="00FE4CD2" w:rsidP="003D7CDE">
      <w:pPr>
        <w:rPr>
          <w:rFonts w:ascii="RN House Sans Regular" w:hAnsi="RN House Sans Regular"/>
          <w:sz w:val="18"/>
        </w:rPr>
      </w:pPr>
      <w:r w:rsidRPr="00013FBF">
        <w:rPr>
          <w:rFonts w:ascii="RN House Sans Regular" w:hAnsi="RN House Sans Regular"/>
          <w:sz w:val="18"/>
          <w:u w:val="single"/>
        </w:rPr>
        <w:t>Note</w:t>
      </w:r>
      <w:r w:rsidR="00370558">
        <w:rPr>
          <w:rFonts w:ascii="RN House Sans Regular" w:hAnsi="RN House Sans Regular"/>
          <w:sz w:val="18"/>
          <w:u w:val="single"/>
        </w:rPr>
        <w:t>s</w:t>
      </w:r>
    </w:p>
    <w:p w:rsidR="00FE4CD2" w:rsidRPr="00DC70C5" w:rsidRDefault="00E11613" w:rsidP="00DC70C5">
      <w:pPr>
        <w:pStyle w:val="ListParagraph"/>
        <w:numPr>
          <w:ilvl w:val="0"/>
          <w:numId w:val="5"/>
        </w:numPr>
        <w:rPr>
          <w:rFonts w:ascii="RN House Sans Regular" w:hAnsi="RN House Sans Regular"/>
          <w:sz w:val="18"/>
        </w:rPr>
      </w:pPr>
      <w:r>
        <w:rPr>
          <w:rFonts w:ascii="RN House Sans Regular" w:hAnsi="RN House Sans Regular"/>
          <w:sz w:val="18"/>
        </w:rPr>
        <w:t>T</w:t>
      </w:r>
      <w:r w:rsidR="00FE4CD2" w:rsidRPr="00370558">
        <w:rPr>
          <w:rFonts w:ascii="RN House Sans Regular" w:hAnsi="RN House Sans Regular"/>
          <w:sz w:val="18"/>
        </w:rPr>
        <w:t xml:space="preserve">he above does not include operational risk RWAs related to the stake in Alawwal </w:t>
      </w:r>
      <w:r w:rsidR="00DC70C5">
        <w:rPr>
          <w:rFonts w:ascii="RN House Sans Regular" w:hAnsi="RN House Sans Regular"/>
          <w:sz w:val="18"/>
        </w:rPr>
        <w:t>b</w:t>
      </w:r>
      <w:r w:rsidR="00FE4CD2" w:rsidRPr="00DC70C5">
        <w:rPr>
          <w:rFonts w:ascii="RN House Sans Regular" w:hAnsi="RN House Sans Regular"/>
          <w:sz w:val="18"/>
        </w:rPr>
        <w:t>ank</w:t>
      </w:r>
    </w:p>
    <w:p w:rsidR="00370558" w:rsidRDefault="00E11613" w:rsidP="00370558">
      <w:pPr>
        <w:pStyle w:val="ListParagraph"/>
        <w:numPr>
          <w:ilvl w:val="0"/>
          <w:numId w:val="4"/>
        </w:numPr>
        <w:rPr>
          <w:rFonts w:ascii="RN House Sans Regular" w:hAnsi="RN House Sans Regular"/>
          <w:sz w:val="18"/>
        </w:rPr>
      </w:pPr>
      <w:r>
        <w:rPr>
          <w:rFonts w:ascii="RN House Sans Regular" w:hAnsi="RN House Sans Regular"/>
          <w:sz w:val="18"/>
        </w:rPr>
        <w:t>T</w:t>
      </w:r>
      <w:r w:rsidR="00370558">
        <w:rPr>
          <w:rFonts w:ascii="RN House Sans Regular" w:hAnsi="RN House Sans Regular"/>
          <w:sz w:val="18"/>
        </w:rPr>
        <w:t>able shown using exchange rates as at 31 March 2019 with £1:€1.16</w:t>
      </w:r>
      <w:r w:rsidR="009E041F">
        <w:rPr>
          <w:rFonts w:ascii="RN House Sans Regular" w:hAnsi="RN House Sans Regular"/>
          <w:sz w:val="18"/>
        </w:rPr>
        <w:t>2</w:t>
      </w:r>
      <w:r>
        <w:rPr>
          <w:rFonts w:ascii="RN House Sans Regular" w:hAnsi="RN House Sans Regular"/>
          <w:sz w:val="18"/>
        </w:rPr>
        <w:t xml:space="preserve"> and a SABB share price of SAR</w:t>
      </w:r>
      <w:r w:rsidR="009E041F">
        <w:rPr>
          <w:rFonts w:ascii="RN House Sans Regular" w:hAnsi="RN House Sans Regular"/>
          <w:sz w:val="18"/>
        </w:rPr>
        <w:t>37.80</w:t>
      </w:r>
      <w:r>
        <w:rPr>
          <w:rFonts w:ascii="RN House Sans Regular" w:hAnsi="RN House Sans Regular"/>
          <w:sz w:val="18"/>
        </w:rPr>
        <w:t>. RWA impact may vary as a result of fluctuations in FX rates, SABB share price or the underlying CET1 capital base of NWM Plc.</w:t>
      </w:r>
      <w:r w:rsidR="00580C13">
        <w:rPr>
          <w:rFonts w:ascii="RN House Sans Regular" w:hAnsi="RN House Sans Regular"/>
          <w:sz w:val="18"/>
        </w:rPr>
        <w:t xml:space="preserve"> At 1</w:t>
      </w:r>
      <w:r w:rsidR="009E041F">
        <w:rPr>
          <w:rFonts w:ascii="RN House Sans Regular" w:hAnsi="RN House Sans Regular"/>
          <w:sz w:val="18"/>
        </w:rPr>
        <w:t>3</w:t>
      </w:r>
      <w:r w:rsidR="00580C13">
        <w:rPr>
          <w:rFonts w:ascii="RN House Sans Regular" w:hAnsi="RN House Sans Regular"/>
          <w:sz w:val="18"/>
        </w:rPr>
        <w:t xml:space="preserve"> June 2019, the SABB share </w:t>
      </w:r>
      <w:r w:rsidR="009E041F">
        <w:rPr>
          <w:rFonts w:ascii="RN House Sans Regular" w:hAnsi="RN House Sans Regular"/>
          <w:sz w:val="18"/>
        </w:rPr>
        <w:t xml:space="preserve">closing </w:t>
      </w:r>
      <w:r w:rsidR="00580C13">
        <w:rPr>
          <w:rFonts w:ascii="RN House Sans Regular" w:hAnsi="RN House Sans Regular"/>
          <w:sz w:val="18"/>
        </w:rPr>
        <w:t>price was SAR</w:t>
      </w:r>
      <w:r w:rsidR="003C55CF">
        <w:rPr>
          <w:rFonts w:ascii="RN House Sans Regular" w:hAnsi="RN House Sans Regular"/>
          <w:sz w:val="18"/>
        </w:rPr>
        <w:t xml:space="preserve"> 41.70</w:t>
      </w:r>
      <w:r w:rsidR="009E041F">
        <w:rPr>
          <w:rFonts w:ascii="RN House Sans Regular" w:hAnsi="RN House Sans Regular"/>
          <w:sz w:val="18"/>
        </w:rPr>
        <w:t xml:space="preserve">. </w:t>
      </w:r>
      <w:r w:rsidR="003C55CF">
        <w:rPr>
          <w:rFonts w:ascii="RN House Sans Regular" w:hAnsi="RN House Sans Regular"/>
          <w:sz w:val="18"/>
        </w:rPr>
        <w:t xml:space="preserve"> </w:t>
      </w:r>
      <w:r w:rsidR="009E041F">
        <w:rPr>
          <w:rFonts w:ascii="RN House Sans Regular" w:hAnsi="RN House Sans Regular"/>
          <w:sz w:val="18"/>
        </w:rPr>
        <w:t xml:space="preserve">As at 14 June 2019, the </w:t>
      </w:r>
      <w:r w:rsidR="00580C13">
        <w:rPr>
          <w:rFonts w:ascii="RN House Sans Regular" w:hAnsi="RN House Sans Regular"/>
          <w:sz w:val="18"/>
        </w:rPr>
        <w:t>relevant FX rate was £1:€</w:t>
      </w:r>
      <w:r w:rsidR="003C55CF">
        <w:rPr>
          <w:rFonts w:ascii="RN House Sans Regular" w:hAnsi="RN House Sans Regular"/>
          <w:sz w:val="18"/>
        </w:rPr>
        <w:t>1.1232</w:t>
      </w:r>
      <w:r w:rsidR="00580C13">
        <w:rPr>
          <w:rFonts w:ascii="RN House Sans Regular" w:hAnsi="RN House Sans Regular"/>
          <w:sz w:val="18"/>
        </w:rPr>
        <w:t>.</w:t>
      </w:r>
    </w:p>
    <w:p w:rsidR="002F4315" w:rsidRPr="00013FBF" w:rsidRDefault="002F4315" w:rsidP="003D7CDE">
      <w:pPr>
        <w:rPr>
          <w:rFonts w:ascii="RN House Sans Regular" w:hAnsi="RN House Sans Regular"/>
          <w:sz w:val="20"/>
          <w:u w:val="single"/>
        </w:rPr>
      </w:pPr>
    </w:p>
    <w:p w:rsidR="003D7CDE" w:rsidRPr="00013FBF" w:rsidRDefault="003D7CDE" w:rsidP="003D7CDE">
      <w:pPr>
        <w:rPr>
          <w:rFonts w:ascii="RN House Sans Regular" w:hAnsi="RN House Sans Regular"/>
          <w:sz w:val="20"/>
          <w:u w:val="single"/>
        </w:rPr>
      </w:pPr>
      <w:r w:rsidRPr="00013FBF">
        <w:rPr>
          <w:rFonts w:ascii="RN House Sans Regular" w:hAnsi="RN House Sans Regular"/>
          <w:sz w:val="20"/>
          <w:u w:val="single"/>
        </w:rPr>
        <w:t xml:space="preserve">Impact </w:t>
      </w:r>
      <w:r w:rsidR="0010245A">
        <w:rPr>
          <w:rFonts w:ascii="RN House Sans Regular" w:hAnsi="RN House Sans Regular"/>
          <w:sz w:val="20"/>
          <w:u w:val="single"/>
        </w:rPr>
        <w:t xml:space="preserve">of the Merger </w:t>
      </w:r>
      <w:r w:rsidRPr="00013FBF">
        <w:rPr>
          <w:rFonts w:ascii="RN House Sans Regular" w:hAnsi="RN House Sans Regular"/>
          <w:sz w:val="20"/>
          <w:u w:val="single"/>
        </w:rPr>
        <w:t xml:space="preserve">on NWM </w:t>
      </w:r>
      <w:r w:rsidR="009441CE" w:rsidRPr="00013FBF">
        <w:rPr>
          <w:rFonts w:ascii="RN House Sans Regular" w:hAnsi="RN House Sans Regular"/>
          <w:sz w:val="20"/>
          <w:u w:val="single"/>
        </w:rPr>
        <w:t>P</w:t>
      </w:r>
      <w:r w:rsidRPr="00013FBF">
        <w:rPr>
          <w:rFonts w:ascii="RN House Sans Regular" w:hAnsi="RN House Sans Regular"/>
          <w:sz w:val="20"/>
          <w:u w:val="single"/>
        </w:rPr>
        <w:t>lc</w:t>
      </w:r>
      <w:r w:rsidR="00AB0BF6">
        <w:rPr>
          <w:rFonts w:ascii="RN House Sans Regular" w:hAnsi="RN House Sans Regular"/>
          <w:sz w:val="20"/>
          <w:u w:val="single"/>
        </w:rPr>
        <w:t xml:space="preserve"> </w:t>
      </w:r>
    </w:p>
    <w:p w:rsidR="00FC3FE3" w:rsidRDefault="00FE4CD2" w:rsidP="00013FBF">
      <w:pPr>
        <w:rPr>
          <w:rFonts w:ascii="RN House Sans Regular" w:hAnsi="RN House Sans Regular"/>
          <w:sz w:val="20"/>
        </w:rPr>
      </w:pPr>
      <w:r w:rsidRPr="00013FBF">
        <w:rPr>
          <w:rFonts w:ascii="RN House Sans Regular" w:hAnsi="RN House Sans Regular"/>
          <w:sz w:val="20"/>
        </w:rPr>
        <w:t xml:space="preserve">NWM Plc </w:t>
      </w:r>
      <w:r w:rsidR="00C50F2D">
        <w:rPr>
          <w:rFonts w:ascii="RN House Sans Regular" w:hAnsi="RN House Sans Regular"/>
          <w:sz w:val="20"/>
        </w:rPr>
        <w:t>acquire</w:t>
      </w:r>
      <w:r w:rsidR="00CA4E15">
        <w:rPr>
          <w:rFonts w:ascii="RN House Sans Regular" w:hAnsi="RN House Sans Regular"/>
          <w:sz w:val="20"/>
        </w:rPr>
        <w:t>d</w:t>
      </w:r>
      <w:r w:rsidR="00C50F2D">
        <w:rPr>
          <w:rFonts w:ascii="RN House Sans Regular" w:hAnsi="RN House Sans Regular"/>
          <w:sz w:val="20"/>
        </w:rPr>
        <w:t xml:space="preserve"> </w:t>
      </w:r>
      <w:r w:rsidR="002D75E4" w:rsidRPr="00013FBF">
        <w:rPr>
          <w:rFonts w:ascii="RN House Sans Regular" w:hAnsi="RN House Sans Regular"/>
          <w:sz w:val="20"/>
        </w:rPr>
        <w:t>the</w:t>
      </w:r>
      <w:r w:rsidR="004D2C52" w:rsidRPr="00013FBF">
        <w:rPr>
          <w:rFonts w:ascii="RN House Sans Regular" w:hAnsi="RN House Sans Regular"/>
          <w:sz w:val="20"/>
        </w:rPr>
        <w:t xml:space="preserve"> </w:t>
      </w:r>
      <w:r w:rsidR="002D75E4" w:rsidRPr="00013FBF">
        <w:rPr>
          <w:rFonts w:ascii="RN House Sans Regular" w:hAnsi="RN House Sans Regular"/>
          <w:sz w:val="20"/>
        </w:rPr>
        <w:t xml:space="preserve">SABB shares attributable </w:t>
      </w:r>
      <w:r w:rsidR="009A51EE">
        <w:rPr>
          <w:rFonts w:ascii="RN House Sans Regular" w:hAnsi="RN House Sans Regular"/>
          <w:sz w:val="20"/>
        </w:rPr>
        <w:t xml:space="preserve">to </w:t>
      </w:r>
      <w:r w:rsidR="002D75E4" w:rsidRPr="00013FBF">
        <w:rPr>
          <w:rFonts w:ascii="RN House Sans Regular" w:hAnsi="RN House Sans Regular"/>
          <w:sz w:val="20"/>
        </w:rPr>
        <w:t>RBS from NWM NV</w:t>
      </w:r>
      <w:r w:rsidR="00652968">
        <w:rPr>
          <w:rFonts w:ascii="RN House Sans Regular" w:hAnsi="RN House Sans Regular"/>
          <w:sz w:val="20"/>
        </w:rPr>
        <w:t xml:space="preserve"> for £</w:t>
      </w:r>
      <w:r w:rsidR="00652968" w:rsidRPr="003C55CF">
        <w:rPr>
          <w:rFonts w:ascii="RN House Sans Regular" w:hAnsi="RN House Sans Regular"/>
          <w:sz w:val="20"/>
        </w:rPr>
        <w:t>0.7</w:t>
      </w:r>
      <w:r w:rsidR="00652968">
        <w:rPr>
          <w:rFonts w:ascii="RN House Sans Regular" w:hAnsi="RN House Sans Regular"/>
          <w:sz w:val="20"/>
        </w:rPr>
        <w:t>bn</w:t>
      </w:r>
      <w:r w:rsidR="009A51EE">
        <w:rPr>
          <w:rFonts w:ascii="RN House Sans Regular" w:hAnsi="RN House Sans Regular"/>
          <w:sz w:val="20"/>
        </w:rPr>
        <w:t xml:space="preserve">, which will be carried at </w:t>
      </w:r>
      <w:r w:rsidR="002D75E4" w:rsidRPr="00013FBF">
        <w:rPr>
          <w:rFonts w:ascii="RN House Sans Regular" w:hAnsi="RN House Sans Regular"/>
          <w:sz w:val="20"/>
        </w:rPr>
        <w:t>fair value</w:t>
      </w:r>
      <w:r w:rsidR="00932266" w:rsidRPr="00013FBF">
        <w:rPr>
          <w:rFonts w:ascii="RN House Sans Regular" w:hAnsi="RN House Sans Regular"/>
          <w:sz w:val="20"/>
        </w:rPr>
        <w:t xml:space="preserve"> through equity</w:t>
      </w:r>
      <w:r w:rsidR="002D75E4" w:rsidRPr="00013FBF">
        <w:rPr>
          <w:rFonts w:ascii="RN House Sans Regular" w:hAnsi="RN House Sans Regular"/>
          <w:sz w:val="20"/>
        </w:rPr>
        <w:t xml:space="preserve"> until sold.  </w:t>
      </w:r>
      <w:r w:rsidR="007B7C60">
        <w:rPr>
          <w:rFonts w:ascii="RN House Sans Regular" w:hAnsi="RN House Sans Regular"/>
          <w:sz w:val="20"/>
        </w:rPr>
        <w:t>T</w:t>
      </w:r>
      <w:r w:rsidR="00FC3FE3" w:rsidRPr="00013FBF">
        <w:rPr>
          <w:rFonts w:ascii="RN House Sans Regular" w:hAnsi="RN House Sans Regular"/>
          <w:sz w:val="20"/>
        </w:rPr>
        <w:t>he SABB shares are subject to a 6 month lock up period</w:t>
      </w:r>
      <w:r w:rsidR="004D2C52" w:rsidRPr="00013FBF">
        <w:rPr>
          <w:rFonts w:ascii="RN House Sans Regular" w:hAnsi="RN House Sans Regular"/>
          <w:sz w:val="20"/>
        </w:rPr>
        <w:t xml:space="preserve"> for sale outside RBS</w:t>
      </w:r>
      <w:r w:rsidR="00FC3FE3" w:rsidRPr="00013FBF">
        <w:rPr>
          <w:rFonts w:ascii="RN House Sans Regular" w:hAnsi="RN House Sans Regular"/>
          <w:sz w:val="20"/>
        </w:rPr>
        <w:t>.</w:t>
      </w:r>
      <w:r w:rsidR="007B7C60">
        <w:rPr>
          <w:rFonts w:ascii="RN House Sans Regular" w:hAnsi="RN House Sans Regular"/>
          <w:sz w:val="20"/>
        </w:rPr>
        <w:t xml:space="preserve">  T</w:t>
      </w:r>
      <w:r w:rsidR="004D2C52" w:rsidRPr="00013FBF">
        <w:rPr>
          <w:rFonts w:ascii="RN House Sans Regular" w:hAnsi="RN House Sans Regular"/>
          <w:sz w:val="20"/>
        </w:rPr>
        <w:t xml:space="preserve">he investment will give rise to </w:t>
      </w:r>
      <w:r w:rsidR="00CA4E15">
        <w:rPr>
          <w:rFonts w:ascii="RN House Sans Regular" w:hAnsi="RN House Sans Regular"/>
          <w:sz w:val="20"/>
        </w:rPr>
        <w:t>RWA</w:t>
      </w:r>
      <w:r w:rsidR="009A51EE">
        <w:rPr>
          <w:rFonts w:ascii="RN House Sans Regular" w:hAnsi="RN House Sans Regular"/>
          <w:sz w:val="20"/>
        </w:rPr>
        <w:t xml:space="preserve"> of £</w:t>
      </w:r>
      <w:r w:rsidR="00471909" w:rsidRPr="003C55CF">
        <w:rPr>
          <w:rFonts w:ascii="RN House Sans Regular" w:hAnsi="RN House Sans Regular"/>
          <w:sz w:val="20"/>
        </w:rPr>
        <w:t>0.4</w:t>
      </w:r>
      <w:r w:rsidR="009A51EE">
        <w:rPr>
          <w:rFonts w:ascii="RN House Sans Regular" w:hAnsi="RN House Sans Regular"/>
          <w:sz w:val="20"/>
        </w:rPr>
        <w:t xml:space="preserve">bn, </w:t>
      </w:r>
      <w:r w:rsidR="00580C13">
        <w:rPr>
          <w:rFonts w:ascii="RN House Sans Regular" w:hAnsi="RN House Sans Regular"/>
          <w:sz w:val="20"/>
        </w:rPr>
        <w:t>as well as a capital deduction for non-significant investments</w:t>
      </w:r>
      <w:r w:rsidR="009A51EE">
        <w:rPr>
          <w:rFonts w:ascii="RN House Sans Regular" w:hAnsi="RN House Sans Regular"/>
          <w:sz w:val="20"/>
        </w:rPr>
        <w:t xml:space="preserve">. </w:t>
      </w:r>
    </w:p>
    <w:p w:rsidR="00C50F2D" w:rsidRDefault="00C50F2D" w:rsidP="00013FBF">
      <w:pPr>
        <w:rPr>
          <w:rFonts w:ascii="RN House Sans Regular" w:hAnsi="RN House Sans Regular"/>
          <w:sz w:val="20"/>
        </w:rPr>
      </w:pPr>
    </w:p>
    <w:p w:rsidR="00825D34" w:rsidRDefault="002A3BCF" w:rsidP="00013FBF">
      <w:pPr>
        <w:rPr>
          <w:rFonts w:ascii="RN House Sans Regular" w:hAnsi="RN House Sans Regular"/>
          <w:sz w:val="20"/>
        </w:rPr>
      </w:pPr>
      <w:r>
        <w:rPr>
          <w:rFonts w:ascii="RN House Sans Regular" w:hAnsi="RN House Sans Regular"/>
          <w:sz w:val="20"/>
        </w:rPr>
        <w:t xml:space="preserve">Ownership of </w:t>
      </w:r>
      <w:r w:rsidR="00825D34">
        <w:rPr>
          <w:rFonts w:ascii="RN House Sans Regular" w:hAnsi="RN House Sans Regular"/>
          <w:sz w:val="20"/>
        </w:rPr>
        <w:t xml:space="preserve">NWM NV is expected to transfer under NWM Plc in H2 2019, subject to regulatory approval. </w:t>
      </w:r>
    </w:p>
    <w:p w:rsidR="00825D34" w:rsidRDefault="00825D34" w:rsidP="000D6C09">
      <w:pPr>
        <w:rPr>
          <w:rFonts w:ascii="RN House Sans Regular" w:hAnsi="RN House Sans Regular"/>
          <w:sz w:val="20"/>
          <w:u w:val="single"/>
        </w:rPr>
      </w:pPr>
    </w:p>
    <w:p w:rsidR="000D6C09" w:rsidRPr="00013FBF" w:rsidRDefault="000D6C09" w:rsidP="000D6C09">
      <w:pPr>
        <w:rPr>
          <w:rFonts w:ascii="RN House Sans Regular" w:hAnsi="RN House Sans Regular"/>
          <w:sz w:val="20"/>
          <w:u w:val="single"/>
        </w:rPr>
      </w:pPr>
      <w:r w:rsidRPr="00013FBF">
        <w:rPr>
          <w:rFonts w:ascii="RN House Sans Regular" w:hAnsi="RN House Sans Regular"/>
          <w:sz w:val="20"/>
          <w:u w:val="single"/>
        </w:rPr>
        <w:t xml:space="preserve">Impact </w:t>
      </w:r>
      <w:r>
        <w:rPr>
          <w:rFonts w:ascii="RN House Sans Regular" w:hAnsi="RN House Sans Regular"/>
          <w:sz w:val="20"/>
          <w:u w:val="single"/>
        </w:rPr>
        <w:t xml:space="preserve">of the Merger </w:t>
      </w:r>
      <w:r w:rsidRPr="00013FBF">
        <w:rPr>
          <w:rFonts w:ascii="RN House Sans Regular" w:hAnsi="RN House Sans Regular"/>
          <w:sz w:val="20"/>
          <w:u w:val="single"/>
        </w:rPr>
        <w:t xml:space="preserve">on NWM </w:t>
      </w:r>
      <w:r>
        <w:rPr>
          <w:rFonts w:ascii="RN House Sans Regular" w:hAnsi="RN House Sans Regular"/>
          <w:sz w:val="20"/>
          <w:u w:val="single"/>
        </w:rPr>
        <w:t xml:space="preserve">NV </w:t>
      </w:r>
    </w:p>
    <w:p w:rsidR="006453B2" w:rsidRPr="009D5FF6" w:rsidRDefault="006453B2" w:rsidP="006453B2">
      <w:pPr>
        <w:rPr>
          <w:rFonts w:ascii="RN House Sans Regular" w:hAnsi="RN House Sans Regular"/>
          <w:sz w:val="20"/>
        </w:rPr>
      </w:pPr>
      <w:r w:rsidRPr="009D5FF6">
        <w:rPr>
          <w:rFonts w:ascii="RN House Sans Regular" w:hAnsi="RN House Sans Regular"/>
          <w:sz w:val="20"/>
        </w:rPr>
        <w:t xml:space="preserve">In addition to the impacts noted in </w:t>
      </w:r>
      <w:r w:rsidR="00A76FF9">
        <w:rPr>
          <w:rFonts w:ascii="RN House Sans Regular" w:hAnsi="RN House Sans Regular"/>
          <w:sz w:val="20"/>
        </w:rPr>
        <w:t>T</w:t>
      </w:r>
      <w:r w:rsidRPr="009D5FF6">
        <w:rPr>
          <w:rFonts w:ascii="RN House Sans Regular" w:hAnsi="RN House Sans Regular"/>
          <w:sz w:val="20"/>
        </w:rPr>
        <w:t>able</w:t>
      </w:r>
      <w:r w:rsidR="00F1480F">
        <w:rPr>
          <w:rFonts w:ascii="RN House Sans Regular" w:hAnsi="RN House Sans Regular"/>
          <w:sz w:val="20"/>
        </w:rPr>
        <w:t>s</w:t>
      </w:r>
      <w:r w:rsidRPr="009D5FF6">
        <w:rPr>
          <w:rFonts w:ascii="RN House Sans Regular" w:hAnsi="RN House Sans Regular"/>
          <w:sz w:val="20"/>
        </w:rPr>
        <w:t xml:space="preserve"> 1</w:t>
      </w:r>
      <w:r w:rsidR="00F1480F">
        <w:rPr>
          <w:rFonts w:ascii="RN House Sans Regular" w:hAnsi="RN House Sans Regular"/>
          <w:sz w:val="20"/>
        </w:rPr>
        <w:t xml:space="preserve"> and 2</w:t>
      </w:r>
      <w:r w:rsidR="00825D34">
        <w:rPr>
          <w:rFonts w:ascii="RN House Sans Regular" w:hAnsi="RN House Sans Regular"/>
          <w:sz w:val="20"/>
        </w:rPr>
        <w:t>, above,</w:t>
      </w:r>
      <w:r w:rsidRPr="009D5FF6">
        <w:rPr>
          <w:rFonts w:ascii="RN House Sans Regular" w:hAnsi="RN House Sans Regular"/>
          <w:sz w:val="20"/>
        </w:rPr>
        <w:t xml:space="preserve"> NWM NV</w:t>
      </w:r>
      <w:r>
        <w:rPr>
          <w:rFonts w:ascii="RN House Sans Regular" w:hAnsi="RN House Sans Regular"/>
          <w:sz w:val="20"/>
        </w:rPr>
        <w:t xml:space="preserve"> will make </w:t>
      </w:r>
      <w:r w:rsidRPr="009D5FF6">
        <w:rPr>
          <w:rFonts w:ascii="RN House Sans Regular" w:hAnsi="RN House Sans Regular"/>
          <w:sz w:val="20"/>
        </w:rPr>
        <w:t xml:space="preserve">capital distributions to NLFI and Santander and </w:t>
      </w:r>
      <w:r>
        <w:rPr>
          <w:rFonts w:ascii="RN House Sans Regular" w:hAnsi="RN House Sans Regular"/>
          <w:sz w:val="20"/>
        </w:rPr>
        <w:t xml:space="preserve">will </w:t>
      </w:r>
      <w:r w:rsidRPr="009D5FF6">
        <w:rPr>
          <w:rFonts w:ascii="RN House Sans Regular" w:hAnsi="RN House Sans Regular"/>
          <w:sz w:val="20"/>
        </w:rPr>
        <w:t>replace</w:t>
      </w:r>
      <w:r w:rsidR="00F1480F">
        <w:rPr>
          <w:rFonts w:ascii="RN House Sans Regular" w:hAnsi="RN House Sans Regular"/>
          <w:sz w:val="20"/>
        </w:rPr>
        <w:t xml:space="preserve"> this with</w:t>
      </w:r>
      <w:r w:rsidRPr="009D5FF6">
        <w:rPr>
          <w:rFonts w:ascii="RN House Sans Regular" w:hAnsi="RN House Sans Regular"/>
          <w:sz w:val="20"/>
        </w:rPr>
        <w:t xml:space="preserve"> internal capital issuance to RBS entities in June 2019. The impact of the </w:t>
      </w:r>
      <w:r w:rsidR="000D6C09">
        <w:rPr>
          <w:rFonts w:ascii="RN House Sans Regular" w:hAnsi="RN House Sans Regular"/>
          <w:sz w:val="20"/>
        </w:rPr>
        <w:t xml:space="preserve">RWA reduction </w:t>
      </w:r>
      <w:r w:rsidRPr="009D5FF6">
        <w:rPr>
          <w:rFonts w:ascii="RN House Sans Regular" w:hAnsi="RN House Sans Regular"/>
          <w:sz w:val="20"/>
        </w:rPr>
        <w:t xml:space="preserve">is expected to </w:t>
      </w:r>
      <w:r>
        <w:rPr>
          <w:rFonts w:ascii="RN House Sans Regular" w:hAnsi="RN House Sans Regular"/>
          <w:sz w:val="20"/>
        </w:rPr>
        <w:t xml:space="preserve">improve </w:t>
      </w:r>
      <w:r w:rsidRPr="009D5FF6">
        <w:rPr>
          <w:rFonts w:ascii="RN House Sans Regular" w:hAnsi="RN House Sans Regular"/>
          <w:sz w:val="20"/>
        </w:rPr>
        <w:t xml:space="preserve">NWM NV’s capital ratios in H1 2019. </w:t>
      </w:r>
    </w:p>
    <w:p w:rsidR="006453B2" w:rsidRDefault="006453B2" w:rsidP="00013FBF">
      <w:pPr>
        <w:rPr>
          <w:rFonts w:ascii="RN House Sans Regular" w:hAnsi="RN House Sans Regular"/>
          <w:sz w:val="20"/>
        </w:rPr>
      </w:pPr>
    </w:p>
    <w:p w:rsidR="003D7CDE" w:rsidRPr="00013FBF" w:rsidRDefault="003D7CDE" w:rsidP="003D7CDE">
      <w:pPr>
        <w:rPr>
          <w:rFonts w:ascii="RN House Sans Regular" w:hAnsi="RN House Sans Regular"/>
          <w:sz w:val="20"/>
        </w:rPr>
      </w:pPr>
      <w:r w:rsidRPr="00013FBF">
        <w:rPr>
          <w:rFonts w:ascii="RN House Sans Regular" w:hAnsi="RN House Sans Regular"/>
          <w:sz w:val="20"/>
        </w:rPr>
        <w:t xml:space="preserve">Each of RBS, NWM </w:t>
      </w:r>
      <w:r w:rsidR="009441CE" w:rsidRPr="00013FBF">
        <w:rPr>
          <w:rFonts w:ascii="RN House Sans Regular" w:hAnsi="RN House Sans Regular"/>
          <w:sz w:val="20"/>
        </w:rPr>
        <w:t xml:space="preserve">Plc </w:t>
      </w:r>
      <w:r w:rsidRPr="00013FBF">
        <w:rPr>
          <w:rFonts w:ascii="RN House Sans Regular" w:hAnsi="RN House Sans Regular"/>
          <w:sz w:val="20"/>
        </w:rPr>
        <w:t>an</w:t>
      </w:r>
      <w:r w:rsidR="004B131A" w:rsidRPr="00013FBF">
        <w:rPr>
          <w:rFonts w:ascii="RN House Sans Regular" w:hAnsi="RN House Sans Regular"/>
          <w:sz w:val="20"/>
        </w:rPr>
        <w:t>d</w:t>
      </w:r>
      <w:r w:rsidRPr="00013FBF">
        <w:rPr>
          <w:rFonts w:ascii="RN House Sans Regular" w:hAnsi="RN House Sans Regular"/>
          <w:sz w:val="20"/>
        </w:rPr>
        <w:t xml:space="preserve"> NWM NV will publish their H1 2019 accounts on 2 August</w:t>
      </w:r>
      <w:r w:rsidR="00133FD1" w:rsidRPr="00013FBF">
        <w:rPr>
          <w:rFonts w:ascii="RN House Sans Regular" w:hAnsi="RN House Sans Regular"/>
          <w:sz w:val="20"/>
        </w:rPr>
        <w:t xml:space="preserve"> 2019</w:t>
      </w:r>
      <w:r w:rsidRPr="00013FBF">
        <w:rPr>
          <w:rFonts w:ascii="RN House Sans Regular" w:hAnsi="RN House Sans Regular"/>
          <w:sz w:val="20"/>
        </w:rPr>
        <w:t>.</w:t>
      </w:r>
      <w:r w:rsidRPr="00013FBF">
        <w:rPr>
          <w:rFonts w:ascii="Arial" w:hAnsi="Arial" w:cs="Arial"/>
          <w:sz w:val="20"/>
        </w:rPr>
        <w:t> </w:t>
      </w:r>
    </w:p>
    <w:p w:rsidR="003D7CDE" w:rsidRDefault="003D7CDE">
      <w:pPr>
        <w:rPr>
          <w:rFonts w:ascii="RN House Sans Regular" w:hAnsi="RN House Sans Regular"/>
          <w:sz w:val="20"/>
        </w:rPr>
      </w:pPr>
    </w:p>
    <w:p w:rsidR="00C76BFB" w:rsidRDefault="00C76BFB">
      <w:pPr>
        <w:rPr>
          <w:rFonts w:ascii="RN House Sans Regular" w:hAnsi="RN House Sans Regular"/>
          <w:sz w:val="20"/>
        </w:rPr>
      </w:pPr>
    </w:p>
    <w:p w:rsidR="00BE6FCB" w:rsidRDefault="00BE6FCB">
      <w:pPr>
        <w:rPr>
          <w:rFonts w:ascii="RN House Sans Regular" w:hAnsi="RN House Sans Regular"/>
          <w:sz w:val="20"/>
        </w:rPr>
      </w:pPr>
      <w:r>
        <w:rPr>
          <w:rFonts w:ascii="RN House Sans Regular" w:hAnsi="RN House Sans Regular"/>
          <w:sz w:val="20"/>
        </w:rPr>
        <w:t>For further information, please contact:</w:t>
      </w:r>
    </w:p>
    <w:p w:rsidR="00BE6FCB" w:rsidRPr="00013FBF" w:rsidRDefault="00BE6FCB">
      <w:pPr>
        <w:rPr>
          <w:rFonts w:ascii="RN House Sans Regular" w:hAnsi="RN House Sans Regular"/>
          <w:sz w:val="20"/>
        </w:rPr>
      </w:pPr>
    </w:p>
    <w:p w:rsidR="003D7CDE" w:rsidRPr="00013FBF" w:rsidRDefault="003D7CDE" w:rsidP="003D7CDE">
      <w:pPr>
        <w:rPr>
          <w:rFonts w:ascii="RN House Sans Regular" w:hAnsi="RN House Sans Regular"/>
          <w:b/>
          <w:sz w:val="20"/>
        </w:rPr>
      </w:pPr>
      <w:r w:rsidRPr="00013FBF">
        <w:rPr>
          <w:rFonts w:ascii="RN House Sans Regular" w:hAnsi="RN House Sans Regular"/>
          <w:b/>
          <w:sz w:val="20"/>
        </w:rPr>
        <w:t xml:space="preserve">Investor Relations </w:t>
      </w:r>
    </w:p>
    <w:p w:rsidR="003D7CDE" w:rsidRPr="00013FBF" w:rsidRDefault="003D7CDE" w:rsidP="003D7CDE">
      <w:pPr>
        <w:rPr>
          <w:rFonts w:ascii="RN House Sans Regular" w:hAnsi="RN House Sans Regular"/>
          <w:sz w:val="20"/>
        </w:rPr>
      </w:pPr>
      <w:r w:rsidRPr="00013FBF">
        <w:rPr>
          <w:rFonts w:ascii="RN House Sans Regular" w:hAnsi="RN House Sans Regular"/>
          <w:sz w:val="20"/>
        </w:rPr>
        <w:t>Alexander Holcroft</w:t>
      </w:r>
    </w:p>
    <w:p w:rsidR="003D7CDE" w:rsidRPr="00013FBF" w:rsidRDefault="003D7CDE" w:rsidP="003D7CDE">
      <w:pPr>
        <w:rPr>
          <w:rFonts w:ascii="RN House Sans Regular" w:hAnsi="RN House Sans Regular"/>
          <w:sz w:val="20"/>
        </w:rPr>
      </w:pPr>
      <w:r w:rsidRPr="00013FBF">
        <w:rPr>
          <w:rFonts w:ascii="RN House Sans Regular" w:hAnsi="RN House Sans Regular"/>
          <w:sz w:val="20"/>
        </w:rPr>
        <w:t>Head of Investor Relations</w:t>
      </w:r>
    </w:p>
    <w:p w:rsidR="003D7CDE" w:rsidRPr="00013FBF" w:rsidRDefault="003D7CDE" w:rsidP="003D7CDE">
      <w:pPr>
        <w:rPr>
          <w:rFonts w:ascii="RN House Sans Regular" w:hAnsi="RN House Sans Regular"/>
          <w:sz w:val="20"/>
        </w:rPr>
      </w:pPr>
      <w:r w:rsidRPr="00013FBF">
        <w:rPr>
          <w:rFonts w:ascii="RN House Sans Regular" w:hAnsi="RN House Sans Regular"/>
          <w:sz w:val="20"/>
        </w:rPr>
        <w:t>+44 (0) 207 672 1758</w:t>
      </w:r>
    </w:p>
    <w:p w:rsidR="003D7CDE" w:rsidRPr="00013FBF" w:rsidRDefault="003D7CDE" w:rsidP="003D7CDE">
      <w:pPr>
        <w:rPr>
          <w:rFonts w:ascii="RN House Sans Regular" w:hAnsi="RN House Sans Regular"/>
          <w:sz w:val="20"/>
        </w:rPr>
      </w:pPr>
      <w:r w:rsidRPr="00013FBF">
        <w:rPr>
          <w:rFonts w:ascii="Arial" w:hAnsi="Arial" w:cs="Arial"/>
          <w:sz w:val="20"/>
        </w:rPr>
        <w:t> </w:t>
      </w:r>
    </w:p>
    <w:p w:rsidR="003D7CDE" w:rsidRPr="00013FBF" w:rsidRDefault="003D7CDE" w:rsidP="003D7CDE">
      <w:pPr>
        <w:rPr>
          <w:rFonts w:ascii="RN House Sans Regular" w:hAnsi="RN House Sans Regular"/>
          <w:b/>
          <w:sz w:val="20"/>
        </w:rPr>
      </w:pPr>
      <w:r w:rsidRPr="00013FBF">
        <w:rPr>
          <w:rFonts w:ascii="RN House Sans Regular" w:hAnsi="RN House Sans Regular"/>
          <w:b/>
          <w:sz w:val="20"/>
        </w:rPr>
        <w:t>RBS Media Relations</w:t>
      </w:r>
    </w:p>
    <w:p w:rsidR="003D7CDE" w:rsidRPr="00013FBF" w:rsidRDefault="003D7CDE" w:rsidP="003D7CDE">
      <w:pPr>
        <w:rPr>
          <w:rFonts w:ascii="RN House Sans Regular" w:hAnsi="RN House Sans Regular"/>
          <w:sz w:val="20"/>
        </w:rPr>
      </w:pPr>
      <w:r w:rsidRPr="00013FBF">
        <w:rPr>
          <w:rFonts w:ascii="RN House Sans Regular" w:hAnsi="RN House Sans Regular"/>
          <w:sz w:val="20"/>
        </w:rPr>
        <w:t>+44 (0) 131 523 4205</w:t>
      </w:r>
    </w:p>
    <w:p w:rsidR="003D7CDE" w:rsidRPr="00013FBF" w:rsidRDefault="003D7CDE">
      <w:pPr>
        <w:rPr>
          <w:rFonts w:ascii="RN House Sans Regular" w:hAnsi="RN House Sans Regular"/>
          <w:sz w:val="20"/>
        </w:rPr>
      </w:pPr>
    </w:p>
    <w:p w:rsidR="003D7CDE" w:rsidRPr="00013FBF" w:rsidRDefault="003D7CDE">
      <w:pPr>
        <w:rPr>
          <w:rFonts w:ascii="RN House Sans Regular" w:hAnsi="RN House Sans Regular"/>
          <w:sz w:val="20"/>
        </w:rPr>
      </w:pPr>
    </w:p>
    <w:p w:rsidR="003D7CDE" w:rsidRPr="00013FBF" w:rsidRDefault="003D7CDE" w:rsidP="003D7CDE">
      <w:pPr>
        <w:rPr>
          <w:rFonts w:ascii="RN House Sans Regular" w:hAnsi="RN House Sans Regular"/>
          <w:b/>
          <w:sz w:val="20"/>
        </w:rPr>
      </w:pPr>
      <w:r w:rsidRPr="00013FBF">
        <w:rPr>
          <w:rFonts w:ascii="RN House Sans Regular" w:hAnsi="RN House Sans Regular"/>
          <w:b/>
          <w:sz w:val="20"/>
        </w:rPr>
        <w:t>Forward-looking statements</w:t>
      </w:r>
    </w:p>
    <w:p w:rsidR="003D7CDE" w:rsidRPr="00013FBF" w:rsidRDefault="007952C5" w:rsidP="003D7CDE">
      <w:pPr>
        <w:rPr>
          <w:rFonts w:ascii="RN House Sans Regular" w:hAnsi="RN House Sans Regular"/>
          <w:sz w:val="20"/>
        </w:rPr>
      </w:pPr>
      <w:r w:rsidRPr="00013FBF">
        <w:rPr>
          <w:rFonts w:ascii="RN House Sans Regular" w:hAnsi="RN House Sans Regular" w:cs="Arial"/>
          <w:color w:val="333333"/>
          <w:sz w:val="20"/>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013FBF">
        <w:rPr>
          <w:rFonts w:ascii="RN House Sans Regular" w:hAnsi="RN House Sans Regular" w:cs="Arial"/>
          <w:color w:val="333333"/>
          <w:sz w:val="20"/>
        </w:rPr>
        <w:t>VaR</w:t>
      </w:r>
      <w:proofErr w:type="spellEnd"/>
      <w:r w:rsidRPr="00013FBF">
        <w:rPr>
          <w:rFonts w:ascii="RN House Sans Regular" w:hAnsi="RN House Sans Regular" w:cs="Arial"/>
          <w:color w:val="333333"/>
          <w:sz w:val="20"/>
        </w:rPr>
        <w:t>)', 'target', 'goal', 'objective', 'may', 'endeavour', 'outlook', 'optimistic', 'prospects' and similar expressions or variations on these expressions. These statements concern or may affect future matters, such as RBS</w:t>
      </w:r>
      <w:r w:rsidR="000D149A" w:rsidRPr="00013FBF">
        <w:rPr>
          <w:rFonts w:ascii="RN House Sans Regular" w:hAnsi="RN House Sans Regular" w:cs="Arial"/>
          <w:color w:val="333333"/>
          <w:sz w:val="20"/>
        </w:rPr>
        <w:t>,</w:t>
      </w:r>
      <w:r w:rsidRPr="00013FBF">
        <w:rPr>
          <w:rFonts w:ascii="RN House Sans Regular" w:hAnsi="RN House Sans Regular" w:cs="Arial"/>
          <w:color w:val="333333"/>
          <w:sz w:val="20"/>
        </w:rPr>
        <w:t xml:space="preserve"> NWM</w:t>
      </w:r>
      <w:r w:rsidR="00F10A4E" w:rsidRPr="00013FBF">
        <w:rPr>
          <w:rFonts w:ascii="RN House Sans Regular" w:hAnsi="RN House Sans Regular" w:cs="Arial"/>
          <w:color w:val="333333"/>
          <w:sz w:val="20"/>
        </w:rPr>
        <w:t xml:space="preserve"> Plc or NWM NV</w:t>
      </w:r>
      <w:r w:rsidRPr="00013FBF">
        <w:rPr>
          <w:rFonts w:ascii="RN House Sans Regular" w:hAnsi="RN House Sans Regular" w:cs="Arial"/>
          <w:color w:val="333333"/>
          <w:sz w:val="20"/>
        </w:rPr>
        <w:t>'s future economic results, business plans and current strategies.</w:t>
      </w:r>
      <w:r w:rsidRPr="00013FBF">
        <w:rPr>
          <w:rFonts w:ascii="Arial" w:hAnsi="Arial" w:cs="Arial"/>
          <w:color w:val="333333"/>
          <w:sz w:val="20"/>
        </w:rPr>
        <w:t> </w:t>
      </w:r>
      <w:r w:rsidRPr="00013FBF">
        <w:rPr>
          <w:rFonts w:ascii="RN House Sans Regular" w:hAnsi="RN House Sans Regular" w:cs="Arial"/>
          <w:color w:val="333333"/>
          <w:sz w:val="20"/>
        </w:rPr>
        <w:t xml:space="preserve"> In particular, this document may include forward-looking statements relating to RBS</w:t>
      </w:r>
      <w:r w:rsidR="00F10A4E" w:rsidRPr="00013FBF">
        <w:rPr>
          <w:rFonts w:ascii="RN House Sans Regular" w:hAnsi="RN House Sans Regular" w:cs="Arial"/>
          <w:color w:val="333333"/>
          <w:sz w:val="20"/>
        </w:rPr>
        <w:t>,</w:t>
      </w:r>
      <w:r w:rsidRPr="00013FBF">
        <w:rPr>
          <w:rFonts w:ascii="RN House Sans Regular" w:hAnsi="RN House Sans Regular" w:cs="Arial"/>
          <w:color w:val="333333"/>
          <w:sz w:val="20"/>
        </w:rPr>
        <w:t xml:space="preserve"> NWM</w:t>
      </w:r>
      <w:r w:rsidR="00F10A4E" w:rsidRPr="00013FBF">
        <w:rPr>
          <w:rFonts w:ascii="RN House Sans Regular" w:hAnsi="RN House Sans Regular" w:cs="Arial"/>
          <w:color w:val="333333"/>
          <w:sz w:val="20"/>
        </w:rPr>
        <w:t xml:space="preserve"> Plc or NWM NV</w:t>
      </w:r>
      <w:r w:rsidRPr="00013FBF">
        <w:rPr>
          <w:rFonts w:ascii="RN House Sans Regular" w:hAnsi="RN House Sans Regular" w:cs="Arial"/>
          <w:color w:val="333333"/>
          <w:sz w:val="20"/>
        </w:rPr>
        <w:t xml:space="preserve"> in respect of, but not limited to their respective: regulatory capital positions and related requirements, financial positions, profitability and financial performance (including financial, capital and operational targets), access to adequate sources of liquidity and funding, increasing competition from new incumbents and</w:t>
      </w:r>
      <w:r w:rsidRPr="00013FBF">
        <w:rPr>
          <w:rFonts w:ascii="Arial" w:hAnsi="Arial" w:cs="Arial"/>
          <w:color w:val="333333"/>
          <w:sz w:val="20"/>
        </w:rPr>
        <w:t> </w:t>
      </w:r>
      <w:r w:rsidRPr="00013FBF">
        <w:rPr>
          <w:rFonts w:ascii="RN House Sans Regular" w:hAnsi="RN House Sans Regular" w:cs="Arial"/>
          <w:color w:val="333333"/>
          <w:sz w:val="20"/>
        </w:rPr>
        <w:t xml:space="preserve"> disruptive technologies, impairment losses and credit exposures under certain specified scenarios, substantial regulation and oversight, ongoing legal, regulatory and governmental actions and investigations, LIBOR, EURIBOR and other benchmark reform and exposure to economic and political risks (including with respect to Brexit and climate change), operational risk, conduct risk, cyber and IT risk and </w:t>
      </w:r>
      <w:r w:rsidRPr="00013FBF">
        <w:rPr>
          <w:rFonts w:ascii="RN House Sans Regular" w:hAnsi="RN House Sans Regular" w:cs="Arial"/>
          <w:color w:val="333333"/>
          <w:sz w:val="20"/>
        </w:rPr>
        <w:lastRenderedPageBreak/>
        <w:t>credit rating risk.</w:t>
      </w:r>
      <w:r w:rsidRPr="00013FBF">
        <w:rPr>
          <w:rFonts w:ascii="Arial" w:hAnsi="Arial" w:cs="Arial"/>
          <w:color w:val="333333"/>
          <w:sz w:val="20"/>
        </w:rPr>
        <w:t> </w:t>
      </w:r>
      <w:r w:rsidRPr="00013FBF">
        <w:rPr>
          <w:rFonts w:ascii="RN House Sans Regular" w:hAnsi="RN House Sans Regular" w:cs="Arial"/>
          <w:color w:val="333333"/>
          <w:sz w:val="20"/>
        </w:rPr>
        <w:t xml:space="preserve">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w:t>
      </w:r>
      <w:r w:rsidR="00F10A4E" w:rsidRPr="00013FBF">
        <w:rPr>
          <w:rFonts w:ascii="RN House Sans Regular" w:hAnsi="RN House Sans Regular" w:cs="Arial"/>
          <w:color w:val="333333"/>
          <w:sz w:val="20"/>
        </w:rPr>
        <w:t xml:space="preserve">, </w:t>
      </w:r>
      <w:r w:rsidRPr="00013FBF">
        <w:rPr>
          <w:rFonts w:ascii="RN House Sans Regular" w:hAnsi="RN House Sans Regular" w:cs="Arial"/>
          <w:color w:val="333333"/>
          <w:sz w:val="20"/>
        </w:rPr>
        <w:t>NWM</w:t>
      </w:r>
      <w:r w:rsidR="00F10A4E" w:rsidRPr="00013FBF">
        <w:rPr>
          <w:rFonts w:ascii="RN House Sans Regular" w:hAnsi="RN House Sans Regular" w:cs="Arial"/>
          <w:color w:val="333333"/>
          <w:sz w:val="20"/>
        </w:rPr>
        <w:t xml:space="preserve"> Plc and NWM NV</w:t>
      </w:r>
      <w:r w:rsidRPr="00013FBF">
        <w:rPr>
          <w:rFonts w:ascii="RN House Sans Regular" w:hAnsi="RN House Sans Regular" w:cs="Arial"/>
          <w:color w:val="333333"/>
          <w:sz w:val="20"/>
        </w:rPr>
        <w:t>'s actual results are discussed in NWM</w:t>
      </w:r>
      <w:r w:rsidR="00F10A4E" w:rsidRPr="00013FBF">
        <w:rPr>
          <w:rFonts w:ascii="RN House Sans Regular" w:hAnsi="RN House Sans Regular" w:cs="Arial"/>
          <w:color w:val="333333"/>
          <w:sz w:val="20"/>
        </w:rPr>
        <w:t xml:space="preserve"> Plc</w:t>
      </w:r>
      <w:r w:rsidRPr="00013FBF">
        <w:rPr>
          <w:rFonts w:ascii="RN House Sans Regular" w:hAnsi="RN House Sans Regular" w:cs="Arial"/>
          <w:color w:val="333333"/>
          <w:sz w:val="20"/>
        </w:rPr>
        <w:t>'s 2018 Annual Report and Accounts and other regulatory filings,</w:t>
      </w:r>
      <w:r w:rsidR="00F10A4E" w:rsidRPr="00013FBF">
        <w:rPr>
          <w:rFonts w:ascii="RN House Sans Regular" w:hAnsi="RN House Sans Regular" w:cs="Arial"/>
          <w:color w:val="333333"/>
          <w:sz w:val="20"/>
        </w:rPr>
        <w:t xml:space="preserve"> NWM NV’s 2018 Annual Report and Accounts and other regulatory filings</w:t>
      </w:r>
      <w:r w:rsidR="000D149A" w:rsidRPr="00013FBF">
        <w:rPr>
          <w:rFonts w:ascii="RN House Sans Regular" w:hAnsi="RN House Sans Regular" w:cs="Arial"/>
          <w:color w:val="333333"/>
          <w:sz w:val="20"/>
        </w:rPr>
        <w:t>,</w:t>
      </w:r>
      <w:r w:rsidR="00F10A4E" w:rsidRPr="00013FBF">
        <w:rPr>
          <w:rFonts w:ascii="RN House Sans Regular" w:hAnsi="RN House Sans Regular" w:cs="Arial"/>
          <w:color w:val="333333"/>
          <w:sz w:val="20"/>
        </w:rPr>
        <w:t xml:space="preserve"> and</w:t>
      </w:r>
      <w:r w:rsidRPr="00013FBF">
        <w:rPr>
          <w:rFonts w:ascii="RN House Sans Regular" w:hAnsi="RN House Sans Regular" w:cs="Arial"/>
          <w:color w:val="333333"/>
          <w:sz w:val="20"/>
        </w:rPr>
        <w:t xml:space="preserve"> RBS's</w:t>
      </w:r>
      <w:r w:rsidR="00F334BD" w:rsidRPr="00013FBF">
        <w:rPr>
          <w:rFonts w:ascii="RN House Sans Regular" w:hAnsi="RN House Sans Regular" w:cs="Arial"/>
          <w:color w:val="333333"/>
          <w:sz w:val="20"/>
        </w:rPr>
        <w:t xml:space="preserve"> UK</w:t>
      </w:r>
      <w:r w:rsidRPr="00013FBF">
        <w:rPr>
          <w:rFonts w:ascii="Arial" w:hAnsi="Arial" w:cs="Arial"/>
          <w:color w:val="333333"/>
          <w:sz w:val="20"/>
        </w:rPr>
        <w:t> </w:t>
      </w:r>
      <w:r w:rsidRPr="00013FBF">
        <w:rPr>
          <w:rFonts w:ascii="RN House Sans Regular" w:hAnsi="RN House Sans Regular" w:cs="Arial"/>
          <w:color w:val="333333"/>
          <w:sz w:val="20"/>
        </w:rPr>
        <w:t>2018 Annual Report and Accounts and materials filed by RBS with, or furnished to, the US Securities and Exchange Commission, including, but not limited to, RBS's most recent Annual Report on Form 20-F and Reports on Form 6-K. The forward-looking statements contained in this document speak only as of the</w:t>
      </w:r>
      <w:r w:rsidR="000D149A" w:rsidRPr="00013FBF">
        <w:rPr>
          <w:rFonts w:ascii="RN House Sans Regular" w:hAnsi="RN House Sans Regular" w:cs="Arial"/>
          <w:color w:val="333333"/>
          <w:sz w:val="20"/>
        </w:rPr>
        <w:t xml:space="preserve"> date of this document and RBS</w:t>
      </w:r>
      <w:r w:rsidR="00F10A4E" w:rsidRPr="00013FBF">
        <w:rPr>
          <w:rFonts w:ascii="RN House Sans Regular" w:hAnsi="RN House Sans Regular" w:cs="Arial"/>
          <w:color w:val="333333"/>
          <w:sz w:val="20"/>
        </w:rPr>
        <w:t xml:space="preserve">, </w:t>
      </w:r>
      <w:r w:rsidRPr="00013FBF">
        <w:rPr>
          <w:rFonts w:ascii="RN House Sans Regular" w:hAnsi="RN House Sans Regular" w:cs="Arial"/>
          <w:color w:val="333333"/>
          <w:sz w:val="20"/>
        </w:rPr>
        <w:t>NWM</w:t>
      </w:r>
      <w:r w:rsidR="00F10A4E" w:rsidRPr="00013FBF">
        <w:rPr>
          <w:rFonts w:ascii="RN House Sans Regular" w:hAnsi="RN House Sans Regular" w:cs="Arial"/>
          <w:color w:val="333333"/>
          <w:sz w:val="20"/>
        </w:rPr>
        <w:t xml:space="preserve"> Plc and NWM NV</w:t>
      </w:r>
      <w:r w:rsidRPr="00013FBF">
        <w:rPr>
          <w:rFonts w:ascii="RN House Sans Regular" w:hAnsi="RN House Sans Regular" w:cs="Arial"/>
          <w:color w:val="333333"/>
          <w:sz w:val="20"/>
        </w:rPr>
        <w:t xml:space="preserve"> do not assume or undertake any obligation or responsibility to update any of the forward-looking statements contained in this document, whether as a result of new information, future events or otherwise, except to the extent legally required.</w:t>
      </w:r>
    </w:p>
    <w:p w:rsidR="003D7CDE" w:rsidRPr="00013FBF" w:rsidRDefault="003D7CDE" w:rsidP="003D7CDE">
      <w:pPr>
        <w:rPr>
          <w:rFonts w:ascii="RN House Sans Regular" w:hAnsi="RN House Sans Regular"/>
          <w:sz w:val="20"/>
        </w:rPr>
      </w:pPr>
      <w:r w:rsidRPr="00013FBF">
        <w:rPr>
          <w:rFonts w:ascii="Arial" w:hAnsi="Arial" w:cs="Arial"/>
          <w:sz w:val="20"/>
        </w:rPr>
        <w:t> </w:t>
      </w:r>
    </w:p>
    <w:p w:rsidR="003D7CDE" w:rsidRPr="00013FBF" w:rsidRDefault="003D7CDE" w:rsidP="003D7CDE">
      <w:pPr>
        <w:rPr>
          <w:rFonts w:ascii="RN House Sans Regular" w:hAnsi="RN House Sans Regular"/>
          <w:sz w:val="20"/>
        </w:rPr>
      </w:pPr>
      <w:r w:rsidRPr="00013FBF">
        <w:rPr>
          <w:rFonts w:ascii="Arial" w:hAnsi="Arial" w:cs="Arial"/>
          <w:sz w:val="20"/>
        </w:rPr>
        <w:t> </w:t>
      </w:r>
    </w:p>
    <w:tbl>
      <w:tblPr>
        <w:tblW w:w="6806" w:type="dxa"/>
        <w:tblCellSpacing w:w="0" w:type="dxa"/>
        <w:tblCellMar>
          <w:left w:w="0" w:type="dxa"/>
          <w:right w:w="0" w:type="dxa"/>
        </w:tblCellMar>
        <w:tblLook w:val="04A0" w:firstRow="1" w:lastRow="0" w:firstColumn="1" w:lastColumn="0" w:noHBand="0" w:noVBand="1"/>
      </w:tblPr>
      <w:tblGrid>
        <w:gridCol w:w="3973"/>
        <w:gridCol w:w="2833"/>
      </w:tblGrid>
      <w:tr w:rsidR="003D7CDE" w:rsidRPr="00013FBF" w:rsidTr="003D7CDE">
        <w:trPr>
          <w:trHeight w:val="318"/>
          <w:tblCellSpacing w:w="0" w:type="dxa"/>
        </w:trPr>
        <w:tc>
          <w:tcPr>
            <w:tcW w:w="0" w:type="auto"/>
            <w:hideMark/>
          </w:tcPr>
          <w:p w:rsidR="00AC4396" w:rsidRPr="00013FBF" w:rsidRDefault="003D7CDE" w:rsidP="003D7CDE">
            <w:pPr>
              <w:rPr>
                <w:rFonts w:ascii="RN House Sans Regular" w:hAnsi="RN House Sans Regular"/>
                <w:b/>
                <w:sz w:val="20"/>
              </w:rPr>
            </w:pPr>
            <w:r w:rsidRPr="00013FBF">
              <w:rPr>
                <w:rFonts w:ascii="RN House Sans Regular" w:hAnsi="RN House Sans Regular"/>
                <w:b/>
                <w:sz w:val="20"/>
              </w:rPr>
              <w:t>Legal Entity Identifier</w:t>
            </w:r>
            <w:r w:rsidR="00C76BFB" w:rsidRPr="00013FBF">
              <w:rPr>
                <w:rFonts w:ascii="RN House Sans Regular" w:hAnsi="RN House Sans Regular"/>
                <w:b/>
                <w:sz w:val="20"/>
              </w:rPr>
              <w:t>s</w:t>
            </w:r>
          </w:p>
        </w:tc>
        <w:tc>
          <w:tcPr>
            <w:tcW w:w="0" w:type="auto"/>
            <w:hideMark/>
          </w:tcPr>
          <w:p w:rsidR="00AC4396" w:rsidRPr="00013FBF" w:rsidRDefault="00AC4396" w:rsidP="003D7CDE">
            <w:pPr>
              <w:rPr>
                <w:rFonts w:ascii="RN House Sans Regular" w:hAnsi="RN House Sans Regular"/>
                <w:sz w:val="20"/>
              </w:rPr>
            </w:pPr>
          </w:p>
        </w:tc>
      </w:tr>
      <w:tr w:rsidR="003D7CDE" w:rsidRPr="00013FBF" w:rsidTr="003D7CDE">
        <w:trPr>
          <w:trHeight w:val="318"/>
          <w:tblCellSpacing w:w="0" w:type="dxa"/>
        </w:trPr>
        <w:tc>
          <w:tcPr>
            <w:tcW w:w="0" w:type="auto"/>
            <w:hideMark/>
          </w:tcPr>
          <w:p w:rsidR="00AC4396" w:rsidRPr="00013FBF" w:rsidRDefault="003D7CDE" w:rsidP="003D7CDE">
            <w:pPr>
              <w:rPr>
                <w:rFonts w:ascii="RN House Sans Regular" w:hAnsi="RN House Sans Regular"/>
                <w:sz w:val="20"/>
              </w:rPr>
            </w:pPr>
            <w:r w:rsidRPr="00013FBF">
              <w:rPr>
                <w:rFonts w:ascii="RN House Sans Regular" w:hAnsi="RN House Sans Regular"/>
                <w:sz w:val="20"/>
              </w:rPr>
              <w:t xml:space="preserve">The Royal Bank of Scotland Group plc </w:t>
            </w:r>
          </w:p>
        </w:tc>
        <w:tc>
          <w:tcPr>
            <w:tcW w:w="0" w:type="auto"/>
            <w:hideMark/>
          </w:tcPr>
          <w:p w:rsidR="00AC4396" w:rsidRPr="00013FBF" w:rsidRDefault="003D7CDE" w:rsidP="003D7CDE">
            <w:pPr>
              <w:rPr>
                <w:rFonts w:ascii="RN House Sans Regular" w:hAnsi="RN House Sans Regular"/>
                <w:sz w:val="20"/>
              </w:rPr>
            </w:pPr>
            <w:r w:rsidRPr="00013FBF">
              <w:rPr>
                <w:rFonts w:ascii="RN House Sans Regular" w:hAnsi="RN House Sans Regular"/>
                <w:sz w:val="20"/>
              </w:rPr>
              <w:t>2138005O9XJIJN4JPN90</w:t>
            </w:r>
          </w:p>
        </w:tc>
      </w:tr>
      <w:tr w:rsidR="003D7CDE" w:rsidRPr="00013FBF" w:rsidTr="003D7CDE">
        <w:trPr>
          <w:trHeight w:val="230"/>
          <w:tblCellSpacing w:w="0" w:type="dxa"/>
        </w:trPr>
        <w:tc>
          <w:tcPr>
            <w:tcW w:w="0" w:type="auto"/>
            <w:hideMark/>
          </w:tcPr>
          <w:p w:rsidR="003D7CDE" w:rsidRPr="00013FBF" w:rsidRDefault="003D7CDE">
            <w:pPr>
              <w:pStyle w:val="bz"/>
              <w:rPr>
                <w:rFonts w:ascii="RN House Sans Regular" w:hAnsi="RN House Sans Regular" w:cs="Arial"/>
                <w:color w:val="333333"/>
                <w:sz w:val="20"/>
                <w:szCs w:val="22"/>
              </w:rPr>
            </w:pPr>
            <w:r w:rsidRPr="00013FBF">
              <w:rPr>
                <w:rStyle w:val="bs"/>
                <w:rFonts w:ascii="RN House Sans Regular" w:hAnsi="RN House Sans Regular" w:cs="Arial"/>
                <w:color w:val="333333"/>
                <w:sz w:val="20"/>
                <w:szCs w:val="22"/>
              </w:rPr>
              <w:t>NatWest Markets Plc</w:t>
            </w:r>
          </w:p>
        </w:tc>
        <w:tc>
          <w:tcPr>
            <w:tcW w:w="0" w:type="auto"/>
            <w:hideMark/>
          </w:tcPr>
          <w:p w:rsidR="003D7CDE" w:rsidRPr="00013FBF" w:rsidRDefault="003D7CDE">
            <w:pPr>
              <w:pStyle w:val="bz"/>
              <w:rPr>
                <w:rFonts w:ascii="RN House Sans Regular" w:hAnsi="RN House Sans Regular" w:cs="Arial"/>
                <w:color w:val="333333"/>
                <w:sz w:val="20"/>
                <w:szCs w:val="22"/>
              </w:rPr>
            </w:pPr>
            <w:r w:rsidRPr="00013FBF">
              <w:rPr>
                <w:rStyle w:val="bs"/>
                <w:rFonts w:ascii="RN House Sans Regular" w:hAnsi="RN House Sans Regular" w:cs="Arial"/>
                <w:color w:val="333333"/>
                <w:sz w:val="20"/>
                <w:szCs w:val="22"/>
              </w:rPr>
              <w:t>RR3QWICWWIPCS8A4S074</w:t>
            </w:r>
          </w:p>
        </w:tc>
      </w:tr>
      <w:tr w:rsidR="003D7CDE" w:rsidRPr="00013FBF" w:rsidTr="003D7CDE">
        <w:trPr>
          <w:trHeight w:val="230"/>
          <w:tblCellSpacing w:w="0" w:type="dxa"/>
        </w:trPr>
        <w:tc>
          <w:tcPr>
            <w:tcW w:w="0" w:type="auto"/>
            <w:hideMark/>
          </w:tcPr>
          <w:p w:rsidR="003D7CDE" w:rsidRPr="00013FBF" w:rsidRDefault="003D7CDE">
            <w:pPr>
              <w:pStyle w:val="bz"/>
              <w:rPr>
                <w:rFonts w:ascii="RN House Sans Regular" w:hAnsi="RN House Sans Regular" w:cs="Arial"/>
                <w:color w:val="333333"/>
                <w:sz w:val="20"/>
                <w:szCs w:val="22"/>
              </w:rPr>
            </w:pPr>
            <w:r w:rsidRPr="00013FBF">
              <w:rPr>
                <w:rStyle w:val="bs"/>
                <w:rFonts w:ascii="RN House Sans Regular" w:hAnsi="RN House Sans Regular" w:cs="Arial"/>
                <w:color w:val="333333"/>
                <w:sz w:val="20"/>
                <w:szCs w:val="22"/>
              </w:rPr>
              <w:t>NatWest Markets N.V.</w:t>
            </w:r>
          </w:p>
        </w:tc>
        <w:tc>
          <w:tcPr>
            <w:tcW w:w="0" w:type="auto"/>
            <w:hideMark/>
          </w:tcPr>
          <w:p w:rsidR="003D7CDE" w:rsidRPr="00013FBF" w:rsidRDefault="003D7CDE">
            <w:pPr>
              <w:pStyle w:val="bz"/>
              <w:rPr>
                <w:rFonts w:ascii="RN House Sans Regular" w:hAnsi="RN House Sans Regular" w:cs="Arial"/>
                <w:color w:val="333333"/>
                <w:sz w:val="20"/>
                <w:szCs w:val="22"/>
              </w:rPr>
            </w:pPr>
            <w:r w:rsidRPr="00013FBF">
              <w:rPr>
                <w:rStyle w:val="bs"/>
                <w:rFonts w:ascii="RN House Sans Regular" w:hAnsi="RN House Sans Regular" w:cs="Arial"/>
                <w:color w:val="333333"/>
                <w:sz w:val="20"/>
                <w:szCs w:val="22"/>
              </w:rPr>
              <w:t>X3CZP3CK64YBHON1LE12</w:t>
            </w:r>
          </w:p>
        </w:tc>
      </w:tr>
    </w:tbl>
    <w:p w:rsidR="003D7CDE" w:rsidRPr="00013FBF" w:rsidRDefault="003D7CDE" w:rsidP="003D7CDE">
      <w:pPr>
        <w:rPr>
          <w:rFonts w:ascii="RN House Sans Regular" w:hAnsi="RN House Sans Regular"/>
          <w:sz w:val="20"/>
        </w:rPr>
      </w:pPr>
      <w:r w:rsidRPr="00013FBF">
        <w:rPr>
          <w:rFonts w:ascii="Arial" w:hAnsi="Arial" w:cs="Arial"/>
          <w:sz w:val="20"/>
        </w:rPr>
        <w:t> </w:t>
      </w:r>
    </w:p>
    <w:p w:rsidR="003D7CDE" w:rsidRPr="00013FBF" w:rsidRDefault="003D7CDE">
      <w:pPr>
        <w:rPr>
          <w:rFonts w:ascii="RN House Sans Regular" w:hAnsi="RN House Sans Regular"/>
          <w:sz w:val="20"/>
        </w:rPr>
      </w:pPr>
    </w:p>
    <w:sectPr w:rsidR="003D7CDE" w:rsidRPr="00013FBF" w:rsidSect="00013FBF">
      <w:footerReference w:type="default" r:id="rId10"/>
      <w:pgSz w:w="11906" w:h="16838"/>
      <w:pgMar w:top="851"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A3" w:rsidRDefault="005E42A3" w:rsidP="00471909">
      <w:r>
        <w:separator/>
      </w:r>
    </w:p>
  </w:endnote>
  <w:endnote w:type="continuationSeparator" w:id="0">
    <w:p w:rsidR="005E42A3" w:rsidRDefault="005E42A3" w:rsidP="0047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N House Sans Regular">
    <w:panose1 w:val="020B0504020203020204"/>
    <w:charset w:val="00"/>
    <w:family w:val="swiss"/>
    <w:pitch w:val="variable"/>
    <w:sig w:usb0="A0000003" w:usb1="00000002" w:usb2="00000000" w:usb3="00000000" w:csb0="000001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13" w:rsidRDefault="00580C13">
    <w:pPr>
      <w:pStyle w:val="Footer"/>
    </w:pPr>
    <w:r>
      <w:rPr>
        <w:noProof/>
        <w:lang w:eastAsia="en-GB"/>
      </w:rPr>
      <mc:AlternateContent>
        <mc:Choice Requires="wps">
          <w:drawing>
            <wp:anchor distT="0" distB="0" distL="114300" distR="114300" simplePos="0" relativeHeight="251659264" behindDoc="1" locked="0" layoutInCell="1" allowOverlap="1" wp14:anchorId="694877B1" wp14:editId="1C249EE4">
              <wp:simplePos x="0" y="0"/>
              <wp:positionH relativeFrom="page">
                <wp:posOffset>0</wp:posOffset>
              </wp:positionH>
              <wp:positionV relativeFrom="bottomMargin">
                <wp:align>bottom</wp:align>
              </wp:positionV>
              <wp:extent cx="123825" cy="895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3825" cy="8953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31C18" w:rsidRDefault="00580C13" w:rsidP="00231C18">
                          <w:pPr>
                            <w:jc w:val="right"/>
                            <w:rPr>
                              <w:rFonts w:ascii="Arial" w:hAnsi="Arial" w:cs="Arial"/>
                              <w:color w:val="000000"/>
                              <w:sz w:val="16"/>
                            </w:rPr>
                          </w:pPr>
                          <w:r>
                            <w:fldChar w:fldCharType="begin" w:fldLock="1"/>
                          </w:r>
                          <w:r>
                            <w:instrText xml:space="preserve"> DOCPROPERTY bjFooterPrimaryTextBox \* MERGEFORMAT </w:instrText>
                          </w:r>
                          <w:r>
                            <w:fldChar w:fldCharType="separate"/>
                          </w:r>
                          <w:r w:rsidR="00231C18">
                            <w:rPr>
                              <w:rFonts w:ascii="Arial" w:hAnsi="Arial" w:cs="Arial"/>
                              <w:color w:val="000000"/>
                              <w:sz w:val="16"/>
                            </w:rPr>
                            <w:tab/>
                          </w:r>
                          <w:r w:rsidR="00231C18">
                            <w:rPr>
                              <w:rFonts w:ascii="Arial" w:hAnsi="Arial" w:cs="Arial"/>
                              <w:color w:val="000000"/>
                              <w:sz w:val="16"/>
                            </w:rPr>
                            <w:tab/>
                          </w:r>
                        </w:p>
                        <w:p w:rsidR="00231C18" w:rsidRPr="00231C18" w:rsidRDefault="00231C18" w:rsidP="00231C18">
                          <w:pPr>
                            <w:jc w:val="right"/>
                            <w:rPr>
                              <w:rFonts w:ascii="Arial" w:hAnsi="Arial" w:cs="Arial"/>
                              <w:color w:val="000000"/>
                              <w:sz w:val="12"/>
                            </w:rPr>
                          </w:pPr>
                          <w:r w:rsidRPr="00231C18">
                            <w:rPr>
                              <w:rFonts w:ascii="Arial" w:hAnsi="Arial" w:cs="Arial"/>
                              <w:color w:val="000000"/>
                              <w:sz w:val="12"/>
                            </w:rPr>
                            <w:t xml:space="preserve"> </w:t>
                          </w:r>
                        </w:p>
                        <w:p w:rsidR="00580C13" w:rsidRDefault="00231C18" w:rsidP="00231C18">
                          <w:pPr>
                            <w:jc w:val="right"/>
                          </w:pPr>
                          <w:r w:rsidRPr="00231C18">
                            <w:rPr>
                              <w:rFonts w:ascii="Arial" w:hAnsi="Arial" w:cs="Arial"/>
                              <w:color w:val="000000"/>
                              <w:sz w:val="12"/>
                            </w:rPr>
                            <w:t xml:space="preserve"> </w:t>
                          </w:r>
                          <w:r w:rsidR="00580C13">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100000</wp14:pctWidth>
              </wp14:sizeRelH>
              <wp14:sizeRelV relativeFrom="bottomMargin">
                <wp14:pctHeight>100000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9.75pt;height:70.5pt;z-index:-251657216;visibility:visible;mso-wrap-style:square;mso-width-percent:1000;mso-height-percent:1000;mso-wrap-distance-left:9pt;mso-wrap-distance-top:0;mso-wrap-distance-right:9pt;mso-wrap-distance-bottom:0;mso-position-horizontal:absolute;mso-position-horizontal-relative:page;mso-position-vertical:bottom;mso-position-vertical-relative:bottom-margin-area;mso-width-percent:1000;mso-height-percent:1000;mso-width-relative:page;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" filled="f" stroked="f" strokeweight=".5pt">
              <v:textbox>
                <w:txbxContent>
                  <w:p w:rsidR="00231C18" w:rsidRDefault="00580C13" w:rsidP="00231C18">
                    <w:pPr>
                      <w:jc w:val="right"/>
                      <w:rPr>
                        <w:rFonts w:ascii="Arial" w:hAnsi="Arial" w:cs="Arial"/>
                        <w:color w:val="000000"/>
                        <w:sz w:val="16"/>
                      </w:rPr>
                    </w:pPr>
                    <w:r>
                      <w:fldChar w:fldCharType="begin" w:fldLock="1"/>
                    </w:r>
                    <w:r>
                      <w:instrText xml:space="preserve"> DOCPROPERTY bjFooterPrimaryTextBox \* MERGEFORMAT </w:instrText>
                    </w:r>
                    <w:r>
                      <w:fldChar w:fldCharType="separate"/>
                    </w:r>
                    <w:r w:rsidR="00231C18">
                      <w:rPr>
                        <w:rFonts w:ascii="Arial" w:hAnsi="Arial" w:cs="Arial"/>
                        <w:color w:val="000000"/>
                        <w:sz w:val="16"/>
                      </w:rPr>
                      <w:tab/>
                    </w:r>
                    <w:r w:rsidR="00231C18">
                      <w:rPr>
                        <w:rFonts w:ascii="Arial" w:hAnsi="Arial" w:cs="Arial"/>
                        <w:color w:val="000000"/>
                        <w:sz w:val="16"/>
                      </w:rPr>
                      <w:tab/>
                    </w:r>
                  </w:p>
                  <w:p w:rsidR="00231C18" w:rsidRPr="00231C18" w:rsidRDefault="00231C18" w:rsidP="00231C18">
                    <w:pPr>
                      <w:jc w:val="right"/>
                      <w:rPr>
                        <w:rFonts w:ascii="Arial" w:hAnsi="Arial" w:cs="Arial"/>
                        <w:color w:val="000000"/>
                        <w:sz w:val="12"/>
                      </w:rPr>
                    </w:pPr>
                    <w:r w:rsidRPr="00231C18">
                      <w:rPr>
                        <w:rFonts w:ascii="Arial" w:hAnsi="Arial" w:cs="Arial"/>
                        <w:color w:val="000000"/>
                        <w:sz w:val="12"/>
                      </w:rPr>
                      <w:t xml:space="preserve"> </w:t>
                    </w:r>
                  </w:p>
                  <w:p w:rsidR="00580C13" w:rsidRDefault="00231C18" w:rsidP="00231C18">
                    <w:pPr>
                      <w:jc w:val="right"/>
                    </w:pPr>
                    <w:r w:rsidRPr="00231C18">
                      <w:rPr>
                        <w:rFonts w:ascii="Arial" w:hAnsi="Arial" w:cs="Arial"/>
                        <w:color w:val="000000"/>
                        <w:sz w:val="12"/>
                      </w:rPr>
                      <w:t xml:space="preserve"> </w:t>
                    </w:r>
                    <w:r w:rsidR="00580C13">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A3" w:rsidRDefault="005E42A3" w:rsidP="00471909">
      <w:r>
        <w:separator/>
      </w:r>
    </w:p>
  </w:footnote>
  <w:footnote w:type="continuationSeparator" w:id="0">
    <w:p w:rsidR="005E42A3" w:rsidRDefault="005E42A3" w:rsidP="00471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C3D"/>
    <w:multiLevelType w:val="hybridMultilevel"/>
    <w:tmpl w:val="57606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10B6870"/>
    <w:multiLevelType w:val="hybridMultilevel"/>
    <w:tmpl w:val="9D26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D066E32"/>
    <w:multiLevelType w:val="hybridMultilevel"/>
    <w:tmpl w:val="980ED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7DD1BB9"/>
    <w:multiLevelType w:val="hybridMultilevel"/>
    <w:tmpl w:val="BEC29FEA"/>
    <w:lvl w:ilvl="0" w:tplc="7BAA8968">
      <w:numFmt w:val="bullet"/>
      <w:lvlText w:val="-"/>
      <w:lvlJc w:val="left"/>
      <w:pPr>
        <w:ind w:left="360" w:hanging="360"/>
      </w:pPr>
      <w:rPr>
        <w:rFonts w:ascii="RN House Sans Regular" w:eastAsiaTheme="minorHAnsi" w:hAnsi="RN House Sans Regular"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DB6D7C"/>
    <w:multiLevelType w:val="hybridMultilevel"/>
    <w:tmpl w:val="DF60030A"/>
    <w:lvl w:ilvl="0" w:tplc="8A2C5D62">
      <w:numFmt w:val="bullet"/>
      <w:lvlText w:val="-"/>
      <w:lvlJc w:val="left"/>
      <w:pPr>
        <w:ind w:left="360" w:hanging="360"/>
      </w:pPr>
      <w:rPr>
        <w:rFonts w:ascii="RN House Sans Regular" w:eastAsiaTheme="minorHAnsi" w:hAnsi="RN House Sans Regular"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worth, Michael (Strategy, Economics &amp; Corporate Development)">
    <w15:presenceInfo w15:providerId="AD" w15:userId="S-1-5-21-1606980848-861567501-725345543-171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E"/>
    <w:rsid w:val="0000262E"/>
    <w:rsid w:val="00012D4B"/>
    <w:rsid w:val="00013FBF"/>
    <w:rsid w:val="000469D8"/>
    <w:rsid w:val="0005452C"/>
    <w:rsid w:val="000A6A5C"/>
    <w:rsid w:val="000C60CA"/>
    <w:rsid w:val="000D149A"/>
    <w:rsid w:val="000D1FF6"/>
    <w:rsid w:val="000D6C09"/>
    <w:rsid w:val="000F5CB5"/>
    <w:rsid w:val="0010245A"/>
    <w:rsid w:val="00117D21"/>
    <w:rsid w:val="0013333A"/>
    <w:rsid w:val="00133FD1"/>
    <w:rsid w:val="001905DA"/>
    <w:rsid w:val="001B4FEC"/>
    <w:rsid w:val="00231C18"/>
    <w:rsid w:val="00282694"/>
    <w:rsid w:val="002A3BCF"/>
    <w:rsid w:val="002B31EC"/>
    <w:rsid w:val="002C5BF0"/>
    <w:rsid w:val="002D75E4"/>
    <w:rsid w:val="002E6E4A"/>
    <w:rsid w:val="002F4315"/>
    <w:rsid w:val="00346DE2"/>
    <w:rsid w:val="00370558"/>
    <w:rsid w:val="00381A14"/>
    <w:rsid w:val="00386AA3"/>
    <w:rsid w:val="003C55CF"/>
    <w:rsid w:val="003D6617"/>
    <w:rsid w:val="003D7CDE"/>
    <w:rsid w:val="003E6A4D"/>
    <w:rsid w:val="004215B8"/>
    <w:rsid w:val="00471909"/>
    <w:rsid w:val="004B131A"/>
    <w:rsid w:val="004C1963"/>
    <w:rsid w:val="004D2C52"/>
    <w:rsid w:val="004D5F84"/>
    <w:rsid w:val="004D72E7"/>
    <w:rsid w:val="00507B75"/>
    <w:rsid w:val="005323C2"/>
    <w:rsid w:val="00580C13"/>
    <w:rsid w:val="005D63BC"/>
    <w:rsid w:val="005E42A3"/>
    <w:rsid w:val="005F2C39"/>
    <w:rsid w:val="00625B7E"/>
    <w:rsid w:val="006453B2"/>
    <w:rsid w:val="00652968"/>
    <w:rsid w:val="006D3861"/>
    <w:rsid w:val="006F2EA3"/>
    <w:rsid w:val="007018B8"/>
    <w:rsid w:val="00712D19"/>
    <w:rsid w:val="007647AE"/>
    <w:rsid w:val="00772FB1"/>
    <w:rsid w:val="007827CE"/>
    <w:rsid w:val="007952C5"/>
    <w:rsid w:val="007A300E"/>
    <w:rsid w:val="007B66F9"/>
    <w:rsid w:val="007B7C60"/>
    <w:rsid w:val="007C0236"/>
    <w:rsid w:val="007F7290"/>
    <w:rsid w:val="00825D34"/>
    <w:rsid w:val="008E7DF1"/>
    <w:rsid w:val="00927D04"/>
    <w:rsid w:val="00932266"/>
    <w:rsid w:val="009441CE"/>
    <w:rsid w:val="009478B9"/>
    <w:rsid w:val="009546FD"/>
    <w:rsid w:val="00986F25"/>
    <w:rsid w:val="0099570D"/>
    <w:rsid w:val="009A51EE"/>
    <w:rsid w:val="009D585E"/>
    <w:rsid w:val="009E041F"/>
    <w:rsid w:val="009F71AA"/>
    <w:rsid w:val="00A32D66"/>
    <w:rsid w:val="00A55CB0"/>
    <w:rsid w:val="00A676DB"/>
    <w:rsid w:val="00A76FF9"/>
    <w:rsid w:val="00AA0EAB"/>
    <w:rsid w:val="00AB0BF6"/>
    <w:rsid w:val="00AB3413"/>
    <w:rsid w:val="00AC4396"/>
    <w:rsid w:val="00AD4270"/>
    <w:rsid w:val="00B238A9"/>
    <w:rsid w:val="00B64646"/>
    <w:rsid w:val="00B71388"/>
    <w:rsid w:val="00BD4707"/>
    <w:rsid w:val="00BE3FBF"/>
    <w:rsid w:val="00BE6FCB"/>
    <w:rsid w:val="00C047E3"/>
    <w:rsid w:val="00C50F2D"/>
    <w:rsid w:val="00C6495D"/>
    <w:rsid w:val="00C76BFB"/>
    <w:rsid w:val="00C76D92"/>
    <w:rsid w:val="00C8385D"/>
    <w:rsid w:val="00C91266"/>
    <w:rsid w:val="00CA0840"/>
    <w:rsid w:val="00CA4E15"/>
    <w:rsid w:val="00CF54CA"/>
    <w:rsid w:val="00D17707"/>
    <w:rsid w:val="00D50EEA"/>
    <w:rsid w:val="00D56F70"/>
    <w:rsid w:val="00DC282F"/>
    <w:rsid w:val="00DC51D3"/>
    <w:rsid w:val="00DC70C5"/>
    <w:rsid w:val="00E11613"/>
    <w:rsid w:val="00E41CFD"/>
    <w:rsid w:val="00E5076B"/>
    <w:rsid w:val="00E81E3B"/>
    <w:rsid w:val="00E8735A"/>
    <w:rsid w:val="00EA6CAD"/>
    <w:rsid w:val="00EA6DFC"/>
    <w:rsid w:val="00ED4AD0"/>
    <w:rsid w:val="00EF72B7"/>
    <w:rsid w:val="00F10A4E"/>
    <w:rsid w:val="00F1480F"/>
    <w:rsid w:val="00F334BD"/>
    <w:rsid w:val="00F452CC"/>
    <w:rsid w:val="00F87E4D"/>
    <w:rsid w:val="00FC3FE3"/>
    <w:rsid w:val="00FE4CD2"/>
    <w:rsid w:val="00FF64F2"/>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DE"/>
    <w:pPr>
      <w:ind w:left="720"/>
    </w:pPr>
  </w:style>
  <w:style w:type="paragraph" w:customStyle="1" w:styleId="bx">
    <w:name w:val="bx"/>
    <w:basedOn w:val="Normal"/>
    <w:rsid w:val="003D7CD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v">
    <w:name w:val="bv"/>
    <w:basedOn w:val="DefaultParagraphFont"/>
    <w:rsid w:val="003D7CDE"/>
  </w:style>
  <w:style w:type="paragraph" w:customStyle="1" w:styleId="bz">
    <w:name w:val="bz"/>
    <w:basedOn w:val="Normal"/>
    <w:rsid w:val="003D7CD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s">
    <w:name w:val="bs"/>
    <w:basedOn w:val="DefaultParagraphFont"/>
    <w:rsid w:val="003D7CDE"/>
  </w:style>
  <w:style w:type="character" w:styleId="CommentReference">
    <w:name w:val="annotation reference"/>
    <w:basedOn w:val="DefaultParagraphFont"/>
    <w:uiPriority w:val="99"/>
    <w:semiHidden/>
    <w:unhideWhenUsed/>
    <w:rsid w:val="000D1FF6"/>
    <w:rPr>
      <w:sz w:val="16"/>
      <w:szCs w:val="16"/>
    </w:rPr>
  </w:style>
  <w:style w:type="paragraph" w:styleId="CommentText">
    <w:name w:val="annotation text"/>
    <w:basedOn w:val="Normal"/>
    <w:link w:val="CommentTextChar"/>
    <w:uiPriority w:val="99"/>
    <w:semiHidden/>
    <w:unhideWhenUsed/>
    <w:rsid w:val="000D1FF6"/>
    <w:rPr>
      <w:sz w:val="20"/>
      <w:szCs w:val="20"/>
    </w:rPr>
  </w:style>
  <w:style w:type="character" w:customStyle="1" w:styleId="CommentTextChar">
    <w:name w:val="Comment Text Char"/>
    <w:basedOn w:val="DefaultParagraphFont"/>
    <w:link w:val="CommentText"/>
    <w:uiPriority w:val="99"/>
    <w:semiHidden/>
    <w:rsid w:val="000D1FF6"/>
    <w:rPr>
      <w:sz w:val="20"/>
      <w:szCs w:val="20"/>
    </w:rPr>
  </w:style>
  <w:style w:type="paragraph" w:styleId="CommentSubject">
    <w:name w:val="annotation subject"/>
    <w:basedOn w:val="CommentText"/>
    <w:next w:val="CommentText"/>
    <w:link w:val="CommentSubjectChar"/>
    <w:uiPriority w:val="99"/>
    <w:semiHidden/>
    <w:unhideWhenUsed/>
    <w:rsid w:val="000D1FF6"/>
    <w:rPr>
      <w:b/>
      <w:bCs/>
    </w:rPr>
  </w:style>
  <w:style w:type="character" w:customStyle="1" w:styleId="CommentSubjectChar">
    <w:name w:val="Comment Subject Char"/>
    <w:basedOn w:val="CommentTextChar"/>
    <w:link w:val="CommentSubject"/>
    <w:uiPriority w:val="99"/>
    <w:semiHidden/>
    <w:rsid w:val="000D1FF6"/>
    <w:rPr>
      <w:b/>
      <w:bCs/>
      <w:sz w:val="20"/>
      <w:szCs w:val="20"/>
    </w:rPr>
  </w:style>
  <w:style w:type="paragraph" w:styleId="Revision">
    <w:name w:val="Revision"/>
    <w:hidden/>
    <w:uiPriority w:val="99"/>
    <w:semiHidden/>
    <w:rsid w:val="000D1FF6"/>
    <w:pPr>
      <w:spacing w:after="0" w:line="240" w:lineRule="auto"/>
    </w:pPr>
  </w:style>
  <w:style w:type="paragraph" w:styleId="BalloonText">
    <w:name w:val="Balloon Text"/>
    <w:basedOn w:val="Normal"/>
    <w:link w:val="BalloonTextChar"/>
    <w:uiPriority w:val="99"/>
    <w:semiHidden/>
    <w:unhideWhenUsed/>
    <w:rsid w:val="000D1FF6"/>
    <w:rPr>
      <w:rFonts w:ascii="Tahoma" w:hAnsi="Tahoma" w:cs="Tahoma"/>
      <w:sz w:val="16"/>
      <w:szCs w:val="16"/>
    </w:rPr>
  </w:style>
  <w:style w:type="character" w:customStyle="1" w:styleId="BalloonTextChar">
    <w:name w:val="Balloon Text Char"/>
    <w:basedOn w:val="DefaultParagraphFont"/>
    <w:link w:val="BalloonText"/>
    <w:uiPriority w:val="99"/>
    <w:semiHidden/>
    <w:rsid w:val="000D1FF6"/>
    <w:rPr>
      <w:rFonts w:ascii="Tahoma" w:hAnsi="Tahoma" w:cs="Tahoma"/>
      <w:sz w:val="16"/>
      <w:szCs w:val="16"/>
    </w:rPr>
  </w:style>
  <w:style w:type="table" w:styleId="TableGrid">
    <w:name w:val="Table Grid"/>
    <w:basedOn w:val="TableNormal"/>
    <w:uiPriority w:val="59"/>
    <w:rsid w:val="00E8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909"/>
    <w:pPr>
      <w:tabs>
        <w:tab w:val="center" w:pos="4513"/>
        <w:tab w:val="right" w:pos="9026"/>
      </w:tabs>
    </w:pPr>
  </w:style>
  <w:style w:type="character" w:customStyle="1" w:styleId="HeaderChar">
    <w:name w:val="Header Char"/>
    <w:basedOn w:val="DefaultParagraphFont"/>
    <w:link w:val="Header"/>
    <w:uiPriority w:val="99"/>
    <w:rsid w:val="00471909"/>
  </w:style>
  <w:style w:type="paragraph" w:styleId="Footer">
    <w:name w:val="footer"/>
    <w:basedOn w:val="Normal"/>
    <w:link w:val="FooterChar"/>
    <w:uiPriority w:val="99"/>
    <w:unhideWhenUsed/>
    <w:rsid w:val="00471909"/>
    <w:pPr>
      <w:tabs>
        <w:tab w:val="center" w:pos="4513"/>
        <w:tab w:val="right" w:pos="9026"/>
      </w:tabs>
    </w:pPr>
  </w:style>
  <w:style w:type="character" w:customStyle="1" w:styleId="FooterChar">
    <w:name w:val="Footer Char"/>
    <w:basedOn w:val="DefaultParagraphFont"/>
    <w:link w:val="Footer"/>
    <w:uiPriority w:val="99"/>
    <w:rsid w:val="00471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DE"/>
    <w:pPr>
      <w:ind w:left="720"/>
    </w:pPr>
  </w:style>
  <w:style w:type="paragraph" w:customStyle="1" w:styleId="bx">
    <w:name w:val="bx"/>
    <w:basedOn w:val="Normal"/>
    <w:rsid w:val="003D7CD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v">
    <w:name w:val="bv"/>
    <w:basedOn w:val="DefaultParagraphFont"/>
    <w:rsid w:val="003D7CDE"/>
  </w:style>
  <w:style w:type="paragraph" w:customStyle="1" w:styleId="bz">
    <w:name w:val="bz"/>
    <w:basedOn w:val="Normal"/>
    <w:rsid w:val="003D7CD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s">
    <w:name w:val="bs"/>
    <w:basedOn w:val="DefaultParagraphFont"/>
    <w:rsid w:val="003D7CDE"/>
  </w:style>
  <w:style w:type="character" w:styleId="CommentReference">
    <w:name w:val="annotation reference"/>
    <w:basedOn w:val="DefaultParagraphFont"/>
    <w:uiPriority w:val="99"/>
    <w:semiHidden/>
    <w:unhideWhenUsed/>
    <w:rsid w:val="000D1FF6"/>
    <w:rPr>
      <w:sz w:val="16"/>
      <w:szCs w:val="16"/>
    </w:rPr>
  </w:style>
  <w:style w:type="paragraph" w:styleId="CommentText">
    <w:name w:val="annotation text"/>
    <w:basedOn w:val="Normal"/>
    <w:link w:val="CommentTextChar"/>
    <w:uiPriority w:val="99"/>
    <w:semiHidden/>
    <w:unhideWhenUsed/>
    <w:rsid w:val="000D1FF6"/>
    <w:rPr>
      <w:sz w:val="20"/>
      <w:szCs w:val="20"/>
    </w:rPr>
  </w:style>
  <w:style w:type="character" w:customStyle="1" w:styleId="CommentTextChar">
    <w:name w:val="Comment Text Char"/>
    <w:basedOn w:val="DefaultParagraphFont"/>
    <w:link w:val="CommentText"/>
    <w:uiPriority w:val="99"/>
    <w:semiHidden/>
    <w:rsid w:val="000D1FF6"/>
    <w:rPr>
      <w:sz w:val="20"/>
      <w:szCs w:val="20"/>
    </w:rPr>
  </w:style>
  <w:style w:type="paragraph" w:styleId="CommentSubject">
    <w:name w:val="annotation subject"/>
    <w:basedOn w:val="CommentText"/>
    <w:next w:val="CommentText"/>
    <w:link w:val="CommentSubjectChar"/>
    <w:uiPriority w:val="99"/>
    <w:semiHidden/>
    <w:unhideWhenUsed/>
    <w:rsid w:val="000D1FF6"/>
    <w:rPr>
      <w:b/>
      <w:bCs/>
    </w:rPr>
  </w:style>
  <w:style w:type="character" w:customStyle="1" w:styleId="CommentSubjectChar">
    <w:name w:val="Comment Subject Char"/>
    <w:basedOn w:val="CommentTextChar"/>
    <w:link w:val="CommentSubject"/>
    <w:uiPriority w:val="99"/>
    <w:semiHidden/>
    <w:rsid w:val="000D1FF6"/>
    <w:rPr>
      <w:b/>
      <w:bCs/>
      <w:sz w:val="20"/>
      <w:szCs w:val="20"/>
    </w:rPr>
  </w:style>
  <w:style w:type="paragraph" w:styleId="Revision">
    <w:name w:val="Revision"/>
    <w:hidden/>
    <w:uiPriority w:val="99"/>
    <w:semiHidden/>
    <w:rsid w:val="000D1FF6"/>
    <w:pPr>
      <w:spacing w:after="0" w:line="240" w:lineRule="auto"/>
    </w:pPr>
  </w:style>
  <w:style w:type="paragraph" w:styleId="BalloonText">
    <w:name w:val="Balloon Text"/>
    <w:basedOn w:val="Normal"/>
    <w:link w:val="BalloonTextChar"/>
    <w:uiPriority w:val="99"/>
    <w:semiHidden/>
    <w:unhideWhenUsed/>
    <w:rsid w:val="000D1FF6"/>
    <w:rPr>
      <w:rFonts w:ascii="Tahoma" w:hAnsi="Tahoma" w:cs="Tahoma"/>
      <w:sz w:val="16"/>
      <w:szCs w:val="16"/>
    </w:rPr>
  </w:style>
  <w:style w:type="character" w:customStyle="1" w:styleId="BalloonTextChar">
    <w:name w:val="Balloon Text Char"/>
    <w:basedOn w:val="DefaultParagraphFont"/>
    <w:link w:val="BalloonText"/>
    <w:uiPriority w:val="99"/>
    <w:semiHidden/>
    <w:rsid w:val="000D1FF6"/>
    <w:rPr>
      <w:rFonts w:ascii="Tahoma" w:hAnsi="Tahoma" w:cs="Tahoma"/>
      <w:sz w:val="16"/>
      <w:szCs w:val="16"/>
    </w:rPr>
  </w:style>
  <w:style w:type="table" w:styleId="TableGrid">
    <w:name w:val="Table Grid"/>
    <w:basedOn w:val="TableNormal"/>
    <w:uiPriority w:val="59"/>
    <w:rsid w:val="00E8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909"/>
    <w:pPr>
      <w:tabs>
        <w:tab w:val="center" w:pos="4513"/>
        <w:tab w:val="right" w:pos="9026"/>
      </w:tabs>
    </w:pPr>
  </w:style>
  <w:style w:type="character" w:customStyle="1" w:styleId="HeaderChar">
    <w:name w:val="Header Char"/>
    <w:basedOn w:val="DefaultParagraphFont"/>
    <w:link w:val="Header"/>
    <w:uiPriority w:val="99"/>
    <w:rsid w:val="00471909"/>
  </w:style>
  <w:style w:type="paragraph" w:styleId="Footer">
    <w:name w:val="footer"/>
    <w:basedOn w:val="Normal"/>
    <w:link w:val="FooterChar"/>
    <w:uiPriority w:val="99"/>
    <w:unhideWhenUsed/>
    <w:rsid w:val="00471909"/>
    <w:pPr>
      <w:tabs>
        <w:tab w:val="center" w:pos="4513"/>
        <w:tab w:val="right" w:pos="9026"/>
      </w:tabs>
    </w:pPr>
  </w:style>
  <w:style w:type="character" w:customStyle="1" w:styleId="FooterChar">
    <w:name w:val="Footer Char"/>
    <w:basedOn w:val="DefaultParagraphFont"/>
    <w:link w:val="Footer"/>
    <w:uiPriority w:val="99"/>
    <w:rsid w:val="0047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1147">
      <w:bodyDiv w:val="1"/>
      <w:marLeft w:val="0"/>
      <w:marRight w:val="0"/>
      <w:marTop w:val="0"/>
      <w:marBottom w:val="0"/>
      <w:divBdr>
        <w:top w:val="none" w:sz="0" w:space="0" w:color="auto"/>
        <w:left w:val="none" w:sz="0" w:space="0" w:color="auto"/>
        <w:bottom w:val="none" w:sz="0" w:space="0" w:color="auto"/>
        <w:right w:val="none" w:sz="0" w:space="0" w:color="auto"/>
      </w:divBdr>
      <w:divsChild>
        <w:div w:id="361251931">
          <w:marLeft w:val="0"/>
          <w:marRight w:val="0"/>
          <w:marTop w:val="0"/>
          <w:marBottom w:val="0"/>
          <w:divBdr>
            <w:top w:val="none" w:sz="0" w:space="0" w:color="auto"/>
            <w:left w:val="none" w:sz="0" w:space="0" w:color="auto"/>
            <w:bottom w:val="none" w:sz="0" w:space="0" w:color="auto"/>
            <w:right w:val="none" w:sz="0" w:space="0" w:color="auto"/>
          </w:divBdr>
          <w:divsChild>
            <w:div w:id="1117335332">
              <w:marLeft w:val="0"/>
              <w:marRight w:val="0"/>
              <w:marTop w:val="0"/>
              <w:marBottom w:val="150"/>
              <w:divBdr>
                <w:top w:val="none" w:sz="0" w:space="0" w:color="auto"/>
                <w:left w:val="none" w:sz="0" w:space="0" w:color="auto"/>
                <w:bottom w:val="single" w:sz="6" w:space="0" w:color="CCCCCC"/>
                <w:right w:val="none" w:sz="0" w:space="0" w:color="auto"/>
              </w:divBdr>
              <w:divsChild>
                <w:div w:id="2074964198">
                  <w:marLeft w:val="0"/>
                  <w:marRight w:val="0"/>
                  <w:marTop w:val="0"/>
                  <w:marBottom w:val="0"/>
                  <w:divBdr>
                    <w:top w:val="none" w:sz="0" w:space="0" w:color="auto"/>
                    <w:left w:val="none" w:sz="0" w:space="0" w:color="auto"/>
                    <w:bottom w:val="none" w:sz="0" w:space="0" w:color="auto"/>
                    <w:right w:val="none" w:sz="0" w:space="0" w:color="auto"/>
                  </w:divBdr>
                  <w:divsChild>
                    <w:div w:id="19795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1948">
      <w:bodyDiv w:val="1"/>
      <w:marLeft w:val="0"/>
      <w:marRight w:val="0"/>
      <w:marTop w:val="0"/>
      <w:marBottom w:val="0"/>
      <w:divBdr>
        <w:top w:val="none" w:sz="0" w:space="0" w:color="auto"/>
        <w:left w:val="none" w:sz="0" w:space="0" w:color="auto"/>
        <w:bottom w:val="none" w:sz="0" w:space="0" w:color="auto"/>
        <w:right w:val="none" w:sz="0" w:space="0" w:color="auto"/>
      </w:divBdr>
      <w:divsChild>
        <w:div w:id="501706420">
          <w:marLeft w:val="0"/>
          <w:marRight w:val="0"/>
          <w:marTop w:val="0"/>
          <w:marBottom w:val="0"/>
          <w:divBdr>
            <w:top w:val="none" w:sz="0" w:space="0" w:color="auto"/>
            <w:left w:val="none" w:sz="0" w:space="0" w:color="auto"/>
            <w:bottom w:val="none" w:sz="0" w:space="0" w:color="auto"/>
            <w:right w:val="none" w:sz="0" w:space="0" w:color="auto"/>
          </w:divBdr>
          <w:divsChild>
            <w:div w:id="1095587560">
              <w:marLeft w:val="0"/>
              <w:marRight w:val="0"/>
              <w:marTop w:val="0"/>
              <w:marBottom w:val="150"/>
              <w:divBdr>
                <w:top w:val="none" w:sz="0" w:space="0" w:color="auto"/>
                <w:left w:val="none" w:sz="0" w:space="0" w:color="auto"/>
                <w:bottom w:val="single" w:sz="6" w:space="0" w:color="CCCCCC"/>
                <w:right w:val="none" w:sz="0" w:space="0" w:color="auto"/>
              </w:divBdr>
              <w:divsChild>
                <w:div w:id="700862054">
                  <w:marLeft w:val="0"/>
                  <w:marRight w:val="0"/>
                  <w:marTop w:val="0"/>
                  <w:marBottom w:val="0"/>
                  <w:divBdr>
                    <w:top w:val="none" w:sz="0" w:space="0" w:color="auto"/>
                    <w:left w:val="none" w:sz="0" w:space="0" w:color="auto"/>
                    <w:bottom w:val="none" w:sz="0" w:space="0" w:color="auto"/>
                    <w:right w:val="none" w:sz="0" w:space="0" w:color="auto"/>
                  </w:divBdr>
                  <w:divsChild>
                    <w:div w:id="7912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39314">
      <w:bodyDiv w:val="1"/>
      <w:marLeft w:val="0"/>
      <w:marRight w:val="0"/>
      <w:marTop w:val="0"/>
      <w:marBottom w:val="0"/>
      <w:divBdr>
        <w:top w:val="none" w:sz="0" w:space="0" w:color="auto"/>
        <w:left w:val="none" w:sz="0" w:space="0" w:color="auto"/>
        <w:bottom w:val="none" w:sz="0" w:space="0" w:color="auto"/>
        <w:right w:val="none" w:sz="0" w:space="0" w:color="auto"/>
      </w:divBdr>
      <w:divsChild>
        <w:div w:id="1268389203">
          <w:marLeft w:val="0"/>
          <w:marRight w:val="0"/>
          <w:marTop w:val="0"/>
          <w:marBottom w:val="0"/>
          <w:divBdr>
            <w:top w:val="none" w:sz="0" w:space="0" w:color="auto"/>
            <w:left w:val="none" w:sz="0" w:space="0" w:color="auto"/>
            <w:bottom w:val="none" w:sz="0" w:space="0" w:color="auto"/>
            <w:right w:val="none" w:sz="0" w:space="0" w:color="auto"/>
          </w:divBdr>
          <w:divsChild>
            <w:div w:id="1811432968">
              <w:marLeft w:val="0"/>
              <w:marRight w:val="0"/>
              <w:marTop w:val="0"/>
              <w:marBottom w:val="150"/>
              <w:divBdr>
                <w:top w:val="none" w:sz="0" w:space="0" w:color="auto"/>
                <w:left w:val="none" w:sz="0" w:space="0" w:color="auto"/>
                <w:bottom w:val="single" w:sz="6" w:space="0" w:color="CCCCCC"/>
                <w:right w:val="none" w:sz="0" w:space="0" w:color="auto"/>
              </w:divBdr>
              <w:divsChild>
                <w:div w:id="2004115329">
                  <w:marLeft w:val="0"/>
                  <w:marRight w:val="0"/>
                  <w:marTop w:val="0"/>
                  <w:marBottom w:val="0"/>
                  <w:divBdr>
                    <w:top w:val="none" w:sz="0" w:space="0" w:color="auto"/>
                    <w:left w:val="none" w:sz="0" w:space="0" w:color="auto"/>
                    <w:bottom w:val="none" w:sz="0" w:space="0" w:color="auto"/>
                    <w:right w:val="none" w:sz="0" w:space="0" w:color="auto"/>
                  </w:divBdr>
                  <w:divsChild>
                    <w:div w:id="1564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72008">
      <w:bodyDiv w:val="1"/>
      <w:marLeft w:val="0"/>
      <w:marRight w:val="0"/>
      <w:marTop w:val="0"/>
      <w:marBottom w:val="0"/>
      <w:divBdr>
        <w:top w:val="none" w:sz="0" w:space="0" w:color="auto"/>
        <w:left w:val="none" w:sz="0" w:space="0" w:color="auto"/>
        <w:bottom w:val="none" w:sz="0" w:space="0" w:color="auto"/>
        <w:right w:val="none" w:sz="0" w:space="0" w:color="auto"/>
      </w:divBdr>
      <w:divsChild>
        <w:div w:id="1375932465">
          <w:marLeft w:val="0"/>
          <w:marRight w:val="0"/>
          <w:marTop w:val="0"/>
          <w:marBottom w:val="0"/>
          <w:divBdr>
            <w:top w:val="none" w:sz="0" w:space="0" w:color="auto"/>
            <w:left w:val="none" w:sz="0" w:space="0" w:color="auto"/>
            <w:bottom w:val="none" w:sz="0" w:space="0" w:color="auto"/>
            <w:right w:val="none" w:sz="0" w:space="0" w:color="auto"/>
          </w:divBdr>
          <w:divsChild>
            <w:div w:id="1802729859">
              <w:marLeft w:val="0"/>
              <w:marRight w:val="0"/>
              <w:marTop w:val="0"/>
              <w:marBottom w:val="150"/>
              <w:divBdr>
                <w:top w:val="none" w:sz="0" w:space="0" w:color="auto"/>
                <w:left w:val="none" w:sz="0" w:space="0" w:color="auto"/>
                <w:bottom w:val="single" w:sz="6" w:space="0" w:color="CCCCCC"/>
                <w:right w:val="none" w:sz="0" w:space="0" w:color="auto"/>
              </w:divBdr>
              <w:divsChild>
                <w:div w:id="1380321507">
                  <w:marLeft w:val="0"/>
                  <w:marRight w:val="0"/>
                  <w:marTop w:val="0"/>
                  <w:marBottom w:val="0"/>
                  <w:divBdr>
                    <w:top w:val="none" w:sz="0" w:space="0" w:color="auto"/>
                    <w:left w:val="none" w:sz="0" w:space="0" w:color="auto"/>
                    <w:bottom w:val="none" w:sz="0" w:space="0" w:color="auto"/>
                    <w:right w:val="none" w:sz="0" w:space="0" w:color="auto"/>
                  </w:divBdr>
                  <w:divsChild>
                    <w:div w:id="18772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922">
      <w:bodyDiv w:val="1"/>
      <w:marLeft w:val="0"/>
      <w:marRight w:val="0"/>
      <w:marTop w:val="0"/>
      <w:marBottom w:val="0"/>
      <w:divBdr>
        <w:top w:val="none" w:sz="0" w:space="0" w:color="auto"/>
        <w:left w:val="none" w:sz="0" w:space="0" w:color="auto"/>
        <w:bottom w:val="none" w:sz="0" w:space="0" w:color="auto"/>
        <w:right w:val="none" w:sz="0" w:space="0" w:color="auto"/>
      </w:divBdr>
      <w:divsChild>
        <w:div w:id="4787646">
          <w:marLeft w:val="0"/>
          <w:marRight w:val="0"/>
          <w:marTop w:val="0"/>
          <w:marBottom w:val="0"/>
          <w:divBdr>
            <w:top w:val="none" w:sz="0" w:space="0" w:color="auto"/>
            <w:left w:val="none" w:sz="0" w:space="0" w:color="auto"/>
            <w:bottom w:val="none" w:sz="0" w:space="0" w:color="auto"/>
            <w:right w:val="none" w:sz="0" w:space="0" w:color="auto"/>
          </w:divBdr>
          <w:divsChild>
            <w:div w:id="260334749">
              <w:marLeft w:val="0"/>
              <w:marRight w:val="0"/>
              <w:marTop w:val="0"/>
              <w:marBottom w:val="150"/>
              <w:divBdr>
                <w:top w:val="none" w:sz="0" w:space="0" w:color="auto"/>
                <w:left w:val="none" w:sz="0" w:space="0" w:color="auto"/>
                <w:bottom w:val="single" w:sz="6" w:space="0" w:color="CCCCCC"/>
                <w:right w:val="none" w:sz="0" w:space="0" w:color="auto"/>
              </w:divBdr>
              <w:divsChild>
                <w:div w:id="2047365149">
                  <w:marLeft w:val="0"/>
                  <w:marRight w:val="0"/>
                  <w:marTop w:val="0"/>
                  <w:marBottom w:val="0"/>
                  <w:divBdr>
                    <w:top w:val="none" w:sz="0" w:space="0" w:color="auto"/>
                    <w:left w:val="none" w:sz="0" w:space="0" w:color="auto"/>
                    <w:bottom w:val="none" w:sz="0" w:space="0" w:color="auto"/>
                    <w:right w:val="none" w:sz="0" w:space="0" w:color="auto"/>
                  </w:divBdr>
                  <w:divsChild>
                    <w:div w:id="452485691">
                      <w:marLeft w:val="0"/>
                      <w:marRight w:val="0"/>
                      <w:marTop w:val="0"/>
                      <w:marBottom w:val="0"/>
                      <w:divBdr>
                        <w:top w:val="none" w:sz="0" w:space="0" w:color="auto"/>
                        <w:left w:val="none" w:sz="0" w:space="0" w:color="auto"/>
                        <w:bottom w:val="none" w:sz="0" w:space="0" w:color="auto"/>
                        <w:right w:val="none" w:sz="0" w:space="0" w:color="auto"/>
                      </w:divBdr>
                    </w:div>
                    <w:div w:id="242952625">
                      <w:marLeft w:val="0"/>
                      <w:marRight w:val="0"/>
                      <w:marTop w:val="0"/>
                      <w:marBottom w:val="0"/>
                      <w:divBdr>
                        <w:top w:val="none" w:sz="0" w:space="0" w:color="auto"/>
                        <w:left w:val="none" w:sz="0" w:space="0" w:color="auto"/>
                        <w:bottom w:val="none" w:sz="0" w:space="0" w:color="auto"/>
                        <w:right w:val="none" w:sz="0" w:space="0" w:color="auto"/>
                      </w:divBdr>
                    </w:div>
                    <w:div w:id="303628739">
                      <w:marLeft w:val="0"/>
                      <w:marRight w:val="0"/>
                      <w:marTop w:val="0"/>
                      <w:marBottom w:val="0"/>
                      <w:divBdr>
                        <w:top w:val="none" w:sz="0" w:space="0" w:color="auto"/>
                        <w:left w:val="none" w:sz="0" w:space="0" w:color="auto"/>
                        <w:bottom w:val="none" w:sz="0" w:space="0" w:color="auto"/>
                        <w:right w:val="none" w:sz="0" w:space="0" w:color="auto"/>
                      </w:divBdr>
                    </w:div>
                    <w:div w:id="232664172">
                      <w:marLeft w:val="0"/>
                      <w:marRight w:val="0"/>
                      <w:marTop w:val="0"/>
                      <w:marBottom w:val="0"/>
                      <w:divBdr>
                        <w:top w:val="none" w:sz="0" w:space="0" w:color="auto"/>
                        <w:left w:val="none" w:sz="0" w:space="0" w:color="auto"/>
                        <w:bottom w:val="none" w:sz="0" w:space="0" w:color="auto"/>
                        <w:right w:val="none" w:sz="0" w:space="0" w:color="auto"/>
                      </w:divBdr>
                    </w:div>
                    <w:div w:id="937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94210">
      <w:bodyDiv w:val="1"/>
      <w:marLeft w:val="0"/>
      <w:marRight w:val="0"/>
      <w:marTop w:val="0"/>
      <w:marBottom w:val="0"/>
      <w:divBdr>
        <w:top w:val="none" w:sz="0" w:space="0" w:color="auto"/>
        <w:left w:val="none" w:sz="0" w:space="0" w:color="auto"/>
        <w:bottom w:val="none" w:sz="0" w:space="0" w:color="auto"/>
        <w:right w:val="none" w:sz="0" w:space="0" w:color="auto"/>
      </w:divBdr>
      <w:divsChild>
        <w:div w:id="2981047">
          <w:marLeft w:val="0"/>
          <w:marRight w:val="0"/>
          <w:marTop w:val="0"/>
          <w:marBottom w:val="0"/>
          <w:divBdr>
            <w:top w:val="none" w:sz="0" w:space="0" w:color="auto"/>
            <w:left w:val="none" w:sz="0" w:space="0" w:color="auto"/>
            <w:bottom w:val="none" w:sz="0" w:space="0" w:color="auto"/>
            <w:right w:val="none" w:sz="0" w:space="0" w:color="auto"/>
          </w:divBdr>
          <w:divsChild>
            <w:div w:id="248581114">
              <w:marLeft w:val="0"/>
              <w:marRight w:val="0"/>
              <w:marTop w:val="0"/>
              <w:marBottom w:val="150"/>
              <w:divBdr>
                <w:top w:val="none" w:sz="0" w:space="0" w:color="auto"/>
                <w:left w:val="none" w:sz="0" w:space="0" w:color="auto"/>
                <w:bottom w:val="single" w:sz="6" w:space="0" w:color="CCCCCC"/>
                <w:right w:val="none" w:sz="0" w:space="0" w:color="auto"/>
              </w:divBdr>
              <w:divsChild>
                <w:div w:id="1368068271">
                  <w:marLeft w:val="0"/>
                  <w:marRight w:val="0"/>
                  <w:marTop w:val="0"/>
                  <w:marBottom w:val="0"/>
                  <w:divBdr>
                    <w:top w:val="none" w:sz="0" w:space="0" w:color="auto"/>
                    <w:left w:val="none" w:sz="0" w:space="0" w:color="auto"/>
                    <w:bottom w:val="none" w:sz="0" w:space="0" w:color="auto"/>
                    <w:right w:val="none" w:sz="0" w:space="0" w:color="auto"/>
                  </w:divBdr>
                  <w:divsChild>
                    <w:div w:id="4352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8750">
      <w:bodyDiv w:val="1"/>
      <w:marLeft w:val="0"/>
      <w:marRight w:val="0"/>
      <w:marTop w:val="0"/>
      <w:marBottom w:val="0"/>
      <w:divBdr>
        <w:top w:val="none" w:sz="0" w:space="0" w:color="auto"/>
        <w:left w:val="none" w:sz="0" w:space="0" w:color="auto"/>
        <w:bottom w:val="none" w:sz="0" w:space="0" w:color="auto"/>
        <w:right w:val="none" w:sz="0" w:space="0" w:color="auto"/>
      </w:divBdr>
    </w:div>
    <w:div w:id="1246575132">
      <w:bodyDiv w:val="1"/>
      <w:marLeft w:val="0"/>
      <w:marRight w:val="0"/>
      <w:marTop w:val="0"/>
      <w:marBottom w:val="0"/>
      <w:divBdr>
        <w:top w:val="none" w:sz="0" w:space="0" w:color="auto"/>
        <w:left w:val="none" w:sz="0" w:space="0" w:color="auto"/>
        <w:bottom w:val="none" w:sz="0" w:space="0" w:color="auto"/>
        <w:right w:val="none" w:sz="0" w:space="0" w:color="auto"/>
      </w:divBdr>
      <w:divsChild>
        <w:div w:id="497967459">
          <w:marLeft w:val="0"/>
          <w:marRight w:val="0"/>
          <w:marTop w:val="0"/>
          <w:marBottom w:val="0"/>
          <w:divBdr>
            <w:top w:val="none" w:sz="0" w:space="0" w:color="auto"/>
            <w:left w:val="none" w:sz="0" w:space="0" w:color="auto"/>
            <w:bottom w:val="none" w:sz="0" w:space="0" w:color="auto"/>
            <w:right w:val="none" w:sz="0" w:space="0" w:color="auto"/>
          </w:divBdr>
          <w:divsChild>
            <w:div w:id="644553474">
              <w:marLeft w:val="0"/>
              <w:marRight w:val="0"/>
              <w:marTop w:val="0"/>
              <w:marBottom w:val="150"/>
              <w:divBdr>
                <w:top w:val="none" w:sz="0" w:space="0" w:color="auto"/>
                <w:left w:val="none" w:sz="0" w:space="0" w:color="auto"/>
                <w:bottom w:val="single" w:sz="6" w:space="0" w:color="CCCCCC"/>
                <w:right w:val="none" w:sz="0" w:space="0" w:color="auto"/>
              </w:divBdr>
              <w:divsChild>
                <w:div w:id="1844859477">
                  <w:marLeft w:val="0"/>
                  <w:marRight w:val="0"/>
                  <w:marTop w:val="0"/>
                  <w:marBottom w:val="0"/>
                  <w:divBdr>
                    <w:top w:val="none" w:sz="0" w:space="0" w:color="auto"/>
                    <w:left w:val="none" w:sz="0" w:space="0" w:color="auto"/>
                    <w:bottom w:val="none" w:sz="0" w:space="0" w:color="auto"/>
                    <w:right w:val="none" w:sz="0" w:space="0" w:color="auto"/>
                  </w:divBdr>
                  <w:divsChild>
                    <w:div w:id="14081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0487">
      <w:bodyDiv w:val="1"/>
      <w:marLeft w:val="0"/>
      <w:marRight w:val="0"/>
      <w:marTop w:val="0"/>
      <w:marBottom w:val="0"/>
      <w:divBdr>
        <w:top w:val="none" w:sz="0" w:space="0" w:color="auto"/>
        <w:left w:val="none" w:sz="0" w:space="0" w:color="auto"/>
        <w:bottom w:val="none" w:sz="0" w:space="0" w:color="auto"/>
        <w:right w:val="none" w:sz="0" w:space="0" w:color="auto"/>
      </w:divBdr>
    </w:div>
    <w:div w:id="1881043374">
      <w:bodyDiv w:val="1"/>
      <w:marLeft w:val="0"/>
      <w:marRight w:val="0"/>
      <w:marTop w:val="0"/>
      <w:marBottom w:val="0"/>
      <w:divBdr>
        <w:top w:val="none" w:sz="0" w:space="0" w:color="auto"/>
        <w:left w:val="none" w:sz="0" w:space="0" w:color="auto"/>
        <w:bottom w:val="none" w:sz="0" w:space="0" w:color="auto"/>
        <w:right w:val="none" w:sz="0" w:space="0" w:color="auto"/>
      </w:divBdr>
      <w:divsChild>
        <w:div w:id="1242565512">
          <w:marLeft w:val="0"/>
          <w:marRight w:val="0"/>
          <w:marTop w:val="0"/>
          <w:marBottom w:val="0"/>
          <w:divBdr>
            <w:top w:val="none" w:sz="0" w:space="0" w:color="auto"/>
            <w:left w:val="none" w:sz="0" w:space="0" w:color="auto"/>
            <w:bottom w:val="none" w:sz="0" w:space="0" w:color="auto"/>
            <w:right w:val="none" w:sz="0" w:space="0" w:color="auto"/>
          </w:divBdr>
          <w:divsChild>
            <w:div w:id="642389676">
              <w:marLeft w:val="0"/>
              <w:marRight w:val="0"/>
              <w:marTop w:val="0"/>
              <w:marBottom w:val="150"/>
              <w:divBdr>
                <w:top w:val="none" w:sz="0" w:space="0" w:color="auto"/>
                <w:left w:val="none" w:sz="0" w:space="0" w:color="auto"/>
                <w:bottom w:val="single" w:sz="6" w:space="0" w:color="CCCCCC"/>
                <w:right w:val="none" w:sz="0" w:space="0" w:color="auto"/>
              </w:divBdr>
              <w:divsChild>
                <w:div w:id="1427841895">
                  <w:marLeft w:val="0"/>
                  <w:marRight w:val="0"/>
                  <w:marTop w:val="0"/>
                  <w:marBottom w:val="0"/>
                  <w:divBdr>
                    <w:top w:val="none" w:sz="0" w:space="0" w:color="auto"/>
                    <w:left w:val="none" w:sz="0" w:space="0" w:color="auto"/>
                    <w:bottom w:val="none" w:sz="0" w:space="0" w:color="auto"/>
                    <w:right w:val="none" w:sz="0" w:space="0" w:color="auto"/>
                  </w:divBdr>
                  <w:divsChild>
                    <w:div w:id="490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f58a13a-4de7-4470-beb9-3beec9fe212b" origin="userSelected">
  <element uid="8d729ffa-0262-4284-bb03-a1db8eed34e4" value=""/>
  <element uid="6303c239-ff00-4fdf-9c3f-740e3d1926b2" value=""/>
  <element uid="943711f7-e632-4c2d-a84a-e21324a8f72b"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</Value>
</WrappedLabelHistory>
</file>

<file path=customXml/itemProps1.xml><?xml version="1.0" encoding="utf-8"?>
<ds:datastoreItem xmlns:ds="http://schemas.openxmlformats.org/officeDocument/2006/customXml" ds:itemID="{34BBEEC6-5FBE-4A67-93E0-E785E41B5C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C9C617-5CD1-4A69-9261-F01266FFC6EA}">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wrighsl</cp:lastModifiedBy>
  <cp:revision>4</cp:revision>
  <cp:lastPrinted>2019-05-29T07:54:00Z</cp:lastPrinted>
  <dcterms:created xsi:type="dcterms:W3CDTF">2019-06-16T18:32:00Z</dcterms:created>
  <dcterms:modified xsi:type="dcterms:W3CDTF">2019-06-16T20:28:00Z</dcterms:modified>
</cp:coreProperties>
</file>