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72" w:rsidRDefault="00E02264" w:rsidP="002D6242">
      <w:pPr>
        <w:ind w:right="-428"/>
        <w:rPr>
          <w:rFonts w:eastAsia="Times New Roman"/>
          <w:sz w:val="22"/>
        </w:rPr>
      </w:pPr>
      <w:r>
        <w:rPr>
          <w:noProof/>
          <w:lang w:eastAsia="en-GB"/>
        </w:rPr>
        <w:drawing>
          <wp:anchor distT="0" distB="0" distL="114300" distR="114300" simplePos="0" relativeHeight="251660288" behindDoc="1" locked="0" layoutInCell="1" allowOverlap="1">
            <wp:simplePos x="0" y="0"/>
            <wp:positionH relativeFrom="column">
              <wp:posOffset>4530887</wp:posOffset>
            </wp:positionH>
            <wp:positionV relativeFrom="paragraph">
              <wp:posOffset>-182245</wp:posOffset>
            </wp:positionV>
            <wp:extent cx="2057400" cy="1513205"/>
            <wp:effectExtent l="0" t="0" r="0" b="0"/>
            <wp:wrapNone/>
            <wp:docPr id="1" name="Picture 1" descr="F2A4E6A5-86EA-4413-90D6-619423C4A8DF|3|Oracle.SmartView.EPRCS|{4b06746c-2bd4-4a73-9998-cba3e82d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1548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57400" cy="1513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Pr="000C0072" w:rsidRDefault="000C0072" w:rsidP="000C0072">
      <w:pPr>
        <w:rPr>
          <w:rFonts w:eastAsia="Times New Roman"/>
          <w:sz w:val="22"/>
        </w:rPr>
      </w:pPr>
    </w:p>
    <w:p w:rsidR="000C0072" w:rsidRDefault="000C0072" w:rsidP="000C0072">
      <w:pPr>
        <w:rPr>
          <w:rFonts w:eastAsia="Times New Roman"/>
          <w:sz w:val="22"/>
        </w:rPr>
      </w:pPr>
    </w:p>
    <w:p w:rsidR="00A46638" w:rsidRDefault="00A46638" w:rsidP="000C0072">
      <w:pPr>
        <w:rPr>
          <w:rFonts w:eastAsia="Times New Roman"/>
          <w:sz w:val="22"/>
        </w:rPr>
      </w:pPr>
    </w:p>
    <w:p w:rsidR="008D7EE5" w:rsidRDefault="008D7EE5" w:rsidP="000C0072">
      <w:pPr>
        <w:rPr>
          <w:rFonts w:eastAsia="Times New Roman"/>
          <w:sz w:val="22"/>
        </w:rPr>
      </w:pPr>
    </w:p>
    <w:p w:rsidR="008D7EE5" w:rsidRDefault="008D7EE5" w:rsidP="000C0072">
      <w:pPr>
        <w:rPr>
          <w:rFonts w:eastAsia="Times New Roman"/>
          <w:sz w:val="22"/>
        </w:rPr>
      </w:pPr>
    </w:p>
    <w:p w:rsidR="008D7EE5" w:rsidRPr="000C0072" w:rsidRDefault="008D7EE5" w:rsidP="000C0072">
      <w:pPr>
        <w:rPr>
          <w:rFonts w:eastAsia="Times New Roman"/>
          <w:sz w:val="22"/>
        </w:rPr>
      </w:pPr>
    </w:p>
    <w:p w:rsidR="008D7EE5" w:rsidRDefault="008D7EE5" w:rsidP="008D7EE5">
      <w:pPr>
        <w:pStyle w:val="Normal0"/>
        <w:rPr>
          <w:rFonts w:ascii="Arial" w:hAnsi="Arial" w:cs="Arial"/>
          <w:b/>
          <w:color w:val="003366"/>
          <w:sz w:val="56"/>
          <w:szCs w:val="56"/>
        </w:rPr>
      </w:pPr>
      <w:r>
        <w:rPr>
          <w:rFonts w:ascii="Arial" w:hAnsi="Arial" w:cs="Arial"/>
          <w:b/>
          <w:color w:val="003366"/>
          <w:sz w:val="56"/>
          <w:szCs w:val="56"/>
        </w:rPr>
        <w:t>Q3 2019</w:t>
      </w:r>
    </w:p>
    <w:p w:rsidR="008D7EE5" w:rsidRPr="00EF6AC8" w:rsidRDefault="008D7EE5" w:rsidP="008D7EE5">
      <w:pPr>
        <w:pStyle w:val="Normal0"/>
        <w:rPr>
          <w:rFonts w:ascii="Arial" w:hAnsi="Arial" w:cs="Arial"/>
          <w:b/>
          <w:color w:val="003366"/>
          <w:sz w:val="36"/>
          <w:szCs w:val="36"/>
        </w:rPr>
      </w:pPr>
      <w:r>
        <w:rPr>
          <w:rFonts w:ascii="Arial" w:hAnsi="Arial" w:cs="Arial"/>
          <w:b/>
          <w:color w:val="003366"/>
          <w:sz w:val="56"/>
          <w:szCs w:val="56"/>
        </w:rPr>
        <w:t>Interim Management Statement</w:t>
      </w:r>
    </w:p>
    <w:p w:rsidR="000C0072" w:rsidRDefault="000C0072" w:rsidP="000C0072">
      <w:pPr>
        <w:rPr>
          <w:rFonts w:eastAsia="Times New Roman"/>
          <w:sz w:val="22"/>
        </w:rPr>
      </w:pPr>
    </w:p>
    <w:p w:rsidR="008D7EE5" w:rsidRPr="000C0072" w:rsidRDefault="008D7EE5" w:rsidP="000C0072">
      <w:pPr>
        <w:rPr>
          <w:rFonts w:eastAsia="Times New Roman"/>
          <w:sz w:val="22"/>
        </w:rPr>
      </w:pPr>
    </w:p>
    <w:p w:rsidR="000C0072" w:rsidRPr="000C0072" w:rsidRDefault="000C0072" w:rsidP="000C0072">
      <w:pPr>
        <w:rPr>
          <w:rFonts w:eastAsia="Times New Roman"/>
          <w:sz w:val="22"/>
        </w:rPr>
      </w:pPr>
    </w:p>
    <w:p w:rsidR="00E106BC" w:rsidRDefault="00E106BC" w:rsidP="009E1D0C">
      <w:pPr>
        <w:tabs>
          <w:tab w:val="left" w:pos="5580"/>
        </w:tabs>
      </w:pPr>
    </w:p>
    <w:p w:rsidR="00A46638" w:rsidRDefault="00A46638" w:rsidP="001B21D1">
      <w:pPr>
        <w:pStyle w:val="Normal0"/>
        <w:rPr>
          <w:rFonts w:ascii="Arial" w:hAnsi="Arial" w:cs="Arial"/>
          <w:b/>
          <w:color w:val="003366"/>
          <w:sz w:val="56"/>
          <w:szCs w:val="56"/>
        </w:rPr>
      </w:pPr>
    </w:p>
    <w:p w:rsidR="0005496B" w:rsidRDefault="0005496B" w:rsidP="001B21D1">
      <w:pPr>
        <w:pStyle w:val="Normal0"/>
        <w:rPr>
          <w:rFonts w:ascii="Arial" w:hAnsi="Arial" w:cs="Arial"/>
          <w:b/>
          <w:color w:val="003366"/>
          <w:sz w:val="56"/>
          <w:szCs w:val="56"/>
        </w:rPr>
      </w:pPr>
    </w:p>
    <w:p w:rsidR="0005496B" w:rsidRDefault="0005496B" w:rsidP="001B21D1">
      <w:pPr>
        <w:pStyle w:val="Normal0"/>
        <w:rPr>
          <w:rFonts w:ascii="Arial" w:hAnsi="Arial" w:cs="Arial"/>
          <w:b/>
          <w:color w:val="003366"/>
          <w:sz w:val="56"/>
          <w:szCs w:val="56"/>
        </w:rPr>
      </w:pPr>
    </w:p>
    <w:p w:rsidR="0005496B" w:rsidRDefault="0005496B" w:rsidP="001B21D1">
      <w:pPr>
        <w:pStyle w:val="Normal0"/>
        <w:rPr>
          <w:rFonts w:ascii="Arial" w:hAnsi="Arial" w:cs="Arial"/>
          <w:b/>
          <w:color w:val="003366"/>
          <w:sz w:val="56"/>
          <w:szCs w:val="56"/>
        </w:rPr>
      </w:pPr>
    </w:p>
    <w:p w:rsidR="0005496B" w:rsidRDefault="0005496B" w:rsidP="001B21D1">
      <w:pPr>
        <w:pStyle w:val="Normal0"/>
        <w:rPr>
          <w:rFonts w:ascii="Arial" w:hAnsi="Arial" w:cs="Arial"/>
          <w:b/>
          <w:color w:val="003366"/>
          <w:sz w:val="56"/>
          <w:szCs w:val="56"/>
        </w:rPr>
      </w:pPr>
    </w:p>
    <w:p w:rsidR="0005496B" w:rsidRDefault="0005496B" w:rsidP="001B21D1">
      <w:pPr>
        <w:pStyle w:val="Normal0"/>
        <w:rPr>
          <w:rFonts w:ascii="Arial" w:hAnsi="Arial" w:cs="Arial"/>
          <w:b/>
          <w:color w:val="003366"/>
          <w:sz w:val="56"/>
          <w:szCs w:val="56"/>
        </w:rPr>
      </w:pPr>
    </w:p>
    <w:p w:rsidR="0005496B" w:rsidRDefault="0005496B" w:rsidP="001B21D1">
      <w:pPr>
        <w:pStyle w:val="Normal0"/>
        <w:rPr>
          <w:rFonts w:ascii="Arial" w:hAnsi="Arial" w:cs="Arial"/>
          <w:b/>
          <w:color w:val="003366"/>
          <w:sz w:val="56"/>
          <w:szCs w:val="56"/>
        </w:rPr>
      </w:pPr>
    </w:p>
    <w:p w:rsidR="0005496B" w:rsidRPr="001B21D1" w:rsidRDefault="0005496B" w:rsidP="001B21D1">
      <w:pPr>
        <w:pStyle w:val="Normal0"/>
        <w:rPr>
          <w:rFonts w:ascii="Arial" w:hAnsi="Arial" w:cs="Arial"/>
          <w:b/>
          <w:color w:val="003366"/>
          <w:sz w:val="56"/>
          <w:szCs w:val="56"/>
        </w:rPr>
      </w:pPr>
    </w:p>
    <w:p w:rsidR="0005496B" w:rsidRDefault="0005496B" w:rsidP="0005496B">
      <w:pPr>
        <w:pStyle w:val="Normal0"/>
        <w:rPr>
          <w:rFonts w:ascii="Arial" w:hAnsi="Arial" w:cs="Arial"/>
          <w:b/>
          <w:color w:val="FF0000"/>
          <w:sz w:val="50"/>
          <w:szCs w:val="50"/>
        </w:rPr>
      </w:pPr>
    </w:p>
    <w:p w:rsidR="00A46638" w:rsidRPr="0005496B" w:rsidRDefault="0005496B" w:rsidP="0005496B">
      <w:pPr>
        <w:pStyle w:val="Normal00"/>
        <w:outlineLvl w:val="0"/>
        <w:rPr>
          <w:rFonts w:ascii="Arial" w:eastAsia="SimSun" w:hAnsi="Arial" w:cs="Arial"/>
          <w:b/>
          <w:color w:val="003366"/>
        </w:rPr>
      </w:pPr>
      <w:r>
        <w:rPr>
          <w:rFonts w:ascii="Arial" w:hAnsi="Arial" w:cs="Arial"/>
          <w:b/>
          <w:color w:val="003366"/>
        </w:rPr>
        <w:t>The Royal Bank of Scotland Group</w:t>
      </w:r>
      <w:r>
        <w:rPr>
          <w:rFonts w:ascii="Arial" w:hAnsi="Arial" w:cs="Arial"/>
          <w:b/>
          <w:color w:val="003366"/>
        </w:rPr>
        <w:tab/>
      </w:r>
      <w:r>
        <w:rPr>
          <w:rFonts w:ascii="Arial" w:hAnsi="Arial" w:cs="Arial"/>
          <w:b/>
          <w:color w:val="003366"/>
        </w:rPr>
        <w:tab/>
      </w:r>
      <w:r>
        <w:rPr>
          <w:rFonts w:ascii="Arial" w:hAnsi="Arial" w:cs="Arial"/>
          <w:b/>
          <w:color w:val="003366"/>
        </w:rPr>
        <w:tab/>
      </w:r>
      <w:r>
        <w:rPr>
          <w:rFonts w:ascii="Arial" w:hAnsi="Arial" w:cs="Arial"/>
          <w:b/>
          <w:color w:val="003366"/>
        </w:rPr>
        <w:tab/>
      </w:r>
      <w:r>
        <w:rPr>
          <w:rFonts w:ascii="Arial" w:hAnsi="Arial" w:cs="Arial"/>
          <w:b/>
          <w:color w:val="003366"/>
        </w:rPr>
        <w:tab/>
      </w:r>
      <w:r>
        <w:rPr>
          <w:rFonts w:ascii="Arial" w:hAnsi="Arial" w:cs="Arial"/>
          <w:b/>
          <w:color w:val="003366"/>
        </w:rPr>
        <w:tab/>
      </w:r>
      <w:r>
        <w:rPr>
          <w:rFonts w:ascii="Arial" w:hAnsi="Arial" w:cs="Arial"/>
          <w:b/>
          <w:color w:val="003366"/>
        </w:rPr>
        <w:tab/>
        <w:t xml:space="preserve">    </w:t>
      </w:r>
      <w:r>
        <w:rPr>
          <w:rFonts w:ascii="Arial" w:eastAsia="SimSun" w:hAnsi="Arial" w:cs="Arial"/>
          <w:b/>
          <w:color w:val="003366"/>
        </w:rPr>
        <w:t>rbs.co</w:t>
      </w:r>
      <w:r w:rsidR="00EB77F8">
        <w:rPr>
          <w:rFonts w:ascii="Arial" w:eastAsia="SimSun" w:hAnsi="Arial" w:cs="Arial"/>
          <w:b/>
          <w:color w:val="003366"/>
        </w:rPr>
        <w:t>m</w:t>
      </w:r>
    </w:p>
    <w:p w:rsidR="00A46638" w:rsidRDefault="00A46638" w:rsidP="009E1D0C">
      <w:pPr>
        <w:tabs>
          <w:tab w:val="left" w:pos="5580"/>
        </w:tabs>
      </w:pPr>
    </w:p>
    <w:p w:rsidR="00E106BC" w:rsidRDefault="00E02264" w:rsidP="00A46638">
      <w:pPr>
        <w:spacing w:after="200"/>
      </w:pPr>
      <w:r>
        <w:br w:type="page"/>
      </w:r>
    </w:p>
    <w:p w:rsidR="00E106BC" w:rsidRDefault="00E106BC" w:rsidP="009E1D0C">
      <w:pPr>
        <w:tabs>
          <w:tab w:val="left" w:pos="5580"/>
        </w:tabs>
        <w:sectPr w:rsidR="00E106BC" w:rsidSect="002D6242">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680" w:left="851" w:header="708" w:footer="708" w:gutter="0"/>
          <w:cols w:space="708"/>
          <w:docGrid w:linePitch="360"/>
        </w:sectPr>
      </w:pPr>
    </w:p>
    <w:p w:rsidR="00FD4DF6" w:rsidRPr="00FA60F9" w:rsidRDefault="00E02264" w:rsidP="00175E75">
      <w:pPr>
        <w:rPr>
          <w:rFonts w:eastAsia="Calibri"/>
          <w:b/>
          <w:color w:val="0A2F64"/>
          <w:sz w:val="21"/>
          <w:szCs w:val="21"/>
          <w:lang w:eastAsia="ja-JP"/>
        </w:rPr>
      </w:pPr>
      <w:r w:rsidRPr="00FA60F9">
        <w:rPr>
          <w:rFonts w:eastAsia="Calibri"/>
          <w:b/>
          <w:color w:val="0A2F64"/>
          <w:sz w:val="21"/>
          <w:szCs w:val="21"/>
          <w:lang w:eastAsia="ja-JP"/>
        </w:rPr>
        <w:lastRenderedPageBreak/>
        <w:t>The Royal Bank of Scotland Group plc</w:t>
      </w:r>
    </w:p>
    <w:p w:rsidR="00FD4DF6" w:rsidRPr="00FA60F9" w:rsidRDefault="00E02264" w:rsidP="00175E75">
      <w:pPr>
        <w:pStyle w:val="Normal20"/>
        <w:spacing w:line="288" w:lineRule="auto"/>
        <w:jc w:val="both"/>
        <w:rPr>
          <w:rFonts w:eastAsia="Calibri"/>
          <w:b/>
          <w:color w:val="0A2F64"/>
          <w:sz w:val="21"/>
          <w:szCs w:val="21"/>
          <w:lang w:eastAsia="ja-JP"/>
        </w:rPr>
      </w:pPr>
      <w:r w:rsidRPr="00FA60F9">
        <w:rPr>
          <w:rFonts w:eastAsia="Calibri"/>
          <w:b/>
          <w:color w:val="0A2F64"/>
          <w:sz w:val="21"/>
          <w:szCs w:val="21"/>
          <w:lang w:eastAsia="ja-JP"/>
        </w:rPr>
        <w:t xml:space="preserve">Q3 2019 Interim Management Statement </w:t>
      </w:r>
    </w:p>
    <w:p w:rsidR="00FD4DF6" w:rsidRPr="00FA60F9" w:rsidRDefault="00FD4DF6" w:rsidP="00175E75">
      <w:pPr>
        <w:pStyle w:val="Normal20"/>
        <w:spacing w:line="288" w:lineRule="auto"/>
        <w:jc w:val="both"/>
        <w:rPr>
          <w:rFonts w:eastAsia="Calibri"/>
          <w:b/>
          <w:color w:val="0A2F64"/>
          <w:sz w:val="18"/>
          <w:szCs w:val="18"/>
          <w:lang w:eastAsia="ja-JP"/>
        </w:rPr>
      </w:pPr>
    </w:p>
    <w:p w:rsidR="00D6466A" w:rsidRPr="00FA60F9" w:rsidRDefault="00E02264" w:rsidP="00D6466A">
      <w:pPr>
        <w:pStyle w:val="Normal20"/>
        <w:spacing w:line="259" w:lineRule="auto"/>
        <w:rPr>
          <w:rFonts w:eastAsia="SimSun"/>
          <w:b/>
          <w:color w:val="003366"/>
          <w:sz w:val="21"/>
          <w:szCs w:val="21"/>
          <w:lang w:eastAsia="zh-CN"/>
        </w:rPr>
      </w:pPr>
      <w:r w:rsidRPr="00FA60F9">
        <w:rPr>
          <w:rFonts w:eastAsia="SimSun"/>
          <w:b/>
          <w:color w:val="003366"/>
          <w:sz w:val="21"/>
          <w:szCs w:val="21"/>
          <w:lang w:eastAsia="zh-CN"/>
        </w:rPr>
        <w:t xml:space="preserve">RBS reported an operating loss before tax of £8 million, which included a £900 million provision in respect of Payment Protection Insurance (PPI), compared with an operating profit of £961 million in Q3 2018. </w:t>
      </w:r>
    </w:p>
    <w:p w:rsidR="00B36D89" w:rsidRPr="00FA60F9" w:rsidRDefault="00B36D89" w:rsidP="00175E75">
      <w:pPr>
        <w:pStyle w:val="Normal20"/>
        <w:spacing w:line="259" w:lineRule="auto"/>
        <w:rPr>
          <w:rFonts w:eastAsia="SimSun"/>
          <w:b/>
          <w:color w:val="003366"/>
          <w:sz w:val="18"/>
          <w:szCs w:val="18"/>
          <w:lang w:eastAsia="zh-CN"/>
        </w:rPr>
      </w:pPr>
    </w:p>
    <w:tbl>
      <w:tblPr>
        <w:tblW w:w="10206" w:type="dxa"/>
        <w:tblCellMar>
          <w:left w:w="0" w:type="dxa"/>
          <w:right w:w="0" w:type="dxa"/>
        </w:tblCellMar>
        <w:tblLook w:val="01E0" w:firstRow="1" w:lastRow="1" w:firstColumn="1" w:lastColumn="1" w:noHBand="0" w:noVBand="0"/>
      </w:tblPr>
      <w:tblGrid>
        <w:gridCol w:w="381"/>
        <w:gridCol w:w="9825"/>
      </w:tblGrid>
      <w:tr w:rsidR="008E0433" w:rsidTr="00D6466A">
        <w:trPr>
          <w:trHeight w:val="219"/>
        </w:trPr>
        <w:tc>
          <w:tcPr>
            <w:tcW w:w="381" w:type="dxa"/>
          </w:tcPr>
          <w:p w:rsidR="00FD4DF6"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FD4DF6" w:rsidRPr="00FA60F9" w:rsidRDefault="00E02264" w:rsidP="00D6466A">
            <w:pPr>
              <w:pStyle w:val="Normal20"/>
              <w:spacing w:line="259" w:lineRule="auto"/>
              <w:ind w:right="98"/>
              <w:contextualSpacing/>
              <w:rPr>
                <w:rFonts w:eastAsia="Calibri"/>
                <w:sz w:val="21"/>
                <w:szCs w:val="21"/>
                <w:lang w:val="en-US" w:bidi="he-IL"/>
              </w:rPr>
            </w:pPr>
            <w:r>
              <w:rPr>
                <w:rFonts w:eastAsia="Calibri"/>
                <w:sz w:val="21"/>
                <w:szCs w:val="21"/>
                <w:lang w:val="en-US" w:bidi="he-IL"/>
              </w:rPr>
              <w:t>Return on tangible equity was 7.0% for Q3 2019 excluding the PPI charge.</w:t>
            </w:r>
          </w:p>
        </w:tc>
      </w:tr>
      <w:tr w:rsidR="008E0433" w:rsidTr="00D6466A">
        <w:trPr>
          <w:trHeight w:val="219"/>
        </w:trPr>
        <w:tc>
          <w:tcPr>
            <w:tcW w:w="381" w:type="dxa"/>
          </w:tcPr>
          <w:p w:rsidR="009C33B5"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9C33B5" w:rsidRPr="00FA60F9" w:rsidRDefault="00286C28" w:rsidP="00D6466A">
            <w:pPr>
              <w:pStyle w:val="Normal20"/>
              <w:spacing w:line="259" w:lineRule="auto"/>
              <w:ind w:right="98"/>
              <w:contextualSpacing/>
              <w:rPr>
                <w:rFonts w:eastAsia="Calibri"/>
                <w:sz w:val="21"/>
                <w:szCs w:val="21"/>
                <w:lang w:val="en-US" w:bidi="he-IL"/>
              </w:rPr>
            </w:pPr>
            <w:r>
              <w:rPr>
                <w:rFonts w:eastAsia="Calibri"/>
                <w:sz w:val="21"/>
                <w:szCs w:val="21"/>
                <w:lang w:val="en-US" w:bidi="he-IL"/>
              </w:rPr>
              <w:t>Income was broadly stable across the retail and commercial businesses compared with Q2 2019, excluding notable items.</w:t>
            </w:r>
          </w:p>
        </w:tc>
      </w:tr>
      <w:tr w:rsidR="008E0433" w:rsidTr="00D6466A">
        <w:trPr>
          <w:trHeight w:val="219"/>
        </w:trPr>
        <w:tc>
          <w:tcPr>
            <w:tcW w:w="381" w:type="dxa"/>
          </w:tcPr>
          <w:p w:rsidR="009C33B5"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9C33B5" w:rsidRPr="00FA60F9" w:rsidRDefault="00E02264" w:rsidP="00D6466A">
            <w:pPr>
              <w:pStyle w:val="Normal20"/>
              <w:spacing w:line="259" w:lineRule="auto"/>
              <w:ind w:right="98"/>
              <w:contextualSpacing/>
              <w:rPr>
                <w:rFonts w:eastAsia="Calibri"/>
                <w:sz w:val="21"/>
                <w:szCs w:val="21"/>
                <w:lang w:val="en-US" w:bidi="he-IL"/>
              </w:rPr>
            </w:pPr>
            <w:r>
              <w:rPr>
                <w:rFonts w:eastAsia="Calibri"/>
                <w:sz w:val="21"/>
                <w:szCs w:val="21"/>
                <w:lang w:val="en-US" w:bidi="he-IL"/>
              </w:rPr>
              <w:t>Group income was impacted by a particularly challenging quarter in NatWest Markets (NWM).</w:t>
            </w:r>
          </w:p>
        </w:tc>
      </w:tr>
      <w:tr w:rsidR="008E0433" w:rsidTr="00A9526E">
        <w:trPr>
          <w:trHeight w:val="517"/>
        </w:trPr>
        <w:tc>
          <w:tcPr>
            <w:tcW w:w="381" w:type="dxa"/>
          </w:tcPr>
          <w:p w:rsidR="00D6466A"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D6466A" w:rsidRPr="00FA60F9" w:rsidRDefault="00E02264" w:rsidP="009C33B5">
            <w:pPr>
              <w:spacing w:line="240" w:lineRule="auto"/>
              <w:rPr>
                <w:rFonts w:eastAsia="Calibri"/>
                <w:sz w:val="21"/>
                <w:szCs w:val="21"/>
                <w:lang w:val="en-US" w:bidi="he-IL"/>
              </w:rPr>
            </w:pPr>
            <w:r w:rsidRPr="00FA60F9">
              <w:rPr>
                <w:rFonts w:eastAsia="Calibri"/>
                <w:sz w:val="21"/>
                <w:szCs w:val="21"/>
                <w:lang w:val="en-US" w:bidi="he-IL"/>
              </w:rPr>
              <w:t xml:space="preserve">RBS reported an </w:t>
            </w:r>
            <w:proofErr w:type="gramStart"/>
            <w:r w:rsidRPr="00FA60F9">
              <w:rPr>
                <w:rFonts w:eastAsia="Calibri"/>
                <w:sz w:val="21"/>
                <w:szCs w:val="21"/>
                <w:lang w:val="en-US" w:bidi="he-IL"/>
              </w:rPr>
              <w:t>attributable</w:t>
            </w:r>
            <w:proofErr w:type="gramEnd"/>
            <w:r w:rsidRPr="00FA60F9">
              <w:rPr>
                <w:rFonts w:eastAsia="Calibri"/>
                <w:sz w:val="21"/>
                <w:szCs w:val="21"/>
                <w:lang w:val="en-US" w:bidi="he-IL"/>
              </w:rPr>
              <w:t xml:space="preserve"> loss of £315 million for Q3 2019.</w:t>
            </w:r>
          </w:p>
        </w:tc>
      </w:tr>
    </w:tbl>
    <w:p w:rsidR="00FD4DF6" w:rsidRPr="00FA60F9" w:rsidRDefault="00FD4DF6" w:rsidP="00175E75">
      <w:pPr>
        <w:pStyle w:val="Normal20"/>
        <w:spacing w:line="259" w:lineRule="auto"/>
        <w:ind w:right="96"/>
        <w:rPr>
          <w:rFonts w:eastAsia="SimSun"/>
          <w:b/>
          <w:color w:val="003366"/>
          <w:sz w:val="18"/>
          <w:szCs w:val="18"/>
          <w:lang w:eastAsia="zh-CN"/>
        </w:rPr>
      </w:pPr>
    </w:p>
    <w:p w:rsidR="00FD4DF6" w:rsidRPr="00FA60F9" w:rsidRDefault="00E02264" w:rsidP="00175E75">
      <w:pPr>
        <w:pStyle w:val="Normal20"/>
        <w:spacing w:line="259" w:lineRule="auto"/>
        <w:ind w:right="98"/>
        <w:rPr>
          <w:rFonts w:eastAsia="Calibri"/>
          <w:b/>
          <w:color w:val="1F497D"/>
          <w:sz w:val="21"/>
          <w:szCs w:val="21"/>
        </w:rPr>
      </w:pPr>
      <w:r w:rsidRPr="00FA60F9">
        <w:rPr>
          <w:rFonts w:eastAsia="Calibri"/>
          <w:b/>
          <w:color w:val="1F497D"/>
          <w:sz w:val="21"/>
          <w:szCs w:val="21"/>
        </w:rPr>
        <w:t>Supporting our customers through continued lending growth</w:t>
      </w:r>
    </w:p>
    <w:tbl>
      <w:tblPr>
        <w:tblW w:w="10206" w:type="dxa"/>
        <w:tblCellMar>
          <w:left w:w="0" w:type="dxa"/>
          <w:right w:w="0" w:type="dxa"/>
        </w:tblCellMar>
        <w:tblLook w:val="01E0" w:firstRow="1" w:lastRow="1" w:firstColumn="1" w:lastColumn="1" w:noHBand="0" w:noVBand="0"/>
      </w:tblPr>
      <w:tblGrid>
        <w:gridCol w:w="381"/>
        <w:gridCol w:w="9825"/>
      </w:tblGrid>
      <w:tr w:rsidR="008E0433" w:rsidTr="009C33B5">
        <w:trPr>
          <w:trHeight w:val="535"/>
        </w:trPr>
        <w:tc>
          <w:tcPr>
            <w:tcW w:w="381" w:type="dxa"/>
          </w:tcPr>
          <w:p w:rsidR="00902764"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2D0127" w:rsidRPr="00FA60F9" w:rsidRDefault="00E02264" w:rsidP="00175E75">
            <w:pPr>
              <w:pStyle w:val="Normal20"/>
              <w:spacing w:line="259" w:lineRule="auto"/>
              <w:ind w:right="98"/>
              <w:contextualSpacing/>
              <w:rPr>
                <w:rFonts w:eastAsia="Calibri"/>
                <w:sz w:val="21"/>
                <w:szCs w:val="21"/>
                <w:lang w:val="en-US" w:eastAsia="en-US" w:bidi="he-IL"/>
              </w:rPr>
            </w:pPr>
            <w:r w:rsidRPr="00FA60F9">
              <w:rPr>
                <w:rFonts w:eastAsia="Calibri"/>
                <w:sz w:val="21"/>
                <w:szCs w:val="21"/>
                <w:lang w:val="en-US" w:eastAsia="en-US" w:bidi="he-IL"/>
              </w:rPr>
              <w:t xml:space="preserve">UK Personal Banking (UK PB) gross new mortgage lending was £8.6 billion in Q3 2019 compared with £6.7 billion in Q2 2019. </w:t>
            </w:r>
          </w:p>
        </w:tc>
      </w:tr>
      <w:tr w:rsidR="008E0433" w:rsidTr="002E66B9">
        <w:trPr>
          <w:trHeight w:val="413"/>
        </w:trPr>
        <w:tc>
          <w:tcPr>
            <w:tcW w:w="381" w:type="dxa"/>
          </w:tcPr>
          <w:p w:rsidR="002D0127"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2D0127" w:rsidRPr="00FA60F9" w:rsidRDefault="00E02264" w:rsidP="00175E75">
            <w:pPr>
              <w:pStyle w:val="Normal20"/>
              <w:spacing w:line="259" w:lineRule="auto"/>
              <w:ind w:right="98"/>
              <w:contextualSpacing/>
              <w:rPr>
                <w:rFonts w:eastAsia="Calibri"/>
                <w:sz w:val="21"/>
                <w:szCs w:val="21"/>
                <w:lang w:val="en-US" w:eastAsia="en-US" w:bidi="he-IL"/>
              </w:rPr>
            </w:pPr>
            <w:r w:rsidRPr="00FA60F9">
              <w:rPr>
                <w:rFonts w:eastAsia="Calibri"/>
                <w:sz w:val="21"/>
                <w:szCs w:val="21"/>
                <w:lang w:val="en-US" w:eastAsia="en-US" w:bidi="he-IL"/>
              </w:rPr>
              <w:t xml:space="preserve">Commercial Banking net lending was £0.1 billion higher than Q2 2019. Across Business Banking, SME &amp; Mid-Corporate, and </w:t>
            </w:r>
            <w:proofErr w:type="spellStart"/>
            <w:r w:rsidRPr="00FA60F9">
              <w:rPr>
                <w:rFonts w:eastAsia="Calibri"/>
                <w:sz w:val="21"/>
                <w:szCs w:val="21"/>
                <w:lang w:val="en-US" w:eastAsia="en-US" w:bidi="he-IL"/>
              </w:rPr>
              <w:t>Specialised</w:t>
            </w:r>
            <w:proofErr w:type="spellEnd"/>
            <w:r w:rsidRPr="00FA60F9">
              <w:rPr>
                <w:rFonts w:eastAsia="Calibri"/>
                <w:sz w:val="21"/>
                <w:szCs w:val="21"/>
                <w:lang w:val="en-US" w:eastAsia="en-US" w:bidi="he-IL"/>
              </w:rPr>
              <w:t xml:space="preserve"> business, lending continues to increase, with year to date growth of £1.6 billion.</w:t>
            </w:r>
          </w:p>
        </w:tc>
      </w:tr>
      <w:tr w:rsidR="008E0433" w:rsidTr="002E66B9">
        <w:trPr>
          <w:trHeight w:val="709"/>
        </w:trPr>
        <w:tc>
          <w:tcPr>
            <w:tcW w:w="381" w:type="dxa"/>
          </w:tcPr>
          <w:p w:rsidR="00902764"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902764" w:rsidRPr="00FA60F9" w:rsidRDefault="00990046" w:rsidP="00FA60F9">
            <w:pPr>
              <w:pStyle w:val="Normal20"/>
              <w:spacing w:line="259" w:lineRule="auto"/>
              <w:ind w:right="98"/>
              <w:contextualSpacing/>
              <w:rPr>
                <w:sz w:val="21"/>
                <w:szCs w:val="21"/>
                <w:lang w:val="en-US" w:bidi="he-IL"/>
              </w:rPr>
            </w:pPr>
            <w:r w:rsidRPr="00FA60F9">
              <w:rPr>
                <w:sz w:val="21"/>
                <w:szCs w:val="21"/>
                <w:lang w:val="en-US" w:bidi="he-IL"/>
              </w:rPr>
              <w:t xml:space="preserve">We continue to achieve net lending growth across UK PB, Ulster Bank RoI, Commercial and Private Banking at attractive returns; net loans to customers increased by 3.2% on an </w:t>
            </w:r>
            <w:proofErr w:type="spellStart"/>
            <w:r w:rsidRPr="00FA60F9">
              <w:rPr>
                <w:sz w:val="21"/>
                <w:szCs w:val="21"/>
                <w:lang w:val="en-US" w:bidi="he-IL"/>
              </w:rPr>
              <w:t>annualised</w:t>
            </w:r>
            <w:proofErr w:type="spellEnd"/>
            <w:r w:rsidRPr="00FA60F9">
              <w:rPr>
                <w:sz w:val="21"/>
                <w:szCs w:val="21"/>
                <w:lang w:val="en-US" w:bidi="he-IL"/>
              </w:rPr>
              <w:t xml:space="preserve"> basis for the year to date, exceeding our 2-3% net loan growth target.</w:t>
            </w:r>
          </w:p>
        </w:tc>
      </w:tr>
      <w:tr w:rsidR="008E0433" w:rsidTr="00902764">
        <w:tc>
          <w:tcPr>
            <w:tcW w:w="381" w:type="dxa"/>
          </w:tcPr>
          <w:p w:rsidR="00902764"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902764" w:rsidRPr="00FA60F9" w:rsidRDefault="00E02264" w:rsidP="00175E75">
            <w:pPr>
              <w:pStyle w:val="Normal20"/>
              <w:spacing w:line="259" w:lineRule="auto"/>
              <w:ind w:right="98"/>
              <w:contextualSpacing/>
              <w:rPr>
                <w:sz w:val="21"/>
                <w:szCs w:val="21"/>
                <w:lang w:val="en-US" w:bidi="he-IL"/>
              </w:rPr>
            </w:pPr>
            <w:r w:rsidRPr="00FA60F9">
              <w:rPr>
                <w:sz w:val="21"/>
                <w:szCs w:val="21"/>
                <w:lang w:val="en-US" w:bidi="he-IL"/>
              </w:rPr>
              <w:t xml:space="preserve">Q3 2019 net impairment loss of £213 million equates to 26 basis points of gross customer loans, compared with 31 basis points in Q3 2018. The cost of risk remains below our view of a </w:t>
            </w:r>
            <w:proofErr w:type="spellStart"/>
            <w:r w:rsidRPr="00FA60F9">
              <w:rPr>
                <w:sz w:val="21"/>
                <w:szCs w:val="21"/>
                <w:lang w:val="en-US" w:bidi="he-IL"/>
              </w:rPr>
              <w:t>normalised</w:t>
            </w:r>
            <w:proofErr w:type="spellEnd"/>
            <w:r w:rsidRPr="00FA60F9">
              <w:rPr>
                <w:sz w:val="21"/>
                <w:szCs w:val="21"/>
                <w:lang w:val="en-US" w:bidi="he-IL"/>
              </w:rPr>
              <w:t xml:space="preserve"> long term loss rate of 30-40 basis points.</w:t>
            </w:r>
          </w:p>
        </w:tc>
      </w:tr>
    </w:tbl>
    <w:p w:rsidR="00FD4DF6" w:rsidRPr="00FA60F9" w:rsidRDefault="00FD4DF6" w:rsidP="00175E75">
      <w:pPr>
        <w:pStyle w:val="Normal20"/>
        <w:spacing w:line="259" w:lineRule="auto"/>
        <w:ind w:right="96"/>
        <w:rPr>
          <w:rFonts w:eastAsia="Calibri"/>
          <w:color w:val="1F497D"/>
          <w:sz w:val="21"/>
          <w:szCs w:val="21"/>
        </w:rPr>
      </w:pPr>
    </w:p>
    <w:p w:rsidR="00FD4DF6" w:rsidRPr="00FA60F9" w:rsidRDefault="00E02264" w:rsidP="00175E75">
      <w:pPr>
        <w:pStyle w:val="Normal20"/>
        <w:spacing w:line="259" w:lineRule="auto"/>
        <w:ind w:right="98"/>
        <w:rPr>
          <w:rFonts w:eastAsia="Calibri"/>
          <w:b/>
          <w:color w:val="0A2F64"/>
          <w:sz w:val="21"/>
          <w:szCs w:val="21"/>
          <w:lang w:eastAsia="ja-JP"/>
        </w:rPr>
      </w:pPr>
      <w:r w:rsidRPr="00FA60F9">
        <w:rPr>
          <w:rFonts w:eastAsia="Calibri"/>
          <w:b/>
          <w:color w:val="0A2F64"/>
          <w:sz w:val="21"/>
          <w:szCs w:val="21"/>
          <w:lang w:eastAsia="ja-JP"/>
        </w:rPr>
        <w:t xml:space="preserve">Continuing competitive market </w:t>
      </w:r>
    </w:p>
    <w:tbl>
      <w:tblPr>
        <w:tblW w:w="10206" w:type="dxa"/>
        <w:tblCellMar>
          <w:left w:w="0" w:type="dxa"/>
          <w:right w:w="0" w:type="dxa"/>
        </w:tblCellMar>
        <w:tblLook w:val="01E0" w:firstRow="1" w:lastRow="1" w:firstColumn="1" w:lastColumn="1" w:noHBand="0" w:noVBand="0"/>
      </w:tblPr>
      <w:tblGrid>
        <w:gridCol w:w="381"/>
        <w:gridCol w:w="9825"/>
      </w:tblGrid>
      <w:tr w:rsidR="008E0433" w:rsidTr="00902764">
        <w:trPr>
          <w:trHeight w:val="302"/>
        </w:trPr>
        <w:tc>
          <w:tcPr>
            <w:tcW w:w="381" w:type="dxa"/>
          </w:tcPr>
          <w:p w:rsidR="00902764"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902764" w:rsidRPr="00FA60F9" w:rsidRDefault="00E02264" w:rsidP="00D6466A">
            <w:pPr>
              <w:pStyle w:val="Normal20"/>
              <w:spacing w:line="259" w:lineRule="auto"/>
              <w:ind w:right="98"/>
              <w:contextualSpacing/>
              <w:rPr>
                <w:sz w:val="21"/>
                <w:szCs w:val="21"/>
                <w:lang w:val="en-US" w:bidi="he-IL"/>
              </w:rPr>
            </w:pPr>
            <w:r w:rsidRPr="00FA60F9">
              <w:rPr>
                <w:sz w:val="21"/>
                <w:szCs w:val="21"/>
                <w:lang w:val="en-US" w:bidi="he-IL"/>
              </w:rPr>
              <w:t>Across the retail and commercial businesses, income decreased by 3.1% compared with Q3 2018 excluding notable items.</w:t>
            </w:r>
          </w:p>
        </w:tc>
      </w:tr>
      <w:tr w:rsidR="008E0433" w:rsidTr="00990615">
        <w:trPr>
          <w:trHeight w:val="527"/>
        </w:trPr>
        <w:tc>
          <w:tcPr>
            <w:tcW w:w="381" w:type="dxa"/>
          </w:tcPr>
          <w:p w:rsidR="004B22D7"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4B22D7" w:rsidRPr="00FA60F9" w:rsidRDefault="00E02264" w:rsidP="00175E75">
            <w:pPr>
              <w:pStyle w:val="Normal20"/>
              <w:spacing w:line="259" w:lineRule="auto"/>
              <w:ind w:right="98"/>
              <w:contextualSpacing/>
              <w:rPr>
                <w:rFonts w:eastAsia="Calibri"/>
                <w:sz w:val="21"/>
                <w:szCs w:val="21"/>
                <w:lang w:val="en-US" w:eastAsia="en-US" w:bidi="he-IL"/>
              </w:rPr>
            </w:pPr>
            <w:r w:rsidRPr="00FA60F9">
              <w:rPr>
                <w:rFonts w:eastAsia="Calibri"/>
                <w:sz w:val="21"/>
                <w:szCs w:val="21"/>
                <w:lang w:val="en-US" w:eastAsia="en-US" w:bidi="he-IL"/>
              </w:rPr>
              <w:t>Bank net interest margin (NIM) of 1.97% was 5 basis points lower than Q2 2019 primarily reflecting the contraction of the yield curve and competitive pressures in the mortgage business as front book margins, whilst higher than Q2 2019, remain lower than back book margins.</w:t>
            </w:r>
          </w:p>
        </w:tc>
      </w:tr>
      <w:tr w:rsidR="008E0433" w:rsidTr="00990615">
        <w:trPr>
          <w:trHeight w:val="527"/>
        </w:trPr>
        <w:tc>
          <w:tcPr>
            <w:tcW w:w="381" w:type="dxa"/>
          </w:tcPr>
          <w:p w:rsidR="00902764"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902764" w:rsidRPr="00FA60F9" w:rsidRDefault="009E0D2D" w:rsidP="00AC7C63">
            <w:pPr>
              <w:pStyle w:val="Normal20"/>
              <w:spacing w:line="259" w:lineRule="auto"/>
              <w:ind w:right="98"/>
              <w:contextualSpacing/>
              <w:rPr>
                <w:rFonts w:eastAsia="Calibri"/>
                <w:sz w:val="21"/>
                <w:szCs w:val="21"/>
                <w:lang w:val="en-US" w:eastAsia="en-US" w:bidi="he-IL"/>
              </w:rPr>
            </w:pPr>
            <w:r>
              <w:rPr>
                <w:rFonts w:eastAsia="Calibri"/>
                <w:sz w:val="21"/>
                <w:szCs w:val="21"/>
                <w:lang w:val="en-US" w:eastAsia="en-US" w:bidi="he-IL"/>
              </w:rPr>
              <w:t xml:space="preserve">NWM had a challenging quarter with core income of £184 million, lower by £147 million, or 44.4%, than Q3 2018. Rates income in particular was impacted by </w:t>
            </w:r>
            <w:proofErr w:type="gramStart"/>
            <w:r>
              <w:rPr>
                <w:rFonts w:eastAsia="Calibri"/>
                <w:sz w:val="21"/>
                <w:szCs w:val="21"/>
                <w:lang w:val="en-US" w:eastAsia="en-US" w:bidi="he-IL"/>
              </w:rPr>
              <w:t>a deterioration</w:t>
            </w:r>
            <w:proofErr w:type="gramEnd"/>
            <w:r>
              <w:rPr>
                <w:rFonts w:eastAsia="Calibri"/>
                <w:sz w:val="21"/>
                <w:szCs w:val="21"/>
                <w:lang w:val="en-US" w:eastAsia="en-US" w:bidi="he-IL"/>
              </w:rPr>
              <w:t xml:space="preserve"> in economic sentiment for the global economy and a fall in bond yields. This, together with legacy items culminated in a loss of £193 million for the quarter.</w:t>
            </w:r>
          </w:p>
        </w:tc>
      </w:tr>
      <w:tr w:rsidR="008E0433" w:rsidTr="00990615">
        <w:trPr>
          <w:trHeight w:val="527"/>
        </w:trPr>
        <w:tc>
          <w:tcPr>
            <w:tcW w:w="381" w:type="dxa"/>
          </w:tcPr>
          <w:p w:rsidR="009C33B5" w:rsidRPr="00FA60F9" w:rsidRDefault="00E02264" w:rsidP="00175E75">
            <w:pPr>
              <w:pStyle w:val="Normal20"/>
              <w:spacing w:line="259" w:lineRule="auto"/>
              <w:ind w:right="98"/>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9C33B5" w:rsidRPr="00FA60F9" w:rsidRDefault="00E02264" w:rsidP="00175E75">
            <w:pPr>
              <w:pStyle w:val="Normal20"/>
              <w:spacing w:line="259" w:lineRule="auto"/>
              <w:ind w:right="98"/>
              <w:contextualSpacing/>
              <w:rPr>
                <w:rFonts w:eastAsia="Calibri"/>
                <w:sz w:val="21"/>
                <w:szCs w:val="21"/>
                <w:lang w:val="en-US" w:eastAsia="en-US" w:bidi="he-IL"/>
              </w:rPr>
            </w:pPr>
            <w:r w:rsidRPr="00FA60F9">
              <w:rPr>
                <w:sz w:val="21"/>
                <w:szCs w:val="21"/>
                <w:lang w:val="en-US" w:bidi="he-IL"/>
              </w:rPr>
              <w:t>Costs decreased by £20 million in comparison to Q3 2018, with a £193 million cost reduction achieved for the year to date. We remain on track to achieve our £300 million target for full year 2019.</w:t>
            </w:r>
          </w:p>
        </w:tc>
      </w:tr>
    </w:tbl>
    <w:p w:rsidR="00FD4DF6" w:rsidRPr="00FA60F9" w:rsidRDefault="00FD4DF6" w:rsidP="00175E75">
      <w:pPr>
        <w:pStyle w:val="Normal20"/>
        <w:spacing w:line="259" w:lineRule="auto"/>
        <w:ind w:right="96"/>
        <w:jc w:val="both"/>
        <w:rPr>
          <w:rFonts w:eastAsia="Calibri"/>
          <w:color w:val="1F497D"/>
          <w:sz w:val="21"/>
          <w:szCs w:val="21"/>
        </w:rPr>
      </w:pPr>
    </w:p>
    <w:p w:rsidR="00FD4DF6" w:rsidRPr="00FA60F9" w:rsidRDefault="00E02264" w:rsidP="00175E75">
      <w:pPr>
        <w:pStyle w:val="Normal20"/>
        <w:spacing w:line="259" w:lineRule="auto"/>
        <w:ind w:right="98"/>
        <w:rPr>
          <w:rFonts w:eastAsia="Calibri"/>
          <w:b/>
          <w:color w:val="0A2F64"/>
          <w:sz w:val="21"/>
          <w:szCs w:val="21"/>
          <w:lang w:eastAsia="ja-JP"/>
        </w:rPr>
      </w:pPr>
      <w:r w:rsidRPr="00FA60F9">
        <w:rPr>
          <w:rFonts w:eastAsia="Calibri"/>
          <w:b/>
          <w:color w:val="0A2F64"/>
          <w:sz w:val="21"/>
          <w:szCs w:val="21"/>
          <w:lang w:eastAsia="ja-JP"/>
        </w:rPr>
        <w:t xml:space="preserve">Capital generation </w:t>
      </w:r>
    </w:p>
    <w:tbl>
      <w:tblPr>
        <w:tblW w:w="10206" w:type="dxa"/>
        <w:tblCellMar>
          <w:left w:w="0" w:type="dxa"/>
          <w:right w:w="0" w:type="dxa"/>
        </w:tblCellMar>
        <w:tblLook w:val="01E0" w:firstRow="1" w:lastRow="1" w:firstColumn="1" w:lastColumn="1" w:noHBand="0" w:noVBand="0"/>
      </w:tblPr>
      <w:tblGrid>
        <w:gridCol w:w="381"/>
        <w:gridCol w:w="9825"/>
      </w:tblGrid>
      <w:tr w:rsidR="008E0433" w:rsidTr="002E66B9">
        <w:trPr>
          <w:trHeight w:val="201"/>
        </w:trPr>
        <w:tc>
          <w:tcPr>
            <w:tcW w:w="381" w:type="dxa"/>
          </w:tcPr>
          <w:p w:rsidR="00902764" w:rsidRPr="00FA60F9" w:rsidRDefault="00E02264" w:rsidP="00175E75">
            <w:pPr>
              <w:pStyle w:val="Normal20"/>
              <w:spacing w:line="259" w:lineRule="auto"/>
              <w:ind w:right="98"/>
              <w:jc w:val="both"/>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4B22D7" w:rsidRPr="00FA60F9" w:rsidRDefault="00E02264" w:rsidP="00175E75">
            <w:pPr>
              <w:pStyle w:val="Normal20"/>
              <w:spacing w:line="259" w:lineRule="auto"/>
              <w:ind w:right="98"/>
              <w:rPr>
                <w:rFonts w:eastAsia="Calibri"/>
                <w:sz w:val="21"/>
                <w:szCs w:val="21"/>
                <w:lang w:eastAsia="ja-JP"/>
              </w:rPr>
            </w:pPr>
            <w:r w:rsidRPr="00FA60F9">
              <w:rPr>
                <w:rFonts w:eastAsia="Calibri"/>
                <w:sz w:val="21"/>
                <w:szCs w:val="21"/>
                <w:lang w:eastAsia="ja-JP"/>
              </w:rPr>
              <w:t>CET1 ratio of 15.7% included a 50 basis point reduction in respect of the PPI charge.</w:t>
            </w:r>
          </w:p>
        </w:tc>
      </w:tr>
      <w:tr w:rsidR="008E0433" w:rsidTr="00902764">
        <w:tc>
          <w:tcPr>
            <w:tcW w:w="381" w:type="dxa"/>
          </w:tcPr>
          <w:p w:rsidR="00902764" w:rsidRPr="00FA60F9" w:rsidRDefault="00E02264" w:rsidP="00175E75">
            <w:pPr>
              <w:pStyle w:val="Normal20"/>
              <w:spacing w:line="259" w:lineRule="auto"/>
              <w:ind w:right="98"/>
              <w:jc w:val="both"/>
              <w:rPr>
                <w:rFonts w:eastAsia="SimSun"/>
                <w:color w:val="003366"/>
                <w:sz w:val="21"/>
                <w:szCs w:val="21"/>
                <w:lang w:eastAsia="ja-JP"/>
              </w:rPr>
            </w:pPr>
            <w:r w:rsidRPr="00FA60F9">
              <w:rPr>
                <w:rFonts w:eastAsia="SimSun"/>
                <w:color w:val="003366"/>
                <w:sz w:val="21"/>
                <w:szCs w:val="21"/>
                <w:lang w:eastAsia="ja-JP"/>
              </w:rPr>
              <w:t>●</w:t>
            </w:r>
          </w:p>
        </w:tc>
        <w:tc>
          <w:tcPr>
            <w:tcW w:w="9825" w:type="dxa"/>
          </w:tcPr>
          <w:p w:rsidR="00902764" w:rsidRPr="00FA60F9" w:rsidRDefault="00E02264" w:rsidP="00175E75">
            <w:pPr>
              <w:pStyle w:val="Normal20"/>
              <w:spacing w:line="259" w:lineRule="auto"/>
              <w:ind w:right="98"/>
              <w:contextualSpacing/>
              <w:rPr>
                <w:rFonts w:eastAsia="Calibri"/>
                <w:color w:val="000000"/>
                <w:sz w:val="21"/>
                <w:szCs w:val="21"/>
                <w:lang w:val="en-US" w:eastAsia="en-US" w:bidi="he-IL"/>
              </w:rPr>
            </w:pPr>
            <w:r w:rsidRPr="00FA60F9">
              <w:rPr>
                <w:rFonts w:eastAsia="Calibri"/>
                <w:color w:val="000000"/>
                <w:sz w:val="21"/>
                <w:szCs w:val="21"/>
                <w:lang w:val="en-US" w:eastAsia="en-US" w:bidi="he-IL"/>
              </w:rPr>
              <w:t xml:space="preserve">RWAs increased by £1.0 billion in Q3 2019 to £189.5 billion, principally reflecting an increase in NWM. In line with previous guidance, we expect to end the year with RWAs of around £185-190 billion. </w:t>
            </w:r>
          </w:p>
        </w:tc>
      </w:tr>
    </w:tbl>
    <w:p w:rsidR="002A395A" w:rsidRPr="00FA60F9" w:rsidRDefault="00E02264" w:rsidP="00175E75">
      <w:pPr>
        <w:pStyle w:val="Normal20"/>
        <w:spacing w:line="288" w:lineRule="auto"/>
        <w:jc w:val="both"/>
        <w:rPr>
          <w:rFonts w:eastAsia="SimSun"/>
          <w:color w:val="003366"/>
          <w:sz w:val="21"/>
          <w:szCs w:val="21"/>
          <w:lang w:eastAsia="ja-JP"/>
        </w:rPr>
      </w:pPr>
      <w:r w:rsidRPr="00FA60F9">
        <w:rPr>
          <w:rFonts w:eastAsia="SimSun"/>
          <w:color w:val="003366"/>
          <w:sz w:val="21"/>
          <w:szCs w:val="21"/>
          <w:lang w:eastAsia="ja-JP"/>
        </w:rPr>
        <w:t xml:space="preserve">    </w:t>
      </w:r>
      <w:r w:rsidRPr="00FA60F9">
        <w:rPr>
          <w:rFonts w:eastAsia="SimSun"/>
          <w:color w:val="003366"/>
          <w:sz w:val="21"/>
          <w:szCs w:val="21"/>
          <w:lang w:eastAsia="ja-JP"/>
        </w:rPr>
        <w:tab/>
      </w:r>
    </w:p>
    <w:p w:rsidR="004B22D7" w:rsidRPr="00FA60F9" w:rsidRDefault="004B22D7" w:rsidP="00175E75">
      <w:pPr>
        <w:pStyle w:val="Normal20"/>
        <w:spacing w:line="259" w:lineRule="auto"/>
        <w:ind w:right="98"/>
        <w:rPr>
          <w:rFonts w:eastAsia="Calibri"/>
          <w:b/>
          <w:color w:val="0A2F64"/>
          <w:sz w:val="21"/>
          <w:szCs w:val="21"/>
          <w:lang w:eastAsia="ja-JP"/>
        </w:rPr>
      </w:pPr>
    </w:p>
    <w:p w:rsidR="00FD4DF6" w:rsidRPr="00FA60F9" w:rsidRDefault="00E02264" w:rsidP="00175E75">
      <w:pPr>
        <w:pStyle w:val="Normal20"/>
        <w:spacing w:line="259" w:lineRule="auto"/>
        <w:ind w:right="98"/>
        <w:rPr>
          <w:rFonts w:eastAsia="Calibri"/>
          <w:b/>
          <w:color w:val="0A2F64"/>
          <w:sz w:val="21"/>
          <w:szCs w:val="21"/>
          <w:lang w:eastAsia="ja-JP"/>
        </w:rPr>
      </w:pPr>
      <w:r w:rsidRPr="00FA60F9">
        <w:rPr>
          <w:rFonts w:eastAsia="Calibri"/>
          <w:b/>
          <w:color w:val="0A2F64"/>
          <w:sz w:val="21"/>
          <w:szCs w:val="21"/>
          <w:lang w:eastAsia="ja-JP"/>
        </w:rPr>
        <w:t xml:space="preserve">2019 and 2020 outlook – </w:t>
      </w:r>
      <w:proofErr w:type="gramStart"/>
      <w:r w:rsidRPr="00FA60F9">
        <w:rPr>
          <w:rFonts w:eastAsia="Calibri"/>
          <w:b/>
          <w:color w:val="0A2F64"/>
          <w:sz w:val="21"/>
          <w:szCs w:val="21"/>
          <w:lang w:eastAsia="ja-JP"/>
        </w:rPr>
        <w:t>unchanged</w:t>
      </w:r>
      <w:r w:rsidRPr="0083115D">
        <w:rPr>
          <w:rFonts w:eastAsia="Calibri"/>
          <w:color w:val="0A2F64"/>
          <w:sz w:val="21"/>
          <w:szCs w:val="21"/>
          <w:vertAlign w:val="superscript"/>
          <w:lang w:eastAsia="ja-JP"/>
        </w:rPr>
        <w:t>(</w:t>
      </w:r>
      <w:proofErr w:type="gramEnd"/>
      <w:r w:rsidRPr="0083115D">
        <w:rPr>
          <w:rFonts w:eastAsia="Calibri"/>
          <w:color w:val="0A2F64"/>
          <w:sz w:val="21"/>
          <w:szCs w:val="21"/>
          <w:vertAlign w:val="superscript"/>
          <w:lang w:eastAsia="ja-JP"/>
        </w:rPr>
        <w:t>1)</w:t>
      </w:r>
    </w:p>
    <w:p w:rsidR="00FD4DF6" w:rsidRPr="00FA60F9" w:rsidRDefault="00E02264" w:rsidP="00175E75">
      <w:pPr>
        <w:pStyle w:val="Normal20"/>
        <w:spacing w:line="259" w:lineRule="auto"/>
        <w:ind w:right="96"/>
        <w:rPr>
          <w:rFonts w:eastAsia="Calibri"/>
          <w:sz w:val="21"/>
          <w:szCs w:val="21"/>
          <w:lang w:val="en-US" w:eastAsia="en-US" w:bidi="he-IL"/>
        </w:rPr>
      </w:pPr>
      <w:r w:rsidRPr="00FA60F9">
        <w:rPr>
          <w:rFonts w:eastAsia="Calibri"/>
          <w:sz w:val="21"/>
          <w:szCs w:val="21"/>
          <w:lang w:val="en-US" w:eastAsia="en-US" w:bidi="he-IL"/>
        </w:rPr>
        <w:t xml:space="preserve">We retain the outlook provided in the 2019 Interim Results. </w:t>
      </w:r>
    </w:p>
    <w:p w:rsidR="003628D9" w:rsidRPr="002E66B9" w:rsidRDefault="003628D9" w:rsidP="00175E75">
      <w:pPr>
        <w:pStyle w:val="Normal20"/>
        <w:spacing w:line="288" w:lineRule="auto"/>
        <w:ind w:right="98"/>
        <w:rPr>
          <w:rFonts w:eastAsia="Calibri"/>
          <w:sz w:val="18"/>
          <w:szCs w:val="18"/>
          <w:lang w:eastAsia="ja-JP"/>
        </w:rPr>
      </w:pPr>
    </w:p>
    <w:p w:rsidR="003628D9" w:rsidRPr="00C20616" w:rsidRDefault="00E02264" w:rsidP="00175E75">
      <w:pPr>
        <w:pStyle w:val="Normal20"/>
        <w:spacing w:line="288" w:lineRule="auto"/>
        <w:ind w:right="98"/>
        <w:rPr>
          <w:rFonts w:eastAsia="Calibri"/>
          <w:b/>
          <w:color w:val="003366"/>
          <w:sz w:val="14"/>
          <w:szCs w:val="14"/>
        </w:rPr>
      </w:pPr>
      <w:r w:rsidRPr="00C20616">
        <w:rPr>
          <w:rFonts w:eastAsia="Calibri"/>
          <w:sz w:val="14"/>
          <w:szCs w:val="14"/>
          <w:lang w:eastAsia="ja-JP"/>
        </w:rPr>
        <w:t>N</w:t>
      </w:r>
      <w:r w:rsidRPr="00C20616">
        <w:rPr>
          <w:rFonts w:eastAsia="Calibri"/>
          <w:sz w:val="14"/>
          <w:szCs w:val="14"/>
        </w:rPr>
        <w:t>ote:</w:t>
      </w:r>
    </w:p>
    <w:p w:rsidR="00C36715" w:rsidRPr="00C20616" w:rsidRDefault="00E02264" w:rsidP="00175E75">
      <w:pPr>
        <w:pStyle w:val="Normal20"/>
        <w:numPr>
          <w:ilvl w:val="0"/>
          <w:numId w:val="1"/>
        </w:numPr>
        <w:rPr>
          <w:rFonts w:eastAsia="Calibri"/>
          <w:b/>
          <w:color w:val="003366"/>
          <w:sz w:val="14"/>
          <w:szCs w:val="14"/>
        </w:rPr>
      </w:pPr>
      <w:r w:rsidRPr="00C20616">
        <w:rPr>
          <w:rFonts w:eastAsia="SimSun"/>
          <w:sz w:val="14"/>
          <w:szCs w:val="14"/>
          <w:lang w:eastAsia="en-US"/>
        </w:rPr>
        <w:t>The targets, expectations and trends discussed in this section represent management’s current expectations and are subject to change, including as a result of the factors described in the “Risk Factors” section on pages 253 to 263 of the 2018 Annual Report and Accounts and the Summary Risk Factors on pages 46 and 47 of the 2019 Interim Results. These statements constitute forward-looking statements. Refer to Forward-looking statements in this announcement.</w:t>
      </w:r>
    </w:p>
    <w:p w:rsidR="00902764" w:rsidRPr="002E66B9" w:rsidRDefault="00902764" w:rsidP="00175E75">
      <w:pPr>
        <w:pStyle w:val="Normal20"/>
        <w:ind w:left="284"/>
        <w:rPr>
          <w:rFonts w:eastAsia="Calibri"/>
          <w:b/>
          <w:color w:val="003366"/>
          <w:sz w:val="18"/>
          <w:szCs w:val="18"/>
        </w:rPr>
      </w:pPr>
    </w:p>
    <w:p w:rsidR="00990046" w:rsidRDefault="00990046" w:rsidP="00175E75">
      <w:pPr>
        <w:pStyle w:val="Normal20"/>
        <w:ind w:left="284"/>
        <w:rPr>
          <w:rFonts w:eastAsia="Calibri"/>
          <w:b/>
          <w:color w:val="003366"/>
          <w:sz w:val="20"/>
          <w:szCs w:val="20"/>
        </w:rPr>
      </w:pPr>
    </w:p>
    <w:p w:rsidR="00175E75" w:rsidRDefault="00E02264">
      <w:pPr>
        <w:spacing w:after="200"/>
        <w:rPr>
          <w:rFonts w:eastAsia="Calibri" w:cs="Arial"/>
          <w:b/>
          <w:color w:val="003366"/>
          <w:sz w:val="20"/>
          <w:szCs w:val="20"/>
          <w:lang w:eastAsia="en-GB"/>
        </w:rPr>
      </w:pPr>
      <w:r>
        <w:rPr>
          <w:rFonts w:eastAsia="Calibri"/>
          <w:b/>
          <w:color w:val="003366"/>
          <w:sz w:val="20"/>
          <w:szCs w:val="20"/>
        </w:rPr>
        <w:br w:type="page"/>
      </w:r>
    </w:p>
    <w:p w:rsidR="00990046" w:rsidRPr="00902764" w:rsidRDefault="00990046" w:rsidP="00175E75">
      <w:pPr>
        <w:pStyle w:val="Normal20"/>
        <w:ind w:left="284"/>
        <w:rPr>
          <w:rFonts w:eastAsia="Calibri"/>
          <w:b/>
          <w:color w:val="003366"/>
          <w:sz w:val="20"/>
          <w:szCs w:val="20"/>
        </w:rPr>
        <w:sectPr w:rsidR="00990046" w:rsidRPr="00902764" w:rsidSect="002F5F3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851" w:bottom="680" w:left="851" w:header="709" w:footer="709" w:gutter="0"/>
          <w:pgNumType w:start="1"/>
          <w:cols w:space="708"/>
          <w:docGrid w:linePitch="360"/>
        </w:sectPr>
      </w:pPr>
    </w:p>
    <w:p w:rsidR="00E1442D" w:rsidRPr="00DD7B2D" w:rsidRDefault="00E02264" w:rsidP="00E1442D">
      <w:pPr>
        <w:pStyle w:val="Heading1"/>
        <w:rPr>
          <w:rFonts w:cs="Arial"/>
          <w:color w:val="0A2F64"/>
          <w:sz w:val="18"/>
          <w:szCs w:val="18"/>
        </w:rPr>
      </w:pPr>
      <w:bookmarkStart w:id="0" w:name="Analysis_of_results"/>
      <w:r w:rsidRPr="00DD7B2D">
        <w:rPr>
          <w:rFonts w:cs="Arial"/>
          <w:color w:val="0A2F64"/>
          <w:sz w:val="18"/>
          <w:szCs w:val="18"/>
        </w:rPr>
        <w:lastRenderedPageBreak/>
        <w:t>Business performance summary</w:t>
      </w:r>
    </w:p>
    <w:bookmarkEnd w:id="0"/>
    <w:p w:rsidR="00E1442D" w:rsidRDefault="00E1442D"/>
    <w:tbl>
      <w:tblPr>
        <w:tblStyle w:val="table"/>
        <w:tblW w:w="10080" w:type="dxa"/>
        <w:tblInd w:w="5" w:type="dxa"/>
        <w:tblCellMar>
          <w:left w:w="0" w:type="dxa"/>
          <w:right w:w="0" w:type="dxa"/>
        </w:tblCellMar>
        <w:tblLook w:val="05E0" w:firstRow="1" w:lastRow="1" w:firstColumn="1" w:lastColumn="1" w:noHBand="0" w:noVBand="1"/>
      </w:tblPr>
      <w:tblGrid>
        <w:gridCol w:w="4515"/>
        <w:gridCol w:w="1110"/>
        <w:gridCol w:w="1110"/>
        <w:gridCol w:w="60"/>
        <w:gridCol w:w="1110"/>
        <w:gridCol w:w="1080"/>
        <w:gridCol w:w="1110"/>
      </w:tblGrid>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2220" w:type="dxa"/>
            <w:gridSpan w:val="2"/>
            <w:tcBorders>
              <w:bottom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center"/>
              <w:rPr>
                <w:rFonts w:eastAsia="Arial" w:cs="Arial"/>
                <w:b/>
                <w:bCs/>
                <w:color w:val="00346D"/>
                <w:sz w:val="16"/>
                <w:szCs w:val="16"/>
              </w:rPr>
            </w:pPr>
            <w:r>
              <w:rPr>
                <w:rFonts w:eastAsia="Arial" w:cs="Arial"/>
                <w:b/>
                <w:bCs/>
                <w:color w:val="00346D"/>
                <w:sz w:val="16"/>
                <w:szCs w:val="16"/>
              </w:rPr>
              <w:t>Nine months ended</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346D"/>
                <w:sz w:val="16"/>
                <w:szCs w:val="16"/>
              </w:rPr>
            </w:pPr>
          </w:p>
        </w:tc>
        <w:tc>
          <w:tcPr>
            <w:tcW w:w="3300" w:type="dxa"/>
            <w:gridSpan w:val="3"/>
            <w:tcBorders>
              <w:bottom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center"/>
              <w:rPr>
                <w:rFonts w:eastAsia="Arial" w:cs="Arial"/>
                <w:b/>
                <w:bCs/>
                <w:color w:val="00346D"/>
                <w:sz w:val="16"/>
                <w:szCs w:val="16"/>
              </w:rPr>
            </w:pPr>
            <w:r>
              <w:rPr>
                <w:rFonts w:eastAsia="Arial" w:cs="Arial"/>
                <w:b/>
                <w:bCs/>
                <w:color w:val="00346D"/>
                <w:sz w:val="16"/>
                <w:szCs w:val="16"/>
              </w:rPr>
              <w:t>Quarter ended</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346D"/>
                <w:sz w:val="16"/>
                <w:szCs w:val="16"/>
              </w:rPr>
            </w:pPr>
            <w:r>
              <w:rPr>
                <w:rFonts w:eastAsia="Arial" w:cs="Arial"/>
                <w:b/>
                <w:bCs/>
                <w:color w:val="00346D"/>
                <w:sz w:val="16"/>
                <w:szCs w:val="16"/>
              </w:rPr>
              <w:t>30 September</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346D"/>
                <w:sz w:val="16"/>
                <w:szCs w:val="16"/>
              </w:rPr>
            </w:pPr>
            <w:r>
              <w:rPr>
                <w:rFonts w:eastAsia="Arial" w:cs="Arial"/>
                <w:color w:val="00346D"/>
                <w:sz w:val="16"/>
                <w:szCs w:val="16"/>
              </w:rPr>
              <w:t>30 September</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color w:val="00346D"/>
                <w:sz w:val="16"/>
                <w:szCs w:val="16"/>
              </w:rPr>
            </w:pP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346D"/>
                <w:sz w:val="16"/>
                <w:szCs w:val="16"/>
              </w:rPr>
            </w:pPr>
            <w:r>
              <w:rPr>
                <w:rFonts w:eastAsia="Arial" w:cs="Arial"/>
                <w:b/>
                <w:bCs/>
                <w:color w:val="00346D"/>
                <w:sz w:val="16"/>
                <w:szCs w:val="16"/>
              </w:rPr>
              <w:t>30 September</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346D"/>
                <w:sz w:val="16"/>
                <w:szCs w:val="16"/>
              </w:rPr>
            </w:pPr>
            <w:r>
              <w:rPr>
                <w:rFonts w:eastAsia="Arial" w:cs="Arial"/>
                <w:color w:val="00346D"/>
                <w:sz w:val="16"/>
                <w:szCs w:val="16"/>
              </w:rPr>
              <w:t>30 June</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346D"/>
                <w:sz w:val="16"/>
                <w:szCs w:val="16"/>
              </w:rPr>
            </w:pPr>
            <w:r>
              <w:rPr>
                <w:rFonts w:eastAsia="Arial" w:cs="Arial"/>
                <w:color w:val="00346D"/>
                <w:sz w:val="16"/>
                <w:szCs w:val="16"/>
              </w:rPr>
              <w:t>30 September</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b/>
                <w:bCs/>
                <w:color w:val="00346D"/>
                <w:sz w:val="16"/>
                <w:szCs w:val="16"/>
              </w:rPr>
            </w:pPr>
            <w:r>
              <w:rPr>
                <w:rFonts w:eastAsia="Arial" w:cs="Arial"/>
                <w:b/>
                <w:bCs/>
                <w:color w:val="00346D"/>
                <w:sz w:val="16"/>
                <w:szCs w:val="16"/>
              </w:rPr>
              <w:t>Performance key metrics and ratios</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346D"/>
                <w:sz w:val="16"/>
                <w:szCs w:val="16"/>
              </w:rPr>
            </w:pPr>
            <w:r>
              <w:rPr>
                <w:rFonts w:eastAsia="Arial" w:cs="Arial"/>
                <w:b/>
                <w:bCs/>
                <w:color w:val="00346D"/>
                <w:sz w:val="16"/>
                <w:szCs w:val="16"/>
              </w:rPr>
              <w:t>2019</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346D"/>
                <w:sz w:val="16"/>
                <w:szCs w:val="16"/>
              </w:rPr>
            </w:pPr>
            <w:r>
              <w:rPr>
                <w:rFonts w:eastAsia="Arial" w:cs="Arial"/>
                <w:color w:val="00346D"/>
                <w:sz w:val="16"/>
                <w:szCs w:val="16"/>
              </w:rPr>
              <w:t>2018</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color w:val="00346D"/>
                <w:sz w:val="16"/>
                <w:szCs w:val="16"/>
              </w:rPr>
            </w:pP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346D"/>
                <w:sz w:val="16"/>
                <w:szCs w:val="16"/>
              </w:rPr>
            </w:pPr>
            <w:r>
              <w:rPr>
                <w:rFonts w:eastAsia="Arial" w:cs="Arial"/>
                <w:b/>
                <w:bCs/>
                <w:color w:val="00346D"/>
                <w:sz w:val="16"/>
                <w:szCs w:val="16"/>
              </w:rPr>
              <w:t>2019</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346D"/>
                <w:sz w:val="16"/>
                <w:szCs w:val="16"/>
              </w:rPr>
            </w:pPr>
            <w:r>
              <w:rPr>
                <w:rFonts w:eastAsia="Arial" w:cs="Arial"/>
                <w:color w:val="00346D"/>
                <w:sz w:val="16"/>
                <w:szCs w:val="16"/>
              </w:rPr>
              <w:t>2019</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346D"/>
                <w:sz w:val="16"/>
                <w:szCs w:val="16"/>
              </w:rPr>
            </w:pPr>
            <w:r>
              <w:rPr>
                <w:rFonts w:eastAsia="Arial" w:cs="Arial"/>
                <w:color w:val="00346D"/>
                <w:sz w:val="16"/>
                <w:szCs w:val="16"/>
              </w:rPr>
              <w:t>2018</w:t>
            </w:r>
          </w:p>
        </w:tc>
      </w:tr>
      <w:tr w:rsidR="008E0433">
        <w:trPr>
          <w:trHeight w:val="195"/>
        </w:trPr>
        <w:tc>
          <w:tcPr>
            <w:tcW w:w="4515" w:type="dxa"/>
            <w:tcBorders>
              <w:top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Operating profit/(loss) before tax</w:t>
            </w: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£2,686m</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£2,787m</w:t>
            </w:r>
          </w:p>
        </w:tc>
        <w:tc>
          <w:tcPr>
            <w:tcW w:w="60" w:type="dxa"/>
            <w:tcBorders>
              <w:top w:val="single" w:sz="6" w:space="0" w:color="003366"/>
            </w:tcBorders>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(£8m)</w:t>
            </w:r>
          </w:p>
        </w:tc>
        <w:tc>
          <w:tcPr>
            <w:tcW w:w="1080" w:type="dxa"/>
            <w:tcBorders>
              <w:top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£1,681m</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£961m</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Profit attributable to ordinary shareholders</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£1,723m</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£1,336m</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(£315m)</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£1,331m</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£448m</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32"/>
              </w:rPr>
              <w:t xml:space="preserve">Bank net interest margin (RBS NIM excluding NWM) </w:t>
            </w:r>
            <w:r>
              <w:rPr>
                <w:rStyle w:val="font71"/>
              </w:rPr>
              <w:t>(1)</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2.02%</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2.10%</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1.97%</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2.02%</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2.04%</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32"/>
              </w:rPr>
              <w:t xml:space="preserve">Bank average interest earning assets (RBS excluding NWM) </w:t>
            </w:r>
            <w:r>
              <w:rPr>
                <w:rStyle w:val="font71"/>
              </w:rPr>
              <w:t>(1)</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£410bn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£408bn</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£416bn</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£410bn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£416bn</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32"/>
              </w:rPr>
              <w:t xml:space="preserve">Cost:income ratio </w:t>
            </w:r>
            <w:r>
              <w:rPr>
                <w:rStyle w:val="font71"/>
              </w:rPr>
              <w:t>(1)</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67.5%</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69.1%</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92.9%</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52.6%</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66.7%</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2"/>
              </w:rPr>
              <w:t>Loan impairment rate</w:t>
            </w:r>
            <w:r>
              <w:rPr>
                <w:rStyle w:val="font600"/>
              </w:rPr>
              <w:t> (1)</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22bps</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16bps</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26bps</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30bps</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31bps</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Earnings per share</w:t>
            </w:r>
          </w:p>
        </w:tc>
        <w:tc>
          <w:tcPr>
            <w:tcW w:w="1110" w:type="dxa"/>
            <w:shd w:val="clear" w:color="auto" w:fill="C0C0C0"/>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b/>
                <w:bCs/>
                <w:color w:val="000000"/>
                <w:sz w:val="16"/>
                <w:szCs w:val="16"/>
              </w:rPr>
            </w:pPr>
          </w:p>
        </w:tc>
        <w:tc>
          <w:tcPr>
            <w:tcW w:w="108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basic</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14.3p</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11.1p</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(2.6p)</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11.0p</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3.7p</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basic fully diluted</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14.2p</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11.1p</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(2.6p)</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11.0p</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3.7p</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32"/>
              </w:rPr>
              <w:t xml:space="preserve">Return on tangible equity </w:t>
            </w:r>
            <w:r>
              <w:rPr>
                <w:rStyle w:val="font71"/>
              </w:rPr>
              <w:t>(1)</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6.8%</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5.3%</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15.8%</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5.4%</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Average tangible equity</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£34bn</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£33bn</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£34bn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£33bn</w:t>
            </w: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Average number of ordinary shares</w:t>
            </w:r>
          </w:p>
        </w:tc>
        <w:tc>
          <w:tcPr>
            <w:tcW w:w="1110" w:type="dxa"/>
            <w:shd w:val="clear" w:color="auto" w:fill="C0C0C0"/>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b/>
                <w:bCs/>
                <w:color w:val="000000"/>
                <w:sz w:val="16"/>
                <w:szCs w:val="16"/>
              </w:rPr>
            </w:pPr>
          </w:p>
        </w:tc>
        <w:tc>
          <w:tcPr>
            <w:tcW w:w="108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outstanding during the period (millions)</w:t>
            </w:r>
          </w:p>
        </w:tc>
        <w:tc>
          <w:tcPr>
            <w:tcW w:w="1110" w:type="dxa"/>
            <w:shd w:val="clear" w:color="auto" w:fill="C0C0C0"/>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b/>
                <w:bCs/>
                <w:color w:val="000000"/>
                <w:sz w:val="16"/>
                <w:szCs w:val="16"/>
              </w:rPr>
            </w:pPr>
          </w:p>
        </w:tc>
        <w:tc>
          <w:tcPr>
            <w:tcW w:w="108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r>
      <w:tr w:rsidR="008E0433">
        <w:trPr>
          <w:trHeight w:val="195"/>
        </w:trPr>
        <w:tc>
          <w:tcPr>
            <w:tcW w:w="451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basic</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12,064</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11,998</w:t>
            </w:r>
          </w:p>
        </w:tc>
        <w:tc>
          <w:tcPr>
            <w:tcW w:w="6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12,075</w:t>
            </w:r>
          </w:p>
        </w:tc>
        <w:tc>
          <w:tcPr>
            <w:tcW w:w="108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12,069</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12,034</w:t>
            </w:r>
          </w:p>
        </w:tc>
      </w:tr>
      <w:tr w:rsidR="008E0433">
        <w:trPr>
          <w:trHeight w:val="195"/>
        </w:trPr>
        <w:tc>
          <w:tcPr>
            <w:tcW w:w="4515" w:type="dxa"/>
            <w:tcBorders>
              <w:bottom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32"/>
                <w:rFonts w:ascii="Times New Roman" w:eastAsia="Times New Roman" w:hAnsi="Times New Roman" w:cs="Times New Roman"/>
              </w:rPr>
              <w:t xml:space="preserve">  </w:t>
            </w:r>
            <w:r>
              <w:rPr>
                <w:rStyle w:val="font32"/>
              </w:rPr>
              <w:t xml:space="preserve">- fully diluted </w:t>
            </w:r>
            <w:r>
              <w:rPr>
                <w:rStyle w:val="font71"/>
              </w:rPr>
              <w:t>(2)</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12,099</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12,053</w:t>
            </w:r>
          </w:p>
        </w:tc>
        <w:tc>
          <w:tcPr>
            <w:tcW w:w="60" w:type="dxa"/>
            <w:tcBorders>
              <w:bottom w:val="single" w:sz="6" w:space="0" w:color="003366"/>
            </w:tcBorders>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12,106</w:t>
            </w:r>
          </w:p>
        </w:tc>
        <w:tc>
          <w:tcPr>
            <w:tcW w:w="1080" w:type="dxa"/>
            <w:tcBorders>
              <w:bottom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12,104</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12,083</w:t>
            </w:r>
          </w:p>
        </w:tc>
      </w:tr>
    </w:tbl>
    <w:p w:rsidR="004774C2" w:rsidRDefault="004774C2" w:rsidP="00E1442D">
      <w:pPr>
        <w:pStyle w:val="Normal20"/>
        <w:rPr>
          <w:rFonts w:eastAsia="SimSun"/>
          <w:noProof/>
          <w:color w:val="000000"/>
          <w:sz w:val="14"/>
          <w:szCs w:val="14"/>
        </w:rPr>
      </w:pPr>
    </w:p>
    <w:tbl>
      <w:tblPr>
        <w:tblStyle w:val="table"/>
        <w:tblW w:w="10120" w:type="dxa"/>
        <w:tblInd w:w="5" w:type="dxa"/>
        <w:tblCellMar>
          <w:left w:w="0" w:type="dxa"/>
          <w:right w:w="0" w:type="dxa"/>
        </w:tblCellMar>
        <w:tblLook w:val="05E0" w:firstRow="1" w:lastRow="1" w:firstColumn="1" w:lastColumn="1" w:noHBand="0" w:noVBand="1"/>
      </w:tblPr>
      <w:tblGrid>
        <w:gridCol w:w="6810"/>
        <w:gridCol w:w="1110"/>
        <w:gridCol w:w="1110"/>
        <w:gridCol w:w="1095"/>
      </w:tblGrid>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3366"/>
                <w:sz w:val="16"/>
                <w:szCs w:val="16"/>
              </w:rPr>
            </w:pPr>
            <w:r>
              <w:rPr>
                <w:rFonts w:eastAsia="Arial" w:cs="Arial"/>
                <w:color w:val="003366"/>
                <w:sz w:val="16"/>
                <w:szCs w:val="16"/>
              </w:rPr>
              <w:t>31 December</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b/>
                <w:bCs/>
                <w:color w:val="003366"/>
                <w:sz w:val="16"/>
                <w:szCs w:val="16"/>
              </w:rPr>
            </w:pPr>
            <w:r>
              <w:rPr>
                <w:rFonts w:eastAsia="Arial" w:cs="Arial"/>
                <w:b/>
                <w:bCs/>
                <w:color w:val="003366"/>
                <w:sz w:val="16"/>
                <w:szCs w:val="16"/>
              </w:rPr>
              <w:t>Balance sheet key metrics and ratios</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6810" w:type="dxa"/>
            <w:tcBorders>
              <w:top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Total assets</w:t>
            </w: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£776.5bn</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£729.9bn</w:t>
            </w:r>
          </w:p>
        </w:tc>
        <w:tc>
          <w:tcPr>
            <w:tcW w:w="1095" w:type="dxa"/>
            <w:tcBorders>
              <w:top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£694.2bn</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2"/>
              </w:rPr>
              <w:t xml:space="preserve">Funded assets </w:t>
            </w:r>
            <w:r>
              <w:rPr>
                <w:rStyle w:val="font600"/>
              </w:rPr>
              <w:t>(1)</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£600.7bn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£584.3bn</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£560.9bn</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Loans to customers - amortised cost</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£319.5bn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£310.6bn</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£305.1bn</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Impairment provisions</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£3.2bn</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£3.3bn</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£369.7bn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£361.6bn</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£360.9bn</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Liquidity coverage ratio (LCR)</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148%</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154%</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158%</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Liquidity portfolio</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£193bn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£203bn</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£198bn</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2"/>
              </w:rPr>
              <w:t xml:space="preserve">Net stable funding ratio (NSFR) </w:t>
            </w:r>
            <w:r>
              <w:rPr>
                <w:rStyle w:val="font71"/>
              </w:rPr>
              <w:t>(3)</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140%</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140%</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141%</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2"/>
              </w:rPr>
              <w:t xml:space="preserve">Loan:deposit ratio </w:t>
            </w:r>
            <w:r>
              <w:rPr>
                <w:rStyle w:val="font71"/>
              </w:rPr>
              <w:t>(1)</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86%</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86%</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85%</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Total wholesale funding</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£78bn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£78bn</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£74bn</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Short-term wholesale funding</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£19bn</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£15bn</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Common Equity Tier (CET1) ratio</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15.7%</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16.2%</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Total capital ratio</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20.5%</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20.9%</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21.8%</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2"/>
              </w:rPr>
              <w:t>Pro forma CET 1 ratio, pre dividend accrual</w:t>
            </w:r>
            <w:r>
              <w:rPr>
                <w:rStyle w:val="font600"/>
              </w:rPr>
              <w:t xml:space="preserve"> </w:t>
            </w:r>
            <w:r>
              <w:rPr>
                <w:rStyle w:val="font71"/>
              </w:rPr>
              <w:t>(4)</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15.9%</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17.1%</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16.9%</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Risk-weighted assets (RWAs)</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£189.5bn</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£188.5bn</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£188.7bn</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CRR leverage ratio</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5.0%</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5.2%</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5.4%</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UK leverage ratio</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5.9%</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6.2%</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945E2D" w:rsidRDefault="00945E2D">
            <w:pPr>
              <w:spacing w:line="240" w:lineRule="auto"/>
              <w:contextualSpacing/>
              <w:jc w:val="right"/>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c>
          <w:tcPr>
            <w:tcW w:w="1095" w:type="dxa"/>
            <w:shd w:val="clear" w:color="auto" w:fill="FFFFFF"/>
            <w:noWrap/>
            <w:tcMar>
              <w:top w:w="0" w:type="dxa"/>
              <w:left w:w="5" w:type="dxa"/>
              <w:bottom w:w="0" w:type="dxa"/>
              <w:right w:w="5" w:type="dxa"/>
            </w:tcMar>
            <w:vAlign w:val="bottom"/>
            <w:hideMark/>
          </w:tcPr>
          <w:p w:rsidR="00945E2D" w:rsidRDefault="00945E2D">
            <w:pPr>
              <w:spacing w:line="240" w:lineRule="auto"/>
              <w:contextualSpacing/>
              <w:rPr>
                <w:rFonts w:eastAsia="Arial" w:cs="Arial"/>
                <w:color w:val="000000"/>
                <w:sz w:val="16"/>
                <w:szCs w:val="16"/>
              </w:rPr>
            </w:pP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Tangible net asset value (TNAV) per ordinary share</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272p</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290p</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287p</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2"/>
              </w:rPr>
              <w:t xml:space="preserve">Tangible net asset value (TNAV) per ordinary share - fully diluted </w:t>
            </w:r>
            <w:r>
              <w:rPr>
                <w:rStyle w:val="font71"/>
              </w:rPr>
              <w:t>(1,2)</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272p</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289p</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286p</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Tangible equity</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£32,930m</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£35,036m</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£34,566m</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Fonts w:eastAsia="Arial" w:cs="Arial"/>
                <w:color w:val="000000"/>
                <w:sz w:val="16"/>
                <w:szCs w:val="16"/>
              </w:rPr>
              <w:t>Number of ordinary shares in issue (millions)</w:t>
            </w:r>
          </w:p>
        </w:tc>
        <w:tc>
          <w:tcPr>
            <w:tcW w:w="1110" w:type="dxa"/>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12,094</w:t>
            </w:r>
          </w:p>
        </w:tc>
        <w:tc>
          <w:tcPr>
            <w:tcW w:w="1110"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12,091</w:t>
            </w:r>
          </w:p>
        </w:tc>
        <w:tc>
          <w:tcPr>
            <w:tcW w:w="1095" w:type="dxa"/>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12,049</w:t>
            </w:r>
          </w:p>
        </w:tc>
      </w:tr>
      <w:tr w:rsidR="008E0433">
        <w:trPr>
          <w:trHeight w:val="195"/>
        </w:trPr>
        <w:tc>
          <w:tcPr>
            <w:tcW w:w="6810" w:type="dxa"/>
            <w:tcBorders>
              <w:bottom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rPr>
                <w:rFonts w:eastAsia="Arial" w:cs="Arial"/>
                <w:color w:val="000000"/>
                <w:sz w:val="16"/>
                <w:szCs w:val="16"/>
              </w:rPr>
            </w:pPr>
            <w:r>
              <w:rPr>
                <w:rStyle w:val="font2"/>
              </w:rPr>
              <w:t xml:space="preserve">Number of ordinary shares in issue (millions) - fully diluted </w:t>
            </w:r>
            <w:r>
              <w:rPr>
                <w:rStyle w:val="font71"/>
              </w:rPr>
              <w:t>(2,5)</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12,124</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12,124</w:t>
            </w:r>
          </w:p>
        </w:tc>
        <w:tc>
          <w:tcPr>
            <w:tcW w:w="1095" w:type="dxa"/>
            <w:tcBorders>
              <w:bottom w:val="single" w:sz="6" w:space="0" w:color="003366"/>
            </w:tcBorders>
            <w:shd w:val="clear" w:color="auto" w:fill="FFFFFF"/>
            <w:noWrap/>
            <w:tcMar>
              <w:top w:w="0" w:type="dxa"/>
              <w:left w:w="5" w:type="dxa"/>
              <w:bottom w:w="0" w:type="dxa"/>
              <w:right w:w="5" w:type="dxa"/>
            </w:tcMar>
            <w:vAlign w:val="bottom"/>
            <w:hideMark/>
          </w:tcPr>
          <w:p w:rsidR="00945E2D" w:rsidRDefault="00E02264">
            <w:pPr>
              <w:spacing w:line="240" w:lineRule="auto"/>
              <w:contextualSpacing/>
              <w:jc w:val="right"/>
              <w:rPr>
                <w:rFonts w:eastAsia="Arial" w:cs="Arial"/>
                <w:color w:val="000000"/>
                <w:sz w:val="16"/>
                <w:szCs w:val="16"/>
              </w:rPr>
            </w:pPr>
            <w:r>
              <w:rPr>
                <w:rFonts w:eastAsia="Arial" w:cs="Arial"/>
                <w:color w:val="000000"/>
                <w:sz w:val="16"/>
                <w:szCs w:val="16"/>
              </w:rPr>
              <w:t>12,088</w:t>
            </w:r>
          </w:p>
        </w:tc>
      </w:tr>
    </w:tbl>
    <w:p w:rsidR="00A53A54" w:rsidRDefault="00A53A54" w:rsidP="00E1442D">
      <w:pPr>
        <w:pStyle w:val="Normal20"/>
        <w:rPr>
          <w:rFonts w:eastAsia="SimSun"/>
          <w:noProof/>
          <w:color w:val="000000"/>
          <w:sz w:val="14"/>
          <w:szCs w:val="14"/>
        </w:rPr>
      </w:pPr>
    </w:p>
    <w:p w:rsidR="00E1442D" w:rsidRDefault="00E02264" w:rsidP="00E1442D">
      <w:pPr>
        <w:pStyle w:val="Normal20"/>
        <w:rPr>
          <w:rFonts w:eastAsia="SimSun"/>
          <w:noProof/>
          <w:color w:val="000000"/>
          <w:sz w:val="14"/>
          <w:szCs w:val="14"/>
        </w:rPr>
      </w:pPr>
      <w:r w:rsidRPr="001A7AD7">
        <w:rPr>
          <w:rFonts w:eastAsia="SimSun"/>
          <w:noProof/>
          <w:color w:val="000000"/>
          <w:sz w:val="14"/>
          <w:szCs w:val="14"/>
        </w:rPr>
        <w:t>Notes:</w:t>
      </w:r>
    </w:p>
    <w:p w:rsidR="00E1442D" w:rsidRPr="002E7972" w:rsidRDefault="00E02264" w:rsidP="00E1442D">
      <w:pPr>
        <w:pStyle w:val="Normal20"/>
        <w:numPr>
          <w:ilvl w:val="0"/>
          <w:numId w:val="2"/>
        </w:numPr>
        <w:rPr>
          <w:rFonts w:eastAsia="SimSun"/>
          <w:noProof/>
          <w:color w:val="000000"/>
          <w:sz w:val="14"/>
          <w:szCs w:val="14"/>
        </w:rPr>
      </w:pPr>
      <w:r>
        <w:rPr>
          <w:rFonts w:eastAsia="SimSun"/>
          <w:sz w:val="14"/>
          <w:szCs w:val="14"/>
          <w:lang w:eastAsia="en-US"/>
        </w:rPr>
        <w:t xml:space="preserve">Refer to the Appendix for details of basis of preparation and reconciliation of non-IFRS financial and performance measures. </w:t>
      </w:r>
    </w:p>
    <w:p w:rsidR="00E1442D" w:rsidRPr="009E0EA1" w:rsidRDefault="00E02264" w:rsidP="00E1442D">
      <w:pPr>
        <w:pStyle w:val="Normal20"/>
        <w:numPr>
          <w:ilvl w:val="0"/>
          <w:numId w:val="2"/>
        </w:numPr>
        <w:rPr>
          <w:rFonts w:eastAsia="SimSun"/>
          <w:noProof/>
          <w:color w:val="000000"/>
          <w:sz w:val="14"/>
          <w:szCs w:val="14"/>
        </w:rPr>
      </w:pPr>
      <w:r w:rsidRPr="001A7AD7">
        <w:rPr>
          <w:rFonts w:eastAsia="SimSun"/>
          <w:sz w:val="14"/>
          <w:szCs w:val="14"/>
          <w:lang w:eastAsia="en-US"/>
        </w:rPr>
        <w:t>Includes the effect of dilutive share options and convertible securities. Dilutive shares on an average basis for Q3 2019 were 31 million shares and for nine months ended 30 September 2019 were 35 million shares; (Q2 2019 - 35 million shares, Q3 2018 - 49 million shares; nine months ended 30 September 2018 - 55 million shares), and as at 30 September 2019 were 30 million shares (30 June 2019 - 33 million shares; 31 December 2018 - 39 million shares).</w:t>
      </w:r>
    </w:p>
    <w:p w:rsidR="00E1442D" w:rsidRPr="002E7972" w:rsidRDefault="00E02264" w:rsidP="00E1442D">
      <w:pPr>
        <w:pStyle w:val="Normal20"/>
        <w:numPr>
          <w:ilvl w:val="0"/>
          <w:numId w:val="2"/>
        </w:numPr>
        <w:rPr>
          <w:rFonts w:eastAsia="SimSun"/>
          <w:noProof/>
          <w:color w:val="000000"/>
          <w:sz w:val="14"/>
          <w:szCs w:val="14"/>
        </w:rPr>
      </w:pPr>
      <w:r>
        <w:rPr>
          <w:rFonts w:eastAsia="SimSun"/>
          <w:sz w:val="14"/>
          <w:szCs w:val="14"/>
          <w:lang w:eastAsia="en-US"/>
        </w:rPr>
        <w:t>NSFR reported in line with CRR2 regulations finalised in June 2019.</w:t>
      </w:r>
    </w:p>
    <w:p w:rsidR="00E1442D" w:rsidRPr="00AA14FB" w:rsidRDefault="00E02264" w:rsidP="00E1442D">
      <w:pPr>
        <w:pStyle w:val="Normal20"/>
        <w:numPr>
          <w:ilvl w:val="0"/>
          <w:numId w:val="2"/>
        </w:numPr>
        <w:rPr>
          <w:rFonts w:eastAsia="SimSun"/>
          <w:sz w:val="14"/>
          <w:szCs w:val="14"/>
          <w:lang w:eastAsia="en-US"/>
        </w:rPr>
      </w:pPr>
      <w:r w:rsidRPr="00AA14FB">
        <w:rPr>
          <w:rFonts w:eastAsia="SimSun"/>
          <w:sz w:val="14"/>
          <w:szCs w:val="14"/>
          <w:lang w:eastAsia="en-US"/>
        </w:rPr>
        <w:t>The pro forma CET 1 ratio at 30 September 2019 excluded a charge of £362 million (3p per share) for a foreseeable dividend. 30 June 2019 excluded a charge of £241 million (2p per share) for the interim dividend, a special dividend of £1,449 million (12p per share) and a foreseeable dividend related to interim profits of £363 million (3p per share). 31 December 2018 excluded a charge of £422 million (3.5p per share) for the final dividend and £904 million (7.5p per share) for the special dividend paid following the Annual General Meeting held on 25 April 2019.</w:t>
      </w:r>
    </w:p>
    <w:p w:rsidR="00E1442D" w:rsidRPr="00EC67A7" w:rsidRDefault="00E02264" w:rsidP="00E1442D">
      <w:pPr>
        <w:pStyle w:val="Normal20"/>
        <w:numPr>
          <w:ilvl w:val="0"/>
          <w:numId w:val="2"/>
        </w:numPr>
        <w:rPr>
          <w:rFonts w:eastAsia="SimSun"/>
          <w:noProof/>
          <w:color w:val="000000"/>
          <w:sz w:val="14"/>
          <w:szCs w:val="14"/>
        </w:rPr>
      </w:pPr>
      <w:r w:rsidRPr="001A7AD7">
        <w:rPr>
          <w:rFonts w:eastAsia="SimSun"/>
          <w:sz w:val="14"/>
          <w:szCs w:val="14"/>
          <w:lang w:eastAsia="zh-CN"/>
        </w:rPr>
        <w:t>Includes 16 million treasury shares (30 June 2019 - 17 million shares; 31 December 2018 - 8 million shares).</w:t>
      </w:r>
    </w:p>
    <w:p w:rsidR="00E1442D" w:rsidRDefault="00E02264" w:rsidP="00E1442D">
      <w:pPr>
        <w:pStyle w:val="Normal20"/>
        <w:tabs>
          <w:tab w:val="left" w:pos="1515"/>
        </w:tabs>
        <w:spacing w:line="20" w:lineRule="atLeast"/>
        <w:rPr>
          <w:rFonts w:eastAsia="SimSun"/>
          <w:noProof/>
          <w:color w:val="000000"/>
          <w:sz w:val="14"/>
          <w:szCs w:val="14"/>
        </w:rPr>
      </w:pPr>
      <w:r>
        <w:rPr>
          <w:rFonts w:eastAsia="SimSun"/>
          <w:noProof/>
          <w:color w:val="000000"/>
          <w:sz w:val="14"/>
          <w:szCs w:val="14"/>
        </w:rPr>
        <w:tab/>
      </w:r>
    </w:p>
    <w:p w:rsidR="00E1442D" w:rsidRDefault="00E02264" w:rsidP="00E1442D">
      <w:pPr>
        <w:pStyle w:val="Normal20"/>
        <w:autoSpaceDE w:val="0"/>
        <w:autoSpaceDN w:val="0"/>
        <w:adjustRightInd w:val="0"/>
        <w:spacing w:line="288" w:lineRule="auto"/>
        <w:rPr>
          <w:rFonts w:eastAsia="Times New Roman"/>
          <w:color w:val="003366"/>
          <w:sz w:val="18"/>
          <w:szCs w:val="18"/>
        </w:rPr>
      </w:pPr>
      <w:r>
        <w:rPr>
          <w:rFonts w:eastAsia="Times New Roman"/>
          <w:color w:val="003366"/>
          <w:sz w:val="18"/>
          <w:szCs w:val="18"/>
        </w:rPr>
        <w:t>Re-segmentation</w:t>
      </w:r>
    </w:p>
    <w:p w:rsidR="00E1442D" w:rsidRDefault="00E02264" w:rsidP="00E1442D">
      <w:pPr>
        <w:pStyle w:val="Normal20"/>
        <w:autoSpaceDE w:val="0"/>
        <w:autoSpaceDN w:val="0"/>
        <w:adjustRightInd w:val="0"/>
        <w:spacing w:line="288" w:lineRule="auto"/>
        <w:rPr>
          <w:rFonts w:eastAsia="Times New Roman"/>
          <w:color w:val="000000"/>
          <w:sz w:val="18"/>
          <w:szCs w:val="18"/>
        </w:rPr>
      </w:pPr>
      <w:r>
        <w:rPr>
          <w:rFonts w:eastAsia="Times New Roman"/>
          <w:color w:val="000000"/>
          <w:sz w:val="18"/>
          <w:szCs w:val="18"/>
        </w:rPr>
        <w:t>Refer to Note 1 for details of re-segmentation effective from 1 January 2019 and re-stated comparatives.</w:t>
      </w:r>
    </w:p>
    <w:p w:rsidR="00E1442D" w:rsidRDefault="00E1442D" w:rsidP="00E1442D">
      <w:pPr>
        <w:pStyle w:val="Normal20"/>
        <w:autoSpaceDE w:val="0"/>
        <w:autoSpaceDN w:val="0"/>
        <w:adjustRightInd w:val="0"/>
        <w:spacing w:line="100" w:lineRule="exact"/>
        <w:rPr>
          <w:rFonts w:eastAsia="Times New Roman"/>
          <w:color w:val="000000"/>
          <w:sz w:val="18"/>
          <w:szCs w:val="18"/>
        </w:rPr>
      </w:pPr>
    </w:p>
    <w:p w:rsidR="00E1442D" w:rsidRDefault="00E02264" w:rsidP="00E1442D">
      <w:pPr>
        <w:pStyle w:val="Normal20"/>
        <w:autoSpaceDE w:val="0"/>
        <w:autoSpaceDN w:val="0"/>
        <w:adjustRightInd w:val="0"/>
        <w:spacing w:line="288" w:lineRule="auto"/>
        <w:rPr>
          <w:rFonts w:eastAsia="Times New Roman"/>
          <w:color w:val="003366"/>
          <w:sz w:val="18"/>
          <w:szCs w:val="18"/>
        </w:rPr>
      </w:pPr>
      <w:r>
        <w:rPr>
          <w:rFonts w:eastAsia="Times New Roman"/>
          <w:color w:val="003366"/>
          <w:sz w:val="18"/>
          <w:szCs w:val="18"/>
        </w:rPr>
        <w:t>Non-IFRS financial measures</w:t>
      </w:r>
    </w:p>
    <w:p w:rsidR="00E1442D" w:rsidRPr="001B6FCB" w:rsidRDefault="00E02264" w:rsidP="00E1442D">
      <w:pPr>
        <w:pStyle w:val="Normal20"/>
        <w:autoSpaceDE w:val="0"/>
        <w:autoSpaceDN w:val="0"/>
        <w:adjustRightInd w:val="0"/>
        <w:spacing w:line="288" w:lineRule="auto"/>
        <w:rPr>
          <w:rFonts w:eastAsia="Times New Roman"/>
          <w:color w:val="000000"/>
          <w:sz w:val="18"/>
          <w:szCs w:val="18"/>
        </w:rPr>
      </w:pPr>
      <w:r>
        <w:rPr>
          <w:rFonts w:eastAsia="Times New Roman"/>
          <w:color w:val="000000"/>
          <w:sz w:val="18"/>
          <w:szCs w:val="18"/>
        </w:rPr>
        <w:t>This document contains a number of non-IFRS financial measures and performance metrics not defined under IFRS. For details of the basis of preparation and reconciliations where appropriate refer to the Appendix.</w:t>
      </w:r>
    </w:p>
    <w:p w:rsidR="00E1442D" w:rsidRPr="001B6FCB" w:rsidRDefault="00E02264" w:rsidP="00E1442D">
      <w:pPr>
        <w:spacing w:line="4" w:lineRule="exact"/>
        <w:rPr>
          <w:color w:val="000000"/>
          <w:szCs w:val="18"/>
        </w:rPr>
      </w:pPr>
      <w:r w:rsidRPr="001B6FCB">
        <w:rPr>
          <w:color w:val="000000"/>
          <w:szCs w:val="18"/>
        </w:rPr>
        <w:br w:type="page"/>
      </w:r>
    </w:p>
    <w:p w:rsidR="00E1442D" w:rsidRDefault="00E02264">
      <w:pPr>
        <w:rPr>
          <w:rFonts w:eastAsia="Arial" w:cs="Arial"/>
          <w:b/>
          <w:color w:val="003366"/>
        </w:rPr>
      </w:pPr>
      <w:r>
        <w:rPr>
          <w:rFonts w:eastAsia="Arial" w:cs="Arial"/>
          <w:b/>
          <w:color w:val="003366"/>
        </w:rPr>
        <w:lastRenderedPageBreak/>
        <w:t>Summary consolidated income statement for the period ended 30 September 2019</w:t>
      </w:r>
    </w:p>
    <w:p w:rsidR="00C752E3" w:rsidRDefault="00C752E3">
      <w:pPr>
        <w:rPr>
          <w:rFonts w:eastAsia="Arial" w:cs="Arial"/>
          <w:b/>
          <w:color w:val="003366"/>
        </w:rPr>
      </w:pPr>
    </w:p>
    <w:tbl>
      <w:tblPr>
        <w:tblStyle w:val="table"/>
        <w:tblW w:w="10140" w:type="dxa"/>
        <w:tblInd w:w="5" w:type="dxa"/>
        <w:tblCellMar>
          <w:left w:w="0" w:type="dxa"/>
          <w:right w:w="0" w:type="dxa"/>
        </w:tblCellMar>
        <w:tblLook w:val="05E0" w:firstRow="1" w:lastRow="1" w:firstColumn="1" w:lastColumn="1" w:noHBand="0" w:noVBand="1"/>
      </w:tblPr>
      <w:tblGrid>
        <w:gridCol w:w="4485"/>
        <w:gridCol w:w="1110"/>
        <w:gridCol w:w="1125"/>
        <w:gridCol w:w="75"/>
        <w:gridCol w:w="1125"/>
        <w:gridCol w:w="1125"/>
        <w:gridCol w:w="1110"/>
      </w:tblGrid>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2235"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Nine months ended</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3366"/>
                <w:sz w:val="16"/>
                <w:szCs w:val="16"/>
              </w:rPr>
            </w:pPr>
          </w:p>
        </w:tc>
        <w:tc>
          <w:tcPr>
            <w:tcW w:w="336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r>
      <w:tr w:rsidR="008E0433">
        <w:trPr>
          <w:trHeight w:val="210"/>
        </w:trPr>
        <w:tc>
          <w:tcPr>
            <w:tcW w:w="44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Net interest income</w:t>
            </w: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6,010</w:t>
            </w:r>
          </w:p>
        </w:tc>
        <w:tc>
          <w:tcPr>
            <w:tcW w:w="112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6,480</w:t>
            </w:r>
          </w:p>
        </w:tc>
        <w:tc>
          <w:tcPr>
            <w:tcW w:w="7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2,006</w:t>
            </w:r>
          </w:p>
        </w:tc>
        <w:tc>
          <w:tcPr>
            <w:tcW w:w="112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1,971</w:t>
            </w:r>
          </w:p>
        </w:tc>
        <w:tc>
          <w:tcPr>
            <w:tcW w:w="11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2,154</w:t>
            </w: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59</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w:t>
            </w: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Strategic disposals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1,035</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1,035</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210"/>
        </w:trPr>
        <w:tc>
          <w:tcPr>
            <w:tcW w:w="448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Other non-interest income</w:t>
            </w:r>
          </w:p>
        </w:tc>
        <w:tc>
          <w:tcPr>
            <w:tcW w:w="1110" w:type="dxa"/>
            <w:tcBorders>
              <w:bottom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3,033</w:t>
            </w:r>
          </w:p>
        </w:tc>
        <w:tc>
          <w:tcPr>
            <w:tcW w:w="112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3,805</w:t>
            </w:r>
          </w:p>
        </w:tc>
        <w:tc>
          <w:tcPr>
            <w:tcW w:w="7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tcBorders>
              <w:bottom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909</w:t>
            </w:r>
          </w:p>
        </w:tc>
        <w:tc>
          <w:tcPr>
            <w:tcW w:w="112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1,077</w:t>
            </w:r>
          </w:p>
        </w:tc>
        <w:tc>
          <w:tcPr>
            <w:tcW w:w="11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1,468</w:t>
            </w:r>
          </w:p>
        </w:tc>
      </w:tr>
      <w:tr w:rsidR="008E0433">
        <w:trPr>
          <w:trHeight w:val="210"/>
        </w:trPr>
        <w:tc>
          <w:tcPr>
            <w:tcW w:w="44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Non-interest income</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4,010</w:t>
            </w:r>
          </w:p>
        </w:tc>
        <w:tc>
          <w:tcPr>
            <w:tcW w:w="11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3,864</w:t>
            </w:r>
          </w:p>
        </w:tc>
        <w:tc>
          <w:tcPr>
            <w:tcW w:w="7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897</w:t>
            </w:r>
          </w:p>
        </w:tc>
        <w:tc>
          <w:tcPr>
            <w:tcW w:w="11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2,109</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1,488</w:t>
            </w:r>
          </w:p>
        </w:tc>
      </w:tr>
      <w:tr w:rsidR="008E0433">
        <w:trPr>
          <w:trHeight w:val="210"/>
        </w:trPr>
        <w:tc>
          <w:tcPr>
            <w:tcW w:w="4485" w:type="dxa"/>
            <w:tcBorders>
              <w:top w:val="single" w:sz="6" w:space="0" w:color="003366"/>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Total income</w:t>
            </w:r>
          </w:p>
        </w:tc>
        <w:tc>
          <w:tcPr>
            <w:tcW w:w="1110" w:type="dxa"/>
            <w:tcBorders>
              <w:top w:val="single" w:sz="6" w:space="0" w:color="003366"/>
              <w:bottom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10,020</w:t>
            </w:r>
          </w:p>
        </w:tc>
        <w:tc>
          <w:tcPr>
            <w:tcW w:w="1125" w:type="dxa"/>
            <w:tcBorders>
              <w:top w:val="single" w:sz="6" w:space="0" w:color="003366"/>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10,344</w:t>
            </w:r>
          </w:p>
        </w:tc>
        <w:tc>
          <w:tcPr>
            <w:tcW w:w="75" w:type="dxa"/>
            <w:tcBorders>
              <w:top w:val="single" w:sz="6" w:space="0" w:color="003366"/>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tcBorders>
              <w:top w:val="single" w:sz="6" w:space="0" w:color="003366"/>
              <w:bottom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2,903</w:t>
            </w:r>
          </w:p>
        </w:tc>
        <w:tc>
          <w:tcPr>
            <w:tcW w:w="1125" w:type="dxa"/>
            <w:tcBorders>
              <w:top w:val="single" w:sz="6" w:space="0" w:color="003366"/>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4,080</w:t>
            </w:r>
          </w:p>
        </w:tc>
        <w:tc>
          <w:tcPr>
            <w:tcW w:w="1110" w:type="dxa"/>
            <w:tcBorders>
              <w:top w:val="single" w:sz="6" w:space="0" w:color="003366"/>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3,642</w:t>
            </w: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(810)</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(1,190)</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(750)</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(55)</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(389)</w:t>
            </w: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(844)</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(649)</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(215)</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(434)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(299)</w:t>
            </w:r>
          </w:p>
        </w:tc>
      </w:tr>
      <w:tr w:rsidR="008E0433">
        <w:trPr>
          <w:trHeight w:val="210"/>
        </w:trPr>
        <w:tc>
          <w:tcPr>
            <w:tcW w:w="44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Other expenses</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(5,144)</w:t>
            </w:r>
          </w:p>
        </w:tc>
        <w:tc>
          <w:tcPr>
            <w:tcW w:w="11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(5,337)</w:t>
            </w:r>
          </w:p>
        </w:tc>
        <w:tc>
          <w:tcPr>
            <w:tcW w:w="7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(1,733)</w:t>
            </w:r>
          </w:p>
        </w:tc>
        <w:tc>
          <w:tcPr>
            <w:tcW w:w="11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(1,673)</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(1,753)</w:t>
            </w: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expenses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(6,798)</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(7,176)</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(2,698)</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(2,162)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(2,441)</w:t>
            </w:r>
          </w:p>
        </w:tc>
      </w:tr>
      <w:tr w:rsidR="008E0433">
        <w:trPr>
          <w:trHeight w:val="210"/>
        </w:trPr>
        <w:tc>
          <w:tcPr>
            <w:tcW w:w="44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Profit before impairment losses</w:t>
            </w: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3,222</w:t>
            </w:r>
          </w:p>
        </w:tc>
        <w:tc>
          <w:tcPr>
            <w:tcW w:w="11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3,168</w:t>
            </w:r>
          </w:p>
        </w:tc>
        <w:tc>
          <w:tcPr>
            <w:tcW w:w="7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205</w:t>
            </w:r>
          </w:p>
        </w:tc>
        <w:tc>
          <w:tcPr>
            <w:tcW w:w="11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1,918</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1,201</w:t>
            </w:r>
          </w:p>
        </w:tc>
      </w:tr>
      <w:tr w:rsidR="008E0433">
        <w:trPr>
          <w:trHeight w:val="210"/>
        </w:trPr>
        <w:tc>
          <w:tcPr>
            <w:tcW w:w="44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(536)</w:t>
            </w:r>
          </w:p>
        </w:tc>
        <w:tc>
          <w:tcPr>
            <w:tcW w:w="11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(381)</w:t>
            </w:r>
          </w:p>
        </w:tc>
        <w:tc>
          <w:tcPr>
            <w:tcW w:w="7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(213)</w:t>
            </w:r>
          </w:p>
        </w:tc>
        <w:tc>
          <w:tcPr>
            <w:tcW w:w="11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(237)</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(240)</w:t>
            </w: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profit/(loss) before tax</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2,686</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2,787</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1,681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961</w:t>
            </w:r>
          </w:p>
        </w:tc>
      </w:tr>
      <w:tr w:rsidR="008E0433">
        <w:trPr>
          <w:trHeight w:val="210"/>
        </w:trPr>
        <w:tc>
          <w:tcPr>
            <w:tcW w:w="448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Tax (charge)/credit</w:t>
            </w:r>
          </w:p>
        </w:tc>
        <w:tc>
          <w:tcPr>
            <w:tcW w:w="1110" w:type="dxa"/>
            <w:tcBorders>
              <w:bottom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(395)</w:t>
            </w:r>
          </w:p>
        </w:tc>
        <w:tc>
          <w:tcPr>
            <w:tcW w:w="112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(1,090)</w:t>
            </w:r>
          </w:p>
        </w:tc>
        <w:tc>
          <w:tcPr>
            <w:tcW w:w="7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tcBorders>
              <w:bottom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(201)</w:t>
            </w:r>
          </w:p>
        </w:tc>
        <w:tc>
          <w:tcPr>
            <w:tcW w:w="112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11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(381)</w:t>
            </w:r>
          </w:p>
        </w:tc>
      </w:tr>
      <w:tr w:rsidR="008E0433">
        <w:trPr>
          <w:trHeight w:val="210"/>
        </w:trPr>
        <w:tc>
          <w:tcPr>
            <w:tcW w:w="44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Profit/(loss) for the period</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2,291</w:t>
            </w:r>
          </w:p>
        </w:tc>
        <w:tc>
          <w:tcPr>
            <w:tcW w:w="11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1,697</w:t>
            </w:r>
          </w:p>
        </w:tc>
        <w:tc>
          <w:tcPr>
            <w:tcW w:w="7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(209)</w:t>
            </w:r>
          </w:p>
        </w:tc>
        <w:tc>
          <w:tcPr>
            <w:tcW w:w="11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1,703</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580</w:t>
            </w:r>
          </w:p>
        </w:tc>
      </w:tr>
      <w:tr w:rsidR="008E0433">
        <w:trPr>
          <w:trHeight w:val="75"/>
        </w:trPr>
        <w:tc>
          <w:tcPr>
            <w:tcW w:w="44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Attributable to:</w:t>
            </w: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Ordinary shareholders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1,723</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1,336</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(315)</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448</w:t>
            </w:r>
          </w:p>
        </w:tc>
      </w:tr>
      <w:tr w:rsidR="008E0433">
        <w:trPr>
          <w:trHeight w:val="210"/>
        </w:trPr>
        <w:tc>
          <w:tcPr>
            <w:tcW w:w="44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Other owners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307</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355</w:t>
            </w:r>
          </w:p>
        </w:tc>
        <w:tc>
          <w:tcPr>
            <w:tcW w:w="7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105</w:t>
            </w:r>
          </w:p>
        </w:tc>
        <w:tc>
          <w:tcPr>
            <w:tcW w:w="11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110</w:t>
            </w:r>
          </w:p>
        </w:tc>
      </w:tr>
      <w:tr w:rsidR="008E0433">
        <w:trPr>
          <w:trHeight w:val="210"/>
        </w:trPr>
        <w:tc>
          <w:tcPr>
            <w:tcW w:w="44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Non-controlling interests</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261</w:t>
            </w:r>
          </w:p>
        </w:tc>
        <w:tc>
          <w:tcPr>
            <w:tcW w:w="11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7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25"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1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270</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22</w:t>
            </w:r>
          </w:p>
        </w:tc>
      </w:tr>
    </w:tbl>
    <w:p w:rsidR="005D76E8" w:rsidRDefault="005D76E8">
      <w:pPr>
        <w:rPr>
          <w:rFonts w:eastAsia="Arial" w:cs="Arial"/>
          <w:b/>
          <w:color w:val="003366"/>
        </w:rPr>
      </w:pPr>
    </w:p>
    <w:tbl>
      <w:tblPr>
        <w:tblStyle w:val="table"/>
        <w:tblW w:w="10140" w:type="dxa"/>
        <w:tblInd w:w="5" w:type="dxa"/>
        <w:tblCellMar>
          <w:left w:w="0" w:type="dxa"/>
          <w:right w:w="0" w:type="dxa"/>
        </w:tblCellMar>
        <w:tblLook w:val="05E0" w:firstRow="1" w:lastRow="1" w:firstColumn="1" w:lastColumn="1" w:noHBand="0" w:noVBand="1"/>
      </w:tblPr>
      <w:tblGrid>
        <w:gridCol w:w="4470"/>
        <w:gridCol w:w="1110"/>
        <w:gridCol w:w="1125"/>
        <w:gridCol w:w="75"/>
        <w:gridCol w:w="1125"/>
        <w:gridCol w:w="1125"/>
        <w:gridCol w:w="1110"/>
      </w:tblGrid>
      <w:tr w:rsidR="008E0433">
        <w:trPr>
          <w:trHeight w:val="195"/>
        </w:trPr>
        <w:tc>
          <w:tcPr>
            <w:tcW w:w="4485" w:type="dxa"/>
            <w:tcBorders>
              <w:top w:val="single" w:sz="6" w:space="0" w:color="00346D"/>
            </w:tcBorders>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3366"/>
                <w:sz w:val="16"/>
                <w:szCs w:val="16"/>
              </w:rPr>
            </w:pPr>
            <w:r>
              <w:rPr>
                <w:rFonts w:eastAsia="Arial" w:cs="Arial"/>
                <w:color w:val="003366"/>
                <w:sz w:val="16"/>
                <w:szCs w:val="16"/>
              </w:rPr>
              <w:t>Notable items within total income</w:t>
            </w:r>
          </w:p>
        </w:tc>
        <w:tc>
          <w:tcPr>
            <w:tcW w:w="1110" w:type="dxa"/>
            <w:tcBorders>
              <w:top w:val="single" w:sz="6" w:space="0" w:color="00346D"/>
            </w:tcBorders>
            <w:shd w:val="clear" w:color="auto" w:fill="C0C0C0"/>
            <w:noWrap/>
            <w:tcMar>
              <w:top w:w="0" w:type="dxa"/>
              <w:left w:w="5" w:type="dxa"/>
              <w:bottom w:w="0" w:type="dxa"/>
              <w:right w:w="5" w:type="dxa"/>
            </w:tcMar>
            <w:vAlign w:val="bottom"/>
            <w:hideMark/>
          </w:tcPr>
          <w:p w:rsidR="003E1B28" w:rsidRDefault="003E1B28">
            <w:pPr>
              <w:spacing w:line="240" w:lineRule="auto"/>
              <w:contextualSpacing/>
              <w:rPr>
                <w:rFonts w:eastAsia="Arial" w:cs="Arial"/>
                <w:b/>
                <w:bCs/>
                <w:color w:val="000000"/>
                <w:sz w:val="16"/>
                <w:szCs w:val="16"/>
              </w:rPr>
            </w:pPr>
          </w:p>
        </w:tc>
        <w:tc>
          <w:tcPr>
            <w:tcW w:w="1125" w:type="dxa"/>
            <w:tcBorders>
              <w:top w:val="single" w:sz="6" w:space="0" w:color="00346D"/>
            </w:tcBorders>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75" w:type="dxa"/>
            <w:tcBorders>
              <w:top w:val="single" w:sz="6" w:space="0" w:color="00346D"/>
            </w:tcBorders>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tcBorders>
              <w:top w:val="single" w:sz="6" w:space="0" w:color="00346D"/>
            </w:tcBorders>
            <w:shd w:val="clear" w:color="auto" w:fill="C0C0C0"/>
            <w:noWrap/>
            <w:tcMar>
              <w:top w:w="0" w:type="dxa"/>
              <w:left w:w="5" w:type="dxa"/>
              <w:bottom w:w="0" w:type="dxa"/>
              <w:right w:w="5" w:type="dxa"/>
            </w:tcMar>
            <w:vAlign w:val="bottom"/>
            <w:hideMark/>
          </w:tcPr>
          <w:p w:rsidR="003E1B28" w:rsidRDefault="003E1B28">
            <w:pPr>
              <w:spacing w:line="240" w:lineRule="auto"/>
              <w:contextualSpacing/>
              <w:rPr>
                <w:rFonts w:eastAsia="Arial" w:cs="Arial"/>
                <w:b/>
                <w:bCs/>
                <w:color w:val="000000"/>
                <w:sz w:val="16"/>
                <w:szCs w:val="16"/>
              </w:rPr>
            </w:pPr>
          </w:p>
        </w:tc>
        <w:tc>
          <w:tcPr>
            <w:tcW w:w="1125" w:type="dxa"/>
            <w:tcBorders>
              <w:top w:val="single" w:sz="6" w:space="0" w:color="00346D"/>
            </w:tcBorders>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10" w:type="dxa"/>
            <w:tcBorders>
              <w:top w:val="single" w:sz="6" w:space="0" w:color="00346D"/>
            </w:tcBorders>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Fonts w:eastAsia="Arial" w:cs="Arial"/>
                <w:color w:val="000000"/>
                <w:sz w:val="16"/>
                <w:szCs w:val="16"/>
              </w:rPr>
              <w:t>Alawwal bank merger gain in NatWest Markets</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444</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444</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Fonts w:eastAsia="Arial" w:cs="Arial"/>
                <w:color w:val="000000"/>
                <w:sz w:val="16"/>
                <w:szCs w:val="16"/>
              </w:rPr>
              <w:t>FX recycling gain in Central items &amp; other</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290</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290</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Fonts w:eastAsia="Arial" w:cs="Arial"/>
                <w:color w:val="000000"/>
                <w:sz w:val="16"/>
                <w:szCs w:val="16"/>
              </w:rPr>
              <w:t>Legacy liability release in Central items &amp; other</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256</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256</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Fonts w:eastAsia="Arial" w:cs="Arial"/>
                <w:color w:val="000000"/>
                <w:sz w:val="16"/>
                <w:szCs w:val="16"/>
              </w:rPr>
              <w:t>Insurance indemnity</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272</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272</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of which:</w:t>
            </w:r>
          </w:p>
        </w:tc>
        <w:tc>
          <w:tcPr>
            <w:tcW w:w="1110" w:type="dxa"/>
            <w:shd w:val="clear" w:color="auto" w:fill="C0C0C0"/>
            <w:noWrap/>
            <w:tcMar>
              <w:top w:w="0" w:type="dxa"/>
              <w:left w:w="5" w:type="dxa"/>
              <w:bottom w:w="0" w:type="dxa"/>
              <w:right w:w="5" w:type="dxa"/>
            </w:tcMar>
            <w:vAlign w:val="bottom"/>
            <w:hideMark/>
          </w:tcPr>
          <w:p w:rsidR="003E1B28" w:rsidRDefault="003E1B28">
            <w:pPr>
              <w:spacing w:line="240" w:lineRule="auto"/>
              <w:contextualSpacing/>
              <w:rPr>
                <w:rFonts w:eastAsia="Arial" w:cs="Arial"/>
                <w:b/>
                <w:bCs/>
                <w:color w:val="000000"/>
                <w:sz w:val="16"/>
                <w:szCs w:val="16"/>
              </w:rPr>
            </w:pPr>
          </w:p>
        </w:tc>
        <w:tc>
          <w:tcPr>
            <w:tcW w:w="112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3E1B28">
            <w:pPr>
              <w:spacing w:line="240" w:lineRule="auto"/>
              <w:contextualSpacing/>
              <w:rPr>
                <w:rFonts w:eastAsia="Arial" w:cs="Arial"/>
                <w:b/>
                <w:bCs/>
                <w:color w:val="000000"/>
                <w:sz w:val="16"/>
                <w:szCs w:val="16"/>
              </w:rPr>
            </w:pPr>
          </w:p>
        </w:tc>
        <w:tc>
          <w:tcPr>
            <w:tcW w:w="1125" w:type="dxa"/>
            <w:shd w:val="clear" w:color="auto" w:fill="FFFFFF"/>
            <w:tcMar>
              <w:top w:w="0" w:type="dxa"/>
              <w:left w:w="5" w:type="dxa"/>
              <w:bottom w:w="0" w:type="dxa"/>
              <w:right w:w="5" w:type="dxa"/>
            </w:tcMar>
            <w:vAlign w:val="center"/>
            <w:hideMark/>
          </w:tcPr>
          <w:p w:rsidR="003E1B28" w:rsidRDefault="003E1B28">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NatWest Markets</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165</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165</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Central items &amp; other</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107</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107</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Style w:val="font70"/>
              </w:rPr>
              <w:t xml:space="preserve">IFRS volatility in Central items &amp; other </w:t>
            </w:r>
            <w:r>
              <w:rPr>
                <w:rStyle w:val="font9"/>
              </w:rPr>
              <w:t>(1)</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(51)</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77</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Fonts w:eastAsia="Arial" w:cs="Arial"/>
                <w:color w:val="000000"/>
                <w:sz w:val="16"/>
                <w:szCs w:val="16"/>
              </w:rPr>
              <w:t>UK PB debt sale gain</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26</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Fonts w:eastAsia="Arial" w:cs="Arial"/>
                <w:color w:val="000000"/>
                <w:sz w:val="16"/>
                <w:szCs w:val="16"/>
              </w:rPr>
              <w:t>FX gains/(losses) in Central items &amp; other</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Fonts w:eastAsia="Arial" w:cs="Arial"/>
                <w:color w:val="000000"/>
                <w:sz w:val="16"/>
                <w:szCs w:val="16"/>
              </w:rPr>
              <w:t>Commercial Banking fair value and disposal (loss)/gain</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179</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(15)</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(13)</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Fonts w:eastAsia="Arial" w:cs="Arial"/>
                <w:color w:val="000000"/>
                <w:sz w:val="16"/>
                <w:szCs w:val="16"/>
              </w:rPr>
              <w:t>NatWest Markets legacy business disposal (loss)/gain</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(43)</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(23)</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14</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3E1B28">
            <w:pPr>
              <w:spacing w:line="240" w:lineRule="auto"/>
              <w:contextualSpacing/>
              <w:rPr>
                <w:rFonts w:eastAsia="Arial" w:cs="Arial"/>
                <w:color w:val="000000"/>
                <w:sz w:val="20"/>
                <w:szCs w:val="20"/>
              </w:rPr>
            </w:pPr>
          </w:p>
        </w:tc>
        <w:tc>
          <w:tcPr>
            <w:tcW w:w="1110" w:type="dxa"/>
            <w:shd w:val="clear" w:color="auto" w:fill="C0C0C0"/>
            <w:noWrap/>
            <w:tcMar>
              <w:top w:w="0" w:type="dxa"/>
              <w:left w:w="5" w:type="dxa"/>
              <w:bottom w:w="0" w:type="dxa"/>
              <w:right w:w="5" w:type="dxa"/>
            </w:tcMar>
            <w:vAlign w:val="bottom"/>
            <w:hideMark/>
          </w:tcPr>
          <w:p w:rsidR="003E1B28" w:rsidRDefault="003E1B28">
            <w:pPr>
              <w:spacing w:line="240" w:lineRule="auto"/>
              <w:contextualSpacing/>
              <w:rPr>
                <w:rFonts w:eastAsia="Arial" w:cs="Arial"/>
                <w:b/>
                <w:bCs/>
                <w:color w:val="000000"/>
                <w:sz w:val="16"/>
                <w:szCs w:val="16"/>
              </w:rPr>
            </w:pPr>
          </w:p>
        </w:tc>
        <w:tc>
          <w:tcPr>
            <w:tcW w:w="112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3E1B28">
            <w:pPr>
              <w:spacing w:line="240" w:lineRule="auto"/>
              <w:contextualSpacing/>
              <w:rPr>
                <w:rFonts w:eastAsia="Arial" w:cs="Arial"/>
                <w:b/>
                <w:bCs/>
                <w:color w:val="000000"/>
                <w:sz w:val="16"/>
                <w:szCs w:val="16"/>
              </w:rPr>
            </w:pPr>
          </w:p>
        </w:tc>
        <w:tc>
          <w:tcPr>
            <w:tcW w:w="1125" w:type="dxa"/>
            <w:shd w:val="clear" w:color="auto" w:fill="FFFFFF"/>
            <w:tcMar>
              <w:top w:w="0" w:type="dxa"/>
              <w:left w:w="5" w:type="dxa"/>
              <w:bottom w:w="0" w:type="dxa"/>
              <w:right w:w="5" w:type="dxa"/>
            </w:tcMar>
            <w:vAlign w:val="center"/>
            <w:hideMark/>
          </w:tcPr>
          <w:p w:rsidR="003E1B28" w:rsidRDefault="003E1B28">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3366"/>
                <w:sz w:val="16"/>
                <w:szCs w:val="16"/>
              </w:rPr>
            </w:pPr>
            <w:r>
              <w:rPr>
                <w:rFonts w:eastAsia="Arial" w:cs="Arial"/>
                <w:color w:val="003366"/>
                <w:sz w:val="16"/>
                <w:szCs w:val="16"/>
              </w:rPr>
              <w:t>Notable items within operating expenses</w:t>
            </w:r>
          </w:p>
        </w:tc>
        <w:tc>
          <w:tcPr>
            <w:tcW w:w="1110" w:type="dxa"/>
            <w:shd w:val="clear" w:color="auto" w:fill="C0C0C0"/>
            <w:noWrap/>
            <w:tcMar>
              <w:top w:w="0" w:type="dxa"/>
              <w:left w:w="5" w:type="dxa"/>
              <w:bottom w:w="0" w:type="dxa"/>
              <w:right w:w="5" w:type="dxa"/>
            </w:tcMar>
            <w:vAlign w:val="bottom"/>
            <w:hideMark/>
          </w:tcPr>
          <w:p w:rsidR="003E1B28" w:rsidRDefault="003E1B28">
            <w:pPr>
              <w:spacing w:line="240" w:lineRule="auto"/>
              <w:contextualSpacing/>
              <w:rPr>
                <w:rFonts w:eastAsia="Arial" w:cs="Arial"/>
                <w:b/>
                <w:bCs/>
                <w:color w:val="000000"/>
                <w:sz w:val="16"/>
                <w:szCs w:val="16"/>
              </w:rPr>
            </w:pPr>
          </w:p>
        </w:tc>
        <w:tc>
          <w:tcPr>
            <w:tcW w:w="112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3E1B28">
            <w:pPr>
              <w:spacing w:line="240" w:lineRule="auto"/>
              <w:contextualSpacing/>
              <w:rPr>
                <w:rFonts w:eastAsia="Arial" w:cs="Arial"/>
                <w:b/>
                <w:bCs/>
                <w:color w:val="000000"/>
                <w:sz w:val="16"/>
                <w:szCs w:val="16"/>
              </w:rPr>
            </w:pPr>
          </w:p>
        </w:tc>
        <w:tc>
          <w:tcPr>
            <w:tcW w:w="1125" w:type="dxa"/>
            <w:shd w:val="clear" w:color="auto" w:fill="FFFFFF"/>
            <w:tcMar>
              <w:top w:w="0" w:type="dxa"/>
              <w:left w:w="5" w:type="dxa"/>
              <w:bottom w:w="0" w:type="dxa"/>
              <w:right w:w="5" w:type="dxa"/>
            </w:tcMar>
            <w:vAlign w:val="center"/>
            <w:hideMark/>
          </w:tcPr>
          <w:p w:rsidR="003E1B28" w:rsidRDefault="003E1B28">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Fonts w:eastAsia="Arial" w:cs="Arial"/>
                <w:color w:val="000000"/>
                <w:sz w:val="16"/>
                <w:szCs w:val="16"/>
              </w:rPr>
              <w:t>Push payment fraud costs</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(25)</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(810)</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(1,190)</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(750)</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(55)</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(389)</w:t>
            </w: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of which:</w:t>
            </w:r>
          </w:p>
        </w:tc>
        <w:tc>
          <w:tcPr>
            <w:tcW w:w="1110" w:type="dxa"/>
            <w:shd w:val="clear" w:color="auto" w:fill="C0C0C0"/>
            <w:noWrap/>
            <w:tcMar>
              <w:top w:w="0" w:type="dxa"/>
              <w:left w:w="5" w:type="dxa"/>
              <w:bottom w:w="0" w:type="dxa"/>
              <w:right w:w="5" w:type="dxa"/>
            </w:tcMar>
            <w:vAlign w:val="bottom"/>
            <w:hideMark/>
          </w:tcPr>
          <w:p w:rsidR="003E1B28" w:rsidRDefault="003E1B28">
            <w:pPr>
              <w:spacing w:line="240" w:lineRule="auto"/>
              <w:contextualSpacing/>
              <w:rPr>
                <w:rFonts w:eastAsia="Arial" w:cs="Arial"/>
                <w:b/>
                <w:bCs/>
                <w:color w:val="000000"/>
                <w:sz w:val="16"/>
                <w:szCs w:val="16"/>
              </w:rPr>
            </w:pPr>
          </w:p>
        </w:tc>
        <w:tc>
          <w:tcPr>
            <w:tcW w:w="112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3E1B28">
            <w:pPr>
              <w:spacing w:line="240" w:lineRule="auto"/>
              <w:contextualSpacing/>
              <w:rPr>
                <w:rFonts w:eastAsia="Arial" w:cs="Arial"/>
                <w:b/>
                <w:bCs/>
                <w:color w:val="000000"/>
                <w:sz w:val="16"/>
                <w:szCs w:val="16"/>
              </w:rPr>
            </w:pPr>
          </w:p>
        </w:tc>
        <w:tc>
          <w:tcPr>
            <w:tcW w:w="1125" w:type="dxa"/>
            <w:shd w:val="clear" w:color="auto" w:fill="FFFFFF"/>
            <w:tcMar>
              <w:top w:w="0" w:type="dxa"/>
              <w:left w:w="5" w:type="dxa"/>
              <w:bottom w:w="0" w:type="dxa"/>
              <w:right w:w="5" w:type="dxa"/>
            </w:tcMar>
            <w:vAlign w:val="center"/>
            <w:hideMark/>
          </w:tcPr>
          <w:p w:rsidR="003E1B28" w:rsidRDefault="003E1B28">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r>
      <w:tr w:rsidR="008E0433">
        <w:trPr>
          <w:trHeight w:val="195"/>
        </w:trPr>
        <w:tc>
          <w:tcPr>
            <w:tcW w:w="4485" w:type="dxa"/>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US RMBS</w:t>
            </w:r>
          </w:p>
        </w:tc>
        <w:tc>
          <w:tcPr>
            <w:tcW w:w="1110"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169</w:t>
            </w:r>
          </w:p>
        </w:tc>
        <w:tc>
          <w:tcPr>
            <w:tcW w:w="1125"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(823)</w:t>
            </w:r>
          </w:p>
        </w:tc>
        <w:tc>
          <w:tcPr>
            <w:tcW w:w="75" w:type="dxa"/>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162</w:t>
            </w:r>
          </w:p>
        </w:tc>
        <w:tc>
          <w:tcPr>
            <w:tcW w:w="1125" w:type="dxa"/>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1110" w:type="dxa"/>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(21)</w:t>
            </w:r>
          </w:p>
        </w:tc>
      </w:tr>
      <w:tr w:rsidR="008E0433">
        <w:trPr>
          <w:trHeight w:val="195"/>
        </w:trPr>
        <w:tc>
          <w:tcPr>
            <w:tcW w:w="4485" w:type="dxa"/>
            <w:tcBorders>
              <w:bottom w:val="single" w:sz="6" w:space="0" w:color="00346D"/>
            </w:tcBorders>
            <w:shd w:val="clear" w:color="auto" w:fill="FFFFFF"/>
            <w:tcMar>
              <w:top w:w="0" w:type="dxa"/>
              <w:left w:w="5" w:type="dxa"/>
              <w:bottom w:w="0" w:type="dxa"/>
              <w:right w:w="5" w:type="dxa"/>
            </w:tcMar>
            <w:vAlign w:val="center"/>
            <w:hideMark/>
          </w:tcPr>
          <w:p w:rsidR="003E1B28" w:rsidRDefault="00E02264">
            <w:pPr>
              <w:spacing w:line="240" w:lineRule="auto"/>
              <w:contextualSpacing/>
              <w:rPr>
                <w:rFonts w:eastAsia="Arial" w:cs="Arial"/>
                <w:i/>
                <w:iCs/>
                <w:color w:val="000000"/>
                <w:sz w:val="16"/>
                <w:szCs w:val="16"/>
              </w:rPr>
            </w:pPr>
            <w:r>
              <w:rPr>
                <w:rFonts w:ascii="Times New Roman" w:eastAsia="Times New Roman" w:hAnsi="Times New Roman" w:cs="Times New Roman"/>
                <w:i/>
                <w:iCs/>
                <w:color w:val="000000"/>
                <w:sz w:val="16"/>
                <w:szCs w:val="16"/>
              </w:rPr>
              <w:t xml:space="preserve">          </w:t>
            </w:r>
            <w:r>
              <w:rPr>
                <w:rFonts w:eastAsia="Arial" w:cs="Arial"/>
                <w:i/>
                <w:iCs/>
                <w:color w:val="000000"/>
                <w:sz w:val="16"/>
                <w:szCs w:val="16"/>
              </w:rPr>
              <w:t>PPI</w:t>
            </w:r>
          </w:p>
        </w:tc>
        <w:tc>
          <w:tcPr>
            <w:tcW w:w="1110" w:type="dxa"/>
            <w:tcBorders>
              <w:bottom w:val="single" w:sz="6" w:space="0" w:color="00346D"/>
            </w:tcBorders>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(900)</w:t>
            </w:r>
          </w:p>
        </w:tc>
        <w:tc>
          <w:tcPr>
            <w:tcW w:w="1125" w:type="dxa"/>
            <w:tcBorders>
              <w:bottom w:val="single" w:sz="6" w:space="0" w:color="00346D"/>
            </w:tcBorders>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(200)</w:t>
            </w:r>
          </w:p>
        </w:tc>
        <w:tc>
          <w:tcPr>
            <w:tcW w:w="75" w:type="dxa"/>
            <w:tcBorders>
              <w:bottom w:val="single" w:sz="6" w:space="0" w:color="00346D"/>
            </w:tcBorders>
            <w:shd w:val="clear" w:color="auto" w:fill="FFFFFF"/>
            <w:noWrap/>
            <w:tcMar>
              <w:top w:w="0" w:type="dxa"/>
              <w:left w:w="5" w:type="dxa"/>
              <w:bottom w:w="0" w:type="dxa"/>
              <w:right w:w="5" w:type="dxa"/>
            </w:tcMar>
            <w:vAlign w:val="bottom"/>
            <w:hideMark/>
          </w:tcPr>
          <w:p w:rsidR="003E1B28" w:rsidRDefault="003E1B28">
            <w:pPr>
              <w:spacing w:line="240" w:lineRule="auto"/>
              <w:contextualSpacing/>
              <w:rPr>
                <w:rFonts w:eastAsia="Arial" w:cs="Arial"/>
                <w:color w:val="000000"/>
                <w:sz w:val="16"/>
                <w:szCs w:val="16"/>
              </w:rPr>
            </w:pPr>
          </w:p>
        </w:tc>
        <w:tc>
          <w:tcPr>
            <w:tcW w:w="1125" w:type="dxa"/>
            <w:tcBorders>
              <w:bottom w:val="single" w:sz="6" w:space="0" w:color="00346D"/>
            </w:tcBorders>
            <w:shd w:val="clear" w:color="auto" w:fill="C0C0C0"/>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(900)</w:t>
            </w:r>
          </w:p>
        </w:tc>
        <w:tc>
          <w:tcPr>
            <w:tcW w:w="1125" w:type="dxa"/>
            <w:tcBorders>
              <w:bottom w:val="single" w:sz="6" w:space="0" w:color="003366"/>
            </w:tcBorders>
            <w:shd w:val="clear" w:color="auto" w:fill="FFFFFF"/>
            <w:tcMar>
              <w:top w:w="0" w:type="dxa"/>
              <w:left w:w="5" w:type="dxa"/>
              <w:bottom w:w="0" w:type="dxa"/>
              <w:right w:w="5" w:type="dxa"/>
            </w:tcMar>
            <w:vAlign w:val="center"/>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346D"/>
            </w:tcBorders>
            <w:shd w:val="clear" w:color="auto" w:fill="FFFFFF"/>
            <w:noWrap/>
            <w:tcMar>
              <w:top w:w="0" w:type="dxa"/>
              <w:left w:w="5" w:type="dxa"/>
              <w:bottom w:w="0" w:type="dxa"/>
              <w:right w:w="5" w:type="dxa"/>
            </w:tcMar>
            <w:vAlign w:val="bottom"/>
            <w:hideMark/>
          </w:tcPr>
          <w:p w:rsidR="003E1B28" w:rsidRDefault="00E02264">
            <w:pPr>
              <w:spacing w:line="240" w:lineRule="auto"/>
              <w:contextualSpacing/>
              <w:jc w:val="right"/>
              <w:rPr>
                <w:rFonts w:eastAsia="Arial" w:cs="Arial"/>
                <w:color w:val="000000"/>
                <w:sz w:val="16"/>
                <w:szCs w:val="16"/>
              </w:rPr>
            </w:pPr>
            <w:r>
              <w:rPr>
                <w:rFonts w:eastAsia="Arial" w:cs="Arial"/>
                <w:color w:val="000000"/>
                <w:sz w:val="16"/>
                <w:szCs w:val="16"/>
              </w:rPr>
              <w:t>(200)</w:t>
            </w:r>
          </w:p>
        </w:tc>
      </w:tr>
    </w:tbl>
    <w:p w:rsidR="00593534" w:rsidRDefault="00593534" w:rsidP="00593534">
      <w:pPr>
        <w:pStyle w:val="Normal20"/>
        <w:rPr>
          <w:rFonts w:eastAsia="SimSun"/>
          <w:noProof/>
          <w:color w:val="000000"/>
          <w:sz w:val="14"/>
          <w:szCs w:val="14"/>
        </w:rPr>
      </w:pPr>
    </w:p>
    <w:p w:rsidR="00593534" w:rsidRDefault="00E02264" w:rsidP="00593534">
      <w:pPr>
        <w:pStyle w:val="Normal20"/>
        <w:rPr>
          <w:rFonts w:eastAsia="SimSun"/>
          <w:noProof/>
          <w:color w:val="000000"/>
          <w:sz w:val="14"/>
          <w:szCs w:val="14"/>
        </w:rPr>
      </w:pPr>
      <w:r>
        <w:rPr>
          <w:rFonts w:eastAsia="SimSun"/>
          <w:noProof/>
          <w:color w:val="000000"/>
          <w:sz w:val="14"/>
          <w:szCs w:val="14"/>
        </w:rPr>
        <w:t xml:space="preserve">*Restated. Refer to Note 2 for further details. </w:t>
      </w:r>
    </w:p>
    <w:p w:rsidR="00593534" w:rsidRDefault="00593534" w:rsidP="00593534">
      <w:pPr>
        <w:pStyle w:val="Normal20"/>
        <w:rPr>
          <w:rFonts w:eastAsia="SimSun"/>
          <w:noProof/>
          <w:color w:val="000000"/>
          <w:sz w:val="14"/>
          <w:szCs w:val="14"/>
        </w:rPr>
      </w:pPr>
    </w:p>
    <w:p w:rsidR="00E1442D" w:rsidRPr="005F056D" w:rsidRDefault="00E02264" w:rsidP="00E1442D">
      <w:pPr>
        <w:pStyle w:val="Normal20"/>
        <w:rPr>
          <w:rFonts w:eastAsia="SimSun"/>
          <w:noProof/>
          <w:color w:val="000000"/>
          <w:sz w:val="14"/>
          <w:szCs w:val="14"/>
        </w:rPr>
      </w:pPr>
      <w:r w:rsidRPr="005F056D">
        <w:rPr>
          <w:rFonts w:eastAsia="SimSun"/>
          <w:noProof/>
          <w:color w:val="000000"/>
          <w:sz w:val="14"/>
          <w:szCs w:val="14"/>
        </w:rPr>
        <w:t>Note:</w:t>
      </w:r>
    </w:p>
    <w:tbl>
      <w:tblPr>
        <w:tblW w:w="10206" w:type="dxa"/>
        <w:tblCellMar>
          <w:left w:w="0" w:type="dxa"/>
          <w:right w:w="0" w:type="dxa"/>
        </w:tblCellMar>
        <w:tblLook w:val="01E0" w:firstRow="1" w:lastRow="1" w:firstColumn="1" w:lastColumn="1" w:noHBand="0" w:noVBand="0"/>
      </w:tblPr>
      <w:tblGrid>
        <w:gridCol w:w="368"/>
        <w:gridCol w:w="9838"/>
      </w:tblGrid>
      <w:tr w:rsidR="008E0433" w:rsidTr="00A9526E">
        <w:tc>
          <w:tcPr>
            <w:tcW w:w="348" w:type="dxa"/>
          </w:tcPr>
          <w:p w:rsidR="00E1442D" w:rsidRPr="005F056D" w:rsidRDefault="00E02264" w:rsidP="00A9526E">
            <w:pPr>
              <w:pStyle w:val="Normal20"/>
              <w:spacing w:line="288" w:lineRule="auto"/>
              <w:rPr>
                <w:rFonts w:eastAsia="SimSun"/>
                <w:sz w:val="14"/>
                <w:szCs w:val="14"/>
              </w:rPr>
            </w:pPr>
            <w:r w:rsidRPr="005F056D">
              <w:rPr>
                <w:rFonts w:eastAsia="SimSun"/>
                <w:sz w:val="14"/>
                <w:szCs w:val="14"/>
              </w:rPr>
              <w:t>(1)</w:t>
            </w:r>
          </w:p>
        </w:tc>
        <w:tc>
          <w:tcPr>
            <w:tcW w:w="9291" w:type="dxa"/>
          </w:tcPr>
          <w:p w:rsidR="00E1442D" w:rsidRPr="005F056D" w:rsidRDefault="00E02264" w:rsidP="00A9526E">
            <w:pPr>
              <w:pStyle w:val="Normal20"/>
              <w:spacing w:line="288" w:lineRule="auto"/>
              <w:jc w:val="both"/>
              <w:rPr>
                <w:rFonts w:eastAsia="SimSun"/>
                <w:sz w:val="14"/>
                <w:szCs w:val="14"/>
                <w:lang w:eastAsia="zh-CN"/>
              </w:rPr>
            </w:pPr>
            <w:r w:rsidRPr="005F056D">
              <w:rPr>
                <w:rFonts w:eastAsia="SimSun"/>
                <w:sz w:val="14"/>
                <w:szCs w:val="14"/>
                <w:lang w:eastAsia="zh-CN"/>
              </w:rPr>
              <w:t>IFRS volatility relates to loans which are economically hedged but for which hedge accounting is not permitted under IFRS.</w:t>
            </w:r>
          </w:p>
          <w:p w:rsidR="00E1442D" w:rsidRPr="005F056D" w:rsidRDefault="00E1442D" w:rsidP="00A9526E">
            <w:pPr>
              <w:pStyle w:val="Normal20"/>
              <w:spacing w:line="288" w:lineRule="auto"/>
              <w:jc w:val="both"/>
              <w:rPr>
                <w:rFonts w:eastAsia="SimSun"/>
                <w:sz w:val="14"/>
                <w:szCs w:val="14"/>
                <w:lang w:eastAsia="zh-CN"/>
              </w:rPr>
            </w:pPr>
          </w:p>
        </w:tc>
      </w:tr>
    </w:tbl>
    <w:p w:rsidR="00C649A0" w:rsidRDefault="00C649A0"/>
    <w:p w:rsidR="00C649A0" w:rsidRDefault="00E02264" w:rsidP="00C649A0">
      <w:r>
        <w:br w:type="page"/>
      </w:r>
    </w:p>
    <w:p w:rsidR="00E1442D" w:rsidRDefault="00E1442D">
      <w:pPr>
        <w:sectPr w:rsidR="00E1442D" w:rsidSect="00E1442D">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134" w:right="851" w:bottom="680" w:left="851" w:header="709" w:footer="709" w:gutter="0"/>
          <w:cols w:space="708"/>
          <w:docGrid w:linePitch="360"/>
        </w:sectPr>
      </w:pPr>
    </w:p>
    <w:p w:rsidR="000A4C61" w:rsidRPr="007A6ADD" w:rsidRDefault="00E02264" w:rsidP="000A4C61">
      <w:pPr>
        <w:pStyle w:val="Normal20"/>
        <w:spacing w:line="288" w:lineRule="auto"/>
        <w:jc w:val="both"/>
        <w:rPr>
          <w:b/>
          <w:color w:val="003366"/>
          <w:sz w:val="18"/>
          <w:szCs w:val="18"/>
          <w:lang w:eastAsia="ja-JP"/>
        </w:rPr>
      </w:pPr>
      <w:r w:rsidRPr="007A6ADD">
        <w:rPr>
          <w:b/>
          <w:color w:val="003366"/>
          <w:sz w:val="18"/>
          <w:szCs w:val="18"/>
          <w:lang w:eastAsia="ja-JP"/>
        </w:rPr>
        <w:lastRenderedPageBreak/>
        <w:t>Business performance summary</w:t>
      </w:r>
    </w:p>
    <w:p w:rsidR="000A4C61" w:rsidRDefault="00E02264" w:rsidP="000A4C61">
      <w:pPr>
        <w:pStyle w:val="Normal20"/>
        <w:spacing w:line="288" w:lineRule="auto"/>
        <w:jc w:val="both"/>
        <w:rPr>
          <w:b/>
          <w:color w:val="003366"/>
          <w:sz w:val="18"/>
          <w:szCs w:val="18"/>
          <w:lang w:eastAsia="ja-JP"/>
        </w:rPr>
      </w:pPr>
      <w:r>
        <w:rPr>
          <w:b/>
          <w:color w:val="003366"/>
          <w:sz w:val="18"/>
          <w:szCs w:val="18"/>
          <w:lang w:eastAsia="ja-JP"/>
        </w:rPr>
        <w:t xml:space="preserve">Personal &amp; Ulster </w:t>
      </w:r>
    </w:p>
    <w:p w:rsidR="000A4C61" w:rsidRPr="00A711D7" w:rsidRDefault="00E02264" w:rsidP="000A4C61">
      <w:pPr>
        <w:pStyle w:val="Normal20"/>
        <w:spacing w:line="288" w:lineRule="auto"/>
        <w:jc w:val="both"/>
        <w:rPr>
          <w:b/>
          <w:color w:val="003366"/>
          <w:sz w:val="18"/>
          <w:szCs w:val="18"/>
          <w:lang w:eastAsia="ja-JP"/>
        </w:rPr>
      </w:pPr>
      <w:r w:rsidRPr="00A711D7">
        <w:rPr>
          <w:b/>
          <w:color w:val="003366"/>
          <w:sz w:val="18"/>
          <w:szCs w:val="18"/>
          <w:lang w:eastAsia="ja-JP"/>
        </w:rPr>
        <w:t>UK Personal Banking</w:t>
      </w:r>
    </w:p>
    <w:tbl>
      <w:tblPr>
        <w:tblStyle w:val="table"/>
        <w:tblW w:w="10060" w:type="dxa"/>
        <w:tblInd w:w="5" w:type="dxa"/>
        <w:tblCellMar>
          <w:left w:w="0" w:type="dxa"/>
          <w:right w:w="0" w:type="dxa"/>
        </w:tblCellMar>
        <w:tblLook w:val="05E0" w:firstRow="1" w:lastRow="1" w:firstColumn="1" w:lastColumn="1" w:noHBand="0" w:noVBand="1"/>
      </w:tblPr>
      <w:tblGrid>
        <w:gridCol w:w="1785"/>
        <w:gridCol w:w="1260"/>
        <w:gridCol w:w="810"/>
        <w:gridCol w:w="1110"/>
        <w:gridCol w:w="135"/>
        <w:gridCol w:w="1785"/>
        <w:gridCol w:w="1260"/>
        <w:gridCol w:w="810"/>
        <w:gridCol w:w="1110"/>
      </w:tblGrid>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8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b/>
                <w:bCs/>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3366"/>
                <w:sz w:val="16"/>
                <w:szCs w:val="16"/>
              </w:rPr>
            </w:pPr>
          </w:p>
        </w:tc>
        <w:tc>
          <w:tcPr>
            <w:tcW w:w="318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As at</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31 December</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£bn</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r>
      <w:tr w:rsidR="008E0433">
        <w:trPr>
          <w:trHeight w:val="195"/>
        </w:trPr>
        <w:tc>
          <w:tcPr>
            <w:tcW w:w="17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1,224</w:t>
            </w:r>
          </w:p>
        </w:tc>
        <w:tc>
          <w:tcPr>
            <w:tcW w:w="8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1,202</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1,257</w:t>
            </w:r>
          </w:p>
        </w:tc>
        <w:tc>
          <w:tcPr>
            <w:tcW w:w="1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xml:space="preserve">Net loans to customers - </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(1,601)</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(594)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(819)</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amortised cost</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154.6</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148.9</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(131)</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(66)</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147.9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147.5</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145.3</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profit</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(508)</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539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372</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37.5</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37.0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34.3</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(26.8%)</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26.5%</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19.4%</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2.44%</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2.65%</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Cost:income ratio</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130.8%</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49.4%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65.2%</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Loan impairment rate</w:t>
            </w:r>
          </w:p>
        </w:tc>
        <w:tc>
          <w:tcPr>
            <w:tcW w:w="126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34bps</w:t>
            </w:r>
          </w:p>
        </w:tc>
        <w:tc>
          <w:tcPr>
            <w:tcW w:w="8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18bps</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18bps</w:t>
            </w:r>
          </w:p>
        </w:tc>
        <w:tc>
          <w:tcPr>
            <w:tcW w:w="13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bl>
    <w:tbl>
      <w:tblPr>
        <w:tblW w:w="10065" w:type="dxa"/>
        <w:tblLayout w:type="fixed"/>
        <w:tblCellMar>
          <w:left w:w="0" w:type="dxa"/>
          <w:right w:w="0" w:type="dxa"/>
        </w:tblCellMar>
        <w:tblLook w:val="01E0" w:firstRow="1" w:lastRow="1" w:firstColumn="1" w:lastColumn="1" w:noHBand="0" w:noVBand="0"/>
      </w:tblPr>
      <w:tblGrid>
        <w:gridCol w:w="284"/>
        <w:gridCol w:w="9781"/>
      </w:tblGrid>
      <w:tr w:rsidR="008E0433" w:rsidTr="00001A04">
        <w:trPr>
          <w:trHeight w:val="647"/>
        </w:trPr>
        <w:tc>
          <w:tcPr>
            <w:tcW w:w="284" w:type="dxa"/>
            <w:tcBorders>
              <w:top w:val="nil"/>
              <w:left w:val="nil"/>
              <w:bottom w:val="nil"/>
              <w:right w:val="nil"/>
            </w:tcBorders>
          </w:tcPr>
          <w:p w:rsidR="00001A04" w:rsidRPr="00001A04" w:rsidRDefault="00001A04" w:rsidP="00A9526E">
            <w:pPr>
              <w:pStyle w:val="Normal180"/>
              <w:spacing w:line="288" w:lineRule="auto"/>
              <w:jc w:val="both"/>
              <w:rPr>
                <w:rFonts w:eastAsia="SimSun"/>
                <w:color w:val="003366"/>
                <w:sz w:val="8"/>
                <w:szCs w:val="8"/>
                <w:lang w:eastAsia="ja-JP"/>
              </w:rPr>
            </w:pPr>
          </w:p>
          <w:p w:rsidR="00001A04" w:rsidRPr="007F40AE" w:rsidRDefault="00E02264" w:rsidP="00A9526E">
            <w:pPr>
              <w:pStyle w:val="Normal180"/>
              <w:spacing w:line="288" w:lineRule="auto"/>
              <w:jc w:val="both"/>
              <w:rPr>
                <w:color w:val="003366"/>
                <w:sz w:val="20"/>
                <w:szCs w:val="18"/>
                <w:lang w:eastAsia="ja-JP"/>
              </w:rPr>
            </w:pPr>
            <w:r w:rsidRPr="007F40AE">
              <w:rPr>
                <w:rFonts w:eastAsia="SimSun"/>
                <w:color w:val="003366"/>
                <w:sz w:val="20"/>
                <w:szCs w:val="18"/>
                <w:lang w:eastAsia="ja-JP"/>
              </w:rPr>
              <w:t>●</w:t>
            </w:r>
          </w:p>
        </w:tc>
        <w:tc>
          <w:tcPr>
            <w:tcW w:w="9781" w:type="dxa"/>
            <w:tcBorders>
              <w:top w:val="nil"/>
              <w:left w:val="nil"/>
              <w:bottom w:val="nil"/>
              <w:right w:val="nil"/>
            </w:tcBorders>
          </w:tcPr>
          <w:p w:rsidR="00001A04" w:rsidRPr="00001A04" w:rsidRDefault="00001A04" w:rsidP="0033077E">
            <w:pPr>
              <w:pStyle w:val="Normal180"/>
              <w:spacing w:line="259" w:lineRule="auto"/>
              <w:rPr>
                <w:rFonts w:eastAsia="Times New Roman"/>
                <w:sz w:val="8"/>
                <w:szCs w:val="8"/>
                <w:lang w:val="en-US" w:eastAsia="ja-JP" w:bidi="he-IL"/>
              </w:rPr>
            </w:pPr>
          </w:p>
          <w:p w:rsidR="00001A04" w:rsidRPr="007F40AE" w:rsidRDefault="00E02264" w:rsidP="004C1B78">
            <w:pPr>
              <w:pStyle w:val="Normal180"/>
              <w:spacing w:line="259" w:lineRule="auto"/>
              <w:rPr>
                <w:rFonts w:eastAsia="Times New Roman"/>
                <w:sz w:val="20"/>
                <w:szCs w:val="20"/>
                <w:lang w:val="en-US" w:eastAsia="ja-JP" w:bidi="he-IL"/>
              </w:rPr>
            </w:pPr>
            <w:r w:rsidRPr="007F40AE">
              <w:rPr>
                <w:rFonts w:eastAsia="Times New Roman"/>
                <w:sz w:val="20"/>
                <w:szCs w:val="20"/>
                <w:lang w:val="en-US" w:eastAsia="ja-JP" w:bidi="he-IL"/>
              </w:rPr>
              <w:t xml:space="preserve">UK PB has 6.8 million regular mobile app users and 8.8 million digitally active customers, representing 73% of active current account customers. Total digital sales volumes increased by 25% compared with Q3 2018, now representing 51% of all sales. 58% of personal unsecured loan sales, 68% of credit card accounts and 53% of current accounts opened were via the digital channel. </w:t>
            </w:r>
          </w:p>
        </w:tc>
      </w:tr>
      <w:tr w:rsidR="008E0433" w:rsidTr="00001A04">
        <w:trPr>
          <w:trHeight w:val="647"/>
        </w:trPr>
        <w:tc>
          <w:tcPr>
            <w:tcW w:w="284" w:type="dxa"/>
            <w:tcBorders>
              <w:top w:val="nil"/>
              <w:left w:val="nil"/>
              <w:bottom w:val="nil"/>
              <w:right w:val="nil"/>
            </w:tcBorders>
          </w:tcPr>
          <w:p w:rsidR="00001A04" w:rsidRPr="009A2432" w:rsidRDefault="00E02264" w:rsidP="00A9526E">
            <w:pPr>
              <w:pStyle w:val="Normal180"/>
              <w:spacing w:line="288" w:lineRule="auto"/>
              <w:jc w:val="both"/>
              <w:rPr>
                <w:rFonts w:eastAsia="SimSun"/>
                <w:color w:val="003366"/>
                <w:sz w:val="20"/>
                <w:szCs w:val="20"/>
                <w:lang w:eastAsia="ja-JP"/>
              </w:rPr>
            </w:pPr>
            <w:r w:rsidRPr="009A2432">
              <w:rPr>
                <w:rFonts w:eastAsia="SimSun"/>
                <w:color w:val="003366"/>
                <w:sz w:val="20"/>
                <w:szCs w:val="20"/>
                <w:lang w:eastAsia="ja-JP"/>
              </w:rPr>
              <w:t>●</w:t>
            </w:r>
          </w:p>
        </w:tc>
        <w:tc>
          <w:tcPr>
            <w:tcW w:w="9781" w:type="dxa"/>
            <w:tcBorders>
              <w:top w:val="nil"/>
              <w:left w:val="nil"/>
              <w:bottom w:val="nil"/>
              <w:right w:val="nil"/>
            </w:tcBorders>
          </w:tcPr>
          <w:p w:rsidR="00001A04" w:rsidRPr="0031042D" w:rsidRDefault="00E02264" w:rsidP="00E07E52">
            <w:pPr>
              <w:pStyle w:val="Normal180"/>
              <w:spacing w:line="259" w:lineRule="auto"/>
              <w:rPr>
                <w:rFonts w:eastAsia="Times New Roman"/>
                <w:sz w:val="20"/>
                <w:szCs w:val="20"/>
                <w:lang w:val="en-US" w:eastAsia="ja-JP" w:bidi="he-IL"/>
              </w:rPr>
            </w:pPr>
            <w:r>
              <w:rPr>
                <w:rFonts w:eastAsia="Times New Roman"/>
                <w:sz w:val="20"/>
                <w:szCs w:val="20"/>
                <w:lang w:val="en-US" w:eastAsia="ja-JP" w:bidi="he-IL"/>
              </w:rPr>
              <w:t>Total income was £33 million, or 2.6</w:t>
            </w:r>
            <w:proofErr w:type="gramStart"/>
            <w:r>
              <w:rPr>
                <w:rFonts w:eastAsia="Times New Roman"/>
                <w:sz w:val="20"/>
                <w:szCs w:val="20"/>
                <w:lang w:val="en-US" w:eastAsia="ja-JP" w:bidi="he-IL"/>
              </w:rPr>
              <w:t>%,</w:t>
            </w:r>
            <w:proofErr w:type="gramEnd"/>
            <w:r>
              <w:rPr>
                <w:rFonts w:eastAsia="Times New Roman"/>
                <w:sz w:val="20"/>
                <w:szCs w:val="20"/>
                <w:lang w:val="en-US" w:eastAsia="ja-JP" w:bidi="he-IL"/>
              </w:rPr>
              <w:t xml:space="preserve"> lower than Q3 2018, impacted by an IFRS 9 accounting change for interest in suspense recoveries of £8 million offset in impairments, and a £16 million increase in debt sale gains. Excluding these items, income was £41 million, or 3.3%, lower than Q3 2018 reflecting lower overall mortgage margins. Net interest margin decreased by 7 basis points compared with Q2 2019 reflecting the lower yield curve, impacting deposit margins and mortgage margin pressure as front book margins, whilst higher than Q2 2019, remain lower than back book margin.</w:t>
            </w:r>
          </w:p>
        </w:tc>
      </w:tr>
      <w:tr w:rsidR="008E0433" w:rsidTr="00001A04">
        <w:trPr>
          <w:trHeight w:val="647"/>
        </w:trPr>
        <w:tc>
          <w:tcPr>
            <w:tcW w:w="284" w:type="dxa"/>
            <w:tcBorders>
              <w:top w:val="nil"/>
              <w:left w:val="nil"/>
              <w:bottom w:val="nil"/>
              <w:right w:val="nil"/>
            </w:tcBorders>
          </w:tcPr>
          <w:p w:rsidR="00001A04" w:rsidRPr="009A2432" w:rsidRDefault="00E02264" w:rsidP="00A9526E">
            <w:pPr>
              <w:pStyle w:val="Normal180"/>
              <w:spacing w:line="288" w:lineRule="auto"/>
              <w:jc w:val="both"/>
              <w:rPr>
                <w:rFonts w:eastAsia="SimSun"/>
                <w:color w:val="003366"/>
                <w:sz w:val="20"/>
                <w:szCs w:val="20"/>
                <w:lang w:eastAsia="ja-JP"/>
              </w:rPr>
            </w:pPr>
            <w:r w:rsidRPr="009A2432">
              <w:rPr>
                <w:rFonts w:eastAsia="SimSun"/>
                <w:color w:val="003366"/>
                <w:sz w:val="20"/>
                <w:szCs w:val="20"/>
                <w:lang w:eastAsia="ja-JP"/>
              </w:rPr>
              <w:t>●</w:t>
            </w:r>
          </w:p>
        </w:tc>
        <w:tc>
          <w:tcPr>
            <w:tcW w:w="9781" w:type="dxa"/>
            <w:tcBorders>
              <w:top w:val="nil"/>
              <w:left w:val="nil"/>
              <w:bottom w:val="nil"/>
              <w:right w:val="nil"/>
            </w:tcBorders>
          </w:tcPr>
          <w:p w:rsidR="00001A04" w:rsidRPr="0031042D" w:rsidRDefault="00E02264" w:rsidP="0033077E">
            <w:pPr>
              <w:pStyle w:val="Normal180"/>
              <w:spacing w:line="259" w:lineRule="auto"/>
              <w:rPr>
                <w:rFonts w:eastAsia="Times New Roman"/>
                <w:sz w:val="20"/>
                <w:szCs w:val="20"/>
                <w:lang w:val="en-US" w:eastAsia="ja-JP" w:bidi="he-IL"/>
              </w:rPr>
            </w:pPr>
            <w:r>
              <w:rPr>
                <w:rFonts w:eastAsia="Times New Roman"/>
                <w:sz w:val="20"/>
                <w:szCs w:val="20"/>
                <w:lang w:val="en-US" w:eastAsia="ja-JP" w:bidi="he-IL"/>
              </w:rPr>
              <w:t xml:space="preserve">Excluding strategic, litigation and conduct costs, operating expenses increased by £26 million, or 4.5%, compared with Q3 2018 reflecting increased fraud costs due to a revised customer refund approach for authorised push payment scams, annual pay award and increased technology and innovation costs, partially offset by a 6% reduction in headcount. </w:t>
            </w:r>
          </w:p>
        </w:tc>
      </w:tr>
      <w:tr w:rsidR="008E0433" w:rsidTr="00001A04">
        <w:trPr>
          <w:trHeight w:val="463"/>
        </w:trPr>
        <w:tc>
          <w:tcPr>
            <w:tcW w:w="284" w:type="dxa"/>
            <w:tcBorders>
              <w:top w:val="nil"/>
              <w:left w:val="nil"/>
              <w:bottom w:val="nil"/>
              <w:right w:val="nil"/>
            </w:tcBorders>
          </w:tcPr>
          <w:p w:rsidR="00001A04" w:rsidRPr="009A2432" w:rsidRDefault="00E02264" w:rsidP="00A9526E">
            <w:pPr>
              <w:pStyle w:val="Normal180"/>
              <w:spacing w:line="288" w:lineRule="auto"/>
              <w:jc w:val="both"/>
              <w:rPr>
                <w:rFonts w:eastAsia="SimSun"/>
                <w:color w:val="003366"/>
                <w:sz w:val="20"/>
                <w:szCs w:val="20"/>
                <w:lang w:eastAsia="ja-JP"/>
              </w:rPr>
            </w:pPr>
            <w:r w:rsidRPr="009A2432">
              <w:rPr>
                <w:rFonts w:eastAsia="SimSun"/>
                <w:color w:val="003366"/>
                <w:sz w:val="20"/>
                <w:szCs w:val="20"/>
                <w:lang w:eastAsia="ja-JP"/>
              </w:rPr>
              <w:t>●</w:t>
            </w:r>
          </w:p>
        </w:tc>
        <w:tc>
          <w:tcPr>
            <w:tcW w:w="9781" w:type="dxa"/>
            <w:tcBorders>
              <w:top w:val="nil"/>
              <w:left w:val="nil"/>
              <w:bottom w:val="nil"/>
              <w:right w:val="nil"/>
            </w:tcBorders>
          </w:tcPr>
          <w:p w:rsidR="00001A04" w:rsidRPr="0031042D" w:rsidRDefault="00E02264" w:rsidP="004C1B78">
            <w:pPr>
              <w:pStyle w:val="Normal180"/>
              <w:spacing w:line="259" w:lineRule="auto"/>
              <w:rPr>
                <w:rFonts w:eastAsia="Times New Roman"/>
                <w:sz w:val="20"/>
                <w:szCs w:val="20"/>
                <w:lang w:val="en-US" w:eastAsia="ja-JP" w:bidi="he-IL"/>
              </w:rPr>
            </w:pPr>
            <w:r>
              <w:rPr>
                <w:rFonts w:eastAsia="Times New Roman"/>
                <w:sz w:val="20"/>
                <w:szCs w:val="20"/>
                <w:lang w:val="en-US" w:eastAsia="ja-JP" w:bidi="he-IL"/>
              </w:rPr>
              <w:t>Litigation and conduct costs include a £900 million charge in respect of PPI claims following greater than predicted complaints volumes in the lead up to the 29 August 2019 deadline.</w:t>
            </w:r>
          </w:p>
        </w:tc>
      </w:tr>
      <w:tr w:rsidR="008E0433" w:rsidTr="00001A04">
        <w:trPr>
          <w:trHeight w:val="952"/>
        </w:trPr>
        <w:tc>
          <w:tcPr>
            <w:tcW w:w="284" w:type="dxa"/>
            <w:tcBorders>
              <w:top w:val="nil"/>
              <w:left w:val="nil"/>
              <w:bottom w:val="nil"/>
              <w:right w:val="nil"/>
            </w:tcBorders>
          </w:tcPr>
          <w:p w:rsidR="00001A04" w:rsidRPr="009A2432" w:rsidRDefault="00E02264" w:rsidP="00A9526E">
            <w:pPr>
              <w:pStyle w:val="Normal180"/>
              <w:spacing w:line="288" w:lineRule="auto"/>
              <w:jc w:val="both"/>
              <w:rPr>
                <w:rFonts w:eastAsia="SimSun"/>
                <w:color w:val="003366"/>
                <w:sz w:val="20"/>
                <w:szCs w:val="20"/>
                <w:lang w:eastAsia="ja-JP"/>
              </w:rPr>
            </w:pPr>
            <w:r w:rsidRPr="009A2432">
              <w:rPr>
                <w:rFonts w:eastAsia="SimSun"/>
                <w:color w:val="003366"/>
                <w:sz w:val="20"/>
                <w:szCs w:val="20"/>
                <w:lang w:eastAsia="ja-JP"/>
              </w:rPr>
              <w:t>●</w:t>
            </w:r>
          </w:p>
        </w:tc>
        <w:tc>
          <w:tcPr>
            <w:tcW w:w="9781" w:type="dxa"/>
            <w:tcBorders>
              <w:top w:val="nil"/>
              <w:left w:val="nil"/>
              <w:bottom w:val="nil"/>
              <w:right w:val="nil"/>
            </w:tcBorders>
          </w:tcPr>
          <w:p w:rsidR="00001A04" w:rsidRDefault="00E02264" w:rsidP="0033077E">
            <w:pPr>
              <w:pStyle w:val="Normal180"/>
              <w:spacing w:line="259" w:lineRule="auto"/>
              <w:rPr>
                <w:rFonts w:eastAsia="Times New Roman"/>
                <w:sz w:val="20"/>
                <w:szCs w:val="20"/>
                <w:lang w:val="en-US" w:eastAsia="ja-JP" w:bidi="he-IL"/>
              </w:rPr>
            </w:pPr>
            <w:r>
              <w:rPr>
                <w:rFonts w:eastAsia="Times New Roman"/>
                <w:sz w:val="20"/>
                <w:szCs w:val="20"/>
                <w:lang w:val="en-US" w:eastAsia="ja-JP" w:bidi="he-IL"/>
              </w:rPr>
              <w:t xml:space="preserve">Impairment losses were £65 million higher than Q3 2018 reflecting lending growth, lower debt sale recoveries and IFRS 9 modelling adjustments. Underlying defaults have increased slightly since Q3 </w:t>
            </w:r>
            <w:proofErr w:type="gramStart"/>
            <w:r>
              <w:rPr>
                <w:rFonts w:eastAsia="Times New Roman"/>
                <w:sz w:val="20"/>
                <w:szCs w:val="20"/>
                <w:lang w:val="en-US" w:eastAsia="ja-JP" w:bidi="he-IL"/>
              </w:rPr>
              <w:t>2018,</w:t>
            </w:r>
            <w:proofErr w:type="gramEnd"/>
            <w:r>
              <w:rPr>
                <w:rFonts w:eastAsia="Times New Roman"/>
                <w:sz w:val="20"/>
                <w:szCs w:val="20"/>
                <w:lang w:val="en-US" w:eastAsia="ja-JP" w:bidi="he-IL"/>
              </w:rPr>
              <w:t xml:space="preserve"> however the trend is starting to flatten following risk appetite tightening. The uplift in impairment losses relative to Q2 2019 includes an additional charge in respect of increased economic uncertainty and IFRS 9 modelling adjustments.</w:t>
            </w:r>
          </w:p>
        </w:tc>
      </w:tr>
      <w:tr w:rsidR="008E0433" w:rsidTr="00001A04">
        <w:trPr>
          <w:trHeight w:val="294"/>
        </w:trPr>
        <w:tc>
          <w:tcPr>
            <w:tcW w:w="284" w:type="dxa"/>
            <w:tcBorders>
              <w:top w:val="nil"/>
              <w:left w:val="nil"/>
              <w:bottom w:val="nil"/>
              <w:right w:val="nil"/>
            </w:tcBorders>
          </w:tcPr>
          <w:p w:rsidR="00001A04" w:rsidRPr="009A2432" w:rsidRDefault="00E02264" w:rsidP="00A9526E">
            <w:pPr>
              <w:pStyle w:val="Normal180"/>
              <w:spacing w:line="288" w:lineRule="auto"/>
              <w:jc w:val="both"/>
              <w:rPr>
                <w:rFonts w:eastAsia="SimSun"/>
                <w:color w:val="003366"/>
                <w:sz w:val="20"/>
                <w:szCs w:val="20"/>
                <w:lang w:eastAsia="ja-JP"/>
              </w:rPr>
            </w:pPr>
            <w:r w:rsidRPr="009A2432">
              <w:rPr>
                <w:rFonts w:eastAsia="SimSun"/>
                <w:color w:val="003366"/>
                <w:sz w:val="20"/>
                <w:szCs w:val="20"/>
                <w:lang w:eastAsia="ja-JP"/>
              </w:rPr>
              <w:t>●</w:t>
            </w:r>
          </w:p>
        </w:tc>
        <w:tc>
          <w:tcPr>
            <w:tcW w:w="9781" w:type="dxa"/>
            <w:tcBorders>
              <w:top w:val="nil"/>
              <w:left w:val="nil"/>
              <w:bottom w:val="nil"/>
              <w:right w:val="nil"/>
            </w:tcBorders>
          </w:tcPr>
          <w:p w:rsidR="00001A04" w:rsidRPr="0031042D" w:rsidRDefault="00E02264" w:rsidP="004C1B78">
            <w:pPr>
              <w:pStyle w:val="Normal180"/>
              <w:spacing w:line="259" w:lineRule="auto"/>
              <w:rPr>
                <w:rFonts w:eastAsia="Times New Roman"/>
                <w:sz w:val="20"/>
                <w:szCs w:val="20"/>
                <w:lang w:val="en-US" w:eastAsia="ja-JP" w:bidi="he-IL"/>
              </w:rPr>
            </w:pPr>
            <w:r>
              <w:rPr>
                <w:rFonts w:eastAsia="Times New Roman"/>
                <w:sz w:val="20"/>
                <w:szCs w:val="20"/>
                <w:lang w:val="en-US" w:eastAsia="ja-JP" w:bidi="he-IL"/>
              </w:rPr>
              <w:t>Compared with Q2 2019, net loans to customers increased by £2.7 billion as a result of strong gross new mortgage lending of £8.6 billion in the quarter, with market flow share of approximately 12%, supporting a stock share of approximately 10%. Personal advances increased by £0.2 billion and cards balances increased by £0.1 billion with cards growth supported by the re-entry to the 0% balance transfer market in Q2 2019.</w:t>
            </w:r>
          </w:p>
        </w:tc>
      </w:tr>
      <w:tr w:rsidR="008E0433" w:rsidTr="00001A04">
        <w:trPr>
          <w:trHeight w:val="329"/>
        </w:trPr>
        <w:tc>
          <w:tcPr>
            <w:tcW w:w="284" w:type="dxa"/>
            <w:tcBorders>
              <w:top w:val="nil"/>
              <w:left w:val="nil"/>
              <w:bottom w:val="nil"/>
              <w:right w:val="nil"/>
            </w:tcBorders>
          </w:tcPr>
          <w:p w:rsidR="00001A04" w:rsidRPr="009A2432" w:rsidRDefault="00E02264" w:rsidP="00A9526E">
            <w:pPr>
              <w:pStyle w:val="Normal180"/>
              <w:spacing w:line="288" w:lineRule="auto"/>
              <w:jc w:val="both"/>
              <w:rPr>
                <w:rFonts w:eastAsia="SimSun"/>
                <w:color w:val="003366"/>
                <w:sz w:val="20"/>
                <w:szCs w:val="20"/>
                <w:lang w:eastAsia="ja-JP"/>
              </w:rPr>
            </w:pPr>
            <w:r w:rsidRPr="009A2432">
              <w:rPr>
                <w:rFonts w:eastAsia="SimSun"/>
                <w:color w:val="003366"/>
                <w:sz w:val="20"/>
                <w:szCs w:val="20"/>
                <w:lang w:eastAsia="ja-JP"/>
              </w:rPr>
              <w:t>●</w:t>
            </w:r>
          </w:p>
        </w:tc>
        <w:tc>
          <w:tcPr>
            <w:tcW w:w="9781" w:type="dxa"/>
            <w:tcBorders>
              <w:top w:val="nil"/>
              <w:left w:val="nil"/>
              <w:bottom w:val="nil"/>
              <w:right w:val="nil"/>
            </w:tcBorders>
          </w:tcPr>
          <w:p w:rsidR="00001A04" w:rsidRPr="0031042D" w:rsidRDefault="00E02264" w:rsidP="0033077E">
            <w:pPr>
              <w:pStyle w:val="Normal180"/>
              <w:spacing w:line="259" w:lineRule="auto"/>
              <w:rPr>
                <w:rFonts w:eastAsia="Times New Roman"/>
                <w:sz w:val="20"/>
                <w:szCs w:val="20"/>
                <w:lang w:val="en-US" w:eastAsia="ja-JP" w:bidi="he-IL"/>
              </w:rPr>
            </w:pPr>
            <w:r>
              <w:rPr>
                <w:rFonts w:eastAsia="Times New Roman"/>
                <w:sz w:val="20"/>
                <w:szCs w:val="20"/>
                <w:lang w:val="en-US" w:eastAsia="ja-JP" w:bidi="he-IL"/>
              </w:rPr>
              <w:t xml:space="preserve">RWAs increased by £0.5 billion compared with Q2 2019, reflecting strong lending growth across all products. </w:t>
            </w:r>
          </w:p>
        </w:tc>
      </w:tr>
    </w:tbl>
    <w:p w:rsidR="006A0A7D" w:rsidRDefault="006A0A7D" w:rsidP="000A4C61">
      <w:pPr>
        <w:pStyle w:val="Normal20"/>
        <w:spacing w:line="259" w:lineRule="auto"/>
        <w:jc w:val="both"/>
        <w:rPr>
          <w:color w:val="003366"/>
          <w:sz w:val="18"/>
          <w:szCs w:val="18"/>
          <w:lang w:eastAsia="ja-JP"/>
        </w:rPr>
      </w:pPr>
    </w:p>
    <w:p w:rsidR="001861BA" w:rsidRDefault="00E02264">
      <w:pPr>
        <w:spacing w:after="200"/>
        <w:rPr>
          <w:rFonts w:eastAsia="Arial" w:cs="Arial"/>
          <w:color w:val="003366"/>
          <w:szCs w:val="18"/>
          <w:lang w:eastAsia="ja-JP"/>
        </w:rPr>
      </w:pPr>
      <w:r>
        <w:rPr>
          <w:color w:val="003366"/>
          <w:szCs w:val="18"/>
          <w:lang w:eastAsia="ja-JP"/>
        </w:rPr>
        <w:br w:type="page"/>
      </w:r>
    </w:p>
    <w:p w:rsidR="001861BA" w:rsidRPr="007A6ADD" w:rsidRDefault="00E02264" w:rsidP="001861BA">
      <w:pPr>
        <w:pStyle w:val="Normal20"/>
        <w:spacing w:line="288" w:lineRule="auto"/>
        <w:jc w:val="both"/>
        <w:rPr>
          <w:b/>
          <w:color w:val="003366"/>
          <w:sz w:val="18"/>
          <w:szCs w:val="18"/>
          <w:lang w:eastAsia="ja-JP"/>
        </w:rPr>
      </w:pPr>
      <w:r w:rsidRPr="007A6ADD">
        <w:rPr>
          <w:b/>
          <w:color w:val="003366"/>
          <w:sz w:val="18"/>
          <w:szCs w:val="18"/>
          <w:lang w:eastAsia="ja-JP"/>
        </w:rPr>
        <w:lastRenderedPageBreak/>
        <w:t>Business performance summary</w:t>
      </w:r>
    </w:p>
    <w:p w:rsidR="001861BA" w:rsidRDefault="00E02264" w:rsidP="001861BA">
      <w:pPr>
        <w:pStyle w:val="Normal20"/>
        <w:spacing w:line="288" w:lineRule="auto"/>
        <w:jc w:val="both"/>
        <w:rPr>
          <w:b/>
          <w:color w:val="003366"/>
          <w:sz w:val="18"/>
          <w:szCs w:val="18"/>
          <w:lang w:eastAsia="ja-JP"/>
        </w:rPr>
      </w:pPr>
      <w:r>
        <w:rPr>
          <w:b/>
          <w:color w:val="003366"/>
          <w:sz w:val="18"/>
          <w:szCs w:val="18"/>
          <w:lang w:eastAsia="ja-JP"/>
        </w:rPr>
        <w:t xml:space="preserve">Personal &amp; Ulster </w:t>
      </w:r>
    </w:p>
    <w:p w:rsidR="000A4C61" w:rsidRPr="00A711D7" w:rsidRDefault="00E02264" w:rsidP="000A4C61">
      <w:pPr>
        <w:pStyle w:val="Normal20"/>
        <w:spacing w:line="259" w:lineRule="auto"/>
        <w:jc w:val="both"/>
        <w:rPr>
          <w:b/>
          <w:color w:val="003366"/>
          <w:sz w:val="18"/>
          <w:szCs w:val="18"/>
          <w:lang w:eastAsia="ja-JP"/>
        </w:rPr>
      </w:pPr>
      <w:r w:rsidRPr="00A711D7">
        <w:rPr>
          <w:b/>
          <w:color w:val="003366"/>
          <w:sz w:val="18"/>
          <w:szCs w:val="18"/>
          <w:lang w:eastAsia="ja-JP"/>
        </w:rPr>
        <w:t>Ulster Bank RoI</w:t>
      </w:r>
    </w:p>
    <w:tbl>
      <w:tblPr>
        <w:tblStyle w:val="table"/>
        <w:tblW w:w="10060" w:type="dxa"/>
        <w:tblInd w:w="5" w:type="dxa"/>
        <w:tblCellMar>
          <w:left w:w="0" w:type="dxa"/>
          <w:right w:w="0" w:type="dxa"/>
        </w:tblCellMar>
        <w:tblLook w:val="05E0" w:firstRow="1" w:lastRow="1" w:firstColumn="1" w:lastColumn="1" w:noHBand="0" w:noVBand="1"/>
      </w:tblPr>
      <w:tblGrid>
        <w:gridCol w:w="1785"/>
        <w:gridCol w:w="1260"/>
        <w:gridCol w:w="810"/>
        <w:gridCol w:w="1110"/>
        <w:gridCol w:w="135"/>
        <w:gridCol w:w="1785"/>
        <w:gridCol w:w="1260"/>
        <w:gridCol w:w="810"/>
        <w:gridCol w:w="1110"/>
      </w:tblGrid>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8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b/>
                <w:bCs/>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8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As at</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31 December</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€bn</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r>
      <w:tr w:rsidR="008E0433">
        <w:trPr>
          <w:trHeight w:val="195"/>
        </w:trPr>
        <w:tc>
          <w:tcPr>
            <w:tcW w:w="17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161</w:t>
            </w:r>
          </w:p>
        </w:tc>
        <w:tc>
          <w:tcPr>
            <w:tcW w:w="8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158</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169</w:t>
            </w:r>
          </w:p>
        </w:tc>
        <w:tc>
          <w:tcPr>
            <w:tcW w:w="1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xml:space="preserve">Net loans to customers - </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(146)</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(166)</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(188)</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amortised cost</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21.4</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21.0</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xml:space="preserve">Impairment </w:t>
            </w: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21.3</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21.3</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20.1</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releases/(losses)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(68)</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15.8</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16.4</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profit/(loss)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(87)</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0.6%</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(12.7%)</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1.55%</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1.72%</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Cost:income ratio</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90.3%</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105.1%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110.6%</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Loan impairment rate</w:t>
            </w:r>
          </w:p>
        </w:tc>
        <w:tc>
          <w:tcPr>
            <w:tcW w:w="126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(34)bps</w:t>
            </w:r>
          </w:p>
        </w:tc>
        <w:tc>
          <w:tcPr>
            <w:tcW w:w="8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(20)bps</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119bps</w:t>
            </w:r>
          </w:p>
        </w:tc>
        <w:tc>
          <w:tcPr>
            <w:tcW w:w="13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bl>
    <w:tbl>
      <w:tblPr>
        <w:tblW w:w="10204" w:type="dxa"/>
        <w:tblLayout w:type="fixed"/>
        <w:tblCellMar>
          <w:left w:w="0" w:type="dxa"/>
          <w:right w:w="0" w:type="dxa"/>
        </w:tblCellMar>
        <w:tblLook w:val="01E0" w:firstRow="1" w:lastRow="1" w:firstColumn="1" w:lastColumn="1" w:noHBand="0" w:noVBand="0"/>
      </w:tblPr>
      <w:tblGrid>
        <w:gridCol w:w="284"/>
        <w:gridCol w:w="9920"/>
      </w:tblGrid>
      <w:tr w:rsidR="008E0433" w:rsidTr="009A2432">
        <w:trPr>
          <w:trHeight w:val="789"/>
        </w:trPr>
        <w:tc>
          <w:tcPr>
            <w:tcW w:w="284" w:type="dxa"/>
            <w:tcBorders>
              <w:top w:val="nil"/>
              <w:left w:val="nil"/>
              <w:bottom w:val="nil"/>
              <w:right w:val="nil"/>
            </w:tcBorders>
          </w:tcPr>
          <w:p w:rsidR="00001A04" w:rsidRPr="00001A04" w:rsidRDefault="00001A04" w:rsidP="00A9526E">
            <w:pPr>
              <w:pStyle w:val="Normal00"/>
              <w:spacing w:line="288" w:lineRule="auto"/>
              <w:jc w:val="both"/>
              <w:rPr>
                <w:rFonts w:eastAsia="SimSun"/>
                <w:color w:val="003366"/>
                <w:sz w:val="8"/>
                <w:szCs w:val="8"/>
                <w:lang w:eastAsia="ja-JP"/>
              </w:rPr>
            </w:pPr>
          </w:p>
          <w:p w:rsidR="00001A04" w:rsidRPr="009A2432" w:rsidRDefault="00E02264" w:rsidP="00A9526E">
            <w:pPr>
              <w:pStyle w:val="Normal00"/>
              <w:spacing w:line="288" w:lineRule="auto"/>
              <w:jc w:val="both"/>
              <w:rPr>
                <w:rFonts w:ascii="Arial" w:hAnsi="Arial" w:cs="Arial"/>
                <w:color w:val="003366"/>
                <w:sz w:val="20"/>
                <w:szCs w:val="18"/>
                <w:lang w:eastAsia="ja-JP"/>
              </w:rPr>
            </w:pPr>
            <w:r w:rsidRPr="009A2432">
              <w:rPr>
                <w:rFonts w:ascii="Arial" w:eastAsia="SimSun" w:hAnsi="Arial" w:cs="Arial"/>
                <w:color w:val="003366"/>
                <w:sz w:val="20"/>
                <w:szCs w:val="18"/>
                <w:lang w:eastAsia="ja-JP"/>
              </w:rPr>
              <w:t>●</w:t>
            </w:r>
          </w:p>
        </w:tc>
        <w:tc>
          <w:tcPr>
            <w:tcW w:w="9920" w:type="dxa"/>
            <w:tcBorders>
              <w:top w:val="nil"/>
              <w:left w:val="nil"/>
              <w:bottom w:val="nil"/>
              <w:right w:val="nil"/>
            </w:tcBorders>
          </w:tcPr>
          <w:p w:rsidR="00001A04" w:rsidRPr="00001A04" w:rsidRDefault="00001A04" w:rsidP="0033077E">
            <w:pPr>
              <w:pStyle w:val="Normal00"/>
              <w:spacing w:line="259" w:lineRule="auto"/>
              <w:rPr>
                <w:rFonts w:ascii="Arial" w:hAnsi="Arial" w:cs="Arial"/>
                <w:sz w:val="8"/>
                <w:szCs w:val="8"/>
                <w:lang w:val="en-US" w:eastAsia="ja-JP" w:bidi="he-IL"/>
              </w:rPr>
            </w:pPr>
          </w:p>
          <w:p w:rsidR="00001A04" w:rsidRPr="003A6DC3" w:rsidRDefault="00E02264" w:rsidP="0033077E">
            <w:pPr>
              <w:pStyle w:val="Normal00"/>
              <w:spacing w:line="259" w:lineRule="auto"/>
              <w:rPr>
                <w:rFonts w:ascii="Arial" w:hAnsi="Arial" w:cs="Arial"/>
                <w:sz w:val="20"/>
                <w:szCs w:val="20"/>
                <w:lang w:val="en-US" w:eastAsia="ja-JP" w:bidi="he-IL"/>
              </w:rPr>
            </w:pPr>
            <w:r w:rsidRPr="0044267B">
              <w:rPr>
                <w:rFonts w:ascii="Arial" w:hAnsi="Arial" w:cs="Arial"/>
                <w:sz w:val="20"/>
                <w:szCs w:val="20"/>
                <w:lang w:val="en-US" w:eastAsia="ja-JP" w:bidi="he-IL"/>
              </w:rPr>
              <w:t>Ulster Bank RoI continues to deliver digital enhancements, including paperless processes that simplify the everyday banking experience for customers. 70% of active personal current account customers are now choosing to bank through digital channels, with mobile payments and transfers 29% higher compared with Q3 2018.</w:t>
            </w:r>
          </w:p>
        </w:tc>
      </w:tr>
      <w:tr w:rsidR="008E0433" w:rsidTr="009A2432">
        <w:trPr>
          <w:trHeight w:val="647"/>
        </w:trPr>
        <w:tc>
          <w:tcPr>
            <w:tcW w:w="284" w:type="dxa"/>
            <w:tcBorders>
              <w:top w:val="nil"/>
              <w:left w:val="nil"/>
              <w:bottom w:val="nil"/>
              <w:right w:val="nil"/>
            </w:tcBorders>
          </w:tcPr>
          <w:p w:rsidR="00001A04" w:rsidRPr="009A2432" w:rsidRDefault="00E02264" w:rsidP="00A9526E">
            <w:pPr>
              <w:pStyle w:val="Normal00"/>
              <w:spacing w:line="288" w:lineRule="auto"/>
              <w:jc w:val="both"/>
              <w:rPr>
                <w:rFonts w:ascii="Arial" w:eastAsia="SimSun" w:hAnsi="Arial" w:cs="Arial"/>
                <w:color w:val="003366"/>
                <w:sz w:val="20"/>
                <w:szCs w:val="20"/>
                <w:lang w:eastAsia="ja-JP"/>
              </w:rPr>
            </w:pPr>
            <w:r w:rsidRPr="009A2432">
              <w:rPr>
                <w:rFonts w:ascii="Arial" w:eastAsia="SimSun" w:hAnsi="Arial" w:cs="Arial"/>
                <w:color w:val="003366"/>
                <w:sz w:val="20"/>
                <w:szCs w:val="20"/>
                <w:lang w:eastAsia="ja-JP"/>
              </w:rPr>
              <w:t>●</w:t>
            </w:r>
          </w:p>
        </w:tc>
        <w:tc>
          <w:tcPr>
            <w:tcW w:w="9920" w:type="dxa"/>
            <w:tcBorders>
              <w:top w:val="nil"/>
              <w:left w:val="nil"/>
              <w:bottom w:val="nil"/>
              <w:right w:val="nil"/>
            </w:tcBorders>
          </w:tcPr>
          <w:p w:rsidR="00001A04" w:rsidRPr="0044267B" w:rsidRDefault="00E02264" w:rsidP="0033077E">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 xml:space="preserve">Total income was €8 million, or 4.7%, lower than Q3 2018 </w:t>
            </w:r>
            <w:proofErr w:type="gramStart"/>
            <w:r>
              <w:rPr>
                <w:rFonts w:ascii="Arial" w:hAnsi="Arial" w:cs="Arial"/>
                <w:sz w:val="20"/>
                <w:szCs w:val="20"/>
                <w:lang w:val="en-US" w:eastAsia="ja-JP" w:bidi="he-IL"/>
              </w:rPr>
              <w:t>primarily reflecting</w:t>
            </w:r>
            <w:proofErr w:type="gramEnd"/>
            <w:r>
              <w:rPr>
                <w:rFonts w:ascii="Arial" w:hAnsi="Arial" w:cs="Arial"/>
                <w:sz w:val="20"/>
                <w:szCs w:val="20"/>
                <w:lang w:val="en-US" w:eastAsia="ja-JP" w:bidi="he-IL"/>
              </w:rPr>
              <w:t xml:space="preserve"> the sale of a portfolio of non-performing loans (NPL) and an IFRS 9 accounting change for interest in suspense recoveries of €6 million. Net interest margin decreased by 7 basis points compared with Q2 2019 mainly due to the IFRS 9 accounting change which took effect late in Q2 2019.</w:t>
            </w:r>
          </w:p>
        </w:tc>
      </w:tr>
      <w:tr w:rsidR="008E0433" w:rsidTr="009A2432">
        <w:trPr>
          <w:trHeight w:val="375"/>
        </w:trPr>
        <w:tc>
          <w:tcPr>
            <w:tcW w:w="284" w:type="dxa"/>
            <w:tcBorders>
              <w:top w:val="nil"/>
              <w:left w:val="nil"/>
              <w:bottom w:val="nil"/>
              <w:right w:val="nil"/>
            </w:tcBorders>
          </w:tcPr>
          <w:p w:rsidR="00001A04" w:rsidRPr="009A2432" w:rsidRDefault="00E02264" w:rsidP="00A9526E">
            <w:pPr>
              <w:pStyle w:val="Normal00"/>
              <w:spacing w:line="288" w:lineRule="auto"/>
              <w:jc w:val="both"/>
              <w:rPr>
                <w:rFonts w:ascii="Arial" w:eastAsia="SimSun" w:hAnsi="Arial" w:cs="Arial"/>
                <w:color w:val="003366"/>
                <w:sz w:val="20"/>
                <w:szCs w:val="20"/>
                <w:lang w:eastAsia="ja-JP"/>
              </w:rPr>
            </w:pPr>
            <w:r w:rsidRPr="009A2432">
              <w:rPr>
                <w:rFonts w:ascii="Arial" w:eastAsia="SimSun" w:hAnsi="Arial" w:cs="Arial"/>
                <w:color w:val="003366"/>
                <w:sz w:val="20"/>
                <w:szCs w:val="20"/>
                <w:lang w:eastAsia="ja-JP"/>
              </w:rPr>
              <w:t>●</w:t>
            </w:r>
          </w:p>
        </w:tc>
        <w:tc>
          <w:tcPr>
            <w:tcW w:w="9920" w:type="dxa"/>
            <w:tcBorders>
              <w:top w:val="nil"/>
              <w:left w:val="nil"/>
              <w:bottom w:val="nil"/>
              <w:right w:val="nil"/>
            </w:tcBorders>
          </w:tcPr>
          <w:p w:rsidR="00001A04" w:rsidRPr="0044267B" w:rsidRDefault="00E02264" w:rsidP="005C46B6">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Excluding strategic, conduct and litigation costs, operating expenses decreased by €12 million, or 8.3%, compared with Q3 2018 due to the timing of project costs, reduced pension costs and the impact of other cost saving initiatives, partially offset by higher levies.</w:t>
            </w:r>
          </w:p>
        </w:tc>
      </w:tr>
      <w:tr w:rsidR="008E0433" w:rsidTr="009A2432">
        <w:trPr>
          <w:trHeight w:val="427"/>
        </w:trPr>
        <w:tc>
          <w:tcPr>
            <w:tcW w:w="284" w:type="dxa"/>
            <w:tcBorders>
              <w:top w:val="nil"/>
              <w:left w:val="nil"/>
              <w:bottom w:val="nil"/>
              <w:right w:val="nil"/>
            </w:tcBorders>
          </w:tcPr>
          <w:p w:rsidR="00001A04" w:rsidRPr="009A2432" w:rsidRDefault="00E02264" w:rsidP="00A9526E">
            <w:pPr>
              <w:pStyle w:val="Normal00"/>
              <w:spacing w:line="288" w:lineRule="auto"/>
              <w:jc w:val="both"/>
              <w:rPr>
                <w:rFonts w:ascii="Arial" w:eastAsia="SimSun" w:hAnsi="Arial" w:cs="Arial"/>
                <w:color w:val="003366"/>
                <w:sz w:val="18"/>
                <w:szCs w:val="18"/>
                <w:lang w:eastAsia="ja-JP"/>
              </w:rPr>
            </w:pPr>
            <w:r w:rsidRPr="009A2432">
              <w:rPr>
                <w:rFonts w:ascii="Arial" w:eastAsia="SimSun" w:hAnsi="Arial" w:cs="Arial"/>
                <w:color w:val="003366"/>
                <w:sz w:val="20"/>
                <w:szCs w:val="18"/>
                <w:lang w:eastAsia="ja-JP"/>
              </w:rPr>
              <w:t>●</w:t>
            </w:r>
          </w:p>
        </w:tc>
        <w:tc>
          <w:tcPr>
            <w:tcW w:w="9920" w:type="dxa"/>
            <w:tcBorders>
              <w:top w:val="nil"/>
              <w:left w:val="nil"/>
              <w:bottom w:val="nil"/>
              <w:right w:val="nil"/>
            </w:tcBorders>
          </w:tcPr>
          <w:p w:rsidR="00001A04" w:rsidRPr="0044267B" w:rsidRDefault="00E02264" w:rsidP="0033077E">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A net impairment release of €19 million in Q3 2019 principally reflects the net impact of an improvement in the performance of the non-performing loan portfolio and NPL deleveraging, partly offset by a charge for economic uncertainty.</w:t>
            </w:r>
          </w:p>
        </w:tc>
      </w:tr>
      <w:tr w:rsidR="008E0433" w:rsidTr="009A2432">
        <w:trPr>
          <w:trHeight w:val="128"/>
        </w:trPr>
        <w:tc>
          <w:tcPr>
            <w:tcW w:w="284" w:type="dxa"/>
            <w:tcBorders>
              <w:top w:val="nil"/>
              <w:left w:val="nil"/>
              <w:bottom w:val="nil"/>
              <w:right w:val="nil"/>
            </w:tcBorders>
          </w:tcPr>
          <w:p w:rsidR="00001A04" w:rsidRPr="009A2432" w:rsidRDefault="00E02264" w:rsidP="00A9526E">
            <w:pPr>
              <w:pStyle w:val="Normal00"/>
              <w:spacing w:line="288" w:lineRule="auto"/>
              <w:jc w:val="both"/>
              <w:rPr>
                <w:rFonts w:ascii="Arial" w:eastAsia="SimSun" w:hAnsi="Arial" w:cs="Arial"/>
                <w:color w:val="003366"/>
                <w:sz w:val="18"/>
                <w:szCs w:val="18"/>
                <w:lang w:eastAsia="ja-JP"/>
              </w:rPr>
            </w:pPr>
            <w:r w:rsidRPr="009A2432">
              <w:rPr>
                <w:rFonts w:ascii="Arial" w:eastAsia="SimSun" w:hAnsi="Arial" w:cs="Arial"/>
                <w:color w:val="003366"/>
                <w:sz w:val="20"/>
                <w:szCs w:val="18"/>
                <w:lang w:eastAsia="ja-JP"/>
              </w:rPr>
              <w:t>●</w:t>
            </w:r>
          </w:p>
        </w:tc>
        <w:tc>
          <w:tcPr>
            <w:tcW w:w="9920" w:type="dxa"/>
            <w:tcBorders>
              <w:top w:val="nil"/>
              <w:left w:val="nil"/>
              <w:bottom w:val="nil"/>
              <w:right w:val="nil"/>
            </w:tcBorders>
          </w:tcPr>
          <w:p w:rsidR="00001A04" w:rsidRPr="0044267B" w:rsidRDefault="00E02264" w:rsidP="0033077E">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Net loans to customers increased by €0.2 billion compared with Q2 2019 primarily driven by growth in the commercial loan portfolio.</w:t>
            </w:r>
          </w:p>
        </w:tc>
      </w:tr>
      <w:tr w:rsidR="008E0433" w:rsidTr="009A2432">
        <w:trPr>
          <w:trHeight w:val="128"/>
        </w:trPr>
        <w:tc>
          <w:tcPr>
            <w:tcW w:w="284" w:type="dxa"/>
            <w:tcBorders>
              <w:top w:val="nil"/>
              <w:left w:val="nil"/>
              <w:bottom w:val="nil"/>
              <w:right w:val="nil"/>
            </w:tcBorders>
          </w:tcPr>
          <w:p w:rsidR="00001A04" w:rsidRPr="009A2432" w:rsidRDefault="00E02264" w:rsidP="00A9526E">
            <w:pPr>
              <w:pStyle w:val="Normal00"/>
              <w:spacing w:line="288" w:lineRule="auto"/>
              <w:jc w:val="both"/>
              <w:rPr>
                <w:rFonts w:ascii="Arial" w:eastAsia="SimSun" w:hAnsi="Arial" w:cs="Arial"/>
                <w:color w:val="003366"/>
                <w:sz w:val="18"/>
                <w:szCs w:val="18"/>
                <w:lang w:eastAsia="ja-JP"/>
              </w:rPr>
            </w:pPr>
            <w:r w:rsidRPr="009A2432">
              <w:rPr>
                <w:rFonts w:ascii="Arial" w:eastAsia="SimSun" w:hAnsi="Arial" w:cs="Arial"/>
                <w:color w:val="003366"/>
                <w:sz w:val="20"/>
                <w:szCs w:val="18"/>
                <w:lang w:eastAsia="ja-JP"/>
              </w:rPr>
              <w:t>●</w:t>
            </w:r>
          </w:p>
        </w:tc>
        <w:tc>
          <w:tcPr>
            <w:tcW w:w="9920" w:type="dxa"/>
            <w:tcBorders>
              <w:top w:val="nil"/>
              <w:left w:val="nil"/>
              <w:bottom w:val="nil"/>
              <w:right w:val="nil"/>
            </w:tcBorders>
          </w:tcPr>
          <w:p w:rsidR="00001A04" w:rsidRDefault="00E02264" w:rsidP="006F49C0">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 xml:space="preserve">On 8 October 2019 Ulster Bank Ireland DAC confirmed the sale of a portfolio of non-performing mortgages of €0.8 billion. This sale is consistent with our strategic objective to build a strong and sustainable bank and to reduce the percentage of non-performing loans on our balance sheet. The affected loans remain on the bank’s balance sheet at 30 September 2019 and will be de-recognised during 2020. </w:t>
            </w:r>
          </w:p>
        </w:tc>
      </w:tr>
    </w:tbl>
    <w:p w:rsidR="00C251B2" w:rsidRDefault="00C251B2" w:rsidP="000A4C61">
      <w:pPr>
        <w:pStyle w:val="Normal00"/>
        <w:spacing w:line="288" w:lineRule="auto"/>
        <w:jc w:val="both"/>
        <w:rPr>
          <w:rFonts w:ascii="Arial" w:hAnsi="Arial" w:cs="Arial"/>
          <w:b/>
          <w:color w:val="0A2F64"/>
          <w:sz w:val="18"/>
          <w:szCs w:val="18"/>
          <w:lang w:eastAsia="ja-JP"/>
        </w:rPr>
      </w:pPr>
    </w:p>
    <w:p w:rsidR="00C251B2" w:rsidRDefault="00C251B2" w:rsidP="000A4C61">
      <w:pPr>
        <w:pStyle w:val="Normal00"/>
        <w:spacing w:line="288" w:lineRule="auto"/>
        <w:jc w:val="both"/>
        <w:rPr>
          <w:rFonts w:ascii="Arial" w:hAnsi="Arial" w:cs="Arial"/>
          <w:b/>
          <w:color w:val="0A2F64"/>
          <w:sz w:val="18"/>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7801F3" w:rsidRDefault="007801F3" w:rsidP="009D386E">
      <w:pPr>
        <w:pStyle w:val="Normal20"/>
        <w:spacing w:line="288" w:lineRule="auto"/>
        <w:jc w:val="both"/>
        <w:rPr>
          <w:b/>
          <w:color w:val="0A2F64"/>
          <w:szCs w:val="18"/>
          <w:lang w:eastAsia="ja-JP"/>
        </w:rPr>
      </w:pPr>
    </w:p>
    <w:p w:rsidR="009D386E" w:rsidRDefault="00E02264" w:rsidP="009D386E">
      <w:pPr>
        <w:pStyle w:val="Normal20"/>
        <w:spacing w:line="288" w:lineRule="auto"/>
        <w:jc w:val="both"/>
        <w:rPr>
          <w:b/>
          <w:color w:val="003366"/>
          <w:sz w:val="18"/>
          <w:szCs w:val="18"/>
          <w:lang w:eastAsia="ja-JP"/>
        </w:rPr>
      </w:pPr>
      <w:r w:rsidRPr="009D386E">
        <w:rPr>
          <w:b/>
          <w:color w:val="003366"/>
          <w:sz w:val="18"/>
          <w:szCs w:val="18"/>
          <w:lang w:eastAsia="ja-JP"/>
        </w:rPr>
        <w:lastRenderedPageBreak/>
        <w:t>Business performance summary</w:t>
      </w:r>
    </w:p>
    <w:p w:rsidR="009D386E" w:rsidRPr="009D386E" w:rsidRDefault="00E02264" w:rsidP="009D386E">
      <w:pPr>
        <w:pStyle w:val="Normal20"/>
        <w:spacing w:line="288" w:lineRule="auto"/>
        <w:jc w:val="both"/>
        <w:rPr>
          <w:b/>
          <w:color w:val="003366"/>
          <w:sz w:val="18"/>
          <w:szCs w:val="18"/>
          <w:lang w:eastAsia="ja-JP"/>
        </w:rPr>
      </w:pPr>
      <w:r w:rsidRPr="009D386E">
        <w:rPr>
          <w:b/>
          <w:color w:val="003366"/>
          <w:sz w:val="18"/>
          <w:szCs w:val="18"/>
          <w:lang w:eastAsia="ja-JP"/>
        </w:rPr>
        <w:t>Commercial &amp; Private Banking</w:t>
      </w:r>
    </w:p>
    <w:p w:rsidR="000A4C61" w:rsidRPr="00B86C4D" w:rsidRDefault="005829C9" w:rsidP="009D386E">
      <w:pPr>
        <w:pStyle w:val="Normal20"/>
        <w:spacing w:line="288" w:lineRule="auto"/>
        <w:jc w:val="both"/>
        <w:rPr>
          <w:b/>
          <w:color w:val="003366"/>
          <w:sz w:val="18"/>
          <w:szCs w:val="18"/>
          <w:lang w:eastAsia="ja-JP"/>
        </w:rPr>
      </w:pPr>
      <w:r w:rsidRPr="00B86C4D">
        <w:rPr>
          <w:b/>
          <w:color w:val="003366"/>
          <w:sz w:val="18"/>
          <w:szCs w:val="18"/>
          <w:lang w:eastAsia="ja-JP"/>
        </w:rPr>
        <w:t>Commercial Banking</w:t>
      </w:r>
    </w:p>
    <w:tbl>
      <w:tblPr>
        <w:tblStyle w:val="table"/>
        <w:tblW w:w="10040" w:type="dxa"/>
        <w:tblInd w:w="5" w:type="dxa"/>
        <w:tblCellMar>
          <w:left w:w="0" w:type="dxa"/>
          <w:right w:w="0" w:type="dxa"/>
        </w:tblCellMar>
        <w:tblLook w:val="05E0" w:firstRow="1" w:lastRow="1" w:firstColumn="1" w:lastColumn="1" w:noHBand="0" w:noVBand="1"/>
      </w:tblPr>
      <w:tblGrid>
        <w:gridCol w:w="1785"/>
        <w:gridCol w:w="1260"/>
        <w:gridCol w:w="810"/>
        <w:gridCol w:w="1110"/>
        <w:gridCol w:w="120"/>
        <w:gridCol w:w="1785"/>
        <w:gridCol w:w="1260"/>
        <w:gridCol w:w="810"/>
        <w:gridCol w:w="1110"/>
      </w:tblGrid>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8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b/>
                <w:bCs/>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8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As at</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31 December</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£bn</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r>
      <w:tr w:rsidR="008E0433">
        <w:trPr>
          <w:trHeight w:val="195"/>
        </w:trPr>
        <w:tc>
          <w:tcPr>
            <w:tcW w:w="17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1,077</w:t>
            </w:r>
          </w:p>
        </w:tc>
        <w:tc>
          <w:tcPr>
            <w:tcW w:w="8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1,083</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1,096</w:t>
            </w:r>
          </w:p>
        </w:tc>
        <w:tc>
          <w:tcPr>
            <w:tcW w:w="12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xml:space="preserve">Net loans to customers - </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(638)</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(622)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(583)</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amortised cost</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101.5</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101.4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101.4</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(108)</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(197)</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(107)</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135.7</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134.4</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profit</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331</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406</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77.0</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77.8</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78.4</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9.6%</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1.90%</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1.97%</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2.00%</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Cost:income ratio</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56.1%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51.8%</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Loan impairment rate</w:t>
            </w:r>
          </w:p>
        </w:tc>
        <w:tc>
          <w:tcPr>
            <w:tcW w:w="126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42bps</w:t>
            </w:r>
          </w:p>
        </w:tc>
        <w:tc>
          <w:tcPr>
            <w:tcW w:w="8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77bps</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41bps</w:t>
            </w:r>
          </w:p>
        </w:tc>
        <w:tc>
          <w:tcPr>
            <w:tcW w:w="12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bl>
    <w:tbl>
      <w:tblPr>
        <w:tblW w:w="10341" w:type="dxa"/>
        <w:tblCellMar>
          <w:left w:w="0" w:type="dxa"/>
          <w:right w:w="0" w:type="dxa"/>
        </w:tblCellMar>
        <w:tblLook w:val="01E0" w:firstRow="1" w:lastRow="1" w:firstColumn="1" w:lastColumn="1" w:noHBand="0" w:noVBand="0"/>
      </w:tblPr>
      <w:tblGrid>
        <w:gridCol w:w="284"/>
        <w:gridCol w:w="10057"/>
      </w:tblGrid>
      <w:tr w:rsidR="008E0433" w:rsidTr="005D45FF">
        <w:trPr>
          <w:trHeight w:val="539"/>
        </w:trPr>
        <w:tc>
          <w:tcPr>
            <w:tcW w:w="284" w:type="dxa"/>
            <w:tcBorders>
              <w:top w:val="nil"/>
              <w:left w:val="nil"/>
              <w:bottom w:val="nil"/>
              <w:right w:val="nil"/>
            </w:tcBorders>
          </w:tcPr>
          <w:p w:rsidR="005D45FF" w:rsidRPr="005D45FF" w:rsidRDefault="005D45FF" w:rsidP="00A9526E">
            <w:pPr>
              <w:pStyle w:val="Normal00"/>
              <w:spacing w:line="288" w:lineRule="auto"/>
              <w:jc w:val="both"/>
              <w:rPr>
                <w:color w:val="003366"/>
                <w:sz w:val="8"/>
                <w:szCs w:val="8"/>
                <w:lang w:val="en-US" w:eastAsia="ja-JP" w:bidi="he-IL"/>
              </w:rPr>
            </w:pPr>
          </w:p>
          <w:p w:rsidR="005D45FF" w:rsidRPr="009A2432" w:rsidRDefault="00E02264" w:rsidP="00A9526E">
            <w:pPr>
              <w:pStyle w:val="Normal00"/>
              <w:spacing w:line="288" w:lineRule="auto"/>
              <w:jc w:val="both"/>
              <w:rPr>
                <w:rFonts w:ascii="Arial" w:hAnsi="Arial" w:cs="Arial"/>
                <w:color w:val="003366"/>
                <w:sz w:val="20"/>
                <w:szCs w:val="18"/>
                <w:lang w:val="en-US" w:eastAsia="ja-JP" w:bidi="he-IL"/>
              </w:rPr>
            </w:pPr>
            <w:r w:rsidRPr="009A2432">
              <w:rPr>
                <w:rFonts w:ascii="Arial" w:hAnsi="Arial" w:cs="Arial"/>
                <w:color w:val="003366"/>
                <w:sz w:val="20"/>
                <w:szCs w:val="18"/>
                <w:lang w:val="en-US" w:eastAsia="ja-JP" w:bidi="he-IL"/>
              </w:rPr>
              <w:t>●</w:t>
            </w:r>
          </w:p>
        </w:tc>
        <w:tc>
          <w:tcPr>
            <w:tcW w:w="10057" w:type="dxa"/>
            <w:tcBorders>
              <w:top w:val="nil"/>
              <w:left w:val="nil"/>
              <w:bottom w:val="nil"/>
              <w:right w:val="nil"/>
            </w:tcBorders>
          </w:tcPr>
          <w:p w:rsidR="005D45FF" w:rsidRPr="00F6040D" w:rsidRDefault="005D45FF" w:rsidP="0033077E">
            <w:pPr>
              <w:pStyle w:val="Normal00"/>
              <w:spacing w:line="259" w:lineRule="auto"/>
              <w:rPr>
                <w:rFonts w:ascii="Arial" w:hAnsi="Arial" w:cs="Arial"/>
                <w:sz w:val="8"/>
                <w:szCs w:val="8"/>
                <w:lang w:val="en-US" w:eastAsia="ja-JP" w:bidi="he-IL"/>
              </w:rPr>
            </w:pPr>
          </w:p>
          <w:p w:rsidR="005D45FF" w:rsidRPr="001A6D2B" w:rsidRDefault="00E02264" w:rsidP="0033077E">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Total income was £19 million, or 1.7%, lower than Q3 2018 as lower asset volumes and deposit income were partially offset by £13 million of fair value and disposal losses in Q3 2018. Net interest margin decreased by 7 basis points compared with Q2 2019 due to lower deposit funding benefits.</w:t>
            </w:r>
          </w:p>
        </w:tc>
      </w:tr>
      <w:tr w:rsidR="008E0433" w:rsidTr="005D45FF">
        <w:trPr>
          <w:trHeight w:val="531"/>
        </w:trPr>
        <w:tc>
          <w:tcPr>
            <w:tcW w:w="284" w:type="dxa"/>
            <w:tcBorders>
              <w:top w:val="nil"/>
              <w:left w:val="nil"/>
              <w:bottom w:val="nil"/>
              <w:right w:val="nil"/>
            </w:tcBorders>
          </w:tcPr>
          <w:p w:rsidR="005D45FF" w:rsidRPr="009A2432" w:rsidRDefault="00E02264" w:rsidP="00A9526E">
            <w:pPr>
              <w:pStyle w:val="Normal00"/>
              <w:spacing w:line="288" w:lineRule="auto"/>
              <w:jc w:val="both"/>
              <w:rPr>
                <w:rFonts w:ascii="Arial" w:hAnsi="Arial" w:cs="Arial"/>
                <w:color w:val="003366"/>
                <w:sz w:val="20"/>
                <w:szCs w:val="20"/>
                <w:lang w:val="en-US" w:eastAsia="ja-JP" w:bidi="he-IL"/>
              </w:rPr>
            </w:pPr>
            <w:r w:rsidRPr="009A2432">
              <w:rPr>
                <w:rFonts w:ascii="Arial" w:hAnsi="Arial" w:cs="Arial"/>
                <w:color w:val="003366"/>
                <w:sz w:val="20"/>
                <w:szCs w:val="18"/>
                <w:lang w:val="en-US" w:eastAsia="ja-JP" w:bidi="he-IL"/>
              </w:rPr>
              <w:t>●</w:t>
            </w:r>
          </w:p>
        </w:tc>
        <w:tc>
          <w:tcPr>
            <w:tcW w:w="10057" w:type="dxa"/>
            <w:tcBorders>
              <w:top w:val="nil"/>
              <w:left w:val="nil"/>
              <w:bottom w:val="nil"/>
              <w:right w:val="nil"/>
            </w:tcBorders>
          </w:tcPr>
          <w:p w:rsidR="005D45FF" w:rsidRPr="001A6D2B" w:rsidRDefault="00E02264" w:rsidP="0033077E">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 xml:space="preserve">Excluding strategic, litigation and conduct costs, operating expenses increased by £24 million, or 4.5%, compared with Q3 2018 due to additional authorised push payment fraud costs in line with new industry practice, combined with higher remediation, innovation and technology spend.  </w:t>
            </w:r>
          </w:p>
        </w:tc>
      </w:tr>
      <w:tr w:rsidR="008E0433" w:rsidTr="005D45FF">
        <w:trPr>
          <w:trHeight w:val="118"/>
        </w:trPr>
        <w:tc>
          <w:tcPr>
            <w:tcW w:w="284" w:type="dxa"/>
            <w:tcBorders>
              <w:top w:val="nil"/>
              <w:left w:val="nil"/>
              <w:bottom w:val="nil"/>
              <w:right w:val="nil"/>
            </w:tcBorders>
          </w:tcPr>
          <w:p w:rsidR="005D45FF" w:rsidRPr="009A2432" w:rsidRDefault="00E02264" w:rsidP="00A9526E">
            <w:pPr>
              <w:pStyle w:val="Normal00"/>
              <w:spacing w:line="288" w:lineRule="auto"/>
              <w:jc w:val="both"/>
              <w:rPr>
                <w:rFonts w:ascii="Arial" w:hAnsi="Arial" w:cs="Arial"/>
                <w:color w:val="003366"/>
                <w:sz w:val="20"/>
                <w:szCs w:val="20"/>
                <w:lang w:val="en-US" w:eastAsia="ja-JP" w:bidi="he-IL"/>
              </w:rPr>
            </w:pPr>
            <w:r w:rsidRPr="009A2432">
              <w:rPr>
                <w:rFonts w:ascii="Arial" w:hAnsi="Arial" w:cs="Arial"/>
                <w:color w:val="003366"/>
                <w:sz w:val="20"/>
                <w:szCs w:val="18"/>
                <w:lang w:val="en-US" w:eastAsia="ja-JP" w:bidi="he-IL"/>
              </w:rPr>
              <w:t>●</w:t>
            </w:r>
          </w:p>
        </w:tc>
        <w:tc>
          <w:tcPr>
            <w:tcW w:w="10057" w:type="dxa"/>
            <w:tcBorders>
              <w:top w:val="nil"/>
              <w:left w:val="nil"/>
              <w:bottom w:val="nil"/>
              <w:right w:val="nil"/>
            </w:tcBorders>
          </w:tcPr>
          <w:p w:rsidR="005D45FF" w:rsidRPr="001A6D2B" w:rsidRDefault="00E02264" w:rsidP="0033077E">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Impairment losses of £108 million, which included charges in respect of increased economic uncertainty and IFRS 9 modelling adjustments, were in line with Q3 2018 but were £89 million lower than Q2 2019.</w:t>
            </w:r>
          </w:p>
        </w:tc>
      </w:tr>
      <w:tr w:rsidR="008E0433" w:rsidTr="005D45FF">
        <w:trPr>
          <w:trHeight w:val="67"/>
        </w:trPr>
        <w:tc>
          <w:tcPr>
            <w:tcW w:w="284" w:type="dxa"/>
            <w:tcBorders>
              <w:top w:val="nil"/>
              <w:left w:val="nil"/>
              <w:bottom w:val="nil"/>
              <w:right w:val="nil"/>
            </w:tcBorders>
          </w:tcPr>
          <w:p w:rsidR="005D45FF" w:rsidRPr="009A2432" w:rsidRDefault="00E02264" w:rsidP="00A9526E">
            <w:pPr>
              <w:pStyle w:val="Normal00"/>
              <w:spacing w:line="288" w:lineRule="auto"/>
              <w:jc w:val="both"/>
              <w:rPr>
                <w:rFonts w:ascii="Arial" w:hAnsi="Arial" w:cs="Arial"/>
                <w:color w:val="003366"/>
                <w:sz w:val="20"/>
                <w:szCs w:val="20"/>
                <w:lang w:val="en-US" w:eastAsia="ja-JP" w:bidi="he-IL"/>
              </w:rPr>
            </w:pPr>
            <w:r w:rsidRPr="009A2432">
              <w:rPr>
                <w:rFonts w:ascii="Arial" w:hAnsi="Arial" w:cs="Arial"/>
                <w:color w:val="003366"/>
                <w:sz w:val="20"/>
                <w:szCs w:val="18"/>
                <w:lang w:val="en-US" w:eastAsia="ja-JP" w:bidi="he-IL"/>
              </w:rPr>
              <w:t>●</w:t>
            </w:r>
          </w:p>
        </w:tc>
        <w:tc>
          <w:tcPr>
            <w:tcW w:w="10057" w:type="dxa"/>
            <w:tcBorders>
              <w:top w:val="nil"/>
              <w:left w:val="nil"/>
              <w:bottom w:val="nil"/>
              <w:right w:val="nil"/>
            </w:tcBorders>
          </w:tcPr>
          <w:p w:rsidR="005D45FF" w:rsidRPr="001A6D2B" w:rsidRDefault="00E02264" w:rsidP="0033077E">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 xml:space="preserve">Net loans to customers increased by £0.1 billion compared with Q2 2019. Lending across Business Banking, SME &amp; Mid-Corporate and </w:t>
            </w:r>
            <w:proofErr w:type="spellStart"/>
            <w:r>
              <w:rPr>
                <w:rFonts w:ascii="Arial" w:hAnsi="Arial" w:cs="Arial"/>
                <w:sz w:val="20"/>
                <w:szCs w:val="20"/>
                <w:lang w:val="en-US" w:eastAsia="ja-JP" w:bidi="he-IL"/>
              </w:rPr>
              <w:t>Specialised</w:t>
            </w:r>
            <w:proofErr w:type="spellEnd"/>
            <w:r>
              <w:rPr>
                <w:rFonts w:ascii="Arial" w:hAnsi="Arial" w:cs="Arial"/>
                <w:sz w:val="20"/>
                <w:szCs w:val="20"/>
                <w:lang w:val="en-US" w:eastAsia="ja-JP" w:bidi="he-IL"/>
              </w:rPr>
              <w:t xml:space="preserve"> business increased by £0.1 billion in comparison to Q2 2019, with year to date growth of £1.6 billion. </w:t>
            </w:r>
          </w:p>
        </w:tc>
      </w:tr>
      <w:tr w:rsidR="008E0433" w:rsidTr="005D45FF">
        <w:trPr>
          <w:trHeight w:val="539"/>
        </w:trPr>
        <w:tc>
          <w:tcPr>
            <w:tcW w:w="284" w:type="dxa"/>
            <w:tcBorders>
              <w:top w:val="nil"/>
              <w:left w:val="nil"/>
              <w:bottom w:val="nil"/>
              <w:right w:val="nil"/>
            </w:tcBorders>
          </w:tcPr>
          <w:p w:rsidR="005D45FF" w:rsidRPr="009A2432" w:rsidRDefault="00E02264" w:rsidP="00A9526E">
            <w:pPr>
              <w:pStyle w:val="Normal00"/>
              <w:spacing w:line="288" w:lineRule="auto"/>
              <w:jc w:val="both"/>
              <w:rPr>
                <w:rFonts w:ascii="Arial" w:hAnsi="Arial" w:cs="Arial"/>
                <w:color w:val="003366"/>
                <w:sz w:val="20"/>
                <w:szCs w:val="20"/>
                <w:lang w:val="en-US" w:eastAsia="ja-JP" w:bidi="he-IL"/>
              </w:rPr>
            </w:pPr>
            <w:r w:rsidRPr="009A2432">
              <w:rPr>
                <w:rFonts w:ascii="Arial" w:hAnsi="Arial" w:cs="Arial"/>
                <w:color w:val="003366"/>
                <w:sz w:val="20"/>
                <w:szCs w:val="18"/>
                <w:lang w:val="en-US" w:eastAsia="ja-JP" w:bidi="he-IL"/>
              </w:rPr>
              <w:t>●</w:t>
            </w:r>
          </w:p>
        </w:tc>
        <w:tc>
          <w:tcPr>
            <w:tcW w:w="10057" w:type="dxa"/>
            <w:tcBorders>
              <w:top w:val="nil"/>
              <w:left w:val="nil"/>
              <w:bottom w:val="nil"/>
              <w:right w:val="nil"/>
            </w:tcBorders>
          </w:tcPr>
          <w:p w:rsidR="005D45FF" w:rsidRPr="001A6D2B" w:rsidRDefault="00E02264" w:rsidP="00163E80">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 xml:space="preserve">RWAs decreased by </w:t>
            </w:r>
            <w:r>
              <w:rPr>
                <w:rFonts w:ascii="Arial" w:hAnsi="Arial" w:cs="Arial"/>
                <w:color w:val="000000" w:themeColor="text1"/>
                <w:sz w:val="20"/>
                <w:szCs w:val="20"/>
                <w:lang w:val="en-US" w:eastAsia="ja-JP" w:bidi="he-IL"/>
              </w:rPr>
              <w:t xml:space="preserve">£0.8 billion compared with Q2 2019 due to active capital management and business transfers of £0.3 billion. </w:t>
            </w:r>
          </w:p>
        </w:tc>
      </w:tr>
    </w:tbl>
    <w:p w:rsidR="009D386E" w:rsidRPr="009D386E" w:rsidRDefault="009D386E" w:rsidP="009D386E">
      <w:pPr>
        <w:spacing w:after="200"/>
        <w:rPr>
          <w:rFonts w:cs="Arial"/>
          <w:b/>
          <w:color w:val="0A2F64"/>
          <w:sz w:val="10"/>
          <w:szCs w:val="10"/>
          <w:lang w:eastAsia="ja-JP"/>
        </w:rPr>
      </w:pPr>
    </w:p>
    <w:p w:rsidR="000A4C61" w:rsidRPr="009D386E" w:rsidRDefault="00E02264" w:rsidP="009D386E">
      <w:pPr>
        <w:spacing w:after="200"/>
        <w:rPr>
          <w:rFonts w:eastAsia="Times New Roman" w:cs="Arial"/>
          <w:b/>
          <w:color w:val="0A2F64"/>
          <w:szCs w:val="18"/>
          <w:lang w:eastAsia="ja-JP"/>
        </w:rPr>
      </w:pPr>
      <w:r w:rsidRPr="00FB1CD7">
        <w:rPr>
          <w:rFonts w:cs="Arial"/>
          <w:b/>
          <w:color w:val="0A2F64"/>
          <w:szCs w:val="18"/>
          <w:lang w:eastAsia="ja-JP"/>
        </w:rPr>
        <w:t>Private Banking</w:t>
      </w:r>
    </w:p>
    <w:tbl>
      <w:tblPr>
        <w:tblStyle w:val="table"/>
        <w:tblW w:w="10060" w:type="dxa"/>
        <w:tblInd w:w="5" w:type="dxa"/>
        <w:tblCellMar>
          <w:left w:w="0" w:type="dxa"/>
          <w:right w:w="0" w:type="dxa"/>
        </w:tblCellMar>
        <w:tblLook w:val="05E0" w:firstRow="1" w:lastRow="1" w:firstColumn="1" w:lastColumn="1" w:noHBand="0" w:noVBand="1"/>
      </w:tblPr>
      <w:tblGrid>
        <w:gridCol w:w="1785"/>
        <w:gridCol w:w="1260"/>
        <w:gridCol w:w="810"/>
        <w:gridCol w:w="1110"/>
        <w:gridCol w:w="135"/>
        <w:gridCol w:w="1785"/>
        <w:gridCol w:w="1260"/>
        <w:gridCol w:w="810"/>
        <w:gridCol w:w="1110"/>
      </w:tblGrid>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8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b/>
                <w:bCs/>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8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As at</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31 December</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£bn</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r>
      <w:tr w:rsidR="008E0433">
        <w:trPr>
          <w:trHeight w:val="195"/>
        </w:trPr>
        <w:tc>
          <w:tcPr>
            <w:tcW w:w="17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198</w:t>
            </w:r>
          </w:p>
        </w:tc>
        <w:tc>
          <w:tcPr>
            <w:tcW w:w="8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191</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195</w:t>
            </w:r>
          </w:p>
        </w:tc>
        <w:tc>
          <w:tcPr>
            <w:tcW w:w="1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loans to customers</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(110)</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 amortised cost </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15.2</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14.7</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14.3</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w:t>
            </w: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releases/(losses)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28.2</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28.4</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profit</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81</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75</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84</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9.7</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9.4</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16.8%</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17.3%</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AUMs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22.5</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19.8</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2.35%</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2.54%</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Assets Under</w:t>
            </w: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Cost:income ratio</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60.1%</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60.2%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56.4%</w:t>
            </w: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2"/>
                <w:rFonts w:ascii="Times New Roman" w:eastAsia="Times New Roman" w:hAnsi="Times New Roman" w:cs="Times New Roman"/>
              </w:rPr>
              <w:t xml:space="preserve">  </w:t>
            </w:r>
            <w:r>
              <w:rPr>
                <w:rStyle w:val="font2"/>
              </w:rPr>
              <w:t xml:space="preserve">Administration </w:t>
            </w:r>
            <w:r>
              <w:rPr>
                <w:rStyle w:val="font30"/>
              </w:rPr>
              <w:t>(1)</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7.1</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6.6</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xml:space="preserve">Total Assets Under </w:t>
            </w: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Management and</w:t>
            </w: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tcBorders>
              <w:bottom w:val="single" w:sz="6" w:space="0" w:color="002060"/>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3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Administration (AUMA)</w:t>
            </w:r>
          </w:p>
        </w:tc>
        <w:tc>
          <w:tcPr>
            <w:tcW w:w="1260" w:type="dxa"/>
            <w:tcBorders>
              <w:bottom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29.6</w:t>
            </w:r>
          </w:p>
        </w:tc>
        <w:tc>
          <w:tcPr>
            <w:tcW w:w="8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28.9</w:t>
            </w:r>
          </w:p>
        </w:tc>
        <w:tc>
          <w:tcPr>
            <w:tcW w:w="11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26.4</w:t>
            </w:r>
          </w:p>
        </w:tc>
      </w:tr>
    </w:tbl>
    <w:p w:rsidR="000A4C61" w:rsidRPr="00001A04" w:rsidRDefault="000A4C61" w:rsidP="0044267B">
      <w:pPr>
        <w:pStyle w:val="Normal00"/>
        <w:jc w:val="both"/>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284"/>
        <w:gridCol w:w="9886"/>
      </w:tblGrid>
      <w:tr w:rsidR="008E0433" w:rsidTr="00B667DF">
        <w:tc>
          <w:tcPr>
            <w:tcW w:w="10420" w:type="dxa"/>
            <w:gridSpan w:val="3"/>
          </w:tcPr>
          <w:p w:rsidR="001861BA" w:rsidRPr="001861BA" w:rsidRDefault="00E02264" w:rsidP="00F164DD">
            <w:pPr>
              <w:jc w:val="both"/>
              <w:rPr>
                <w:sz w:val="14"/>
                <w:szCs w:val="14"/>
              </w:rPr>
            </w:pPr>
            <w:r w:rsidRPr="001861BA">
              <w:rPr>
                <w:sz w:val="14"/>
                <w:szCs w:val="14"/>
              </w:rPr>
              <w:t>Note:</w:t>
            </w:r>
          </w:p>
        </w:tc>
      </w:tr>
      <w:tr w:rsidR="008E0433" w:rsidTr="00B667DF">
        <w:tc>
          <w:tcPr>
            <w:tcW w:w="534" w:type="dxa"/>
            <w:gridSpan w:val="2"/>
          </w:tcPr>
          <w:p w:rsidR="001861BA" w:rsidRPr="001861BA" w:rsidRDefault="00E02264" w:rsidP="00F164DD">
            <w:pPr>
              <w:jc w:val="both"/>
              <w:rPr>
                <w:sz w:val="14"/>
                <w:szCs w:val="14"/>
              </w:rPr>
            </w:pPr>
            <w:r w:rsidRPr="001861BA">
              <w:rPr>
                <w:sz w:val="14"/>
                <w:szCs w:val="14"/>
              </w:rPr>
              <w:t>(1)</w:t>
            </w:r>
          </w:p>
        </w:tc>
        <w:tc>
          <w:tcPr>
            <w:tcW w:w="9886" w:type="dxa"/>
          </w:tcPr>
          <w:p w:rsidR="001861BA" w:rsidRPr="005D0E0F" w:rsidRDefault="00E02264" w:rsidP="0016441B">
            <w:pPr>
              <w:autoSpaceDE w:val="0"/>
              <w:autoSpaceDN w:val="0"/>
              <w:adjustRightInd w:val="0"/>
              <w:rPr>
                <w:rFonts w:cs="Arial"/>
                <w:sz w:val="14"/>
                <w:szCs w:val="14"/>
              </w:rPr>
            </w:pPr>
            <w:r>
              <w:rPr>
                <w:rFonts w:cs="Arial"/>
                <w:sz w:val="14"/>
                <w:szCs w:val="14"/>
              </w:rPr>
              <w:t>Private Banking manages assets under management portfolios on behalf of UK PB and RBSI. Prior to Q4 2018, the assets under management portfolios of UK PB and RBSI were not included. Private Banking receives a management fee from UK PB and clients of RBSI in respect of providing this service.</w:t>
            </w:r>
          </w:p>
        </w:tc>
      </w:tr>
      <w:tr w:rsidR="008E0433" w:rsidTr="00B667DF">
        <w:tc>
          <w:tcPr>
            <w:tcW w:w="10420" w:type="dxa"/>
            <w:gridSpan w:val="3"/>
          </w:tcPr>
          <w:p w:rsidR="001861BA" w:rsidRDefault="001861BA" w:rsidP="00F164DD">
            <w:pPr>
              <w:jc w:val="both"/>
            </w:pPr>
          </w:p>
        </w:tc>
      </w:tr>
      <w:tr w:rsidR="008E0433" w:rsidTr="00B667DF">
        <w:tc>
          <w:tcPr>
            <w:tcW w:w="250" w:type="dxa"/>
          </w:tcPr>
          <w:p w:rsidR="005D45FF" w:rsidRPr="005D0E0F" w:rsidRDefault="00E02264" w:rsidP="005D0E0F">
            <w:pPr>
              <w:jc w:val="both"/>
              <w:rPr>
                <w:sz w:val="20"/>
                <w:szCs w:val="20"/>
              </w:rPr>
            </w:pPr>
            <w:r w:rsidRPr="005D0E0F">
              <w:rPr>
                <w:rFonts w:eastAsia="SimSun"/>
                <w:color w:val="003366"/>
                <w:sz w:val="20"/>
                <w:szCs w:val="20"/>
                <w:lang w:eastAsia="ja-JP"/>
              </w:rPr>
              <w:t>●</w:t>
            </w:r>
          </w:p>
        </w:tc>
        <w:tc>
          <w:tcPr>
            <w:tcW w:w="10170" w:type="dxa"/>
            <w:gridSpan w:val="2"/>
          </w:tcPr>
          <w:p w:rsidR="005D45FF" w:rsidRPr="000A05FE" w:rsidRDefault="00E02264" w:rsidP="0033077E">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 xml:space="preserve">Total income was £3 million, or 1.5%, higher than Q3 2018, as volume growth and one-off benefits related to hedging income gains were partially offset by lower deposit income. Net interest margin decreased by 9 basis points compared with Q2 2019 primarily due to lower deposit funding benefits. </w:t>
            </w:r>
          </w:p>
        </w:tc>
      </w:tr>
      <w:tr w:rsidR="008E0433" w:rsidTr="00B667DF">
        <w:tc>
          <w:tcPr>
            <w:tcW w:w="250" w:type="dxa"/>
          </w:tcPr>
          <w:p w:rsidR="005D45FF" w:rsidRPr="005D0E0F" w:rsidRDefault="00E02264" w:rsidP="005D0E0F">
            <w:pPr>
              <w:jc w:val="both"/>
              <w:rPr>
                <w:sz w:val="20"/>
                <w:szCs w:val="20"/>
              </w:rPr>
            </w:pPr>
            <w:r w:rsidRPr="005D0E0F">
              <w:rPr>
                <w:rFonts w:eastAsia="SimSun"/>
                <w:color w:val="003366"/>
                <w:sz w:val="20"/>
                <w:szCs w:val="20"/>
                <w:lang w:eastAsia="ja-JP"/>
              </w:rPr>
              <w:t>●</w:t>
            </w:r>
          </w:p>
        </w:tc>
        <w:tc>
          <w:tcPr>
            <w:tcW w:w="10170" w:type="dxa"/>
            <w:gridSpan w:val="2"/>
          </w:tcPr>
          <w:p w:rsidR="005D45FF" w:rsidRPr="000A05FE" w:rsidRDefault="00E02264" w:rsidP="0033077E">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 xml:space="preserve">Excluding strategic, litigation and conduct costs, operating expenses were £1 million, or 0.9%, lower than Q3 2018 due to a reduction in back office operations costs. </w:t>
            </w:r>
          </w:p>
        </w:tc>
      </w:tr>
      <w:tr w:rsidR="008E0433" w:rsidTr="00B667DF">
        <w:tc>
          <w:tcPr>
            <w:tcW w:w="250" w:type="dxa"/>
          </w:tcPr>
          <w:p w:rsidR="005D45FF" w:rsidRPr="005D0E0F" w:rsidRDefault="00E02264" w:rsidP="005D0E0F">
            <w:pPr>
              <w:jc w:val="both"/>
              <w:rPr>
                <w:sz w:val="20"/>
                <w:szCs w:val="20"/>
              </w:rPr>
            </w:pPr>
            <w:r w:rsidRPr="005D0E0F">
              <w:rPr>
                <w:rFonts w:eastAsia="SimSun"/>
                <w:color w:val="003366"/>
                <w:sz w:val="20"/>
                <w:szCs w:val="20"/>
                <w:lang w:eastAsia="ja-JP"/>
              </w:rPr>
              <w:t>●</w:t>
            </w:r>
          </w:p>
        </w:tc>
        <w:tc>
          <w:tcPr>
            <w:tcW w:w="10170" w:type="dxa"/>
            <w:gridSpan w:val="2"/>
          </w:tcPr>
          <w:p w:rsidR="005D45FF" w:rsidRPr="000A05FE" w:rsidRDefault="00E02264" w:rsidP="0033077E">
            <w:pPr>
              <w:pStyle w:val="Normal00"/>
              <w:spacing w:line="259" w:lineRule="auto"/>
              <w:rPr>
                <w:rFonts w:ascii="Arial" w:hAnsi="Arial" w:cs="Arial"/>
                <w:sz w:val="20"/>
                <w:szCs w:val="20"/>
                <w:lang w:val="en-US" w:eastAsia="ja-JP" w:bidi="he-IL"/>
              </w:rPr>
            </w:pPr>
            <w:r>
              <w:rPr>
                <w:rFonts w:ascii="Arial" w:hAnsi="Arial" w:cs="Arial"/>
                <w:sz w:val="20"/>
                <w:szCs w:val="20"/>
                <w:lang w:val="en-US" w:eastAsia="ja-JP" w:bidi="he-IL"/>
              </w:rPr>
              <w:t xml:space="preserve">Net loans to customers increased by £0.5 billion in comparison to Q2 2019, mainly due to mortgage lending. </w:t>
            </w:r>
          </w:p>
        </w:tc>
      </w:tr>
      <w:tr w:rsidR="008E0433" w:rsidTr="00B667DF">
        <w:tc>
          <w:tcPr>
            <w:tcW w:w="250" w:type="dxa"/>
          </w:tcPr>
          <w:p w:rsidR="005D45FF" w:rsidRPr="005D0E0F" w:rsidRDefault="00E02264" w:rsidP="005D0E0F">
            <w:pPr>
              <w:jc w:val="both"/>
              <w:rPr>
                <w:sz w:val="20"/>
                <w:szCs w:val="20"/>
              </w:rPr>
            </w:pPr>
            <w:r w:rsidRPr="005D0E0F">
              <w:rPr>
                <w:rFonts w:eastAsia="SimSun"/>
                <w:color w:val="003366"/>
                <w:sz w:val="20"/>
                <w:szCs w:val="20"/>
                <w:lang w:eastAsia="ja-JP"/>
              </w:rPr>
              <w:t>●</w:t>
            </w:r>
          </w:p>
        </w:tc>
        <w:tc>
          <w:tcPr>
            <w:tcW w:w="10170" w:type="dxa"/>
            <w:gridSpan w:val="2"/>
          </w:tcPr>
          <w:p w:rsidR="005D45FF" w:rsidRPr="000A05FE" w:rsidRDefault="00E02264" w:rsidP="0033077E">
            <w:pPr>
              <w:pStyle w:val="Normal00"/>
              <w:spacing w:line="259" w:lineRule="auto"/>
              <w:rPr>
                <w:rFonts w:ascii="Arial" w:hAnsi="Arial" w:cs="Arial"/>
                <w:sz w:val="20"/>
                <w:szCs w:val="20"/>
                <w:lang w:val="en-US" w:eastAsia="ja-JP" w:bidi="he-IL"/>
              </w:rPr>
            </w:pPr>
            <w:r w:rsidRPr="000A05FE">
              <w:rPr>
                <w:rFonts w:ascii="Arial" w:hAnsi="Arial" w:cs="Arial"/>
                <w:sz w:val="20"/>
                <w:szCs w:val="20"/>
                <w:lang w:val="en-US" w:eastAsia="ja-JP" w:bidi="he-IL"/>
              </w:rPr>
              <w:t xml:space="preserve">Total assets under management in Private Banking increased by £0.6 billion, or 2.7%, in comparison with Q2 2019 reflecting investment performance of £0.4 billion and net new business inflows of £0.2 billion. </w:t>
            </w:r>
          </w:p>
        </w:tc>
      </w:tr>
      <w:tr w:rsidR="008E0433" w:rsidTr="00B667DF">
        <w:tc>
          <w:tcPr>
            <w:tcW w:w="250" w:type="dxa"/>
          </w:tcPr>
          <w:p w:rsidR="005D45FF" w:rsidRPr="009A2432" w:rsidRDefault="00E02264" w:rsidP="005D0E0F">
            <w:pPr>
              <w:jc w:val="both"/>
              <w:rPr>
                <w:sz w:val="20"/>
                <w:szCs w:val="20"/>
              </w:rPr>
            </w:pPr>
            <w:r w:rsidRPr="009A2432">
              <w:rPr>
                <w:rFonts w:eastAsia="SimSun"/>
                <w:color w:val="003366"/>
                <w:sz w:val="20"/>
                <w:szCs w:val="20"/>
                <w:lang w:eastAsia="ja-JP"/>
              </w:rPr>
              <w:t>●</w:t>
            </w:r>
          </w:p>
        </w:tc>
        <w:tc>
          <w:tcPr>
            <w:tcW w:w="10170" w:type="dxa"/>
            <w:gridSpan w:val="2"/>
          </w:tcPr>
          <w:p w:rsidR="005D45FF" w:rsidRPr="009A2432" w:rsidRDefault="00E02264" w:rsidP="0033077E">
            <w:pPr>
              <w:pStyle w:val="Normal00"/>
              <w:spacing w:line="259" w:lineRule="auto"/>
              <w:rPr>
                <w:rFonts w:ascii="Arial" w:hAnsi="Arial" w:cs="Arial"/>
                <w:sz w:val="20"/>
                <w:szCs w:val="20"/>
                <w:highlight w:val="yellow"/>
                <w:lang w:val="en-US" w:eastAsia="ja-JP" w:bidi="he-IL"/>
              </w:rPr>
            </w:pPr>
            <w:r w:rsidRPr="009A2432">
              <w:rPr>
                <w:rFonts w:ascii="Arial" w:hAnsi="Arial" w:cs="Arial"/>
                <w:sz w:val="20"/>
                <w:szCs w:val="20"/>
                <w:lang w:val="en-US" w:eastAsia="ja-JP" w:bidi="he-IL"/>
              </w:rPr>
              <w:t>Total assets under management and administration overseen by Private Banking increased by £0.7 billion, or 2.4%, compared with Q2 2019 reflecting investment performance of £0.5 billion and net new business inflows of £0.2 billion.</w:t>
            </w:r>
          </w:p>
        </w:tc>
      </w:tr>
    </w:tbl>
    <w:p w:rsidR="00C10366" w:rsidRDefault="00C10366" w:rsidP="00F164DD">
      <w:pPr>
        <w:jc w:val="both"/>
        <w:rPr>
          <w:b/>
          <w:color w:val="003366"/>
          <w:szCs w:val="18"/>
          <w:lang w:eastAsia="ja-JP"/>
        </w:rPr>
      </w:pPr>
    </w:p>
    <w:p w:rsidR="005D45FF" w:rsidRDefault="005D45FF" w:rsidP="00F164DD">
      <w:pPr>
        <w:jc w:val="both"/>
        <w:rPr>
          <w:b/>
          <w:color w:val="003366"/>
          <w:szCs w:val="18"/>
          <w:lang w:eastAsia="ja-JP"/>
        </w:rPr>
      </w:pPr>
    </w:p>
    <w:p w:rsidR="00B70853" w:rsidRDefault="00E02264">
      <w:pPr>
        <w:spacing w:after="200"/>
        <w:rPr>
          <w:b/>
          <w:color w:val="003366"/>
          <w:szCs w:val="18"/>
          <w:lang w:eastAsia="ja-JP"/>
        </w:rPr>
      </w:pPr>
      <w:r>
        <w:rPr>
          <w:b/>
          <w:color w:val="003366"/>
          <w:szCs w:val="18"/>
          <w:lang w:eastAsia="ja-JP"/>
        </w:rPr>
        <w:br w:type="page"/>
      </w:r>
    </w:p>
    <w:p w:rsidR="000A4C61" w:rsidRPr="00F164DD" w:rsidRDefault="00E02264" w:rsidP="00B70853">
      <w:pPr>
        <w:spacing w:line="259" w:lineRule="auto"/>
        <w:jc w:val="both"/>
        <w:rPr>
          <w:rFonts w:eastAsia="Times New Roman" w:cs="Arial"/>
          <w:color w:val="0A2F64"/>
          <w:szCs w:val="18"/>
          <w:lang w:eastAsia="ja-JP"/>
        </w:rPr>
      </w:pPr>
      <w:r w:rsidRPr="00252B5F">
        <w:rPr>
          <w:b/>
          <w:color w:val="003366"/>
          <w:szCs w:val="18"/>
          <w:lang w:eastAsia="ja-JP"/>
        </w:rPr>
        <w:lastRenderedPageBreak/>
        <w:t>Business performance summary</w:t>
      </w:r>
    </w:p>
    <w:p w:rsidR="000A4C61" w:rsidRPr="000A4C61" w:rsidRDefault="00E02264" w:rsidP="00B70853">
      <w:pPr>
        <w:pStyle w:val="Normal00"/>
        <w:spacing w:line="259" w:lineRule="auto"/>
        <w:rPr>
          <w:rFonts w:ascii="Arial" w:hAnsi="Arial" w:cs="Arial"/>
          <w:b/>
          <w:color w:val="003366"/>
          <w:sz w:val="18"/>
          <w:szCs w:val="18"/>
          <w:lang w:eastAsia="ja-JP"/>
        </w:rPr>
      </w:pPr>
      <w:r w:rsidRPr="000A4C61">
        <w:rPr>
          <w:rFonts w:ascii="Arial" w:hAnsi="Arial" w:cs="Arial"/>
          <w:b/>
          <w:color w:val="003366"/>
          <w:sz w:val="18"/>
          <w:szCs w:val="18"/>
          <w:lang w:eastAsia="ja-JP"/>
        </w:rPr>
        <w:t>RBS International</w:t>
      </w:r>
    </w:p>
    <w:tbl>
      <w:tblPr>
        <w:tblStyle w:val="table"/>
        <w:tblW w:w="10040" w:type="dxa"/>
        <w:tblInd w:w="5" w:type="dxa"/>
        <w:tblCellMar>
          <w:left w:w="0" w:type="dxa"/>
          <w:right w:w="0" w:type="dxa"/>
        </w:tblCellMar>
        <w:tblLook w:val="05E0" w:firstRow="1" w:lastRow="1" w:firstColumn="1" w:lastColumn="1" w:noHBand="0" w:noVBand="1"/>
      </w:tblPr>
      <w:tblGrid>
        <w:gridCol w:w="1785"/>
        <w:gridCol w:w="1260"/>
        <w:gridCol w:w="810"/>
        <w:gridCol w:w="1110"/>
        <w:gridCol w:w="120"/>
        <w:gridCol w:w="1785"/>
        <w:gridCol w:w="1260"/>
        <w:gridCol w:w="810"/>
        <w:gridCol w:w="1110"/>
      </w:tblGrid>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8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b/>
                <w:bCs/>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8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As at</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31 December</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£bn</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r>
      <w:tr w:rsidR="008E0433">
        <w:trPr>
          <w:trHeight w:val="195"/>
        </w:trPr>
        <w:tc>
          <w:tcPr>
            <w:tcW w:w="17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8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159</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12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xml:space="preserve">Net loans to customers - </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amortised cost</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13.8</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13.6</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29.1</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27.5</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profit</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88</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92</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6.5</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26.0%</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30.8%</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26.9%</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1.55%</w:t>
            </w:r>
          </w:p>
        </w:tc>
        <w:tc>
          <w:tcPr>
            <w:tcW w:w="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1.68%</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1.73%</w:t>
            </w:r>
          </w:p>
        </w:tc>
        <w:tc>
          <w:tcPr>
            <w:tcW w:w="1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178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Cost:income ratio</w:t>
            </w:r>
          </w:p>
        </w:tc>
        <w:tc>
          <w:tcPr>
            <w:tcW w:w="1260" w:type="dxa"/>
            <w:tcBorders>
              <w:bottom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41.3%</w:t>
            </w:r>
          </w:p>
        </w:tc>
        <w:tc>
          <w:tcPr>
            <w:tcW w:w="8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37.7%</w:t>
            </w:r>
          </w:p>
        </w:tc>
        <w:tc>
          <w:tcPr>
            <w:tcW w:w="11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38.7%</w:t>
            </w:r>
          </w:p>
        </w:tc>
        <w:tc>
          <w:tcPr>
            <w:tcW w:w="12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78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tcBorders>
              <w:bottom w:val="single" w:sz="6" w:space="0" w:color="002060"/>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bl>
    <w:tbl>
      <w:tblPr>
        <w:tblW w:w="10236" w:type="dxa"/>
        <w:tblLayout w:type="fixed"/>
        <w:tblCellMar>
          <w:left w:w="0" w:type="dxa"/>
          <w:right w:w="0" w:type="dxa"/>
        </w:tblCellMar>
        <w:tblLook w:val="01E0" w:firstRow="1" w:lastRow="1" w:firstColumn="1" w:lastColumn="1" w:noHBand="0" w:noVBand="0"/>
      </w:tblPr>
      <w:tblGrid>
        <w:gridCol w:w="284"/>
        <w:gridCol w:w="9952"/>
      </w:tblGrid>
      <w:tr w:rsidR="008E0433" w:rsidTr="00B667DF">
        <w:trPr>
          <w:trHeight w:val="717"/>
        </w:trPr>
        <w:tc>
          <w:tcPr>
            <w:tcW w:w="284" w:type="dxa"/>
            <w:tcBorders>
              <w:top w:val="nil"/>
              <w:left w:val="nil"/>
              <w:bottom w:val="nil"/>
              <w:right w:val="nil"/>
            </w:tcBorders>
          </w:tcPr>
          <w:p w:rsidR="00A7670B" w:rsidRPr="00A65190" w:rsidRDefault="00A7670B" w:rsidP="00A9526E">
            <w:pPr>
              <w:pStyle w:val="Normal00"/>
              <w:spacing w:line="288" w:lineRule="auto"/>
              <w:jc w:val="both"/>
              <w:rPr>
                <w:rFonts w:eastAsia="SimSun"/>
                <w:color w:val="003366"/>
                <w:sz w:val="2"/>
                <w:szCs w:val="2"/>
                <w:lang w:eastAsia="ja-JP"/>
              </w:rPr>
            </w:pPr>
          </w:p>
          <w:p w:rsidR="00A7670B" w:rsidRPr="009A2432" w:rsidRDefault="00E02264" w:rsidP="00A9526E">
            <w:pPr>
              <w:pStyle w:val="Normal00"/>
              <w:spacing w:line="288" w:lineRule="auto"/>
              <w:jc w:val="both"/>
              <w:rPr>
                <w:rFonts w:ascii="Arial" w:eastAsia="SimSun" w:hAnsi="Arial" w:cs="Arial"/>
                <w:color w:val="003366"/>
                <w:sz w:val="18"/>
                <w:szCs w:val="18"/>
                <w:lang w:eastAsia="ja-JP"/>
              </w:rPr>
            </w:pPr>
            <w:r w:rsidRPr="009A2432">
              <w:rPr>
                <w:rFonts w:ascii="Arial" w:eastAsia="SimSun" w:hAnsi="Arial" w:cs="Arial"/>
                <w:color w:val="003366"/>
                <w:sz w:val="20"/>
                <w:szCs w:val="18"/>
                <w:lang w:eastAsia="ja-JP"/>
              </w:rPr>
              <w:t>●</w:t>
            </w:r>
          </w:p>
        </w:tc>
        <w:tc>
          <w:tcPr>
            <w:tcW w:w="9952" w:type="dxa"/>
            <w:tcBorders>
              <w:top w:val="nil"/>
              <w:left w:val="nil"/>
              <w:bottom w:val="nil"/>
              <w:right w:val="nil"/>
            </w:tcBorders>
          </w:tcPr>
          <w:p w:rsidR="00A7670B" w:rsidRPr="00A65190" w:rsidRDefault="00A7670B" w:rsidP="0088479E">
            <w:pPr>
              <w:pStyle w:val="Normal00"/>
              <w:spacing w:line="259" w:lineRule="auto"/>
              <w:ind w:right="-79"/>
              <w:rPr>
                <w:rFonts w:ascii="Arial" w:eastAsia="SimSun" w:hAnsi="Arial" w:cs="Arial"/>
                <w:noProof/>
                <w:sz w:val="2"/>
                <w:szCs w:val="2"/>
              </w:rPr>
            </w:pPr>
          </w:p>
          <w:p w:rsidR="00A7670B" w:rsidRPr="002163AE" w:rsidRDefault="00E02264" w:rsidP="007801F3">
            <w:pPr>
              <w:pStyle w:val="Normal00"/>
              <w:spacing w:line="259" w:lineRule="auto"/>
              <w:ind w:right="-79"/>
              <w:rPr>
                <w:rFonts w:ascii="Arial" w:eastAsia="SimSun" w:hAnsi="Arial" w:cs="Arial"/>
                <w:noProof/>
                <w:sz w:val="20"/>
                <w:szCs w:val="20"/>
              </w:rPr>
            </w:pPr>
            <w:r>
              <w:rPr>
                <w:rFonts w:ascii="Arial" w:eastAsia="SimSun" w:hAnsi="Arial" w:cs="Arial"/>
                <w:noProof/>
                <w:sz w:val="20"/>
                <w:szCs w:val="20"/>
              </w:rPr>
              <w:t>The Institutional Banking electronic platform, eQ, is receiving positive Net Promoter Score (NPS) ratings and within our local banking business,  321, or 68%, of approved savings account applications by customers were paperless or required no signatures in Q3 2019, an increase of 34% in comparison to Q2 2019.</w:t>
            </w:r>
          </w:p>
        </w:tc>
      </w:tr>
      <w:tr w:rsidR="008E0433" w:rsidTr="00B667DF">
        <w:trPr>
          <w:trHeight w:val="174"/>
        </w:trPr>
        <w:tc>
          <w:tcPr>
            <w:tcW w:w="284" w:type="dxa"/>
            <w:tcBorders>
              <w:top w:val="nil"/>
              <w:left w:val="nil"/>
              <w:bottom w:val="nil"/>
              <w:right w:val="nil"/>
            </w:tcBorders>
          </w:tcPr>
          <w:p w:rsidR="00A7670B" w:rsidRPr="009A2432" w:rsidRDefault="00E02264" w:rsidP="00A9526E">
            <w:pPr>
              <w:pStyle w:val="Normal00"/>
              <w:spacing w:line="288" w:lineRule="auto"/>
              <w:jc w:val="both"/>
              <w:rPr>
                <w:rFonts w:ascii="Arial" w:eastAsia="SimSun" w:hAnsi="Arial" w:cs="Arial"/>
                <w:color w:val="003366"/>
                <w:sz w:val="20"/>
                <w:szCs w:val="18"/>
                <w:lang w:eastAsia="ja-JP"/>
              </w:rPr>
            </w:pPr>
            <w:r w:rsidRPr="009A2432">
              <w:rPr>
                <w:rFonts w:ascii="Arial" w:eastAsia="SimSun" w:hAnsi="Arial" w:cs="Arial"/>
                <w:color w:val="003366"/>
                <w:sz w:val="20"/>
                <w:szCs w:val="18"/>
                <w:lang w:eastAsia="ja-JP"/>
              </w:rPr>
              <w:t>●</w:t>
            </w:r>
          </w:p>
        </w:tc>
        <w:tc>
          <w:tcPr>
            <w:tcW w:w="9952" w:type="dxa"/>
            <w:tcBorders>
              <w:top w:val="nil"/>
              <w:left w:val="nil"/>
              <w:bottom w:val="nil"/>
              <w:right w:val="nil"/>
            </w:tcBorders>
          </w:tcPr>
          <w:p w:rsidR="00A7670B" w:rsidRDefault="00001A04" w:rsidP="0088479E">
            <w:pPr>
              <w:pStyle w:val="Normal00"/>
              <w:spacing w:line="259" w:lineRule="auto"/>
              <w:ind w:right="-79"/>
              <w:rPr>
                <w:rFonts w:ascii="Arial" w:eastAsia="SimSun" w:hAnsi="Arial" w:cs="Arial"/>
                <w:noProof/>
                <w:sz w:val="20"/>
                <w:szCs w:val="20"/>
              </w:rPr>
            </w:pPr>
            <w:r>
              <w:rPr>
                <w:rFonts w:ascii="Arial" w:eastAsia="SimSun" w:hAnsi="Arial" w:cs="Arial"/>
                <w:noProof/>
                <w:sz w:val="20"/>
                <w:szCs w:val="20"/>
              </w:rPr>
              <w:t xml:space="preserve">Total income was £5 million, or 3.2%, lower than Q3 2018 reflecting deposit pricing initiatives and lower </w:t>
            </w:r>
          </w:p>
          <w:p w:rsidR="00A7670B" w:rsidRDefault="00E02264" w:rsidP="0088479E">
            <w:pPr>
              <w:pStyle w:val="Normal00"/>
              <w:spacing w:line="259" w:lineRule="auto"/>
              <w:ind w:right="-79"/>
              <w:rPr>
                <w:rFonts w:ascii="Arial" w:eastAsia="SimSun" w:hAnsi="Arial" w:cs="Arial"/>
                <w:noProof/>
                <w:sz w:val="20"/>
                <w:szCs w:val="20"/>
              </w:rPr>
            </w:pPr>
            <w:r>
              <w:rPr>
                <w:rFonts w:ascii="Arial" w:eastAsia="SimSun" w:hAnsi="Arial" w:cs="Arial"/>
                <w:noProof/>
                <w:sz w:val="20"/>
                <w:szCs w:val="20"/>
              </w:rPr>
              <w:t>funding income. Net interest margin decreased by 13 basis points compared with Q2 2019 principally due to</w:t>
            </w:r>
          </w:p>
          <w:p w:rsidR="00A7670B" w:rsidRPr="002163AE" w:rsidRDefault="00E02264" w:rsidP="0088479E">
            <w:pPr>
              <w:pStyle w:val="Normal00"/>
              <w:spacing w:line="259" w:lineRule="auto"/>
              <w:ind w:right="-79"/>
              <w:rPr>
                <w:rFonts w:ascii="Arial" w:eastAsia="SimSun" w:hAnsi="Arial" w:cs="Arial"/>
                <w:noProof/>
                <w:sz w:val="20"/>
                <w:szCs w:val="20"/>
              </w:rPr>
            </w:pPr>
            <w:r>
              <w:rPr>
                <w:rFonts w:ascii="Arial" w:eastAsia="SimSun" w:hAnsi="Arial" w:cs="Arial"/>
                <w:noProof/>
                <w:sz w:val="20"/>
                <w:szCs w:val="20"/>
              </w:rPr>
              <w:t>the impact of US rate movements on our Institutional Banking business and increased central bank balances.</w:t>
            </w:r>
          </w:p>
        </w:tc>
      </w:tr>
      <w:tr w:rsidR="008E0433" w:rsidTr="00B667DF">
        <w:trPr>
          <w:trHeight w:val="164"/>
        </w:trPr>
        <w:tc>
          <w:tcPr>
            <w:tcW w:w="284" w:type="dxa"/>
            <w:tcBorders>
              <w:top w:val="nil"/>
              <w:left w:val="nil"/>
              <w:bottom w:val="nil"/>
              <w:right w:val="nil"/>
            </w:tcBorders>
          </w:tcPr>
          <w:p w:rsidR="00A7670B" w:rsidRPr="009A2432" w:rsidRDefault="00E02264" w:rsidP="00A9526E">
            <w:pPr>
              <w:pStyle w:val="Normal00"/>
              <w:spacing w:line="288" w:lineRule="auto"/>
              <w:jc w:val="both"/>
              <w:rPr>
                <w:rFonts w:ascii="Arial" w:eastAsia="SimSun" w:hAnsi="Arial" w:cs="Arial"/>
                <w:color w:val="003366"/>
                <w:sz w:val="20"/>
                <w:szCs w:val="18"/>
                <w:lang w:eastAsia="ja-JP"/>
              </w:rPr>
            </w:pPr>
            <w:r w:rsidRPr="009A2432">
              <w:rPr>
                <w:rFonts w:ascii="Arial" w:eastAsia="SimSun" w:hAnsi="Arial" w:cs="Arial"/>
                <w:color w:val="003366"/>
                <w:sz w:val="20"/>
                <w:szCs w:val="18"/>
                <w:lang w:eastAsia="ja-JP"/>
              </w:rPr>
              <w:t>●</w:t>
            </w:r>
          </w:p>
        </w:tc>
        <w:tc>
          <w:tcPr>
            <w:tcW w:w="9952" w:type="dxa"/>
            <w:tcBorders>
              <w:top w:val="nil"/>
              <w:left w:val="nil"/>
              <w:bottom w:val="nil"/>
              <w:right w:val="nil"/>
            </w:tcBorders>
          </w:tcPr>
          <w:p w:rsidR="00A7670B" w:rsidRPr="002163AE" w:rsidRDefault="00E02264" w:rsidP="007801F3">
            <w:pPr>
              <w:pStyle w:val="Normal00"/>
              <w:spacing w:line="259" w:lineRule="auto"/>
              <w:ind w:right="-79"/>
              <w:rPr>
                <w:rFonts w:ascii="Arial" w:eastAsia="SimSun" w:hAnsi="Arial" w:cs="Arial"/>
                <w:noProof/>
                <w:sz w:val="20"/>
                <w:szCs w:val="20"/>
              </w:rPr>
            </w:pPr>
            <w:r>
              <w:rPr>
                <w:rFonts w:ascii="Arial" w:eastAsia="SimSun" w:hAnsi="Arial" w:cs="Arial"/>
                <w:noProof/>
                <w:sz w:val="20"/>
                <w:szCs w:val="20"/>
              </w:rPr>
              <w:t xml:space="preserve">Excluding strategic costs, operating expenses were flat on Q3 2018 as lower back office operations costs were offset by headcount increases associated with becoming a standalone bank.  </w:t>
            </w:r>
          </w:p>
        </w:tc>
      </w:tr>
      <w:tr w:rsidR="008E0433" w:rsidTr="00B667DF">
        <w:trPr>
          <w:trHeight w:val="451"/>
        </w:trPr>
        <w:tc>
          <w:tcPr>
            <w:tcW w:w="284" w:type="dxa"/>
            <w:tcBorders>
              <w:top w:val="nil"/>
              <w:left w:val="nil"/>
              <w:bottom w:val="nil"/>
              <w:right w:val="nil"/>
            </w:tcBorders>
          </w:tcPr>
          <w:p w:rsidR="00A7670B" w:rsidRPr="009A2432" w:rsidRDefault="00E02264" w:rsidP="00A9526E">
            <w:pPr>
              <w:pStyle w:val="Normal00"/>
              <w:spacing w:line="288" w:lineRule="auto"/>
              <w:jc w:val="both"/>
              <w:rPr>
                <w:rFonts w:ascii="Arial" w:eastAsia="SimSun" w:hAnsi="Arial" w:cs="Arial"/>
                <w:color w:val="003366"/>
                <w:sz w:val="20"/>
                <w:szCs w:val="18"/>
                <w:lang w:eastAsia="ja-JP"/>
              </w:rPr>
            </w:pPr>
            <w:r w:rsidRPr="009A2432">
              <w:rPr>
                <w:rFonts w:ascii="Arial" w:eastAsia="SimSun" w:hAnsi="Arial" w:cs="Arial"/>
                <w:color w:val="003366"/>
                <w:sz w:val="20"/>
                <w:szCs w:val="18"/>
                <w:lang w:eastAsia="ja-JP"/>
              </w:rPr>
              <w:t>●</w:t>
            </w:r>
          </w:p>
        </w:tc>
        <w:tc>
          <w:tcPr>
            <w:tcW w:w="9952" w:type="dxa"/>
            <w:tcBorders>
              <w:top w:val="nil"/>
              <w:left w:val="nil"/>
              <w:bottom w:val="nil"/>
              <w:right w:val="nil"/>
            </w:tcBorders>
          </w:tcPr>
          <w:p w:rsidR="00A7670B" w:rsidRPr="00757C54" w:rsidRDefault="00E02264" w:rsidP="00EE093F">
            <w:pPr>
              <w:pStyle w:val="Normal00"/>
              <w:spacing w:line="259" w:lineRule="auto"/>
              <w:ind w:right="-79"/>
              <w:rPr>
                <w:rFonts w:ascii="Arial" w:eastAsia="SimSun" w:hAnsi="Arial" w:cs="Arial"/>
                <w:noProof/>
                <w:sz w:val="8"/>
                <w:szCs w:val="8"/>
              </w:rPr>
            </w:pPr>
            <w:r>
              <w:rPr>
                <w:rFonts w:ascii="Arial" w:eastAsia="SimSun" w:hAnsi="Arial" w:cs="Arial"/>
                <w:noProof/>
                <w:sz w:val="20"/>
                <w:szCs w:val="20"/>
              </w:rPr>
              <w:t xml:space="preserve">Net loans to customers increased by £0.2 billion compared with Q2 2019 due to activity in the Institutional Banking sector, and continues to show year on year growth. Customer deposits increased by £1.0 billion compared with Q2 2019 due to activity across all customer sectors. </w:t>
            </w:r>
          </w:p>
        </w:tc>
      </w:tr>
    </w:tbl>
    <w:tbl>
      <w:tblPr>
        <w:tblStyle w:val="table"/>
        <w:tblW w:w="10040" w:type="dxa"/>
        <w:tblInd w:w="5" w:type="dxa"/>
        <w:tblCellMar>
          <w:left w:w="0" w:type="dxa"/>
          <w:right w:w="0" w:type="dxa"/>
        </w:tblCellMar>
        <w:tblLook w:val="05E0" w:firstRow="1" w:lastRow="1" w:firstColumn="1" w:lastColumn="1" w:noHBand="0" w:noVBand="1"/>
      </w:tblPr>
      <w:tblGrid>
        <w:gridCol w:w="2595"/>
        <w:gridCol w:w="1260"/>
        <w:gridCol w:w="735"/>
        <w:gridCol w:w="1110"/>
        <w:gridCol w:w="60"/>
        <w:gridCol w:w="1260"/>
        <w:gridCol w:w="1185"/>
        <w:gridCol w:w="735"/>
        <w:gridCol w:w="1110"/>
      </w:tblGrid>
      <w:tr w:rsidR="008E0433">
        <w:trPr>
          <w:trHeight w:val="195"/>
        </w:trPr>
        <w:tc>
          <w:tcPr>
            <w:tcW w:w="2595" w:type="dxa"/>
            <w:shd w:val="clear" w:color="auto" w:fill="FFFFFF"/>
            <w:noWrap/>
            <w:tcMar>
              <w:top w:w="0" w:type="dxa"/>
              <w:left w:w="5" w:type="dxa"/>
              <w:bottom w:w="0" w:type="dxa"/>
              <w:right w:w="5" w:type="dxa"/>
            </w:tcMar>
            <w:vAlign w:val="bottom"/>
            <w:hideMark/>
          </w:tcPr>
          <w:p w:rsidR="00587317" w:rsidRDefault="00587317" w:rsidP="00587317">
            <w:pPr>
              <w:pStyle w:val="Normal00"/>
              <w:spacing w:line="48" w:lineRule="auto"/>
              <w:rPr>
                <w:rFonts w:ascii="Arial" w:hAnsi="Arial" w:cs="Arial"/>
                <w:b/>
                <w:color w:val="003366"/>
                <w:sz w:val="18"/>
                <w:szCs w:val="18"/>
                <w:lang w:eastAsia="ja-JP"/>
              </w:rPr>
            </w:pPr>
          </w:p>
          <w:p w:rsidR="00587317" w:rsidRPr="000A4C61" w:rsidRDefault="00587317" w:rsidP="00587317">
            <w:pPr>
              <w:pStyle w:val="Normal00"/>
              <w:spacing w:line="259" w:lineRule="auto"/>
              <w:rPr>
                <w:rFonts w:ascii="Arial" w:hAnsi="Arial" w:cs="Arial"/>
                <w:b/>
                <w:color w:val="003366"/>
                <w:sz w:val="18"/>
                <w:szCs w:val="18"/>
                <w:lang w:eastAsia="ja-JP"/>
              </w:rPr>
            </w:pPr>
            <w:r>
              <w:rPr>
                <w:rFonts w:ascii="Arial" w:hAnsi="Arial" w:cs="Arial"/>
                <w:b/>
                <w:color w:val="003366"/>
                <w:sz w:val="18"/>
                <w:szCs w:val="18"/>
                <w:lang w:eastAsia="ja-JP"/>
              </w:rPr>
              <w:t>NatWest Markets</w:t>
            </w:r>
          </w:p>
          <w:p w:rsidR="008E0433" w:rsidRDefault="008E0433">
            <w:pPr>
              <w:spacing w:line="240" w:lineRule="auto"/>
              <w:contextualSpacing/>
              <w:rPr>
                <w:rFonts w:eastAsia="Arial" w:cs="Arial"/>
                <w:color w:val="000000"/>
                <w:sz w:val="16"/>
                <w:szCs w:val="16"/>
              </w:rPr>
            </w:pPr>
          </w:p>
        </w:tc>
        <w:tc>
          <w:tcPr>
            <w:tcW w:w="3105"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b/>
                <w:bCs/>
                <w:color w:val="003366"/>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03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As at</w:t>
            </w: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31 December</w:t>
            </w: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£bn</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r>
      <w:tr w:rsidR="008E0433">
        <w:trPr>
          <w:trHeight w:val="195"/>
        </w:trPr>
        <w:tc>
          <w:tcPr>
            <w:tcW w:w="259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12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7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686</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569</w:t>
            </w:r>
          </w:p>
        </w:tc>
        <w:tc>
          <w:tcPr>
            <w:tcW w:w="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Funded Assets</w:t>
            </w:r>
          </w:p>
        </w:tc>
        <w:tc>
          <w:tcPr>
            <w:tcW w:w="118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142.7</w:t>
            </w:r>
          </w:p>
        </w:tc>
        <w:tc>
          <w:tcPr>
            <w:tcW w:w="7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133.4</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111.4</w:t>
            </w: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i/>
                <w:iCs/>
                <w:color w:val="000000"/>
                <w:sz w:val="16"/>
                <w:szCs w:val="16"/>
              </w:rPr>
            </w:pPr>
            <w:r>
              <w:rPr>
                <w:rFonts w:eastAsia="Arial" w:cs="Arial"/>
                <w:i/>
                <w:iCs/>
                <w:color w:val="000000"/>
                <w:sz w:val="16"/>
                <w:szCs w:val="16"/>
              </w:rPr>
              <w:t>of which: Core income excluding</w:t>
            </w:r>
            <w:r w:rsidR="00FF304A">
              <w:rPr>
                <w:rFonts w:eastAsia="Arial" w:cs="Arial"/>
                <w:i/>
                <w:iCs/>
                <w:color w:val="000000"/>
                <w:sz w:val="16"/>
                <w:szCs w:val="16"/>
              </w:rPr>
              <w:t xml:space="preserve"> </w:t>
            </w:r>
          </w:p>
        </w:tc>
        <w:tc>
          <w:tcPr>
            <w:tcW w:w="12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RWAs</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43.8</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41.4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44.9</w:t>
            </w: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F127B3">
            <w:pPr>
              <w:spacing w:line="240" w:lineRule="auto"/>
              <w:contextualSpacing/>
              <w:rPr>
                <w:rFonts w:eastAsia="Arial" w:cs="Arial"/>
                <w:i/>
                <w:iCs/>
                <w:color w:val="000000"/>
                <w:sz w:val="16"/>
                <w:szCs w:val="16"/>
              </w:rPr>
            </w:pPr>
            <w:r>
              <w:rPr>
                <w:rFonts w:eastAsia="Arial" w:cs="Arial"/>
                <w:i/>
                <w:iCs/>
                <w:color w:val="000000"/>
                <w:sz w:val="16"/>
                <w:szCs w:val="16"/>
              </w:rPr>
              <w:t xml:space="preserve">  </w:t>
            </w:r>
            <w:r w:rsidR="00E02264">
              <w:rPr>
                <w:rFonts w:eastAsia="Arial" w:cs="Arial"/>
                <w:i/>
                <w:iCs/>
                <w:color w:val="000000"/>
                <w:sz w:val="16"/>
                <w:szCs w:val="16"/>
              </w:rPr>
              <w:t>own credit adjustments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184</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325</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331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i/>
                <w:iCs/>
                <w:color w:val="000000"/>
                <w:sz w:val="16"/>
                <w:szCs w:val="16"/>
              </w:rPr>
            </w:pPr>
            <w:r>
              <w:rPr>
                <w:rFonts w:eastAsia="Arial" w:cs="Arial"/>
                <w:i/>
                <w:iCs/>
                <w:color w:val="000000"/>
                <w:sz w:val="16"/>
                <w:szCs w:val="16"/>
              </w:rPr>
              <w:t> of which: Legacy income</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366</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218</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i/>
                <w:iCs/>
                <w:color w:val="000000"/>
                <w:sz w:val="16"/>
                <w:szCs w:val="16"/>
              </w:rPr>
            </w:pPr>
            <w:r>
              <w:rPr>
                <w:rFonts w:eastAsia="Arial" w:cs="Arial"/>
                <w:i/>
                <w:iCs/>
                <w:color w:val="000000"/>
                <w:sz w:val="16"/>
                <w:szCs w:val="16"/>
              </w:rPr>
              <w:t> of which: Own credit adjustments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(348)</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(478)</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releases/(losses)</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(loss)/profit</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(193)</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87</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259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2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(8.7%)</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7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259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Cost:income ratio</w:t>
            </w:r>
          </w:p>
        </w:tc>
        <w:tc>
          <w:tcPr>
            <w:tcW w:w="1260" w:type="dxa"/>
            <w:tcBorders>
              <w:bottom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232.0%</w:t>
            </w:r>
          </w:p>
        </w:tc>
        <w:tc>
          <w:tcPr>
            <w:tcW w:w="735"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50.1%</w:t>
            </w:r>
          </w:p>
        </w:tc>
        <w:tc>
          <w:tcPr>
            <w:tcW w:w="1110" w:type="dxa"/>
            <w:tcBorders>
              <w:bottom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84.0%</w:t>
            </w:r>
          </w:p>
        </w:tc>
        <w:tc>
          <w:tcPr>
            <w:tcW w:w="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85"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73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bl>
    <w:p w:rsidR="004975D3" w:rsidRPr="004975D3" w:rsidRDefault="004975D3" w:rsidP="000A4C61">
      <w:pPr>
        <w:pStyle w:val="Normal00"/>
        <w:jc w:val="both"/>
        <w:rPr>
          <w:rFonts w:ascii="Arial" w:hAnsi="Arial" w:cs="Arial"/>
          <w:sz w:val="8"/>
          <w:szCs w:val="8"/>
        </w:rPr>
      </w:pPr>
    </w:p>
    <w:p w:rsidR="000A4C61" w:rsidRPr="00876783" w:rsidRDefault="00E02264" w:rsidP="000A4C61">
      <w:pPr>
        <w:pStyle w:val="Normal00"/>
        <w:jc w:val="both"/>
        <w:rPr>
          <w:rFonts w:ascii="Arial" w:hAnsi="Arial" w:cs="Arial"/>
          <w:color w:val="000000"/>
          <w:sz w:val="14"/>
          <w:szCs w:val="14"/>
        </w:rPr>
      </w:pPr>
      <w:r w:rsidRPr="009D0EB1">
        <w:rPr>
          <w:rFonts w:ascii="Arial" w:hAnsi="Arial" w:cs="Arial"/>
          <w:sz w:val="14"/>
          <w:szCs w:val="14"/>
        </w:rPr>
        <w:t>Note:</w:t>
      </w:r>
    </w:p>
    <w:p w:rsidR="000A4C61" w:rsidRPr="00E57BEF" w:rsidRDefault="00E02264" w:rsidP="004975D3">
      <w:pPr>
        <w:pStyle w:val="Normal00"/>
        <w:numPr>
          <w:ilvl w:val="0"/>
          <w:numId w:val="3"/>
        </w:numPr>
        <w:spacing w:after="80"/>
        <w:rPr>
          <w:rFonts w:ascii="Arial" w:hAnsi="Arial" w:cs="Arial"/>
          <w:sz w:val="14"/>
          <w:szCs w:val="14"/>
          <w:lang w:eastAsia="en-US"/>
        </w:rPr>
      </w:pPr>
      <w:r w:rsidRPr="006B6125">
        <w:rPr>
          <w:rFonts w:ascii="Arial" w:hAnsi="Arial" w:cs="Arial"/>
          <w:sz w:val="14"/>
          <w:szCs w:val="14"/>
        </w:rPr>
        <w:t xml:space="preserve">The NatWest Markets operating segment should not be assumed to be the same as the NatWest Markets Plc legal entity or group. NatWest Markets Plc entity includes the Central items &amp; other segment but excludes NatWest Markets N.V. for statutory reporting. </w:t>
      </w:r>
    </w:p>
    <w:tbl>
      <w:tblPr>
        <w:tblW w:w="10206" w:type="dxa"/>
        <w:tblCellMar>
          <w:left w:w="0" w:type="dxa"/>
          <w:right w:w="0" w:type="dxa"/>
        </w:tblCellMar>
        <w:tblLook w:val="01E0" w:firstRow="1" w:lastRow="1" w:firstColumn="1" w:lastColumn="1" w:noHBand="0" w:noVBand="0"/>
      </w:tblPr>
      <w:tblGrid>
        <w:gridCol w:w="284"/>
        <w:gridCol w:w="9922"/>
      </w:tblGrid>
      <w:tr w:rsidR="008E0433" w:rsidTr="00B667DF">
        <w:trPr>
          <w:trHeight w:val="647"/>
        </w:trPr>
        <w:tc>
          <w:tcPr>
            <w:tcW w:w="284" w:type="dxa"/>
            <w:tcBorders>
              <w:top w:val="nil"/>
              <w:left w:val="nil"/>
              <w:bottom w:val="nil"/>
              <w:right w:val="nil"/>
            </w:tcBorders>
          </w:tcPr>
          <w:p w:rsidR="00556430" w:rsidRPr="009A2432" w:rsidRDefault="00E02264" w:rsidP="00B70853">
            <w:pPr>
              <w:pStyle w:val="Normal00"/>
              <w:spacing w:line="288" w:lineRule="auto"/>
              <w:jc w:val="both"/>
              <w:rPr>
                <w:rFonts w:ascii="Arial" w:hAnsi="Arial" w:cs="Arial"/>
                <w:color w:val="003366"/>
                <w:sz w:val="20"/>
                <w:szCs w:val="18"/>
                <w:lang w:eastAsia="ja-JP"/>
              </w:rPr>
            </w:pPr>
            <w:r w:rsidRPr="009A2432">
              <w:rPr>
                <w:rFonts w:ascii="Arial" w:eastAsia="SimSun" w:hAnsi="Arial" w:cs="Arial"/>
                <w:color w:val="003366"/>
                <w:sz w:val="20"/>
                <w:szCs w:val="18"/>
                <w:lang w:eastAsia="ja-JP"/>
              </w:rPr>
              <w:t>●</w:t>
            </w:r>
          </w:p>
        </w:tc>
        <w:tc>
          <w:tcPr>
            <w:tcW w:w="9922" w:type="dxa"/>
            <w:tcBorders>
              <w:top w:val="nil"/>
              <w:left w:val="nil"/>
              <w:bottom w:val="nil"/>
              <w:right w:val="nil"/>
            </w:tcBorders>
          </w:tcPr>
          <w:p w:rsidR="00556430" w:rsidRPr="003829CF" w:rsidRDefault="00E02264" w:rsidP="00B70853">
            <w:pPr>
              <w:spacing w:line="259" w:lineRule="auto"/>
              <w:rPr>
                <w:rFonts w:ascii="Calibri" w:hAnsi="Calibri" w:cs="Times New Roman"/>
                <w:color w:val="1F497D"/>
                <w:sz w:val="22"/>
              </w:rPr>
            </w:pPr>
            <w:r w:rsidRPr="003829CF">
              <w:rPr>
                <w:rFonts w:eastAsia="SimSun" w:cs="Arial"/>
                <w:noProof/>
                <w:sz w:val="20"/>
                <w:szCs w:val="20"/>
              </w:rPr>
              <w:t>Total income decreased by £419 million to £150 million compared with Q3 2018, primarily reflecting insurance indemnity recoveries in the prior year and lower core income in Q3 2019. Core income of £184 million decreased by £147 million, or 44.4%, compared with Q3 2018. The reduction was due to challenging market con</w:t>
            </w:r>
            <w:r w:rsidR="00046889">
              <w:rPr>
                <w:rFonts w:eastAsia="SimSun" w:cs="Arial"/>
                <w:noProof/>
                <w:sz w:val="20"/>
                <w:szCs w:val="20"/>
              </w:rPr>
              <w:t>ditions, principally affecting R</w:t>
            </w:r>
            <w:r w:rsidRPr="003829CF">
              <w:rPr>
                <w:rFonts w:eastAsia="SimSun" w:cs="Arial"/>
                <w:noProof/>
                <w:sz w:val="20"/>
                <w:szCs w:val="20"/>
              </w:rPr>
              <w:t>ates income, most significantly during August. Rates income was impacted due to elevated hedging costs caused by reduced liquidity and wider bid-offer spreads, as the market experienced sustained curve flattening across global fixed income markets.</w:t>
            </w:r>
          </w:p>
        </w:tc>
      </w:tr>
      <w:tr w:rsidR="008E0433" w:rsidTr="00B667DF">
        <w:trPr>
          <w:trHeight w:val="517"/>
        </w:trPr>
        <w:tc>
          <w:tcPr>
            <w:tcW w:w="284" w:type="dxa"/>
            <w:tcBorders>
              <w:top w:val="nil"/>
              <w:left w:val="nil"/>
              <w:bottom w:val="nil"/>
              <w:right w:val="nil"/>
            </w:tcBorders>
          </w:tcPr>
          <w:p w:rsidR="00556430" w:rsidRPr="009A2432" w:rsidRDefault="00E02264" w:rsidP="00A9526E">
            <w:pPr>
              <w:pStyle w:val="Normal00"/>
              <w:spacing w:line="288" w:lineRule="auto"/>
              <w:jc w:val="both"/>
              <w:rPr>
                <w:rFonts w:ascii="Arial" w:eastAsia="SimSun" w:hAnsi="Arial" w:cs="Arial"/>
                <w:color w:val="003366"/>
                <w:sz w:val="20"/>
                <w:szCs w:val="18"/>
                <w:lang w:eastAsia="ja-JP"/>
              </w:rPr>
            </w:pPr>
            <w:r w:rsidRPr="009A2432">
              <w:rPr>
                <w:rFonts w:ascii="Arial" w:eastAsia="SimSun" w:hAnsi="Arial" w:cs="Arial"/>
                <w:color w:val="003366"/>
                <w:sz w:val="20"/>
                <w:szCs w:val="18"/>
                <w:lang w:eastAsia="ja-JP"/>
              </w:rPr>
              <w:t>●</w:t>
            </w:r>
          </w:p>
        </w:tc>
        <w:tc>
          <w:tcPr>
            <w:tcW w:w="9922" w:type="dxa"/>
            <w:tcBorders>
              <w:top w:val="nil"/>
              <w:left w:val="nil"/>
              <w:bottom w:val="nil"/>
              <w:right w:val="nil"/>
            </w:tcBorders>
          </w:tcPr>
          <w:p w:rsidR="00556430" w:rsidRPr="00516BF2" w:rsidRDefault="00E02264" w:rsidP="00B70853">
            <w:pPr>
              <w:pStyle w:val="Normal00"/>
              <w:spacing w:line="259" w:lineRule="auto"/>
              <w:ind w:right="125"/>
              <w:jc w:val="both"/>
              <w:rPr>
                <w:rFonts w:ascii="Arial" w:eastAsia="SimSun" w:hAnsi="Arial" w:cs="Arial"/>
                <w:noProof/>
                <w:sz w:val="20"/>
                <w:szCs w:val="20"/>
              </w:rPr>
            </w:pPr>
            <w:r>
              <w:rPr>
                <w:rFonts w:ascii="Arial" w:eastAsia="SimSun" w:hAnsi="Arial" w:cs="Arial"/>
                <w:noProof/>
                <w:sz w:val="20"/>
                <w:szCs w:val="20"/>
              </w:rPr>
              <w:t>Excluding strategic, litigation and conduct costs, operating expenses increased by £10 million, or 3.7%, compared with Q3 2018 reflecting an elevated level of provision release in the prior year, costs associated with becoming a standalone bank and investment in NatWest Markets N.V..</w:t>
            </w:r>
          </w:p>
        </w:tc>
      </w:tr>
      <w:tr w:rsidR="008E0433" w:rsidTr="004975D3">
        <w:trPr>
          <w:trHeight w:val="483"/>
        </w:trPr>
        <w:tc>
          <w:tcPr>
            <w:tcW w:w="284" w:type="dxa"/>
            <w:tcBorders>
              <w:top w:val="nil"/>
              <w:left w:val="nil"/>
              <w:bottom w:val="nil"/>
              <w:right w:val="nil"/>
            </w:tcBorders>
          </w:tcPr>
          <w:p w:rsidR="00556430" w:rsidRPr="009A2432" w:rsidRDefault="00E02264" w:rsidP="00A9526E">
            <w:pPr>
              <w:pStyle w:val="Normal00"/>
              <w:spacing w:line="288" w:lineRule="auto"/>
              <w:jc w:val="both"/>
              <w:rPr>
                <w:rFonts w:ascii="Arial" w:eastAsia="SimSun" w:hAnsi="Arial" w:cs="Arial"/>
                <w:color w:val="003366"/>
                <w:sz w:val="20"/>
                <w:szCs w:val="18"/>
                <w:lang w:eastAsia="ja-JP"/>
              </w:rPr>
            </w:pPr>
            <w:r w:rsidRPr="009A2432">
              <w:rPr>
                <w:rFonts w:ascii="Arial" w:eastAsia="SimSun" w:hAnsi="Arial" w:cs="Arial"/>
                <w:color w:val="003366"/>
                <w:sz w:val="20"/>
                <w:szCs w:val="18"/>
                <w:lang w:eastAsia="ja-JP"/>
              </w:rPr>
              <w:t>●</w:t>
            </w:r>
          </w:p>
        </w:tc>
        <w:tc>
          <w:tcPr>
            <w:tcW w:w="9922" w:type="dxa"/>
            <w:tcBorders>
              <w:top w:val="nil"/>
              <w:left w:val="nil"/>
              <w:bottom w:val="nil"/>
              <w:right w:val="nil"/>
            </w:tcBorders>
          </w:tcPr>
          <w:p w:rsidR="00B70853" w:rsidRPr="00516BF2" w:rsidRDefault="00E02264" w:rsidP="004975D3">
            <w:pPr>
              <w:pStyle w:val="Normal00"/>
              <w:spacing w:line="259" w:lineRule="auto"/>
              <w:ind w:right="125"/>
              <w:jc w:val="both"/>
              <w:rPr>
                <w:rFonts w:ascii="Arial" w:eastAsia="SimSun" w:hAnsi="Arial" w:cs="Arial"/>
                <w:noProof/>
                <w:sz w:val="20"/>
                <w:szCs w:val="20"/>
              </w:rPr>
            </w:pPr>
            <w:r>
              <w:rPr>
                <w:rFonts w:ascii="Arial" w:eastAsia="SimSun" w:hAnsi="Arial" w:cs="Arial"/>
                <w:noProof/>
                <w:sz w:val="20"/>
                <w:szCs w:val="20"/>
              </w:rPr>
              <w:t>RWAs increased by £2.4 billion in the quarter largely due to the requirement to hold higher capital on derivative assets driven by market moves in August and September.</w:t>
            </w:r>
          </w:p>
        </w:tc>
      </w:tr>
    </w:tbl>
    <w:p w:rsidR="00410251" w:rsidRDefault="00E02264" w:rsidP="004975D3">
      <w:pPr>
        <w:pStyle w:val="Normal00"/>
        <w:spacing w:before="80" w:line="254" w:lineRule="auto"/>
        <w:jc w:val="both"/>
        <w:rPr>
          <w:rFonts w:ascii="Arial" w:hAnsi="Arial" w:cs="Arial"/>
          <w:b/>
          <w:color w:val="0A2F64"/>
          <w:sz w:val="18"/>
          <w:szCs w:val="18"/>
          <w:lang w:eastAsia="ja-JP"/>
        </w:rPr>
      </w:pPr>
      <w:r w:rsidRPr="000519C6">
        <w:rPr>
          <w:rFonts w:ascii="Arial" w:hAnsi="Arial" w:cs="Arial"/>
          <w:b/>
          <w:color w:val="0A2F64"/>
          <w:sz w:val="18"/>
          <w:szCs w:val="18"/>
          <w:lang w:eastAsia="ja-JP"/>
        </w:rPr>
        <w:t>Central items &amp; other</w:t>
      </w:r>
    </w:p>
    <w:tbl>
      <w:tblPr>
        <w:tblStyle w:val="table"/>
        <w:tblW w:w="13600" w:type="dxa"/>
        <w:tblInd w:w="5" w:type="dxa"/>
        <w:tblCellMar>
          <w:left w:w="0" w:type="dxa"/>
          <w:right w:w="0" w:type="dxa"/>
        </w:tblCellMar>
        <w:tblLook w:val="05E0" w:firstRow="1" w:lastRow="1" w:firstColumn="1" w:lastColumn="1" w:noHBand="0" w:noVBand="1"/>
      </w:tblPr>
      <w:tblGrid>
        <w:gridCol w:w="7035"/>
        <w:gridCol w:w="1260"/>
        <w:gridCol w:w="735"/>
        <w:gridCol w:w="1110"/>
        <w:gridCol w:w="1260"/>
        <w:gridCol w:w="945"/>
        <w:gridCol w:w="1260"/>
      </w:tblGrid>
      <w:tr w:rsidR="008E0433">
        <w:trPr>
          <w:trHeight w:val="180"/>
        </w:trPr>
        <w:tc>
          <w:tcPr>
            <w:tcW w:w="70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05"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c>
          <w:tcPr>
            <w:tcW w:w="3465" w:type="dxa"/>
            <w:gridSpan w:val="3"/>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b/>
                <w:bCs/>
                <w:color w:val="003366"/>
                <w:sz w:val="16"/>
                <w:szCs w:val="16"/>
              </w:rPr>
            </w:pPr>
          </w:p>
        </w:tc>
      </w:tr>
      <w:tr w:rsidR="008E0433">
        <w:trPr>
          <w:trHeight w:val="180"/>
        </w:trPr>
        <w:tc>
          <w:tcPr>
            <w:tcW w:w="70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94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r>
      <w:tr w:rsidR="008E0433">
        <w:trPr>
          <w:trHeight w:val="180"/>
        </w:trPr>
        <w:tc>
          <w:tcPr>
            <w:tcW w:w="70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94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r>
      <w:tr w:rsidR="008E0433">
        <w:trPr>
          <w:trHeight w:val="180"/>
        </w:trPr>
        <w:tc>
          <w:tcPr>
            <w:tcW w:w="70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7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94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r>
      <w:tr w:rsidR="008E0433">
        <w:trPr>
          <w:trHeight w:val="195"/>
        </w:trPr>
        <w:tc>
          <w:tcPr>
            <w:tcW w:w="703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Central items not allocated</w:t>
            </w:r>
          </w:p>
        </w:tc>
        <w:tc>
          <w:tcPr>
            <w:tcW w:w="12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162</w:t>
            </w:r>
          </w:p>
        </w:tc>
        <w:tc>
          <w:tcPr>
            <w:tcW w:w="73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337</w:t>
            </w:r>
          </w:p>
        </w:tc>
        <w:tc>
          <w:tcPr>
            <w:tcW w:w="11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4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bl>
    <w:tbl>
      <w:tblPr>
        <w:tblW w:w="10206" w:type="dxa"/>
        <w:tblCellMar>
          <w:left w:w="0" w:type="dxa"/>
          <w:right w:w="0" w:type="dxa"/>
        </w:tblCellMar>
        <w:tblLook w:val="01E0" w:firstRow="1" w:lastRow="1" w:firstColumn="1" w:lastColumn="1" w:noHBand="0" w:noVBand="0"/>
      </w:tblPr>
      <w:tblGrid>
        <w:gridCol w:w="284"/>
        <w:gridCol w:w="9922"/>
      </w:tblGrid>
      <w:tr w:rsidR="008E0433" w:rsidTr="00B667DF">
        <w:trPr>
          <w:trHeight w:val="647"/>
        </w:trPr>
        <w:tc>
          <w:tcPr>
            <w:tcW w:w="284" w:type="dxa"/>
            <w:tcBorders>
              <w:top w:val="nil"/>
              <w:left w:val="nil"/>
              <w:bottom w:val="nil"/>
              <w:right w:val="nil"/>
            </w:tcBorders>
          </w:tcPr>
          <w:p w:rsidR="00BD02D4" w:rsidRPr="00BD02D4" w:rsidRDefault="00BD02D4" w:rsidP="00A9526E">
            <w:pPr>
              <w:pStyle w:val="Normal00"/>
              <w:spacing w:line="288" w:lineRule="auto"/>
              <w:jc w:val="both"/>
              <w:rPr>
                <w:rFonts w:eastAsia="SimSun"/>
                <w:color w:val="003366"/>
                <w:sz w:val="8"/>
                <w:szCs w:val="8"/>
                <w:lang w:eastAsia="ja-JP"/>
              </w:rPr>
            </w:pPr>
          </w:p>
          <w:p w:rsidR="000A4C61" w:rsidRPr="009A2432" w:rsidRDefault="00E02264" w:rsidP="00A9526E">
            <w:pPr>
              <w:pStyle w:val="Normal00"/>
              <w:spacing w:line="288" w:lineRule="auto"/>
              <w:jc w:val="both"/>
              <w:rPr>
                <w:rFonts w:ascii="Arial" w:hAnsi="Arial" w:cs="Arial"/>
                <w:color w:val="003366"/>
                <w:sz w:val="18"/>
                <w:szCs w:val="18"/>
                <w:lang w:eastAsia="ja-JP"/>
              </w:rPr>
            </w:pPr>
            <w:r w:rsidRPr="009A2432">
              <w:rPr>
                <w:rFonts w:ascii="Arial" w:eastAsia="SimSun" w:hAnsi="Arial" w:cs="Arial"/>
                <w:color w:val="003366"/>
                <w:sz w:val="20"/>
                <w:szCs w:val="18"/>
                <w:lang w:eastAsia="ja-JP"/>
              </w:rPr>
              <w:t>●</w:t>
            </w:r>
          </w:p>
        </w:tc>
        <w:tc>
          <w:tcPr>
            <w:tcW w:w="9922" w:type="dxa"/>
            <w:tcBorders>
              <w:top w:val="nil"/>
              <w:left w:val="nil"/>
              <w:bottom w:val="nil"/>
              <w:right w:val="nil"/>
            </w:tcBorders>
          </w:tcPr>
          <w:p w:rsidR="00BD02D4" w:rsidRPr="00BD02D4" w:rsidRDefault="00BD02D4" w:rsidP="00F76CB8">
            <w:pPr>
              <w:pStyle w:val="Normal00"/>
              <w:spacing w:line="259" w:lineRule="auto"/>
              <w:ind w:right="125"/>
              <w:jc w:val="both"/>
              <w:rPr>
                <w:rFonts w:ascii="Arial" w:eastAsia="SimSun" w:hAnsi="Arial" w:cs="Arial"/>
                <w:noProof/>
                <w:sz w:val="8"/>
                <w:szCs w:val="8"/>
              </w:rPr>
            </w:pPr>
          </w:p>
          <w:p w:rsidR="000A4C61" w:rsidRPr="00F76CB8" w:rsidRDefault="00E02264" w:rsidP="009B02A4">
            <w:pPr>
              <w:pStyle w:val="Normal00"/>
              <w:spacing w:line="259" w:lineRule="auto"/>
              <w:ind w:right="125"/>
              <w:rPr>
                <w:rFonts w:ascii="Arial" w:eastAsia="SimSun" w:hAnsi="Arial" w:cs="Arial"/>
                <w:noProof/>
                <w:sz w:val="20"/>
                <w:szCs w:val="20"/>
              </w:rPr>
            </w:pPr>
            <w:r>
              <w:rPr>
                <w:rFonts w:ascii="Arial" w:eastAsia="SimSun" w:hAnsi="Arial" w:cs="Arial"/>
                <w:noProof/>
                <w:sz w:val="20"/>
                <w:szCs w:val="20"/>
              </w:rPr>
              <w:t>Central items not allocated represent a gain of £162 million in the quarter, principally reflecting reimbursement of £162 million under indemnification agreements relating to residential mortgage-backed securities. Excluding strategic, litigation and conduct costs, operating expenses decreased by £70 million reflecting one-off releases and innovation and other costs that were held centrally in Q3 2018 but are now allocated to the franchises. Across RBS, costs reduced by £20 million compared with Q3 2018.</w:t>
            </w:r>
          </w:p>
        </w:tc>
      </w:tr>
    </w:tbl>
    <w:p w:rsidR="000A4C61" w:rsidRPr="00F377A3" w:rsidRDefault="000A4C61" w:rsidP="000A4C61">
      <w:pPr>
        <w:pStyle w:val="Normal00"/>
        <w:spacing w:line="288" w:lineRule="auto"/>
        <w:rPr>
          <w:rFonts w:ascii="Arial" w:hAnsi="Arial" w:cs="Arial"/>
          <w:color w:val="0A2F64"/>
          <w:sz w:val="18"/>
          <w:szCs w:val="18"/>
          <w:lang w:eastAsia="ja-JP"/>
        </w:rPr>
        <w:sectPr w:rsidR="000A4C61" w:rsidRPr="00F377A3" w:rsidSect="000A4C61">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134" w:right="851" w:bottom="680" w:left="851" w:header="709" w:footer="709" w:gutter="0"/>
          <w:cols w:space="708"/>
          <w:docGrid w:linePitch="360"/>
        </w:sectPr>
      </w:pPr>
    </w:p>
    <w:p w:rsidR="00133D7F" w:rsidRDefault="00E02264" w:rsidP="00133D7F">
      <w:pPr>
        <w:pStyle w:val="Normal00"/>
        <w:rPr>
          <w:rFonts w:ascii="Arial" w:hAnsi="Arial"/>
          <w:b/>
          <w:color w:val="003366"/>
          <w:sz w:val="18"/>
          <w:szCs w:val="18"/>
          <w:lang w:eastAsia="ja-JP"/>
        </w:rPr>
      </w:pPr>
      <w:r>
        <w:rPr>
          <w:rFonts w:ascii="Arial" w:hAnsi="Arial"/>
          <w:b/>
          <w:color w:val="003366"/>
          <w:sz w:val="18"/>
          <w:szCs w:val="18"/>
          <w:lang w:eastAsia="ja-JP"/>
        </w:rPr>
        <w:lastRenderedPageBreak/>
        <w:t xml:space="preserve">Segment performance </w:t>
      </w:r>
    </w:p>
    <w:p w:rsidR="00E34248" w:rsidRDefault="00E34248" w:rsidP="00133D7F">
      <w:pPr>
        <w:pStyle w:val="Normal00"/>
        <w:rPr>
          <w:rFonts w:ascii="Arial" w:hAnsi="Arial"/>
          <w:b/>
          <w:color w:val="003366"/>
          <w:sz w:val="18"/>
          <w:szCs w:val="18"/>
          <w:lang w:eastAsia="ja-JP"/>
        </w:rPr>
      </w:pPr>
    </w:p>
    <w:tbl>
      <w:tblPr>
        <w:tblStyle w:val="table"/>
        <w:tblW w:w="15465" w:type="dxa"/>
        <w:tblInd w:w="5" w:type="dxa"/>
        <w:tblCellMar>
          <w:left w:w="0" w:type="dxa"/>
          <w:right w:w="0" w:type="dxa"/>
        </w:tblCellMar>
        <w:tblLook w:val="05E0" w:firstRow="1" w:lastRow="1" w:firstColumn="1" w:lastColumn="1" w:noHBand="0" w:noVBand="1"/>
      </w:tblPr>
      <w:tblGrid>
        <w:gridCol w:w="6825"/>
        <w:gridCol w:w="1113"/>
        <w:gridCol w:w="957"/>
        <w:gridCol w:w="60"/>
        <w:gridCol w:w="30"/>
        <w:gridCol w:w="1221"/>
        <w:gridCol w:w="969"/>
        <w:gridCol w:w="30"/>
        <w:gridCol w:w="1155"/>
        <w:gridCol w:w="30"/>
        <w:gridCol w:w="965"/>
        <w:gridCol w:w="40"/>
        <w:gridCol w:w="1035"/>
        <w:gridCol w:w="30"/>
        <w:gridCol w:w="1005"/>
      </w:tblGrid>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640" w:type="dxa"/>
            <w:gridSpan w:val="14"/>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Nine months ended 30 September 2019</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2070"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Personal &amp; Ulster</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2220" w:type="dxa"/>
            <w:gridSpan w:val="3"/>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Commercial &amp; Private</w:t>
            </w:r>
          </w:p>
        </w:tc>
        <w:tc>
          <w:tcPr>
            <w:tcW w:w="118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b/>
                <w:bCs/>
                <w:color w:val="000000"/>
                <w:sz w:val="16"/>
                <w:szCs w:val="16"/>
              </w:rPr>
            </w:pPr>
          </w:p>
        </w:tc>
        <w:tc>
          <w:tcPr>
            <w:tcW w:w="1035" w:type="dxa"/>
            <w:gridSpan w:val="3"/>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Central</w:t>
            </w:r>
          </w:p>
        </w:tc>
        <w:tc>
          <w:tcPr>
            <w:tcW w:w="103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r>
      <w:tr w:rsidR="008E0433" w:rsidTr="003741B6">
        <w:trPr>
          <w:trHeight w:val="195"/>
        </w:trPr>
        <w:tc>
          <w:tcPr>
            <w:tcW w:w="7938"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UK Personal</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Ulster</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Commercial</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Private</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RBS</w:t>
            </w:r>
          </w:p>
        </w:tc>
        <w:tc>
          <w:tcPr>
            <w:tcW w:w="1035" w:type="dxa"/>
            <w:gridSpan w:val="3"/>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NatWest</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items &amp;</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Total</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 RoI</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International</w:t>
            </w:r>
          </w:p>
        </w:tc>
        <w:tc>
          <w:tcPr>
            <w:tcW w:w="1035" w:type="dxa"/>
            <w:gridSpan w:val="3"/>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Markets</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Style w:val="font177"/>
              </w:rPr>
              <w:t>other</w:t>
            </w:r>
            <w:r>
              <w:rPr>
                <w:rStyle w:val="font186"/>
              </w:rPr>
              <w:t> (1)</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RBS</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035" w:type="dxa"/>
            <w:gridSpan w:val="3"/>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r>
      <w:tr w:rsidR="008E0433" w:rsidTr="003741B6">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Income statement</w:t>
            </w:r>
          </w:p>
        </w:tc>
        <w:tc>
          <w:tcPr>
            <w:tcW w:w="1113"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57"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9"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85"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gridSpan w:val="3"/>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income</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3,118</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302</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2,127</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391</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361</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(184)</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(105)</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6,010</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Non-interest income</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553</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125</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1,115</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191</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99</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890</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3,033</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Strategic disposals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444</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591</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1,035</w:t>
            </w:r>
          </w:p>
        </w:tc>
      </w:tr>
      <w:tr w:rsidR="008E0433" w:rsidTr="003741B6">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Total income</w:t>
            </w:r>
          </w:p>
        </w:tc>
        <w:tc>
          <w:tcPr>
            <w:tcW w:w="1113"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3,671</w:t>
            </w:r>
          </w:p>
        </w:tc>
        <w:tc>
          <w:tcPr>
            <w:tcW w:w="957"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428</w:t>
            </w:r>
          </w:p>
        </w:tc>
        <w:tc>
          <w:tcPr>
            <w:tcW w:w="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3,242</w:t>
            </w:r>
          </w:p>
        </w:tc>
        <w:tc>
          <w:tcPr>
            <w:tcW w:w="969"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582</w:t>
            </w:r>
          </w:p>
        </w:tc>
        <w:tc>
          <w:tcPr>
            <w:tcW w:w="1185"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460</w:t>
            </w:r>
          </w:p>
        </w:tc>
        <w:tc>
          <w:tcPr>
            <w:tcW w:w="1035" w:type="dxa"/>
            <w:gridSpan w:val="3"/>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1,092</w:t>
            </w:r>
          </w:p>
        </w:tc>
        <w:tc>
          <w:tcPr>
            <w:tcW w:w="103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545</w:t>
            </w:r>
          </w:p>
        </w:tc>
        <w:tc>
          <w:tcPr>
            <w:tcW w:w="1035"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10,020</w:t>
            </w:r>
          </w:p>
        </w:tc>
      </w:tr>
      <w:tr w:rsidR="008E0433" w:rsidTr="003741B6">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Direct expenses</w:t>
            </w:r>
          </w:p>
        </w:tc>
        <w:tc>
          <w:tcPr>
            <w:tcW w:w="1113"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57"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9"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85"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gridSpan w:val="3"/>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r>
      <w:tr w:rsidR="008E0433" w:rsidTr="003741B6">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staff costs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(470)</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(159)</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(568)</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(122)</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(89)</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(508)</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(816)</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(2,732)</w:t>
            </w:r>
          </w:p>
        </w:tc>
      </w:tr>
      <w:tr w:rsidR="008E0433" w:rsidTr="003741B6">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costs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(259)</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(229)</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(52)</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(128)</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(1,637)</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(2,412)</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Indirect expenses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(1,032)</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(131)</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(863)</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(145)</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(246)</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2,457</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3"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57"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9"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85" w:type="dxa"/>
            <w:gridSpan w:val="2"/>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gridSpan w:val="3"/>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gridSpan w:val="2"/>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r>
      <w:tr w:rsidR="008E0433" w:rsidTr="003741B6">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direct</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(104)</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(674)</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(844)</w:t>
            </w:r>
          </w:p>
        </w:tc>
      </w:tr>
      <w:tr w:rsidR="008E0433" w:rsidTr="003741B6">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indirect</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(143)</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(153)</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388</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8E0433" w:rsidTr="003741B6">
        <w:trPr>
          <w:trHeight w:val="195"/>
        </w:trPr>
        <w:tc>
          <w:tcPr>
            <w:tcW w:w="68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3"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(918)</w:t>
            </w:r>
          </w:p>
        </w:tc>
        <w:tc>
          <w:tcPr>
            <w:tcW w:w="957"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6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(50)</w:t>
            </w:r>
          </w:p>
        </w:tc>
        <w:tc>
          <w:tcPr>
            <w:tcW w:w="969"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85" w:type="dxa"/>
            <w:gridSpan w:val="2"/>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gridSpan w:val="3"/>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1035"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184</w:t>
            </w:r>
          </w:p>
        </w:tc>
        <w:tc>
          <w:tcPr>
            <w:tcW w:w="1035" w:type="dxa"/>
            <w:gridSpan w:val="2"/>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(810)</w:t>
            </w:r>
          </w:p>
        </w:tc>
      </w:tr>
      <w:tr w:rsidR="008E0433" w:rsidTr="003741B6">
        <w:trPr>
          <w:trHeight w:val="195"/>
        </w:trPr>
        <w:tc>
          <w:tcPr>
            <w:tcW w:w="682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expenses</w:t>
            </w:r>
          </w:p>
        </w:tc>
        <w:tc>
          <w:tcPr>
            <w:tcW w:w="1113"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(2,830)</w:t>
            </w:r>
          </w:p>
        </w:tc>
        <w:tc>
          <w:tcPr>
            <w:tcW w:w="957"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(412)</w:t>
            </w:r>
          </w:p>
        </w:tc>
        <w:tc>
          <w:tcPr>
            <w:tcW w:w="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(1,900)</w:t>
            </w:r>
          </w:p>
        </w:tc>
        <w:tc>
          <w:tcPr>
            <w:tcW w:w="969"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(351)</w:t>
            </w:r>
          </w:p>
        </w:tc>
        <w:tc>
          <w:tcPr>
            <w:tcW w:w="1185"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(181)</w:t>
            </w:r>
          </w:p>
        </w:tc>
        <w:tc>
          <w:tcPr>
            <w:tcW w:w="1035" w:type="dxa"/>
            <w:gridSpan w:val="3"/>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(1,026)</w:t>
            </w:r>
          </w:p>
        </w:tc>
        <w:tc>
          <w:tcPr>
            <w:tcW w:w="103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(98)</w:t>
            </w:r>
          </w:p>
        </w:tc>
        <w:tc>
          <w:tcPr>
            <w:tcW w:w="1035"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(6,798)</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profit before impairment (losses)/releases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841</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1,342</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231</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279</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66</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447</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3,222</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(losses)/releases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(312)</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(310)</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(536)</w:t>
            </w:r>
          </w:p>
        </w:tc>
      </w:tr>
      <w:tr w:rsidR="008E0433" w:rsidTr="003741B6">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profit</w:t>
            </w:r>
          </w:p>
        </w:tc>
        <w:tc>
          <w:tcPr>
            <w:tcW w:w="1113"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529</w:t>
            </w:r>
          </w:p>
        </w:tc>
        <w:tc>
          <w:tcPr>
            <w:tcW w:w="957"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c>
          <w:tcPr>
            <w:tcW w:w="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1,032</w:t>
            </w:r>
          </w:p>
        </w:tc>
        <w:tc>
          <w:tcPr>
            <w:tcW w:w="969"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236</w:t>
            </w:r>
          </w:p>
        </w:tc>
        <w:tc>
          <w:tcPr>
            <w:tcW w:w="1185"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282</w:t>
            </w:r>
          </w:p>
        </w:tc>
        <w:tc>
          <w:tcPr>
            <w:tcW w:w="1035" w:type="dxa"/>
            <w:gridSpan w:val="3"/>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107</w:t>
            </w:r>
          </w:p>
        </w:tc>
        <w:tc>
          <w:tcPr>
            <w:tcW w:w="103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446</w:t>
            </w:r>
          </w:p>
        </w:tc>
        <w:tc>
          <w:tcPr>
            <w:tcW w:w="1035"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2,686</w:t>
            </w:r>
          </w:p>
        </w:tc>
      </w:tr>
      <w:tr w:rsidR="008E0433" w:rsidTr="003741B6">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Additional information</w:t>
            </w:r>
          </w:p>
        </w:tc>
        <w:tc>
          <w:tcPr>
            <w:tcW w:w="1113"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57"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9"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85"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gridSpan w:val="3"/>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Return on equity</w:t>
            </w:r>
            <w:r>
              <w:rPr>
                <w:rStyle w:val="font71"/>
              </w:rPr>
              <w:t> (2)</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7.8%</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8.7%</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16.7%</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28.5%</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6.8%</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 xml:space="preserve">Cost:income ratio </w:t>
            </w:r>
            <w:r>
              <w:rPr>
                <w:rStyle w:val="font71"/>
              </w:rPr>
              <w:t>(2)</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77.1%</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96.3%</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57.2%</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60.3%</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39.3%</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94.0%</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67.5%</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assets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176.7</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26.1</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166.6</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22.6</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31.2</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318.3</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35.0</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776.5</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Funded assets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176.7</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26.0</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166.6</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22.6</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31.2</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142.7</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34.9</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600.7</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loans to customers - amortised cost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154.6</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19.0</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101.5</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15.2</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13.8</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9.1</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6.3</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319.5</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 xml:space="preserve">Loan impairment rate </w:t>
            </w:r>
            <w:r>
              <w:rPr>
                <w:rStyle w:val="font71"/>
              </w:rPr>
              <w:t>(2)</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27bps</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(26)bps</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40bps</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22bps</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provisions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(0.6)</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provisions - stage 3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(0.7)</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(0.6)</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(0.9)</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Customer deposits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147.9</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18.8</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135.7</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28.2</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29.1</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369.7</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Risk-weighted assets (RWAs)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37.5</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13.3</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77.0</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6.5</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43.8</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189.5</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 equivalent (RWAes)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38.4</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13.6</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78.1</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6.6</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48.9</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197.3</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Employee numbers (FTEs - thousands)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21.0</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10.4</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5.1</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22.5</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65.7</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Average interest earning assets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165.3</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25.2</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145.8</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21.5</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29.3</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35.1</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445.1</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2.52%</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1.60%</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1.95%</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2.44%</w:t>
            </w:r>
          </w:p>
        </w:tc>
        <w:tc>
          <w:tcPr>
            <w:tcW w:w="118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1.65%</w:t>
            </w:r>
          </w:p>
        </w:tc>
        <w:tc>
          <w:tcPr>
            <w:tcW w:w="1035" w:type="dxa"/>
            <w:gridSpan w:val="3"/>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(0.70%)</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1.81%</w:t>
            </w:r>
          </w:p>
        </w:tc>
      </w:tr>
      <w:tr w:rsidR="008E0433" w:rsidTr="003741B6">
        <w:trPr>
          <w:trHeight w:val="195"/>
        </w:trPr>
        <w:tc>
          <w:tcPr>
            <w:tcW w:w="6825"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rPr>
                <w:rFonts w:eastAsia="Arial" w:cs="Arial"/>
                <w:color w:val="000000"/>
                <w:sz w:val="16"/>
                <w:szCs w:val="16"/>
              </w:rPr>
            </w:pPr>
            <w:r>
              <w:rPr>
                <w:rFonts w:eastAsia="Arial" w:cs="Arial"/>
                <w:color w:val="000000"/>
                <w:sz w:val="16"/>
                <w:szCs w:val="16"/>
              </w:rPr>
              <w:t xml:space="preserve">Third party customer </w:t>
            </w:r>
            <w:r w:rsidR="00046889">
              <w:rPr>
                <w:rFonts w:eastAsia="Arial" w:cs="Arial"/>
                <w:color w:val="000000"/>
                <w:sz w:val="16"/>
                <w:szCs w:val="16"/>
              </w:rPr>
              <w:t xml:space="preserve">asset </w:t>
            </w:r>
            <w:r>
              <w:rPr>
                <w:rFonts w:eastAsia="Arial" w:cs="Arial"/>
                <w:color w:val="000000"/>
                <w:sz w:val="16"/>
                <w:szCs w:val="16"/>
              </w:rPr>
              <w:t>rate</w:t>
            </w:r>
          </w:p>
        </w:tc>
        <w:tc>
          <w:tcPr>
            <w:tcW w:w="1113"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3.26%</w:t>
            </w:r>
          </w:p>
        </w:tc>
        <w:tc>
          <w:tcPr>
            <w:tcW w:w="1017" w:type="dxa"/>
            <w:gridSpan w:val="2"/>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2.28%</w:t>
            </w:r>
          </w:p>
        </w:tc>
        <w:tc>
          <w:tcPr>
            <w:tcW w:w="30" w:type="dxa"/>
            <w:shd w:val="clear" w:color="auto" w:fill="C0C0C0"/>
            <w:noWrap/>
            <w:tcMar>
              <w:top w:w="0" w:type="dxa"/>
              <w:left w:w="5" w:type="dxa"/>
              <w:bottom w:w="0" w:type="dxa"/>
              <w:right w:w="5" w:type="dxa"/>
            </w:tcMar>
            <w:vAlign w:val="bottom"/>
            <w:hideMark/>
          </w:tcPr>
          <w:p w:rsidR="004E7E8B" w:rsidRDefault="004E7E8B">
            <w:pPr>
              <w:spacing w:line="240" w:lineRule="auto"/>
              <w:contextualSpacing/>
              <w:jc w:val="right"/>
              <w:rPr>
                <w:rFonts w:eastAsia="Arial" w:cs="Arial"/>
                <w:b/>
                <w:bCs/>
                <w:color w:val="000000"/>
                <w:sz w:val="16"/>
                <w:szCs w:val="16"/>
              </w:rPr>
            </w:pPr>
          </w:p>
        </w:tc>
        <w:tc>
          <w:tcPr>
            <w:tcW w:w="1221"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3.17%</w:t>
            </w:r>
          </w:p>
        </w:tc>
        <w:tc>
          <w:tcPr>
            <w:tcW w:w="999" w:type="dxa"/>
            <w:gridSpan w:val="2"/>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2.92%</w:t>
            </w:r>
          </w:p>
        </w:tc>
        <w:tc>
          <w:tcPr>
            <w:tcW w:w="1185" w:type="dxa"/>
            <w:gridSpan w:val="2"/>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1.73%</w:t>
            </w:r>
          </w:p>
        </w:tc>
        <w:tc>
          <w:tcPr>
            <w:tcW w:w="965"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05" w:type="dxa"/>
            <w:gridSpan w:val="3"/>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05"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r>
      <w:tr w:rsidR="008E0433" w:rsidTr="003741B6">
        <w:trPr>
          <w:trHeight w:val="195"/>
        </w:trPr>
        <w:tc>
          <w:tcPr>
            <w:tcW w:w="6825" w:type="dxa"/>
            <w:tcBorders>
              <w:bottom w:val="single" w:sz="6" w:space="0" w:color="003366"/>
            </w:tcBorders>
            <w:shd w:val="clear" w:color="auto" w:fill="FFFFFF"/>
            <w:noWrap/>
            <w:tcMar>
              <w:top w:w="0" w:type="dxa"/>
              <w:left w:w="5" w:type="dxa"/>
              <w:bottom w:w="0" w:type="dxa"/>
              <w:right w:w="5" w:type="dxa"/>
            </w:tcMar>
            <w:vAlign w:val="center"/>
            <w:hideMark/>
          </w:tcPr>
          <w:p w:rsidR="004E7E8B" w:rsidRDefault="00E02264">
            <w:pPr>
              <w:spacing w:line="240" w:lineRule="auto"/>
              <w:contextualSpacing/>
              <w:rPr>
                <w:rFonts w:eastAsia="Arial" w:cs="Arial"/>
                <w:color w:val="000000"/>
                <w:sz w:val="16"/>
                <w:szCs w:val="16"/>
              </w:rPr>
            </w:pPr>
            <w:r>
              <w:rPr>
                <w:rFonts w:eastAsia="Arial" w:cs="Arial"/>
                <w:color w:val="000000"/>
                <w:sz w:val="16"/>
                <w:szCs w:val="16"/>
              </w:rPr>
              <w:t>Third party customer funding rate</w:t>
            </w:r>
          </w:p>
        </w:tc>
        <w:tc>
          <w:tcPr>
            <w:tcW w:w="1113"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(0.38%)</w:t>
            </w:r>
          </w:p>
        </w:tc>
        <w:tc>
          <w:tcPr>
            <w:tcW w:w="1017" w:type="dxa"/>
            <w:gridSpan w:val="2"/>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(0.16%)</w:t>
            </w:r>
          </w:p>
        </w:tc>
        <w:tc>
          <w:tcPr>
            <w:tcW w:w="30"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4E7E8B">
            <w:pPr>
              <w:spacing w:line="240" w:lineRule="auto"/>
              <w:contextualSpacing/>
              <w:jc w:val="right"/>
              <w:rPr>
                <w:rFonts w:eastAsia="Arial" w:cs="Arial"/>
                <w:b/>
                <w:bCs/>
                <w:color w:val="000000"/>
                <w:sz w:val="16"/>
                <w:szCs w:val="16"/>
              </w:rPr>
            </w:pPr>
          </w:p>
        </w:tc>
        <w:tc>
          <w:tcPr>
            <w:tcW w:w="1221"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(0.43%)</w:t>
            </w:r>
          </w:p>
        </w:tc>
        <w:tc>
          <w:tcPr>
            <w:tcW w:w="999" w:type="dxa"/>
            <w:gridSpan w:val="2"/>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(0.44%)</w:t>
            </w:r>
          </w:p>
        </w:tc>
        <w:tc>
          <w:tcPr>
            <w:tcW w:w="1185" w:type="dxa"/>
            <w:gridSpan w:val="2"/>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(0.14%)</w:t>
            </w:r>
          </w:p>
        </w:tc>
        <w:tc>
          <w:tcPr>
            <w:tcW w:w="965"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05" w:type="dxa"/>
            <w:gridSpan w:val="3"/>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05"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r>
    </w:tbl>
    <w:p w:rsidR="00DC202D" w:rsidRDefault="00DC202D">
      <w:pPr>
        <w:spacing w:after="200"/>
        <w:rPr>
          <w:szCs w:val="18"/>
          <w:lang w:eastAsia="ja-JP"/>
        </w:rPr>
      </w:pPr>
    </w:p>
    <w:p w:rsidR="005C79F4" w:rsidRDefault="00E02264">
      <w:pPr>
        <w:spacing w:after="200"/>
        <w:rPr>
          <w:szCs w:val="18"/>
          <w:lang w:eastAsia="ja-JP"/>
        </w:rPr>
      </w:pPr>
      <w:r w:rsidRPr="002F0036">
        <w:rPr>
          <w:szCs w:val="18"/>
          <w:lang w:eastAsia="ja-JP"/>
        </w:rPr>
        <w:t xml:space="preserve">For the notes to this table, refer to page 12. </w:t>
      </w:r>
      <w:proofErr w:type="gramStart"/>
      <w:r w:rsidRPr="002F0036">
        <w:rPr>
          <w:szCs w:val="18"/>
          <w:lang w:eastAsia="ja-JP"/>
        </w:rPr>
        <w:t>nm</w:t>
      </w:r>
      <w:proofErr w:type="gramEnd"/>
      <w:r w:rsidRPr="002F0036">
        <w:rPr>
          <w:szCs w:val="18"/>
          <w:lang w:eastAsia="ja-JP"/>
        </w:rPr>
        <w:t xml:space="preserve"> = not meaningful.</w:t>
      </w:r>
    </w:p>
    <w:p w:rsidR="00B961CD" w:rsidRPr="002F0036" w:rsidRDefault="00E02264">
      <w:pPr>
        <w:spacing w:after="200"/>
        <w:rPr>
          <w:rFonts w:eastAsia="Times New Roman" w:cs="Times New Roman"/>
          <w:color w:val="003366"/>
          <w:szCs w:val="18"/>
          <w:lang w:eastAsia="ja-JP"/>
        </w:rPr>
      </w:pPr>
      <w:r w:rsidRPr="002F0036">
        <w:rPr>
          <w:szCs w:val="18"/>
          <w:lang w:eastAsia="ja-JP"/>
        </w:rPr>
        <w:t xml:space="preserve">  </w:t>
      </w:r>
      <w:r w:rsidRPr="002F0036">
        <w:rPr>
          <w:color w:val="003366"/>
          <w:szCs w:val="18"/>
          <w:lang w:eastAsia="ja-JP"/>
        </w:rPr>
        <w:br w:type="page"/>
      </w:r>
    </w:p>
    <w:p w:rsidR="00133D7F" w:rsidRPr="001A22BE" w:rsidRDefault="00E02264" w:rsidP="00133D7F">
      <w:pPr>
        <w:pStyle w:val="Normal00"/>
        <w:rPr>
          <w:rFonts w:ascii="Arial" w:hAnsi="Arial"/>
          <w:b/>
          <w:color w:val="003366"/>
          <w:sz w:val="18"/>
          <w:szCs w:val="18"/>
          <w:lang w:eastAsia="ja-JP"/>
        </w:rPr>
      </w:pPr>
      <w:r>
        <w:rPr>
          <w:rFonts w:ascii="Arial" w:hAnsi="Arial"/>
          <w:b/>
          <w:color w:val="003366"/>
          <w:sz w:val="18"/>
          <w:szCs w:val="18"/>
          <w:lang w:eastAsia="ja-JP"/>
        </w:rPr>
        <w:lastRenderedPageBreak/>
        <w:t xml:space="preserve">Segment performance </w:t>
      </w:r>
    </w:p>
    <w:tbl>
      <w:tblPr>
        <w:tblStyle w:val="table"/>
        <w:tblW w:w="15353" w:type="dxa"/>
        <w:tblInd w:w="5" w:type="dxa"/>
        <w:tblCellMar>
          <w:left w:w="0" w:type="dxa"/>
          <w:right w:w="0" w:type="dxa"/>
        </w:tblCellMar>
        <w:tblLook w:val="05E0" w:firstRow="1" w:lastRow="1" w:firstColumn="1" w:lastColumn="1" w:noHBand="0" w:noVBand="1"/>
      </w:tblPr>
      <w:tblGrid>
        <w:gridCol w:w="6825"/>
        <w:gridCol w:w="1113"/>
        <w:gridCol w:w="1017"/>
        <w:gridCol w:w="30"/>
        <w:gridCol w:w="1079"/>
        <w:gridCol w:w="30"/>
        <w:gridCol w:w="939"/>
        <w:gridCol w:w="30"/>
        <w:gridCol w:w="1155"/>
        <w:gridCol w:w="30"/>
        <w:gridCol w:w="1077"/>
        <w:gridCol w:w="30"/>
        <w:gridCol w:w="933"/>
        <w:gridCol w:w="30"/>
        <w:gridCol w:w="1005"/>
        <w:gridCol w:w="30"/>
      </w:tblGrid>
      <w:tr w:rsidR="008E0433" w:rsidTr="005C2F1A">
        <w:trPr>
          <w:gridAfter w:val="1"/>
          <w:wAfter w:w="30" w:type="dxa"/>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498" w:type="dxa"/>
            <w:gridSpan w:val="14"/>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color w:val="003366"/>
                <w:sz w:val="16"/>
                <w:szCs w:val="16"/>
              </w:rPr>
            </w:pPr>
            <w:r>
              <w:rPr>
                <w:rFonts w:eastAsia="Arial" w:cs="Arial"/>
                <w:color w:val="003366"/>
                <w:sz w:val="16"/>
                <w:szCs w:val="16"/>
              </w:rPr>
              <w:t>Nine months ended 30 September 2018</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2130"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color w:val="003366"/>
                <w:sz w:val="16"/>
                <w:szCs w:val="16"/>
              </w:rPr>
            </w:pPr>
            <w:r>
              <w:rPr>
                <w:rFonts w:eastAsia="Arial" w:cs="Arial"/>
                <w:color w:val="003366"/>
                <w:sz w:val="16"/>
                <w:szCs w:val="16"/>
              </w:rPr>
              <w:t>Personal &amp; Ulster</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2078" w:type="dxa"/>
            <w:gridSpan w:val="4"/>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color w:val="003366"/>
                <w:sz w:val="16"/>
                <w:szCs w:val="16"/>
              </w:rPr>
            </w:pPr>
            <w:r>
              <w:rPr>
                <w:rFonts w:eastAsia="Arial" w:cs="Arial"/>
                <w:color w:val="003366"/>
                <w:sz w:val="16"/>
                <w:szCs w:val="16"/>
              </w:rPr>
              <w:t>Commercial &amp; Private</w:t>
            </w:r>
          </w:p>
        </w:tc>
        <w:tc>
          <w:tcPr>
            <w:tcW w:w="118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color w:val="000000"/>
                <w:sz w:val="16"/>
                <w:szCs w:val="16"/>
              </w:rPr>
            </w:pPr>
          </w:p>
        </w:tc>
        <w:tc>
          <w:tcPr>
            <w:tcW w:w="1107"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Central</w:t>
            </w:r>
          </w:p>
        </w:tc>
        <w:tc>
          <w:tcPr>
            <w:tcW w:w="103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UK Personal</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Ulster</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Commercial</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Private</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RBS</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NatWest</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items &amp;</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Total</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Banking</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 RoI</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Banking</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Banking</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International</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Markets</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Style w:val="font17800"/>
              </w:rPr>
              <w:t xml:space="preserve">other </w:t>
            </w:r>
            <w:r>
              <w:rPr>
                <w:rStyle w:val="font186"/>
              </w:rPr>
              <w:t>(1)</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RBS</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r>
      <w:tr w:rsidR="008E0433" w:rsidTr="005C2F1A">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Income statement</w:t>
            </w:r>
          </w:p>
        </w:tc>
        <w:tc>
          <w:tcPr>
            <w:tcW w:w="111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1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3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09"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9"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8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07"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3"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income</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3,222</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334</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2,131</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385</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343</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82</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6,480</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Non-interest income</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586</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129</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1,355</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192</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96</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1,149</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298</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3,805</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59</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59</w:t>
            </w:r>
          </w:p>
        </w:tc>
      </w:tr>
      <w:tr w:rsidR="008E0433" w:rsidTr="005C2F1A">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Total income</w:t>
            </w:r>
          </w:p>
        </w:tc>
        <w:tc>
          <w:tcPr>
            <w:tcW w:w="111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3,808</w:t>
            </w:r>
          </w:p>
        </w:tc>
        <w:tc>
          <w:tcPr>
            <w:tcW w:w="101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463</w:t>
            </w:r>
          </w:p>
        </w:tc>
        <w:tc>
          <w:tcPr>
            <w:tcW w:w="3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3,486</w:t>
            </w:r>
          </w:p>
        </w:tc>
        <w:tc>
          <w:tcPr>
            <w:tcW w:w="969"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577</w:t>
            </w:r>
          </w:p>
        </w:tc>
        <w:tc>
          <w:tcPr>
            <w:tcW w:w="1185"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439</w:t>
            </w:r>
          </w:p>
        </w:tc>
        <w:tc>
          <w:tcPr>
            <w:tcW w:w="1107"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1,290</w:t>
            </w:r>
          </w:p>
        </w:tc>
        <w:tc>
          <w:tcPr>
            <w:tcW w:w="963"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281</w:t>
            </w:r>
          </w:p>
        </w:tc>
        <w:tc>
          <w:tcPr>
            <w:tcW w:w="1035"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10,344</w:t>
            </w:r>
          </w:p>
        </w:tc>
      </w:tr>
      <w:tr w:rsidR="008E0433" w:rsidTr="005C2F1A">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Direct expenses</w:t>
            </w:r>
          </w:p>
        </w:tc>
        <w:tc>
          <w:tcPr>
            <w:tcW w:w="111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1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3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9"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7"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3"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3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rsidTr="005C2F1A">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staff costs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(532)</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(149)</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(554)</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(122)</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(77)</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(429)</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(927)</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(2,790)</w:t>
            </w:r>
          </w:p>
        </w:tc>
      </w:tr>
      <w:tr w:rsidR="008E0433" w:rsidTr="005C2F1A">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costs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(186)</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(76)</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(178)</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(45)</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(176)</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(1,842)</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(2,547)</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Indirect expenses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(1,050)</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(891)</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(157)</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(56)</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(292)</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2,579</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3"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17"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9"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7"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3"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3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rsidTr="005C2F1A">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direct</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(106)</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(500)</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(649)</w:t>
            </w:r>
          </w:p>
        </w:tc>
      </w:tr>
      <w:tr w:rsidR="008E0433" w:rsidTr="005C2F1A">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indirect</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(122)</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(65)</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231</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rsidTr="005C2F1A">
        <w:trPr>
          <w:trHeight w:val="195"/>
        </w:trPr>
        <w:tc>
          <w:tcPr>
            <w:tcW w:w="68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3"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(206)</w:t>
            </w:r>
          </w:p>
        </w:tc>
        <w:tc>
          <w:tcPr>
            <w:tcW w:w="1017"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(54)</w:t>
            </w:r>
          </w:p>
        </w:tc>
        <w:tc>
          <w:tcPr>
            <w:tcW w:w="3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969"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107"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(125)</w:t>
            </w:r>
          </w:p>
        </w:tc>
        <w:tc>
          <w:tcPr>
            <w:tcW w:w="963"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(807)</w:t>
            </w:r>
          </w:p>
        </w:tc>
        <w:tc>
          <w:tcPr>
            <w:tcW w:w="1035"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(1,190)</w:t>
            </w:r>
          </w:p>
        </w:tc>
      </w:tr>
      <w:tr w:rsidR="008E0433" w:rsidTr="005C2F1A">
        <w:trPr>
          <w:trHeight w:val="195"/>
        </w:trPr>
        <w:tc>
          <w:tcPr>
            <w:tcW w:w="682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expenses</w:t>
            </w:r>
          </w:p>
        </w:tc>
        <w:tc>
          <w:tcPr>
            <w:tcW w:w="111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(2,110)</w:t>
            </w:r>
          </w:p>
        </w:tc>
        <w:tc>
          <w:tcPr>
            <w:tcW w:w="101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(419)</w:t>
            </w:r>
          </w:p>
        </w:tc>
        <w:tc>
          <w:tcPr>
            <w:tcW w:w="3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(1,723)</w:t>
            </w:r>
          </w:p>
        </w:tc>
        <w:tc>
          <w:tcPr>
            <w:tcW w:w="969"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(335)</w:t>
            </w:r>
          </w:p>
        </w:tc>
        <w:tc>
          <w:tcPr>
            <w:tcW w:w="1185"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(174)</w:t>
            </w:r>
          </w:p>
        </w:tc>
        <w:tc>
          <w:tcPr>
            <w:tcW w:w="1107"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(1,149)</w:t>
            </w:r>
          </w:p>
        </w:tc>
        <w:tc>
          <w:tcPr>
            <w:tcW w:w="963"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(1,266)</w:t>
            </w:r>
          </w:p>
        </w:tc>
        <w:tc>
          <w:tcPr>
            <w:tcW w:w="1035"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(7,176)</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profit/(loss) before impairment (losses)/releases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1,698</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1,763</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242</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265</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141</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(985)</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3,168</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(losses)/releases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(197)</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(142)</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(381)</w:t>
            </w:r>
          </w:p>
        </w:tc>
      </w:tr>
      <w:tr w:rsidR="008E0433" w:rsidTr="005C2F1A">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profit/(loss)</w:t>
            </w:r>
          </w:p>
        </w:tc>
        <w:tc>
          <w:tcPr>
            <w:tcW w:w="111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1,501</w:t>
            </w:r>
          </w:p>
        </w:tc>
        <w:tc>
          <w:tcPr>
            <w:tcW w:w="101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3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1,621</w:t>
            </w:r>
          </w:p>
        </w:tc>
        <w:tc>
          <w:tcPr>
            <w:tcW w:w="969"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240</w:t>
            </w:r>
          </w:p>
        </w:tc>
        <w:tc>
          <w:tcPr>
            <w:tcW w:w="1185"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265</w:t>
            </w:r>
          </w:p>
        </w:tc>
        <w:tc>
          <w:tcPr>
            <w:tcW w:w="1107"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w:t>
            </w:r>
          </w:p>
        </w:tc>
        <w:tc>
          <w:tcPr>
            <w:tcW w:w="963"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(983)</w:t>
            </w:r>
          </w:p>
        </w:tc>
        <w:tc>
          <w:tcPr>
            <w:tcW w:w="1035"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2,787</w:t>
            </w:r>
          </w:p>
        </w:tc>
      </w:tr>
      <w:tr w:rsidR="008E0433" w:rsidTr="005C2F1A">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Additional information</w:t>
            </w:r>
          </w:p>
        </w:tc>
        <w:tc>
          <w:tcPr>
            <w:tcW w:w="111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1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3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9"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7"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3"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3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Return on equity</w:t>
            </w:r>
            <w:r>
              <w:rPr>
                <w:rStyle w:val="font71"/>
              </w:rPr>
              <w:t> (2)</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27.3%</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0.5%</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13.2%</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16.3%</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26.0%</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0.2%</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5.3%</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Cost:income ratio</w:t>
            </w:r>
            <w:r>
              <w:rPr>
                <w:rStyle w:val="font71"/>
              </w:rPr>
              <w:t> (2)</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55.4%</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90.5%</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48.1%</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58.1%</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39.6%</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89.1%</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69.1%</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assets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171.7</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25.3</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167.9</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21.4</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29.0</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253.3</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51.3</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719.9</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Funded assets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171.7</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25.3</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167.9</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21.4</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29.0</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120.9</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51.1</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587.3</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loans to customers - amortised cost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149.2</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19.2</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102.3</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14.2</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13.0</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8.0</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305.8</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Loan impairment rate</w:t>
            </w:r>
            <w:r>
              <w:rPr>
                <w:rStyle w:val="font71"/>
              </w:rPr>
              <w:t> (2)</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17bps</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22bps</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18bps</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16bps</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provisions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(0.2)</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(3.9)</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provisions - stage 3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(0.7)</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Customer deposits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144.8</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17.9</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135.0</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27.2</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26.9</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360.6</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Risk-weighted assets (RWAs)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34.1</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16.5</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80.3</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9.5</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46.5</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0.7</w:t>
            </w:r>
          </w:p>
        </w:tc>
        <w:tc>
          <w:tcPr>
            <w:tcW w:w="1035" w:type="dxa"/>
            <w:gridSpan w:val="2"/>
            <w:tcBorders>
              <w:right w:val="single" w:sz="4" w:space="0" w:color="auto"/>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194.5</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 equivalent (RWAes)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35.5</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16.6</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83.8</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9.5</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49.9</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203.2</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Employee numbers (FTEs - thousands)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22.3</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10.6</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4.9</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24.1</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68.6</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Average interest earning assets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160.3</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24.7</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144.9</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20.3</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27.4</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27.0</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435.2</w:t>
            </w:r>
          </w:p>
        </w:tc>
      </w:tr>
      <w:tr w:rsidR="008E0433" w:rsidTr="005C2F1A">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2.69%</w:t>
            </w:r>
          </w:p>
        </w:tc>
        <w:tc>
          <w:tcPr>
            <w:tcW w:w="101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1.81%</w:t>
            </w:r>
          </w:p>
        </w:tc>
        <w:tc>
          <w:tcPr>
            <w:tcW w:w="3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1.96%</w:t>
            </w:r>
          </w:p>
        </w:tc>
        <w:tc>
          <w:tcPr>
            <w:tcW w:w="969"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2.53%</w:t>
            </w:r>
          </w:p>
        </w:tc>
        <w:tc>
          <w:tcPr>
            <w:tcW w:w="118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1.67%</w:t>
            </w:r>
          </w:p>
        </w:tc>
        <w:tc>
          <w:tcPr>
            <w:tcW w:w="1107"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0.41%</w:t>
            </w:r>
          </w:p>
        </w:tc>
        <w:tc>
          <w:tcPr>
            <w:tcW w:w="963"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1.99%</w:t>
            </w:r>
          </w:p>
        </w:tc>
      </w:tr>
      <w:tr w:rsidR="008E0433" w:rsidTr="005C2F1A">
        <w:trPr>
          <w:gridAfter w:val="1"/>
          <w:wAfter w:w="30" w:type="dxa"/>
          <w:trHeight w:val="195"/>
        </w:trPr>
        <w:tc>
          <w:tcPr>
            <w:tcW w:w="6825" w:type="dxa"/>
            <w:shd w:val="clear" w:color="auto" w:fill="FFFFFF"/>
            <w:noWrap/>
            <w:tcMar>
              <w:top w:w="0" w:type="dxa"/>
              <w:left w:w="5" w:type="dxa"/>
              <w:bottom w:w="0" w:type="dxa"/>
              <w:right w:w="5" w:type="dxa"/>
            </w:tcMar>
            <w:vAlign w:val="center"/>
            <w:hideMark/>
          </w:tcPr>
          <w:p w:rsidR="004E7E8B" w:rsidRDefault="00E02264">
            <w:pPr>
              <w:spacing w:line="240" w:lineRule="auto"/>
              <w:contextualSpacing/>
              <w:rPr>
                <w:rFonts w:eastAsia="Arial" w:cs="Arial"/>
                <w:color w:val="000000"/>
                <w:sz w:val="16"/>
                <w:szCs w:val="16"/>
              </w:rPr>
            </w:pPr>
            <w:r>
              <w:rPr>
                <w:rFonts w:eastAsia="Arial" w:cs="Arial"/>
                <w:color w:val="000000"/>
                <w:sz w:val="16"/>
                <w:szCs w:val="16"/>
              </w:rPr>
              <w:t xml:space="preserve">Third party customer asset rate </w:t>
            </w:r>
          </w:p>
        </w:tc>
        <w:tc>
          <w:tcPr>
            <w:tcW w:w="1113"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3.37%</w:t>
            </w:r>
          </w:p>
        </w:tc>
        <w:tc>
          <w:tcPr>
            <w:tcW w:w="1017"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2.40%</w:t>
            </w:r>
          </w:p>
        </w:tc>
        <w:tc>
          <w:tcPr>
            <w:tcW w:w="30" w:type="dxa"/>
            <w:shd w:val="clear" w:color="auto" w:fill="FFFFFF"/>
            <w:noWrap/>
            <w:tcMar>
              <w:top w:w="0" w:type="dxa"/>
              <w:left w:w="5" w:type="dxa"/>
              <w:bottom w:w="0" w:type="dxa"/>
              <w:right w:w="5" w:type="dxa"/>
            </w:tcMar>
            <w:vAlign w:val="bottom"/>
            <w:hideMark/>
          </w:tcPr>
          <w:p w:rsidR="004E7E8B" w:rsidRDefault="004E7E8B">
            <w:pPr>
              <w:spacing w:line="240" w:lineRule="auto"/>
              <w:contextualSpacing/>
              <w:jc w:val="right"/>
              <w:rPr>
                <w:rFonts w:eastAsia="Arial" w:cs="Arial"/>
                <w:color w:val="000000"/>
                <w:sz w:val="16"/>
                <w:szCs w:val="16"/>
              </w:rPr>
            </w:pPr>
          </w:p>
        </w:tc>
        <w:tc>
          <w:tcPr>
            <w:tcW w:w="1079" w:type="dxa"/>
            <w:shd w:val="clear" w:color="auto" w:fill="FFFFFF"/>
            <w:noWrap/>
            <w:tcMar>
              <w:top w:w="0" w:type="dxa"/>
              <w:left w:w="5" w:type="dxa"/>
              <w:bottom w:w="0" w:type="dxa"/>
              <w:right w:w="5" w:type="dxa"/>
            </w:tcMar>
            <w:vAlign w:val="bottom"/>
            <w:hideMark/>
          </w:tcPr>
          <w:p w:rsidR="004E7E8B" w:rsidRDefault="00E02264" w:rsidP="000F3C46">
            <w:pPr>
              <w:spacing w:line="240" w:lineRule="auto"/>
              <w:ind w:left="-288"/>
              <w:contextualSpacing/>
              <w:jc w:val="right"/>
              <w:rPr>
                <w:rFonts w:eastAsia="Arial" w:cs="Arial"/>
                <w:color w:val="000000"/>
                <w:sz w:val="16"/>
                <w:szCs w:val="16"/>
              </w:rPr>
            </w:pPr>
            <w:r>
              <w:rPr>
                <w:rFonts w:eastAsia="Arial" w:cs="Arial"/>
                <w:color w:val="000000"/>
                <w:sz w:val="16"/>
                <w:szCs w:val="16"/>
              </w:rPr>
              <w:t>2.97%</w:t>
            </w:r>
          </w:p>
        </w:tc>
        <w:tc>
          <w:tcPr>
            <w:tcW w:w="969" w:type="dxa"/>
            <w:gridSpan w:val="2"/>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2.87%</w:t>
            </w:r>
          </w:p>
        </w:tc>
        <w:tc>
          <w:tcPr>
            <w:tcW w:w="1185" w:type="dxa"/>
            <w:gridSpan w:val="2"/>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2.38%</w:t>
            </w:r>
          </w:p>
        </w:tc>
        <w:tc>
          <w:tcPr>
            <w:tcW w:w="1107" w:type="dxa"/>
            <w:gridSpan w:val="2"/>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3" w:type="dxa"/>
            <w:gridSpan w:val="2"/>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gridSpan w:val="2"/>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r>
      <w:tr w:rsidR="008E0433" w:rsidTr="005C2F1A">
        <w:trPr>
          <w:gridAfter w:val="1"/>
          <w:wAfter w:w="30" w:type="dxa"/>
          <w:trHeight w:val="195"/>
        </w:trPr>
        <w:tc>
          <w:tcPr>
            <w:tcW w:w="6825" w:type="dxa"/>
            <w:tcBorders>
              <w:bottom w:val="single" w:sz="6" w:space="0" w:color="003366"/>
            </w:tcBorders>
            <w:shd w:val="clear" w:color="auto" w:fill="FFFFFF"/>
            <w:noWrap/>
            <w:tcMar>
              <w:top w:w="0" w:type="dxa"/>
              <w:left w:w="5" w:type="dxa"/>
              <w:bottom w:w="0" w:type="dxa"/>
              <w:right w:w="5" w:type="dxa"/>
            </w:tcMar>
            <w:vAlign w:val="center"/>
            <w:hideMark/>
          </w:tcPr>
          <w:p w:rsidR="004E7E8B" w:rsidRDefault="00E02264">
            <w:pPr>
              <w:spacing w:line="240" w:lineRule="auto"/>
              <w:contextualSpacing/>
              <w:rPr>
                <w:rFonts w:eastAsia="Arial" w:cs="Arial"/>
                <w:color w:val="000000"/>
                <w:sz w:val="16"/>
                <w:szCs w:val="16"/>
              </w:rPr>
            </w:pPr>
            <w:r>
              <w:rPr>
                <w:rFonts w:eastAsia="Arial" w:cs="Arial"/>
                <w:color w:val="000000"/>
                <w:sz w:val="16"/>
                <w:szCs w:val="16"/>
              </w:rPr>
              <w:t xml:space="preserve">Third party customer funding rate </w:t>
            </w:r>
          </w:p>
        </w:tc>
        <w:tc>
          <w:tcPr>
            <w:tcW w:w="1113"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(0.30%)</w:t>
            </w:r>
          </w:p>
        </w:tc>
        <w:tc>
          <w:tcPr>
            <w:tcW w:w="1017"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(0.21%)</w:t>
            </w:r>
          </w:p>
        </w:tc>
        <w:tc>
          <w:tcPr>
            <w:tcW w:w="30"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4E7E8B">
            <w:pPr>
              <w:spacing w:line="240" w:lineRule="auto"/>
              <w:contextualSpacing/>
              <w:jc w:val="right"/>
              <w:rPr>
                <w:rFonts w:eastAsia="Arial" w:cs="Arial"/>
                <w:color w:val="000000"/>
                <w:sz w:val="16"/>
                <w:szCs w:val="16"/>
              </w:rPr>
            </w:pPr>
          </w:p>
        </w:tc>
        <w:tc>
          <w:tcPr>
            <w:tcW w:w="1079"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rsidP="000F3C46">
            <w:pPr>
              <w:spacing w:line="240" w:lineRule="auto"/>
              <w:ind w:left="-288"/>
              <w:contextualSpacing/>
              <w:jc w:val="right"/>
              <w:rPr>
                <w:rFonts w:eastAsia="Arial" w:cs="Arial"/>
                <w:color w:val="000000"/>
                <w:sz w:val="16"/>
                <w:szCs w:val="16"/>
              </w:rPr>
            </w:pPr>
            <w:r>
              <w:rPr>
                <w:rFonts w:eastAsia="Arial" w:cs="Arial"/>
                <w:color w:val="000000"/>
                <w:sz w:val="16"/>
                <w:szCs w:val="16"/>
              </w:rPr>
              <w:t>(0.26%)</w:t>
            </w:r>
          </w:p>
        </w:tc>
        <w:tc>
          <w:tcPr>
            <w:tcW w:w="969" w:type="dxa"/>
            <w:gridSpan w:val="2"/>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(0.21%)</w:t>
            </w:r>
          </w:p>
        </w:tc>
        <w:tc>
          <w:tcPr>
            <w:tcW w:w="1185" w:type="dxa"/>
            <w:gridSpan w:val="2"/>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(0.10%)</w:t>
            </w:r>
          </w:p>
        </w:tc>
        <w:tc>
          <w:tcPr>
            <w:tcW w:w="1107" w:type="dxa"/>
            <w:gridSpan w:val="2"/>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3" w:type="dxa"/>
            <w:gridSpan w:val="2"/>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gridSpan w:val="2"/>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r>
    </w:tbl>
    <w:p w:rsidR="00C3171A" w:rsidRPr="005D65A8" w:rsidRDefault="00C3171A">
      <w:pPr>
        <w:rPr>
          <w:sz w:val="16"/>
          <w:szCs w:val="16"/>
          <w:lang w:eastAsia="ja-JP"/>
        </w:rPr>
      </w:pPr>
    </w:p>
    <w:p w:rsidR="00B961CD" w:rsidRDefault="00E02264">
      <w:r w:rsidRPr="002F0036">
        <w:rPr>
          <w:szCs w:val="18"/>
          <w:lang w:eastAsia="ja-JP"/>
        </w:rPr>
        <w:t xml:space="preserve">For the notes to this table, refer to page 12. </w:t>
      </w:r>
      <w:proofErr w:type="gramStart"/>
      <w:r w:rsidRPr="002F0036">
        <w:rPr>
          <w:szCs w:val="18"/>
          <w:lang w:eastAsia="ja-JP"/>
        </w:rPr>
        <w:t>nm</w:t>
      </w:r>
      <w:proofErr w:type="gramEnd"/>
      <w:r w:rsidRPr="002F0036">
        <w:rPr>
          <w:szCs w:val="18"/>
          <w:lang w:eastAsia="ja-JP"/>
        </w:rPr>
        <w:t xml:space="preserve"> = not meaningful.  </w:t>
      </w:r>
    </w:p>
    <w:p w:rsidR="00133D7F" w:rsidRDefault="00E02264">
      <w:r>
        <w:br w:type="page"/>
      </w:r>
      <w:bookmarkStart w:id="1" w:name="_GoBack"/>
      <w:bookmarkEnd w:id="1"/>
    </w:p>
    <w:p w:rsidR="00133D7F" w:rsidRPr="001A22BE" w:rsidRDefault="00E02264" w:rsidP="00133D7F">
      <w:pPr>
        <w:pStyle w:val="Normal00"/>
        <w:rPr>
          <w:rFonts w:ascii="Arial" w:hAnsi="Arial"/>
          <w:b/>
          <w:color w:val="003366"/>
          <w:sz w:val="18"/>
          <w:szCs w:val="18"/>
          <w:lang w:eastAsia="ja-JP"/>
        </w:rPr>
      </w:pPr>
      <w:r>
        <w:rPr>
          <w:rFonts w:ascii="Arial" w:hAnsi="Arial"/>
          <w:b/>
          <w:color w:val="003366"/>
          <w:sz w:val="18"/>
          <w:szCs w:val="18"/>
          <w:lang w:eastAsia="ja-JP"/>
        </w:rPr>
        <w:lastRenderedPageBreak/>
        <w:t xml:space="preserve">Segment performance </w:t>
      </w:r>
    </w:p>
    <w:tbl>
      <w:tblPr>
        <w:tblStyle w:val="table"/>
        <w:tblW w:w="15465" w:type="dxa"/>
        <w:tblInd w:w="5" w:type="dxa"/>
        <w:tblCellMar>
          <w:left w:w="0" w:type="dxa"/>
          <w:right w:w="0" w:type="dxa"/>
        </w:tblCellMar>
        <w:tblLook w:val="05E0" w:firstRow="1" w:lastRow="1" w:firstColumn="1" w:lastColumn="1" w:noHBand="0" w:noVBand="1"/>
      </w:tblPr>
      <w:tblGrid>
        <w:gridCol w:w="6825"/>
        <w:gridCol w:w="1113"/>
        <w:gridCol w:w="957"/>
        <w:gridCol w:w="60"/>
        <w:gridCol w:w="117"/>
        <w:gridCol w:w="1134"/>
        <w:gridCol w:w="969"/>
        <w:gridCol w:w="1185"/>
        <w:gridCol w:w="1107"/>
        <w:gridCol w:w="963"/>
        <w:gridCol w:w="1035"/>
      </w:tblGrid>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640" w:type="dxa"/>
            <w:gridSpan w:val="10"/>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 30 September 2019</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2070"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Personal &amp; Ulster</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2220" w:type="dxa"/>
            <w:gridSpan w:val="3"/>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Commercial &amp; Private</w:t>
            </w: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b/>
                <w:bCs/>
                <w:color w:val="000000"/>
                <w:sz w:val="16"/>
                <w:szCs w:val="16"/>
              </w:rPr>
            </w:pPr>
          </w:p>
        </w:tc>
        <w:tc>
          <w:tcPr>
            <w:tcW w:w="1107"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Central</w:t>
            </w:r>
          </w:p>
        </w:tc>
        <w:tc>
          <w:tcPr>
            <w:tcW w:w="10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UK Personal</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Ulster</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Commercial</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Private</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RBS</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NatWest</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items &amp;</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Total</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 RoI</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International</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Markets</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Style w:val="font177"/>
              </w:rPr>
              <w:t>other</w:t>
            </w:r>
            <w:r>
              <w:rPr>
                <w:rStyle w:val="font186"/>
              </w:rPr>
              <w:t> (1)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RBS</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r>
      <w:tr w:rsidR="008E0433" w:rsidTr="00E02264">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Income statement</w:t>
            </w:r>
          </w:p>
        </w:tc>
        <w:tc>
          <w:tcPr>
            <w:tcW w:w="1113"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57"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251"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9"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8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07"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3"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03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income</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1,034</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102</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703</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130</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119</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2,006</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Non-interest income</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190</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43</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374</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68</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223</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909</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r>
      <w:tr w:rsidR="008E0433" w:rsidTr="00E02264">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Total income</w:t>
            </w:r>
          </w:p>
        </w:tc>
        <w:tc>
          <w:tcPr>
            <w:tcW w:w="1113"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1,224</w:t>
            </w:r>
          </w:p>
        </w:tc>
        <w:tc>
          <w:tcPr>
            <w:tcW w:w="957"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145</w:t>
            </w:r>
          </w:p>
        </w:tc>
        <w:tc>
          <w:tcPr>
            <w:tcW w:w="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1,077</w:t>
            </w:r>
          </w:p>
        </w:tc>
        <w:tc>
          <w:tcPr>
            <w:tcW w:w="969"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198</w:t>
            </w:r>
          </w:p>
        </w:tc>
        <w:tc>
          <w:tcPr>
            <w:tcW w:w="118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1107"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963"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w:t>
            </w:r>
          </w:p>
        </w:tc>
        <w:tc>
          <w:tcPr>
            <w:tcW w:w="103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2,903</w:t>
            </w:r>
          </w:p>
        </w:tc>
      </w:tr>
      <w:tr w:rsidR="008E0433" w:rsidTr="00E02264">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Direct expenses</w:t>
            </w:r>
          </w:p>
        </w:tc>
        <w:tc>
          <w:tcPr>
            <w:tcW w:w="1113"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57"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9"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8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07"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3"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r>
      <w:tr w:rsidR="008E0433" w:rsidTr="00E02264">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staff costs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(157)</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(53)</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(194)</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(159)</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(258)</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(891)</w:t>
            </w:r>
          </w:p>
        </w:tc>
      </w:tr>
      <w:tr w:rsidR="008E0433" w:rsidTr="00E02264">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costs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(95)</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(74)</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(42)</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(578)</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(842)</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Indirect expenses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(357)</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(43)</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(294)</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(49)</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(81)</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837</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3"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57"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9"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07"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3"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r>
      <w:tr w:rsidR="008E0433" w:rsidTr="00E02264">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direct</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(55)</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(136)</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(215)</w:t>
            </w:r>
          </w:p>
        </w:tc>
      </w:tr>
      <w:tr w:rsidR="008E0433" w:rsidTr="00E02264">
        <w:trPr>
          <w:trHeight w:val="195"/>
        </w:trPr>
        <w:tc>
          <w:tcPr>
            <w:tcW w:w="6825" w:type="dxa"/>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indirect</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(68)</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165</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8E0433" w:rsidTr="00E02264">
        <w:trPr>
          <w:trHeight w:val="195"/>
        </w:trPr>
        <w:tc>
          <w:tcPr>
            <w:tcW w:w="682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3"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(912)</w:t>
            </w:r>
          </w:p>
        </w:tc>
        <w:tc>
          <w:tcPr>
            <w:tcW w:w="957"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6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w:t>
            </w:r>
          </w:p>
        </w:tc>
        <w:tc>
          <w:tcPr>
            <w:tcW w:w="969"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07"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w:t>
            </w:r>
          </w:p>
        </w:tc>
        <w:tc>
          <w:tcPr>
            <w:tcW w:w="963"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171</w:t>
            </w:r>
          </w:p>
        </w:tc>
        <w:tc>
          <w:tcPr>
            <w:tcW w:w="1035"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(750)</w:t>
            </w:r>
          </w:p>
        </w:tc>
      </w:tr>
      <w:tr w:rsidR="008E0433" w:rsidTr="00E02264">
        <w:trPr>
          <w:trHeight w:val="195"/>
        </w:trPr>
        <w:tc>
          <w:tcPr>
            <w:tcW w:w="682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expenses</w:t>
            </w:r>
          </w:p>
        </w:tc>
        <w:tc>
          <w:tcPr>
            <w:tcW w:w="1113"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(1,601)</w:t>
            </w:r>
          </w:p>
        </w:tc>
        <w:tc>
          <w:tcPr>
            <w:tcW w:w="957"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(131)</w:t>
            </w:r>
          </w:p>
        </w:tc>
        <w:tc>
          <w:tcPr>
            <w:tcW w:w="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(638)</w:t>
            </w:r>
          </w:p>
        </w:tc>
        <w:tc>
          <w:tcPr>
            <w:tcW w:w="969"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(119)</w:t>
            </w:r>
          </w:p>
        </w:tc>
        <w:tc>
          <w:tcPr>
            <w:tcW w:w="118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1107"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(348)</w:t>
            </w:r>
          </w:p>
        </w:tc>
        <w:tc>
          <w:tcPr>
            <w:tcW w:w="963"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201</w:t>
            </w:r>
          </w:p>
        </w:tc>
        <w:tc>
          <w:tcPr>
            <w:tcW w:w="103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(2,698)</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(loss)/profit before impairment (losses)/releases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(377)</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439</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79</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88</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(198)</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160</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205</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(losses)/releases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(131)</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(108)</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(213)</w:t>
            </w:r>
          </w:p>
        </w:tc>
      </w:tr>
      <w:tr w:rsidR="008E0433" w:rsidTr="00E02264">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(loss)/profit</w:t>
            </w:r>
          </w:p>
        </w:tc>
        <w:tc>
          <w:tcPr>
            <w:tcW w:w="1113"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(508)</w:t>
            </w:r>
          </w:p>
        </w:tc>
        <w:tc>
          <w:tcPr>
            <w:tcW w:w="957"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w:t>
            </w:r>
          </w:p>
        </w:tc>
        <w:tc>
          <w:tcPr>
            <w:tcW w:w="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331</w:t>
            </w:r>
          </w:p>
        </w:tc>
        <w:tc>
          <w:tcPr>
            <w:tcW w:w="969"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81</w:t>
            </w:r>
          </w:p>
        </w:tc>
        <w:tc>
          <w:tcPr>
            <w:tcW w:w="118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88</w:t>
            </w:r>
          </w:p>
        </w:tc>
        <w:tc>
          <w:tcPr>
            <w:tcW w:w="1107"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(193)</w:t>
            </w:r>
          </w:p>
        </w:tc>
        <w:tc>
          <w:tcPr>
            <w:tcW w:w="963"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162</w:t>
            </w:r>
          </w:p>
        </w:tc>
        <w:tc>
          <w:tcPr>
            <w:tcW w:w="103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r>
      <w:tr w:rsidR="008E0433" w:rsidTr="00E02264">
        <w:trPr>
          <w:trHeight w:val="195"/>
        </w:trPr>
        <w:tc>
          <w:tcPr>
            <w:tcW w:w="682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Additional information</w:t>
            </w:r>
          </w:p>
        </w:tc>
        <w:tc>
          <w:tcPr>
            <w:tcW w:w="1113"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57"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9"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8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07"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3"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Return on equity</w:t>
            </w:r>
            <w:r>
              <w:rPr>
                <w:rStyle w:val="font71"/>
              </w:rPr>
              <w:t> (2)</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(26.8%)</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16.8%</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26.0%</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(8.7%)</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Cost:income ratio</w:t>
            </w:r>
            <w:r>
              <w:rPr>
                <w:rStyle w:val="font71"/>
              </w:rPr>
              <w:t> (2)</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130.8%</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90.3%</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57.9%</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60.1%</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41.3%</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232.0%</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92.9%</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assets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176.7</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26.1</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166.6</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22.6</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31.2</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318.3</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35.0</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776.5</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Funded assets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176.7</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26.0</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166.6</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22.6</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31.2</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142.7</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34.9</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600.7</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loans to customers - amortised cost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154.6</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19.0</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101.5</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15.2</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13.8</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9.1</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6.3</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319.5</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Loan impairment rate</w:t>
            </w:r>
            <w:r>
              <w:rPr>
                <w:rStyle w:val="font71"/>
              </w:rPr>
              <w:t> (2)</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34bps</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(35)bps</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42bps</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26bps</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provisions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(0.6)</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provisions - stage 3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(0.7)</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(0.6)</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(0.9)</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(0.1)</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Customer deposits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147.9</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18.8</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135.7</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28.2</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29.1</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369.7</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Risk-weighted assets (RWAs)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37.5</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13.3</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77.0</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6.5</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43.8</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189.5</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 equivalent (RWAes)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38.4</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13.6</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78.1</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6.6</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48.9</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197.3</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Employee numbers (FTEs - thousands)</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21.0</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10.4</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5.1</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22.5</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65.7</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Average interest earning assets (£bn)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168.1</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26.2</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146.7</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22.0</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30.4</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38.6</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454.4</w:t>
            </w:r>
          </w:p>
        </w:tc>
      </w:tr>
      <w:tr w:rsidR="008E0433" w:rsidTr="00E02264">
        <w:trPr>
          <w:trHeight w:val="195"/>
        </w:trPr>
        <w:tc>
          <w:tcPr>
            <w:tcW w:w="682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11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2.44%</w:t>
            </w:r>
          </w:p>
        </w:tc>
        <w:tc>
          <w:tcPr>
            <w:tcW w:w="95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1.55%</w:t>
            </w:r>
          </w:p>
        </w:tc>
        <w:tc>
          <w:tcPr>
            <w:tcW w:w="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1.90%</w:t>
            </w:r>
          </w:p>
        </w:tc>
        <w:tc>
          <w:tcPr>
            <w:tcW w:w="969"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2.35%</w:t>
            </w:r>
          </w:p>
        </w:tc>
        <w:tc>
          <w:tcPr>
            <w:tcW w:w="11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1.55%</w:t>
            </w:r>
          </w:p>
        </w:tc>
        <w:tc>
          <w:tcPr>
            <w:tcW w:w="1107"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(0.64%)</w:t>
            </w:r>
          </w:p>
        </w:tc>
        <w:tc>
          <w:tcPr>
            <w:tcW w:w="963"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1.75%</w:t>
            </w:r>
          </w:p>
        </w:tc>
      </w:tr>
      <w:tr w:rsidR="008E0433" w:rsidTr="00E02264">
        <w:trPr>
          <w:trHeight w:val="195"/>
        </w:trPr>
        <w:tc>
          <w:tcPr>
            <w:tcW w:w="6825" w:type="dxa"/>
            <w:shd w:val="clear" w:color="auto" w:fill="FFFFFF"/>
            <w:noWrap/>
            <w:tcMar>
              <w:top w:w="0" w:type="dxa"/>
              <w:left w:w="5" w:type="dxa"/>
              <w:bottom w:w="0" w:type="dxa"/>
              <w:right w:w="5" w:type="dxa"/>
            </w:tcMar>
            <w:vAlign w:val="center"/>
            <w:hideMark/>
          </w:tcPr>
          <w:p w:rsidR="004E7E8B" w:rsidRDefault="00E02264">
            <w:pPr>
              <w:spacing w:line="240" w:lineRule="auto"/>
              <w:contextualSpacing/>
              <w:rPr>
                <w:rFonts w:eastAsia="Arial" w:cs="Arial"/>
                <w:color w:val="000000"/>
                <w:sz w:val="16"/>
                <w:szCs w:val="16"/>
              </w:rPr>
            </w:pPr>
            <w:r>
              <w:rPr>
                <w:rFonts w:eastAsia="Arial" w:cs="Arial"/>
                <w:color w:val="000000"/>
                <w:sz w:val="16"/>
                <w:szCs w:val="16"/>
              </w:rPr>
              <w:t xml:space="preserve">Third party customer asset rate </w:t>
            </w:r>
          </w:p>
        </w:tc>
        <w:tc>
          <w:tcPr>
            <w:tcW w:w="1113"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3.22%</w:t>
            </w:r>
          </w:p>
        </w:tc>
        <w:tc>
          <w:tcPr>
            <w:tcW w:w="1017" w:type="dxa"/>
            <w:gridSpan w:val="2"/>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2.23%</w:t>
            </w:r>
          </w:p>
        </w:tc>
        <w:tc>
          <w:tcPr>
            <w:tcW w:w="117" w:type="dxa"/>
            <w:shd w:val="clear" w:color="auto" w:fill="C0C0C0"/>
            <w:noWrap/>
            <w:tcMar>
              <w:top w:w="0" w:type="dxa"/>
              <w:left w:w="5" w:type="dxa"/>
              <w:bottom w:w="0" w:type="dxa"/>
              <w:right w:w="5" w:type="dxa"/>
            </w:tcMar>
            <w:vAlign w:val="bottom"/>
            <w:hideMark/>
          </w:tcPr>
          <w:p w:rsidR="004E7E8B" w:rsidRDefault="004E7E8B">
            <w:pPr>
              <w:spacing w:line="240" w:lineRule="auto"/>
              <w:contextualSpacing/>
              <w:jc w:val="right"/>
              <w:rPr>
                <w:rFonts w:eastAsia="Arial" w:cs="Arial"/>
                <w:b/>
                <w:bCs/>
                <w:color w:val="000000"/>
                <w:sz w:val="16"/>
                <w:szCs w:val="16"/>
              </w:rPr>
            </w:pPr>
          </w:p>
        </w:tc>
        <w:tc>
          <w:tcPr>
            <w:tcW w:w="1134"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3.11%</w:t>
            </w:r>
          </w:p>
        </w:tc>
        <w:tc>
          <w:tcPr>
            <w:tcW w:w="969"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2.87%</w:t>
            </w:r>
          </w:p>
        </w:tc>
        <w:tc>
          <w:tcPr>
            <w:tcW w:w="1185"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1.69%</w:t>
            </w:r>
          </w:p>
        </w:tc>
        <w:tc>
          <w:tcPr>
            <w:tcW w:w="1107"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963"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r>
      <w:tr w:rsidR="008E0433" w:rsidTr="00E02264">
        <w:trPr>
          <w:trHeight w:val="195"/>
        </w:trPr>
        <w:tc>
          <w:tcPr>
            <w:tcW w:w="6825" w:type="dxa"/>
            <w:tcBorders>
              <w:bottom w:val="single" w:sz="6" w:space="0" w:color="003366"/>
            </w:tcBorders>
            <w:shd w:val="clear" w:color="auto" w:fill="FFFFFF"/>
            <w:noWrap/>
            <w:tcMar>
              <w:top w:w="0" w:type="dxa"/>
              <w:left w:w="5" w:type="dxa"/>
              <w:bottom w:w="0" w:type="dxa"/>
              <w:right w:w="5" w:type="dxa"/>
            </w:tcMar>
            <w:vAlign w:val="center"/>
            <w:hideMark/>
          </w:tcPr>
          <w:p w:rsidR="004E7E8B" w:rsidRDefault="00E02264">
            <w:pPr>
              <w:spacing w:line="240" w:lineRule="auto"/>
              <w:contextualSpacing/>
              <w:rPr>
                <w:rFonts w:eastAsia="Arial" w:cs="Arial"/>
                <w:color w:val="000000"/>
                <w:sz w:val="16"/>
                <w:szCs w:val="16"/>
              </w:rPr>
            </w:pPr>
            <w:r>
              <w:rPr>
                <w:rFonts w:eastAsia="Arial" w:cs="Arial"/>
                <w:color w:val="000000"/>
                <w:sz w:val="16"/>
                <w:szCs w:val="16"/>
              </w:rPr>
              <w:t xml:space="preserve">Third party customer funding rate </w:t>
            </w:r>
          </w:p>
        </w:tc>
        <w:tc>
          <w:tcPr>
            <w:tcW w:w="1113"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(0.38%)</w:t>
            </w:r>
          </w:p>
        </w:tc>
        <w:tc>
          <w:tcPr>
            <w:tcW w:w="1017" w:type="dxa"/>
            <w:gridSpan w:val="2"/>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(0.15%)</w:t>
            </w:r>
          </w:p>
        </w:tc>
        <w:tc>
          <w:tcPr>
            <w:tcW w:w="117"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4E7E8B">
            <w:pPr>
              <w:spacing w:line="240" w:lineRule="auto"/>
              <w:contextualSpacing/>
              <w:jc w:val="right"/>
              <w:rPr>
                <w:rFonts w:eastAsia="Arial" w:cs="Arial"/>
                <w:b/>
                <w:bCs/>
                <w:color w:val="000000"/>
                <w:sz w:val="16"/>
                <w:szCs w:val="16"/>
              </w:rPr>
            </w:pPr>
          </w:p>
        </w:tc>
        <w:tc>
          <w:tcPr>
            <w:tcW w:w="1134"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(0.43%)</w:t>
            </w:r>
          </w:p>
        </w:tc>
        <w:tc>
          <w:tcPr>
            <w:tcW w:w="969"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(0.43%)</w:t>
            </w:r>
          </w:p>
        </w:tc>
        <w:tc>
          <w:tcPr>
            <w:tcW w:w="1185"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(0.15%)</w:t>
            </w:r>
          </w:p>
        </w:tc>
        <w:tc>
          <w:tcPr>
            <w:tcW w:w="1107"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963"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1035" w:type="dxa"/>
            <w:tcBorders>
              <w:bottom w:val="single" w:sz="6" w:space="0" w:color="003366"/>
            </w:tcBorders>
            <w:shd w:val="clear" w:color="auto" w:fill="C0C0C0"/>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r>
    </w:tbl>
    <w:p w:rsidR="00DA6AF1" w:rsidRDefault="00DA6AF1">
      <w:pPr>
        <w:rPr>
          <w:szCs w:val="18"/>
          <w:lang w:eastAsia="ja-JP"/>
        </w:rPr>
      </w:pPr>
    </w:p>
    <w:p w:rsidR="00133D7F" w:rsidRDefault="00E02264">
      <w:r w:rsidRPr="002F0036">
        <w:rPr>
          <w:szCs w:val="18"/>
          <w:lang w:eastAsia="ja-JP"/>
        </w:rPr>
        <w:t xml:space="preserve">For the notes to this table, refer to page 12. </w:t>
      </w:r>
      <w:proofErr w:type="gramStart"/>
      <w:r w:rsidRPr="002F0036">
        <w:rPr>
          <w:szCs w:val="18"/>
          <w:lang w:eastAsia="ja-JP"/>
        </w:rPr>
        <w:t>nm</w:t>
      </w:r>
      <w:proofErr w:type="gramEnd"/>
      <w:r w:rsidRPr="002F0036">
        <w:rPr>
          <w:szCs w:val="18"/>
          <w:lang w:eastAsia="ja-JP"/>
        </w:rPr>
        <w:t xml:space="preserve"> = not meaningful.  </w:t>
      </w:r>
      <w:r>
        <w:br w:type="page"/>
      </w:r>
    </w:p>
    <w:p w:rsidR="00133D7F" w:rsidRPr="001A22BE" w:rsidRDefault="00E02264" w:rsidP="00133D7F">
      <w:pPr>
        <w:pStyle w:val="Normal00"/>
        <w:rPr>
          <w:rFonts w:ascii="Arial" w:hAnsi="Arial"/>
          <w:b/>
          <w:color w:val="003366"/>
          <w:sz w:val="18"/>
          <w:szCs w:val="18"/>
          <w:lang w:eastAsia="ja-JP"/>
        </w:rPr>
      </w:pPr>
      <w:r>
        <w:rPr>
          <w:rFonts w:ascii="Arial" w:hAnsi="Arial"/>
          <w:b/>
          <w:color w:val="003366"/>
          <w:sz w:val="18"/>
          <w:szCs w:val="18"/>
          <w:lang w:eastAsia="ja-JP"/>
        </w:rPr>
        <w:lastRenderedPageBreak/>
        <w:t xml:space="preserve">Segment performance </w:t>
      </w:r>
    </w:p>
    <w:tbl>
      <w:tblPr>
        <w:tblStyle w:val="table"/>
        <w:tblW w:w="15465" w:type="dxa"/>
        <w:tblInd w:w="5" w:type="dxa"/>
        <w:tblCellMar>
          <w:left w:w="0" w:type="dxa"/>
          <w:right w:w="0" w:type="dxa"/>
        </w:tblCellMar>
        <w:tblLook w:val="05E0" w:firstRow="1" w:lastRow="1" w:firstColumn="1" w:lastColumn="1" w:noHBand="0" w:noVBand="1"/>
      </w:tblPr>
      <w:tblGrid>
        <w:gridCol w:w="6585"/>
        <w:gridCol w:w="240"/>
        <w:gridCol w:w="1113"/>
        <w:gridCol w:w="957"/>
        <w:gridCol w:w="60"/>
        <w:gridCol w:w="259"/>
        <w:gridCol w:w="992"/>
        <w:gridCol w:w="969"/>
        <w:gridCol w:w="1185"/>
        <w:gridCol w:w="1107"/>
        <w:gridCol w:w="963"/>
        <w:gridCol w:w="1035"/>
      </w:tblGrid>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640" w:type="dxa"/>
            <w:gridSpan w:val="10"/>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color w:val="003366"/>
                <w:sz w:val="16"/>
                <w:szCs w:val="16"/>
              </w:rPr>
            </w:pPr>
            <w:r>
              <w:rPr>
                <w:rFonts w:eastAsia="Arial" w:cs="Arial"/>
                <w:color w:val="003366"/>
                <w:sz w:val="16"/>
                <w:szCs w:val="16"/>
              </w:rPr>
              <w:t>Quarter ended 30 June 2019</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2070"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color w:val="003366"/>
                <w:sz w:val="16"/>
                <w:szCs w:val="16"/>
              </w:rPr>
            </w:pPr>
            <w:r>
              <w:rPr>
                <w:rFonts w:eastAsia="Arial" w:cs="Arial"/>
                <w:color w:val="003366"/>
                <w:sz w:val="16"/>
                <w:szCs w:val="16"/>
              </w:rPr>
              <w:t>Personal &amp; Ulster</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2220" w:type="dxa"/>
            <w:gridSpan w:val="3"/>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color w:val="003366"/>
                <w:sz w:val="16"/>
                <w:szCs w:val="16"/>
              </w:rPr>
            </w:pPr>
            <w:r>
              <w:rPr>
                <w:rFonts w:eastAsia="Arial" w:cs="Arial"/>
                <w:color w:val="003366"/>
                <w:sz w:val="16"/>
                <w:szCs w:val="16"/>
              </w:rPr>
              <w:t>Commercial &amp; Private</w:t>
            </w: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color w:val="000000"/>
                <w:sz w:val="16"/>
                <w:szCs w:val="16"/>
              </w:rPr>
            </w:pPr>
          </w:p>
        </w:tc>
        <w:tc>
          <w:tcPr>
            <w:tcW w:w="1107"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Central</w:t>
            </w:r>
          </w:p>
        </w:tc>
        <w:tc>
          <w:tcPr>
            <w:tcW w:w="10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UK Personal</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Ulster</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Commercial</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Private</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RBS</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NatWest</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items &amp;</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Total</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Banking</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 RoI</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Banking</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Banking</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International</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Markets</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Style w:val="font17800"/>
              </w:rPr>
              <w:t>other</w:t>
            </w:r>
            <w:r>
              <w:rPr>
                <w:rStyle w:val="font186"/>
              </w:rPr>
              <w:t> (1)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RBS</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r>
      <w:tr w:rsidR="008E0433" w:rsidTr="00E02264">
        <w:trPr>
          <w:trHeight w:val="195"/>
        </w:trPr>
        <w:tc>
          <w:tcPr>
            <w:tcW w:w="682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Income statement</w:t>
            </w:r>
          </w:p>
        </w:tc>
        <w:tc>
          <w:tcPr>
            <w:tcW w:w="111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5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251"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9"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10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96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c>
          <w:tcPr>
            <w:tcW w:w="10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0000"/>
                <w:sz w:val="16"/>
                <w:szCs w:val="16"/>
              </w:rPr>
            </w:pP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income</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1,032</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102</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716</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129</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125</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(91)</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(42)</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1,971</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Non-interest income</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170</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35</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367</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338</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1,077</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Strategic disposals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444</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591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1,035</w:t>
            </w:r>
          </w:p>
        </w:tc>
      </w:tr>
      <w:tr w:rsidR="008E0433" w:rsidTr="00E02264">
        <w:trPr>
          <w:trHeight w:val="195"/>
        </w:trPr>
        <w:tc>
          <w:tcPr>
            <w:tcW w:w="682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Total income</w:t>
            </w:r>
          </w:p>
        </w:tc>
        <w:tc>
          <w:tcPr>
            <w:tcW w:w="111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1,202</w:t>
            </w:r>
          </w:p>
        </w:tc>
        <w:tc>
          <w:tcPr>
            <w:tcW w:w="95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138</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1,083</w:t>
            </w:r>
          </w:p>
        </w:tc>
        <w:tc>
          <w:tcPr>
            <w:tcW w:w="969"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191</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159</w:t>
            </w:r>
          </w:p>
        </w:tc>
        <w:tc>
          <w:tcPr>
            <w:tcW w:w="110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686</w:t>
            </w:r>
          </w:p>
        </w:tc>
        <w:tc>
          <w:tcPr>
            <w:tcW w:w="96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621</w:t>
            </w:r>
          </w:p>
        </w:tc>
        <w:tc>
          <w:tcPr>
            <w:tcW w:w="103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4,080</w:t>
            </w:r>
          </w:p>
        </w:tc>
      </w:tr>
      <w:tr w:rsidR="008E0433" w:rsidTr="00E02264">
        <w:trPr>
          <w:trHeight w:val="195"/>
        </w:trPr>
        <w:tc>
          <w:tcPr>
            <w:tcW w:w="682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Direct expenses</w:t>
            </w:r>
          </w:p>
        </w:tc>
        <w:tc>
          <w:tcPr>
            <w:tcW w:w="111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5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9"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rsidTr="00E02264">
        <w:trPr>
          <w:trHeight w:val="195"/>
        </w:trPr>
        <w:tc>
          <w:tcPr>
            <w:tcW w:w="6825" w:type="dxa"/>
            <w:gridSpan w:val="2"/>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staff costs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(54)</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(184)</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(41)</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(176)</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(264)</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(905)</w:t>
            </w:r>
          </w:p>
        </w:tc>
      </w:tr>
      <w:tr w:rsidR="008E0433" w:rsidTr="00E02264">
        <w:trPr>
          <w:trHeight w:val="195"/>
        </w:trPr>
        <w:tc>
          <w:tcPr>
            <w:tcW w:w="6825" w:type="dxa"/>
            <w:gridSpan w:val="2"/>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costs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(90)</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(80)</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(511)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(768)</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Indirect expenses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(297)</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(260)</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(45)</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(76)</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732</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3"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57"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9"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7"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3"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rsidTr="00E02264">
        <w:trPr>
          <w:trHeight w:val="195"/>
        </w:trPr>
        <w:tc>
          <w:tcPr>
            <w:tcW w:w="6825" w:type="dxa"/>
            <w:gridSpan w:val="2"/>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direct</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(388)</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(434)</w:t>
            </w:r>
          </w:p>
        </w:tc>
      </w:tr>
      <w:tr w:rsidR="008E0433" w:rsidTr="00E02264">
        <w:trPr>
          <w:trHeight w:val="195"/>
        </w:trPr>
        <w:tc>
          <w:tcPr>
            <w:tcW w:w="6825" w:type="dxa"/>
            <w:gridSpan w:val="2"/>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indirect</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(49)</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(50)</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134</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rsidTr="00E02264">
        <w:trPr>
          <w:trHeight w:val="195"/>
        </w:trPr>
        <w:tc>
          <w:tcPr>
            <w:tcW w:w="6825"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3"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957"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w:t>
            </w:r>
          </w:p>
        </w:tc>
        <w:tc>
          <w:tcPr>
            <w:tcW w:w="969"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963"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w:t>
            </w:r>
          </w:p>
        </w:tc>
        <w:tc>
          <w:tcPr>
            <w:tcW w:w="103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(55)</w:t>
            </w:r>
          </w:p>
        </w:tc>
      </w:tr>
      <w:tr w:rsidR="008E0433" w:rsidTr="00E02264">
        <w:trPr>
          <w:trHeight w:val="195"/>
        </w:trPr>
        <w:tc>
          <w:tcPr>
            <w:tcW w:w="6825"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expenses</w:t>
            </w:r>
          </w:p>
        </w:tc>
        <w:tc>
          <w:tcPr>
            <w:tcW w:w="111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(594)</w:t>
            </w:r>
          </w:p>
        </w:tc>
        <w:tc>
          <w:tcPr>
            <w:tcW w:w="95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(145)</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(622)</w:t>
            </w:r>
          </w:p>
        </w:tc>
        <w:tc>
          <w:tcPr>
            <w:tcW w:w="969"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110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(344)</w:t>
            </w:r>
          </w:p>
        </w:tc>
        <w:tc>
          <w:tcPr>
            <w:tcW w:w="96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(282)</w:t>
            </w:r>
          </w:p>
        </w:tc>
        <w:tc>
          <w:tcPr>
            <w:tcW w:w="103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(2,162)</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profit/(loss) before impairment (losses)/releases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608</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461</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76</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99</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342</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339</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1,918</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(losses)/releases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(197)</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(237)</w:t>
            </w:r>
          </w:p>
        </w:tc>
      </w:tr>
      <w:tr w:rsidR="008E0433" w:rsidTr="00E02264">
        <w:trPr>
          <w:trHeight w:val="195"/>
        </w:trPr>
        <w:tc>
          <w:tcPr>
            <w:tcW w:w="682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profit</w:t>
            </w:r>
          </w:p>
        </w:tc>
        <w:tc>
          <w:tcPr>
            <w:tcW w:w="111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539</w:t>
            </w:r>
          </w:p>
        </w:tc>
        <w:tc>
          <w:tcPr>
            <w:tcW w:w="95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264</w:t>
            </w:r>
          </w:p>
        </w:tc>
        <w:tc>
          <w:tcPr>
            <w:tcW w:w="969"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75</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101</w:t>
            </w:r>
          </w:p>
        </w:tc>
        <w:tc>
          <w:tcPr>
            <w:tcW w:w="110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362</w:t>
            </w:r>
          </w:p>
        </w:tc>
        <w:tc>
          <w:tcPr>
            <w:tcW w:w="96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337</w:t>
            </w:r>
          </w:p>
        </w:tc>
        <w:tc>
          <w:tcPr>
            <w:tcW w:w="103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1,681</w:t>
            </w:r>
          </w:p>
        </w:tc>
      </w:tr>
      <w:tr w:rsidR="008E0433" w:rsidTr="00E02264">
        <w:trPr>
          <w:trHeight w:val="195"/>
        </w:trPr>
        <w:tc>
          <w:tcPr>
            <w:tcW w:w="682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Additional information</w:t>
            </w:r>
          </w:p>
        </w:tc>
        <w:tc>
          <w:tcPr>
            <w:tcW w:w="111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5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9"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Return on equity</w:t>
            </w:r>
            <w:r>
              <w:rPr>
                <w:rStyle w:val="font71"/>
              </w:rPr>
              <w:t> (2)</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26.5%</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0.6%</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15.9%</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30.8%</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15.8%</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Cost:income ratio</w:t>
            </w:r>
            <w:r>
              <w:rPr>
                <w:rStyle w:val="font71"/>
              </w:rPr>
              <w:t> (2)</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49.4%</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105.1%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56.1%</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60.2%</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37.7%</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50.1%</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52.6%</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assets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173.9</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26.4</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165.6</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21.9</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30.4</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278.9</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32.8</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729.9</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Funded assets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173.9</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26.4</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165.6</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21.9</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30.4</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133.4</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32.7</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584.3</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loans to customers - amortised cost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151.9</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19.0</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101.4</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14.7</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13.6</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9.3</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0.7</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310.6</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Loan impairment rate</w:t>
            </w:r>
            <w:r>
              <w:rPr>
                <w:rStyle w:val="font71"/>
              </w:rPr>
              <w:t> (2)</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18bps</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(20)bps</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77bps</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30bps</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provisions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(0.7)</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(3.2)</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provisions - stage 3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(0.7)</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(0.6)</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(0.9)</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(2.3)</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Customer deposits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147.5</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19.0</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133.4</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28.0</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28.1</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361.6</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Risk-weighted assets (RWAs)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37.0</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14.2</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77.8</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9.7</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41.4</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188.5</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 equivalent (RWAes)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38.1</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14.5</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79.3</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9.7</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7.0</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46.1</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196.5</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Employee numbers (FTEs - thousands)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21.3</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10.5</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5.0</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23.0</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66.6</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Average interest earning assets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164.8</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25.3</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146.1</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21.2</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29.8</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34.4</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444.8</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2.51%</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1.62%</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1.97%</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2.44%</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1.68%</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(1.05%)</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1.78%</w:t>
            </w:r>
          </w:p>
        </w:tc>
      </w:tr>
      <w:tr w:rsidR="008E0433" w:rsidTr="00E02264">
        <w:trPr>
          <w:trHeight w:val="195"/>
        </w:trPr>
        <w:tc>
          <w:tcPr>
            <w:tcW w:w="6585" w:type="dxa"/>
            <w:shd w:val="clear" w:color="auto" w:fill="FFFFFF"/>
            <w:noWrap/>
            <w:tcMar>
              <w:top w:w="0" w:type="dxa"/>
              <w:left w:w="5" w:type="dxa"/>
              <w:bottom w:w="0" w:type="dxa"/>
              <w:right w:w="5" w:type="dxa"/>
            </w:tcMar>
            <w:vAlign w:val="center"/>
            <w:hideMark/>
          </w:tcPr>
          <w:p w:rsidR="004E7E8B" w:rsidRDefault="00E02264">
            <w:pPr>
              <w:spacing w:line="240" w:lineRule="auto"/>
              <w:contextualSpacing/>
              <w:rPr>
                <w:rFonts w:eastAsia="Arial" w:cs="Arial"/>
                <w:color w:val="000000"/>
                <w:sz w:val="16"/>
                <w:szCs w:val="16"/>
              </w:rPr>
            </w:pPr>
            <w:r>
              <w:rPr>
                <w:rFonts w:eastAsia="Arial" w:cs="Arial"/>
                <w:color w:val="000000"/>
                <w:sz w:val="16"/>
                <w:szCs w:val="16"/>
              </w:rPr>
              <w:t xml:space="preserve">Third party customer asset rate </w:t>
            </w:r>
          </w:p>
        </w:tc>
        <w:tc>
          <w:tcPr>
            <w:tcW w:w="1353" w:type="dxa"/>
            <w:gridSpan w:val="2"/>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3.25%</w:t>
            </w:r>
          </w:p>
        </w:tc>
        <w:tc>
          <w:tcPr>
            <w:tcW w:w="1017" w:type="dxa"/>
            <w:gridSpan w:val="2"/>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2.29%</w:t>
            </w:r>
          </w:p>
        </w:tc>
        <w:tc>
          <w:tcPr>
            <w:tcW w:w="259" w:type="dxa"/>
            <w:shd w:val="clear" w:color="auto" w:fill="FFFFFF"/>
            <w:noWrap/>
            <w:tcMar>
              <w:top w:w="0" w:type="dxa"/>
              <w:left w:w="5" w:type="dxa"/>
              <w:bottom w:w="0" w:type="dxa"/>
              <w:right w:w="5" w:type="dxa"/>
            </w:tcMar>
            <w:vAlign w:val="bottom"/>
            <w:hideMark/>
          </w:tcPr>
          <w:p w:rsidR="004E7E8B" w:rsidRDefault="004E7E8B">
            <w:pPr>
              <w:spacing w:line="240" w:lineRule="auto"/>
              <w:contextualSpacing/>
              <w:jc w:val="right"/>
              <w:rPr>
                <w:rFonts w:eastAsia="Arial" w:cs="Arial"/>
                <w:color w:val="000000"/>
                <w:sz w:val="16"/>
                <w:szCs w:val="16"/>
              </w:rPr>
            </w:pPr>
          </w:p>
        </w:tc>
        <w:tc>
          <w:tcPr>
            <w:tcW w:w="992"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3.18%</w:t>
            </w:r>
          </w:p>
        </w:tc>
        <w:tc>
          <w:tcPr>
            <w:tcW w:w="969"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2.89%</w:t>
            </w:r>
          </w:p>
        </w:tc>
        <w:tc>
          <w:tcPr>
            <w:tcW w:w="1185"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1.79%</w:t>
            </w:r>
          </w:p>
        </w:tc>
        <w:tc>
          <w:tcPr>
            <w:tcW w:w="1107"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3"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r>
      <w:tr w:rsidR="008E0433" w:rsidTr="00E02264">
        <w:trPr>
          <w:trHeight w:val="195"/>
        </w:trPr>
        <w:tc>
          <w:tcPr>
            <w:tcW w:w="6585" w:type="dxa"/>
            <w:tcBorders>
              <w:bottom w:val="single" w:sz="6" w:space="0" w:color="003366"/>
            </w:tcBorders>
            <w:shd w:val="clear" w:color="auto" w:fill="FFFFFF"/>
            <w:noWrap/>
            <w:tcMar>
              <w:top w:w="0" w:type="dxa"/>
              <w:left w:w="5" w:type="dxa"/>
              <w:bottom w:w="0" w:type="dxa"/>
              <w:right w:w="5" w:type="dxa"/>
            </w:tcMar>
            <w:vAlign w:val="center"/>
            <w:hideMark/>
          </w:tcPr>
          <w:p w:rsidR="004E7E8B" w:rsidRDefault="00E02264">
            <w:pPr>
              <w:spacing w:line="240" w:lineRule="auto"/>
              <w:contextualSpacing/>
              <w:rPr>
                <w:rFonts w:eastAsia="Arial" w:cs="Arial"/>
                <w:color w:val="000000"/>
                <w:sz w:val="16"/>
                <w:szCs w:val="16"/>
              </w:rPr>
            </w:pPr>
            <w:r>
              <w:rPr>
                <w:rFonts w:eastAsia="Arial" w:cs="Arial"/>
                <w:color w:val="000000"/>
                <w:sz w:val="16"/>
                <w:szCs w:val="16"/>
              </w:rPr>
              <w:t xml:space="preserve">Third party customer funding rate </w:t>
            </w:r>
          </w:p>
        </w:tc>
        <w:tc>
          <w:tcPr>
            <w:tcW w:w="1353" w:type="dxa"/>
            <w:gridSpan w:val="2"/>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(0.38%)</w:t>
            </w:r>
          </w:p>
        </w:tc>
        <w:tc>
          <w:tcPr>
            <w:tcW w:w="1017" w:type="dxa"/>
            <w:gridSpan w:val="2"/>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(0.15%)</w:t>
            </w:r>
          </w:p>
        </w:tc>
        <w:tc>
          <w:tcPr>
            <w:tcW w:w="259"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4E7E8B">
            <w:pPr>
              <w:spacing w:line="240" w:lineRule="auto"/>
              <w:contextualSpacing/>
              <w:jc w:val="right"/>
              <w:rPr>
                <w:rFonts w:eastAsia="Arial" w:cs="Arial"/>
                <w:color w:val="000000"/>
                <w:sz w:val="16"/>
                <w:szCs w:val="16"/>
              </w:rPr>
            </w:pPr>
          </w:p>
        </w:tc>
        <w:tc>
          <w:tcPr>
            <w:tcW w:w="992"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(0.42%)</w:t>
            </w:r>
          </w:p>
        </w:tc>
        <w:tc>
          <w:tcPr>
            <w:tcW w:w="969"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(0.45%)</w:t>
            </w:r>
          </w:p>
        </w:tc>
        <w:tc>
          <w:tcPr>
            <w:tcW w:w="1185"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(0.13%)</w:t>
            </w:r>
          </w:p>
        </w:tc>
        <w:tc>
          <w:tcPr>
            <w:tcW w:w="1107"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3"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r>
    </w:tbl>
    <w:p w:rsidR="00DA6AF1" w:rsidRDefault="00DA6AF1">
      <w:pPr>
        <w:rPr>
          <w:szCs w:val="18"/>
          <w:lang w:eastAsia="ja-JP"/>
        </w:rPr>
      </w:pPr>
    </w:p>
    <w:p w:rsidR="00133D7F" w:rsidRDefault="00E02264">
      <w:r w:rsidRPr="002F0036">
        <w:rPr>
          <w:szCs w:val="18"/>
          <w:lang w:eastAsia="ja-JP"/>
        </w:rPr>
        <w:t xml:space="preserve">For the notes to this table, refer to page 12. </w:t>
      </w:r>
      <w:proofErr w:type="gramStart"/>
      <w:r w:rsidRPr="002F0036">
        <w:rPr>
          <w:szCs w:val="18"/>
          <w:lang w:eastAsia="ja-JP"/>
        </w:rPr>
        <w:t>nm</w:t>
      </w:r>
      <w:proofErr w:type="gramEnd"/>
      <w:r w:rsidRPr="002F0036">
        <w:rPr>
          <w:szCs w:val="18"/>
          <w:lang w:eastAsia="ja-JP"/>
        </w:rPr>
        <w:t xml:space="preserve"> = not meaningful.  </w:t>
      </w:r>
      <w:r>
        <w:br w:type="page"/>
      </w:r>
    </w:p>
    <w:p w:rsidR="00133D7F" w:rsidRPr="001A22BE" w:rsidRDefault="00E02264" w:rsidP="00133D7F">
      <w:pPr>
        <w:pStyle w:val="Normal00"/>
        <w:rPr>
          <w:rFonts w:ascii="Arial" w:hAnsi="Arial"/>
          <w:b/>
          <w:color w:val="003366"/>
          <w:sz w:val="18"/>
          <w:szCs w:val="18"/>
          <w:lang w:eastAsia="ja-JP"/>
        </w:rPr>
      </w:pPr>
      <w:r>
        <w:rPr>
          <w:rFonts w:ascii="Arial" w:hAnsi="Arial"/>
          <w:b/>
          <w:color w:val="003366"/>
          <w:sz w:val="18"/>
          <w:szCs w:val="18"/>
          <w:lang w:eastAsia="ja-JP"/>
        </w:rPr>
        <w:lastRenderedPageBreak/>
        <w:t xml:space="preserve">Segment performance </w:t>
      </w:r>
    </w:p>
    <w:tbl>
      <w:tblPr>
        <w:tblStyle w:val="table"/>
        <w:tblW w:w="15465" w:type="dxa"/>
        <w:tblInd w:w="5" w:type="dxa"/>
        <w:tblCellMar>
          <w:left w:w="0" w:type="dxa"/>
          <w:right w:w="0" w:type="dxa"/>
        </w:tblCellMar>
        <w:tblLook w:val="05E0" w:firstRow="1" w:lastRow="1" w:firstColumn="1" w:lastColumn="1" w:noHBand="0" w:noVBand="1"/>
      </w:tblPr>
      <w:tblGrid>
        <w:gridCol w:w="6585"/>
        <w:gridCol w:w="240"/>
        <w:gridCol w:w="1113"/>
        <w:gridCol w:w="957"/>
        <w:gridCol w:w="60"/>
        <w:gridCol w:w="259"/>
        <w:gridCol w:w="992"/>
        <w:gridCol w:w="969"/>
        <w:gridCol w:w="1185"/>
        <w:gridCol w:w="1107"/>
        <w:gridCol w:w="963"/>
        <w:gridCol w:w="1035"/>
      </w:tblGrid>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640" w:type="dxa"/>
            <w:gridSpan w:val="10"/>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color w:val="003366"/>
                <w:sz w:val="16"/>
                <w:szCs w:val="16"/>
              </w:rPr>
            </w:pPr>
            <w:r>
              <w:rPr>
                <w:rFonts w:eastAsia="Arial" w:cs="Arial"/>
                <w:color w:val="003366"/>
                <w:sz w:val="16"/>
                <w:szCs w:val="16"/>
              </w:rPr>
              <w:t>Quarter ended 30 September 2018</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2070"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color w:val="003366"/>
                <w:sz w:val="16"/>
                <w:szCs w:val="16"/>
              </w:rPr>
            </w:pPr>
            <w:r>
              <w:rPr>
                <w:rFonts w:eastAsia="Arial" w:cs="Arial"/>
                <w:color w:val="003366"/>
                <w:sz w:val="16"/>
                <w:szCs w:val="16"/>
              </w:rPr>
              <w:t>Personal &amp; Ulster</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2220" w:type="dxa"/>
            <w:gridSpan w:val="3"/>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color w:val="003366"/>
                <w:sz w:val="16"/>
                <w:szCs w:val="16"/>
              </w:rPr>
            </w:pPr>
            <w:r>
              <w:rPr>
                <w:rFonts w:eastAsia="Arial" w:cs="Arial"/>
                <w:color w:val="003366"/>
                <w:sz w:val="16"/>
                <w:szCs w:val="16"/>
              </w:rPr>
              <w:t>Commercial &amp; Private</w:t>
            </w: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center"/>
              <w:rPr>
                <w:rFonts w:eastAsia="Arial" w:cs="Arial"/>
                <w:color w:val="000000"/>
                <w:sz w:val="16"/>
                <w:szCs w:val="16"/>
              </w:rPr>
            </w:pPr>
          </w:p>
        </w:tc>
        <w:tc>
          <w:tcPr>
            <w:tcW w:w="1107"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Central</w:t>
            </w:r>
          </w:p>
        </w:tc>
        <w:tc>
          <w:tcPr>
            <w:tcW w:w="10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UK Personal</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Ulster</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Commercial</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Private</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RBS</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NatWest</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items &amp;</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Total</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Banking</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 RoI</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Banking</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Banking</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International</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Markets</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Style w:val="font17800"/>
              </w:rPr>
              <w:t>other</w:t>
            </w:r>
            <w:r>
              <w:rPr>
                <w:rStyle w:val="font186"/>
              </w:rPr>
              <w:t> (1)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RBS</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3366"/>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r>
      <w:tr w:rsidR="008E0433" w:rsidTr="00E02264">
        <w:trPr>
          <w:trHeight w:val="195"/>
        </w:trPr>
        <w:tc>
          <w:tcPr>
            <w:tcW w:w="682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Income statement</w:t>
            </w:r>
          </w:p>
        </w:tc>
        <w:tc>
          <w:tcPr>
            <w:tcW w:w="111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5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9"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income</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1,083</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110</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731</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124</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(42)</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2,154</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Non-interest income</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174</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365</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534</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1,468</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w:t>
            </w:r>
          </w:p>
        </w:tc>
      </w:tr>
      <w:tr w:rsidR="008E0433" w:rsidTr="00E02264">
        <w:trPr>
          <w:trHeight w:val="195"/>
        </w:trPr>
        <w:tc>
          <w:tcPr>
            <w:tcW w:w="682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Total income</w:t>
            </w:r>
          </w:p>
        </w:tc>
        <w:tc>
          <w:tcPr>
            <w:tcW w:w="111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1,257</w:t>
            </w:r>
          </w:p>
        </w:tc>
        <w:tc>
          <w:tcPr>
            <w:tcW w:w="95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151</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1,096</w:t>
            </w:r>
          </w:p>
        </w:tc>
        <w:tc>
          <w:tcPr>
            <w:tcW w:w="969"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195</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110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569</w:t>
            </w:r>
          </w:p>
        </w:tc>
        <w:tc>
          <w:tcPr>
            <w:tcW w:w="96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219</w:t>
            </w:r>
          </w:p>
        </w:tc>
        <w:tc>
          <w:tcPr>
            <w:tcW w:w="103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3,642</w:t>
            </w:r>
          </w:p>
        </w:tc>
      </w:tr>
      <w:tr w:rsidR="008E0433" w:rsidTr="00E02264">
        <w:trPr>
          <w:trHeight w:val="195"/>
        </w:trPr>
        <w:tc>
          <w:tcPr>
            <w:tcW w:w="682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Direct expenses</w:t>
            </w:r>
          </w:p>
        </w:tc>
        <w:tc>
          <w:tcPr>
            <w:tcW w:w="111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5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9"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rsidTr="00E02264">
        <w:trPr>
          <w:trHeight w:val="195"/>
        </w:trPr>
        <w:tc>
          <w:tcPr>
            <w:tcW w:w="6825" w:type="dxa"/>
            <w:gridSpan w:val="2"/>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staff costs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(172)</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(180)</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(39)</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(120)</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(299)</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(887)</w:t>
            </w:r>
          </w:p>
        </w:tc>
      </w:tr>
      <w:tr w:rsidR="008E0433" w:rsidTr="00E02264">
        <w:trPr>
          <w:trHeight w:val="195"/>
        </w:trPr>
        <w:tc>
          <w:tcPr>
            <w:tcW w:w="6825" w:type="dxa"/>
            <w:gridSpan w:val="2"/>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costs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(64)</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(61)</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(613)</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(866)</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Indirect expenses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(342)</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(45)</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(294)</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(52)</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(91)</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843</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Strategic costs</w:t>
            </w:r>
          </w:p>
        </w:tc>
        <w:tc>
          <w:tcPr>
            <w:tcW w:w="1113"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57"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9"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7"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3"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3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rsidTr="00E02264">
        <w:trPr>
          <w:trHeight w:val="195"/>
        </w:trPr>
        <w:tc>
          <w:tcPr>
            <w:tcW w:w="6825" w:type="dxa"/>
            <w:gridSpan w:val="2"/>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direct</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(78)</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(299)</w:t>
            </w:r>
          </w:p>
        </w:tc>
      </w:tr>
      <w:tr w:rsidR="008E0433" w:rsidTr="00E02264">
        <w:trPr>
          <w:trHeight w:val="195"/>
        </w:trPr>
        <w:tc>
          <w:tcPr>
            <w:tcW w:w="6825" w:type="dxa"/>
            <w:gridSpan w:val="2"/>
            <w:shd w:val="clear" w:color="auto" w:fill="FFFFFF"/>
            <w:noWrap/>
            <w:tcMar>
              <w:top w:w="0" w:type="dxa"/>
              <w:left w:w="24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indirect</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(37)</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80</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rsidTr="00E02264">
        <w:trPr>
          <w:trHeight w:val="195"/>
        </w:trPr>
        <w:tc>
          <w:tcPr>
            <w:tcW w:w="6825"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Litigation and conduct costs</w:t>
            </w:r>
          </w:p>
        </w:tc>
        <w:tc>
          <w:tcPr>
            <w:tcW w:w="1113"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(199)</w:t>
            </w:r>
          </w:p>
        </w:tc>
        <w:tc>
          <w:tcPr>
            <w:tcW w:w="957"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(37)</w:t>
            </w:r>
          </w:p>
        </w:tc>
        <w:tc>
          <w:tcPr>
            <w:tcW w:w="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w:t>
            </w:r>
          </w:p>
        </w:tc>
        <w:tc>
          <w:tcPr>
            <w:tcW w:w="969"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(113)</w:t>
            </w:r>
          </w:p>
        </w:tc>
        <w:tc>
          <w:tcPr>
            <w:tcW w:w="963"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w:t>
            </w:r>
          </w:p>
        </w:tc>
        <w:tc>
          <w:tcPr>
            <w:tcW w:w="103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(389)</w:t>
            </w:r>
          </w:p>
        </w:tc>
      </w:tr>
      <w:tr w:rsidR="008E0433" w:rsidTr="00E02264">
        <w:trPr>
          <w:trHeight w:val="195"/>
        </w:trPr>
        <w:tc>
          <w:tcPr>
            <w:tcW w:w="6825"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expenses</w:t>
            </w:r>
          </w:p>
        </w:tc>
        <w:tc>
          <w:tcPr>
            <w:tcW w:w="111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(819)</w:t>
            </w:r>
          </w:p>
        </w:tc>
        <w:tc>
          <w:tcPr>
            <w:tcW w:w="95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(167)</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(583)</w:t>
            </w:r>
          </w:p>
        </w:tc>
        <w:tc>
          <w:tcPr>
            <w:tcW w:w="969"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(110)</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110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(478)</w:t>
            </w:r>
          </w:p>
        </w:tc>
        <w:tc>
          <w:tcPr>
            <w:tcW w:w="96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(224)</w:t>
            </w:r>
          </w:p>
        </w:tc>
        <w:tc>
          <w:tcPr>
            <w:tcW w:w="103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(2,441)</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Operating profit/(loss) before impairment (losses)/releases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438</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513</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85</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95</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91</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1,201</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(losses)/releases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(66)</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(107)</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(240)</w:t>
            </w:r>
          </w:p>
        </w:tc>
      </w:tr>
      <w:tr w:rsidR="008E0433" w:rsidTr="00E02264">
        <w:trPr>
          <w:trHeight w:val="195"/>
        </w:trPr>
        <w:tc>
          <w:tcPr>
            <w:tcW w:w="682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profit/(loss)</w:t>
            </w:r>
            <w:r>
              <w:rPr>
                <w:rFonts w:ascii="Times New Roman" w:eastAsia="Times New Roman" w:hAnsi="Times New Roman" w:cs="Times New Roman"/>
                <w:b/>
                <w:bCs/>
                <w:color w:val="003366"/>
                <w:sz w:val="16"/>
                <w:szCs w:val="16"/>
              </w:rPr>
              <w:t xml:space="preserve">  </w:t>
            </w:r>
          </w:p>
        </w:tc>
        <w:tc>
          <w:tcPr>
            <w:tcW w:w="111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372</w:t>
            </w:r>
          </w:p>
        </w:tc>
        <w:tc>
          <w:tcPr>
            <w:tcW w:w="95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(76)</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406</w:t>
            </w:r>
          </w:p>
        </w:tc>
        <w:tc>
          <w:tcPr>
            <w:tcW w:w="969"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84</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92</w:t>
            </w:r>
          </w:p>
        </w:tc>
        <w:tc>
          <w:tcPr>
            <w:tcW w:w="1107"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87</w:t>
            </w:r>
          </w:p>
        </w:tc>
        <w:tc>
          <w:tcPr>
            <w:tcW w:w="963"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03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961</w:t>
            </w:r>
          </w:p>
        </w:tc>
      </w:tr>
      <w:tr w:rsidR="008E0433" w:rsidTr="00E02264">
        <w:trPr>
          <w:trHeight w:val="195"/>
        </w:trPr>
        <w:tc>
          <w:tcPr>
            <w:tcW w:w="6825"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Additional information</w:t>
            </w:r>
          </w:p>
        </w:tc>
        <w:tc>
          <w:tcPr>
            <w:tcW w:w="111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5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9"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107"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963"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03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Return on equity</w:t>
            </w:r>
            <w:r>
              <w:rPr>
                <w:rStyle w:val="font71"/>
              </w:rPr>
              <w:t> (2)</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19.4%</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(12.7%)</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9.6%</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17.3%</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26.9%</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5.4%</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Cost:income ratio</w:t>
            </w:r>
            <w:r>
              <w:rPr>
                <w:rStyle w:val="font71"/>
              </w:rPr>
              <w:t> (2)</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65.2%</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110.6%</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51.8%</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56.4%</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38.7%</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84.0%</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66.7%</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assets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171.7</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25.3</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167.9</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21.4</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29.0</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253.3</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51.3</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719.9</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Funded assets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171.7</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25.3</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167.9</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21.4</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29.0</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120.9</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51.1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587.3</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loans to customers - amortised cost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149.2</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19.2</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102.3</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14.2</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13.0</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8.0</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305.8</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60"/>
              </w:rPr>
              <w:t>Loan impairment rate</w:t>
            </w:r>
            <w:r>
              <w:rPr>
                <w:rStyle w:val="font71"/>
              </w:rPr>
              <w:t> (2)</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18bps</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118bps</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41bps</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31bps</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provisions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(0.2)</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(3.9)</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Impairment provisions - stage 3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(0.7)</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(0.1)</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Customer deposits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144.8</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17.9</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135.0</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27.2</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26.9</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360.6</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Risk-weighted assets (RWAs)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34.1</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16.5</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80.3</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9.5</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46.5</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0.7</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194.5</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RWA equivalent (RWAes)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35.5</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16.6</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83.8</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9.5</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49.9</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203.2</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Employee numbers (FTEs - thousands)</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22.3</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10.6</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4.9</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24.1</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68.6</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Average interest earning assets (£bn)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162.3</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25.4</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144.9</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20.8</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28.4</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26.7</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443.1</w:t>
            </w:r>
          </w:p>
        </w:tc>
      </w:tr>
      <w:tr w:rsidR="008E0433" w:rsidTr="00E02264">
        <w:trPr>
          <w:trHeight w:val="195"/>
        </w:trPr>
        <w:tc>
          <w:tcPr>
            <w:tcW w:w="6825"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11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2.65%</w:t>
            </w:r>
          </w:p>
        </w:tc>
        <w:tc>
          <w:tcPr>
            <w:tcW w:w="95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1.72%</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color w:val="000000"/>
                <w:sz w:val="16"/>
                <w:szCs w:val="16"/>
              </w:rPr>
            </w:pPr>
          </w:p>
        </w:tc>
        <w:tc>
          <w:tcPr>
            <w:tcW w:w="1251"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2.00%</w:t>
            </w:r>
          </w:p>
        </w:tc>
        <w:tc>
          <w:tcPr>
            <w:tcW w:w="969"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2.54%</w:t>
            </w:r>
          </w:p>
        </w:tc>
        <w:tc>
          <w:tcPr>
            <w:tcW w:w="11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1.73%</w:t>
            </w:r>
          </w:p>
        </w:tc>
        <w:tc>
          <w:tcPr>
            <w:tcW w:w="1107"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0.22%</w:t>
            </w:r>
          </w:p>
        </w:tc>
        <w:tc>
          <w:tcPr>
            <w:tcW w:w="963"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1.93%</w:t>
            </w:r>
          </w:p>
        </w:tc>
      </w:tr>
      <w:tr w:rsidR="008E0433" w:rsidTr="00E02264">
        <w:trPr>
          <w:trHeight w:val="195"/>
        </w:trPr>
        <w:tc>
          <w:tcPr>
            <w:tcW w:w="6585" w:type="dxa"/>
            <w:shd w:val="clear" w:color="auto" w:fill="FFFFFF"/>
            <w:noWrap/>
            <w:tcMar>
              <w:top w:w="0" w:type="dxa"/>
              <w:left w:w="5" w:type="dxa"/>
              <w:bottom w:w="0" w:type="dxa"/>
              <w:right w:w="5" w:type="dxa"/>
            </w:tcMar>
            <w:vAlign w:val="center"/>
            <w:hideMark/>
          </w:tcPr>
          <w:p w:rsidR="004E7E8B" w:rsidRDefault="00E02264">
            <w:pPr>
              <w:spacing w:line="240" w:lineRule="auto"/>
              <w:contextualSpacing/>
              <w:rPr>
                <w:rFonts w:eastAsia="Arial" w:cs="Arial"/>
                <w:color w:val="000000"/>
                <w:sz w:val="16"/>
                <w:szCs w:val="16"/>
              </w:rPr>
            </w:pPr>
            <w:r>
              <w:rPr>
                <w:rFonts w:eastAsia="Arial" w:cs="Arial"/>
                <w:color w:val="000000"/>
                <w:sz w:val="16"/>
                <w:szCs w:val="16"/>
              </w:rPr>
              <w:t xml:space="preserve">Third party customer asset rate </w:t>
            </w:r>
          </w:p>
        </w:tc>
        <w:tc>
          <w:tcPr>
            <w:tcW w:w="1353" w:type="dxa"/>
            <w:gridSpan w:val="2"/>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3.35%</w:t>
            </w:r>
          </w:p>
        </w:tc>
        <w:tc>
          <w:tcPr>
            <w:tcW w:w="1017" w:type="dxa"/>
            <w:gridSpan w:val="2"/>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2.42%</w:t>
            </w:r>
          </w:p>
        </w:tc>
        <w:tc>
          <w:tcPr>
            <w:tcW w:w="259" w:type="dxa"/>
            <w:shd w:val="clear" w:color="auto" w:fill="FFFFFF"/>
            <w:noWrap/>
            <w:tcMar>
              <w:top w:w="0" w:type="dxa"/>
              <w:left w:w="5" w:type="dxa"/>
              <w:bottom w:w="0" w:type="dxa"/>
              <w:right w:w="5" w:type="dxa"/>
            </w:tcMar>
            <w:vAlign w:val="bottom"/>
            <w:hideMark/>
          </w:tcPr>
          <w:p w:rsidR="004E7E8B" w:rsidRDefault="004E7E8B">
            <w:pPr>
              <w:spacing w:line="240" w:lineRule="auto"/>
              <w:contextualSpacing/>
              <w:jc w:val="right"/>
              <w:rPr>
                <w:rFonts w:eastAsia="Arial" w:cs="Arial"/>
                <w:color w:val="000000"/>
                <w:sz w:val="16"/>
                <w:szCs w:val="16"/>
              </w:rPr>
            </w:pPr>
          </w:p>
        </w:tc>
        <w:tc>
          <w:tcPr>
            <w:tcW w:w="992"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3.04%</w:t>
            </w:r>
          </w:p>
        </w:tc>
        <w:tc>
          <w:tcPr>
            <w:tcW w:w="969"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2.91%</w:t>
            </w:r>
          </w:p>
        </w:tc>
        <w:tc>
          <w:tcPr>
            <w:tcW w:w="1185"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2.29%</w:t>
            </w:r>
          </w:p>
        </w:tc>
        <w:tc>
          <w:tcPr>
            <w:tcW w:w="1107"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3"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r>
      <w:tr w:rsidR="008E0433" w:rsidTr="00E02264">
        <w:trPr>
          <w:trHeight w:val="195"/>
        </w:trPr>
        <w:tc>
          <w:tcPr>
            <w:tcW w:w="6585" w:type="dxa"/>
            <w:tcBorders>
              <w:bottom w:val="single" w:sz="6" w:space="0" w:color="003366"/>
            </w:tcBorders>
            <w:shd w:val="clear" w:color="auto" w:fill="FFFFFF"/>
            <w:noWrap/>
            <w:tcMar>
              <w:top w:w="0" w:type="dxa"/>
              <w:left w:w="5" w:type="dxa"/>
              <w:bottom w:w="0" w:type="dxa"/>
              <w:right w:w="5" w:type="dxa"/>
            </w:tcMar>
            <w:vAlign w:val="center"/>
            <w:hideMark/>
          </w:tcPr>
          <w:p w:rsidR="004E7E8B" w:rsidRDefault="00E02264">
            <w:pPr>
              <w:spacing w:line="240" w:lineRule="auto"/>
              <w:contextualSpacing/>
              <w:rPr>
                <w:rFonts w:eastAsia="Arial" w:cs="Arial"/>
                <w:color w:val="000000"/>
                <w:sz w:val="16"/>
                <w:szCs w:val="16"/>
              </w:rPr>
            </w:pPr>
            <w:r>
              <w:rPr>
                <w:rFonts w:eastAsia="Arial" w:cs="Arial"/>
                <w:color w:val="000000"/>
                <w:sz w:val="16"/>
                <w:szCs w:val="16"/>
              </w:rPr>
              <w:t xml:space="preserve">Third party customer funding rate </w:t>
            </w:r>
          </w:p>
        </w:tc>
        <w:tc>
          <w:tcPr>
            <w:tcW w:w="1353" w:type="dxa"/>
            <w:gridSpan w:val="2"/>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(0.31%)</w:t>
            </w:r>
          </w:p>
        </w:tc>
        <w:tc>
          <w:tcPr>
            <w:tcW w:w="1017" w:type="dxa"/>
            <w:gridSpan w:val="2"/>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(0.20%)</w:t>
            </w:r>
          </w:p>
        </w:tc>
        <w:tc>
          <w:tcPr>
            <w:tcW w:w="259"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4E7E8B">
            <w:pPr>
              <w:spacing w:line="240" w:lineRule="auto"/>
              <w:contextualSpacing/>
              <w:jc w:val="right"/>
              <w:rPr>
                <w:rFonts w:eastAsia="Arial" w:cs="Arial"/>
                <w:color w:val="000000"/>
                <w:sz w:val="16"/>
                <w:szCs w:val="16"/>
              </w:rPr>
            </w:pPr>
          </w:p>
        </w:tc>
        <w:tc>
          <w:tcPr>
            <w:tcW w:w="992"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(0.28%)</w:t>
            </w:r>
          </w:p>
        </w:tc>
        <w:tc>
          <w:tcPr>
            <w:tcW w:w="969"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(0.26%)</w:t>
            </w:r>
          </w:p>
        </w:tc>
        <w:tc>
          <w:tcPr>
            <w:tcW w:w="1185"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(0.11%)</w:t>
            </w:r>
          </w:p>
        </w:tc>
        <w:tc>
          <w:tcPr>
            <w:tcW w:w="1107"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963"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1035" w:type="dxa"/>
            <w:tcBorders>
              <w:bottom w:val="single" w:sz="6" w:space="0" w:color="003366"/>
            </w:tcBorders>
            <w:shd w:val="clear" w:color="auto" w:fill="FFFFFF"/>
            <w:noWrap/>
            <w:tcMar>
              <w:top w:w="0" w:type="dxa"/>
              <w:left w:w="5" w:type="dxa"/>
              <w:bottom w:w="0" w:type="dxa"/>
              <w:right w:w="5" w:type="dxa"/>
            </w:tcMar>
            <w:vAlign w:val="bottom"/>
            <w:hideMark/>
          </w:tcPr>
          <w:p w:rsidR="004E7E8B"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r>
    </w:tbl>
    <w:p w:rsidR="00B961CD" w:rsidRDefault="00B961CD"/>
    <w:p w:rsidR="00133D7F" w:rsidRPr="00676C88" w:rsidRDefault="00E02264" w:rsidP="00133D7F">
      <w:pPr>
        <w:pStyle w:val="Normal00"/>
        <w:keepNext/>
        <w:outlineLvl w:val="0"/>
        <w:rPr>
          <w:rFonts w:ascii="Arial" w:hAnsi="Arial" w:cs="Arial"/>
          <w:sz w:val="14"/>
          <w:szCs w:val="14"/>
          <w:lang w:eastAsia="ja-JP"/>
        </w:rPr>
      </w:pPr>
      <w:r w:rsidRPr="00676C88">
        <w:rPr>
          <w:rFonts w:ascii="Arial" w:hAnsi="Arial" w:cs="Arial"/>
          <w:sz w:val="14"/>
          <w:szCs w:val="14"/>
          <w:lang w:eastAsia="ja-JP"/>
        </w:rPr>
        <w:t>Notes:</w:t>
      </w:r>
    </w:p>
    <w:p w:rsidR="00133D7F" w:rsidRPr="00B427E4" w:rsidRDefault="00E02264" w:rsidP="00133D7F">
      <w:pPr>
        <w:pStyle w:val="Normal00"/>
        <w:numPr>
          <w:ilvl w:val="0"/>
          <w:numId w:val="4"/>
        </w:numPr>
        <w:rPr>
          <w:rFonts w:ascii="Arial" w:hAnsi="Arial" w:cs="Arial"/>
          <w:sz w:val="4"/>
          <w:szCs w:val="4"/>
        </w:rPr>
      </w:pPr>
      <w:r>
        <w:rPr>
          <w:rFonts w:ascii="Arial" w:hAnsi="Arial" w:cs="Arial"/>
          <w:sz w:val="14"/>
          <w:szCs w:val="14"/>
          <w:lang w:eastAsia="ja-JP"/>
        </w:rPr>
        <w:t>Central items include unallocated transactions, including volatile items under IFRS, items related to Alawwal bank merger and RMBS related charges.</w:t>
      </w:r>
    </w:p>
    <w:p w:rsidR="00133D7F" w:rsidRDefault="00E02264" w:rsidP="00133D7F">
      <w:pPr>
        <w:pStyle w:val="Normal00"/>
        <w:numPr>
          <w:ilvl w:val="0"/>
          <w:numId w:val="4"/>
        </w:numPr>
        <w:sectPr w:rsidR="00133D7F" w:rsidSect="005C79F4">
          <w:headerReference w:type="even" r:id="rId35"/>
          <w:headerReference w:type="default" r:id="rId36"/>
          <w:footerReference w:type="even" r:id="rId37"/>
          <w:footerReference w:type="default" r:id="rId38"/>
          <w:headerReference w:type="first" r:id="rId39"/>
          <w:footerReference w:type="first" r:id="rId40"/>
          <w:type w:val="continuous"/>
          <w:pgSz w:w="16838" w:h="11906" w:orient="landscape"/>
          <w:pgMar w:top="1134" w:right="851" w:bottom="680" w:left="851" w:header="709" w:footer="709" w:gutter="0"/>
          <w:cols w:space="708"/>
          <w:docGrid w:linePitch="360"/>
        </w:sectPr>
      </w:pPr>
      <w:r w:rsidRPr="00133D7F">
        <w:rPr>
          <w:rFonts w:ascii="Arial" w:hAnsi="Arial" w:cs="Arial"/>
          <w:sz w:val="14"/>
          <w:szCs w:val="14"/>
          <w:lang w:eastAsia="ja-JP"/>
        </w:rPr>
        <w:t xml:space="preserve">Refer to the Appendix for details of basis of preparation and reconciliation of non-IFRS performance measures where relevant. </w:t>
      </w:r>
    </w:p>
    <w:p w:rsidR="00525FD4" w:rsidRPr="00D924D4" w:rsidRDefault="00E02264" w:rsidP="00525FD4">
      <w:pPr>
        <w:pStyle w:val="Heading100"/>
        <w:pBdr>
          <w:bottom w:val="none" w:sz="0" w:space="0" w:color="auto"/>
        </w:pBdr>
        <w:rPr>
          <w:rFonts w:cs="Arial"/>
          <w:b/>
          <w:color w:val="0A2F64"/>
          <w:sz w:val="18"/>
          <w:szCs w:val="18"/>
        </w:rPr>
      </w:pPr>
      <w:bookmarkStart w:id="2" w:name="_Ref348012436"/>
      <w:r w:rsidRPr="00D924D4">
        <w:rPr>
          <w:rFonts w:cs="Arial"/>
          <w:b/>
          <w:color w:val="0A2F64"/>
          <w:sz w:val="18"/>
          <w:szCs w:val="18"/>
        </w:rPr>
        <w:lastRenderedPageBreak/>
        <w:t xml:space="preserve">Business performance summary </w:t>
      </w:r>
      <w:bookmarkEnd w:id="2"/>
    </w:p>
    <w:p w:rsidR="00C36715" w:rsidRDefault="00E02264" w:rsidP="00525FD4">
      <w:pPr>
        <w:pStyle w:val="Heading2"/>
        <w:rPr>
          <w:rFonts w:eastAsia="Times New Roman" w:cs="Arial"/>
          <w:bCs w:val="0"/>
          <w:color w:val="0A2F64"/>
          <w:szCs w:val="18"/>
          <w:lang w:eastAsia="ja-JP"/>
        </w:rPr>
      </w:pPr>
      <w:r w:rsidRPr="00525FD4">
        <w:rPr>
          <w:rFonts w:eastAsia="Times New Roman" w:cs="Arial"/>
          <w:bCs w:val="0"/>
          <w:color w:val="0A2F64"/>
          <w:szCs w:val="18"/>
          <w:lang w:eastAsia="ja-JP"/>
        </w:rPr>
        <w:t>Capital and leverage ratios</w:t>
      </w:r>
    </w:p>
    <w:p w:rsidR="00525FD4" w:rsidRDefault="00525FD4" w:rsidP="00525FD4">
      <w:pPr>
        <w:rPr>
          <w:lang w:eastAsia="ja-JP"/>
        </w:rPr>
      </w:pPr>
    </w:p>
    <w:tbl>
      <w:tblPr>
        <w:tblStyle w:val="table"/>
        <w:tblW w:w="10140" w:type="dxa"/>
        <w:tblInd w:w="5" w:type="dxa"/>
        <w:tblCellMar>
          <w:left w:w="0" w:type="dxa"/>
          <w:right w:w="0" w:type="dxa"/>
        </w:tblCellMar>
        <w:tblLook w:val="05E0" w:firstRow="1" w:lastRow="1" w:firstColumn="1" w:lastColumn="1" w:noHBand="0" w:noVBand="1"/>
      </w:tblPr>
      <w:tblGrid>
        <w:gridCol w:w="6810"/>
        <w:gridCol w:w="1110"/>
        <w:gridCol w:w="1110"/>
        <w:gridCol w:w="1110"/>
      </w:tblGrid>
      <w:tr w:rsidR="008E0433">
        <w:trPr>
          <w:trHeight w:val="195"/>
        </w:trPr>
        <w:tc>
          <w:tcPr>
            <w:tcW w:w="6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330" w:type="dxa"/>
            <w:gridSpan w:val="3"/>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 xml:space="preserve">End-point CRR basis </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31 December</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2060"/>
                <w:sz w:val="16"/>
                <w:szCs w:val="16"/>
              </w:rPr>
            </w:pPr>
            <w:r>
              <w:rPr>
                <w:rFonts w:eastAsia="Arial" w:cs="Arial"/>
                <w:b/>
                <w:bCs/>
                <w:color w:val="002060"/>
                <w:sz w:val="16"/>
                <w:szCs w:val="16"/>
              </w:rPr>
              <w:t>Capital adequacy ratios</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CET1 (%)</w:t>
            </w: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15.7</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16.2</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Tier 1 (%)</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18.4</w:t>
            </w:r>
          </w:p>
        </w:tc>
      </w:tr>
      <w:tr w:rsidR="008E0433">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Total (%)</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20.5</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20.9</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21.8</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Capital</w:t>
            </w:r>
          </w:p>
        </w:tc>
        <w:tc>
          <w:tcPr>
            <w:tcW w:w="1110" w:type="dxa"/>
            <w:shd w:val="clear" w:color="auto" w:fill="BFBFB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r>
      <w:tr w:rsidR="008E0433">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Tangible equity</w:t>
            </w: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32,930</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35,036</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34,566</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Expected loss less impairment provisions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(620)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(726)</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(654)</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Prudential valuation adjustment</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(466)</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(494)</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Deferred tax assets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(732)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(869)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(740)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Own credit adjustments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(405)</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Pension fund assets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(394)</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Cash flow hedging reserve</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(336)</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(117)</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191</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Foreseeable ordinary dividends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(2,053)</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(1,326)</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Other deductions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(105)</w:t>
            </w:r>
          </w:p>
        </w:tc>
      </w:tr>
      <w:tr w:rsidR="008E0433">
        <w:trPr>
          <w:trHeight w:val="195"/>
        </w:trPr>
        <w:tc>
          <w:tcPr>
            <w:tcW w:w="6810" w:type="dxa"/>
            <w:tcBorders>
              <w:top w:val="single" w:sz="6" w:space="0" w:color="002060"/>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3366"/>
                <w:sz w:val="16"/>
                <w:szCs w:val="16"/>
              </w:rPr>
            </w:pPr>
            <w:r>
              <w:rPr>
                <w:rFonts w:eastAsia="Arial" w:cs="Arial"/>
                <w:color w:val="003366"/>
                <w:sz w:val="16"/>
                <w:szCs w:val="16"/>
              </w:rPr>
              <w:t>Total deductions</w:t>
            </w:r>
          </w:p>
        </w:tc>
        <w:tc>
          <w:tcPr>
            <w:tcW w:w="1110" w:type="dxa"/>
            <w:tcBorders>
              <w:top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(3,157)</w:t>
            </w:r>
          </w:p>
        </w:tc>
        <w:tc>
          <w:tcPr>
            <w:tcW w:w="1110" w:type="dxa"/>
            <w:tcBorders>
              <w:top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(4,845)</w:t>
            </w:r>
          </w:p>
        </w:tc>
        <w:tc>
          <w:tcPr>
            <w:tcW w:w="1110" w:type="dxa"/>
            <w:tcBorders>
              <w:top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(3,927)</w:t>
            </w:r>
          </w:p>
        </w:tc>
      </w:tr>
      <w:tr w:rsidR="008E0433">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CET1 capital</w:t>
            </w: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29,773</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30,191</w:t>
            </w: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30,639</w:t>
            </w:r>
          </w:p>
        </w:tc>
      </w:tr>
      <w:tr w:rsidR="008E0433">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AT1 capital</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4,051</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4,051</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4,051</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Tier 1 capital</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33,824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34,242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34,690</w:t>
            </w:r>
          </w:p>
        </w:tc>
      </w:tr>
      <w:tr w:rsidR="008E0433">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Tier 2 capital</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4,980</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5,119</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6,483</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3366"/>
                <w:sz w:val="16"/>
                <w:szCs w:val="16"/>
              </w:rPr>
            </w:pPr>
            <w:r>
              <w:rPr>
                <w:rFonts w:eastAsia="Arial" w:cs="Arial"/>
                <w:color w:val="003366"/>
                <w:sz w:val="16"/>
                <w:szCs w:val="16"/>
              </w:rPr>
              <w:t>Total regulatory capital</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38,804</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39,361</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41,173</w:t>
            </w:r>
          </w:p>
        </w:tc>
      </w:tr>
      <w:tr w:rsidR="008E0433">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3366"/>
                <w:sz w:val="16"/>
                <w:szCs w:val="16"/>
              </w:rPr>
            </w:pP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Risk-weighted assets</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Credit risk</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136,200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137,100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137,900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Counterparty credit risk</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14,200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13,600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Market risk</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15,700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14,600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14,800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Operational risk</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22,600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22,600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22,400</w:t>
            </w:r>
          </w:p>
        </w:tc>
      </w:tr>
      <w:tr w:rsidR="008E0433">
        <w:trPr>
          <w:trHeight w:val="195"/>
        </w:trPr>
        <w:tc>
          <w:tcPr>
            <w:tcW w:w="68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3366"/>
                <w:sz w:val="16"/>
                <w:szCs w:val="16"/>
              </w:rPr>
            </w:pPr>
            <w:r>
              <w:rPr>
                <w:rFonts w:eastAsia="Arial" w:cs="Arial"/>
                <w:color w:val="003366"/>
                <w:sz w:val="16"/>
                <w:szCs w:val="16"/>
              </w:rPr>
              <w:t>Total RWAs</w:t>
            </w: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189,500</w:t>
            </w:r>
          </w:p>
        </w:tc>
        <w:tc>
          <w:tcPr>
            <w:tcW w:w="11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188,500</w:t>
            </w:r>
          </w:p>
        </w:tc>
        <w:tc>
          <w:tcPr>
            <w:tcW w:w="11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188,700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Leverage</w:t>
            </w: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tcBorders>
              <w:top w:val="single" w:sz="6" w:space="0" w:color="002060"/>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Cash and balances at central banks</w:t>
            </w:r>
          </w:p>
        </w:tc>
        <w:tc>
          <w:tcPr>
            <w:tcW w:w="1110" w:type="dxa"/>
            <w:tcBorders>
              <w:top w:val="single" w:sz="6" w:space="0" w:color="00206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84,300</w:t>
            </w:r>
          </w:p>
        </w:tc>
        <w:tc>
          <w:tcPr>
            <w:tcW w:w="1110" w:type="dxa"/>
            <w:tcBorders>
              <w:top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85,400</w:t>
            </w:r>
          </w:p>
        </w:tc>
        <w:tc>
          <w:tcPr>
            <w:tcW w:w="1110" w:type="dxa"/>
            <w:tcBorders>
              <w:top w:val="single" w:sz="6" w:space="0" w:color="002060"/>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88,900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Trading assets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91,600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85,400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75,100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Derivatives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175,800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145,600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133,300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Financial assets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396,400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389,200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377,500</w:t>
            </w:r>
          </w:p>
        </w:tc>
      </w:tr>
      <w:tr w:rsidR="008E0433">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Other assets</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28,400</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24,300</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19,400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3366"/>
                <w:sz w:val="16"/>
                <w:szCs w:val="16"/>
              </w:rPr>
            </w:pPr>
            <w:r>
              <w:rPr>
                <w:rFonts w:eastAsia="Arial" w:cs="Arial"/>
                <w:color w:val="003366"/>
                <w:sz w:val="16"/>
                <w:szCs w:val="16"/>
              </w:rPr>
              <w:t>Total assets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776,500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729,900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694,200</w:t>
            </w:r>
          </w:p>
        </w:tc>
      </w:tr>
      <w:tr w:rsidR="008E0433">
        <w:trPr>
          <w:trHeight w:val="75"/>
        </w:trPr>
        <w:tc>
          <w:tcPr>
            <w:tcW w:w="6810" w:type="dxa"/>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3366"/>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Derivatives</w:t>
            </w: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netting and variation margin</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(189,800)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(156,600)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(141,300)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potential future exposures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47,200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44,100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42,100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Securities financing transactions gross up</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1,900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Undrawn commitments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43,900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49,300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50,300</w:t>
            </w: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Regulatory deductions and other adjustments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(9,400)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(9,500)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(2,900)</w:t>
            </w:r>
          </w:p>
        </w:tc>
      </w:tr>
      <w:tr w:rsidR="008E0433">
        <w:trPr>
          <w:trHeight w:val="195"/>
        </w:trPr>
        <w:tc>
          <w:tcPr>
            <w:tcW w:w="68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xml:space="preserve">CRR leverage exposure </w:t>
            </w: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670,100</w:t>
            </w:r>
          </w:p>
        </w:tc>
        <w:tc>
          <w:tcPr>
            <w:tcW w:w="11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659,100</w:t>
            </w:r>
          </w:p>
        </w:tc>
        <w:tc>
          <w:tcPr>
            <w:tcW w:w="11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644,500</w:t>
            </w:r>
          </w:p>
        </w:tc>
      </w:tr>
      <w:tr w:rsidR="008E0433">
        <w:trPr>
          <w:trHeight w:val="75"/>
        </w:trPr>
        <w:tc>
          <w:tcPr>
            <w:tcW w:w="6810" w:type="dxa"/>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Style w:val="font4"/>
              </w:rPr>
              <w:t>CRR leverage ratio %</w:t>
            </w:r>
            <w:r>
              <w:rPr>
                <w:rStyle w:val="font71"/>
              </w:rPr>
              <w:t> (1)</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5.0</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5.2</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5.4</w:t>
            </w:r>
          </w:p>
        </w:tc>
      </w:tr>
      <w:tr w:rsidR="008E0433">
        <w:trPr>
          <w:trHeight w:val="75"/>
        </w:trPr>
        <w:tc>
          <w:tcPr>
            <w:tcW w:w="6810" w:type="dxa"/>
            <w:tcBorders>
              <w:top w:val="single" w:sz="6" w:space="0" w:color="003366"/>
            </w:tcBorders>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UK leverage exposure</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589,500</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576,600</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559,500</w:t>
            </w:r>
          </w:p>
        </w:tc>
      </w:tr>
      <w:tr w:rsidR="008E0433">
        <w:trPr>
          <w:trHeight w:val="75"/>
        </w:trPr>
        <w:tc>
          <w:tcPr>
            <w:tcW w:w="6810" w:type="dxa"/>
            <w:tcBorders>
              <w:top w:val="single" w:sz="6" w:space="0" w:color="003366"/>
            </w:tcBorders>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r>
      <w:tr w:rsidR="008E0433">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rPr>
                <w:rFonts w:eastAsia="Arial" w:cs="Arial"/>
                <w:color w:val="000000"/>
                <w:sz w:val="16"/>
                <w:szCs w:val="16"/>
              </w:rPr>
            </w:pPr>
            <w:r>
              <w:rPr>
                <w:rStyle w:val="font4"/>
              </w:rPr>
              <w:t>UK leverage ratio %</w:t>
            </w:r>
            <w:r>
              <w:rPr>
                <w:rStyle w:val="font71"/>
              </w:rPr>
              <w:t> (2)</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5.9</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6.2</w:t>
            </w:r>
          </w:p>
        </w:tc>
      </w:tr>
    </w:tbl>
    <w:p w:rsidR="009A5F37" w:rsidRDefault="009A5F37" w:rsidP="00525FD4">
      <w:pPr>
        <w:rPr>
          <w:lang w:eastAsia="ja-JP"/>
        </w:rPr>
      </w:pPr>
    </w:p>
    <w:p w:rsidR="00525FD4" w:rsidRDefault="00E02264" w:rsidP="00525FD4">
      <w:pPr>
        <w:pStyle w:val="Normal00"/>
        <w:jc w:val="both"/>
        <w:rPr>
          <w:rFonts w:ascii="Arial" w:hAnsi="Arial" w:cs="Arial"/>
          <w:sz w:val="14"/>
          <w:szCs w:val="14"/>
          <w:lang w:eastAsia="ja-JP"/>
        </w:rPr>
      </w:pPr>
      <w:r w:rsidRPr="00572DEB">
        <w:rPr>
          <w:rFonts w:ascii="Arial" w:hAnsi="Arial" w:cs="Arial"/>
          <w:sz w:val="14"/>
          <w:szCs w:val="14"/>
          <w:lang w:eastAsia="ja-JP"/>
        </w:rPr>
        <w:t>Notes: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14"/>
      </w:tblGrid>
      <w:tr w:rsidR="008E0433" w:rsidTr="00963C8E">
        <w:tc>
          <w:tcPr>
            <w:tcW w:w="392" w:type="dxa"/>
          </w:tcPr>
          <w:p w:rsidR="005C2A50" w:rsidRDefault="00E02264" w:rsidP="00525FD4">
            <w:pPr>
              <w:pStyle w:val="Normal00"/>
              <w:jc w:val="both"/>
              <w:rPr>
                <w:rFonts w:ascii="Arial" w:hAnsi="Arial" w:cs="Arial"/>
                <w:sz w:val="14"/>
                <w:szCs w:val="14"/>
                <w:lang w:eastAsia="ja-JP"/>
              </w:rPr>
            </w:pPr>
            <w:r>
              <w:rPr>
                <w:rFonts w:ascii="Arial" w:hAnsi="Arial" w:cs="Arial"/>
                <w:sz w:val="14"/>
                <w:szCs w:val="14"/>
                <w:lang w:eastAsia="ja-JP"/>
              </w:rPr>
              <w:t>(1)</w:t>
            </w:r>
          </w:p>
        </w:tc>
        <w:tc>
          <w:tcPr>
            <w:tcW w:w="9814" w:type="dxa"/>
          </w:tcPr>
          <w:p w:rsidR="005C2A50" w:rsidRPr="005C2A50" w:rsidRDefault="00E02264" w:rsidP="005C2A50">
            <w:pPr>
              <w:pStyle w:val="Normal00"/>
              <w:rPr>
                <w:rFonts w:ascii="Arial" w:hAnsi="Arial" w:cs="Arial"/>
                <w:b/>
                <w:color w:val="003366"/>
                <w:sz w:val="20"/>
                <w:szCs w:val="20"/>
              </w:rPr>
            </w:pPr>
            <w:r w:rsidRPr="00572DEB">
              <w:rPr>
                <w:rFonts w:ascii="Arial" w:hAnsi="Arial" w:cs="Arial"/>
                <w:sz w:val="14"/>
                <w:szCs w:val="14"/>
              </w:rPr>
              <w:t xml:space="preserve">Based on end-point </w:t>
            </w:r>
            <w:smartTag w:uri="urn:schemas-microsoft-com:office:smarttags" w:element="stockticker">
              <w:r w:rsidRPr="00572DEB">
                <w:rPr>
                  <w:rFonts w:ascii="Arial" w:hAnsi="Arial" w:cs="Arial"/>
                  <w:sz w:val="14"/>
                  <w:szCs w:val="14"/>
                </w:rPr>
                <w:t>CRR</w:t>
              </w:r>
            </w:smartTag>
            <w:r w:rsidRPr="00572DEB">
              <w:rPr>
                <w:rFonts w:ascii="Arial" w:hAnsi="Arial" w:cs="Arial"/>
                <w:sz w:val="14"/>
                <w:szCs w:val="14"/>
              </w:rPr>
              <w:t xml:space="preserve"> Tier 1 capital and leverage exposure under the CRR Delegated Act.</w:t>
            </w:r>
          </w:p>
        </w:tc>
      </w:tr>
      <w:tr w:rsidR="008E0433" w:rsidTr="00963C8E">
        <w:tc>
          <w:tcPr>
            <w:tcW w:w="392" w:type="dxa"/>
          </w:tcPr>
          <w:p w:rsidR="005C2A50" w:rsidRDefault="00E02264" w:rsidP="00525FD4">
            <w:pPr>
              <w:pStyle w:val="Normal00"/>
              <w:jc w:val="both"/>
              <w:rPr>
                <w:rFonts w:ascii="Arial" w:hAnsi="Arial" w:cs="Arial"/>
                <w:sz w:val="14"/>
                <w:szCs w:val="14"/>
                <w:lang w:eastAsia="ja-JP"/>
              </w:rPr>
            </w:pPr>
            <w:r>
              <w:rPr>
                <w:rFonts w:ascii="Arial" w:hAnsi="Arial" w:cs="Arial"/>
                <w:sz w:val="14"/>
                <w:szCs w:val="14"/>
                <w:lang w:eastAsia="ja-JP"/>
              </w:rPr>
              <w:t>(2)</w:t>
            </w:r>
          </w:p>
        </w:tc>
        <w:tc>
          <w:tcPr>
            <w:tcW w:w="9814" w:type="dxa"/>
          </w:tcPr>
          <w:p w:rsidR="005C2A50" w:rsidRDefault="00E02264" w:rsidP="00525FD4">
            <w:pPr>
              <w:pStyle w:val="Normal00"/>
              <w:jc w:val="both"/>
              <w:rPr>
                <w:rFonts w:ascii="Arial" w:hAnsi="Arial" w:cs="Arial"/>
                <w:sz w:val="14"/>
                <w:szCs w:val="14"/>
                <w:lang w:eastAsia="ja-JP"/>
              </w:rPr>
            </w:pPr>
            <w:r>
              <w:rPr>
                <w:rFonts w:ascii="Arial" w:hAnsi="Arial" w:cs="Arial"/>
                <w:sz w:val="14"/>
                <w:szCs w:val="14"/>
              </w:rPr>
              <w:t>Based on end-point CRR Tier 1 capital and UK leverage exposures reflecting the post EU referendum measures announced by the Bank of England in the third quarter of 2016.</w:t>
            </w:r>
          </w:p>
        </w:tc>
      </w:tr>
    </w:tbl>
    <w:p w:rsidR="00525FD4" w:rsidRPr="00525FD4" w:rsidRDefault="00525FD4" w:rsidP="00525FD4">
      <w:pPr>
        <w:rPr>
          <w:lang w:eastAsia="ja-JP"/>
        </w:rPr>
        <w:sectPr w:rsidR="00525FD4" w:rsidRPr="00525FD4">
          <w:headerReference w:type="even" r:id="rId41"/>
          <w:headerReference w:type="default" r:id="rId42"/>
          <w:footerReference w:type="even" r:id="rId43"/>
          <w:footerReference w:type="default" r:id="rId44"/>
          <w:headerReference w:type="first" r:id="rId45"/>
          <w:footerReference w:type="first" r:id="rId46"/>
          <w:type w:val="continuous"/>
          <w:pgSz w:w="11906" w:h="16838"/>
          <w:pgMar w:top="1134" w:right="851" w:bottom="680" w:left="851" w:header="709" w:footer="709" w:gutter="0"/>
          <w:cols w:space="708"/>
          <w:docGrid w:linePitch="360"/>
        </w:sectPr>
      </w:pPr>
    </w:p>
    <w:p w:rsidR="00A73DAA" w:rsidRDefault="00E02264" w:rsidP="00F57394">
      <w:pPr>
        <w:pStyle w:val="Normal00"/>
        <w:rPr>
          <w:rFonts w:ascii="Arial" w:hAnsi="Arial" w:cs="Arial"/>
          <w:b/>
          <w:color w:val="0A2F64"/>
          <w:sz w:val="18"/>
          <w:szCs w:val="18"/>
        </w:rPr>
      </w:pPr>
      <w:r>
        <w:rPr>
          <w:rFonts w:ascii="Arial" w:hAnsi="Arial" w:cs="Arial"/>
          <w:b/>
          <w:color w:val="0A2F64"/>
          <w:sz w:val="18"/>
          <w:szCs w:val="18"/>
        </w:rPr>
        <w:lastRenderedPageBreak/>
        <w:br w:type="page"/>
      </w:r>
    </w:p>
    <w:p w:rsidR="00F57394" w:rsidRPr="00343474" w:rsidRDefault="00E02264" w:rsidP="00F57394">
      <w:pPr>
        <w:pStyle w:val="Normal00"/>
        <w:rPr>
          <w:rFonts w:ascii="Arial" w:hAnsi="Arial" w:cs="Arial"/>
          <w:b/>
          <w:color w:val="0A2F64"/>
          <w:sz w:val="18"/>
          <w:szCs w:val="18"/>
        </w:rPr>
      </w:pPr>
      <w:r w:rsidRPr="00343474">
        <w:rPr>
          <w:rFonts w:ascii="Arial" w:hAnsi="Arial" w:cs="Arial"/>
          <w:b/>
          <w:color w:val="0A2F64"/>
          <w:sz w:val="18"/>
          <w:szCs w:val="18"/>
        </w:rPr>
        <w:lastRenderedPageBreak/>
        <w:t>Condensed consolidated income statement for the period ended 30 September 2019</w:t>
      </w:r>
      <w:r w:rsidRPr="00343474">
        <w:rPr>
          <w:rFonts w:ascii="Arial" w:hAnsi="Arial" w:cs="Arial"/>
          <w:b/>
          <w:color w:val="0A2F64"/>
          <w:sz w:val="14"/>
          <w:szCs w:val="14"/>
        </w:rPr>
        <w:t xml:space="preserve"> </w:t>
      </w:r>
      <w:r w:rsidRPr="00E84D65">
        <w:rPr>
          <w:rFonts w:ascii="Arial" w:hAnsi="Arial" w:cs="Arial"/>
          <w:color w:val="0A2F64"/>
          <w:sz w:val="14"/>
          <w:szCs w:val="14"/>
        </w:rPr>
        <w:t>(unaudited)</w:t>
      </w:r>
    </w:p>
    <w:p w:rsidR="00C36715" w:rsidRDefault="00C36715"/>
    <w:tbl>
      <w:tblPr>
        <w:tblStyle w:val="table"/>
        <w:tblW w:w="10100" w:type="dxa"/>
        <w:tblInd w:w="5" w:type="dxa"/>
        <w:tblCellMar>
          <w:left w:w="0" w:type="dxa"/>
          <w:right w:w="0" w:type="dxa"/>
        </w:tblCellMar>
        <w:tblLook w:val="05E0" w:firstRow="1" w:lastRow="1" w:firstColumn="1" w:lastColumn="1" w:noHBand="0" w:noVBand="1"/>
      </w:tblPr>
      <w:tblGrid>
        <w:gridCol w:w="4479"/>
        <w:gridCol w:w="1110"/>
        <w:gridCol w:w="1109"/>
        <w:gridCol w:w="75"/>
        <w:gridCol w:w="1109"/>
        <w:gridCol w:w="1109"/>
        <w:gridCol w:w="1109"/>
      </w:tblGrid>
      <w:tr w:rsidR="008E0433">
        <w:trPr>
          <w:trHeight w:val="195"/>
        </w:trPr>
        <w:tc>
          <w:tcPr>
            <w:tcW w:w="4485" w:type="dxa"/>
            <w:shd w:val="clear" w:color="auto" w:fill="FFFFFF"/>
            <w:tcMar>
              <w:top w:w="0" w:type="dxa"/>
              <w:left w:w="5" w:type="dxa"/>
              <w:bottom w:w="0" w:type="dxa"/>
              <w:right w:w="5" w:type="dxa"/>
            </w:tcMar>
            <w:hideMark/>
          </w:tcPr>
          <w:p w:rsidR="00F840CB" w:rsidRDefault="00F840CB">
            <w:pPr>
              <w:spacing w:line="240" w:lineRule="auto"/>
              <w:contextualSpacing/>
              <w:rPr>
                <w:rFonts w:eastAsia="Arial" w:cs="Arial"/>
                <w:color w:val="003366"/>
                <w:sz w:val="16"/>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Nine months ended</w:t>
            </w:r>
          </w:p>
        </w:tc>
        <w:tc>
          <w:tcPr>
            <w:tcW w:w="75" w:type="dxa"/>
            <w:shd w:val="clear" w:color="auto" w:fill="FFFFFF"/>
            <w:noWrap/>
            <w:tcMar>
              <w:top w:w="0" w:type="dxa"/>
              <w:left w:w="5" w:type="dxa"/>
              <w:bottom w:w="0" w:type="dxa"/>
              <w:right w:w="5" w:type="dxa"/>
            </w:tcMar>
            <w:vAlign w:val="bottom"/>
            <w:hideMark/>
          </w:tcPr>
          <w:p w:rsidR="00F840CB" w:rsidRDefault="00F840CB">
            <w:pPr>
              <w:spacing w:line="240" w:lineRule="auto"/>
              <w:contextualSpacing/>
              <w:rPr>
                <w:rFonts w:eastAsia="Arial" w:cs="Arial"/>
                <w:color w:val="000000"/>
                <w:sz w:val="16"/>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r>
      <w:tr w:rsidR="008E0433">
        <w:trPr>
          <w:trHeight w:val="195"/>
        </w:trPr>
        <w:tc>
          <w:tcPr>
            <w:tcW w:w="4485" w:type="dxa"/>
            <w:shd w:val="clear" w:color="auto" w:fill="FFFFFF"/>
            <w:tcMar>
              <w:top w:w="0" w:type="dxa"/>
              <w:left w:w="5" w:type="dxa"/>
              <w:bottom w:w="0" w:type="dxa"/>
              <w:right w:w="5" w:type="dxa"/>
            </w:tcMar>
            <w:hideMark/>
          </w:tcPr>
          <w:p w:rsidR="00F840CB" w:rsidRDefault="00F840CB">
            <w:pPr>
              <w:spacing w:line="240" w:lineRule="auto"/>
              <w:contextualSpacing/>
              <w:rPr>
                <w:rFonts w:eastAsia="Arial" w:cs="Arial"/>
                <w:color w:val="003366"/>
                <w:sz w:val="16"/>
                <w:szCs w:val="16"/>
              </w:rPr>
            </w:pP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75" w:type="dxa"/>
            <w:shd w:val="clear" w:color="auto" w:fill="FFFFFF"/>
            <w:noWrap/>
            <w:tcMar>
              <w:top w:w="0" w:type="dxa"/>
              <w:left w:w="5" w:type="dxa"/>
              <w:bottom w:w="0" w:type="dxa"/>
              <w:right w:w="5" w:type="dxa"/>
            </w:tcMar>
            <w:vAlign w:val="bottom"/>
            <w:hideMark/>
          </w:tcPr>
          <w:p w:rsidR="00F840CB" w:rsidRDefault="00F840CB">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r>
      <w:tr w:rsidR="008E0433">
        <w:trPr>
          <w:trHeight w:val="195"/>
        </w:trPr>
        <w:tc>
          <w:tcPr>
            <w:tcW w:w="4485" w:type="dxa"/>
            <w:shd w:val="clear" w:color="auto" w:fill="FFFFFF"/>
            <w:tcMar>
              <w:top w:w="0" w:type="dxa"/>
              <w:left w:w="5" w:type="dxa"/>
              <w:bottom w:w="0" w:type="dxa"/>
              <w:right w:w="5" w:type="dxa"/>
            </w:tcMar>
            <w:hideMark/>
          </w:tcPr>
          <w:p w:rsidR="00F840CB" w:rsidRDefault="00F840CB">
            <w:pPr>
              <w:spacing w:line="240" w:lineRule="auto"/>
              <w:contextualSpacing/>
              <w:rPr>
                <w:rFonts w:eastAsia="Arial" w:cs="Arial"/>
                <w:color w:val="003366"/>
                <w:sz w:val="16"/>
                <w:szCs w:val="16"/>
              </w:rPr>
            </w:pP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c>
          <w:tcPr>
            <w:tcW w:w="75" w:type="dxa"/>
            <w:shd w:val="clear" w:color="auto" w:fill="FFFFFF"/>
            <w:noWrap/>
            <w:tcMar>
              <w:top w:w="0" w:type="dxa"/>
              <w:left w:w="5" w:type="dxa"/>
              <w:bottom w:w="0" w:type="dxa"/>
              <w:right w:w="5" w:type="dxa"/>
            </w:tcMar>
            <w:vAlign w:val="bottom"/>
            <w:hideMark/>
          </w:tcPr>
          <w:p w:rsidR="00F840CB" w:rsidRDefault="00F840CB">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4485" w:type="dxa"/>
            <w:shd w:val="clear" w:color="auto" w:fill="FFFFFF"/>
            <w:tcMar>
              <w:top w:w="0" w:type="dxa"/>
              <w:left w:w="5" w:type="dxa"/>
              <w:bottom w:w="0" w:type="dxa"/>
              <w:right w:w="5" w:type="dxa"/>
            </w:tcMar>
            <w:hideMark/>
          </w:tcPr>
          <w:p w:rsidR="00F840CB" w:rsidRDefault="00F840CB">
            <w:pPr>
              <w:spacing w:line="240" w:lineRule="auto"/>
              <w:contextualSpacing/>
              <w:rPr>
                <w:rFonts w:eastAsia="Arial" w:cs="Arial"/>
                <w:color w:val="003366"/>
                <w:sz w:val="16"/>
                <w:szCs w:val="16"/>
              </w:rPr>
            </w:pP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 </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3366"/>
                <w:sz w:val="16"/>
                <w:szCs w:val="16"/>
              </w:rPr>
            </w:pPr>
            <w:r>
              <w:rPr>
                <w:rFonts w:eastAsia="Arial" w:cs="Arial"/>
                <w:color w:val="003366"/>
                <w:sz w:val="16"/>
                <w:szCs w:val="16"/>
              </w:rPr>
              <w:t>£m </w:t>
            </w:r>
          </w:p>
        </w:tc>
        <w:tc>
          <w:tcPr>
            <w:tcW w:w="75" w:type="dxa"/>
            <w:shd w:val="clear" w:color="auto" w:fill="FFFFFF"/>
            <w:noWrap/>
            <w:tcMar>
              <w:top w:w="0" w:type="dxa"/>
              <w:left w:w="5" w:type="dxa"/>
              <w:bottom w:w="0" w:type="dxa"/>
              <w:right w:w="5" w:type="dxa"/>
            </w:tcMar>
            <w:vAlign w:val="bottom"/>
            <w:hideMark/>
          </w:tcPr>
          <w:p w:rsidR="00F840CB" w:rsidRDefault="00F840CB">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 </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3366"/>
                <w:sz w:val="16"/>
                <w:szCs w:val="16"/>
              </w:rPr>
            </w:pPr>
            <w:r>
              <w:rPr>
                <w:rFonts w:eastAsia="Arial" w:cs="Arial"/>
                <w:color w:val="003366"/>
                <w:sz w:val="16"/>
                <w:szCs w:val="16"/>
              </w:rPr>
              <w:t>£m </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3366"/>
                <w:sz w:val="16"/>
                <w:szCs w:val="16"/>
              </w:rPr>
            </w:pPr>
            <w:r>
              <w:rPr>
                <w:rFonts w:eastAsia="Arial" w:cs="Arial"/>
                <w:color w:val="003366"/>
                <w:sz w:val="16"/>
                <w:szCs w:val="16"/>
              </w:rPr>
              <w:t>£m </w:t>
            </w:r>
          </w:p>
        </w:tc>
      </w:tr>
      <w:tr w:rsidR="008E0433">
        <w:trPr>
          <w:trHeight w:val="195"/>
        </w:trPr>
        <w:tc>
          <w:tcPr>
            <w:tcW w:w="4485" w:type="dxa"/>
            <w:tcBorders>
              <w:top w:val="single" w:sz="6" w:space="0" w:color="000080"/>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Interest receivable</w:t>
            </w:r>
          </w:p>
        </w:tc>
        <w:tc>
          <w:tcPr>
            <w:tcW w:w="1110" w:type="dxa"/>
            <w:tcBorders>
              <w:top w:val="single" w:sz="6" w:space="0" w:color="000080"/>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8,474</w:t>
            </w:r>
          </w:p>
        </w:tc>
        <w:tc>
          <w:tcPr>
            <w:tcW w:w="1110" w:type="dxa"/>
            <w:tcBorders>
              <w:top w:val="single" w:sz="6" w:space="0" w:color="000080"/>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8,224</w:t>
            </w:r>
          </w:p>
        </w:tc>
        <w:tc>
          <w:tcPr>
            <w:tcW w:w="75" w:type="dxa"/>
            <w:tcBorders>
              <w:top w:val="single" w:sz="6" w:space="0" w:color="002060"/>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top w:val="single" w:sz="6" w:space="0" w:color="000080"/>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2,921</w:t>
            </w:r>
          </w:p>
        </w:tc>
        <w:tc>
          <w:tcPr>
            <w:tcW w:w="1110" w:type="dxa"/>
            <w:tcBorders>
              <w:top w:val="single" w:sz="6" w:space="0" w:color="000080"/>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2,806</w:t>
            </w:r>
          </w:p>
        </w:tc>
        <w:tc>
          <w:tcPr>
            <w:tcW w:w="1110" w:type="dxa"/>
            <w:tcBorders>
              <w:top w:val="single" w:sz="6" w:space="0" w:color="000080"/>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2,780</w:t>
            </w:r>
          </w:p>
        </w:tc>
      </w:tr>
      <w:tr w:rsidR="008E0433">
        <w:trPr>
          <w:trHeight w:val="195"/>
        </w:trPr>
        <w:tc>
          <w:tcPr>
            <w:tcW w:w="4485"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Interest payable</w:t>
            </w:r>
          </w:p>
        </w:tc>
        <w:tc>
          <w:tcPr>
            <w:tcW w:w="1110" w:type="dxa"/>
            <w:tcBorders>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(2,464)</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(1,744)</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(915)</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(835)</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(626)</w:t>
            </w:r>
          </w:p>
        </w:tc>
      </w:tr>
      <w:tr w:rsidR="008E0433">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b/>
                <w:bCs/>
                <w:color w:val="003366"/>
                <w:sz w:val="16"/>
                <w:szCs w:val="16"/>
              </w:rPr>
            </w:pPr>
            <w:r>
              <w:rPr>
                <w:rStyle w:val="font710"/>
              </w:rPr>
              <w:t xml:space="preserve">Net interest income </w:t>
            </w:r>
            <w:r>
              <w:rPr>
                <w:rStyle w:val="font1200"/>
              </w:rPr>
              <w:t>(1)</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6,010</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6,480</w:t>
            </w:r>
          </w:p>
        </w:tc>
        <w:tc>
          <w:tcPr>
            <w:tcW w:w="75" w:type="dxa"/>
            <w:tcBorders>
              <w:top w:val="single" w:sz="6" w:space="0" w:color="002060"/>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2,006</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1,971</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2,154</w:t>
            </w:r>
          </w:p>
        </w:tc>
      </w:tr>
      <w:tr w:rsidR="008E0433">
        <w:trPr>
          <w:trHeight w:val="195"/>
        </w:trPr>
        <w:tc>
          <w:tcPr>
            <w:tcW w:w="4485" w:type="dxa"/>
            <w:tcBorders>
              <w:top w:val="single" w:sz="6" w:space="0" w:color="002060"/>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Fees and commissions receivable</w:t>
            </w:r>
          </w:p>
        </w:tc>
        <w:tc>
          <w:tcPr>
            <w:tcW w:w="1110" w:type="dxa"/>
            <w:tcBorders>
              <w:top w:val="single" w:sz="6" w:space="0" w:color="002060"/>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2,570</w:t>
            </w:r>
          </w:p>
        </w:tc>
        <w:tc>
          <w:tcPr>
            <w:tcW w:w="1110" w:type="dxa"/>
            <w:tcBorders>
              <w:top w:val="single" w:sz="6" w:space="0" w:color="002060"/>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2,433</w:t>
            </w:r>
          </w:p>
        </w:tc>
        <w:tc>
          <w:tcPr>
            <w:tcW w:w="75" w:type="dxa"/>
            <w:tcBorders>
              <w:top w:val="single" w:sz="6" w:space="0" w:color="002060"/>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top w:val="single" w:sz="6" w:space="0" w:color="002060"/>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808</w:t>
            </w:r>
          </w:p>
        </w:tc>
        <w:tc>
          <w:tcPr>
            <w:tcW w:w="1110" w:type="dxa"/>
            <w:tcBorders>
              <w:top w:val="single" w:sz="6" w:space="0" w:color="002060"/>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857</w:t>
            </w:r>
          </w:p>
        </w:tc>
        <w:tc>
          <w:tcPr>
            <w:tcW w:w="1110" w:type="dxa"/>
            <w:tcBorders>
              <w:top w:val="single" w:sz="6" w:space="0" w:color="002060"/>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787</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Fees and commissions payable</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(673)</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(671)</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(186)</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(243)</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(220)</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Income from trading activities</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794</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1,346</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195</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375</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499</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Other operating income</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1,319</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756</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80</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1,120</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422</w:t>
            </w:r>
          </w:p>
        </w:tc>
      </w:tr>
      <w:tr w:rsidR="008E0433">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b/>
                <w:bCs/>
                <w:color w:val="003366"/>
                <w:sz w:val="16"/>
                <w:szCs w:val="16"/>
              </w:rPr>
            </w:pPr>
            <w:r>
              <w:rPr>
                <w:rFonts w:eastAsia="Arial" w:cs="Arial"/>
                <w:b/>
                <w:bCs/>
                <w:color w:val="003366"/>
                <w:sz w:val="16"/>
                <w:szCs w:val="16"/>
              </w:rPr>
              <w:t>Non-interest income</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4,010</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3,864</w:t>
            </w:r>
          </w:p>
        </w:tc>
        <w:tc>
          <w:tcPr>
            <w:tcW w:w="75" w:type="dxa"/>
            <w:tcBorders>
              <w:top w:val="single" w:sz="6" w:space="0" w:color="002060"/>
              <w:bottom w:val="single" w:sz="6" w:space="0" w:color="002060"/>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897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2,109</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1,488</w:t>
            </w:r>
          </w:p>
        </w:tc>
      </w:tr>
      <w:tr w:rsidR="008E0433">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b/>
                <w:bCs/>
                <w:color w:val="003366"/>
                <w:sz w:val="16"/>
                <w:szCs w:val="16"/>
              </w:rPr>
            </w:pPr>
            <w:r>
              <w:rPr>
                <w:rFonts w:eastAsia="Arial" w:cs="Arial"/>
                <w:b/>
                <w:bCs/>
                <w:color w:val="003366"/>
                <w:sz w:val="16"/>
                <w:szCs w:val="16"/>
              </w:rPr>
              <w:t>Total income</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10,020</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10,344</w:t>
            </w:r>
          </w:p>
        </w:tc>
        <w:tc>
          <w:tcPr>
            <w:tcW w:w="75" w:type="dxa"/>
            <w:tcBorders>
              <w:bottom w:val="single" w:sz="6" w:space="0" w:color="003366"/>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2,903</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4,080</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3,642</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Staff costs</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(3,028)</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(3,108)</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(1,000)</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(1,017)</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(1,022)</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Premises and equipment</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(823)</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(972)</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(265)</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(293)</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(328)</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Other administrative expenses</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(2,085)</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(2,521)</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(1,222)</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(445)</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(885)</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Depreciation and amortisation</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(853)</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(544)</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(232)</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(377)</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(206)</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Write down of other intangible assets</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4485" w:type="dxa"/>
            <w:tcBorders>
              <w:top w:val="single" w:sz="6" w:space="0" w:color="002060"/>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expenses</w:t>
            </w:r>
          </w:p>
        </w:tc>
        <w:tc>
          <w:tcPr>
            <w:tcW w:w="1110" w:type="dxa"/>
            <w:tcBorders>
              <w:top w:val="single" w:sz="6" w:space="0" w:color="002060"/>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(6,798)</w:t>
            </w:r>
          </w:p>
        </w:tc>
        <w:tc>
          <w:tcPr>
            <w:tcW w:w="1110" w:type="dxa"/>
            <w:tcBorders>
              <w:top w:val="single" w:sz="6" w:space="0" w:color="002060"/>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(7,176)</w:t>
            </w:r>
          </w:p>
        </w:tc>
        <w:tc>
          <w:tcPr>
            <w:tcW w:w="75" w:type="dxa"/>
            <w:tcBorders>
              <w:top w:val="single" w:sz="6" w:space="0" w:color="002060"/>
              <w:bottom w:val="single" w:sz="6" w:space="0" w:color="003366"/>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top w:val="single" w:sz="6" w:space="0" w:color="002060"/>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(2,698)</w:t>
            </w:r>
          </w:p>
        </w:tc>
        <w:tc>
          <w:tcPr>
            <w:tcW w:w="1110" w:type="dxa"/>
            <w:tcBorders>
              <w:top w:val="single" w:sz="6" w:space="0" w:color="002060"/>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(2,162)</w:t>
            </w:r>
          </w:p>
        </w:tc>
        <w:tc>
          <w:tcPr>
            <w:tcW w:w="1110" w:type="dxa"/>
            <w:tcBorders>
              <w:top w:val="single" w:sz="6" w:space="0" w:color="002060"/>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(2,441)</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b/>
                <w:bCs/>
                <w:color w:val="003366"/>
                <w:sz w:val="16"/>
                <w:szCs w:val="16"/>
              </w:rPr>
            </w:pPr>
            <w:r>
              <w:rPr>
                <w:rFonts w:eastAsia="Arial" w:cs="Arial"/>
                <w:b/>
                <w:bCs/>
                <w:color w:val="003366"/>
                <w:sz w:val="16"/>
                <w:szCs w:val="16"/>
              </w:rPr>
              <w:t>Profit before impairment losses</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3,222</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3,168</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205</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1,918</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1,201</w:t>
            </w:r>
          </w:p>
        </w:tc>
      </w:tr>
      <w:tr w:rsidR="008E0433">
        <w:trPr>
          <w:trHeight w:val="195"/>
        </w:trPr>
        <w:tc>
          <w:tcPr>
            <w:tcW w:w="4485"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Impairment losses</w:t>
            </w:r>
          </w:p>
        </w:tc>
        <w:tc>
          <w:tcPr>
            <w:tcW w:w="1110" w:type="dxa"/>
            <w:tcBorders>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(536)</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(381)</w:t>
            </w:r>
          </w:p>
        </w:tc>
        <w:tc>
          <w:tcPr>
            <w:tcW w:w="75" w:type="dxa"/>
            <w:tcBorders>
              <w:bottom w:val="single" w:sz="6" w:space="0" w:color="003366"/>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(213)</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(237)</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(240)</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b/>
                <w:bCs/>
                <w:color w:val="003366"/>
                <w:sz w:val="16"/>
                <w:szCs w:val="16"/>
              </w:rPr>
            </w:pPr>
            <w:r>
              <w:rPr>
                <w:rFonts w:eastAsia="Arial" w:cs="Arial"/>
                <w:b/>
                <w:bCs/>
                <w:color w:val="003366"/>
                <w:sz w:val="16"/>
                <w:szCs w:val="16"/>
              </w:rPr>
              <w:t>Operating profit/(loss) before tax</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2,686</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2,787</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1,681</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961</w:t>
            </w:r>
          </w:p>
        </w:tc>
      </w:tr>
      <w:tr w:rsidR="008E0433">
        <w:trPr>
          <w:trHeight w:val="195"/>
        </w:trPr>
        <w:tc>
          <w:tcPr>
            <w:tcW w:w="4485"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Tax (charge)/credit</w:t>
            </w:r>
          </w:p>
        </w:tc>
        <w:tc>
          <w:tcPr>
            <w:tcW w:w="1110" w:type="dxa"/>
            <w:tcBorders>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(395)</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(1,090)</w:t>
            </w:r>
          </w:p>
        </w:tc>
        <w:tc>
          <w:tcPr>
            <w:tcW w:w="75" w:type="dxa"/>
            <w:tcBorders>
              <w:bottom w:val="single" w:sz="6" w:space="0" w:color="003366"/>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(201)</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22</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(381)</w:t>
            </w:r>
          </w:p>
        </w:tc>
      </w:tr>
      <w:tr w:rsidR="008E0433">
        <w:trPr>
          <w:trHeight w:val="195"/>
        </w:trPr>
        <w:tc>
          <w:tcPr>
            <w:tcW w:w="4485"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b/>
                <w:bCs/>
                <w:color w:val="003366"/>
                <w:sz w:val="16"/>
                <w:szCs w:val="16"/>
              </w:rPr>
            </w:pPr>
            <w:r>
              <w:rPr>
                <w:rFonts w:eastAsia="Arial" w:cs="Arial"/>
                <w:b/>
                <w:bCs/>
                <w:color w:val="003366"/>
                <w:sz w:val="16"/>
                <w:szCs w:val="16"/>
              </w:rPr>
              <w:t>Profit/(loss) for the period</w:t>
            </w:r>
          </w:p>
        </w:tc>
        <w:tc>
          <w:tcPr>
            <w:tcW w:w="1110" w:type="dxa"/>
            <w:tcBorders>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2,291</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1,697</w:t>
            </w:r>
          </w:p>
        </w:tc>
        <w:tc>
          <w:tcPr>
            <w:tcW w:w="75"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(209)</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1,703</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580</w:t>
            </w:r>
          </w:p>
        </w:tc>
      </w:tr>
      <w:tr w:rsidR="008E0433">
        <w:trPr>
          <w:trHeight w:val="75"/>
        </w:trPr>
        <w:tc>
          <w:tcPr>
            <w:tcW w:w="4485" w:type="dxa"/>
            <w:shd w:val="clear" w:color="auto" w:fill="FFFFFF"/>
            <w:tcMar>
              <w:top w:w="0" w:type="dxa"/>
              <w:left w:w="5" w:type="dxa"/>
              <w:bottom w:w="0" w:type="dxa"/>
              <w:right w:w="5" w:type="dxa"/>
            </w:tcMar>
            <w:vAlign w:val="bottom"/>
            <w:hideMark/>
          </w:tcPr>
          <w:p w:rsidR="00F840CB" w:rsidRDefault="00F840CB">
            <w:pPr>
              <w:spacing w:line="240" w:lineRule="auto"/>
              <w:contextualSpacing/>
              <w:rPr>
                <w:rFonts w:eastAsia="Arial" w:cs="Arial"/>
                <w:b/>
                <w:bCs/>
                <w:color w:val="003366"/>
                <w:sz w:val="16"/>
                <w:szCs w:val="16"/>
              </w:rPr>
            </w:pPr>
          </w:p>
        </w:tc>
        <w:tc>
          <w:tcPr>
            <w:tcW w:w="1110" w:type="dxa"/>
            <w:shd w:val="clear" w:color="auto" w:fill="C0C0C0"/>
            <w:tcMar>
              <w:top w:w="0" w:type="dxa"/>
              <w:left w:w="5" w:type="dxa"/>
              <w:bottom w:w="0" w:type="dxa"/>
              <w:right w:w="5" w:type="dxa"/>
            </w:tcMar>
            <w:vAlign w:val="bottom"/>
            <w:hideMark/>
          </w:tcPr>
          <w:p w:rsidR="00F840CB" w:rsidRDefault="00F840CB">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F840CB">
            <w:pPr>
              <w:spacing w:line="240" w:lineRule="auto"/>
              <w:contextualSpacing/>
              <w:jc w:val="right"/>
              <w:rPr>
                <w:rFonts w:eastAsia="Arial" w:cs="Arial"/>
                <w:b/>
                <w:bCs/>
                <w:color w:val="000000"/>
                <w:sz w:val="16"/>
                <w:szCs w:val="16"/>
              </w:rPr>
            </w:pPr>
          </w:p>
        </w:tc>
        <w:tc>
          <w:tcPr>
            <w:tcW w:w="1110"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b/>
                <w:bCs/>
                <w:color w:val="003366"/>
                <w:sz w:val="16"/>
                <w:szCs w:val="16"/>
              </w:rPr>
            </w:pPr>
            <w:r>
              <w:rPr>
                <w:rFonts w:eastAsia="Arial" w:cs="Arial"/>
                <w:b/>
                <w:bCs/>
                <w:color w:val="003366"/>
                <w:sz w:val="16"/>
                <w:szCs w:val="16"/>
              </w:rPr>
              <w:t>Attributable to:</w:t>
            </w:r>
          </w:p>
        </w:tc>
        <w:tc>
          <w:tcPr>
            <w:tcW w:w="1110" w:type="dxa"/>
            <w:shd w:val="clear" w:color="auto" w:fill="C0C0C0"/>
            <w:tcMar>
              <w:top w:w="0" w:type="dxa"/>
              <w:left w:w="5" w:type="dxa"/>
              <w:bottom w:w="0" w:type="dxa"/>
              <w:right w:w="5" w:type="dxa"/>
            </w:tcMar>
            <w:vAlign w:val="bottom"/>
            <w:hideMark/>
          </w:tcPr>
          <w:p w:rsidR="00F840CB" w:rsidRDefault="00F840CB">
            <w:pPr>
              <w:spacing w:line="240" w:lineRule="auto"/>
              <w:contextualSpacing/>
              <w:rPr>
                <w:rFonts w:eastAsia="Arial" w:cs="Arial"/>
                <w:b/>
                <w:bCs/>
                <w:color w:val="003366"/>
                <w:sz w:val="16"/>
                <w:szCs w:val="16"/>
              </w:rPr>
            </w:pPr>
          </w:p>
        </w:tc>
        <w:tc>
          <w:tcPr>
            <w:tcW w:w="1110"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3366"/>
                <w:sz w:val="16"/>
                <w:szCs w:val="16"/>
              </w:rPr>
            </w:pP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F840CB">
            <w:pPr>
              <w:spacing w:line="240" w:lineRule="auto"/>
              <w:contextualSpacing/>
              <w:jc w:val="right"/>
              <w:rPr>
                <w:rFonts w:eastAsia="Arial" w:cs="Arial"/>
                <w:b/>
                <w:bCs/>
                <w:color w:val="003366"/>
                <w:sz w:val="16"/>
                <w:szCs w:val="16"/>
              </w:rPr>
            </w:pPr>
          </w:p>
        </w:tc>
        <w:tc>
          <w:tcPr>
            <w:tcW w:w="1110"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3366"/>
                <w:sz w:val="16"/>
                <w:szCs w:val="16"/>
              </w:rPr>
            </w:pPr>
          </w:p>
        </w:tc>
        <w:tc>
          <w:tcPr>
            <w:tcW w:w="1110"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3366"/>
                <w:sz w:val="16"/>
                <w:szCs w:val="16"/>
              </w:rPr>
            </w:pP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Ordinary shareholders</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1,723</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1,336</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(315)</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1,331</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448</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Preference shareholders</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94</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20</w:t>
            </w:r>
          </w:p>
        </w:tc>
      </w:tr>
      <w:tr w:rsidR="008E0433">
        <w:trPr>
          <w:trHeight w:val="195"/>
        </w:trPr>
        <w:tc>
          <w:tcPr>
            <w:tcW w:w="4485" w:type="dxa"/>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Paid-in equity holders</w:t>
            </w: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277</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261</w:t>
            </w:r>
          </w:p>
        </w:tc>
        <w:tc>
          <w:tcPr>
            <w:tcW w:w="75" w:type="dxa"/>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95</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92</w:t>
            </w:r>
          </w:p>
        </w:tc>
        <w:tc>
          <w:tcPr>
            <w:tcW w:w="1110" w:type="dxa"/>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90</w:t>
            </w:r>
          </w:p>
        </w:tc>
      </w:tr>
      <w:tr w:rsidR="008E0433">
        <w:trPr>
          <w:trHeight w:val="195"/>
        </w:trPr>
        <w:tc>
          <w:tcPr>
            <w:tcW w:w="4485"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color w:val="000000"/>
                <w:sz w:val="16"/>
                <w:szCs w:val="16"/>
              </w:rPr>
            </w:pPr>
            <w:r>
              <w:rPr>
                <w:rFonts w:eastAsia="Arial" w:cs="Arial"/>
                <w:color w:val="000000"/>
                <w:sz w:val="16"/>
                <w:szCs w:val="16"/>
              </w:rPr>
              <w:t>Non-controlling interests</w:t>
            </w:r>
          </w:p>
        </w:tc>
        <w:tc>
          <w:tcPr>
            <w:tcW w:w="1110" w:type="dxa"/>
            <w:tcBorders>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261</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75" w:type="dxa"/>
            <w:tcBorders>
              <w:bottom w:val="single" w:sz="6" w:space="0" w:color="003366"/>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270</w:t>
            </w:r>
          </w:p>
        </w:tc>
        <w:tc>
          <w:tcPr>
            <w:tcW w:w="1110" w:type="dxa"/>
            <w:tcBorders>
              <w:bottom w:val="single" w:sz="6" w:space="0" w:color="003366"/>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22</w:t>
            </w:r>
          </w:p>
        </w:tc>
      </w:tr>
      <w:tr w:rsidR="008E0433">
        <w:trPr>
          <w:trHeight w:val="195"/>
        </w:trPr>
        <w:tc>
          <w:tcPr>
            <w:tcW w:w="4485" w:type="dxa"/>
            <w:tcBorders>
              <w:bottom w:val="single" w:sz="6" w:space="0" w:color="002060"/>
            </w:tcBorders>
            <w:shd w:val="clear" w:color="auto" w:fill="FFFFFF"/>
            <w:tcMar>
              <w:top w:w="0" w:type="dxa"/>
              <w:left w:w="5" w:type="dxa"/>
              <w:bottom w:w="0" w:type="dxa"/>
              <w:right w:w="5" w:type="dxa"/>
            </w:tcMar>
            <w:vAlign w:val="bottom"/>
            <w:hideMark/>
          </w:tcPr>
          <w:p w:rsidR="00F840CB" w:rsidRDefault="00E02264">
            <w:pPr>
              <w:spacing w:line="240" w:lineRule="auto"/>
              <w:contextualSpacing/>
              <w:rPr>
                <w:rFonts w:eastAsia="Arial" w:cs="Arial"/>
                <w:b/>
                <w:bCs/>
                <w:color w:val="003366"/>
                <w:sz w:val="16"/>
                <w:szCs w:val="16"/>
              </w:rPr>
            </w:pPr>
            <w:r>
              <w:rPr>
                <w:rStyle w:val="font710"/>
              </w:rPr>
              <w:t>Earnings per ordinary share</w:t>
            </w:r>
            <w:r>
              <w:rPr>
                <w:rStyle w:val="font1200"/>
              </w:rPr>
              <w:t> (2)</w:t>
            </w:r>
          </w:p>
        </w:tc>
        <w:tc>
          <w:tcPr>
            <w:tcW w:w="1110" w:type="dxa"/>
            <w:tcBorders>
              <w:bottom w:val="single" w:sz="6" w:space="0" w:color="002060"/>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14.3p</w:t>
            </w:r>
          </w:p>
        </w:tc>
        <w:tc>
          <w:tcPr>
            <w:tcW w:w="1110" w:type="dxa"/>
            <w:tcBorders>
              <w:bottom w:val="single" w:sz="6" w:space="0" w:color="002060"/>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11.1p</w:t>
            </w:r>
          </w:p>
        </w:tc>
        <w:tc>
          <w:tcPr>
            <w:tcW w:w="75" w:type="dxa"/>
            <w:tcBorders>
              <w:bottom w:val="single" w:sz="6" w:space="0" w:color="002060"/>
            </w:tcBorders>
            <w:shd w:val="clear" w:color="auto" w:fill="FFFFFF"/>
            <w:tcMar>
              <w:top w:w="0" w:type="dxa"/>
              <w:left w:w="5" w:type="dxa"/>
              <w:bottom w:w="0" w:type="dxa"/>
              <w:right w:w="5" w:type="dxa"/>
            </w:tcMar>
            <w:vAlign w:val="bottom"/>
            <w:hideMark/>
          </w:tcPr>
          <w:p w:rsidR="00F840CB" w:rsidRDefault="00F840CB">
            <w:pPr>
              <w:spacing w:line="240" w:lineRule="auto"/>
              <w:contextualSpacing/>
              <w:jc w:val="right"/>
              <w:rPr>
                <w:rFonts w:eastAsia="Arial" w:cs="Arial"/>
                <w:color w:val="000000"/>
                <w:sz w:val="16"/>
                <w:szCs w:val="16"/>
              </w:rPr>
            </w:pPr>
          </w:p>
        </w:tc>
        <w:tc>
          <w:tcPr>
            <w:tcW w:w="1110" w:type="dxa"/>
            <w:tcBorders>
              <w:bottom w:val="single" w:sz="6" w:space="0" w:color="002060"/>
            </w:tcBorders>
            <w:shd w:val="clear" w:color="auto" w:fill="C0C0C0"/>
            <w:tcMar>
              <w:top w:w="0" w:type="dxa"/>
              <w:left w:w="5" w:type="dxa"/>
              <w:bottom w:w="0" w:type="dxa"/>
              <w:right w:w="5" w:type="dxa"/>
            </w:tcMar>
            <w:vAlign w:val="bottom"/>
            <w:hideMark/>
          </w:tcPr>
          <w:p w:rsidR="00F840CB"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(2.6p)</w:t>
            </w:r>
          </w:p>
        </w:tc>
        <w:tc>
          <w:tcPr>
            <w:tcW w:w="1110" w:type="dxa"/>
            <w:tcBorders>
              <w:bottom w:val="single" w:sz="6" w:space="0" w:color="002060"/>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11.0p</w:t>
            </w:r>
          </w:p>
        </w:tc>
        <w:tc>
          <w:tcPr>
            <w:tcW w:w="1110" w:type="dxa"/>
            <w:tcBorders>
              <w:bottom w:val="single" w:sz="6" w:space="0" w:color="002060"/>
            </w:tcBorders>
            <w:shd w:val="clear" w:color="auto" w:fill="FFFFFF"/>
            <w:tcMar>
              <w:top w:w="0" w:type="dxa"/>
              <w:left w:w="5" w:type="dxa"/>
              <w:bottom w:w="0" w:type="dxa"/>
              <w:right w:w="5" w:type="dxa"/>
            </w:tcMar>
            <w:vAlign w:val="bottom"/>
            <w:hideMark/>
          </w:tcPr>
          <w:p w:rsidR="00F840CB" w:rsidRDefault="00E02264">
            <w:pPr>
              <w:spacing w:line="240" w:lineRule="auto"/>
              <w:contextualSpacing/>
              <w:jc w:val="right"/>
              <w:rPr>
                <w:rFonts w:eastAsia="Arial" w:cs="Arial"/>
                <w:color w:val="000000"/>
                <w:sz w:val="16"/>
                <w:szCs w:val="16"/>
              </w:rPr>
            </w:pPr>
            <w:r>
              <w:rPr>
                <w:rFonts w:eastAsia="Arial" w:cs="Arial"/>
                <w:color w:val="000000"/>
                <w:sz w:val="16"/>
                <w:szCs w:val="16"/>
              </w:rPr>
              <w:t>3.7p</w:t>
            </w:r>
          </w:p>
        </w:tc>
      </w:tr>
    </w:tbl>
    <w:p w:rsidR="00CF2893" w:rsidRDefault="00CF2893"/>
    <w:p w:rsidR="00C56885" w:rsidRDefault="00E02264" w:rsidP="00657792">
      <w:pPr>
        <w:rPr>
          <w:rFonts w:cs="Arial"/>
          <w:sz w:val="14"/>
          <w:szCs w:val="14"/>
        </w:rPr>
      </w:pPr>
      <w:r>
        <w:rPr>
          <w:rFonts w:cs="Arial"/>
          <w:sz w:val="14"/>
          <w:szCs w:val="14"/>
        </w:rPr>
        <w:t xml:space="preserve">*Restated. Refer to Note 2 for further details. </w:t>
      </w:r>
    </w:p>
    <w:p w:rsidR="00C56885" w:rsidRDefault="00C56885" w:rsidP="00657792">
      <w:pPr>
        <w:rPr>
          <w:rFonts w:cs="Arial"/>
          <w:sz w:val="14"/>
          <w:szCs w:val="14"/>
        </w:rPr>
      </w:pPr>
    </w:p>
    <w:p w:rsidR="00657792" w:rsidRPr="00066AD9" w:rsidRDefault="00E02264" w:rsidP="00657792">
      <w:pPr>
        <w:rPr>
          <w:rFonts w:cs="Arial"/>
          <w:sz w:val="14"/>
          <w:szCs w:val="14"/>
        </w:rPr>
      </w:pPr>
      <w:r w:rsidRPr="00066AD9">
        <w:rPr>
          <w:rFonts w:cs="Arial"/>
          <w:sz w:val="14"/>
          <w:szCs w:val="14"/>
        </w:rPr>
        <w:t>Notes:</w:t>
      </w:r>
    </w:p>
    <w:p w:rsidR="00657792" w:rsidRPr="00066AD9" w:rsidRDefault="00E02264" w:rsidP="00657792">
      <w:pPr>
        <w:pStyle w:val="ListParagraph"/>
        <w:numPr>
          <w:ilvl w:val="0"/>
          <w:numId w:val="5"/>
        </w:numPr>
        <w:spacing w:after="200"/>
        <w:rPr>
          <w:rFonts w:cs="Arial"/>
          <w:sz w:val="14"/>
          <w:szCs w:val="14"/>
        </w:rPr>
      </w:pPr>
      <w:r w:rsidRPr="00066AD9">
        <w:rPr>
          <w:rFonts w:cs="Arial"/>
          <w:sz w:val="14"/>
          <w:szCs w:val="14"/>
        </w:rPr>
        <w:t xml:space="preserve">Negative interest on loans is reported as interest payable. Negative interest on customer deposits is reported as interest receivable. </w:t>
      </w:r>
    </w:p>
    <w:p w:rsidR="00657792" w:rsidRPr="00066AD9" w:rsidRDefault="00E02264" w:rsidP="00657792">
      <w:pPr>
        <w:pStyle w:val="ListParagraph"/>
        <w:numPr>
          <w:ilvl w:val="0"/>
          <w:numId w:val="5"/>
        </w:numPr>
        <w:spacing w:after="200"/>
        <w:rPr>
          <w:rFonts w:cs="Arial"/>
          <w:sz w:val="14"/>
          <w:szCs w:val="14"/>
        </w:rPr>
      </w:pPr>
      <w:r>
        <w:rPr>
          <w:rFonts w:cs="Arial"/>
          <w:sz w:val="14"/>
          <w:szCs w:val="14"/>
        </w:rPr>
        <w:t>Basic, fully diluted, earnings per share for the nine months ended 30 September 2019 was 14.2p. There was no dilutive impact in any other period.</w:t>
      </w:r>
    </w:p>
    <w:p w:rsidR="00657792" w:rsidRDefault="00E02264">
      <w:pPr>
        <w:spacing w:after="200"/>
        <w:rPr>
          <w:rFonts w:cs="Arial"/>
          <w:sz w:val="16"/>
          <w:szCs w:val="16"/>
        </w:rPr>
      </w:pPr>
      <w:r>
        <w:rPr>
          <w:rFonts w:cs="Arial"/>
          <w:sz w:val="16"/>
          <w:szCs w:val="16"/>
        </w:rPr>
        <w:br w:type="page"/>
      </w:r>
    </w:p>
    <w:p w:rsidR="00F57394" w:rsidRDefault="00E02264">
      <w:pPr>
        <w:rPr>
          <w:rFonts w:cs="Arial"/>
          <w:color w:val="0A2F64"/>
          <w:sz w:val="14"/>
          <w:szCs w:val="14"/>
        </w:rPr>
      </w:pPr>
      <w:r w:rsidRPr="00D508B7">
        <w:rPr>
          <w:rFonts w:cs="Arial"/>
          <w:b/>
          <w:color w:val="0A2F64"/>
          <w:szCs w:val="18"/>
        </w:rPr>
        <w:lastRenderedPageBreak/>
        <w:t>Condensed consolidated statement of comprehensive income for the period ended 30 September 2019</w:t>
      </w:r>
      <w:r w:rsidRPr="005A21DE">
        <w:rPr>
          <w:rFonts w:cs="Arial"/>
          <w:color w:val="0A2F64"/>
          <w:szCs w:val="18"/>
        </w:rPr>
        <w:t xml:space="preserve"> </w:t>
      </w:r>
      <w:r w:rsidRPr="007B44A6">
        <w:rPr>
          <w:rFonts w:cs="Arial"/>
          <w:color w:val="0A2F64"/>
          <w:sz w:val="14"/>
          <w:szCs w:val="14"/>
        </w:rPr>
        <w:t>(unaudited)</w:t>
      </w:r>
    </w:p>
    <w:p w:rsidR="005F51C4" w:rsidRDefault="005F51C4">
      <w:pPr>
        <w:rPr>
          <w:rFonts w:cs="Arial"/>
          <w:color w:val="0A2F64"/>
          <w:sz w:val="14"/>
          <w:szCs w:val="14"/>
        </w:rPr>
      </w:pPr>
    </w:p>
    <w:tbl>
      <w:tblPr>
        <w:tblStyle w:val="table"/>
        <w:tblW w:w="10080" w:type="dxa"/>
        <w:tblInd w:w="5" w:type="dxa"/>
        <w:tblCellMar>
          <w:left w:w="0" w:type="dxa"/>
          <w:right w:w="0" w:type="dxa"/>
        </w:tblCellMar>
        <w:tblLook w:val="05E0" w:firstRow="1" w:lastRow="1" w:firstColumn="1" w:lastColumn="1" w:noHBand="0" w:noVBand="1"/>
      </w:tblPr>
      <w:tblGrid>
        <w:gridCol w:w="4620"/>
        <w:gridCol w:w="1110"/>
        <w:gridCol w:w="1110"/>
        <w:gridCol w:w="60"/>
        <w:gridCol w:w="1110"/>
        <w:gridCol w:w="960"/>
        <w:gridCol w:w="1110"/>
      </w:tblGrid>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2220" w:type="dxa"/>
            <w:gridSpan w:val="2"/>
            <w:tcBorders>
              <w:bottom w:val="single" w:sz="6" w:space="0" w:color="0034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Nine months ended</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3180" w:type="dxa"/>
            <w:gridSpan w:val="3"/>
            <w:tcBorders>
              <w:bottom w:val="single" w:sz="6" w:space="0" w:color="0034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2019</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210"/>
        </w:trPr>
        <w:tc>
          <w:tcPr>
            <w:tcW w:w="462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r>
      <w:tr w:rsidR="008E0433">
        <w:trPr>
          <w:trHeight w:val="210"/>
        </w:trPr>
        <w:tc>
          <w:tcPr>
            <w:tcW w:w="462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Profit/(loss) for the period</w:t>
            </w: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2,291</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1,697</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3366"/>
                <w:sz w:val="16"/>
                <w:szCs w:val="16"/>
              </w:rPr>
            </w:pP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(209)</w:t>
            </w:r>
          </w:p>
        </w:tc>
        <w:tc>
          <w:tcPr>
            <w:tcW w:w="9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1,703</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580</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2060"/>
                <w:sz w:val="16"/>
                <w:szCs w:val="16"/>
              </w:rPr>
            </w:pPr>
            <w:r>
              <w:rPr>
                <w:rFonts w:eastAsia="Arial" w:cs="Arial"/>
                <w:b/>
                <w:bCs/>
                <w:color w:val="002060"/>
                <w:sz w:val="16"/>
                <w:szCs w:val="16"/>
              </w:rPr>
              <w:t>Items that do not qualify for reclassification</w:t>
            </w: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proofErr w:type="spellStart"/>
            <w:r>
              <w:rPr>
                <w:rFonts w:eastAsia="Arial" w:cs="Arial"/>
                <w:color w:val="000000"/>
                <w:sz w:val="16"/>
                <w:szCs w:val="16"/>
              </w:rPr>
              <w:t>Remeasurement</w:t>
            </w:r>
            <w:proofErr w:type="spellEnd"/>
            <w:r>
              <w:rPr>
                <w:rFonts w:eastAsia="Arial" w:cs="Arial"/>
                <w:color w:val="000000"/>
                <w:sz w:val="16"/>
                <w:szCs w:val="16"/>
              </w:rPr>
              <w:t xml:space="preserve"> of retirement benefit schemes</w:t>
            </w: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jc w:val="right"/>
              <w:rPr>
                <w:rFonts w:eastAsia="Arial" w:cs="Arial"/>
                <w:color w:val="000000"/>
                <w:sz w:val="16"/>
                <w:szCs w:val="16"/>
              </w:rPr>
            </w:pP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1000"/>
                <w:rFonts w:ascii="Times New Roman" w:eastAsia="Times New Roman" w:hAnsi="Times New Roman" w:cs="Times New Roman"/>
              </w:rPr>
              <w:t xml:space="preserve">  </w:t>
            </w:r>
            <w:r>
              <w:rPr>
                <w:rStyle w:val="font1000"/>
              </w:rPr>
              <w:t xml:space="preserve">- contributions in preparation for ring-fencing </w:t>
            </w:r>
            <w:r>
              <w:rPr>
                <w:rStyle w:val="font36"/>
              </w:rPr>
              <w:t>(1)</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(2,000)</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movements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(96)</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72</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72</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xml:space="preserve">(Loss)/profit on fair value of credit in financial liabilities </w:t>
            </w: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jc w:val="right"/>
              <w:rPr>
                <w:rFonts w:eastAsia="Arial" w:cs="Arial"/>
                <w:color w:val="000000"/>
                <w:sz w:val="16"/>
                <w:szCs w:val="16"/>
              </w:rPr>
            </w:pP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designated as at FVTPL due to own credit risk</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(115)</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109</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(50)</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14</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FVOCI financial assets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(92)</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(130)</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58</w:t>
            </w:r>
          </w:p>
        </w:tc>
      </w:tr>
      <w:tr w:rsidR="008E0433">
        <w:trPr>
          <w:trHeight w:val="210"/>
        </w:trPr>
        <w:tc>
          <w:tcPr>
            <w:tcW w:w="462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Tax</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487</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w:t>
            </w:r>
          </w:p>
        </w:tc>
      </w:tr>
      <w:tr w:rsidR="008E0433">
        <w:trPr>
          <w:trHeight w:val="210"/>
        </w:trPr>
        <w:tc>
          <w:tcPr>
            <w:tcW w:w="462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(279)</w:t>
            </w:r>
          </w:p>
        </w:tc>
        <w:tc>
          <w:tcPr>
            <w:tcW w:w="11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(1,271)</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(179)</w:t>
            </w:r>
          </w:p>
        </w:tc>
        <w:tc>
          <w:tcPr>
            <w:tcW w:w="9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(86)</w:t>
            </w:r>
          </w:p>
        </w:tc>
        <w:tc>
          <w:tcPr>
            <w:tcW w:w="11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131</w:t>
            </w:r>
          </w:p>
        </w:tc>
      </w:tr>
      <w:tr w:rsidR="008E0433">
        <w:trPr>
          <w:trHeight w:val="210"/>
        </w:trPr>
        <w:tc>
          <w:tcPr>
            <w:tcW w:w="462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2060"/>
                <w:sz w:val="16"/>
                <w:szCs w:val="16"/>
              </w:rPr>
            </w:pPr>
            <w:r>
              <w:rPr>
                <w:rFonts w:eastAsia="Arial" w:cs="Arial"/>
                <w:b/>
                <w:bCs/>
                <w:color w:val="002060"/>
                <w:sz w:val="16"/>
                <w:szCs w:val="16"/>
              </w:rPr>
              <w:t xml:space="preserve">Items that do qualify for reclassification </w:t>
            </w: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jc w:val="right"/>
              <w:rPr>
                <w:rFonts w:eastAsia="Arial" w:cs="Arial"/>
                <w:color w:val="000000"/>
                <w:sz w:val="16"/>
                <w:szCs w:val="16"/>
              </w:rPr>
            </w:pP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FVOCI financial assets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(53)</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(168)</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Cash flow hedges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688</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(822)</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286</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214</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(301)</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Currency translation</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(298)</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120</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109</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102</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 xml:space="preserve">Tax </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224</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(71)</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(82)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127</w:t>
            </w:r>
          </w:p>
        </w:tc>
      </w:tr>
      <w:tr w:rsidR="008E0433">
        <w:trPr>
          <w:trHeight w:val="210"/>
        </w:trPr>
        <w:tc>
          <w:tcPr>
            <w:tcW w:w="462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194</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(447)</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167</w:t>
            </w:r>
          </w:p>
        </w:tc>
        <w:tc>
          <w:tcPr>
            <w:tcW w:w="9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188</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(240)</w:t>
            </w:r>
          </w:p>
        </w:tc>
      </w:tr>
      <w:tr w:rsidR="008E0433">
        <w:trPr>
          <w:trHeight w:val="210"/>
        </w:trPr>
        <w:tc>
          <w:tcPr>
            <w:tcW w:w="462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2060"/>
                <w:sz w:val="16"/>
                <w:szCs w:val="16"/>
              </w:rPr>
            </w:pPr>
            <w:r>
              <w:rPr>
                <w:rFonts w:eastAsia="Arial" w:cs="Arial"/>
                <w:b/>
                <w:bCs/>
                <w:color w:val="002060"/>
                <w:sz w:val="16"/>
                <w:szCs w:val="16"/>
              </w:rPr>
              <w:t>Other comprehensive (loss)/income after tax</w:t>
            </w: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(85)</w:t>
            </w:r>
          </w:p>
        </w:tc>
        <w:tc>
          <w:tcPr>
            <w:tcW w:w="1110" w:type="dxa"/>
            <w:tcBorders>
              <w:top w:val="single" w:sz="6" w:space="0" w:color="002060"/>
              <w:bottom w:val="single" w:sz="6" w:space="0" w:color="002060"/>
            </w:tcBorders>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(1,718)</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9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102</w:t>
            </w:r>
          </w:p>
        </w:tc>
        <w:tc>
          <w:tcPr>
            <w:tcW w:w="1110" w:type="dxa"/>
            <w:tcBorders>
              <w:top w:val="single" w:sz="6" w:space="0" w:color="002060"/>
              <w:bottom w:val="single" w:sz="6" w:space="0" w:color="002060"/>
            </w:tcBorders>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(109)</w:t>
            </w:r>
          </w:p>
        </w:tc>
      </w:tr>
      <w:tr w:rsidR="008E0433">
        <w:trPr>
          <w:trHeight w:val="210"/>
        </w:trPr>
        <w:tc>
          <w:tcPr>
            <w:tcW w:w="462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Total comprehensive income/(loss) for the period</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2,206</w:t>
            </w:r>
          </w:p>
        </w:tc>
        <w:tc>
          <w:tcPr>
            <w:tcW w:w="1110" w:type="dxa"/>
            <w:tcBorders>
              <w:top w:val="single" w:sz="6" w:space="0" w:color="002060"/>
              <w:bottom w:val="single" w:sz="6" w:space="0" w:color="002060"/>
            </w:tcBorders>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3366"/>
                <w:sz w:val="16"/>
                <w:szCs w:val="16"/>
              </w:rPr>
            </w:pP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(221)</w:t>
            </w:r>
          </w:p>
        </w:tc>
        <w:tc>
          <w:tcPr>
            <w:tcW w:w="9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1,805</w:t>
            </w:r>
          </w:p>
        </w:tc>
        <w:tc>
          <w:tcPr>
            <w:tcW w:w="1110" w:type="dxa"/>
            <w:tcBorders>
              <w:top w:val="single" w:sz="6" w:space="0" w:color="002060"/>
              <w:bottom w:val="single" w:sz="6" w:space="0" w:color="002060"/>
            </w:tcBorders>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471</w:t>
            </w:r>
          </w:p>
        </w:tc>
      </w:tr>
      <w:tr w:rsidR="008E0433">
        <w:trPr>
          <w:trHeight w:val="75"/>
        </w:trPr>
        <w:tc>
          <w:tcPr>
            <w:tcW w:w="462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c>
          <w:tcPr>
            <w:tcW w:w="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rPr>
                <w:rFonts w:eastAsia="Arial" w:cs="Arial"/>
                <w:color w:val="000000"/>
                <w:sz w:val="16"/>
                <w:szCs w:val="16"/>
              </w:rPr>
            </w:pP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2060"/>
                <w:sz w:val="16"/>
                <w:szCs w:val="16"/>
              </w:rPr>
            </w:pPr>
            <w:r>
              <w:rPr>
                <w:rFonts w:eastAsia="Arial" w:cs="Arial"/>
                <w:b/>
                <w:bCs/>
                <w:color w:val="002060"/>
                <w:sz w:val="16"/>
                <w:szCs w:val="16"/>
              </w:rPr>
              <w:t>Attributable to:</w:t>
            </w: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jc w:val="right"/>
              <w:rPr>
                <w:rFonts w:eastAsia="Arial" w:cs="Arial"/>
                <w:color w:val="000000"/>
                <w:sz w:val="16"/>
                <w:szCs w:val="16"/>
              </w:rPr>
            </w:pP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8E0433" w:rsidRDefault="008E0433">
            <w:pPr>
              <w:spacing w:line="240" w:lineRule="auto"/>
              <w:contextualSpacing/>
              <w:jc w:val="right"/>
              <w:rPr>
                <w:rFonts w:eastAsia="Arial" w:cs="Arial"/>
                <w:color w:val="000000"/>
                <w:sz w:val="16"/>
                <w:szCs w:val="16"/>
              </w:rPr>
            </w:pP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Ordinary shareholders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1,624</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(404)</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(326)</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1,392</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304</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Preference shareholders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94</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20</w:t>
            </w:r>
          </w:p>
        </w:tc>
      </w:tr>
      <w:tr w:rsidR="008E0433">
        <w:trPr>
          <w:trHeight w:val="210"/>
        </w:trPr>
        <w:tc>
          <w:tcPr>
            <w:tcW w:w="462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Paid-in equity holders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277</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261</w:t>
            </w:r>
          </w:p>
        </w:tc>
        <w:tc>
          <w:tcPr>
            <w:tcW w:w="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95</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92</w:t>
            </w:r>
          </w:p>
        </w:tc>
        <w:tc>
          <w:tcPr>
            <w:tcW w:w="1110" w:type="dxa"/>
            <w:shd w:val="clear" w:color="auto" w:fill="FFFFFF"/>
            <w:tcMar>
              <w:top w:w="0" w:type="dxa"/>
              <w:left w:w="5" w:type="dxa"/>
              <w:bottom w:w="0" w:type="dxa"/>
              <w:right w:w="5" w:type="dxa"/>
            </w:tcMar>
            <w:vAlign w:val="center"/>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90</w:t>
            </w:r>
          </w:p>
        </w:tc>
      </w:tr>
      <w:tr w:rsidR="008E0433">
        <w:trPr>
          <w:trHeight w:val="210"/>
        </w:trPr>
        <w:tc>
          <w:tcPr>
            <w:tcW w:w="462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Non-controlling interests</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275</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28</w:t>
            </w:r>
          </w:p>
        </w:tc>
        <w:tc>
          <w:tcPr>
            <w:tcW w:w="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311</w:t>
            </w:r>
          </w:p>
        </w:tc>
        <w:tc>
          <w:tcPr>
            <w:tcW w:w="11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57</w:t>
            </w:r>
          </w:p>
        </w:tc>
      </w:tr>
      <w:tr w:rsidR="008E0433">
        <w:trPr>
          <w:trHeight w:val="210"/>
        </w:trPr>
        <w:tc>
          <w:tcPr>
            <w:tcW w:w="462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2,206</w:t>
            </w:r>
          </w:p>
        </w:tc>
        <w:tc>
          <w:tcPr>
            <w:tcW w:w="11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(221)</w:t>
            </w:r>
          </w:p>
        </w:tc>
        <w:tc>
          <w:tcPr>
            <w:tcW w:w="9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1,805</w:t>
            </w:r>
          </w:p>
        </w:tc>
        <w:tc>
          <w:tcPr>
            <w:tcW w:w="11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color w:val="000000"/>
                <w:sz w:val="16"/>
                <w:szCs w:val="16"/>
              </w:rPr>
            </w:pPr>
            <w:r>
              <w:rPr>
                <w:rFonts w:eastAsia="Arial" w:cs="Arial"/>
                <w:color w:val="000000"/>
                <w:sz w:val="16"/>
                <w:szCs w:val="16"/>
              </w:rPr>
              <w:t>471</w:t>
            </w:r>
          </w:p>
        </w:tc>
      </w:tr>
    </w:tbl>
    <w:p w:rsidR="00CF2893" w:rsidRDefault="00CF2893" w:rsidP="00F57394">
      <w:pPr>
        <w:pStyle w:val="Normal250"/>
        <w:keepNext/>
        <w:spacing w:line="288" w:lineRule="auto"/>
        <w:outlineLvl w:val="0"/>
        <w:rPr>
          <w:rFonts w:ascii="Arial" w:hAnsi="Arial" w:cs="Arial"/>
          <w:sz w:val="14"/>
          <w:szCs w:val="14"/>
        </w:rPr>
      </w:pPr>
    </w:p>
    <w:p w:rsidR="00996E70" w:rsidRDefault="00E02264" w:rsidP="00996E70">
      <w:pPr>
        <w:rPr>
          <w:rFonts w:cs="Arial"/>
          <w:sz w:val="14"/>
          <w:szCs w:val="14"/>
        </w:rPr>
      </w:pPr>
      <w:r>
        <w:rPr>
          <w:rFonts w:cs="Arial"/>
          <w:sz w:val="14"/>
          <w:szCs w:val="14"/>
        </w:rPr>
        <w:t xml:space="preserve">*Restated. Refer to Note 2 for further details. </w:t>
      </w:r>
    </w:p>
    <w:p w:rsidR="00996E70" w:rsidRDefault="00996E70" w:rsidP="00996E70">
      <w:pPr>
        <w:rPr>
          <w:rFonts w:cs="Arial"/>
          <w:sz w:val="14"/>
          <w:szCs w:val="14"/>
        </w:rPr>
      </w:pPr>
    </w:p>
    <w:p w:rsidR="00F57394" w:rsidRPr="00FC7896" w:rsidRDefault="00E02264" w:rsidP="00F57394">
      <w:pPr>
        <w:pStyle w:val="Normal250"/>
        <w:keepNext/>
        <w:spacing w:line="288" w:lineRule="auto"/>
        <w:outlineLvl w:val="0"/>
        <w:rPr>
          <w:rFonts w:ascii="Arial" w:hAnsi="Arial" w:cs="Arial"/>
          <w:sz w:val="14"/>
          <w:szCs w:val="14"/>
        </w:rPr>
      </w:pPr>
      <w:r w:rsidRPr="00FC7896">
        <w:rPr>
          <w:rFonts w:ascii="Arial" w:hAnsi="Arial" w:cs="Arial"/>
          <w:sz w:val="14"/>
          <w:szCs w:val="14"/>
        </w:rPr>
        <w:t>Note:</w:t>
      </w:r>
    </w:p>
    <w:tbl>
      <w:tblPr>
        <w:tblW w:w="10206" w:type="dxa"/>
        <w:tblLayout w:type="fixed"/>
        <w:tblLook w:val="0000" w:firstRow="0" w:lastRow="0" w:firstColumn="0" w:lastColumn="0" w:noHBand="0" w:noVBand="0"/>
      </w:tblPr>
      <w:tblGrid>
        <w:gridCol w:w="256"/>
        <w:gridCol w:w="9950"/>
      </w:tblGrid>
      <w:tr w:rsidR="008E0433" w:rsidTr="00A9526E">
        <w:tc>
          <w:tcPr>
            <w:tcW w:w="256" w:type="dxa"/>
            <w:tcMar>
              <w:left w:w="0" w:type="dxa"/>
              <w:right w:w="0" w:type="dxa"/>
            </w:tcMar>
          </w:tcPr>
          <w:p w:rsidR="00F57394" w:rsidRPr="00FC7896" w:rsidRDefault="00E02264" w:rsidP="00A9526E">
            <w:pPr>
              <w:pStyle w:val="Normal250"/>
              <w:keepNext/>
              <w:outlineLvl w:val="0"/>
              <w:rPr>
                <w:rFonts w:ascii="Arial" w:hAnsi="Arial" w:cs="Arial"/>
                <w:sz w:val="14"/>
                <w:szCs w:val="14"/>
              </w:rPr>
            </w:pPr>
            <w:r w:rsidRPr="00FC7896">
              <w:rPr>
                <w:rFonts w:ascii="Arial" w:hAnsi="Arial" w:cs="Arial"/>
                <w:sz w:val="14"/>
                <w:szCs w:val="14"/>
              </w:rPr>
              <w:t>(1)</w:t>
            </w:r>
          </w:p>
        </w:tc>
        <w:tc>
          <w:tcPr>
            <w:tcW w:w="9950" w:type="dxa"/>
            <w:tcMar>
              <w:left w:w="0" w:type="dxa"/>
              <w:right w:w="0" w:type="dxa"/>
            </w:tcMar>
          </w:tcPr>
          <w:p w:rsidR="00F57394" w:rsidRPr="006C623E" w:rsidRDefault="00E02264" w:rsidP="003F0AFC">
            <w:pPr>
              <w:pStyle w:val="GCAHeaderBold"/>
              <w:keepNext/>
              <w:spacing w:line="240" w:lineRule="auto"/>
              <w:outlineLvl w:val="0"/>
              <w:rPr>
                <w:rFonts w:cs="Arial"/>
                <w:b w:val="0"/>
                <w:iCs/>
                <w:color w:val="auto"/>
                <w:sz w:val="14"/>
                <w:szCs w:val="14"/>
              </w:rPr>
            </w:pPr>
            <w:r w:rsidRPr="006C623E">
              <w:rPr>
                <w:rFonts w:cs="Arial"/>
                <w:b w:val="0"/>
                <w:iCs/>
                <w:color w:val="auto"/>
                <w:sz w:val="14"/>
                <w:szCs w:val="14"/>
              </w:rPr>
              <w:t xml:space="preserve">On 17 April 2018, RBS agreed a Memorandum of Understanding (MoU) with the Trustees of the RBS Group Pension Fund in connection with the requirements of ring-fencing.  NatWest Markets Plc could not continue to be a participant in the Main section and separate arrangements were required for its employees. Under the MoU, NatWest Plc made a contribution of £2 billion on 9 October 2018 to strengthen funding of the Main section in recognition of the changes in covenant. </w:t>
            </w:r>
          </w:p>
        </w:tc>
      </w:tr>
    </w:tbl>
    <w:p w:rsidR="00F57394" w:rsidRDefault="00F57394"/>
    <w:p w:rsidR="00F57394" w:rsidRDefault="00E02264">
      <w:r>
        <w:br w:type="page"/>
      </w:r>
    </w:p>
    <w:p w:rsidR="00F57394" w:rsidRPr="00B66C8D" w:rsidRDefault="00E02264" w:rsidP="00F57394">
      <w:pPr>
        <w:pStyle w:val="GCAHeaderBold"/>
        <w:rPr>
          <w:b w:val="0"/>
          <w:sz w:val="18"/>
          <w:szCs w:val="18"/>
        </w:rPr>
      </w:pPr>
      <w:r w:rsidRPr="003902F1">
        <w:rPr>
          <w:sz w:val="18"/>
          <w:szCs w:val="18"/>
        </w:rPr>
        <w:lastRenderedPageBreak/>
        <w:t>Condensed consolidated balance sheet as at 30 September 2019</w:t>
      </w:r>
      <w:r w:rsidRPr="003902F1">
        <w:rPr>
          <w:sz w:val="14"/>
          <w:szCs w:val="14"/>
        </w:rPr>
        <w:t xml:space="preserve"> </w:t>
      </w:r>
      <w:r w:rsidRPr="00B66C8D">
        <w:rPr>
          <w:b w:val="0"/>
          <w:sz w:val="14"/>
          <w:szCs w:val="14"/>
        </w:rPr>
        <w:t>(unaudited)</w:t>
      </w:r>
    </w:p>
    <w:p w:rsidR="00F57394" w:rsidRDefault="00F57394"/>
    <w:tbl>
      <w:tblPr>
        <w:tblStyle w:val="table"/>
        <w:tblW w:w="10140" w:type="dxa"/>
        <w:tblInd w:w="5" w:type="dxa"/>
        <w:tblCellMar>
          <w:left w:w="0" w:type="dxa"/>
          <w:right w:w="0" w:type="dxa"/>
        </w:tblCellMar>
        <w:tblLook w:val="05E0" w:firstRow="1" w:lastRow="1" w:firstColumn="1" w:lastColumn="1" w:noHBand="0" w:noVBand="1"/>
      </w:tblPr>
      <w:tblGrid>
        <w:gridCol w:w="7785"/>
        <w:gridCol w:w="1178"/>
        <w:gridCol w:w="1177"/>
      </w:tblGrid>
      <w:tr w:rsidR="008E0433">
        <w:trPr>
          <w:trHeight w:val="195"/>
        </w:trPr>
        <w:tc>
          <w:tcPr>
            <w:tcW w:w="7785" w:type="dxa"/>
            <w:vMerge w:val="restart"/>
            <w:shd w:val="clear" w:color="auto" w:fill="FFFFFF"/>
            <w:tcMar>
              <w:top w:w="0" w:type="dxa"/>
              <w:left w:w="5" w:type="dxa"/>
              <w:bottom w:w="0" w:type="dxa"/>
              <w:right w:w="5" w:type="dxa"/>
            </w:tcMar>
            <w:vAlign w:val="bottom"/>
            <w:hideMark/>
          </w:tcPr>
          <w:p w:rsidR="00337B64" w:rsidRDefault="00337B64">
            <w:pPr>
              <w:spacing w:line="240" w:lineRule="auto"/>
              <w:contextualSpacing/>
              <w:rPr>
                <w:rFonts w:eastAsia="Arial" w:cs="Arial"/>
                <w:color w:val="003366"/>
                <w:sz w:val="16"/>
                <w:szCs w:val="16"/>
              </w:rPr>
            </w:pP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3366"/>
                <w:sz w:val="16"/>
                <w:szCs w:val="16"/>
              </w:rPr>
            </w:pPr>
            <w:r>
              <w:rPr>
                <w:rFonts w:eastAsia="Arial" w:cs="Arial"/>
                <w:color w:val="003366"/>
                <w:sz w:val="16"/>
                <w:szCs w:val="16"/>
              </w:rPr>
              <w:t>31 December</w:t>
            </w:r>
          </w:p>
        </w:tc>
      </w:tr>
      <w:tr w:rsidR="008E0433">
        <w:trPr>
          <w:trHeight w:val="195"/>
        </w:trPr>
        <w:tc>
          <w:tcPr>
            <w:tcW w:w="0" w:type="auto"/>
            <w:vMerge/>
            <w:tcMar>
              <w:top w:w="0" w:type="dxa"/>
              <w:bottom w:w="0" w:type="dxa"/>
            </w:tcMar>
            <w:vAlign w:val="center"/>
            <w:hideMark/>
          </w:tcPr>
          <w:p w:rsidR="00337B64" w:rsidRDefault="00337B64">
            <w:pPr>
              <w:spacing w:line="240" w:lineRule="auto"/>
              <w:contextualSpacing/>
              <w:rPr>
                <w:rFonts w:eastAsia="Arial" w:cs="Arial"/>
                <w:color w:val="003366"/>
                <w:sz w:val="16"/>
                <w:szCs w:val="16"/>
              </w:rPr>
            </w:pP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7785" w:type="dxa"/>
            <w:tcBorders>
              <w:bottom w:val="single" w:sz="6" w:space="0" w:color="003366"/>
            </w:tcBorders>
            <w:shd w:val="clear" w:color="auto" w:fill="FFFFFF"/>
            <w:tcMar>
              <w:top w:w="0" w:type="dxa"/>
              <w:left w:w="5" w:type="dxa"/>
              <w:bottom w:w="0" w:type="dxa"/>
              <w:right w:w="5" w:type="dxa"/>
            </w:tcMar>
            <w:vAlign w:val="bottom"/>
            <w:hideMark/>
          </w:tcPr>
          <w:p w:rsidR="00337B64" w:rsidRDefault="00337B64">
            <w:pPr>
              <w:spacing w:line="240" w:lineRule="auto"/>
              <w:contextualSpacing/>
              <w:rPr>
                <w:rFonts w:eastAsia="Arial" w:cs="Arial"/>
                <w:color w:val="003366"/>
                <w:sz w:val="16"/>
                <w:szCs w:val="16"/>
              </w:rPr>
            </w:pPr>
          </w:p>
        </w:tc>
        <w:tc>
          <w:tcPr>
            <w:tcW w:w="11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3366"/>
                <w:sz w:val="16"/>
                <w:szCs w:val="16"/>
              </w:rPr>
            </w:pPr>
            <w:r>
              <w:rPr>
                <w:rFonts w:eastAsia="Arial" w:cs="Arial"/>
                <w:color w:val="003366"/>
                <w:sz w:val="16"/>
                <w:szCs w:val="16"/>
              </w:rPr>
              <w:t>£m </w:t>
            </w:r>
          </w:p>
        </w:tc>
      </w:tr>
      <w:tr w:rsidR="008E0433">
        <w:trPr>
          <w:trHeight w:val="195"/>
        </w:trPr>
        <w:tc>
          <w:tcPr>
            <w:tcW w:w="7785" w:type="dxa"/>
            <w:shd w:val="clear" w:color="auto" w:fill="FFFFFF"/>
            <w:tcMar>
              <w:top w:w="0" w:type="dxa"/>
              <w:left w:w="5" w:type="dxa"/>
              <w:bottom w:w="0" w:type="dxa"/>
              <w:right w:w="5" w:type="dxa"/>
            </w:tcMar>
            <w:vAlign w:val="bottom"/>
            <w:hideMark/>
          </w:tcPr>
          <w:p w:rsidR="00337B64" w:rsidRDefault="00E02264">
            <w:pPr>
              <w:spacing w:line="240" w:lineRule="auto"/>
              <w:contextualSpacing/>
              <w:rPr>
                <w:rFonts w:eastAsia="Arial" w:cs="Arial"/>
                <w:b/>
                <w:bCs/>
                <w:color w:val="003366"/>
                <w:sz w:val="16"/>
                <w:szCs w:val="16"/>
              </w:rPr>
            </w:pPr>
            <w:r>
              <w:rPr>
                <w:rFonts w:eastAsia="Arial" w:cs="Arial"/>
                <w:b/>
                <w:bCs/>
                <w:color w:val="003366"/>
                <w:sz w:val="16"/>
                <w:szCs w:val="16"/>
              </w:rPr>
              <w:t>Assets</w:t>
            </w:r>
          </w:p>
        </w:tc>
        <w:tc>
          <w:tcPr>
            <w:tcW w:w="1185" w:type="dxa"/>
            <w:shd w:val="clear" w:color="auto" w:fill="C0C0C0"/>
            <w:tcMar>
              <w:top w:w="0" w:type="dxa"/>
              <w:left w:w="5" w:type="dxa"/>
              <w:bottom w:w="0" w:type="dxa"/>
              <w:right w:w="5" w:type="dxa"/>
            </w:tcMar>
            <w:vAlign w:val="bottom"/>
            <w:hideMark/>
          </w:tcPr>
          <w:p w:rsidR="00337B64" w:rsidRDefault="00337B64">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bottom"/>
            <w:hideMark/>
          </w:tcPr>
          <w:p w:rsidR="00337B64" w:rsidRDefault="00337B64">
            <w:pPr>
              <w:spacing w:line="240" w:lineRule="auto"/>
              <w:contextualSpacing/>
              <w:jc w:val="right"/>
              <w:rPr>
                <w:rFonts w:eastAsia="Arial" w:cs="Arial"/>
                <w:color w:val="000000"/>
                <w:sz w:val="16"/>
                <w:szCs w:val="16"/>
              </w:rPr>
            </w:pP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Cash and balances at central banks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84,252</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88,897</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Trading assets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91,605</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75,119</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Derivatives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175,760</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133,349</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Settlement balances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12,962</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2,928</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Loans to banks - amortised cost</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12,440</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12,947</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Loans to customers - amortised cost</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319,493</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305,089</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Other financial assets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64,488</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59,485</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Intangible assets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6,646</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6,616</w:t>
            </w:r>
          </w:p>
        </w:tc>
      </w:tr>
      <w:tr w:rsidR="008E0433">
        <w:trPr>
          <w:trHeight w:val="195"/>
        </w:trPr>
        <w:tc>
          <w:tcPr>
            <w:tcW w:w="77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Other assets</w:t>
            </w:r>
          </w:p>
        </w:tc>
        <w:tc>
          <w:tcPr>
            <w:tcW w:w="1185" w:type="dxa"/>
            <w:tcBorders>
              <w:bottom w:val="single" w:sz="6" w:space="0" w:color="003366"/>
            </w:tcBorders>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8,861</w:t>
            </w:r>
          </w:p>
        </w:tc>
        <w:tc>
          <w:tcPr>
            <w:tcW w:w="11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9,805</w:t>
            </w:r>
          </w:p>
        </w:tc>
      </w:tr>
      <w:tr w:rsidR="008E0433">
        <w:trPr>
          <w:trHeight w:val="195"/>
        </w:trPr>
        <w:tc>
          <w:tcPr>
            <w:tcW w:w="7785" w:type="dxa"/>
            <w:tcBorders>
              <w:bottom w:val="single" w:sz="6" w:space="0" w:color="003366"/>
            </w:tcBorders>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b/>
                <w:bCs/>
                <w:color w:val="003366"/>
                <w:sz w:val="16"/>
                <w:szCs w:val="16"/>
              </w:rPr>
            </w:pPr>
            <w:r>
              <w:rPr>
                <w:rFonts w:eastAsia="Arial" w:cs="Arial"/>
                <w:b/>
                <w:bCs/>
                <w:color w:val="003366"/>
                <w:sz w:val="16"/>
                <w:szCs w:val="16"/>
              </w:rPr>
              <w:t>Total assets</w:t>
            </w:r>
          </w:p>
        </w:tc>
        <w:tc>
          <w:tcPr>
            <w:tcW w:w="1185" w:type="dxa"/>
            <w:tcBorders>
              <w:bottom w:val="single" w:sz="6" w:space="0" w:color="003366"/>
            </w:tcBorders>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776,507</w:t>
            </w:r>
          </w:p>
        </w:tc>
        <w:tc>
          <w:tcPr>
            <w:tcW w:w="11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694,235</w:t>
            </w:r>
          </w:p>
        </w:tc>
      </w:tr>
      <w:tr w:rsidR="008E0433">
        <w:trPr>
          <w:trHeight w:val="75"/>
        </w:trPr>
        <w:tc>
          <w:tcPr>
            <w:tcW w:w="7785" w:type="dxa"/>
            <w:shd w:val="clear" w:color="auto" w:fill="FFFFFF"/>
            <w:tcMar>
              <w:top w:w="0" w:type="dxa"/>
              <w:left w:w="5" w:type="dxa"/>
              <w:bottom w:w="0" w:type="dxa"/>
              <w:right w:w="5" w:type="dxa"/>
            </w:tcMar>
            <w:vAlign w:val="bottom"/>
            <w:hideMark/>
          </w:tcPr>
          <w:p w:rsidR="00337B64" w:rsidRDefault="00337B64">
            <w:pPr>
              <w:spacing w:line="240" w:lineRule="auto"/>
              <w:contextualSpacing/>
              <w:rPr>
                <w:rFonts w:eastAsia="Arial" w:cs="Arial"/>
                <w:b/>
                <w:bCs/>
                <w:color w:val="003366"/>
                <w:sz w:val="16"/>
                <w:szCs w:val="16"/>
              </w:rPr>
            </w:pPr>
          </w:p>
        </w:tc>
        <w:tc>
          <w:tcPr>
            <w:tcW w:w="1185" w:type="dxa"/>
            <w:shd w:val="clear" w:color="auto" w:fill="C0C0C0"/>
            <w:tcMar>
              <w:top w:w="0" w:type="dxa"/>
              <w:left w:w="5" w:type="dxa"/>
              <w:bottom w:w="0" w:type="dxa"/>
              <w:right w:w="5" w:type="dxa"/>
            </w:tcMar>
            <w:vAlign w:val="bottom"/>
            <w:hideMark/>
          </w:tcPr>
          <w:p w:rsidR="00337B64" w:rsidRDefault="00337B64">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bottom"/>
            <w:hideMark/>
          </w:tcPr>
          <w:p w:rsidR="00337B64" w:rsidRDefault="00337B64">
            <w:pPr>
              <w:spacing w:line="240" w:lineRule="auto"/>
              <w:contextualSpacing/>
              <w:jc w:val="right"/>
              <w:rPr>
                <w:rFonts w:eastAsia="Arial" w:cs="Arial"/>
                <w:color w:val="000000"/>
                <w:sz w:val="16"/>
                <w:szCs w:val="16"/>
              </w:rPr>
            </w:pPr>
          </w:p>
        </w:tc>
      </w:tr>
      <w:tr w:rsidR="008E0433">
        <w:trPr>
          <w:trHeight w:val="195"/>
        </w:trPr>
        <w:tc>
          <w:tcPr>
            <w:tcW w:w="7785" w:type="dxa"/>
            <w:shd w:val="clear" w:color="auto" w:fill="FFFFFF"/>
            <w:tcMar>
              <w:top w:w="0" w:type="dxa"/>
              <w:left w:w="5" w:type="dxa"/>
              <w:bottom w:w="0" w:type="dxa"/>
              <w:right w:w="5" w:type="dxa"/>
            </w:tcMar>
            <w:vAlign w:val="bottom"/>
            <w:hideMark/>
          </w:tcPr>
          <w:p w:rsidR="00337B64" w:rsidRDefault="00E02264">
            <w:pPr>
              <w:spacing w:line="240" w:lineRule="auto"/>
              <w:contextualSpacing/>
              <w:rPr>
                <w:rFonts w:eastAsia="Arial" w:cs="Arial"/>
                <w:b/>
                <w:bCs/>
                <w:color w:val="003366"/>
                <w:sz w:val="16"/>
                <w:szCs w:val="16"/>
              </w:rPr>
            </w:pPr>
            <w:r>
              <w:rPr>
                <w:rFonts w:eastAsia="Arial" w:cs="Arial"/>
                <w:b/>
                <w:bCs/>
                <w:color w:val="003366"/>
                <w:sz w:val="16"/>
                <w:szCs w:val="16"/>
              </w:rPr>
              <w:t>Liabilities</w:t>
            </w:r>
          </w:p>
        </w:tc>
        <w:tc>
          <w:tcPr>
            <w:tcW w:w="1185" w:type="dxa"/>
            <w:shd w:val="clear" w:color="auto" w:fill="C0C0C0"/>
            <w:tcMar>
              <w:top w:w="0" w:type="dxa"/>
              <w:left w:w="5" w:type="dxa"/>
              <w:bottom w:w="0" w:type="dxa"/>
              <w:right w:w="5" w:type="dxa"/>
            </w:tcMar>
            <w:vAlign w:val="bottom"/>
            <w:hideMark/>
          </w:tcPr>
          <w:p w:rsidR="00337B64" w:rsidRDefault="00337B64">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bottom"/>
            <w:hideMark/>
          </w:tcPr>
          <w:p w:rsidR="00337B64" w:rsidRDefault="00337B64">
            <w:pPr>
              <w:spacing w:line="240" w:lineRule="auto"/>
              <w:contextualSpacing/>
              <w:jc w:val="right"/>
              <w:rPr>
                <w:rFonts w:eastAsia="Arial" w:cs="Arial"/>
                <w:color w:val="000000"/>
                <w:sz w:val="16"/>
                <w:szCs w:val="16"/>
              </w:rPr>
            </w:pP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Style w:val="font60"/>
              </w:rPr>
              <w:t>Bank deposits</w:t>
            </w:r>
            <w:r>
              <w:rPr>
                <w:rStyle w:val="font72"/>
              </w:rPr>
              <w:t xml:space="preserve"> </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22,095</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23,297</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Customer deposits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369,708</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360,914</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Settlement balances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11,862</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3,066</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Trading liabilities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87,374</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72,350</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Derivatives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173,750</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128,897</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Other financial liabilities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47,508</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39,732</w:t>
            </w: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Subordinated liabilities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10,200</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10,535</w:t>
            </w:r>
          </w:p>
        </w:tc>
      </w:tr>
      <w:tr w:rsidR="008E0433">
        <w:trPr>
          <w:trHeight w:val="195"/>
        </w:trPr>
        <w:tc>
          <w:tcPr>
            <w:tcW w:w="7785" w:type="dxa"/>
            <w:tcBorders>
              <w:bottom w:val="single" w:sz="6" w:space="0" w:color="003366"/>
            </w:tcBorders>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Other liabilities</w:t>
            </w:r>
          </w:p>
        </w:tc>
        <w:tc>
          <w:tcPr>
            <w:tcW w:w="1185" w:type="dxa"/>
            <w:tcBorders>
              <w:bottom w:val="single" w:sz="6" w:space="0" w:color="003366"/>
            </w:tcBorders>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9,864</w:t>
            </w:r>
          </w:p>
        </w:tc>
        <w:tc>
          <w:tcPr>
            <w:tcW w:w="11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8,954</w:t>
            </w:r>
          </w:p>
        </w:tc>
      </w:tr>
      <w:tr w:rsidR="008E0433">
        <w:trPr>
          <w:trHeight w:val="195"/>
        </w:trPr>
        <w:tc>
          <w:tcPr>
            <w:tcW w:w="7785"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rPr>
                <w:rFonts w:eastAsia="Arial" w:cs="Arial"/>
                <w:b/>
                <w:bCs/>
                <w:color w:val="003366"/>
                <w:sz w:val="16"/>
                <w:szCs w:val="16"/>
              </w:rPr>
            </w:pPr>
            <w:r>
              <w:rPr>
                <w:rFonts w:eastAsia="Arial" w:cs="Arial"/>
                <w:b/>
                <w:bCs/>
                <w:color w:val="003366"/>
                <w:sz w:val="16"/>
                <w:szCs w:val="16"/>
              </w:rPr>
              <w:t>Total liabilities</w:t>
            </w:r>
          </w:p>
        </w:tc>
        <w:tc>
          <w:tcPr>
            <w:tcW w:w="1185" w:type="dxa"/>
            <w:tcBorders>
              <w:top w:val="single" w:sz="6" w:space="0" w:color="003366"/>
              <w:bottom w:val="single" w:sz="6" w:space="0" w:color="003366"/>
            </w:tcBorders>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732,361</w:t>
            </w:r>
          </w:p>
        </w:tc>
        <w:tc>
          <w:tcPr>
            <w:tcW w:w="1185" w:type="dxa"/>
            <w:tcBorders>
              <w:top w:val="single" w:sz="6" w:space="0" w:color="003366"/>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647,745</w:t>
            </w:r>
          </w:p>
        </w:tc>
      </w:tr>
      <w:tr w:rsidR="008E0433">
        <w:trPr>
          <w:trHeight w:val="75"/>
        </w:trPr>
        <w:tc>
          <w:tcPr>
            <w:tcW w:w="7785" w:type="dxa"/>
            <w:shd w:val="clear" w:color="auto" w:fill="FFFFFF"/>
            <w:tcMar>
              <w:top w:w="0" w:type="dxa"/>
              <w:left w:w="5" w:type="dxa"/>
              <w:bottom w:w="0" w:type="dxa"/>
              <w:right w:w="5" w:type="dxa"/>
            </w:tcMar>
            <w:vAlign w:val="bottom"/>
            <w:hideMark/>
          </w:tcPr>
          <w:p w:rsidR="00337B64" w:rsidRDefault="00337B64">
            <w:pPr>
              <w:spacing w:line="240" w:lineRule="auto"/>
              <w:contextualSpacing/>
              <w:rPr>
                <w:rFonts w:eastAsia="Arial" w:cs="Arial"/>
                <w:b/>
                <w:bCs/>
                <w:color w:val="003366"/>
                <w:sz w:val="16"/>
                <w:szCs w:val="16"/>
              </w:rPr>
            </w:pPr>
          </w:p>
        </w:tc>
        <w:tc>
          <w:tcPr>
            <w:tcW w:w="1185" w:type="dxa"/>
            <w:shd w:val="clear" w:color="auto" w:fill="C0C0C0"/>
            <w:tcMar>
              <w:top w:w="0" w:type="dxa"/>
              <w:left w:w="5" w:type="dxa"/>
              <w:bottom w:w="0" w:type="dxa"/>
              <w:right w:w="5" w:type="dxa"/>
            </w:tcMar>
            <w:vAlign w:val="bottom"/>
            <w:hideMark/>
          </w:tcPr>
          <w:p w:rsidR="00337B64" w:rsidRDefault="00337B64">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bottom"/>
            <w:hideMark/>
          </w:tcPr>
          <w:p w:rsidR="00337B64" w:rsidRDefault="00337B64">
            <w:pPr>
              <w:spacing w:line="240" w:lineRule="auto"/>
              <w:contextualSpacing/>
              <w:jc w:val="right"/>
              <w:rPr>
                <w:rFonts w:eastAsia="Arial" w:cs="Arial"/>
                <w:color w:val="000000"/>
                <w:sz w:val="16"/>
                <w:szCs w:val="16"/>
              </w:rPr>
            </w:pPr>
          </w:p>
        </w:tc>
      </w:tr>
      <w:tr w:rsidR="008E0433">
        <w:trPr>
          <w:trHeight w:val="195"/>
        </w:trPr>
        <w:tc>
          <w:tcPr>
            <w:tcW w:w="77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rPr>
                <w:rFonts w:eastAsia="Arial" w:cs="Arial"/>
                <w:b/>
                <w:bCs/>
                <w:color w:val="003366"/>
                <w:sz w:val="16"/>
                <w:szCs w:val="16"/>
              </w:rPr>
            </w:pPr>
            <w:r>
              <w:rPr>
                <w:rFonts w:eastAsia="Arial" w:cs="Arial"/>
                <w:b/>
                <w:bCs/>
                <w:color w:val="003366"/>
                <w:sz w:val="16"/>
                <w:szCs w:val="16"/>
              </w:rPr>
              <w:t>Equity</w:t>
            </w:r>
          </w:p>
        </w:tc>
        <w:tc>
          <w:tcPr>
            <w:tcW w:w="1185" w:type="dxa"/>
            <w:tcBorders>
              <w:bottom w:val="single" w:sz="6" w:space="0" w:color="003366"/>
            </w:tcBorders>
            <w:shd w:val="clear" w:color="auto" w:fill="C0C0C0"/>
            <w:tcMar>
              <w:top w:w="0" w:type="dxa"/>
              <w:left w:w="5" w:type="dxa"/>
              <w:bottom w:w="0" w:type="dxa"/>
              <w:right w:w="5" w:type="dxa"/>
            </w:tcMar>
            <w:vAlign w:val="bottom"/>
            <w:hideMark/>
          </w:tcPr>
          <w:p w:rsidR="00337B64" w:rsidRDefault="00337B64">
            <w:pPr>
              <w:spacing w:line="240" w:lineRule="auto"/>
              <w:contextualSpacing/>
              <w:jc w:val="right"/>
              <w:rPr>
                <w:rFonts w:eastAsia="Arial" w:cs="Arial"/>
                <w:b/>
                <w:bCs/>
                <w:color w:val="000000"/>
                <w:sz w:val="16"/>
                <w:szCs w:val="16"/>
              </w:rPr>
            </w:pPr>
          </w:p>
        </w:tc>
        <w:tc>
          <w:tcPr>
            <w:tcW w:w="1185" w:type="dxa"/>
            <w:tcBorders>
              <w:bottom w:val="single" w:sz="6" w:space="0" w:color="003366"/>
            </w:tcBorders>
            <w:shd w:val="clear" w:color="auto" w:fill="FFFFFF"/>
            <w:tcMar>
              <w:top w:w="0" w:type="dxa"/>
              <w:left w:w="5" w:type="dxa"/>
              <w:bottom w:w="0" w:type="dxa"/>
              <w:right w:w="5" w:type="dxa"/>
            </w:tcMar>
            <w:vAlign w:val="bottom"/>
            <w:hideMark/>
          </w:tcPr>
          <w:p w:rsidR="00337B64" w:rsidRDefault="00337B64">
            <w:pPr>
              <w:spacing w:line="240" w:lineRule="auto"/>
              <w:contextualSpacing/>
              <w:jc w:val="right"/>
              <w:rPr>
                <w:rFonts w:eastAsia="Arial" w:cs="Arial"/>
                <w:color w:val="000000"/>
                <w:sz w:val="16"/>
                <w:szCs w:val="16"/>
              </w:rPr>
            </w:pPr>
          </w:p>
        </w:tc>
      </w:tr>
      <w:tr w:rsidR="008E0433">
        <w:trPr>
          <w:trHeight w:val="195"/>
        </w:trPr>
        <w:tc>
          <w:tcPr>
            <w:tcW w:w="7785" w:type="dxa"/>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Ordinary shareholders' interests</w:t>
            </w:r>
          </w:p>
        </w:tc>
        <w:tc>
          <w:tcPr>
            <w:tcW w:w="1185" w:type="dxa"/>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39,576</w:t>
            </w:r>
          </w:p>
        </w:tc>
        <w:tc>
          <w:tcPr>
            <w:tcW w:w="1185" w:type="dxa"/>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41,182</w:t>
            </w:r>
          </w:p>
        </w:tc>
      </w:tr>
      <w:tr w:rsidR="008E0433">
        <w:trPr>
          <w:trHeight w:val="195"/>
        </w:trPr>
        <w:tc>
          <w:tcPr>
            <w:tcW w:w="7785" w:type="dxa"/>
            <w:tcBorders>
              <w:bottom w:val="single" w:sz="6" w:space="0" w:color="003366"/>
            </w:tcBorders>
            <w:shd w:val="clear" w:color="auto" w:fill="FFFFFF"/>
            <w:noWrap/>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Other owners' interests</w:t>
            </w:r>
          </w:p>
        </w:tc>
        <w:tc>
          <w:tcPr>
            <w:tcW w:w="1185" w:type="dxa"/>
            <w:tcBorders>
              <w:bottom w:val="single" w:sz="6" w:space="0" w:color="003366"/>
            </w:tcBorders>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4,554</w:t>
            </w:r>
          </w:p>
        </w:tc>
        <w:tc>
          <w:tcPr>
            <w:tcW w:w="11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4,554</w:t>
            </w:r>
          </w:p>
        </w:tc>
      </w:tr>
      <w:tr w:rsidR="008E0433">
        <w:trPr>
          <w:trHeight w:val="195"/>
        </w:trPr>
        <w:tc>
          <w:tcPr>
            <w:tcW w:w="7785" w:type="dxa"/>
            <w:tcBorders>
              <w:top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rPr>
                <w:rFonts w:eastAsia="Arial" w:cs="Arial"/>
                <w:b/>
                <w:bCs/>
                <w:color w:val="003366"/>
                <w:sz w:val="16"/>
                <w:szCs w:val="16"/>
              </w:rPr>
            </w:pPr>
            <w:r>
              <w:rPr>
                <w:rFonts w:eastAsia="Arial" w:cs="Arial"/>
                <w:b/>
                <w:bCs/>
                <w:color w:val="003366"/>
                <w:sz w:val="16"/>
                <w:szCs w:val="16"/>
              </w:rPr>
              <w:t>Owners’ equity</w:t>
            </w:r>
          </w:p>
        </w:tc>
        <w:tc>
          <w:tcPr>
            <w:tcW w:w="1185" w:type="dxa"/>
            <w:tcBorders>
              <w:top w:val="single" w:sz="6" w:space="0" w:color="003366"/>
            </w:tcBorders>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44,130</w:t>
            </w:r>
          </w:p>
        </w:tc>
        <w:tc>
          <w:tcPr>
            <w:tcW w:w="1185" w:type="dxa"/>
            <w:tcBorders>
              <w:top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45,736</w:t>
            </w:r>
          </w:p>
        </w:tc>
      </w:tr>
      <w:tr w:rsidR="008E0433">
        <w:trPr>
          <w:trHeight w:val="195"/>
        </w:trPr>
        <w:tc>
          <w:tcPr>
            <w:tcW w:w="77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rPr>
                <w:rFonts w:eastAsia="Arial" w:cs="Arial"/>
                <w:color w:val="000000"/>
                <w:sz w:val="16"/>
                <w:szCs w:val="16"/>
              </w:rPr>
            </w:pPr>
            <w:r>
              <w:rPr>
                <w:rFonts w:eastAsia="Arial" w:cs="Arial"/>
                <w:color w:val="000000"/>
                <w:sz w:val="16"/>
                <w:szCs w:val="16"/>
              </w:rPr>
              <w:t>Non-controlling interests</w:t>
            </w:r>
          </w:p>
        </w:tc>
        <w:tc>
          <w:tcPr>
            <w:tcW w:w="1185" w:type="dxa"/>
            <w:tcBorders>
              <w:bottom w:val="single" w:sz="6" w:space="0" w:color="003366"/>
            </w:tcBorders>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11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754</w:t>
            </w:r>
          </w:p>
        </w:tc>
      </w:tr>
      <w:tr w:rsidR="008E0433">
        <w:trPr>
          <w:trHeight w:val="195"/>
        </w:trPr>
        <w:tc>
          <w:tcPr>
            <w:tcW w:w="77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rPr>
                <w:rFonts w:eastAsia="Arial" w:cs="Arial"/>
                <w:b/>
                <w:bCs/>
                <w:color w:val="003366"/>
                <w:sz w:val="16"/>
                <w:szCs w:val="16"/>
              </w:rPr>
            </w:pPr>
            <w:r>
              <w:rPr>
                <w:rFonts w:eastAsia="Arial" w:cs="Arial"/>
                <w:b/>
                <w:bCs/>
                <w:color w:val="003366"/>
                <w:sz w:val="16"/>
                <w:szCs w:val="16"/>
              </w:rPr>
              <w:t>Total equity</w:t>
            </w:r>
          </w:p>
        </w:tc>
        <w:tc>
          <w:tcPr>
            <w:tcW w:w="1185" w:type="dxa"/>
            <w:tcBorders>
              <w:bottom w:val="single" w:sz="6" w:space="0" w:color="003366"/>
            </w:tcBorders>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44,146</w:t>
            </w:r>
          </w:p>
        </w:tc>
        <w:tc>
          <w:tcPr>
            <w:tcW w:w="11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46,490</w:t>
            </w:r>
          </w:p>
        </w:tc>
      </w:tr>
      <w:tr w:rsidR="008E0433">
        <w:trPr>
          <w:trHeight w:val="195"/>
        </w:trPr>
        <w:tc>
          <w:tcPr>
            <w:tcW w:w="77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rPr>
                <w:rFonts w:eastAsia="Arial" w:cs="Arial"/>
                <w:b/>
                <w:bCs/>
                <w:color w:val="003366"/>
                <w:sz w:val="16"/>
                <w:szCs w:val="16"/>
              </w:rPr>
            </w:pPr>
            <w:r>
              <w:rPr>
                <w:rFonts w:eastAsia="Arial" w:cs="Arial"/>
                <w:b/>
                <w:bCs/>
                <w:color w:val="003366"/>
                <w:sz w:val="16"/>
                <w:szCs w:val="16"/>
              </w:rPr>
              <w:t>Total liabilities and equity</w:t>
            </w:r>
          </w:p>
        </w:tc>
        <w:tc>
          <w:tcPr>
            <w:tcW w:w="1185" w:type="dxa"/>
            <w:tcBorders>
              <w:bottom w:val="single" w:sz="6" w:space="0" w:color="003366"/>
            </w:tcBorders>
            <w:shd w:val="clear" w:color="auto" w:fill="C0C0C0"/>
            <w:tcMar>
              <w:top w:w="0" w:type="dxa"/>
              <w:left w:w="5" w:type="dxa"/>
              <w:bottom w:w="0" w:type="dxa"/>
              <w:right w:w="5" w:type="dxa"/>
            </w:tcMar>
            <w:vAlign w:val="bottom"/>
            <w:hideMark/>
          </w:tcPr>
          <w:p w:rsidR="00337B6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776,507</w:t>
            </w:r>
          </w:p>
        </w:tc>
        <w:tc>
          <w:tcPr>
            <w:tcW w:w="1185" w:type="dxa"/>
            <w:tcBorders>
              <w:bottom w:val="single" w:sz="6" w:space="0" w:color="003366"/>
            </w:tcBorders>
            <w:shd w:val="clear" w:color="auto" w:fill="FFFFFF"/>
            <w:tcMar>
              <w:top w:w="0" w:type="dxa"/>
              <w:left w:w="5" w:type="dxa"/>
              <w:bottom w:w="0" w:type="dxa"/>
              <w:right w:w="5" w:type="dxa"/>
            </w:tcMar>
            <w:vAlign w:val="bottom"/>
            <w:hideMark/>
          </w:tcPr>
          <w:p w:rsidR="00337B64" w:rsidRDefault="00E02264">
            <w:pPr>
              <w:spacing w:line="240" w:lineRule="auto"/>
              <w:contextualSpacing/>
              <w:jc w:val="right"/>
              <w:rPr>
                <w:rFonts w:eastAsia="Arial" w:cs="Arial"/>
                <w:color w:val="000000"/>
                <w:sz w:val="16"/>
                <w:szCs w:val="16"/>
              </w:rPr>
            </w:pPr>
            <w:r>
              <w:rPr>
                <w:rFonts w:eastAsia="Arial" w:cs="Arial"/>
                <w:color w:val="000000"/>
                <w:sz w:val="16"/>
                <w:szCs w:val="16"/>
              </w:rPr>
              <w:t>694,235</w:t>
            </w:r>
          </w:p>
        </w:tc>
      </w:tr>
    </w:tbl>
    <w:p w:rsidR="00F57394" w:rsidRDefault="00E02264">
      <w:r>
        <w:br w:type="page"/>
      </w:r>
    </w:p>
    <w:p w:rsidR="00F57394" w:rsidRDefault="00E02264" w:rsidP="00F57394">
      <w:pPr>
        <w:pStyle w:val="Normal00"/>
        <w:spacing w:line="288" w:lineRule="auto"/>
        <w:rPr>
          <w:rFonts w:ascii="Arial" w:hAnsi="Arial" w:cs="Arial"/>
          <w:color w:val="003366"/>
          <w:sz w:val="14"/>
          <w:szCs w:val="14"/>
        </w:rPr>
      </w:pPr>
      <w:r w:rsidRPr="005A39BC">
        <w:rPr>
          <w:rFonts w:ascii="Arial" w:hAnsi="Arial" w:cs="Arial"/>
          <w:b/>
          <w:color w:val="003366"/>
          <w:sz w:val="18"/>
          <w:szCs w:val="18"/>
        </w:rPr>
        <w:lastRenderedPageBreak/>
        <w:t xml:space="preserve">Condensed consolidated statement of changes in equity for the period ended 30 September 2019 </w:t>
      </w:r>
      <w:r w:rsidRPr="004722FA">
        <w:rPr>
          <w:rFonts w:ascii="Arial" w:hAnsi="Arial" w:cs="Arial"/>
          <w:color w:val="003366"/>
          <w:sz w:val="14"/>
          <w:szCs w:val="14"/>
        </w:rPr>
        <w:t>(unaudited)</w:t>
      </w:r>
    </w:p>
    <w:p w:rsidR="005F51C4" w:rsidRPr="005A39BC" w:rsidRDefault="005F51C4" w:rsidP="00F57394">
      <w:pPr>
        <w:pStyle w:val="Normal00"/>
        <w:spacing w:line="288" w:lineRule="auto"/>
        <w:rPr>
          <w:rFonts w:ascii="Arial" w:hAnsi="Arial" w:cs="Arial"/>
          <w:b/>
          <w:color w:val="003366"/>
          <w:sz w:val="14"/>
          <w:szCs w:val="14"/>
        </w:rPr>
      </w:pPr>
    </w:p>
    <w:tbl>
      <w:tblPr>
        <w:tblStyle w:val="table"/>
        <w:tblW w:w="10080" w:type="dxa"/>
        <w:tblInd w:w="5" w:type="dxa"/>
        <w:tblCellMar>
          <w:left w:w="0" w:type="dxa"/>
          <w:right w:w="0" w:type="dxa"/>
        </w:tblCellMar>
        <w:tblLook w:val="05E0" w:firstRow="1" w:lastRow="1" w:firstColumn="1" w:lastColumn="1" w:noHBand="0" w:noVBand="1"/>
      </w:tblPr>
      <w:tblGrid>
        <w:gridCol w:w="3510"/>
        <w:gridCol w:w="885"/>
        <w:gridCol w:w="885"/>
        <w:gridCol w:w="960"/>
        <w:gridCol w:w="960"/>
        <w:gridCol w:w="960"/>
        <w:gridCol w:w="960"/>
        <w:gridCol w:w="960"/>
      </w:tblGrid>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xml:space="preserve">Share </w:t>
            </w: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capital and</w:t>
            </w: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Total</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Non</w:t>
            </w: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jc w:val="right"/>
              <w:rPr>
                <w:rFonts w:eastAsia="Arial" w:cs="Arial"/>
                <w:b/>
                <w:bCs/>
                <w:color w:val="003366"/>
                <w:sz w:val="20"/>
                <w:szCs w:val="20"/>
              </w:rPr>
            </w:pP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statutory</w:t>
            </w:r>
          </w:p>
        </w:tc>
        <w:tc>
          <w:tcPr>
            <w:tcW w:w="8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Paid-in</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Retained</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Other</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owners'</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controlling</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xml:space="preserve">Total </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reserves</w:t>
            </w:r>
          </w:p>
        </w:tc>
        <w:tc>
          <w:tcPr>
            <w:tcW w:w="8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Style w:val="font40"/>
              </w:rPr>
              <w:t>equity</w:t>
            </w:r>
            <w:r>
              <w:rPr>
                <w:rStyle w:val="font601"/>
              </w:rPr>
              <w:t xml:space="preserve"> </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earnings</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reserves*</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equity</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interests</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equity</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85"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r>
      <w:tr w:rsidR="008E0433">
        <w:trPr>
          <w:trHeight w:val="195"/>
        </w:trPr>
        <w:tc>
          <w:tcPr>
            <w:tcW w:w="35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3366"/>
                <w:sz w:val="16"/>
                <w:szCs w:val="16"/>
              </w:rPr>
            </w:pPr>
            <w:r>
              <w:rPr>
                <w:rFonts w:eastAsia="Arial" w:cs="Arial"/>
                <w:color w:val="003366"/>
                <w:sz w:val="16"/>
                <w:szCs w:val="16"/>
              </w:rPr>
              <w:t>At 1 January 2019</w:t>
            </w:r>
          </w:p>
        </w:tc>
        <w:tc>
          <w:tcPr>
            <w:tcW w:w="88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13,055</w:t>
            </w:r>
          </w:p>
        </w:tc>
        <w:tc>
          <w:tcPr>
            <w:tcW w:w="885"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4,058</w:t>
            </w:r>
          </w:p>
        </w:tc>
        <w:tc>
          <w:tcPr>
            <w:tcW w:w="9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14,312</w:t>
            </w:r>
          </w:p>
        </w:tc>
        <w:tc>
          <w:tcPr>
            <w:tcW w:w="9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14,311</w:t>
            </w:r>
          </w:p>
        </w:tc>
        <w:tc>
          <w:tcPr>
            <w:tcW w:w="9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45,736</w:t>
            </w:r>
          </w:p>
        </w:tc>
        <w:tc>
          <w:tcPr>
            <w:tcW w:w="9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754</w:t>
            </w:r>
          </w:p>
        </w:tc>
        <w:tc>
          <w:tcPr>
            <w:tcW w:w="9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46,490</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32"/>
              </w:rPr>
              <w:t>Implementation of IFRS 16 on 1 January 2019</w:t>
            </w:r>
            <w:r>
              <w:rPr>
                <w:rStyle w:val="font9"/>
              </w:rPr>
              <w:t> (1)</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(187)</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(187)</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(187)</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Profit attributable to ordinary shareholders</w:t>
            </w: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and other equity owners</w:t>
            </w:r>
            <w:r>
              <w:rPr>
                <w:rFonts w:ascii="Times New Roman" w:eastAsia="Times New Roman" w:hAnsi="Times New Roman" w:cs="Times New Roman"/>
                <w:color w:val="000000"/>
                <w:sz w:val="16"/>
                <w:szCs w:val="16"/>
              </w:rPr>
              <w:t xml:space="preserve">  </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2,030</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2,030</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261</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2,291</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Other comprehensive income</w:t>
            </w: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 Realised gains/(losses) in period </w:t>
            </w: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on FVOCI equity shares</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118</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(118)</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 </w:t>
            </w:r>
            <w:proofErr w:type="spellStart"/>
            <w:r>
              <w:rPr>
                <w:rFonts w:eastAsia="Arial" w:cs="Arial"/>
                <w:color w:val="000000"/>
                <w:sz w:val="16"/>
                <w:szCs w:val="16"/>
              </w:rPr>
              <w:t>Remeasurement</w:t>
            </w:r>
            <w:proofErr w:type="spellEnd"/>
            <w:r>
              <w:rPr>
                <w:rFonts w:eastAsia="Arial" w:cs="Arial"/>
                <w:color w:val="000000"/>
                <w:sz w:val="16"/>
                <w:szCs w:val="16"/>
              </w:rPr>
              <w:t xml:space="preserve"> of retirement </w:t>
            </w: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r>
      <w:tr w:rsidR="008E0433">
        <w:trPr>
          <w:trHeight w:val="195"/>
        </w:trPr>
        <w:tc>
          <w:tcPr>
            <w:tcW w:w="3510" w:type="dxa"/>
            <w:shd w:val="clear" w:color="auto" w:fill="FFFFFF"/>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benefit schemes</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(96)</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(96)</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(96)</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xml:space="preserve">- Changes in fair value of credit in financial </w:t>
            </w: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liabilities at FVTPL</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(115)</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(115)</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(115)</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Other amounts recognised in equity</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737</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737</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751</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Amount transferred from equity to earnings</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(169)</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(169)</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(169)</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Recycled to profit or loss on disposal</w:t>
            </w: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885"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32"/>
                <w:rFonts w:ascii="Times New Roman" w:eastAsia="Times New Roman" w:hAnsi="Times New Roman" w:cs="Times New Roman"/>
              </w:rPr>
              <w:t xml:space="preserve">      </w:t>
            </w:r>
            <w:r>
              <w:rPr>
                <w:rStyle w:val="font32"/>
              </w:rPr>
              <w:t>of businesses</w:t>
            </w:r>
            <w:r>
              <w:rPr>
                <w:rStyle w:val="font101"/>
              </w:rPr>
              <w:t xml:space="preserve"> </w:t>
            </w:r>
            <w:r>
              <w:rPr>
                <w:rStyle w:val="font9"/>
              </w:rPr>
              <w:t>(2)</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(335)</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(335)</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(335)</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Tax</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(160)</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(121)</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(121)</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Ordinary share dividends paid</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(3,018)</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(3,018)</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(3,018)</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Preference share and paid-in equity dividends paid</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(307)</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(307)</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(307)</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Shares and securities issued during the period</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112</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108</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108</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Share-based payments - gross</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(109)</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(109)</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(109)</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Movement in own shares held</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32"/>
              </w:rPr>
              <w:t xml:space="preserve">Equity raised </w:t>
            </w:r>
            <w:r>
              <w:rPr>
                <w:rStyle w:val="font9"/>
              </w:rPr>
              <w:t>(3)</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45</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45</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Style w:val="font32"/>
              </w:rPr>
              <w:t xml:space="preserve">Equity withdrawn and disposals </w:t>
            </w:r>
            <w:r>
              <w:rPr>
                <w:rStyle w:val="font9"/>
              </w:rPr>
              <w:t>(4)</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(1,058)</w:t>
            </w: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(1,058)</w:t>
            </w:r>
          </w:p>
        </w:tc>
      </w:tr>
      <w:tr w:rsidR="008E0433">
        <w:trPr>
          <w:trHeight w:val="195"/>
        </w:trPr>
        <w:tc>
          <w:tcPr>
            <w:tcW w:w="35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At 30 September 2019</w:t>
            </w:r>
          </w:p>
        </w:tc>
        <w:tc>
          <w:tcPr>
            <w:tcW w:w="88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13,143</w:t>
            </w:r>
          </w:p>
        </w:tc>
        <w:tc>
          <w:tcPr>
            <w:tcW w:w="88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4,058</w:t>
            </w:r>
          </w:p>
        </w:tc>
        <w:tc>
          <w:tcPr>
            <w:tcW w:w="9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12,663</w:t>
            </w:r>
          </w:p>
        </w:tc>
        <w:tc>
          <w:tcPr>
            <w:tcW w:w="9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14,266</w:t>
            </w:r>
          </w:p>
        </w:tc>
        <w:tc>
          <w:tcPr>
            <w:tcW w:w="9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44,130</w:t>
            </w:r>
          </w:p>
        </w:tc>
        <w:tc>
          <w:tcPr>
            <w:tcW w:w="9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9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44,146</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r>
      <w:tr w:rsidR="008E0433">
        <w:trPr>
          <w:trHeight w:val="195"/>
        </w:trPr>
        <w:tc>
          <w:tcPr>
            <w:tcW w:w="3510" w:type="dxa"/>
            <w:gridSpan w:val="3"/>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Total equity is attributable to:</w:t>
            </w: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r>
      <w:tr w:rsidR="008E0433">
        <w:trPr>
          <w:trHeight w:val="195"/>
        </w:trPr>
        <w:tc>
          <w:tcPr>
            <w:tcW w:w="35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Ordinary shareholders</w:t>
            </w:r>
          </w:p>
        </w:tc>
        <w:tc>
          <w:tcPr>
            <w:tcW w:w="8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39,576</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Preference shareholders</w:t>
            </w: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496</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Paid-in equity holders</w:t>
            </w: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4,058</w:t>
            </w:r>
          </w:p>
        </w:tc>
      </w:tr>
      <w:tr w:rsidR="008E0433">
        <w:trPr>
          <w:trHeight w:val="195"/>
        </w:trPr>
        <w:tc>
          <w:tcPr>
            <w:tcW w:w="35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Non-controlling interests</w:t>
            </w:r>
          </w:p>
        </w:tc>
        <w:tc>
          <w:tcPr>
            <w:tcW w:w="8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44,146</w:t>
            </w:r>
          </w:p>
        </w:tc>
      </w:tr>
      <w:tr w:rsidR="008E0433">
        <w:trPr>
          <w:trHeight w:val="195"/>
        </w:trPr>
        <w:tc>
          <w:tcPr>
            <w:tcW w:w="3510" w:type="dxa"/>
            <w:gridSpan w:val="2"/>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b/>
                <w:bCs/>
                <w:color w:val="003366"/>
                <w:sz w:val="16"/>
                <w:szCs w:val="16"/>
              </w:rPr>
            </w:pPr>
            <w:r>
              <w:rPr>
                <w:rFonts w:eastAsia="Arial" w:cs="Arial"/>
                <w:b/>
                <w:bCs/>
                <w:color w:val="003366"/>
                <w:sz w:val="16"/>
                <w:szCs w:val="16"/>
              </w:rPr>
              <w:t>*Other reserves consist of:</w:t>
            </w: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r>
      <w:tr w:rsidR="008E0433">
        <w:trPr>
          <w:trHeight w:val="195"/>
        </w:trPr>
        <w:tc>
          <w:tcPr>
            <w:tcW w:w="351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Merger reserve</w:t>
            </w:r>
          </w:p>
        </w:tc>
        <w:tc>
          <w:tcPr>
            <w:tcW w:w="8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85"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10,881</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FVOCI reserve</w:t>
            </w: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125</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Cash flow hedging reserve</w:t>
            </w: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336</w:t>
            </w:r>
          </w:p>
        </w:tc>
      </w:tr>
      <w:tr w:rsidR="008E0433">
        <w:trPr>
          <w:trHeight w:val="195"/>
        </w:trPr>
        <w:tc>
          <w:tcPr>
            <w:tcW w:w="351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Foreign exchange reserve</w:t>
            </w:r>
          </w:p>
        </w:tc>
        <w:tc>
          <w:tcPr>
            <w:tcW w:w="8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85"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2,924</w:t>
            </w:r>
          </w:p>
        </w:tc>
      </w:tr>
      <w:tr w:rsidR="008E0433">
        <w:trPr>
          <w:trHeight w:val="195"/>
        </w:trPr>
        <w:tc>
          <w:tcPr>
            <w:tcW w:w="351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885"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20"/>
                <w:szCs w:val="20"/>
              </w:rPr>
            </w:pPr>
          </w:p>
        </w:tc>
        <w:tc>
          <w:tcPr>
            <w:tcW w:w="960" w:type="dxa"/>
            <w:tcBorders>
              <w:top w:val="single" w:sz="6" w:space="0" w:color="003366"/>
              <w:bottom w:val="single" w:sz="6" w:space="0" w:color="000000"/>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14,266</w:t>
            </w:r>
          </w:p>
        </w:tc>
      </w:tr>
    </w:tbl>
    <w:p w:rsidR="00A51434" w:rsidRDefault="00A51434" w:rsidP="0007483D">
      <w:pPr>
        <w:autoSpaceDE w:val="0"/>
        <w:autoSpaceDN w:val="0"/>
        <w:adjustRightInd w:val="0"/>
        <w:spacing w:line="240" w:lineRule="auto"/>
        <w:rPr>
          <w:rFonts w:cs="Arial"/>
          <w:sz w:val="14"/>
          <w:szCs w:val="14"/>
        </w:rPr>
      </w:pPr>
    </w:p>
    <w:p w:rsidR="0007483D" w:rsidRDefault="00E02264" w:rsidP="0007483D">
      <w:pPr>
        <w:autoSpaceDE w:val="0"/>
        <w:autoSpaceDN w:val="0"/>
        <w:adjustRightInd w:val="0"/>
        <w:spacing w:line="240" w:lineRule="auto"/>
        <w:rPr>
          <w:rFonts w:cs="Arial"/>
          <w:sz w:val="14"/>
          <w:szCs w:val="14"/>
        </w:rPr>
      </w:pPr>
      <w:r>
        <w:rPr>
          <w:rFonts w:cs="Arial"/>
          <w:sz w:val="14"/>
          <w:szCs w:val="14"/>
        </w:rPr>
        <w:t>Notes:</w:t>
      </w:r>
    </w:p>
    <w:p w:rsidR="00C71BE1" w:rsidRPr="00C71BE1" w:rsidRDefault="00E02264" w:rsidP="00C71BE1">
      <w:pPr>
        <w:pStyle w:val="ListParagraph"/>
        <w:numPr>
          <w:ilvl w:val="0"/>
          <w:numId w:val="6"/>
        </w:numPr>
        <w:autoSpaceDE w:val="0"/>
        <w:autoSpaceDN w:val="0"/>
        <w:adjustRightInd w:val="0"/>
        <w:spacing w:line="240" w:lineRule="auto"/>
        <w:rPr>
          <w:rFonts w:cs="Arial"/>
          <w:sz w:val="14"/>
          <w:szCs w:val="14"/>
        </w:rPr>
      </w:pPr>
      <w:r w:rsidRPr="00A51434">
        <w:rPr>
          <w:rFonts w:cs="Arial"/>
          <w:sz w:val="14"/>
          <w:szCs w:val="14"/>
        </w:rPr>
        <w:t>Refer to Note 2 for further information on the impact of IFRS 16 implementation.</w:t>
      </w:r>
    </w:p>
    <w:p w:rsidR="00F0691C" w:rsidRDefault="00E02264" w:rsidP="0007483D">
      <w:pPr>
        <w:pStyle w:val="ListParagraph"/>
        <w:numPr>
          <w:ilvl w:val="0"/>
          <w:numId w:val="6"/>
        </w:numPr>
        <w:autoSpaceDE w:val="0"/>
        <w:autoSpaceDN w:val="0"/>
        <w:adjustRightInd w:val="0"/>
        <w:spacing w:line="240" w:lineRule="auto"/>
        <w:rPr>
          <w:rFonts w:cs="Arial"/>
          <w:sz w:val="14"/>
          <w:szCs w:val="14"/>
        </w:rPr>
      </w:pPr>
      <w:r w:rsidRPr="00F0691C">
        <w:rPr>
          <w:rFonts w:cs="Arial"/>
          <w:sz w:val="14"/>
          <w:szCs w:val="14"/>
        </w:rPr>
        <w:t xml:space="preserve">Includes £338 million arising on the completion of the Alawwal bank merger in June 2019, of which £48 million relates to tax. The merger resulted in </w:t>
      </w:r>
      <w:proofErr w:type="gramStart"/>
      <w:r w:rsidRPr="00F0691C">
        <w:rPr>
          <w:rFonts w:cs="Arial"/>
          <w:sz w:val="14"/>
          <w:szCs w:val="14"/>
        </w:rPr>
        <w:t>the derecognition</w:t>
      </w:r>
      <w:proofErr w:type="gramEnd"/>
      <w:r w:rsidRPr="00F0691C">
        <w:rPr>
          <w:rFonts w:cs="Arial"/>
          <w:sz w:val="14"/>
          <w:szCs w:val="14"/>
        </w:rPr>
        <w:t xml:space="preserve"> of the associate investment in Alawwal bank and recognition of a new investment in SABB held at fair value through other comprehensive income (FVOCI). </w:t>
      </w:r>
    </w:p>
    <w:p w:rsidR="00801852" w:rsidRDefault="00E02264" w:rsidP="0007483D">
      <w:pPr>
        <w:pStyle w:val="ListParagraph"/>
        <w:numPr>
          <w:ilvl w:val="0"/>
          <w:numId w:val="6"/>
        </w:numPr>
        <w:autoSpaceDE w:val="0"/>
        <w:autoSpaceDN w:val="0"/>
        <w:adjustRightInd w:val="0"/>
        <w:spacing w:line="240" w:lineRule="auto"/>
        <w:rPr>
          <w:rFonts w:cs="Arial"/>
          <w:sz w:val="14"/>
          <w:szCs w:val="14"/>
        </w:rPr>
      </w:pPr>
      <w:r>
        <w:rPr>
          <w:rFonts w:cs="Arial"/>
          <w:sz w:val="14"/>
          <w:szCs w:val="14"/>
        </w:rPr>
        <w:t>Capital injection from RFS Holdings B.V. Consortium Members.</w:t>
      </w:r>
    </w:p>
    <w:p w:rsidR="00801852" w:rsidRDefault="00E02264" w:rsidP="0007483D">
      <w:pPr>
        <w:pStyle w:val="ListParagraph"/>
        <w:numPr>
          <w:ilvl w:val="0"/>
          <w:numId w:val="6"/>
        </w:numPr>
        <w:autoSpaceDE w:val="0"/>
        <w:autoSpaceDN w:val="0"/>
        <w:adjustRightInd w:val="0"/>
        <w:spacing w:line="240" w:lineRule="auto"/>
        <w:rPr>
          <w:rFonts w:cs="Arial"/>
          <w:sz w:val="14"/>
          <w:szCs w:val="14"/>
        </w:rPr>
      </w:pPr>
      <w:r>
        <w:rPr>
          <w:rFonts w:cs="Arial"/>
          <w:sz w:val="14"/>
          <w:szCs w:val="14"/>
        </w:rPr>
        <w:t>Distribution to RFS Holdings B.V. Consortium Members on completion of Alawwal bank merger.</w:t>
      </w:r>
    </w:p>
    <w:p w:rsidR="00F57394" w:rsidRDefault="00E02264" w:rsidP="00861335">
      <w:pPr>
        <w:spacing w:after="200"/>
        <w:sectPr w:rsidR="00F57394" w:rsidSect="00F57394">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134" w:right="851" w:bottom="680" w:left="851" w:header="709" w:footer="709" w:gutter="0"/>
          <w:cols w:space="708"/>
          <w:docGrid w:linePitch="360"/>
        </w:sectPr>
      </w:pPr>
      <w:r>
        <w:br w:type="page"/>
      </w:r>
    </w:p>
    <w:p w:rsidR="0021583F" w:rsidRPr="009F6FCD" w:rsidRDefault="00E02264" w:rsidP="0021583F">
      <w:pPr>
        <w:pStyle w:val="GCAHeaderUnderline"/>
        <w:pBdr>
          <w:bottom w:val="none" w:sz="0" w:space="0" w:color="auto"/>
        </w:pBdr>
        <w:tabs>
          <w:tab w:val="left" w:pos="1440"/>
        </w:tabs>
        <w:jc w:val="both"/>
        <w:outlineLvl w:val="0"/>
        <w:rPr>
          <w:color w:val="0A2F64"/>
          <w:sz w:val="18"/>
          <w:szCs w:val="18"/>
        </w:rPr>
      </w:pPr>
      <w:bookmarkStart w:id="3" w:name="Notes_to_accounts"/>
      <w:r w:rsidRPr="009F6FCD">
        <w:rPr>
          <w:sz w:val="18"/>
          <w:szCs w:val="18"/>
        </w:rPr>
        <w:lastRenderedPageBreak/>
        <w:t>Notes</w:t>
      </w:r>
      <w:bookmarkEnd w:id="3"/>
    </w:p>
    <w:p w:rsidR="0021583F" w:rsidRPr="00E04946" w:rsidRDefault="00E02264" w:rsidP="0021583F">
      <w:pPr>
        <w:pStyle w:val="Normal250"/>
        <w:spacing w:line="288" w:lineRule="auto"/>
        <w:jc w:val="both"/>
        <w:rPr>
          <w:rFonts w:ascii="Arial" w:hAnsi="Arial" w:cs="Arial"/>
          <w:color w:val="0A2F64"/>
          <w:sz w:val="18"/>
          <w:szCs w:val="18"/>
        </w:rPr>
      </w:pPr>
      <w:r w:rsidRPr="00E04946">
        <w:rPr>
          <w:rFonts w:ascii="Arial" w:hAnsi="Arial" w:cs="Arial"/>
          <w:b/>
          <w:color w:val="0A2F64"/>
          <w:sz w:val="18"/>
          <w:szCs w:val="18"/>
        </w:rPr>
        <w:t xml:space="preserve">1. Basis of preparation </w:t>
      </w:r>
    </w:p>
    <w:p w:rsidR="0021583F" w:rsidRDefault="00E02264" w:rsidP="0021583F">
      <w:pPr>
        <w:pStyle w:val="Normal250"/>
        <w:spacing w:line="264" w:lineRule="auto"/>
        <w:rPr>
          <w:rFonts w:ascii="Arial" w:eastAsia="SimSun" w:hAnsi="Arial" w:cs="Arial"/>
          <w:sz w:val="18"/>
          <w:szCs w:val="18"/>
        </w:rPr>
      </w:pPr>
      <w:r w:rsidRPr="00B343E2">
        <w:rPr>
          <w:rFonts w:ascii="Arial" w:eastAsia="SimSun" w:hAnsi="Arial" w:cs="Arial"/>
          <w:sz w:val="18"/>
          <w:szCs w:val="18"/>
        </w:rPr>
        <w:t>The condensed consolidated financial statements should be read in conjunction with RBS’s 2018 Annual Report and Accounts which were prepared in accordance with International Financial Reporting Standards issued by the International Accounting Standards Board (IASB) and interpretations issued by the IFRS Interpretations Committee of the IASB as adopted by the European Union (EU) (together IFRS).</w:t>
      </w:r>
    </w:p>
    <w:p w:rsidR="0021583F" w:rsidRDefault="0021583F" w:rsidP="0021583F">
      <w:pPr>
        <w:pStyle w:val="Normal250"/>
        <w:autoSpaceDE w:val="0"/>
        <w:autoSpaceDN w:val="0"/>
        <w:adjustRightInd w:val="0"/>
        <w:rPr>
          <w:rFonts w:ascii="Arial" w:hAnsi="Arial" w:cs="Arial"/>
          <w:color w:val="003365"/>
          <w:sz w:val="18"/>
          <w:szCs w:val="18"/>
        </w:rPr>
      </w:pPr>
    </w:p>
    <w:p w:rsidR="0021583F" w:rsidRDefault="00E02264" w:rsidP="0021583F">
      <w:pPr>
        <w:pStyle w:val="Normal250"/>
        <w:autoSpaceDE w:val="0"/>
        <w:autoSpaceDN w:val="0"/>
        <w:adjustRightInd w:val="0"/>
        <w:rPr>
          <w:rFonts w:ascii="Arial" w:hAnsi="Arial" w:cs="Arial"/>
          <w:color w:val="003365"/>
          <w:sz w:val="18"/>
          <w:szCs w:val="18"/>
        </w:rPr>
      </w:pPr>
      <w:r>
        <w:rPr>
          <w:rFonts w:ascii="Arial" w:hAnsi="Arial" w:cs="Arial"/>
          <w:color w:val="003365"/>
          <w:sz w:val="18"/>
          <w:szCs w:val="18"/>
        </w:rPr>
        <w:t>Going concern</w:t>
      </w:r>
    </w:p>
    <w:p w:rsidR="0021583F" w:rsidRDefault="00E02264" w:rsidP="0021583F">
      <w:pPr>
        <w:pStyle w:val="Normal250"/>
        <w:autoSpaceDE w:val="0"/>
        <w:autoSpaceDN w:val="0"/>
        <w:adjustRightInd w:val="0"/>
        <w:rPr>
          <w:rFonts w:ascii="Arial" w:hAnsi="Arial" w:cs="Arial"/>
          <w:color w:val="000000"/>
          <w:sz w:val="18"/>
          <w:szCs w:val="18"/>
        </w:rPr>
      </w:pPr>
      <w:r>
        <w:rPr>
          <w:rFonts w:ascii="Arial" w:hAnsi="Arial" w:cs="Arial"/>
          <w:color w:val="000000"/>
          <w:sz w:val="18"/>
          <w:szCs w:val="18"/>
        </w:rPr>
        <w:t>Having reviewed RBS’s forecasts, projections and other relevant evidence, the directors have a reasonable expectation that RBS will continue in operational existence for the foreseeable future. Accordingly, the results for the periods ended 30 September 2019 have been prepared on a going concern basis.</w:t>
      </w:r>
    </w:p>
    <w:p w:rsidR="002E625D" w:rsidRDefault="002E625D" w:rsidP="002E625D">
      <w:pPr>
        <w:pStyle w:val="Normal250"/>
        <w:autoSpaceDE w:val="0"/>
        <w:autoSpaceDN w:val="0"/>
        <w:adjustRightInd w:val="0"/>
        <w:rPr>
          <w:rFonts w:ascii="Arial" w:hAnsi="Arial" w:cs="Arial"/>
          <w:color w:val="003365"/>
          <w:sz w:val="18"/>
          <w:szCs w:val="18"/>
        </w:rPr>
      </w:pPr>
    </w:p>
    <w:p w:rsidR="002E625D" w:rsidRPr="00CA0356" w:rsidRDefault="00E02264" w:rsidP="002E625D">
      <w:pPr>
        <w:pStyle w:val="Normal250"/>
        <w:autoSpaceDE w:val="0"/>
        <w:autoSpaceDN w:val="0"/>
        <w:adjustRightInd w:val="0"/>
        <w:rPr>
          <w:rFonts w:ascii="Arial" w:hAnsi="Arial" w:cs="Arial"/>
          <w:color w:val="003365"/>
          <w:sz w:val="18"/>
          <w:szCs w:val="18"/>
        </w:rPr>
      </w:pPr>
      <w:r w:rsidRPr="00CA0356">
        <w:rPr>
          <w:rFonts w:ascii="Arial" w:hAnsi="Arial" w:cs="Arial"/>
          <w:color w:val="003365"/>
          <w:sz w:val="18"/>
          <w:szCs w:val="18"/>
        </w:rPr>
        <w:t>Re-segmentation</w:t>
      </w:r>
    </w:p>
    <w:p w:rsidR="002E625D" w:rsidRPr="00CA0356" w:rsidRDefault="00E02264" w:rsidP="002E625D">
      <w:pPr>
        <w:pStyle w:val="Normal250"/>
        <w:autoSpaceDE w:val="0"/>
        <w:autoSpaceDN w:val="0"/>
        <w:adjustRightInd w:val="0"/>
        <w:spacing w:line="259" w:lineRule="auto"/>
        <w:rPr>
          <w:rFonts w:ascii="Arial" w:hAnsi="Arial" w:cs="Arial"/>
          <w:color w:val="000000"/>
          <w:sz w:val="18"/>
          <w:szCs w:val="18"/>
        </w:rPr>
      </w:pPr>
      <w:r w:rsidRPr="00CA0356">
        <w:rPr>
          <w:rFonts w:ascii="Arial" w:hAnsi="Arial" w:cs="Arial"/>
          <w:color w:val="000000"/>
          <w:sz w:val="18"/>
          <w:szCs w:val="18"/>
        </w:rPr>
        <w:t xml:space="preserve">Effective from 1 January 2019, Business Banking has been transferred from UK Personal and Business Banking (UK PBB) to Commercial Banking as the nature of the business, including distribution channels, products and </w:t>
      </w:r>
      <w:proofErr w:type="gramStart"/>
      <w:r w:rsidRPr="00CA0356">
        <w:rPr>
          <w:rFonts w:ascii="Arial" w:hAnsi="Arial" w:cs="Arial"/>
          <w:color w:val="000000"/>
          <w:sz w:val="18"/>
          <w:szCs w:val="18"/>
        </w:rPr>
        <w:t>customers,</w:t>
      </w:r>
      <w:proofErr w:type="gramEnd"/>
      <w:r w:rsidRPr="00CA0356">
        <w:rPr>
          <w:rFonts w:ascii="Arial" w:hAnsi="Arial" w:cs="Arial"/>
          <w:color w:val="000000"/>
          <w:sz w:val="18"/>
          <w:szCs w:val="18"/>
        </w:rPr>
        <w:t xml:space="preserve"> are more closely aligned to the Commercial Banking business. Concurrent with the transfer, UK PBB has been renamed UK Personal Banking (UK PB) and the previous franchise combining UK PBB (now UK PB) and Ulster Bank RoI has been renamed Personal &amp; Ulster. Comparatives have been re-stated.</w:t>
      </w:r>
    </w:p>
    <w:p w:rsidR="00C36715" w:rsidRDefault="00C36715"/>
    <w:p w:rsidR="0021583F" w:rsidRPr="00582FB5" w:rsidRDefault="00E02264" w:rsidP="0021583F">
      <w:pPr>
        <w:pStyle w:val="Normal250"/>
        <w:spacing w:line="259" w:lineRule="auto"/>
        <w:jc w:val="both"/>
        <w:rPr>
          <w:rFonts w:ascii="Arial" w:eastAsia="SimSun" w:hAnsi="Arial"/>
          <w:b/>
          <w:color w:val="0A2F64"/>
          <w:sz w:val="18"/>
          <w:szCs w:val="18"/>
        </w:rPr>
      </w:pPr>
      <w:r w:rsidRPr="00582FB5">
        <w:rPr>
          <w:rFonts w:ascii="Arial" w:eastAsia="SimSun" w:hAnsi="Arial"/>
          <w:b/>
          <w:color w:val="0A2F64"/>
          <w:sz w:val="18"/>
          <w:szCs w:val="18"/>
        </w:rPr>
        <w:t>2.  Accounting policies</w:t>
      </w:r>
    </w:p>
    <w:p w:rsidR="0021583F" w:rsidRPr="008E306F" w:rsidRDefault="00E02264" w:rsidP="0021583F">
      <w:pPr>
        <w:pStyle w:val="Normal250"/>
        <w:spacing w:line="259" w:lineRule="auto"/>
        <w:rPr>
          <w:rFonts w:ascii="Arial" w:eastAsia="SimSun" w:hAnsi="Arial"/>
          <w:sz w:val="18"/>
          <w:szCs w:val="18"/>
        </w:rPr>
      </w:pPr>
      <w:r w:rsidRPr="008E306F">
        <w:rPr>
          <w:rFonts w:ascii="Arial" w:eastAsia="SimSun" w:hAnsi="Arial"/>
          <w:sz w:val="18"/>
          <w:szCs w:val="18"/>
        </w:rPr>
        <w:t xml:space="preserve">RBS’s principal accounting policies are as set out on pages 182 to 186 of the 2018 Annual Report and Accounts and are unchanged other than as presented below. </w:t>
      </w:r>
    </w:p>
    <w:p w:rsidR="0021583F" w:rsidRPr="008E306F" w:rsidRDefault="0021583F" w:rsidP="0021583F">
      <w:pPr>
        <w:pStyle w:val="Normal250"/>
        <w:autoSpaceDE w:val="0"/>
        <w:autoSpaceDN w:val="0"/>
        <w:adjustRightInd w:val="0"/>
        <w:spacing w:line="259" w:lineRule="auto"/>
        <w:rPr>
          <w:rFonts w:ascii="Arial" w:eastAsia="SimSun" w:hAnsi="Arial" w:cs="Arial"/>
          <w:sz w:val="10"/>
          <w:szCs w:val="10"/>
          <w:lang w:eastAsia="zh-CN"/>
        </w:rPr>
      </w:pPr>
    </w:p>
    <w:p w:rsidR="0021583F" w:rsidRPr="008E306F" w:rsidRDefault="00E02264" w:rsidP="0021583F">
      <w:pPr>
        <w:pStyle w:val="Normal250"/>
        <w:autoSpaceDE w:val="0"/>
        <w:autoSpaceDN w:val="0"/>
        <w:adjustRightInd w:val="0"/>
        <w:spacing w:line="259" w:lineRule="auto"/>
        <w:rPr>
          <w:rFonts w:ascii="Arial" w:eastAsia="SimSun" w:hAnsi="Arial" w:cs="Arial"/>
          <w:color w:val="003366"/>
          <w:sz w:val="18"/>
          <w:szCs w:val="18"/>
          <w:lang w:eastAsia="zh-CN"/>
        </w:rPr>
      </w:pPr>
      <w:r w:rsidRPr="008E306F">
        <w:rPr>
          <w:rFonts w:ascii="Arial" w:eastAsia="SimSun" w:hAnsi="Arial" w:cs="Arial"/>
          <w:color w:val="003366"/>
          <w:sz w:val="18"/>
          <w:szCs w:val="18"/>
          <w:lang w:eastAsia="zh-CN"/>
        </w:rPr>
        <w:t>Changes in reporting standards</w:t>
      </w:r>
    </w:p>
    <w:p w:rsidR="0021583F" w:rsidRPr="008E306F" w:rsidRDefault="00E02264" w:rsidP="0021583F">
      <w:pPr>
        <w:pStyle w:val="Normal250"/>
        <w:autoSpaceDE w:val="0"/>
        <w:autoSpaceDN w:val="0"/>
        <w:adjustRightInd w:val="0"/>
        <w:spacing w:line="259" w:lineRule="auto"/>
        <w:rPr>
          <w:rFonts w:ascii="Arial" w:eastAsia="SimSun" w:hAnsi="Arial" w:cs="Arial"/>
          <w:sz w:val="18"/>
          <w:szCs w:val="18"/>
          <w:lang w:eastAsia="zh-CN"/>
        </w:rPr>
      </w:pPr>
      <w:r w:rsidRPr="008E306F">
        <w:rPr>
          <w:rFonts w:ascii="Arial" w:eastAsia="SimSun" w:hAnsi="Arial" w:cs="Arial"/>
          <w:sz w:val="18"/>
          <w:szCs w:val="18"/>
          <w:lang w:eastAsia="zh-CN"/>
        </w:rPr>
        <w:t xml:space="preserve">IAS 12 ‘Income taxes’ was revised with effect from 1 January 2019. The income statement is now required to include any tax relief on the servicing cost of instruments classified as equity. Relief of £67 million was recognised in the statement of changes in equity for the year ended 31 December 2018; this and prior periods have been restated. </w:t>
      </w:r>
    </w:p>
    <w:p w:rsidR="0021583F" w:rsidRPr="008E306F" w:rsidRDefault="0021583F" w:rsidP="0021583F">
      <w:pPr>
        <w:pStyle w:val="Normal250"/>
        <w:autoSpaceDE w:val="0"/>
        <w:autoSpaceDN w:val="0"/>
        <w:adjustRightInd w:val="0"/>
        <w:spacing w:line="259" w:lineRule="auto"/>
        <w:rPr>
          <w:rFonts w:ascii="Arial" w:eastAsia="SimSun" w:hAnsi="Arial" w:cs="Arial"/>
          <w:sz w:val="10"/>
          <w:szCs w:val="10"/>
          <w:lang w:eastAsia="zh-CN"/>
        </w:rPr>
      </w:pPr>
    </w:p>
    <w:p w:rsidR="0021583F" w:rsidRPr="008E306F" w:rsidRDefault="00E02264" w:rsidP="0021583F">
      <w:pPr>
        <w:pStyle w:val="Normal00"/>
        <w:spacing w:line="259" w:lineRule="auto"/>
        <w:jc w:val="both"/>
        <w:rPr>
          <w:rFonts w:ascii="Arial" w:hAnsi="Arial" w:cs="Arial"/>
          <w:color w:val="0A2F64"/>
          <w:sz w:val="18"/>
          <w:szCs w:val="18"/>
        </w:rPr>
      </w:pPr>
      <w:r w:rsidRPr="008E306F">
        <w:rPr>
          <w:rFonts w:ascii="Arial" w:hAnsi="Arial" w:cs="Arial"/>
          <w:color w:val="0A2F64"/>
          <w:sz w:val="18"/>
          <w:szCs w:val="18"/>
        </w:rPr>
        <w:t>Presentation of interest in suspense recoveries</w:t>
      </w:r>
    </w:p>
    <w:p w:rsidR="0021583F" w:rsidRPr="008E306F" w:rsidRDefault="00E02264" w:rsidP="0021583F">
      <w:pPr>
        <w:pStyle w:val="Normal00"/>
        <w:autoSpaceDE w:val="0"/>
        <w:autoSpaceDN w:val="0"/>
        <w:spacing w:line="259" w:lineRule="auto"/>
        <w:rPr>
          <w:rFonts w:ascii="Arial" w:hAnsi="Arial" w:cs="Arial"/>
          <w:sz w:val="18"/>
          <w:szCs w:val="18"/>
        </w:rPr>
      </w:pPr>
      <w:r w:rsidRPr="008E306F">
        <w:rPr>
          <w:rFonts w:ascii="Arial" w:eastAsia="SimSun" w:hAnsi="Arial" w:cs="Arial"/>
          <w:sz w:val="18"/>
          <w:szCs w:val="18"/>
        </w:rPr>
        <w:t xml:space="preserve">Until 1 January 2019, </w:t>
      </w:r>
      <w:proofErr w:type="gramStart"/>
      <w:r w:rsidRPr="008E306F">
        <w:rPr>
          <w:rFonts w:ascii="Arial" w:eastAsia="SimSun" w:hAnsi="Arial" w:cs="Arial"/>
          <w:sz w:val="18"/>
          <w:szCs w:val="18"/>
        </w:rPr>
        <w:t>interest in suspense recoveries were</w:t>
      </w:r>
      <w:proofErr w:type="gramEnd"/>
      <w:r w:rsidRPr="008E306F">
        <w:rPr>
          <w:rFonts w:ascii="Arial" w:eastAsia="SimSun" w:hAnsi="Arial" w:cs="Arial"/>
          <w:sz w:val="18"/>
          <w:szCs w:val="18"/>
        </w:rPr>
        <w:t xml:space="preserve"> presented as a component of interest receivable within Net interest income. It amounted to £46 million for the period ended 30 September 2019. From 1 January 2019 interest in suspense</w:t>
      </w:r>
      <w:r w:rsidRPr="008E306F">
        <w:rPr>
          <w:rFonts w:ascii="Arial" w:hAnsi="Arial" w:cs="Arial"/>
          <w:sz w:val="18"/>
          <w:szCs w:val="18"/>
        </w:rPr>
        <w:t xml:space="preserve"> recoveries is presented within impairment charges; prior periods were presented as income. Comparatives have not been restated.</w:t>
      </w:r>
    </w:p>
    <w:p w:rsidR="0021583F" w:rsidRPr="008E306F" w:rsidRDefault="0021583F" w:rsidP="0021583F">
      <w:pPr>
        <w:pStyle w:val="Normal250"/>
        <w:autoSpaceDE w:val="0"/>
        <w:autoSpaceDN w:val="0"/>
        <w:adjustRightInd w:val="0"/>
        <w:spacing w:line="259" w:lineRule="auto"/>
        <w:rPr>
          <w:rFonts w:ascii="Arial" w:eastAsia="SimSun" w:hAnsi="Arial" w:cs="Arial"/>
          <w:sz w:val="10"/>
          <w:szCs w:val="10"/>
          <w:lang w:eastAsia="zh-CN"/>
        </w:rPr>
      </w:pPr>
    </w:p>
    <w:p w:rsidR="0021583F" w:rsidRPr="008E306F" w:rsidRDefault="00E02264" w:rsidP="0021583F">
      <w:pPr>
        <w:pStyle w:val="Normal250"/>
        <w:autoSpaceDE w:val="0"/>
        <w:autoSpaceDN w:val="0"/>
        <w:adjustRightInd w:val="0"/>
        <w:spacing w:line="259" w:lineRule="auto"/>
        <w:rPr>
          <w:rFonts w:ascii="Arial" w:eastAsia="SimSun" w:hAnsi="Arial" w:cs="Arial"/>
          <w:sz w:val="18"/>
          <w:szCs w:val="18"/>
          <w:lang w:eastAsia="zh-CN"/>
        </w:rPr>
      </w:pPr>
      <w:r w:rsidRPr="008E306F">
        <w:rPr>
          <w:rFonts w:ascii="Arial" w:eastAsia="SimSun" w:hAnsi="Arial" w:cs="Arial"/>
          <w:color w:val="003366"/>
          <w:sz w:val="18"/>
          <w:szCs w:val="18"/>
          <w:lang w:eastAsia="zh-CN"/>
        </w:rPr>
        <w:t>Revised Accounting policy 10 - Leases</w:t>
      </w:r>
    </w:p>
    <w:p w:rsidR="0021583F" w:rsidRPr="008E306F" w:rsidRDefault="00E02264" w:rsidP="0021583F">
      <w:pPr>
        <w:pStyle w:val="Normal250"/>
        <w:autoSpaceDE w:val="0"/>
        <w:autoSpaceDN w:val="0"/>
        <w:adjustRightInd w:val="0"/>
        <w:spacing w:line="259" w:lineRule="auto"/>
        <w:rPr>
          <w:rFonts w:ascii="Arial" w:eastAsia="SimSun" w:hAnsi="Arial" w:cs="Arial"/>
          <w:sz w:val="18"/>
          <w:szCs w:val="18"/>
          <w:lang w:eastAsia="zh-CN"/>
        </w:rPr>
      </w:pPr>
      <w:r w:rsidRPr="008E306F">
        <w:rPr>
          <w:rFonts w:ascii="Arial" w:eastAsia="SimSun" w:hAnsi="Arial" w:cs="Arial"/>
          <w:sz w:val="18"/>
          <w:szCs w:val="18"/>
          <w:lang w:eastAsia="zh-CN"/>
        </w:rPr>
        <w:t>RBS has adopted IFRS 16 ‘Leases’ with effect from 1 January 2019, replacing IAS 17 ‘Leases’. RBS has applied IFRS 16 on a modified retrospective basis without restating prior years. Accounting policy 10 presented in the 2018 Annual Report and Accounts has been updated as follows:</w:t>
      </w:r>
    </w:p>
    <w:p w:rsidR="0021583F" w:rsidRDefault="0021583F" w:rsidP="0021583F">
      <w:pPr>
        <w:pStyle w:val="Normal250"/>
        <w:autoSpaceDE w:val="0"/>
        <w:autoSpaceDN w:val="0"/>
        <w:adjustRightInd w:val="0"/>
        <w:spacing w:line="120" w:lineRule="auto"/>
        <w:ind w:right="720"/>
        <w:rPr>
          <w:rFonts w:ascii="Arial" w:eastAsia="SimSun" w:hAnsi="Arial" w:cs="Arial"/>
          <w:color w:val="003366"/>
          <w:sz w:val="18"/>
          <w:szCs w:val="18"/>
          <w:lang w:eastAsia="zh-CN"/>
        </w:rPr>
      </w:pPr>
    </w:p>
    <w:p w:rsidR="0021583F" w:rsidRPr="004D5594" w:rsidRDefault="00E02264" w:rsidP="0021583F">
      <w:pPr>
        <w:pStyle w:val="Normal250"/>
        <w:autoSpaceDE w:val="0"/>
        <w:autoSpaceDN w:val="0"/>
        <w:adjustRightInd w:val="0"/>
        <w:spacing w:line="259" w:lineRule="auto"/>
        <w:ind w:right="720"/>
        <w:rPr>
          <w:rFonts w:ascii="Arial" w:eastAsia="SimSun" w:hAnsi="Arial" w:cs="Arial"/>
          <w:i/>
          <w:color w:val="003366"/>
          <w:sz w:val="18"/>
          <w:szCs w:val="18"/>
          <w:lang w:eastAsia="zh-CN"/>
        </w:rPr>
      </w:pPr>
      <w:r w:rsidRPr="004D5594">
        <w:rPr>
          <w:rFonts w:ascii="Arial" w:eastAsia="SimSun" w:hAnsi="Arial" w:cs="Arial"/>
          <w:i/>
          <w:color w:val="003366"/>
          <w:sz w:val="18"/>
          <w:szCs w:val="18"/>
          <w:lang w:eastAsia="zh-CN"/>
        </w:rPr>
        <w:t xml:space="preserve">As lessor </w:t>
      </w:r>
    </w:p>
    <w:p w:rsidR="0021583F" w:rsidRPr="008E306F" w:rsidRDefault="00E02264" w:rsidP="0021583F">
      <w:pPr>
        <w:pStyle w:val="Normal250"/>
        <w:tabs>
          <w:tab w:val="left" w:pos="9638"/>
        </w:tabs>
        <w:autoSpaceDE w:val="0"/>
        <w:autoSpaceDN w:val="0"/>
        <w:adjustRightInd w:val="0"/>
        <w:spacing w:line="259" w:lineRule="auto"/>
        <w:rPr>
          <w:rFonts w:ascii="Arial" w:eastAsia="SimSun" w:hAnsi="Arial" w:cs="Arial"/>
          <w:sz w:val="18"/>
          <w:szCs w:val="18"/>
          <w:lang w:eastAsia="zh-CN"/>
        </w:rPr>
      </w:pPr>
      <w:r w:rsidRPr="008E306F">
        <w:rPr>
          <w:rFonts w:ascii="Arial" w:eastAsia="SimSun" w:hAnsi="Arial" w:cs="Arial"/>
          <w:sz w:val="18"/>
          <w:szCs w:val="18"/>
          <w:lang w:eastAsia="zh-CN"/>
        </w:rPr>
        <w:t>Finance lease contracts are those which transfer substantially all the risks and rewards of ownership of an asset to a customer. All other contracts with customers to lease assets are classified as operating leases.</w:t>
      </w:r>
    </w:p>
    <w:p w:rsidR="0021583F" w:rsidRPr="008E306F" w:rsidRDefault="0021583F" w:rsidP="0021583F">
      <w:pPr>
        <w:pStyle w:val="Normal250"/>
        <w:autoSpaceDE w:val="0"/>
        <w:autoSpaceDN w:val="0"/>
        <w:adjustRightInd w:val="0"/>
        <w:spacing w:line="259" w:lineRule="auto"/>
        <w:rPr>
          <w:rFonts w:ascii="Arial" w:eastAsia="SimSun" w:hAnsi="Arial" w:cs="Arial"/>
          <w:sz w:val="10"/>
          <w:szCs w:val="10"/>
          <w:lang w:eastAsia="zh-CN"/>
        </w:rPr>
      </w:pPr>
    </w:p>
    <w:p w:rsidR="0021583F" w:rsidRPr="008E306F" w:rsidRDefault="00E02264" w:rsidP="0021583F">
      <w:pPr>
        <w:pStyle w:val="Normal250"/>
        <w:autoSpaceDE w:val="0"/>
        <w:autoSpaceDN w:val="0"/>
        <w:adjustRightInd w:val="0"/>
        <w:spacing w:line="259" w:lineRule="auto"/>
        <w:rPr>
          <w:rFonts w:ascii="Arial" w:eastAsia="SimSun" w:hAnsi="Arial" w:cs="Arial"/>
          <w:sz w:val="18"/>
          <w:szCs w:val="18"/>
          <w:lang w:eastAsia="zh-CN"/>
        </w:rPr>
      </w:pPr>
      <w:r w:rsidRPr="008E306F">
        <w:rPr>
          <w:rFonts w:ascii="Arial" w:eastAsia="SimSun" w:hAnsi="Arial" w:cs="Arial"/>
          <w:sz w:val="18"/>
          <w:szCs w:val="18"/>
          <w:lang w:eastAsia="zh-CN"/>
        </w:rPr>
        <w:t xml:space="preserve">Loans to customers include finance lease receivables measured at the net investment in the lease, comprising the minimum lease payments and any unguaranteed residual value discounted at the interest rate implicit in the lease. Interest receivable includes finance lease income recognised at a constant periodic rate of return before tax on the net investment. Unguaranteed residual values are subject to regular review; if there is a reduction in their value, income allocation is revised and any reduction in respect of amounts accrued is recognised immediately. </w:t>
      </w:r>
    </w:p>
    <w:p w:rsidR="0021583F" w:rsidRPr="008E306F" w:rsidRDefault="0021583F" w:rsidP="0021583F">
      <w:pPr>
        <w:pStyle w:val="Normal250"/>
        <w:autoSpaceDE w:val="0"/>
        <w:autoSpaceDN w:val="0"/>
        <w:adjustRightInd w:val="0"/>
        <w:spacing w:line="259" w:lineRule="auto"/>
        <w:rPr>
          <w:rFonts w:ascii="Arial" w:eastAsia="SimSun" w:hAnsi="Arial" w:cs="Arial"/>
          <w:sz w:val="10"/>
          <w:szCs w:val="10"/>
          <w:lang w:eastAsia="zh-CN"/>
        </w:rPr>
      </w:pPr>
    </w:p>
    <w:p w:rsidR="0021583F" w:rsidRPr="008E306F" w:rsidRDefault="00E02264" w:rsidP="0021583F">
      <w:pPr>
        <w:pStyle w:val="Normal250"/>
        <w:autoSpaceDE w:val="0"/>
        <w:autoSpaceDN w:val="0"/>
        <w:adjustRightInd w:val="0"/>
        <w:spacing w:line="259" w:lineRule="auto"/>
        <w:rPr>
          <w:rFonts w:ascii="Arial" w:eastAsia="SimSun" w:hAnsi="Arial" w:cs="Arial"/>
          <w:sz w:val="18"/>
          <w:szCs w:val="18"/>
          <w:lang w:eastAsia="zh-CN"/>
        </w:rPr>
      </w:pPr>
      <w:r w:rsidRPr="008E306F">
        <w:rPr>
          <w:rFonts w:ascii="Arial" w:eastAsia="SimSun" w:hAnsi="Arial" w:cs="Arial"/>
          <w:sz w:val="18"/>
          <w:szCs w:val="18"/>
          <w:lang w:eastAsia="zh-CN"/>
        </w:rPr>
        <w:t xml:space="preserve">Rental income from operating leases is recognised in other operating income on a straight-line basis over the lease term unless another systematic basis better represents the time pattern of the asset’s use. Operating lease assets are included within Property, plant and equipment and depreciated over their useful lives. </w:t>
      </w:r>
    </w:p>
    <w:p w:rsidR="0021583F" w:rsidRPr="008E306F" w:rsidRDefault="0021583F" w:rsidP="0021583F">
      <w:pPr>
        <w:pStyle w:val="Normal250"/>
        <w:autoSpaceDE w:val="0"/>
        <w:autoSpaceDN w:val="0"/>
        <w:adjustRightInd w:val="0"/>
        <w:spacing w:line="259" w:lineRule="auto"/>
        <w:rPr>
          <w:rFonts w:ascii="Arial" w:eastAsia="SimSun" w:hAnsi="Arial" w:cs="Arial"/>
          <w:sz w:val="10"/>
          <w:szCs w:val="10"/>
          <w:lang w:eastAsia="zh-CN"/>
        </w:rPr>
      </w:pPr>
    </w:p>
    <w:p w:rsidR="0021583F" w:rsidRPr="004D5594" w:rsidRDefault="00E02264" w:rsidP="0021583F">
      <w:pPr>
        <w:pStyle w:val="Normal250"/>
        <w:autoSpaceDE w:val="0"/>
        <w:autoSpaceDN w:val="0"/>
        <w:adjustRightInd w:val="0"/>
        <w:spacing w:line="259" w:lineRule="auto"/>
        <w:rPr>
          <w:rFonts w:ascii="Arial" w:eastAsia="SimSun" w:hAnsi="Arial" w:cs="Arial"/>
          <w:i/>
          <w:color w:val="003366"/>
          <w:sz w:val="18"/>
          <w:szCs w:val="18"/>
          <w:lang w:eastAsia="zh-CN"/>
        </w:rPr>
      </w:pPr>
      <w:r w:rsidRPr="004D5594">
        <w:rPr>
          <w:rFonts w:ascii="Arial" w:eastAsia="SimSun" w:hAnsi="Arial" w:cs="Arial"/>
          <w:i/>
          <w:color w:val="003366"/>
          <w:sz w:val="18"/>
          <w:szCs w:val="18"/>
          <w:lang w:eastAsia="zh-CN"/>
        </w:rPr>
        <w:t>As lessee</w:t>
      </w:r>
    </w:p>
    <w:p w:rsidR="0021583F" w:rsidRPr="008E306F" w:rsidRDefault="00E02264" w:rsidP="0021583F">
      <w:pPr>
        <w:pStyle w:val="Normal250"/>
        <w:autoSpaceDE w:val="0"/>
        <w:autoSpaceDN w:val="0"/>
        <w:adjustRightInd w:val="0"/>
        <w:spacing w:line="259" w:lineRule="auto"/>
        <w:rPr>
          <w:rFonts w:ascii="Arial" w:eastAsia="SimSun" w:hAnsi="Arial" w:cs="Arial"/>
          <w:sz w:val="18"/>
          <w:szCs w:val="18"/>
          <w:lang w:eastAsia="zh-CN"/>
        </w:rPr>
      </w:pPr>
      <w:r w:rsidRPr="008E306F">
        <w:rPr>
          <w:rFonts w:ascii="Arial" w:eastAsia="SimSun" w:hAnsi="Arial" w:cs="Arial"/>
          <w:sz w:val="18"/>
          <w:szCs w:val="18"/>
          <w:lang w:eastAsia="zh-CN"/>
        </w:rPr>
        <w:t>On entering a new lease contract, RBS recognises a right of use asset and a liability to pay future rentals. The liability is measured at the present value of future lease payments discounted at the applicable incremental borrowing rate. The right of use asset is depreciated over the shorter of the term of the lease and the useful economic life, subject to review for impairment. Short term and low value leased assets are expensed on a systematic basis.</w:t>
      </w:r>
    </w:p>
    <w:p w:rsidR="0021583F" w:rsidRPr="008E306F" w:rsidRDefault="00E02264" w:rsidP="0021583F">
      <w:pPr>
        <w:pStyle w:val="GCAHeaderUnderline"/>
        <w:pBdr>
          <w:bottom w:val="none" w:sz="0" w:space="0" w:color="auto"/>
        </w:pBdr>
        <w:tabs>
          <w:tab w:val="left" w:pos="1440"/>
        </w:tabs>
        <w:spacing w:line="259" w:lineRule="auto"/>
        <w:jc w:val="both"/>
        <w:outlineLvl w:val="0"/>
        <w:rPr>
          <w:color w:val="0A2F64"/>
          <w:sz w:val="18"/>
          <w:szCs w:val="18"/>
        </w:rPr>
      </w:pPr>
      <w:r w:rsidRPr="008E306F">
        <w:rPr>
          <w:rFonts w:eastAsia="SimSun"/>
          <w:sz w:val="18"/>
          <w:szCs w:val="18"/>
          <w:lang w:eastAsia="zh-CN"/>
        </w:rPr>
        <w:br w:type="page"/>
      </w:r>
      <w:r w:rsidRPr="008E306F">
        <w:rPr>
          <w:sz w:val="18"/>
          <w:szCs w:val="18"/>
        </w:rPr>
        <w:lastRenderedPageBreak/>
        <w:t>Notes</w:t>
      </w:r>
    </w:p>
    <w:p w:rsidR="0021583F" w:rsidRPr="008E306F" w:rsidRDefault="00E02264" w:rsidP="0021583F">
      <w:pPr>
        <w:pStyle w:val="Normal250"/>
        <w:spacing w:line="259" w:lineRule="auto"/>
        <w:jc w:val="both"/>
        <w:rPr>
          <w:rFonts w:ascii="Arial" w:eastAsia="SimSun" w:hAnsi="Arial"/>
          <w:color w:val="003366"/>
          <w:sz w:val="18"/>
          <w:szCs w:val="18"/>
        </w:rPr>
      </w:pPr>
      <w:r>
        <w:rPr>
          <w:rFonts w:ascii="Arial" w:eastAsia="SimSun" w:hAnsi="Arial"/>
          <w:b/>
          <w:color w:val="003366"/>
          <w:sz w:val="18"/>
          <w:szCs w:val="18"/>
        </w:rPr>
        <w:t xml:space="preserve">2. Accounting policies </w:t>
      </w:r>
      <w:r w:rsidRPr="008E306F">
        <w:rPr>
          <w:rFonts w:ascii="Arial" w:eastAsia="SimSun" w:hAnsi="Arial"/>
          <w:color w:val="003366"/>
          <w:sz w:val="18"/>
          <w:szCs w:val="18"/>
        </w:rPr>
        <w:t>continued</w:t>
      </w:r>
    </w:p>
    <w:p w:rsidR="0021583F" w:rsidRPr="008E306F" w:rsidRDefault="00E02264" w:rsidP="0021583F">
      <w:pPr>
        <w:pStyle w:val="Normal250"/>
        <w:autoSpaceDE w:val="0"/>
        <w:autoSpaceDN w:val="0"/>
        <w:adjustRightInd w:val="0"/>
        <w:spacing w:line="259" w:lineRule="auto"/>
        <w:rPr>
          <w:rFonts w:ascii="Arial" w:eastAsia="SimSun" w:hAnsi="Arial" w:cs="Arial"/>
          <w:sz w:val="18"/>
          <w:szCs w:val="18"/>
          <w:lang w:eastAsia="zh-CN"/>
        </w:rPr>
      </w:pPr>
      <w:r w:rsidRPr="008E306F">
        <w:rPr>
          <w:rFonts w:ascii="Arial" w:eastAsia="SimSun" w:hAnsi="Arial" w:cs="Arial"/>
          <w:sz w:val="18"/>
          <w:szCs w:val="18"/>
          <w:lang w:eastAsia="zh-CN"/>
        </w:rPr>
        <w:t>For further details see page 186 of RBS’s 2018 Annual Report and Accounts. The impact on RBS’s balance sheet at 1 January 2019 is as follows:</w:t>
      </w:r>
    </w:p>
    <w:tbl>
      <w:tblPr>
        <w:tblStyle w:val="table"/>
        <w:tblW w:w="10160" w:type="dxa"/>
        <w:tblInd w:w="5" w:type="dxa"/>
        <w:tblCellMar>
          <w:left w:w="0" w:type="dxa"/>
          <w:right w:w="0" w:type="dxa"/>
        </w:tblCellMar>
        <w:tblLook w:val="05E0" w:firstRow="1" w:lastRow="1" w:firstColumn="1" w:lastColumn="1" w:noHBand="0" w:noVBand="1"/>
      </w:tblPr>
      <w:tblGrid>
        <w:gridCol w:w="9060"/>
        <w:gridCol w:w="1110"/>
      </w:tblGrid>
      <w:tr w:rsidR="008E0433">
        <w:trPr>
          <w:trHeight w:val="210"/>
        </w:trPr>
        <w:tc>
          <w:tcPr>
            <w:tcW w:w="90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3466"/>
                <w:sz w:val="16"/>
                <w:szCs w:val="16"/>
              </w:rPr>
            </w:pPr>
            <w:r>
              <w:rPr>
                <w:rFonts w:eastAsia="Arial" w:cs="Arial"/>
                <w:b/>
                <w:bCs/>
                <w:color w:val="003466"/>
                <w:sz w:val="16"/>
                <w:szCs w:val="16"/>
              </w:rPr>
              <w:t>£bn</w:t>
            </w:r>
          </w:p>
        </w:tc>
      </w:tr>
      <w:tr w:rsidR="008E0433">
        <w:trPr>
          <w:trHeight w:val="210"/>
        </w:trPr>
        <w:tc>
          <w:tcPr>
            <w:tcW w:w="90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3466"/>
                <w:sz w:val="16"/>
                <w:szCs w:val="16"/>
              </w:rPr>
            </w:pPr>
            <w:r>
              <w:rPr>
                <w:rFonts w:eastAsia="Arial" w:cs="Arial"/>
                <w:color w:val="003466"/>
                <w:sz w:val="16"/>
                <w:szCs w:val="16"/>
              </w:rPr>
              <w:t>Retained earnings at 31 December 2018</w:t>
            </w: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14.3</w:t>
            </w:r>
          </w:p>
        </w:tc>
      </w:tr>
      <w:tr w:rsidR="008E0433">
        <w:trPr>
          <w:trHeight w:val="210"/>
        </w:trPr>
        <w:tc>
          <w:tcPr>
            <w:tcW w:w="90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Loans to customers - finance leases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r>
      <w:tr w:rsidR="008E0433">
        <w:trPr>
          <w:trHeight w:val="210"/>
        </w:trPr>
        <w:tc>
          <w:tcPr>
            <w:tcW w:w="90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Other assets - net right of use assets</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r>
      <w:tr w:rsidR="008E0433">
        <w:trPr>
          <w:trHeight w:val="210"/>
        </w:trPr>
        <w:tc>
          <w:tcPr>
            <w:tcW w:w="90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Recognition of lease liabilities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r>
      <w:tr w:rsidR="008E0433">
        <w:trPr>
          <w:trHeight w:val="210"/>
        </w:trPr>
        <w:tc>
          <w:tcPr>
            <w:tcW w:w="9060" w:type="dxa"/>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Provision for onerous leases</w:t>
            </w:r>
          </w:p>
        </w:tc>
        <w:tc>
          <w:tcPr>
            <w:tcW w:w="1110" w:type="dxa"/>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r>
      <w:tr w:rsidR="008E0433">
        <w:trPr>
          <w:trHeight w:val="210"/>
        </w:trPr>
        <w:tc>
          <w:tcPr>
            <w:tcW w:w="9060" w:type="dxa"/>
            <w:tcBorders>
              <w:top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Other liabilities</w:t>
            </w:r>
          </w:p>
        </w:tc>
        <w:tc>
          <w:tcPr>
            <w:tcW w:w="1110" w:type="dxa"/>
            <w:tcBorders>
              <w:top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w:t>
            </w:r>
          </w:p>
        </w:tc>
      </w:tr>
      <w:tr w:rsidR="008E0433">
        <w:trPr>
          <w:trHeight w:val="75"/>
        </w:trPr>
        <w:tc>
          <w:tcPr>
            <w:tcW w:w="9060" w:type="dxa"/>
            <w:shd w:val="clear" w:color="auto" w:fill="FFFFFF"/>
            <w:noWrap/>
            <w:tcMar>
              <w:top w:w="0" w:type="dxa"/>
              <w:left w:w="5" w:type="dxa"/>
              <w:bottom w:w="0" w:type="dxa"/>
              <w:right w:w="5" w:type="dxa"/>
            </w:tcMar>
            <w:vAlign w:val="bottom"/>
            <w:hideMark/>
          </w:tcPr>
          <w:p w:rsidR="008E0433" w:rsidRDefault="008E0433">
            <w:pPr>
              <w:spacing w:line="240" w:lineRule="auto"/>
              <w:contextualSpacing/>
              <w:rPr>
                <w:rFonts w:eastAsia="Arial" w:cs="Arial"/>
                <w:color w:val="000000"/>
                <w:sz w:val="16"/>
                <w:szCs w:val="16"/>
              </w:rPr>
            </w:pPr>
          </w:p>
        </w:tc>
        <w:tc>
          <w:tcPr>
            <w:tcW w:w="1110" w:type="dxa"/>
            <w:shd w:val="clear" w:color="auto" w:fill="C0C0C0"/>
            <w:noWrap/>
            <w:tcMar>
              <w:top w:w="0" w:type="dxa"/>
              <w:left w:w="5" w:type="dxa"/>
              <w:bottom w:w="0" w:type="dxa"/>
              <w:right w:w="5" w:type="dxa"/>
            </w:tcMar>
            <w:vAlign w:val="bottom"/>
            <w:hideMark/>
          </w:tcPr>
          <w:p w:rsidR="008E0433" w:rsidRDefault="008E0433">
            <w:pPr>
              <w:spacing w:line="240" w:lineRule="auto"/>
              <w:contextualSpacing/>
              <w:rPr>
                <w:rFonts w:eastAsia="Arial" w:cs="Arial"/>
                <w:b/>
                <w:bCs/>
                <w:color w:val="000000"/>
                <w:sz w:val="16"/>
                <w:szCs w:val="16"/>
              </w:rPr>
            </w:pPr>
          </w:p>
        </w:tc>
      </w:tr>
      <w:tr w:rsidR="008E0433">
        <w:trPr>
          <w:trHeight w:val="210"/>
        </w:trPr>
        <w:tc>
          <w:tcPr>
            <w:tcW w:w="9060" w:type="dxa"/>
            <w:tcBorders>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0000"/>
                <w:sz w:val="16"/>
                <w:szCs w:val="16"/>
              </w:rPr>
            </w:pPr>
            <w:r>
              <w:rPr>
                <w:rFonts w:eastAsia="Arial" w:cs="Arial"/>
                <w:color w:val="000000"/>
                <w:sz w:val="16"/>
                <w:szCs w:val="16"/>
              </w:rPr>
              <w:t>Net impact on retained earnings</w:t>
            </w:r>
          </w:p>
        </w:tc>
        <w:tc>
          <w:tcPr>
            <w:tcW w:w="1110" w:type="dxa"/>
            <w:tcBorders>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(0.2)</w:t>
            </w:r>
          </w:p>
        </w:tc>
      </w:tr>
      <w:tr w:rsidR="008E0433">
        <w:trPr>
          <w:trHeight w:val="210"/>
        </w:trPr>
        <w:tc>
          <w:tcPr>
            <w:tcW w:w="90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8E0433" w:rsidRDefault="00E02264">
            <w:pPr>
              <w:spacing w:line="240" w:lineRule="auto"/>
              <w:contextualSpacing/>
              <w:rPr>
                <w:rFonts w:eastAsia="Arial" w:cs="Arial"/>
                <w:color w:val="003466"/>
                <w:sz w:val="16"/>
                <w:szCs w:val="16"/>
              </w:rPr>
            </w:pPr>
            <w:r>
              <w:rPr>
                <w:rFonts w:eastAsia="Arial" w:cs="Arial"/>
                <w:color w:val="003466"/>
                <w:sz w:val="16"/>
                <w:szCs w:val="16"/>
              </w:rPr>
              <w:t>Retained earnings at 1 January 2019</w:t>
            </w:r>
          </w:p>
        </w:tc>
        <w:tc>
          <w:tcPr>
            <w:tcW w:w="111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8E0433"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14.1</w:t>
            </w:r>
          </w:p>
        </w:tc>
      </w:tr>
    </w:tbl>
    <w:p w:rsidR="0021583F" w:rsidRPr="00941861" w:rsidRDefault="0021583F">
      <w:pPr>
        <w:rPr>
          <w:sz w:val="8"/>
          <w:szCs w:val="8"/>
        </w:rPr>
      </w:pPr>
    </w:p>
    <w:p w:rsidR="0021583F" w:rsidRPr="0099694B" w:rsidRDefault="00E02264" w:rsidP="0021583F">
      <w:pPr>
        <w:pStyle w:val="Normal00"/>
        <w:autoSpaceDE w:val="0"/>
        <w:autoSpaceDN w:val="0"/>
        <w:spacing w:line="264" w:lineRule="auto"/>
        <w:rPr>
          <w:rFonts w:ascii="Arial" w:eastAsia="SimSun" w:hAnsi="Arial" w:cs="Arial"/>
          <w:sz w:val="18"/>
          <w:szCs w:val="18"/>
        </w:rPr>
      </w:pPr>
      <w:r w:rsidRPr="0099694B">
        <w:rPr>
          <w:rFonts w:ascii="Arial" w:eastAsia="SimSun" w:hAnsi="Arial" w:cs="Arial"/>
          <w:sz w:val="18"/>
          <w:szCs w:val="18"/>
        </w:rPr>
        <w:t>Operating lease commitments reported under IAS 17 were £2.7 billion which resulted in lease liabilities recognised under IFRS 16 of £1.9 billion. The difference is primarily because of the different treatment of termination and extension options, and discounting the contractual lease payments under IFRS 16.</w:t>
      </w:r>
    </w:p>
    <w:p w:rsidR="0021583F" w:rsidRDefault="0021583F" w:rsidP="0021583F">
      <w:pPr>
        <w:pStyle w:val="Normal250"/>
        <w:spacing w:line="264" w:lineRule="auto"/>
        <w:jc w:val="both"/>
        <w:rPr>
          <w:rFonts w:ascii="Arial" w:eastAsia="SimSun" w:hAnsi="Arial"/>
          <w:color w:val="003366"/>
          <w:sz w:val="8"/>
          <w:szCs w:val="8"/>
        </w:rPr>
      </w:pPr>
    </w:p>
    <w:p w:rsidR="0021583F" w:rsidRPr="00503FBE" w:rsidRDefault="00E02264" w:rsidP="0021583F">
      <w:pPr>
        <w:pStyle w:val="Normal250"/>
        <w:spacing w:line="264" w:lineRule="auto"/>
        <w:jc w:val="both"/>
        <w:rPr>
          <w:rFonts w:ascii="Arial" w:eastAsia="SimSun" w:hAnsi="Arial" w:cs="Arial"/>
          <w:color w:val="0A2F64"/>
          <w:sz w:val="18"/>
          <w:szCs w:val="18"/>
        </w:rPr>
      </w:pPr>
      <w:r w:rsidRPr="00503FBE">
        <w:rPr>
          <w:rFonts w:ascii="Arial" w:eastAsia="SimSun" w:hAnsi="Arial"/>
          <w:color w:val="0A2F64"/>
          <w:sz w:val="18"/>
          <w:szCs w:val="18"/>
        </w:rPr>
        <w:t>Critical accounting policies and key sources of estimation uncertainty</w:t>
      </w:r>
    </w:p>
    <w:p w:rsidR="00F64034" w:rsidRPr="00FB15A9" w:rsidRDefault="00E02264" w:rsidP="00FB15A9">
      <w:pPr>
        <w:pStyle w:val="Normal250"/>
        <w:autoSpaceDE w:val="0"/>
        <w:autoSpaceDN w:val="0"/>
        <w:adjustRightInd w:val="0"/>
        <w:spacing w:line="288" w:lineRule="auto"/>
        <w:rPr>
          <w:rFonts w:ascii="Arial" w:eastAsia="SimSun" w:hAnsi="Arial" w:cs="Arial"/>
          <w:sz w:val="18"/>
          <w:szCs w:val="18"/>
          <w:lang w:eastAsia="zh-CN"/>
        </w:rPr>
        <w:sectPr w:rsidR="00F64034" w:rsidRPr="00FB15A9" w:rsidSect="0021583F">
          <w:headerReference w:type="even" r:id="rId53"/>
          <w:headerReference w:type="default" r:id="rId54"/>
          <w:footerReference w:type="even" r:id="rId55"/>
          <w:footerReference w:type="default" r:id="rId56"/>
          <w:headerReference w:type="first" r:id="rId57"/>
          <w:footerReference w:type="first" r:id="rId58"/>
          <w:type w:val="continuous"/>
          <w:pgSz w:w="11906" w:h="16838"/>
          <w:pgMar w:top="1134" w:right="851" w:bottom="680" w:left="851" w:header="709" w:footer="709" w:gutter="0"/>
          <w:cols w:space="708"/>
          <w:docGrid w:linePitch="360"/>
        </w:sectPr>
      </w:pPr>
      <w:r>
        <w:rPr>
          <w:rFonts w:ascii="Arial" w:eastAsia="SimSun" w:hAnsi="Arial" w:cs="Arial"/>
          <w:sz w:val="18"/>
          <w:szCs w:val="18"/>
          <w:lang w:eastAsia="zh-CN"/>
        </w:rPr>
        <w:t xml:space="preserve">The judgements and assumptions that are considered to be the most important to the portrayal of RBS’s financial condition are those relating to goodwill, provisions for liabilities, deferred tax, loan impairment provisions and fair value of financial instruments. These critical accounting policies and judgements are described on page 186 of the 2018 Annual Report and Accounts. </w:t>
      </w:r>
      <w:r>
        <w:rPr>
          <w:rFonts w:ascii="Arial" w:eastAsia="SimSun" w:hAnsi="Arial" w:cs="Arial"/>
          <w:sz w:val="18"/>
          <w:szCs w:val="18"/>
          <w:lang w:eastAsia="zh-CN"/>
        </w:rPr>
        <w:br w:type="page"/>
      </w:r>
    </w:p>
    <w:p w:rsidR="00B3276D" w:rsidRDefault="00E02264" w:rsidP="00C4781A">
      <w:pPr>
        <w:pStyle w:val="Normal00"/>
        <w:rPr>
          <w:rFonts w:ascii="Arial" w:hAnsi="Arial" w:cs="Arial"/>
          <w:b/>
          <w:bCs/>
          <w:color w:val="003366"/>
          <w:sz w:val="18"/>
          <w:szCs w:val="18"/>
        </w:rPr>
      </w:pPr>
      <w:r>
        <w:rPr>
          <w:rFonts w:ascii="Arial" w:hAnsi="Arial" w:cs="Arial"/>
          <w:b/>
          <w:bCs/>
          <w:color w:val="003366"/>
          <w:sz w:val="18"/>
          <w:szCs w:val="18"/>
        </w:rPr>
        <w:lastRenderedPageBreak/>
        <w:t>Notes</w:t>
      </w:r>
    </w:p>
    <w:p w:rsidR="00C4781A" w:rsidRPr="006A5DDE" w:rsidRDefault="00E02264" w:rsidP="00C4781A">
      <w:pPr>
        <w:pStyle w:val="Normal00"/>
        <w:rPr>
          <w:rFonts w:ascii="Arial" w:hAnsi="Arial" w:cs="Arial"/>
          <w:sz w:val="18"/>
          <w:szCs w:val="18"/>
        </w:rPr>
      </w:pPr>
      <w:r w:rsidRPr="006A5DDE">
        <w:rPr>
          <w:rFonts w:ascii="Arial" w:hAnsi="Arial" w:cs="Arial"/>
          <w:b/>
          <w:bCs/>
          <w:color w:val="003366"/>
          <w:sz w:val="18"/>
          <w:szCs w:val="18"/>
        </w:rPr>
        <w:t>3. Provisions for liabilities and charges</w:t>
      </w:r>
    </w:p>
    <w:tbl>
      <w:tblPr>
        <w:tblStyle w:val="table"/>
        <w:tblW w:w="10100" w:type="dxa"/>
        <w:tblInd w:w="5" w:type="dxa"/>
        <w:tblCellMar>
          <w:left w:w="0" w:type="dxa"/>
          <w:right w:w="0" w:type="dxa"/>
        </w:tblCellMar>
        <w:tblLook w:val="05E0" w:firstRow="1" w:lastRow="1" w:firstColumn="1" w:lastColumn="1" w:noHBand="0" w:noVBand="1"/>
      </w:tblPr>
      <w:tblGrid>
        <w:gridCol w:w="3810"/>
        <w:gridCol w:w="1260"/>
        <w:gridCol w:w="1185"/>
        <w:gridCol w:w="1485"/>
        <w:gridCol w:w="1185"/>
        <w:gridCol w:w="1185"/>
      </w:tblGrid>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Payment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Other</w:t>
            </w:r>
          </w:p>
        </w:tc>
        <w:tc>
          <w:tcPr>
            <w:tcW w:w="14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ascii="Calibri" w:eastAsia="Calibri" w:hAnsi="Calibri" w:cs="Calibri"/>
                <w:color w:val="000000"/>
                <w:sz w:val="22"/>
              </w:rPr>
            </w:pPr>
          </w:p>
        </w:tc>
        <w:tc>
          <w:tcPr>
            <w:tcW w:w="11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eastAsia="Arial" w:cs="Arial"/>
                <w:b/>
                <w:bCs/>
                <w:color w:val="003366"/>
                <w:sz w:val="16"/>
                <w:szCs w:val="16"/>
              </w:rPr>
            </w:pPr>
          </w:p>
        </w:tc>
        <w:tc>
          <w:tcPr>
            <w:tcW w:w="11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eastAsia="Arial" w:cs="Arial"/>
                <w:b/>
                <w:bCs/>
                <w:color w:val="003366"/>
                <w:sz w:val="16"/>
                <w:szCs w:val="16"/>
              </w:rPr>
            </w:pP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eastAsia="Arial" w:cs="Arial"/>
                <w:color w:val="000000"/>
                <w:sz w:val="16"/>
                <w:szCs w:val="16"/>
              </w:rPr>
            </w:pP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protection</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customer</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xml:space="preserve">Litigation and </w:t>
            </w:r>
          </w:p>
        </w:tc>
        <w:tc>
          <w:tcPr>
            <w:tcW w:w="11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jc w:val="right"/>
              <w:rPr>
                <w:rFonts w:eastAsia="Arial" w:cs="Arial"/>
                <w:b/>
                <w:bCs/>
                <w:color w:val="003366"/>
                <w:sz w:val="16"/>
                <w:szCs w:val="16"/>
              </w:rPr>
            </w:pPr>
          </w:p>
        </w:tc>
        <w:tc>
          <w:tcPr>
            <w:tcW w:w="11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jc w:val="right"/>
              <w:rPr>
                <w:rFonts w:eastAsia="Arial" w:cs="Arial"/>
                <w:b/>
                <w:bCs/>
                <w:color w:val="003366"/>
                <w:sz w:val="16"/>
                <w:szCs w:val="16"/>
              </w:rPr>
            </w:pP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eastAsia="Arial" w:cs="Arial"/>
                <w:color w:val="003366"/>
                <w:sz w:val="16"/>
                <w:szCs w:val="16"/>
              </w:rPr>
            </w:pP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Style w:val="font5"/>
              </w:rPr>
              <w:t>insurance</w:t>
            </w:r>
            <w:r>
              <w:rPr>
                <w:rStyle w:val="font61"/>
              </w:rPr>
              <w:t xml:space="preserve"> </w:t>
            </w:r>
            <w:r>
              <w:rPr>
                <w:rStyle w:val="font90"/>
              </w:rPr>
              <w:t>(1)</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redress</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other regulatory</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Style w:val="font5"/>
              </w:rPr>
              <w:t>Other</w:t>
            </w:r>
            <w:r>
              <w:rPr>
                <w:rStyle w:val="font61"/>
              </w:rPr>
              <w:t xml:space="preserve"> </w:t>
            </w:r>
            <w:r>
              <w:rPr>
                <w:rStyle w:val="font90"/>
              </w:rPr>
              <w:t>(2)</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Total</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eastAsia="Arial" w:cs="Arial"/>
                <w:b/>
                <w:bCs/>
                <w:color w:val="003366"/>
                <w:sz w:val="16"/>
                <w:szCs w:val="16"/>
              </w:rPr>
            </w:pP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r>
      <w:tr w:rsidR="008E0433">
        <w:trPr>
          <w:trHeight w:val="195"/>
        </w:trPr>
        <w:tc>
          <w:tcPr>
            <w:tcW w:w="3810" w:type="dxa"/>
            <w:tcBorders>
              <w:top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3366"/>
                <w:sz w:val="16"/>
                <w:szCs w:val="16"/>
              </w:rPr>
            </w:pPr>
            <w:r>
              <w:rPr>
                <w:rFonts w:eastAsia="Arial" w:cs="Arial"/>
                <w:color w:val="003366"/>
                <w:sz w:val="16"/>
                <w:szCs w:val="16"/>
              </w:rPr>
              <w:t>At 1 January 2019</w:t>
            </w:r>
          </w:p>
        </w:tc>
        <w:tc>
          <w:tcPr>
            <w:tcW w:w="1260" w:type="dxa"/>
            <w:tcBorders>
              <w:top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695</w:t>
            </w: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536</w:t>
            </w:r>
          </w:p>
        </w:tc>
        <w:tc>
          <w:tcPr>
            <w:tcW w:w="1485" w:type="dxa"/>
            <w:tcBorders>
              <w:top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783</w:t>
            </w: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990</w:t>
            </w:r>
          </w:p>
        </w:tc>
        <w:tc>
          <w:tcPr>
            <w:tcW w:w="1185" w:type="dxa"/>
            <w:tcBorders>
              <w:top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3,004</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Style w:val="font4"/>
              </w:rPr>
              <w:t xml:space="preserve">Implementation of IFRS 16 on 1 January 2019 </w:t>
            </w:r>
            <w:r>
              <w:rPr>
                <w:rStyle w:val="font71"/>
              </w:rPr>
              <w:t>(3)</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(170)</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(170)</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ECL impairment release</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Transfer to accruals and other liabilities</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Currency translation and other movements</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(7)</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(16)</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(29)</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Charge to income statement</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17</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33</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55</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 xml:space="preserve">Releases to income statement </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(9)</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(16)</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(37)</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Provisions utilised</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(136)</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(81)</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(114)</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(337)</w:t>
            </w:r>
          </w:p>
        </w:tc>
      </w:tr>
      <w:tr w:rsidR="008E0433">
        <w:trPr>
          <w:trHeight w:val="195"/>
        </w:trPr>
        <w:tc>
          <w:tcPr>
            <w:tcW w:w="38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3366"/>
                <w:sz w:val="16"/>
                <w:szCs w:val="16"/>
              </w:rPr>
            </w:pPr>
            <w:r>
              <w:rPr>
                <w:rFonts w:eastAsia="Arial" w:cs="Arial"/>
                <w:color w:val="003366"/>
                <w:sz w:val="16"/>
                <w:szCs w:val="16"/>
              </w:rPr>
              <w:t>At 31 March 2019</w:t>
            </w:r>
          </w:p>
        </w:tc>
        <w:tc>
          <w:tcPr>
            <w:tcW w:w="12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559</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449</w:t>
            </w:r>
          </w:p>
        </w:tc>
        <w:tc>
          <w:tcPr>
            <w:tcW w:w="14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767</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705</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2,480</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ECL impairment charge</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21</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Transfer from accruals and other liabilities</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Currency translation and other movements</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Charge to income statement</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64</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100</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182</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 xml:space="preserve">Releases to income statement </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(33)</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(70)</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(114)</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Provisions utilised</w:t>
            </w:r>
          </w:p>
        </w:tc>
        <w:tc>
          <w:tcPr>
            <w:tcW w:w="126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(116)</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(90)</w:t>
            </w:r>
          </w:p>
        </w:tc>
        <w:tc>
          <w:tcPr>
            <w:tcW w:w="14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(28)</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(79)</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(313)</w:t>
            </w:r>
          </w:p>
        </w:tc>
      </w:tr>
      <w:tr w:rsidR="008E0433">
        <w:trPr>
          <w:trHeight w:val="195"/>
        </w:trPr>
        <w:tc>
          <w:tcPr>
            <w:tcW w:w="38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3366"/>
                <w:sz w:val="16"/>
                <w:szCs w:val="16"/>
              </w:rPr>
            </w:pPr>
            <w:r>
              <w:rPr>
                <w:rFonts w:eastAsia="Arial" w:cs="Arial"/>
                <w:color w:val="003366"/>
                <w:sz w:val="16"/>
                <w:szCs w:val="16"/>
              </w:rPr>
              <w:t>At 30 June 2019</w:t>
            </w:r>
          </w:p>
        </w:tc>
        <w:tc>
          <w:tcPr>
            <w:tcW w:w="126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443</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419</w:t>
            </w:r>
          </w:p>
        </w:tc>
        <w:tc>
          <w:tcPr>
            <w:tcW w:w="14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727</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681</w:t>
            </w:r>
          </w:p>
        </w:tc>
        <w:tc>
          <w:tcPr>
            <w:tcW w:w="1185"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2,270</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ECL impairment charge</w:t>
            </w:r>
          </w:p>
        </w:tc>
        <w:tc>
          <w:tcPr>
            <w:tcW w:w="1260"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4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Transfer from accruals and other liabilities</w:t>
            </w:r>
          </w:p>
        </w:tc>
        <w:tc>
          <w:tcPr>
            <w:tcW w:w="1260"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w:t>
            </w:r>
          </w:p>
        </w:tc>
        <w:tc>
          <w:tcPr>
            <w:tcW w:w="14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Currency translation and other movements</w:t>
            </w:r>
          </w:p>
        </w:tc>
        <w:tc>
          <w:tcPr>
            <w:tcW w:w="1260"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4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Charge to income statement</w:t>
            </w:r>
          </w:p>
        </w:tc>
        <w:tc>
          <w:tcPr>
            <w:tcW w:w="1260"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900</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w:t>
            </w:r>
          </w:p>
        </w:tc>
        <w:tc>
          <w:tcPr>
            <w:tcW w:w="14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69</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1,012</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 xml:space="preserve">Releases to income statement </w:t>
            </w:r>
          </w:p>
        </w:tc>
        <w:tc>
          <w:tcPr>
            <w:tcW w:w="1260"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w:t>
            </w:r>
          </w:p>
        </w:tc>
        <w:tc>
          <w:tcPr>
            <w:tcW w:w="14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(25)</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(71)</w:t>
            </w:r>
          </w:p>
        </w:tc>
      </w:tr>
      <w:tr w:rsidR="008E0433">
        <w:trPr>
          <w:trHeight w:val="195"/>
        </w:trPr>
        <w:tc>
          <w:tcPr>
            <w:tcW w:w="3810"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Fonts w:eastAsia="Arial" w:cs="Arial"/>
                <w:color w:val="000000"/>
                <w:sz w:val="16"/>
                <w:szCs w:val="16"/>
              </w:rPr>
              <w:t>Provisions utilised</w:t>
            </w:r>
          </w:p>
        </w:tc>
        <w:tc>
          <w:tcPr>
            <w:tcW w:w="1260"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(99)</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14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(227)</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(66)</w:t>
            </w:r>
          </w:p>
        </w:tc>
        <w:tc>
          <w:tcPr>
            <w:tcW w:w="1185" w:type="dxa"/>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(462)</w:t>
            </w:r>
          </w:p>
        </w:tc>
      </w:tr>
      <w:tr w:rsidR="008E0433">
        <w:trPr>
          <w:trHeight w:val="195"/>
        </w:trPr>
        <w:tc>
          <w:tcPr>
            <w:tcW w:w="3810" w:type="dxa"/>
            <w:tcBorders>
              <w:top w:val="single" w:sz="6" w:space="0" w:color="003366"/>
              <w:bottom w:val="single" w:sz="6" w:space="0" w:color="003366"/>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b/>
                <w:bCs/>
                <w:color w:val="003366"/>
                <w:sz w:val="16"/>
                <w:szCs w:val="16"/>
              </w:rPr>
            </w:pPr>
            <w:r>
              <w:rPr>
                <w:rFonts w:eastAsia="Arial" w:cs="Arial"/>
                <w:b/>
                <w:bCs/>
                <w:color w:val="003366"/>
                <w:sz w:val="16"/>
                <w:szCs w:val="16"/>
              </w:rPr>
              <w:t>At 30 September 2019</w:t>
            </w:r>
          </w:p>
        </w:tc>
        <w:tc>
          <w:tcPr>
            <w:tcW w:w="1260"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1,244</w:t>
            </w:r>
          </w:p>
        </w:tc>
        <w:tc>
          <w:tcPr>
            <w:tcW w:w="118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358</w:t>
            </w:r>
          </w:p>
        </w:tc>
        <w:tc>
          <w:tcPr>
            <w:tcW w:w="148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501</w:t>
            </w:r>
          </w:p>
        </w:tc>
        <w:tc>
          <w:tcPr>
            <w:tcW w:w="118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689</w:t>
            </w:r>
          </w:p>
        </w:tc>
        <w:tc>
          <w:tcPr>
            <w:tcW w:w="1185" w:type="dxa"/>
            <w:tcBorders>
              <w:top w:val="single" w:sz="6" w:space="0" w:color="003366"/>
              <w:bottom w:val="single" w:sz="6" w:space="0" w:color="003366"/>
            </w:tcBorders>
            <w:shd w:val="clear" w:color="auto" w:fill="C0C0C0"/>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2,792</w:t>
            </w:r>
          </w:p>
        </w:tc>
      </w:tr>
    </w:tbl>
    <w:p w:rsidR="00AA7279" w:rsidRPr="00026096" w:rsidRDefault="00AA7279" w:rsidP="00AA7279">
      <w:pPr>
        <w:rPr>
          <w:sz w:val="8"/>
          <w:szCs w:val="8"/>
        </w:rPr>
      </w:pPr>
    </w:p>
    <w:p w:rsidR="00AA7279" w:rsidRDefault="00E02264" w:rsidP="00AA7279">
      <w:pPr>
        <w:autoSpaceDE w:val="0"/>
        <w:autoSpaceDN w:val="0"/>
        <w:rPr>
          <w:rFonts w:cs="Arial"/>
          <w:sz w:val="14"/>
          <w:szCs w:val="14"/>
        </w:rPr>
      </w:pPr>
      <w:r>
        <w:rPr>
          <w:rFonts w:cs="Arial"/>
          <w:sz w:val="14"/>
          <w:szCs w:val="14"/>
        </w:rPr>
        <w:t>Notes:</w:t>
      </w:r>
    </w:p>
    <w:p w:rsidR="00C3661C" w:rsidRDefault="00E02264" w:rsidP="00AA7279">
      <w:pPr>
        <w:pStyle w:val="ListParagraph"/>
        <w:numPr>
          <w:ilvl w:val="0"/>
          <w:numId w:val="7"/>
        </w:numPr>
        <w:autoSpaceDE w:val="0"/>
        <w:autoSpaceDN w:val="0"/>
        <w:rPr>
          <w:rFonts w:cs="Arial"/>
          <w:sz w:val="14"/>
          <w:szCs w:val="14"/>
        </w:rPr>
      </w:pPr>
      <w:r>
        <w:rPr>
          <w:rFonts w:cs="Arial"/>
          <w:sz w:val="14"/>
          <w:szCs w:val="14"/>
        </w:rPr>
        <w:t xml:space="preserve"> 30 September 2019 includes provisions held in relation to offers made in 2018 and earlier years of £97 million.</w:t>
      </w:r>
    </w:p>
    <w:p w:rsidR="00C3661C" w:rsidRDefault="00E02264" w:rsidP="00AA7279">
      <w:pPr>
        <w:pStyle w:val="ListParagraph"/>
        <w:numPr>
          <w:ilvl w:val="0"/>
          <w:numId w:val="7"/>
        </w:numPr>
        <w:autoSpaceDE w:val="0"/>
        <w:autoSpaceDN w:val="0"/>
        <w:rPr>
          <w:rFonts w:cs="Arial"/>
          <w:sz w:val="14"/>
          <w:szCs w:val="14"/>
        </w:rPr>
      </w:pPr>
      <w:r w:rsidRPr="00C3661C">
        <w:rPr>
          <w:rFonts w:cs="Arial"/>
          <w:sz w:val="14"/>
          <w:szCs w:val="14"/>
        </w:rPr>
        <w:t xml:space="preserve"> Materially comprises provisions relating to property closures and restructuring costs.</w:t>
      </w:r>
    </w:p>
    <w:p w:rsidR="00AA7279" w:rsidRPr="00C3661C" w:rsidRDefault="00E02264" w:rsidP="00AA7279">
      <w:pPr>
        <w:pStyle w:val="ListParagraph"/>
        <w:numPr>
          <w:ilvl w:val="0"/>
          <w:numId w:val="7"/>
        </w:numPr>
        <w:autoSpaceDE w:val="0"/>
        <w:autoSpaceDN w:val="0"/>
        <w:rPr>
          <w:rFonts w:cs="Arial"/>
          <w:sz w:val="14"/>
          <w:szCs w:val="14"/>
        </w:rPr>
      </w:pPr>
      <w:r w:rsidRPr="00C3661C">
        <w:rPr>
          <w:rFonts w:cs="Arial"/>
          <w:sz w:val="14"/>
          <w:szCs w:val="14"/>
        </w:rPr>
        <w:t xml:space="preserve"> Refer to Note 2 for further information on the impact of IFRS 16 implementation.</w:t>
      </w:r>
    </w:p>
    <w:p w:rsidR="00C4781A" w:rsidRPr="00026096" w:rsidRDefault="00C4781A" w:rsidP="00026096">
      <w:pPr>
        <w:rPr>
          <w:sz w:val="8"/>
          <w:szCs w:val="8"/>
        </w:rPr>
      </w:pPr>
    </w:p>
    <w:p w:rsidR="008916B3" w:rsidRPr="00021446" w:rsidRDefault="00E02264" w:rsidP="008916B3">
      <w:pPr>
        <w:pStyle w:val="Normal00"/>
        <w:spacing w:line="264" w:lineRule="auto"/>
        <w:rPr>
          <w:sz w:val="18"/>
          <w:szCs w:val="18"/>
        </w:rPr>
      </w:pPr>
      <w:r w:rsidRPr="00021446">
        <w:rPr>
          <w:rFonts w:ascii="Arial" w:hAnsi="Arial" w:cs="Arial"/>
          <w:sz w:val="18"/>
          <w:szCs w:val="18"/>
        </w:rPr>
        <w:t xml:space="preserve">There are uncertainties as to the eventual cost of redress in relation to certain of the provisions contained in the table above. Assumptions relating to these are inherently uncertain and the ultimate financial impact may be different from the amount provided. </w:t>
      </w:r>
    </w:p>
    <w:p w:rsidR="008916B3" w:rsidRDefault="008916B3" w:rsidP="00476C34"/>
    <w:p w:rsidR="008916B3" w:rsidRDefault="00E02264" w:rsidP="00476C34">
      <w:pPr>
        <w:rPr>
          <w:color w:val="002060"/>
        </w:rPr>
      </w:pPr>
      <w:r>
        <w:rPr>
          <w:color w:val="002060"/>
        </w:rPr>
        <w:t xml:space="preserve">Payment protection insurance </w:t>
      </w:r>
    </w:p>
    <w:p w:rsidR="00476C34" w:rsidRDefault="00E02264" w:rsidP="00476C34">
      <w:r>
        <w:t>An additional provision of £0.9 billion was taken at Q3 2019, reflecting greater than predicted complaints volumes in the lead up to the 29 August 2019 deadline for making new PPI complaints. RBS has made provisions totalling £6.2 billion to date for PPI claims, of which £5.0 billion had been utilised by 30 September 2019.</w:t>
      </w:r>
    </w:p>
    <w:p w:rsidR="008916B3" w:rsidRDefault="008916B3" w:rsidP="00476C34"/>
    <w:p w:rsidR="00476C34" w:rsidRPr="00026096" w:rsidRDefault="00E02264" w:rsidP="00026096">
      <w:pPr>
        <w:rPr>
          <w:sz w:val="8"/>
          <w:szCs w:val="8"/>
        </w:rPr>
      </w:pPr>
      <w:r>
        <w:t>The table below shows the sensitivity of the provision to changes in the principal assumptions in relation to claims received since June 2019 which are still being processed, all other assumptions remaining the same.</w:t>
      </w:r>
    </w:p>
    <w:tbl>
      <w:tblPr>
        <w:tblStyle w:val="table"/>
        <w:tblW w:w="10120" w:type="dxa"/>
        <w:tblInd w:w="5" w:type="dxa"/>
        <w:tblCellMar>
          <w:left w:w="0" w:type="dxa"/>
          <w:right w:w="0" w:type="dxa"/>
        </w:tblCellMar>
        <w:tblLook w:val="05E0" w:firstRow="1" w:lastRow="1" w:firstColumn="1" w:lastColumn="1" w:noHBand="0" w:noVBand="1"/>
      </w:tblPr>
      <w:tblGrid>
        <w:gridCol w:w="5235"/>
        <w:gridCol w:w="1185"/>
        <w:gridCol w:w="1185"/>
        <w:gridCol w:w="1185"/>
        <w:gridCol w:w="1335"/>
      </w:tblGrid>
      <w:tr w:rsidR="008E0433">
        <w:trPr>
          <w:trHeight w:val="195"/>
        </w:trPr>
        <w:tc>
          <w:tcPr>
            <w:tcW w:w="523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ascii="Calibri" w:eastAsia="Calibri" w:hAnsi="Calibri" w:cs="Calibri"/>
                <w:color w:val="000000"/>
                <w:sz w:val="22"/>
              </w:rPr>
            </w:pPr>
          </w:p>
        </w:tc>
        <w:tc>
          <w:tcPr>
            <w:tcW w:w="11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ascii="Calibri" w:eastAsia="Calibri" w:hAnsi="Calibri" w:cs="Calibri"/>
                <w:color w:val="000000"/>
                <w:sz w:val="22"/>
              </w:rPr>
            </w:pPr>
          </w:p>
        </w:tc>
        <w:tc>
          <w:tcPr>
            <w:tcW w:w="11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ascii="Calibri" w:eastAsia="Calibri" w:hAnsi="Calibri" w:cs="Calibri"/>
                <w:color w:val="000000"/>
                <w:sz w:val="22"/>
              </w:rPr>
            </w:pPr>
          </w:p>
        </w:tc>
        <w:tc>
          <w:tcPr>
            <w:tcW w:w="2520" w:type="dxa"/>
            <w:gridSpan w:val="2"/>
            <w:tcBorders>
              <w:bottom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center"/>
              <w:rPr>
                <w:rFonts w:eastAsia="Arial" w:cs="Arial"/>
                <w:b/>
                <w:bCs/>
                <w:color w:val="002060"/>
                <w:sz w:val="16"/>
                <w:szCs w:val="16"/>
              </w:rPr>
            </w:pPr>
            <w:r>
              <w:rPr>
                <w:rFonts w:eastAsia="Arial" w:cs="Arial"/>
                <w:b/>
                <w:bCs/>
                <w:color w:val="002060"/>
                <w:sz w:val="16"/>
                <w:szCs w:val="16"/>
              </w:rPr>
              <w:t>Sensitivity</w:t>
            </w:r>
          </w:p>
        </w:tc>
      </w:tr>
      <w:tr w:rsidR="008E0433">
        <w:trPr>
          <w:trHeight w:val="195"/>
        </w:trPr>
        <w:tc>
          <w:tcPr>
            <w:tcW w:w="523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eastAsia="Arial" w:cs="Arial"/>
                <w:b/>
                <w:bCs/>
                <w:color w:val="002060"/>
                <w:sz w:val="16"/>
                <w:szCs w:val="16"/>
              </w:rPr>
            </w:pPr>
          </w:p>
        </w:tc>
        <w:tc>
          <w:tcPr>
            <w:tcW w:w="11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jc w:val="right"/>
              <w:rPr>
                <w:rFonts w:eastAsia="Arial" w:cs="Arial"/>
                <w:b/>
                <w:bCs/>
                <w:color w:val="002060"/>
                <w:sz w:val="16"/>
                <w:szCs w:val="16"/>
              </w:rPr>
            </w:pPr>
          </w:p>
        </w:tc>
        <w:tc>
          <w:tcPr>
            <w:tcW w:w="11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jc w:val="right"/>
              <w:rPr>
                <w:rFonts w:eastAsia="Arial" w:cs="Arial"/>
                <w:b/>
                <w:bCs/>
                <w:color w:val="002060"/>
                <w:sz w:val="16"/>
                <w:szCs w:val="16"/>
              </w:rPr>
            </w:pPr>
          </w:p>
        </w:tc>
        <w:tc>
          <w:tcPr>
            <w:tcW w:w="11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jc w:val="right"/>
              <w:rPr>
                <w:rFonts w:eastAsia="Arial" w:cs="Arial"/>
                <w:b/>
                <w:bCs/>
                <w:color w:val="002060"/>
                <w:sz w:val="16"/>
                <w:szCs w:val="16"/>
              </w:rPr>
            </w:pPr>
          </w:p>
        </w:tc>
        <w:tc>
          <w:tcPr>
            <w:tcW w:w="133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Consequential</w:t>
            </w:r>
          </w:p>
        </w:tc>
      </w:tr>
      <w:tr w:rsidR="008E0433">
        <w:trPr>
          <w:trHeight w:val="195"/>
        </w:trPr>
        <w:tc>
          <w:tcPr>
            <w:tcW w:w="523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eastAsia="Arial" w:cs="Arial"/>
                <w:b/>
                <w:bCs/>
                <w:color w:val="002060"/>
                <w:sz w:val="16"/>
                <w:szCs w:val="16"/>
              </w:rPr>
            </w:pP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Claims</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Claims</w:t>
            </w:r>
          </w:p>
        </w:tc>
        <w:tc>
          <w:tcPr>
            <w:tcW w:w="118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jc w:val="right"/>
              <w:rPr>
                <w:rFonts w:eastAsia="Arial" w:cs="Arial"/>
                <w:b/>
                <w:bCs/>
                <w:color w:val="002060"/>
                <w:sz w:val="16"/>
                <w:szCs w:val="16"/>
              </w:rPr>
            </w:pPr>
          </w:p>
        </w:tc>
        <w:tc>
          <w:tcPr>
            <w:tcW w:w="133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change in</w:t>
            </w:r>
          </w:p>
        </w:tc>
      </w:tr>
      <w:tr w:rsidR="008E0433">
        <w:trPr>
          <w:trHeight w:val="195"/>
        </w:trPr>
        <w:tc>
          <w:tcPr>
            <w:tcW w:w="5235" w:type="dxa"/>
            <w:shd w:val="clear" w:color="auto" w:fill="FFFFFF"/>
            <w:noWrap/>
            <w:tcMar>
              <w:top w:w="0" w:type="dxa"/>
              <w:left w:w="5" w:type="dxa"/>
              <w:bottom w:w="0" w:type="dxa"/>
              <w:right w:w="5" w:type="dxa"/>
            </w:tcMar>
            <w:vAlign w:val="bottom"/>
            <w:hideMark/>
          </w:tcPr>
          <w:p w:rsidR="00F174B6" w:rsidRDefault="00F174B6">
            <w:pPr>
              <w:spacing w:line="240" w:lineRule="auto"/>
              <w:contextualSpacing/>
              <w:rPr>
                <w:rFonts w:eastAsia="Arial" w:cs="Arial"/>
                <w:b/>
                <w:bCs/>
                <w:color w:val="002060"/>
                <w:sz w:val="16"/>
                <w:szCs w:val="16"/>
              </w:rPr>
            </w:pP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 xml:space="preserve">to </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 xml:space="preserve">since </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Change in</w:t>
            </w:r>
          </w:p>
        </w:tc>
        <w:tc>
          <w:tcPr>
            <w:tcW w:w="133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provision</w:t>
            </w:r>
          </w:p>
        </w:tc>
      </w:tr>
      <w:tr w:rsidR="008E0433">
        <w:trPr>
          <w:trHeight w:val="195"/>
        </w:trPr>
        <w:tc>
          <w:tcPr>
            <w:tcW w:w="523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b/>
                <w:bCs/>
                <w:color w:val="002060"/>
                <w:sz w:val="16"/>
                <w:szCs w:val="16"/>
              </w:rPr>
            </w:pPr>
            <w:r>
              <w:rPr>
                <w:rFonts w:eastAsia="Arial" w:cs="Arial"/>
                <w:b/>
                <w:bCs/>
                <w:color w:val="002060"/>
                <w:sz w:val="16"/>
                <w:szCs w:val="16"/>
              </w:rPr>
              <w:t>Assumption</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June 2019</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Style w:val="font1001"/>
              </w:rPr>
              <w:t xml:space="preserve">June 2019 </w:t>
            </w:r>
            <w:r>
              <w:rPr>
                <w:rStyle w:val="font1201"/>
              </w:rPr>
              <w:t>(5)</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assumption</w:t>
            </w:r>
          </w:p>
        </w:tc>
        <w:tc>
          <w:tcPr>
            <w:tcW w:w="133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b/>
                <w:bCs/>
                <w:color w:val="002060"/>
                <w:sz w:val="16"/>
                <w:szCs w:val="16"/>
              </w:rPr>
            </w:pPr>
            <w:r>
              <w:rPr>
                <w:rFonts w:eastAsia="Arial" w:cs="Arial"/>
                <w:b/>
                <w:bCs/>
                <w:color w:val="002060"/>
                <w:sz w:val="16"/>
                <w:szCs w:val="16"/>
              </w:rPr>
              <w:t>£m</w:t>
            </w:r>
          </w:p>
        </w:tc>
      </w:tr>
      <w:tr w:rsidR="008E0433">
        <w:trPr>
          <w:trHeight w:val="195"/>
        </w:trPr>
        <w:tc>
          <w:tcPr>
            <w:tcW w:w="5235" w:type="dxa"/>
            <w:tcBorders>
              <w:top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Style w:val="font4"/>
              </w:rPr>
              <w:t xml:space="preserve">Customer Initiated Total Complaints </w:t>
            </w:r>
            <w:r>
              <w:rPr>
                <w:rStyle w:val="font71"/>
              </w:rPr>
              <w:t>(1)</w:t>
            </w:r>
          </w:p>
        </w:tc>
        <w:tc>
          <w:tcPr>
            <w:tcW w:w="1185" w:type="dxa"/>
            <w:tcBorders>
              <w:top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4,064k</w:t>
            </w:r>
          </w:p>
        </w:tc>
        <w:tc>
          <w:tcPr>
            <w:tcW w:w="1185" w:type="dxa"/>
            <w:tcBorders>
              <w:top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783k</w:t>
            </w:r>
          </w:p>
        </w:tc>
        <w:tc>
          <w:tcPr>
            <w:tcW w:w="1185" w:type="dxa"/>
            <w:tcBorders>
              <w:top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+/-50k</w:t>
            </w:r>
          </w:p>
        </w:tc>
        <w:tc>
          <w:tcPr>
            <w:tcW w:w="1335" w:type="dxa"/>
            <w:tcBorders>
              <w:top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+/-50</w:t>
            </w:r>
          </w:p>
        </w:tc>
      </w:tr>
      <w:tr w:rsidR="008E0433">
        <w:trPr>
          <w:trHeight w:val="195"/>
        </w:trPr>
        <w:tc>
          <w:tcPr>
            <w:tcW w:w="523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Style w:val="font4"/>
              </w:rPr>
              <w:t>No PPI %</w:t>
            </w:r>
            <w:r>
              <w:rPr>
                <w:rStyle w:val="font71"/>
              </w:rPr>
              <w:t> (2)</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27%</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32%</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33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r>
      <w:tr w:rsidR="008E0433">
        <w:trPr>
          <w:trHeight w:val="195"/>
        </w:trPr>
        <w:tc>
          <w:tcPr>
            <w:tcW w:w="523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Style w:val="font4"/>
              </w:rPr>
              <w:t>Uphold rate</w:t>
            </w:r>
            <w:r>
              <w:rPr>
                <w:rStyle w:val="font71"/>
              </w:rPr>
              <w:t> (3)</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88%</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94%</w:t>
            </w:r>
          </w:p>
        </w:tc>
        <w:tc>
          <w:tcPr>
            <w:tcW w:w="118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w:t>
            </w:r>
          </w:p>
        </w:tc>
        <w:tc>
          <w:tcPr>
            <w:tcW w:w="1335" w:type="dxa"/>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+/-8</w:t>
            </w:r>
          </w:p>
        </w:tc>
      </w:tr>
      <w:tr w:rsidR="008E0433">
        <w:trPr>
          <w:trHeight w:val="195"/>
        </w:trPr>
        <w:tc>
          <w:tcPr>
            <w:tcW w:w="5235" w:type="dxa"/>
            <w:tcBorders>
              <w:bottom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rPr>
                <w:rFonts w:eastAsia="Arial" w:cs="Arial"/>
                <w:color w:val="000000"/>
                <w:sz w:val="16"/>
                <w:szCs w:val="16"/>
              </w:rPr>
            </w:pPr>
            <w:r>
              <w:rPr>
                <w:rStyle w:val="font4"/>
              </w:rPr>
              <w:t xml:space="preserve">Average redress </w:t>
            </w:r>
            <w:r>
              <w:rPr>
                <w:rStyle w:val="font71"/>
              </w:rPr>
              <w:t>(4)</w:t>
            </w:r>
          </w:p>
        </w:tc>
        <w:tc>
          <w:tcPr>
            <w:tcW w:w="1185" w:type="dxa"/>
            <w:tcBorders>
              <w:bottom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£1,658</w:t>
            </w:r>
          </w:p>
        </w:tc>
        <w:tc>
          <w:tcPr>
            <w:tcW w:w="1185" w:type="dxa"/>
            <w:tcBorders>
              <w:bottom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£1,556</w:t>
            </w:r>
          </w:p>
        </w:tc>
        <w:tc>
          <w:tcPr>
            <w:tcW w:w="1185" w:type="dxa"/>
            <w:tcBorders>
              <w:bottom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+/-£50</w:t>
            </w:r>
          </w:p>
        </w:tc>
        <w:tc>
          <w:tcPr>
            <w:tcW w:w="1335" w:type="dxa"/>
            <w:tcBorders>
              <w:bottom w:val="single" w:sz="6" w:space="0" w:color="002060"/>
            </w:tcBorders>
            <w:shd w:val="clear" w:color="auto" w:fill="FFFFFF"/>
            <w:noWrap/>
            <w:tcMar>
              <w:top w:w="0" w:type="dxa"/>
              <w:left w:w="5" w:type="dxa"/>
              <w:bottom w:w="0" w:type="dxa"/>
              <w:right w:w="5" w:type="dxa"/>
            </w:tcMar>
            <w:vAlign w:val="bottom"/>
            <w:hideMark/>
          </w:tcPr>
          <w:p w:rsidR="00F174B6" w:rsidRDefault="00E02264">
            <w:pPr>
              <w:spacing w:line="240" w:lineRule="auto"/>
              <w:contextualSpacing/>
              <w:jc w:val="right"/>
              <w:rPr>
                <w:rFonts w:eastAsia="Arial" w:cs="Arial"/>
                <w:color w:val="000000"/>
                <w:sz w:val="16"/>
                <w:szCs w:val="16"/>
              </w:rPr>
            </w:pPr>
            <w:r>
              <w:rPr>
                <w:rFonts w:eastAsia="Arial" w:cs="Arial"/>
                <w:color w:val="000000"/>
                <w:sz w:val="16"/>
                <w:szCs w:val="16"/>
              </w:rPr>
              <w:t>+/-25</w:t>
            </w:r>
          </w:p>
        </w:tc>
      </w:tr>
    </w:tbl>
    <w:p w:rsidR="00EF5005" w:rsidRDefault="00EF5005" w:rsidP="00EF5005">
      <w:pPr>
        <w:rPr>
          <w:sz w:val="14"/>
          <w:szCs w:val="14"/>
        </w:rPr>
      </w:pPr>
    </w:p>
    <w:p w:rsidR="00EF5005" w:rsidRPr="00EF5005" w:rsidRDefault="00E02264" w:rsidP="00EF5005">
      <w:pPr>
        <w:rPr>
          <w:sz w:val="14"/>
          <w:szCs w:val="14"/>
        </w:rPr>
      </w:pPr>
      <w:r w:rsidRPr="00EF5005">
        <w:rPr>
          <w:sz w:val="14"/>
          <w:szCs w:val="14"/>
        </w:rPr>
        <w:t>Notes:</w:t>
      </w:r>
    </w:p>
    <w:p w:rsidR="00EF5005" w:rsidRPr="00EF5005" w:rsidRDefault="00E02264" w:rsidP="00EF5005">
      <w:pPr>
        <w:pStyle w:val="ListParagraph"/>
        <w:numPr>
          <w:ilvl w:val="0"/>
          <w:numId w:val="8"/>
        </w:numPr>
        <w:spacing w:after="200"/>
        <w:rPr>
          <w:sz w:val="14"/>
          <w:szCs w:val="14"/>
        </w:rPr>
      </w:pPr>
      <w:r w:rsidRPr="00EF5005">
        <w:rPr>
          <w:sz w:val="14"/>
          <w:szCs w:val="14"/>
        </w:rPr>
        <w:t xml:space="preserve">Claims and auto-converted queries (PPI </w:t>
      </w:r>
      <w:proofErr w:type="spellStart"/>
      <w:r w:rsidRPr="00EF5005">
        <w:rPr>
          <w:sz w:val="14"/>
          <w:szCs w:val="14"/>
        </w:rPr>
        <w:t>mis</w:t>
      </w:r>
      <w:proofErr w:type="spellEnd"/>
      <w:r w:rsidRPr="00EF5005">
        <w:rPr>
          <w:sz w:val="14"/>
          <w:szCs w:val="14"/>
        </w:rPr>
        <w:t>-sale and ‘</w:t>
      </w:r>
      <w:proofErr w:type="spellStart"/>
      <w:r w:rsidRPr="00EF5005">
        <w:rPr>
          <w:sz w:val="14"/>
          <w:szCs w:val="14"/>
        </w:rPr>
        <w:t>Plevin</w:t>
      </w:r>
      <w:proofErr w:type="spellEnd"/>
      <w:r w:rsidRPr="00EF5005">
        <w:rPr>
          <w:sz w:val="14"/>
          <w:szCs w:val="14"/>
        </w:rPr>
        <w:t>’ (commission)) received directly by RBS to date, including those received by CMCs.</w:t>
      </w:r>
    </w:p>
    <w:p w:rsidR="00EF5005" w:rsidRPr="00EF5005" w:rsidRDefault="00E02264" w:rsidP="00EF5005">
      <w:pPr>
        <w:pStyle w:val="ListParagraph"/>
        <w:numPr>
          <w:ilvl w:val="0"/>
          <w:numId w:val="8"/>
        </w:numPr>
        <w:spacing w:after="200"/>
        <w:rPr>
          <w:sz w:val="14"/>
          <w:szCs w:val="14"/>
        </w:rPr>
      </w:pPr>
      <w:r w:rsidRPr="00EF5005">
        <w:rPr>
          <w:sz w:val="14"/>
          <w:szCs w:val="14"/>
        </w:rPr>
        <w:t>No PPI % relates to those cases where no PPI policy exists.</w:t>
      </w:r>
    </w:p>
    <w:p w:rsidR="00EF5005" w:rsidRPr="00EF5005" w:rsidRDefault="00E02264" w:rsidP="00EF5005">
      <w:pPr>
        <w:pStyle w:val="ListParagraph"/>
        <w:numPr>
          <w:ilvl w:val="0"/>
          <w:numId w:val="8"/>
        </w:numPr>
        <w:spacing w:after="200"/>
        <w:rPr>
          <w:sz w:val="14"/>
          <w:szCs w:val="14"/>
        </w:rPr>
      </w:pPr>
      <w:r w:rsidRPr="00EF5005">
        <w:rPr>
          <w:sz w:val="14"/>
          <w:szCs w:val="14"/>
        </w:rPr>
        <w:t xml:space="preserve">Average uphold rate per customer initiated claims received directly by RBS, including those received via CMCs, to end of </w:t>
      </w:r>
      <w:proofErr w:type="spellStart"/>
      <w:r w:rsidRPr="00EF5005">
        <w:rPr>
          <w:sz w:val="14"/>
          <w:szCs w:val="14"/>
        </w:rPr>
        <w:t>timebar</w:t>
      </w:r>
      <w:proofErr w:type="spellEnd"/>
      <w:r w:rsidRPr="00EF5005">
        <w:rPr>
          <w:sz w:val="14"/>
          <w:szCs w:val="14"/>
        </w:rPr>
        <w:t xml:space="preserve"> for both PPI (</w:t>
      </w:r>
      <w:proofErr w:type="spellStart"/>
      <w:r w:rsidRPr="00EF5005">
        <w:rPr>
          <w:sz w:val="14"/>
          <w:szCs w:val="14"/>
        </w:rPr>
        <w:t>mis</w:t>
      </w:r>
      <w:proofErr w:type="spellEnd"/>
      <w:r w:rsidRPr="00EF5005">
        <w:rPr>
          <w:sz w:val="14"/>
          <w:szCs w:val="14"/>
        </w:rPr>
        <w:t xml:space="preserve">-sale) and </w:t>
      </w:r>
      <w:proofErr w:type="spellStart"/>
      <w:r w:rsidRPr="00EF5005">
        <w:rPr>
          <w:sz w:val="14"/>
          <w:szCs w:val="14"/>
        </w:rPr>
        <w:t>Plevin</w:t>
      </w:r>
      <w:proofErr w:type="spellEnd"/>
      <w:r w:rsidRPr="00EF5005">
        <w:rPr>
          <w:sz w:val="14"/>
          <w:szCs w:val="14"/>
        </w:rPr>
        <w:t xml:space="preserve"> (commission), excluding those for which no PPI policy exists.</w:t>
      </w:r>
    </w:p>
    <w:p w:rsidR="00EF5005" w:rsidRDefault="00E02264" w:rsidP="00EF5005">
      <w:pPr>
        <w:pStyle w:val="ListParagraph"/>
        <w:numPr>
          <w:ilvl w:val="0"/>
          <w:numId w:val="8"/>
        </w:numPr>
        <w:spacing w:after="200"/>
        <w:rPr>
          <w:sz w:val="14"/>
          <w:szCs w:val="14"/>
        </w:rPr>
      </w:pPr>
      <w:r w:rsidRPr="00EF5005">
        <w:rPr>
          <w:sz w:val="14"/>
          <w:szCs w:val="14"/>
        </w:rPr>
        <w:t>Average redress for PPI (</w:t>
      </w:r>
      <w:proofErr w:type="spellStart"/>
      <w:r w:rsidRPr="00EF5005">
        <w:rPr>
          <w:sz w:val="14"/>
          <w:szCs w:val="14"/>
        </w:rPr>
        <w:t>mis</w:t>
      </w:r>
      <w:proofErr w:type="spellEnd"/>
      <w:r w:rsidRPr="00EF5005">
        <w:rPr>
          <w:sz w:val="14"/>
          <w:szCs w:val="14"/>
        </w:rPr>
        <w:t xml:space="preserve">-sale) and </w:t>
      </w:r>
      <w:proofErr w:type="spellStart"/>
      <w:r w:rsidRPr="00EF5005">
        <w:rPr>
          <w:sz w:val="14"/>
          <w:szCs w:val="14"/>
        </w:rPr>
        <w:t>Plevin</w:t>
      </w:r>
      <w:proofErr w:type="spellEnd"/>
      <w:r w:rsidRPr="00EF5005">
        <w:rPr>
          <w:sz w:val="14"/>
          <w:szCs w:val="14"/>
        </w:rPr>
        <w:t xml:space="preserve"> (commission) pay-outs.</w:t>
      </w:r>
    </w:p>
    <w:p w:rsidR="004E2D43" w:rsidRPr="00EF5005" w:rsidRDefault="00A36202" w:rsidP="00EF5005">
      <w:pPr>
        <w:pStyle w:val="ListParagraph"/>
        <w:numPr>
          <w:ilvl w:val="0"/>
          <w:numId w:val="8"/>
        </w:numPr>
        <w:spacing w:after="200"/>
        <w:rPr>
          <w:sz w:val="14"/>
          <w:szCs w:val="14"/>
        </w:rPr>
      </w:pPr>
      <w:r>
        <w:rPr>
          <w:sz w:val="14"/>
          <w:szCs w:val="14"/>
        </w:rPr>
        <w:t>Claims since June 2019 represents complaints received via telephone, on-line and post as at 30 September 2019. These complaints are currently undergoing processing.</w:t>
      </w:r>
    </w:p>
    <w:p w:rsidR="00B562D8" w:rsidRDefault="00E02264">
      <w:pPr>
        <w:spacing w:after="200"/>
      </w:pPr>
      <w:r>
        <w:br w:type="page"/>
      </w:r>
    </w:p>
    <w:p w:rsidR="00C4781A" w:rsidRDefault="00C4781A">
      <w:pPr>
        <w:sectPr w:rsidR="00C4781A" w:rsidSect="00C4781A">
          <w:headerReference w:type="even" r:id="rId59"/>
          <w:headerReference w:type="default" r:id="rId60"/>
          <w:footerReference w:type="even" r:id="rId61"/>
          <w:footerReference w:type="default" r:id="rId62"/>
          <w:headerReference w:type="first" r:id="rId63"/>
          <w:footerReference w:type="first" r:id="rId64"/>
          <w:type w:val="continuous"/>
          <w:pgSz w:w="11906" w:h="16838"/>
          <w:pgMar w:top="1134" w:right="851" w:bottom="680" w:left="851" w:header="709" w:footer="709" w:gutter="0"/>
          <w:cols w:space="708"/>
          <w:docGrid w:linePitch="360"/>
        </w:sectPr>
      </w:pPr>
    </w:p>
    <w:p w:rsidR="00EE5E02" w:rsidRPr="00B463B1" w:rsidRDefault="00E02264" w:rsidP="00071958">
      <w:pPr>
        <w:pStyle w:val="Normal00"/>
        <w:tabs>
          <w:tab w:val="left" w:pos="1440"/>
        </w:tabs>
        <w:spacing w:line="259" w:lineRule="auto"/>
        <w:outlineLvl w:val="0"/>
        <w:rPr>
          <w:rFonts w:ascii="Arial" w:hAnsi="Arial" w:cs="Arial"/>
          <w:b/>
          <w:color w:val="003366"/>
          <w:sz w:val="18"/>
          <w:szCs w:val="18"/>
          <w:lang w:eastAsia="ja-JP"/>
        </w:rPr>
      </w:pPr>
      <w:r w:rsidRPr="00B463B1">
        <w:rPr>
          <w:rFonts w:ascii="Arial" w:hAnsi="Arial" w:cs="Arial"/>
          <w:b/>
          <w:color w:val="003366"/>
          <w:sz w:val="18"/>
          <w:szCs w:val="18"/>
          <w:lang w:eastAsia="ja-JP"/>
        </w:rPr>
        <w:lastRenderedPageBreak/>
        <w:t xml:space="preserve">Notes </w:t>
      </w:r>
    </w:p>
    <w:p w:rsidR="00EE5E02" w:rsidRPr="00D277D6" w:rsidRDefault="00E02264" w:rsidP="00071958">
      <w:pPr>
        <w:pStyle w:val="Normal00"/>
        <w:spacing w:line="259" w:lineRule="auto"/>
        <w:outlineLvl w:val="2"/>
        <w:rPr>
          <w:rFonts w:ascii="Arial" w:eastAsia="SimSun" w:hAnsi="Arial" w:cs="Arial"/>
          <w:b/>
          <w:bCs/>
          <w:color w:val="003366"/>
          <w:sz w:val="18"/>
          <w:szCs w:val="18"/>
        </w:rPr>
      </w:pPr>
      <w:r w:rsidRPr="00D277D6">
        <w:rPr>
          <w:rFonts w:ascii="Arial" w:eastAsia="SimSun" w:hAnsi="Arial" w:cs="Arial"/>
          <w:b/>
          <w:bCs/>
          <w:color w:val="003366"/>
          <w:sz w:val="18"/>
          <w:szCs w:val="18"/>
        </w:rPr>
        <w:t>4. Litigation, investigations and reviews</w:t>
      </w:r>
    </w:p>
    <w:p w:rsidR="00251585" w:rsidRDefault="00E02264" w:rsidP="00071958">
      <w:pPr>
        <w:autoSpaceDE w:val="0"/>
        <w:autoSpaceDN w:val="0"/>
        <w:spacing w:line="259" w:lineRule="auto"/>
        <w:rPr>
          <w:rFonts w:eastAsia="Times New Roman" w:cs="Arial"/>
          <w:szCs w:val="18"/>
          <w:lang w:eastAsia="en-GB"/>
        </w:rPr>
      </w:pPr>
      <w:r w:rsidRPr="00D57AC7">
        <w:rPr>
          <w:rFonts w:eastAsia="Times New Roman" w:cs="Arial"/>
          <w:szCs w:val="18"/>
          <w:lang w:eastAsia="en-GB"/>
        </w:rPr>
        <w:t xml:space="preserve">RBS's 2019 Interim Results, issued on 2 August 2019, included comprehensive disclosures about RBS's litigation, investigations and reviews in Note 13. Set out below are the material developments in those matters since the 2019 Interim Results were published. </w:t>
      </w:r>
    </w:p>
    <w:p w:rsidR="00251585" w:rsidRPr="00D57AC7" w:rsidRDefault="00251585" w:rsidP="00071958">
      <w:pPr>
        <w:autoSpaceDE w:val="0"/>
        <w:autoSpaceDN w:val="0"/>
        <w:spacing w:line="259" w:lineRule="auto"/>
        <w:rPr>
          <w:rFonts w:eastAsia="Times New Roman" w:cs="Arial"/>
          <w:szCs w:val="18"/>
          <w:lang w:eastAsia="en-GB"/>
        </w:rPr>
      </w:pPr>
    </w:p>
    <w:p w:rsidR="00251585" w:rsidRDefault="00E02264" w:rsidP="00071958">
      <w:pPr>
        <w:spacing w:line="259" w:lineRule="auto"/>
        <w:rPr>
          <w:rFonts w:eastAsia="SimSun" w:cs="Arial"/>
          <w:b/>
          <w:color w:val="0A2F64"/>
          <w:szCs w:val="18"/>
          <w:lang w:eastAsia="en-GB"/>
        </w:rPr>
      </w:pPr>
      <w:r w:rsidRPr="00D57AC7">
        <w:rPr>
          <w:rFonts w:eastAsia="SimSun" w:cs="Arial"/>
          <w:b/>
          <w:color w:val="0A2F64"/>
          <w:szCs w:val="18"/>
          <w:lang w:eastAsia="en-GB"/>
        </w:rPr>
        <w:t>Litigation</w:t>
      </w:r>
    </w:p>
    <w:p w:rsidR="00251585" w:rsidRDefault="00E02264" w:rsidP="00071958">
      <w:pPr>
        <w:spacing w:line="259" w:lineRule="auto"/>
        <w:rPr>
          <w:rFonts w:eastAsia="SimSun" w:cs="Arial"/>
          <w:b/>
          <w:color w:val="0A2F64"/>
          <w:szCs w:val="18"/>
          <w:lang w:eastAsia="en-GB"/>
        </w:rPr>
      </w:pPr>
      <w:r w:rsidRPr="00EF79EC">
        <w:rPr>
          <w:rFonts w:eastAsia="SimSun" w:cs="Arial"/>
          <w:bCs/>
          <w:color w:val="0A2F64"/>
          <w:szCs w:val="18"/>
          <w:lang w:eastAsia="zh-CN"/>
        </w:rPr>
        <w:t>London Interbank Offered Rate (LIBOR) and other rates litigation</w:t>
      </w:r>
    </w:p>
    <w:p w:rsidR="00251585" w:rsidRDefault="00E02264" w:rsidP="00071958">
      <w:pPr>
        <w:spacing w:line="259" w:lineRule="auto"/>
        <w:rPr>
          <w:rFonts w:eastAsia="SimSun" w:cs="Arial"/>
          <w:bCs/>
          <w:szCs w:val="18"/>
          <w:lang w:eastAsia="zh-CN"/>
        </w:rPr>
      </w:pPr>
      <w:r>
        <w:rPr>
          <w:rFonts w:eastAsia="SimSun" w:cs="Arial"/>
          <w:bCs/>
          <w:szCs w:val="18"/>
          <w:lang w:eastAsia="zh-CN"/>
        </w:rPr>
        <w:t>As previously disclosed, NWM plc and certain other members of the RBS Group, including RBSG, are defendants in a number of cases, including several class actions, pending in the United States District Court for the Southern District of New York which concern alleged manipulation of USD LIBOR. In September 2019, RBS Group companies reached a settlement in principle to resolve the class action on behalf of those who held bonds issued by non-defendants on which interest was paid from 2007 to 2010 at a rate expressly tied to USD LIBOR. The settlement is subject to documentation and court approval. The amount of the settlement is covered by a provision existing as of 30 September 2019.</w:t>
      </w:r>
    </w:p>
    <w:p w:rsidR="00251585" w:rsidRDefault="00251585" w:rsidP="00071958">
      <w:pPr>
        <w:spacing w:line="259" w:lineRule="auto"/>
        <w:rPr>
          <w:rFonts w:eastAsia="SimSun" w:cs="Arial"/>
          <w:bCs/>
          <w:szCs w:val="18"/>
          <w:lang w:eastAsia="zh-CN"/>
        </w:rPr>
      </w:pPr>
    </w:p>
    <w:p w:rsidR="00251585" w:rsidRDefault="00E02264" w:rsidP="00071958">
      <w:pPr>
        <w:spacing w:line="259" w:lineRule="auto"/>
        <w:rPr>
          <w:rFonts w:eastAsia="SimSun" w:cs="Arial"/>
          <w:bCs/>
          <w:szCs w:val="18"/>
          <w:lang w:eastAsia="zh-CN"/>
        </w:rPr>
      </w:pPr>
      <w:r>
        <w:rPr>
          <w:rFonts w:eastAsia="SimSun" w:cs="Arial"/>
          <w:bCs/>
          <w:szCs w:val="18"/>
          <w:lang w:eastAsia="zh-CN"/>
        </w:rPr>
        <w:t>On 16 August 2019, the United States District Court for the Southern District of New York dismissed all remaining claims in the class action concerning alleged manipulation of Pound Sterling LIBOR on the ground that the only named plaintiff with potentially valid claims lacks capacity to maintain the suit. Plaintiffs have commenced an appeal to the United States Court of Appeals for the Second Circuit.</w:t>
      </w:r>
    </w:p>
    <w:p w:rsidR="00251585" w:rsidRDefault="00251585" w:rsidP="00071958">
      <w:pPr>
        <w:spacing w:line="259" w:lineRule="auto"/>
        <w:rPr>
          <w:rFonts w:eastAsia="SimSun" w:cs="Arial"/>
          <w:bCs/>
          <w:szCs w:val="18"/>
          <w:lang w:eastAsia="zh-CN"/>
        </w:rPr>
      </w:pPr>
    </w:p>
    <w:p w:rsidR="00251585" w:rsidRDefault="00E02264" w:rsidP="00071958">
      <w:pPr>
        <w:spacing w:line="259" w:lineRule="auto"/>
        <w:rPr>
          <w:rFonts w:eastAsia="SimSun" w:cs="Arial"/>
          <w:bCs/>
          <w:szCs w:val="18"/>
          <w:lang w:eastAsia="zh-CN"/>
        </w:rPr>
      </w:pPr>
      <w:r>
        <w:rPr>
          <w:rFonts w:eastAsia="SimSun" w:cs="Arial"/>
          <w:bCs/>
          <w:szCs w:val="18"/>
          <w:lang w:eastAsia="zh-CN"/>
        </w:rPr>
        <w:t>On 16 September 2019, the United States District Court for the Southern District of New York dismissed the amended class action complaint concerning alleged manipulation of Swiss Franc LIBOR on the ground that, because the named plaintiffs who originally purported to file the case had ceased to exist at the time of filing, there is no triable issue over which court has jurisdiction. The court’s decision is subject to potential appeal.</w:t>
      </w:r>
    </w:p>
    <w:p w:rsidR="00251585" w:rsidRDefault="00251585" w:rsidP="00071958">
      <w:pPr>
        <w:spacing w:line="259" w:lineRule="auto"/>
        <w:rPr>
          <w:rFonts w:eastAsia="SimSun" w:cs="Arial"/>
          <w:bCs/>
          <w:szCs w:val="18"/>
          <w:lang w:eastAsia="zh-CN"/>
        </w:rPr>
      </w:pPr>
    </w:p>
    <w:p w:rsidR="00251585" w:rsidRDefault="00E02264" w:rsidP="00071958">
      <w:pPr>
        <w:spacing w:line="259" w:lineRule="auto"/>
        <w:rPr>
          <w:rFonts w:eastAsia="SimSun" w:cs="Arial"/>
          <w:bCs/>
          <w:szCs w:val="18"/>
          <w:lang w:eastAsia="zh-CN"/>
        </w:rPr>
      </w:pPr>
      <w:r w:rsidRPr="00EF79EC">
        <w:rPr>
          <w:rFonts w:eastAsia="SimSun" w:cs="Arial"/>
          <w:bCs/>
          <w:color w:val="0A2F64"/>
          <w:szCs w:val="18"/>
          <w:lang w:eastAsia="zh-CN"/>
        </w:rPr>
        <w:t>US Anti-Terrorism Act litigation</w:t>
      </w:r>
    </w:p>
    <w:p w:rsidR="00251585" w:rsidRDefault="00E02264" w:rsidP="00071958">
      <w:pPr>
        <w:spacing w:line="259" w:lineRule="auto"/>
        <w:rPr>
          <w:rFonts w:eastAsia="SimSun" w:cs="Arial"/>
          <w:bCs/>
          <w:szCs w:val="18"/>
          <w:lang w:eastAsia="zh-CN"/>
        </w:rPr>
      </w:pPr>
      <w:r>
        <w:rPr>
          <w:rFonts w:eastAsia="SimSun" w:cs="Arial"/>
          <w:bCs/>
          <w:szCs w:val="18"/>
          <w:lang w:eastAsia="zh-CN"/>
        </w:rPr>
        <w:t>On 16 September 2019, the United States District Court for the Eastern District of New York dismissed the US Anti-Terrorism Act case that has been pending against NWM N.V. and certain other financial institutions since it was filed in November 2014, concerning an alleged conspiracy to assist Iran in transferring money to Hezbollah and Iraqi terror cells. The court held that the claims were deficient for several reasons, including lack of sufficient allegations as to the alleged conspiracy and causation. The decision is subject to potential appeal.</w:t>
      </w:r>
    </w:p>
    <w:p w:rsidR="004A16BE" w:rsidRDefault="004A16BE" w:rsidP="004A16BE">
      <w:pPr>
        <w:spacing w:line="288" w:lineRule="auto"/>
        <w:jc w:val="both"/>
        <w:rPr>
          <w:rFonts w:eastAsia="SimSun" w:cs="Arial"/>
          <w:bCs/>
          <w:color w:val="0A2F64"/>
          <w:szCs w:val="18"/>
          <w:lang w:eastAsia="zh-CN"/>
        </w:rPr>
      </w:pPr>
    </w:p>
    <w:p w:rsidR="004A16BE" w:rsidRPr="00EA74DE" w:rsidRDefault="00E02264" w:rsidP="004A16BE">
      <w:pPr>
        <w:spacing w:line="288" w:lineRule="auto"/>
        <w:jc w:val="both"/>
        <w:rPr>
          <w:rFonts w:eastAsia="SimSun" w:cs="Arial"/>
          <w:bCs/>
          <w:color w:val="0A2F64"/>
          <w:szCs w:val="18"/>
          <w:lang w:eastAsia="zh-CN"/>
        </w:rPr>
      </w:pPr>
      <w:r w:rsidRPr="00EA74DE">
        <w:rPr>
          <w:rFonts w:eastAsia="SimSun" w:cs="Arial"/>
          <w:bCs/>
          <w:color w:val="0A2F64"/>
          <w:szCs w:val="18"/>
          <w:lang w:eastAsia="zh-CN"/>
        </w:rPr>
        <w:t>US investigations relating to fixed-income securities</w:t>
      </w:r>
    </w:p>
    <w:p w:rsidR="004E1DD5" w:rsidRPr="004E1DD5" w:rsidRDefault="00E02264" w:rsidP="004E1DD5">
      <w:pPr>
        <w:spacing w:line="259" w:lineRule="auto"/>
        <w:rPr>
          <w:rFonts w:eastAsia="SimSun" w:cs="Arial"/>
          <w:bCs/>
          <w:szCs w:val="18"/>
          <w:lang w:eastAsia="zh-CN"/>
        </w:rPr>
      </w:pPr>
      <w:r w:rsidRPr="004E1DD5">
        <w:rPr>
          <w:rFonts w:eastAsia="SimSun" w:cs="Arial"/>
          <w:bCs/>
          <w:szCs w:val="18"/>
          <w:lang w:eastAsia="zh-CN"/>
        </w:rPr>
        <w:t>In October 2017, NatWest Markets Securities Inc. entered into a non-prosecution agreement (NPA) with the United States Attorney for the District of Connecticut (USAO) in connection with alleged misrepresentations to counterparties relating to secondary trading in various forms of asset-backed securities. In the NPA, the USAO agreed not to file criminal charges relating to certain conduct and information described in the NPA if NatWest Markets Securities Inc. complies with the NPA’s requirements during its term, including by not engaging in conduct during the NPA that the US Department of Justice   determines was a felony under federal or state law or a violation of the anti-fraud provisions of the United States securities law. As previously disclosed, the NatWest Markets business is currently responding to a criminal investigation concerning unrelated securities trading by certain traders in 2018, which was reported to the USAO during the course of the NPA. In October 2019, NatWest Markets Securities Inc. agreed to a third extension of the NPA (for three additional months) so that the USAO could review the circumstances of that unrelated matter. The NatWest Markets business is in discussions to resolve these matters.</w:t>
      </w:r>
    </w:p>
    <w:p w:rsidR="00251585" w:rsidRDefault="00251585" w:rsidP="00071958">
      <w:pPr>
        <w:spacing w:line="259" w:lineRule="auto"/>
        <w:rPr>
          <w:rFonts w:eastAsia="SimSun" w:cs="Arial"/>
          <w:bCs/>
          <w:szCs w:val="18"/>
          <w:lang w:eastAsia="zh-CN"/>
        </w:rPr>
      </w:pPr>
    </w:p>
    <w:p w:rsidR="00251585" w:rsidRPr="00517D05" w:rsidRDefault="00E02264" w:rsidP="00071958">
      <w:pPr>
        <w:spacing w:line="259" w:lineRule="auto"/>
        <w:rPr>
          <w:rFonts w:eastAsia="SimSun" w:cs="Arial"/>
          <w:b/>
          <w:color w:val="0A2F64"/>
          <w:szCs w:val="18"/>
          <w:lang w:eastAsia="en-GB"/>
        </w:rPr>
      </w:pPr>
      <w:r w:rsidRPr="00D1448A">
        <w:rPr>
          <w:rFonts w:eastAsia="SimSun" w:cs="Arial"/>
          <w:b/>
          <w:color w:val="0A2F64"/>
          <w:szCs w:val="18"/>
          <w:lang w:eastAsia="en-GB"/>
        </w:rPr>
        <w:t>Investigations and reviews</w:t>
      </w:r>
    </w:p>
    <w:p w:rsidR="00251585" w:rsidRPr="00D1448A" w:rsidRDefault="00E02264" w:rsidP="00071958">
      <w:pPr>
        <w:spacing w:line="259" w:lineRule="auto"/>
        <w:rPr>
          <w:rFonts w:eastAsia="SimSun" w:cs="Arial"/>
          <w:bCs/>
          <w:color w:val="003366"/>
          <w:szCs w:val="18"/>
          <w:lang w:eastAsia="zh-CN"/>
        </w:rPr>
      </w:pPr>
      <w:r w:rsidRPr="00D1448A">
        <w:rPr>
          <w:rFonts w:eastAsia="SimSun" w:cs="Arial"/>
          <w:bCs/>
          <w:color w:val="003366"/>
          <w:szCs w:val="18"/>
          <w:lang w:eastAsia="zh-CN"/>
        </w:rPr>
        <w:t xml:space="preserve">Systematic Anti-Money Laundering Programme </w:t>
      </w:r>
    </w:p>
    <w:p w:rsidR="00251585" w:rsidRPr="00D1448A" w:rsidRDefault="00E02264" w:rsidP="00071958">
      <w:pPr>
        <w:spacing w:line="259" w:lineRule="auto"/>
        <w:rPr>
          <w:rFonts w:eastAsia="SimSun" w:cs="Arial"/>
          <w:bCs/>
          <w:szCs w:val="18"/>
          <w:lang w:eastAsia="zh-CN"/>
        </w:rPr>
      </w:pPr>
      <w:r w:rsidRPr="00D1448A">
        <w:rPr>
          <w:rFonts w:eastAsia="SimSun" w:cs="Arial"/>
          <w:bCs/>
          <w:szCs w:val="18"/>
          <w:lang w:eastAsia="zh-CN"/>
        </w:rPr>
        <w:t>In December 2018, the Financial Conduct Authority (FCA) commenced a Systematic Anti-Money Laundering Programme assessment of RBS. The FCA provided its written findings to RBS on 28 June 2019, and RBS responded on 8 August 2019. On 28 August 2019, the FCA instructed RBS to appoint a Skilled Person to provide assurance on financial crime governance arrangements in relation to two change programmes. It is not yet possible to assess the likely impact of these matters.</w:t>
      </w:r>
    </w:p>
    <w:p w:rsidR="00251585" w:rsidRPr="00D57AC7" w:rsidRDefault="00251585" w:rsidP="00071958">
      <w:pPr>
        <w:spacing w:line="259" w:lineRule="auto"/>
        <w:rPr>
          <w:rFonts w:eastAsia="SimSun" w:cs="Arial"/>
          <w:b/>
          <w:color w:val="0A2F64"/>
          <w:szCs w:val="18"/>
          <w:lang w:eastAsia="en-GB"/>
        </w:rPr>
      </w:pPr>
    </w:p>
    <w:p w:rsidR="00251585" w:rsidRPr="00D57AC7" w:rsidRDefault="00E02264" w:rsidP="00071958">
      <w:pPr>
        <w:spacing w:line="259" w:lineRule="auto"/>
        <w:outlineLvl w:val="2"/>
        <w:rPr>
          <w:rFonts w:eastAsia="SimSun" w:cs="Arial"/>
          <w:bCs/>
          <w:color w:val="003366"/>
          <w:szCs w:val="18"/>
          <w:lang w:eastAsia="zh-CN"/>
        </w:rPr>
      </w:pPr>
      <w:r w:rsidRPr="00D57AC7">
        <w:rPr>
          <w:rFonts w:eastAsia="SimSun" w:cs="Arial"/>
          <w:bCs/>
          <w:color w:val="003366"/>
          <w:szCs w:val="18"/>
          <w:lang w:eastAsia="zh-CN"/>
        </w:rPr>
        <w:t>Payment Protection Insurance (PPI)</w:t>
      </w:r>
    </w:p>
    <w:p w:rsidR="00747F6F" w:rsidRDefault="00E02264" w:rsidP="00071958">
      <w:pPr>
        <w:spacing w:line="259" w:lineRule="auto"/>
        <w:outlineLvl w:val="2"/>
        <w:rPr>
          <w:rFonts w:eastAsia="Times New Roman" w:cs="Arial"/>
          <w:szCs w:val="18"/>
          <w:lang w:eastAsia="zh-CN"/>
        </w:rPr>
      </w:pPr>
      <w:r w:rsidRPr="00D57AC7">
        <w:rPr>
          <w:rFonts w:eastAsia="SimSun" w:cs="Arial"/>
          <w:bCs/>
          <w:szCs w:val="18"/>
          <w:lang w:eastAsia="zh-CN"/>
        </w:rPr>
        <w:t>An additional</w:t>
      </w:r>
      <w:r w:rsidRPr="00D57AC7">
        <w:rPr>
          <w:rFonts w:eastAsia="Times New Roman" w:cs="Arial"/>
          <w:szCs w:val="18"/>
          <w:lang w:eastAsia="zh-CN"/>
        </w:rPr>
        <w:t xml:space="preserve"> provision of £900 million was taken at Q3 2019, reflecting greater than predicted complaints volumes in the lead up to the 29 August 2019 deadline for making new PPI complaints. RBS has made provisions totalling £6.2 billion to date for PPI claims, of which £5.0 billion had been utilised by 30 September 2019.</w:t>
      </w:r>
    </w:p>
    <w:p w:rsidR="00280170" w:rsidRDefault="00E02264" w:rsidP="00071958">
      <w:pPr>
        <w:spacing w:line="259" w:lineRule="auto"/>
        <w:outlineLvl w:val="2"/>
        <w:rPr>
          <w:rFonts w:eastAsia="Times New Roman" w:cs="Arial"/>
          <w:szCs w:val="18"/>
          <w:lang w:eastAsia="zh-CN"/>
        </w:rPr>
      </w:pPr>
      <w:r>
        <w:rPr>
          <w:rFonts w:eastAsia="Times New Roman" w:cs="Arial"/>
          <w:szCs w:val="18"/>
          <w:lang w:eastAsia="zh-CN"/>
        </w:rPr>
        <w:br w:type="page"/>
      </w:r>
    </w:p>
    <w:p w:rsidR="00071958" w:rsidRDefault="00071958" w:rsidP="00071958">
      <w:pPr>
        <w:spacing w:line="259" w:lineRule="auto"/>
        <w:outlineLvl w:val="2"/>
        <w:rPr>
          <w:rFonts w:eastAsia="Times New Roman" w:cs="Arial"/>
          <w:szCs w:val="18"/>
          <w:lang w:eastAsia="zh-CN"/>
        </w:rPr>
        <w:sectPr w:rsidR="00071958" w:rsidSect="00EE5E02">
          <w:headerReference w:type="even" r:id="rId65"/>
          <w:headerReference w:type="default" r:id="rId66"/>
          <w:footerReference w:type="even" r:id="rId67"/>
          <w:footerReference w:type="default" r:id="rId68"/>
          <w:headerReference w:type="first" r:id="rId69"/>
          <w:footerReference w:type="first" r:id="rId70"/>
          <w:type w:val="continuous"/>
          <w:pgSz w:w="11906" w:h="16838"/>
          <w:pgMar w:top="1134" w:right="851" w:bottom="680" w:left="851" w:header="709" w:footer="709" w:gutter="0"/>
          <w:cols w:space="708"/>
          <w:docGrid w:linePitch="360"/>
        </w:sectPr>
      </w:pPr>
    </w:p>
    <w:p w:rsidR="00862EE4" w:rsidRPr="00B463B1" w:rsidRDefault="00E02264" w:rsidP="00862EE4">
      <w:pPr>
        <w:pStyle w:val="Normal00"/>
        <w:tabs>
          <w:tab w:val="left" w:pos="1440"/>
        </w:tabs>
        <w:spacing w:line="259" w:lineRule="auto"/>
        <w:outlineLvl w:val="0"/>
        <w:rPr>
          <w:rFonts w:ascii="Arial" w:hAnsi="Arial" w:cs="Arial"/>
          <w:b/>
          <w:color w:val="003366"/>
          <w:sz w:val="18"/>
          <w:szCs w:val="18"/>
          <w:lang w:eastAsia="ja-JP"/>
        </w:rPr>
      </w:pPr>
      <w:r w:rsidRPr="00B463B1">
        <w:rPr>
          <w:rFonts w:ascii="Arial" w:hAnsi="Arial" w:cs="Arial"/>
          <w:b/>
          <w:color w:val="003366"/>
          <w:sz w:val="18"/>
          <w:szCs w:val="18"/>
          <w:lang w:eastAsia="ja-JP"/>
        </w:rPr>
        <w:lastRenderedPageBreak/>
        <w:t xml:space="preserve">Notes </w:t>
      </w:r>
    </w:p>
    <w:p w:rsidR="00862EE4" w:rsidRDefault="00E02264" w:rsidP="00862EE4">
      <w:pPr>
        <w:pStyle w:val="Normal20"/>
        <w:spacing w:line="259" w:lineRule="auto"/>
        <w:outlineLvl w:val="2"/>
        <w:rPr>
          <w:rFonts w:eastAsia="SimSun"/>
          <w:b/>
          <w:bCs/>
          <w:color w:val="003366"/>
          <w:sz w:val="18"/>
          <w:szCs w:val="18"/>
        </w:rPr>
      </w:pPr>
      <w:r>
        <w:rPr>
          <w:rFonts w:eastAsia="SimSun"/>
          <w:b/>
          <w:bCs/>
          <w:color w:val="003366"/>
          <w:sz w:val="18"/>
          <w:szCs w:val="18"/>
        </w:rPr>
        <w:t>5. Tax</w:t>
      </w:r>
    </w:p>
    <w:p w:rsidR="00C13ABD" w:rsidRDefault="00C13ABD" w:rsidP="00AE3292">
      <w:pPr>
        <w:pStyle w:val="Normal20"/>
        <w:spacing w:line="259" w:lineRule="auto"/>
        <w:outlineLvl w:val="2"/>
        <w:rPr>
          <w:sz w:val="18"/>
          <w:szCs w:val="18"/>
        </w:rPr>
      </w:pPr>
    </w:p>
    <w:p w:rsidR="00C13ABD" w:rsidRPr="00CD32C9" w:rsidRDefault="00E02264" w:rsidP="00AE3292">
      <w:pPr>
        <w:pStyle w:val="Normal20"/>
        <w:spacing w:line="259" w:lineRule="auto"/>
        <w:outlineLvl w:val="2"/>
        <w:rPr>
          <w:sz w:val="18"/>
          <w:szCs w:val="18"/>
        </w:rPr>
      </w:pPr>
      <w:r w:rsidRPr="00C13ABD">
        <w:rPr>
          <w:sz w:val="18"/>
          <w:szCs w:val="18"/>
        </w:rPr>
        <w:t>The actual tax charge differs from the expected tax charge computed by applying the standard UK corporation tax rate of 19% (2018 - 19%), as analysed below.</w:t>
      </w:r>
    </w:p>
    <w:p w:rsidR="00AE3292" w:rsidRDefault="00AE3292" w:rsidP="00AE3292">
      <w:pPr>
        <w:pStyle w:val="Normal20"/>
        <w:spacing w:line="259" w:lineRule="auto"/>
        <w:outlineLvl w:val="2"/>
        <w:rPr>
          <w:rFonts w:eastAsia="SimSun"/>
          <w:b/>
          <w:bCs/>
          <w:color w:val="003366"/>
          <w:sz w:val="18"/>
          <w:szCs w:val="18"/>
        </w:rPr>
      </w:pPr>
    </w:p>
    <w:tbl>
      <w:tblPr>
        <w:tblStyle w:val="table"/>
        <w:tblW w:w="10140" w:type="dxa"/>
        <w:tblInd w:w="5" w:type="dxa"/>
        <w:tblCellMar>
          <w:left w:w="0" w:type="dxa"/>
          <w:right w:w="0" w:type="dxa"/>
        </w:tblCellMar>
        <w:tblLook w:val="05E0" w:firstRow="1" w:lastRow="1" w:firstColumn="1" w:lastColumn="1" w:noHBand="0" w:noVBand="1"/>
      </w:tblPr>
      <w:tblGrid>
        <w:gridCol w:w="6810"/>
        <w:gridCol w:w="1635"/>
        <w:gridCol w:w="60"/>
        <w:gridCol w:w="1635"/>
      </w:tblGrid>
      <w:tr w:rsidR="008E0433">
        <w:trPr>
          <w:trHeight w:val="210"/>
        </w:trPr>
        <w:tc>
          <w:tcPr>
            <w:tcW w:w="681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color w:val="000000"/>
                <w:sz w:val="16"/>
                <w:szCs w:val="16"/>
              </w:rPr>
            </w:pPr>
          </w:p>
        </w:tc>
        <w:tc>
          <w:tcPr>
            <w:tcW w:w="3330" w:type="dxa"/>
            <w:gridSpan w:val="3"/>
            <w:tcBorders>
              <w:bottom w:val="single" w:sz="6" w:space="0" w:color="1F497D"/>
            </w:tcBorders>
            <w:shd w:val="clear" w:color="auto" w:fill="FFFFFF"/>
            <w:noWrap/>
            <w:tcMar>
              <w:top w:w="0" w:type="dxa"/>
              <w:left w:w="5" w:type="dxa"/>
              <w:bottom w:w="0" w:type="dxa"/>
              <w:right w:w="5" w:type="dxa"/>
            </w:tcMar>
            <w:vAlign w:val="bottom"/>
            <w:hideMark/>
          </w:tcPr>
          <w:p w:rsidR="00B628F9"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Nine months ended</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jc w:val="right"/>
              <w:rPr>
                <w:rFonts w:eastAsia="Arial" w:cs="Arial"/>
                <w:b/>
                <w:bCs/>
                <w:color w:val="003366"/>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jc w:val="right"/>
              <w:rPr>
                <w:rFonts w:eastAsia="Arial" w:cs="Arial"/>
                <w:b/>
                <w:bCs/>
                <w:color w:val="003366"/>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3366"/>
                <w:sz w:val="16"/>
                <w:szCs w:val="16"/>
              </w:rPr>
            </w:pPr>
            <w:r>
              <w:rPr>
                <w:rFonts w:eastAsia="Arial" w:cs="Arial"/>
                <w:color w:val="003366"/>
                <w:sz w:val="16"/>
                <w:szCs w:val="16"/>
              </w:rPr>
              <w:t>2018</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3366"/>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jc w:val="right"/>
              <w:rPr>
                <w:rFonts w:eastAsia="Arial" w:cs="Arial"/>
                <w:b/>
                <w:bCs/>
                <w:color w:val="003366"/>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r>
      <w:tr w:rsidR="008E0433">
        <w:trPr>
          <w:trHeight w:val="195"/>
        </w:trPr>
        <w:tc>
          <w:tcPr>
            <w:tcW w:w="6810" w:type="dxa"/>
            <w:tcBorders>
              <w:top w:val="single" w:sz="6" w:space="0" w:color="003366"/>
            </w:tcBorders>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eastAsia="Arial" w:cs="Arial"/>
                <w:color w:val="000000"/>
                <w:sz w:val="16"/>
                <w:szCs w:val="16"/>
              </w:rPr>
              <w:t>Profit before tax</w:t>
            </w:r>
          </w:p>
        </w:tc>
        <w:tc>
          <w:tcPr>
            <w:tcW w:w="1635" w:type="dxa"/>
            <w:tcBorders>
              <w:top w:val="single" w:sz="6" w:space="0" w:color="003366"/>
            </w:tcBorders>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2,686</w:t>
            </w:r>
          </w:p>
        </w:tc>
        <w:tc>
          <w:tcPr>
            <w:tcW w:w="60" w:type="dxa"/>
            <w:tcBorders>
              <w:top w:val="single" w:sz="6" w:space="0" w:color="003366"/>
            </w:tcBorders>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tcBorders>
              <w:top w:val="single" w:sz="6" w:space="0" w:color="003366"/>
            </w:tcBorders>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2,787</w:t>
            </w:r>
          </w:p>
        </w:tc>
      </w:tr>
      <w:tr w:rsidR="008E0433">
        <w:trPr>
          <w:trHeight w:val="90"/>
        </w:trPr>
        <w:tc>
          <w:tcPr>
            <w:tcW w:w="681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color w:val="000000"/>
                <w:sz w:val="16"/>
                <w:szCs w:val="16"/>
              </w:rPr>
            </w:pPr>
          </w:p>
        </w:tc>
        <w:tc>
          <w:tcPr>
            <w:tcW w:w="1635" w:type="dxa"/>
            <w:shd w:val="clear" w:color="auto" w:fill="BFBFB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eastAsia="Arial" w:cs="Arial"/>
                <w:color w:val="000000"/>
                <w:sz w:val="16"/>
                <w:szCs w:val="16"/>
              </w:rPr>
              <w:t xml:space="preserve">Expected tax charge </w:t>
            </w:r>
          </w:p>
        </w:tc>
        <w:tc>
          <w:tcPr>
            <w:tcW w:w="1635" w:type="dxa"/>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(510)</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(530)</w:t>
            </w:r>
          </w:p>
        </w:tc>
      </w:tr>
      <w:tr w:rsidR="008E0433">
        <w:trPr>
          <w:trHeight w:val="75"/>
        </w:trPr>
        <w:tc>
          <w:tcPr>
            <w:tcW w:w="681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color w:val="000000"/>
                <w:sz w:val="16"/>
                <w:szCs w:val="16"/>
              </w:rPr>
            </w:pPr>
          </w:p>
        </w:tc>
        <w:tc>
          <w:tcPr>
            <w:tcW w:w="1635" w:type="dxa"/>
            <w:shd w:val="clear" w:color="auto" w:fill="BFBFB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color w:val="000000"/>
                <w:sz w:val="16"/>
                <w:szCs w:val="16"/>
              </w:rPr>
            </w:pP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eastAsia="Arial" w:cs="Arial"/>
                <w:color w:val="000000"/>
                <w:sz w:val="16"/>
                <w:szCs w:val="16"/>
              </w:rPr>
              <w:t>Regulatory and legal actions</w:t>
            </w:r>
          </w:p>
        </w:tc>
        <w:tc>
          <w:tcPr>
            <w:tcW w:w="1635" w:type="dxa"/>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(158)</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(222)</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eastAsia="Arial" w:cs="Arial"/>
                <w:color w:val="000000"/>
                <w:sz w:val="16"/>
                <w:szCs w:val="16"/>
              </w:rPr>
              <w:t>Alawwal bank merger gain disposal</w:t>
            </w:r>
          </w:p>
        </w:tc>
        <w:tc>
          <w:tcPr>
            <w:tcW w:w="1635" w:type="dxa"/>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212</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eastAsia="Arial" w:cs="Arial"/>
                <w:color w:val="000000"/>
                <w:sz w:val="16"/>
                <w:szCs w:val="16"/>
              </w:rPr>
              <w:t>Increase/(reduction) in carrying value of deferred tax in respect of:-</w:t>
            </w:r>
          </w:p>
        </w:tc>
        <w:tc>
          <w:tcPr>
            <w:tcW w:w="1635" w:type="dxa"/>
            <w:shd w:val="clear" w:color="auto" w:fill="BFBFB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color w:val="000000"/>
                <w:sz w:val="16"/>
                <w:szCs w:val="16"/>
              </w:rPr>
            </w:pP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UK tax losses</w:t>
            </w:r>
          </w:p>
        </w:tc>
        <w:tc>
          <w:tcPr>
            <w:tcW w:w="1635" w:type="dxa"/>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215</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 Ireland tax losses</w:t>
            </w:r>
          </w:p>
        </w:tc>
        <w:tc>
          <w:tcPr>
            <w:tcW w:w="1635" w:type="dxa"/>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eastAsia="Arial" w:cs="Arial"/>
                <w:color w:val="000000"/>
                <w:sz w:val="16"/>
                <w:szCs w:val="16"/>
              </w:rPr>
              <w:t>Banking surcharge</w:t>
            </w:r>
          </w:p>
        </w:tc>
        <w:tc>
          <w:tcPr>
            <w:tcW w:w="1635" w:type="dxa"/>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(210)</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(308)</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eastAsia="Arial" w:cs="Arial"/>
                <w:color w:val="000000"/>
                <w:sz w:val="16"/>
                <w:szCs w:val="16"/>
              </w:rPr>
              <w:t>Tax credit paid-in equity</w:t>
            </w:r>
          </w:p>
        </w:tc>
        <w:tc>
          <w:tcPr>
            <w:tcW w:w="1635" w:type="dxa"/>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49</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eastAsia="Arial" w:cs="Arial"/>
                <w:color w:val="000000"/>
                <w:sz w:val="16"/>
                <w:szCs w:val="16"/>
              </w:rPr>
              <w:t>Other</w:t>
            </w:r>
          </w:p>
        </w:tc>
        <w:tc>
          <w:tcPr>
            <w:tcW w:w="1635" w:type="dxa"/>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(37)</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(113)</w:t>
            </w:r>
          </w:p>
        </w:tc>
      </w:tr>
      <w:tr w:rsidR="008E0433">
        <w:trPr>
          <w:trHeight w:val="195"/>
        </w:trPr>
        <w:tc>
          <w:tcPr>
            <w:tcW w:w="6810"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eastAsia="Arial" w:cs="Arial"/>
                <w:color w:val="000000"/>
                <w:sz w:val="16"/>
                <w:szCs w:val="16"/>
              </w:rPr>
              <w:t>Adjustments in respect of prior years</w:t>
            </w:r>
          </w:p>
        </w:tc>
        <w:tc>
          <w:tcPr>
            <w:tcW w:w="1635" w:type="dxa"/>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106</w:t>
            </w:r>
          </w:p>
        </w:tc>
        <w:tc>
          <w:tcPr>
            <w:tcW w:w="60" w:type="dxa"/>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b/>
                <w:bCs/>
                <w:color w:val="000000"/>
                <w:sz w:val="16"/>
                <w:szCs w:val="16"/>
              </w:rPr>
            </w:pPr>
          </w:p>
        </w:tc>
        <w:tc>
          <w:tcPr>
            <w:tcW w:w="1635" w:type="dxa"/>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34</w:t>
            </w:r>
          </w:p>
        </w:tc>
      </w:tr>
      <w:tr w:rsidR="008E0433">
        <w:trPr>
          <w:trHeight w:val="195"/>
        </w:trPr>
        <w:tc>
          <w:tcPr>
            <w:tcW w:w="6810" w:type="dxa"/>
            <w:tcBorders>
              <w:top w:val="single" w:sz="6" w:space="0" w:color="002060"/>
              <w:bottom w:val="single" w:sz="6" w:space="0" w:color="002060"/>
            </w:tcBorders>
            <w:shd w:val="clear" w:color="auto" w:fill="FFFFFF"/>
            <w:noWrap/>
            <w:tcMar>
              <w:top w:w="0" w:type="dxa"/>
              <w:left w:w="5" w:type="dxa"/>
              <w:bottom w:w="0" w:type="dxa"/>
              <w:right w:w="5" w:type="dxa"/>
            </w:tcMar>
            <w:vAlign w:val="bottom"/>
            <w:hideMark/>
          </w:tcPr>
          <w:p w:rsidR="00B628F9" w:rsidRDefault="00E02264">
            <w:pPr>
              <w:spacing w:line="240" w:lineRule="auto"/>
              <w:contextualSpacing/>
              <w:rPr>
                <w:rFonts w:eastAsia="Arial" w:cs="Arial"/>
                <w:color w:val="000000"/>
                <w:sz w:val="16"/>
                <w:szCs w:val="16"/>
              </w:rPr>
            </w:pPr>
            <w:r>
              <w:rPr>
                <w:rFonts w:eastAsia="Arial" w:cs="Arial"/>
                <w:color w:val="000000"/>
                <w:sz w:val="16"/>
                <w:szCs w:val="16"/>
              </w:rPr>
              <w:t>Actual tax charge</w:t>
            </w:r>
          </w:p>
        </w:tc>
        <w:tc>
          <w:tcPr>
            <w:tcW w:w="1635" w:type="dxa"/>
            <w:tcBorders>
              <w:top w:val="single" w:sz="6" w:space="0" w:color="002060"/>
              <w:bottom w:val="single" w:sz="6" w:space="0" w:color="002060"/>
            </w:tcBorders>
            <w:shd w:val="clear" w:color="auto" w:fill="BFBFB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(395)</w:t>
            </w:r>
          </w:p>
        </w:tc>
        <w:tc>
          <w:tcPr>
            <w:tcW w:w="60" w:type="dxa"/>
            <w:tcBorders>
              <w:top w:val="single" w:sz="6" w:space="0" w:color="002060"/>
              <w:bottom w:val="single" w:sz="6" w:space="0" w:color="002060"/>
            </w:tcBorders>
            <w:shd w:val="clear" w:color="auto" w:fill="FFFFFF"/>
            <w:noWrap/>
            <w:tcMar>
              <w:top w:w="0" w:type="dxa"/>
              <w:left w:w="5" w:type="dxa"/>
              <w:bottom w:w="0" w:type="dxa"/>
              <w:right w:w="5" w:type="dxa"/>
            </w:tcMar>
            <w:vAlign w:val="bottom"/>
            <w:hideMark/>
          </w:tcPr>
          <w:p w:rsidR="00B628F9" w:rsidRDefault="00B628F9">
            <w:pPr>
              <w:spacing w:line="240" w:lineRule="auto"/>
              <w:contextualSpacing/>
              <w:rPr>
                <w:rFonts w:eastAsia="Arial" w:cs="Arial"/>
                <w:color w:val="000000"/>
                <w:sz w:val="16"/>
                <w:szCs w:val="16"/>
              </w:rPr>
            </w:pPr>
          </w:p>
        </w:tc>
        <w:tc>
          <w:tcPr>
            <w:tcW w:w="1635" w:type="dxa"/>
            <w:tcBorders>
              <w:top w:val="single" w:sz="6" w:space="0" w:color="002060"/>
              <w:bottom w:val="single" w:sz="6" w:space="0" w:color="002060"/>
            </w:tcBorders>
            <w:shd w:val="clear" w:color="auto" w:fill="FFFFFF"/>
            <w:noWrap/>
            <w:tcMar>
              <w:top w:w="0" w:type="dxa"/>
              <w:left w:w="5" w:type="dxa"/>
              <w:bottom w:w="0" w:type="dxa"/>
              <w:right w:w="5" w:type="dxa"/>
            </w:tcMar>
            <w:vAlign w:val="bottom"/>
            <w:hideMark/>
          </w:tcPr>
          <w:p w:rsidR="00B628F9" w:rsidRDefault="00E02264">
            <w:pPr>
              <w:spacing w:line="240" w:lineRule="auto"/>
              <w:contextualSpacing/>
              <w:jc w:val="right"/>
              <w:rPr>
                <w:rFonts w:eastAsia="Arial" w:cs="Arial"/>
                <w:color w:val="000000"/>
                <w:sz w:val="16"/>
                <w:szCs w:val="16"/>
              </w:rPr>
            </w:pPr>
            <w:r>
              <w:rPr>
                <w:rFonts w:eastAsia="Arial" w:cs="Arial"/>
                <w:color w:val="000000"/>
                <w:sz w:val="16"/>
                <w:szCs w:val="16"/>
              </w:rPr>
              <w:t>(1,090)</w:t>
            </w:r>
          </w:p>
        </w:tc>
      </w:tr>
    </w:tbl>
    <w:p w:rsidR="009E5940" w:rsidRDefault="009E5940" w:rsidP="00862EE4">
      <w:pPr>
        <w:pStyle w:val="Normal20"/>
        <w:spacing w:line="259" w:lineRule="auto"/>
        <w:outlineLvl w:val="2"/>
        <w:rPr>
          <w:sz w:val="18"/>
          <w:szCs w:val="18"/>
        </w:rPr>
      </w:pPr>
    </w:p>
    <w:p w:rsidR="00A57912" w:rsidRPr="00C13ABD" w:rsidRDefault="00E02264" w:rsidP="00862EE4">
      <w:pPr>
        <w:pStyle w:val="Normal20"/>
        <w:spacing w:line="259" w:lineRule="auto"/>
        <w:outlineLvl w:val="2"/>
        <w:rPr>
          <w:sz w:val="18"/>
          <w:szCs w:val="18"/>
        </w:rPr>
      </w:pPr>
      <w:r w:rsidRPr="00C13ABD">
        <w:rPr>
          <w:sz w:val="18"/>
          <w:szCs w:val="18"/>
        </w:rPr>
        <w:t>The tax charge includes a £215 million deferred tax credit associated with the transfer of taxable losses from NatWest Markets Plc to RBS plc under ring-fencing regulations and a £70 million deferred tax charge in respect of reducing the carrying value of the deferred tax asset for losses in Ulster Bank Ireland DAC. RBS has implemented amendments to IAS 12 Income Taxes with effect from 1 January 2019 and as a result tax relief on distributions on other equity instruments, previously recognised under retained earnings, is now reported as a tax expense in the income statement.</w:t>
      </w:r>
    </w:p>
    <w:p w:rsidR="00C13ABD" w:rsidRDefault="00C13ABD" w:rsidP="00862EE4">
      <w:pPr>
        <w:pStyle w:val="Normal20"/>
        <w:spacing w:line="259" w:lineRule="auto"/>
        <w:outlineLvl w:val="2"/>
        <w:rPr>
          <w:rFonts w:eastAsia="SimSun"/>
          <w:b/>
          <w:bCs/>
          <w:color w:val="003366"/>
          <w:sz w:val="18"/>
          <w:szCs w:val="18"/>
        </w:rPr>
        <w:sectPr w:rsidR="00C13ABD" w:rsidSect="00957005">
          <w:headerReference w:type="even" r:id="rId71"/>
          <w:headerReference w:type="default" r:id="rId72"/>
          <w:footerReference w:type="even" r:id="rId73"/>
          <w:footerReference w:type="default" r:id="rId74"/>
          <w:headerReference w:type="first" r:id="rId75"/>
          <w:footerReference w:type="first" r:id="rId76"/>
          <w:type w:val="continuous"/>
          <w:pgSz w:w="11906" w:h="16838"/>
          <w:pgMar w:top="1134" w:right="851" w:bottom="680" w:left="851" w:header="709" w:footer="709" w:gutter="0"/>
          <w:cols w:space="708"/>
          <w:docGrid w:linePitch="360"/>
        </w:sectPr>
      </w:pPr>
    </w:p>
    <w:p w:rsidR="00D0682F" w:rsidRDefault="00D0682F" w:rsidP="00DE60DD">
      <w:pPr>
        <w:pStyle w:val="GCAHeaderBold"/>
        <w:spacing w:line="264" w:lineRule="auto"/>
        <w:rPr>
          <w:sz w:val="18"/>
          <w:szCs w:val="18"/>
        </w:rPr>
      </w:pPr>
    </w:p>
    <w:p w:rsidR="00D0682F" w:rsidRDefault="00D0682F" w:rsidP="00DE60DD">
      <w:pPr>
        <w:pStyle w:val="GCAHeaderBold"/>
        <w:spacing w:line="264" w:lineRule="auto"/>
        <w:rPr>
          <w:sz w:val="18"/>
          <w:szCs w:val="18"/>
        </w:rPr>
      </w:pPr>
    </w:p>
    <w:p w:rsidR="00DE60DD" w:rsidRPr="005847E4" w:rsidRDefault="00E02264" w:rsidP="00DE60DD">
      <w:pPr>
        <w:pStyle w:val="GCAHeaderBold"/>
        <w:spacing w:line="264" w:lineRule="auto"/>
        <w:rPr>
          <w:sz w:val="18"/>
          <w:szCs w:val="18"/>
        </w:rPr>
      </w:pPr>
      <w:r>
        <w:rPr>
          <w:sz w:val="18"/>
          <w:szCs w:val="18"/>
        </w:rPr>
        <w:t xml:space="preserve">6. Post balance sheet events </w:t>
      </w:r>
    </w:p>
    <w:p w:rsidR="00DE60DD" w:rsidRPr="009E2E11" w:rsidRDefault="00E02264" w:rsidP="00DE60DD">
      <w:pPr>
        <w:pStyle w:val="Normal250"/>
        <w:spacing w:line="264" w:lineRule="auto"/>
        <w:rPr>
          <w:rFonts w:ascii="Arial" w:hAnsi="Arial" w:cs="Arial"/>
          <w:sz w:val="18"/>
          <w:szCs w:val="18"/>
          <w:lang w:eastAsia="zh-CN"/>
        </w:rPr>
      </w:pPr>
      <w:r w:rsidRPr="009E2E11">
        <w:rPr>
          <w:rFonts w:ascii="Arial" w:hAnsi="Arial" w:cs="Arial"/>
          <w:sz w:val="18"/>
          <w:szCs w:val="18"/>
          <w:lang w:eastAsia="zh-CN"/>
        </w:rPr>
        <w:t>Other than as disclosed there have been no other significant events between 30 September 2019 and the date of approval of these accounts which would require a change to or additional disclosure in the accounts.</w:t>
      </w:r>
    </w:p>
    <w:p w:rsidR="00DE60DD" w:rsidRPr="00350E50" w:rsidRDefault="00DE60DD" w:rsidP="00DE60DD">
      <w:pPr>
        <w:rPr>
          <w:szCs w:val="18"/>
          <w:lang w:eastAsia="zh-CN"/>
        </w:rPr>
        <w:sectPr w:rsidR="00DE60DD" w:rsidRPr="00350E50" w:rsidSect="00DE60DD">
          <w:headerReference w:type="even" r:id="rId77"/>
          <w:headerReference w:type="default" r:id="rId78"/>
          <w:footerReference w:type="even" r:id="rId79"/>
          <w:footerReference w:type="default" r:id="rId80"/>
          <w:headerReference w:type="first" r:id="rId81"/>
          <w:footerReference w:type="first" r:id="rId82"/>
          <w:type w:val="continuous"/>
          <w:pgSz w:w="11906" w:h="16838"/>
          <w:pgMar w:top="1134" w:right="851" w:bottom="680" w:left="851" w:header="709" w:footer="709" w:gutter="0"/>
          <w:cols w:space="708"/>
        </w:sectPr>
      </w:pPr>
    </w:p>
    <w:p w:rsidR="00DE60DD" w:rsidRPr="00E7530F" w:rsidRDefault="00E02264" w:rsidP="00DE60DD">
      <w:pPr>
        <w:pStyle w:val="Normal00"/>
        <w:spacing w:line="288" w:lineRule="auto"/>
        <w:outlineLvl w:val="0"/>
        <w:rPr>
          <w:rFonts w:ascii="Arial" w:hAnsi="Arial" w:cs="Arial"/>
          <w:b/>
          <w:bCs/>
          <w:color w:val="003366"/>
          <w:sz w:val="20"/>
          <w:szCs w:val="20"/>
        </w:rPr>
      </w:pPr>
      <w:r w:rsidRPr="00E7530F">
        <w:rPr>
          <w:rFonts w:ascii="Arial" w:hAnsi="Arial" w:cs="Arial"/>
          <w:b/>
          <w:bCs/>
          <w:color w:val="003366"/>
          <w:sz w:val="20"/>
          <w:szCs w:val="20"/>
        </w:rPr>
        <w:lastRenderedPageBreak/>
        <w:t>Additional information</w:t>
      </w:r>
    </w:p>
    <w:p w:rsidR="00DE60DD" w:rsidRPr="00E7530F" w:rsidRDefault="00DE60DD" w:rsidP="00DE60DD">
      <w:pPr>
        <w:rPr>
          <w:rFonts w:ascii="Times New Roman" w:eastAsia="Times New Roman" w:hAnsi="Times New Roman"/>
          <w:b/>
          <w:bCs/>
          <w:color w:val="003366"/>
          <w:sz w:val="24"/>
          <w:szCs w:val="20"/>
        </w:rPr>
      </w:pPr>
    </w:p>
    <w:p w:rsidR="00DE60DD" w:rsidRPr="00ED5CBD" w:rsidRDefault="00E02264" w:rsidP="00DE60DD">
      <w:pPr>
        <w:pStyle w:val="Normal00"/>
        <w:spacing w:line="259" w:lineRule="auto"/>
        <w:jc w:val="both"/>
        <w:rPr>
          <w:rFonts w:ascii="Arial" w:hAnsi="Arial" w:cs="Arial"/>
          <w:b/>
          <w:color w:val="003366"/>
          <w:sz w:val="18"/>
          <w:szCs w:val="18"/>
        </w:rPr>
      </w:pPr>
      <w:r w:rsidRPr="00ED5CBD">
        <w:rPr>
          <w:rFonts w:ascii="Arial" w:hAnsi="Arial" w:cs="Arial"/>
          <w:b/>
          <w:color w:val="003366"/>
          <w:sz w:val="18"/>
          <w:szCs w:val="18"/>
        </w:rPr>
        <w:t xml:space="preserve">Presentation of information </w:t>
      </w:r>
    </w:p>
    <w:p w:rsidR="00DE60DD" w:rsidRPr="00ED5CBD" w:rsidRDefault="00E02264" w:rsidP="00DE60DD">
      <w:pPr>
        <w:pStyle w:val="Normal00"/>
        <w:autoSpaceDE w:val="0"/>
        <w:autoSpaceDN w:val="0"/>
        <w:adjustRightInd w:val="0"/>
        <w:spacing w:line="259" w:lineRule="auto"/>
        <w:rPr>
          <w:rFonts w:ascii="Arial" w:hAnsi="Arial" w:cs="Arial"/>
          <w:sz w:val="18"/>
          <w:szCs w:val="18"/>
        </w:rPr>
      </w:pPr>
      <w:r w:rsidRPr="00ED5CBD">
        <w:rPr>
          <w:rFonts w:ascii="Arial" w:hAnsi="Arial" w:cs="Arial"/>
          <w:sz w:val="18"/>
          <w:szCs w:val="18"/>
        </w:rPr>
        <w:t xml:space="preserve">In this document, ‘RBSG plc’ or the ‘parent company’ refers to The Royal Bank of Scotland Group plc, and ‘RBS’ or the ‘RBS Group’ refers to RBSG plc and its subsidiaries. </w:t>
      </w:r>
    </w:p>
    <w:p w:rsidR="00DE60DD" w:rsidRPr="00ED5CBD" w:rsidRDefault="00DE60DD" w:rsidP="00DE60DD">
      <w:pPr>
        <w:pStyle w:val="Normal00"/>
        <w:autoSpaceDE w:val="0"/>
        <w:autoSpaceDN w:val="0"/>
        <w:adjustRightInd w:val="0"/>
        <w:spacing w:line="259" w:lineRule="auto"/>
        <w:rPr>
          <w:rFonts w:ascii="Arial" w:hAnsi="Arial" w:cs="Arial"/>
          <w:sz w:val="18"/>
          <w:szCs w:val="18"/>
        </w:rPr>
      </w:pPr>
    </w:p>
    <w:p w:rsidR="00DE60DD" w:rsidRPr="00ED5CBD" w:rsidRDefault="00E02264" w:rsidP="00DE60DD">
      <w:pPr>
        <w:pStyle w:val="Normal00"/>
        <w:autoSpaceDE w:val="0"/>
        <w:autoSpaceDN w:val="0"/>
        <w:adjustRightInd w:val="0"/>
        <w:spacing w:line="259" w:lineRule="auto"/>
        <w:rPr>
          <w:rFonts w:ascii="Arial" w:hAnsi="Arial" w:cs="Arial"/>
          <w:color w:val="000000"/>
          <w:sz w:val="18"/>
          <w:szCs w:val="18"/>
        </w:rPr>
      </w:pPr>
      <w:r w:rsidRPr="00ED5CBD">
        <w:rPr>
          <w:rFonts w:ascii="Arial" w:hAnsi="Arial" w:cs="Arial"/>
          <w:color w:val="000000"/>
          <w:sz w:val="18"/>
          <w:szCs w:val="18"/>
        </w:rPr>
        <w:t>Financial information contained in this document does not constitute statutory accounts within the meaning of section 434 of the Companies Act 2006 (‘the Act’). The statutory accounts for the year ended 31 December 2018 have been filed with the Registrar of Companies. The report of the auditor on those statutory accounts was unqualified, did not draw attention to any matters by way of emphasis and did not contain a statement under section 498(2) or (3) of the Act.</w:t>
      </w:r>
    </w:p>
    <w:p w:rsidR="00DE60DD" w:rsidRPr="00ED5CBD" w:rsidRDefault="00DE60DD" w:rsidP="00DE60DD">
      <w:pPr>
        <w:pStyle w:val="Normal00"/>
        <w:spacing w:line="259" w:lineRule="auto"/>
        <w:jc w:val="both"/>
        <w:rPr>
          <w:rFonts w:ascii="Arial" w:hAnsi="Arial" w:cs="Arial"/>
          <w:sz w:val="18"/>
          <w:szCs w:val="18"/>
        </w:rPr>
      </w:pPr>
    </w:p>
    <w:p w:rsidR="00DE60DD" w:rsidRPr="00ED5CBD" w:rsidRDefault="00E02264" w:rsidP="00DE60DD">
      <w:pPr>
        <w:pStyle w:val="Normal00"/>
        <w:spacing w:line="264" w:lineRule="auto"/>
        <w:rPr>
          <w:rFonts w:ascii="Arial" w:eastAsia="SimSun" w:hAnsi="Arial" w:cs="Arial"/>
          <w:b/>
          <w:bCs/>
          <w:color w:val="003366"/>
          <w:sz w:val="18"/>
          <w:szCs w:val="18"/>
        </w:rPr>
      </w:pPr>
      <w:r w:rsidRPr="00ED5CBD">
        <w:rPr>
          <w:rFonts w:ascii="Arial" w:eastAsia="SimSun" w:hAnsi="Arial" w:cs="Arial"/>
          <w:b/>
          <w:bCs/>
          <w:color w:val="003366"/>
          <w:sz w:val="18"/>
          <w:szCs w:val="18"/>
        </w:rPr>
        <w:t xml:space="preserve">Contacts </w:t>
      </w:r>
    </w:p>
    <w:tbl>
      <w:tblPr>
        <w:tblW w:w="8731" w:type="dxa"/>
        <w:tblCellMar>
          <w:left w:w="0" w:type="dxa"/>
          <w:right w:w="0" w:type="dxa"/>
        </w:tblCellMar>
        <w:tblLook w:val="0000" w:firstRow="0" w:lastRow="0" w:firstColumn="0" w:lastColumn="0" w:noHBand="0" w:noVBand="0"/>
      </w:tblPr>
      <w:tblGrid>
        <w:gridCol w:w="1848"/>
        <w:gridCol w:w="3686"/>
        <w:gridCol w:w="3197"/>
      </w:tblGrid>
      <w:tr w:rsidR="008E0433" w:rsidTr="00C71ED3">
        <w:tc>
          <w:tcPr>
            <w:tcW w:w="1848" w:type="dxa"/>
            <w:vAlign w:val="bottom"/>
          </w:tcPr>
          <w:p w:rsidR="00C71ED3" w:rsidRPr="00ED5CBD" w:rsidRDefault="00E02264" w:rsidP="00A9526E">
            <w:pPr>
              <w:pStyle w:val="Normal00"/>
              <w:spacing w:line="264" w:lineRule="auto"/>
              <w:rPr>
                <w:rFonts w:ascii="Arial" w:hAnsi="Arial" w:cs="Arial"/>
                <w:color w:val="003366"/>
                <w:sz w:val="18"/>
                <w:szCs w:val="18"/>
                <w:lang w:eastAsia="ja-JP"/>
              </w:rPr>
            </w:pPr>
            <w:r w:rsidRPr="00ED5CBD">
              <w:rPr>
                <w:rFonts w:ascii="Arial" w:hAnsi="Arial" w:cs="Arial"/>
                <w:color w:val="003366"/>
                <w:sz w:val="18"/>
                <w:szCs w:val="18"/>
                <w:lang w:eastAsia="ja-JP"/>
              </w:rPr>
              <w:t>Analyst enquiries:</w:t>
            </w:r>
          </w:p>
        </w:tc>
        <w:tc>
          <w:tcPr>
            <w:tcW w:w="3686" w:type="dxa"/>
            <w:vAlign w:val="bottom"/>
          </w:tcPr>
          <w:p w:rsidR="00C71ED3" w:rsidRPr="00ED5CBD" w:rsidRDefault="00E02264" w:rsidP="00C71ED3">
            <w:pPr>
              <w:pStyle w:val="Normal00"/>
              <w:spacing w:line="264" w:lineRule="auto"/>
              <w:rPr>
                <w:rFonts w:ascii="Arial" w:hAnsi="Arial" w:cs="Arial"/>
                <w:sz w:val="18"/>
                <w:szCs w:val="18"/>
                <w:lang w:eastAsia="ja-JP"/>
              </w:rPr>
            </w:pPr>
            <w:r w:rsidRPr="00ED5CBD">
              <w:rPr>
                <w:rFonts w:ascii="Arial" w:hAnsi="Arial" w:cs="Arial"/>
                <w:sz w:val="18"/>
                <w:szCs w:val="18"/>
                <w:lang w:eastAsia="ja-JP"/>
              </w:rPr>
              <w:t>Alexander Holcroft, Investor Relations</w:t>
            </w:r>
          </w:p>
        </w:tc>
        <w:tc>
          <w:tcPr>
            <w:tcW w:w="3197" w:type="dxa"/>
            <w:vAlign w:val="bottom"/>
          </w:tcPr>
          <w:p w:rsidR="00C71ED3" w:rsidRPr="00ED5CBD" w:rsidRDefault="00E02264" w:rsidP="00A9526E">
            <w:pPr>
              <w:pStyle w:val="Normal00"/>
              <w:spacing w:line="264" w:lineRule="auto"/>
              <w:jc w:val="both"/>
              <w:rPr>
                <w:rFonts w:ascii="Arial" w:hAnsi="Arial" w:cs="Arial"/>
                <w:sz w:val="18"/>
                <w:szCs w:val="18"/>
              </w:rPr>
            </w:pPr>
            <w:r w:rsidRPr="00ED5CBD">
              <w:rPr>
                <w:rFonts w:ascii="Arial" w:hAnsi="Arial" w:cs="Arial"/>
                <w:sz w:val="18"/>
                <w:szCs w:val="18"/>
                <w:lang w:eastAsia="ja-JP"/>
              </w:rPr>
              <w:t>+44 (0) 20 7672 1982</w:t>
            </w:r>
            <w:r w:rsidRPr="00ED5CBD">
              <w:rPr>
                <w:rFonts w:ascii="Arial" w:hAnsi="Arial" w:cs="Arial"/>
                <w:sz w:val="18"/>
                <w:szCs w:val="18"/>
              </w:rPr>
              <w:t xml:space="preserve"> </w:t>
            </w:r>
          </w:p>
        </w:tc>
      </w:tr>
      <w:tr w:rsidR="008E0433" w:rsidTr="00C71ED3">
        <w:tc>
          <w:tcPr>
            <w:tcW w:w="1848" w:type="dxa"/>
            <w:vAlign w:val="bottom"/>
          </w:tcPr>
          <w:p w:rsidR="00C71ED3" w:rsidRPr="00ED5CBD" w:rsidRDefault="00E02264" w:rsidP="00A9526E">
            <w:pPr>
              <w:pStyle w:val="Normal00"/>
              <w:spacing w:line="264" w:lineRule="auto"/>
              <w:rPr>
                <w:rFonts w:ascii="Arial" w:hAnsi="Arial" w:cs="Arial"/>
                <w:color w:val="003366"/>
                <w:sz w:val="18"/>
                <w:szCs w:val="18"/>
                <w:lang w:eastAsia="ja-JP"/>
              </w:rPr>
            </w:pPr>
            <w:r w:rsidRPr="00ED5CBD">
              <w:rPr>
                <w:rFonts w:ascii="Arial" w:hAnsi="Arial" w:cs="Arial"/>
                <w:color w:val="003366"/>
                <w:sz w:val="18"/>
                <w:szCs w:val="18"/>
                <w:lang w:eastAsia="ja-JP"/>
              </w:rPr>
              <w:t>Media enquiries:</w:t>
            </w:r>
          </w:p>
        </w:tc>
        <w:tc>
          <w:tcPr>
            <w:tcW w:w="3686" w:type="dxa"/>
            <w:vAlign w:val="bottom"/>
          </w:tcPr>
          <w:p w:rsidR="00C71ED3" w:rsidRPr="00ED5CBD" w:rsidRDefault="00E02264" w:rsidP="00A9526E">
            <w:pPr>
              <w:pStyle w:val="Normal00"/>
              <w:spacing w:line="264" w:lineRule="auto"/>
              <w:jc w:val="both"/>
              <w:rPr>
                <w:rFonts w:ascii="Arial" w:hAnsi="Arial" w:cs="Arial"/>
                <w:sz w:val="18"/>
                <w:szCs w:val="18"/>
                <w:lang w:eastAsia="ja-JP"/>
              </w:rPr>
            </w:pPr>
            <w:r w:rsidRPr="00ED5CBD">
              <w:rPr>
                <w:rFonts w:ascii="Arial" w:hAnsi="Arial" w:cs="Arial"/>
                <w:sz w:val="18"/>
                <w:szCs w:val="18"/>
                <w:lang w:eastAsia="ja-JP"/>
              </w:rPr>
              <w:t>RBS Press Office</w:t>
            </w:r>
          </w:p>
        </w:tc>
        <w:tc>
          <w:tcPr>
            <w:tcW w:w="3197" w:type="dxa"/>
            <w:vAlign w:val="bottom"/>
          </w:tcPr>
          <w:p w:rsidR="00C71ED3" w:rsidRPr="00ED5CBD" w:rsidRDefault="00E02264" w:rsidP="00A9526E">
            <w:pPr>
              <w:pStyle w:val="Normal00"/>
              <w:spacing w:line="264" w:lineRule="auto"/>
              <w:jc w:val="both"/>
              <w:rPr>
                <w:rFonts w:ascii="Arial" w:hAnsi="Arial" w:cs="Arial"/>
                <w:sz w:val="18"/>
                <w:szCs w:val="18"/>
                <w:lang w:eastAsia="ja-JP"/>
              </w:rPr>
            </w:pPr>
            <w:r w:rsidRPr="00ED5CBD">
              <w:rPr>
                <w:rFonts w:ascii="Arial" w:hAnsi="Arial" w:cs="Arial"/>
                <w:sz w:val="18"/>
                <w:szCs w:val="18"/>
                <w:lang w:eastAsia="ja-JP"/>
              </w:rPr>
              <w:t>+44 (0) 131 523 4205</w:t>
            </w:r>
          </w:p>
        </w:tc>
      </w:tr>
    </w:tbl>
    <w:p w:rsidR="00DE60DD" w:rsidRPr="00ED5CBD" w:rsidRDefault="00DE60DD" w:rsidP="00DE60DD">
      <w:pPr>
        <w:pStyle w:val="Normal00"/>
        <w:spacing w:line="264" w:lineRule="auto"/>
        <w:jc w:val="both"/>
        <w:rPr>
          <w:rFonts w:ascii="Arial" w:hAnsi="Arial" w:cs="Arial"/>
          <w:b/>
          <w:bCs/>
          <w:color w:val="003366"/>
          <w:sz w:val="18"/>
          <w:szCs w:val="18"/>
        </w:rPr>
      </w:pPr>
    </w:p>
    <w:tbl>
      <w:tblPr>
        <w:tblW w:w="9952"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1821"/>
        <w:gridCol w:w="3712"/>
        <w:gridCol w:w="4419"/>
      </w:tblGrid>
      <w:tr w:rsidR="008E0433" w:rsidTr="00C71ED3">
        <w:trPr>
          <w:trHeight w:hRule="exact" w:val="315"/>
        </w:trPr>
        <w:tc>
          <w:tcPr>
            <w:tcW w:w="915" w:type="pct"/>
            <w:tcBorders>
              <w:top w:val="single" w:sz="4" w:space="0" w:color="003366"/>
              <w:left w:val="single" w:sz="4" w:space="0" w:color="003366"/>
              <w:bottom w:val="single" w:sz="4" w:space="0" w:color="003366"/>
              <w:right w:val="single" w:sz="4" w:space="0" w:color="003366"/>
            </w:tcBorders>
          </w:tcPr>
          <w:p w:rsidR="00DE60DD" w:rsidRPr="00ED5CBD" w:rsidRDefault="00DE60DD" w:rsidP="00A9526E">
            <w:pPr>
              <w:pStyle w:val="Normal00"/>
              <w:spacing w:line="264" w:lineRule="auto"/>
              <w:rPr>
                <w:rFonts w:ascii="Arial" w:hAnsi="Arial" w:cs="Arial"/>
                <w:b/>
                <w:bCs/>
                <w:color w:val="003366"/>
                <w:sz w:val="18"/>
                <w:szCs w:val="18"/>
              </w:rPr>
            </w:pPr>
          </w:p>
        </w:tc>
        <w:tc>
          <w:tcPr>
            <w:tcW w:w="1865" w:type="pct"/>
            <w:tcBorders>
              <w:top w:val="single" w:sz="4" w:space="0" w:color="003366"/>
              <w:left w:val="single" w:sz="4" w:space="0" w:color="003366"/>
              <w:bottom w:val="single" w:sz="4" w:space="0" w:color="003366"/>
              <w:right w:val="single" w:sz="4" w:space="0" w:color="003366"/>
            </w:tcBorders>
          </w:tcPr>
          <w:p w:rsidR="00DE60DD" w:rsidRPr="00ED5CBD" w:rsidRDefault="00E02264" w:rsidP="00A9526E">
            <w:pPr>
              <w:pStyle w:val="Normal00"/>
              <w:spacing w:line="264" w:lineRule="auto"/>
              <w:jc w:val="both"/>
              <w:rPr>
                <w:rFonts w:ascii="Arial" w:hAnsi="Arial" w:cs="Arial"/>
                <w:b/>
                <w:bCs/>
                <w:color w:val="003366"/>
                <w:sz w:val="18"/>
                <w:szCs w:val="18"/>
              </w:rPr>
            </w:pPr>
            <w:r>
              <w:rPr>
                <w:rFonts w:ascii="Arial" w:hAnsi="Arial" w:cs="Arial"/>
                <w:b/>
                <w:bCs/>
                <w:color w:val="003366"/>
                <w:sz w:val="18"/>
                <w:szCs w:val="18"/>
              </w:rPr>
              <w:t xml:space="preserve">Analyst and investor call </w:t>
            </w:r>
          </w:p>
        </w:tc>
        <w:tc>
          <w:tcPr>
            <w:tcW w:w="2220" w:type="pct"/>
            <w:tcBorders>
              <w:top w:val="single" w:sz="4" w:space="0" w:color="003366"/>
              <w:left w:val="single" w:sz="4" w:space="0" w:color="003366"/>
              <w:bottom w:val="single" w:sz="4" w:space="0" w:color="003366"/>
              <w:right w:val="single" w:sz="4" w:space="0" w:color="003366"/>
            </w:tcBorders>
          </w:tcPr>
          <w:p w:rsidR="00DE60DD" w:rsidRPr="00ED5CBD" w:rsidRDefault="00E02264" w:rsidP="00A9526E">
            <w:pPr>
              <w:pStyle w:val="Normal00"/>
              <w:spacing w:line="264" w:lineRule="auto"/>
              <w:jc w:val="both"/>
              <w:rPr>
                <w:rFonts w:ascii="Arial" w:hAnsi="Arial" w:cs="Arial"/>
                <w:b/>
                <w:bCs/>
                <w:color w:val="003366"/>
                <w:sz w:val="18"/>
                <w:szCs w:val="18"/>
              </w:rPr>
            </w:pPr>
            <w:r>
              <w:rPr>
                <w:rFonts w:ascii="Arial" w:hAnsi="Arial" w:cs="Arial"/>
                <w:b/>
                <w:bCs/>
                <w:color w:val="003366"/>
                <w:sz w:val="18"/>
                <w:szCs w:val="18"/>
              </w:rPr>
              <w:t xml:space="preserve">Webcast and dial in details </w:t>
            </w:r>
          </w:p>
        </w:tc>
      </w:tr>
      <w:tr w:rsidR="008E0433" w:rsidTr="00C71ED3">
        <w:trPr>
          <w:trHeight w:hRule="exact" w:val="228"/>
        </w:trPr>
        <w:tc>
          <w:tcPr>
            <w:tcW w:w="915" w:type="pct"/>
            <w:tcBorders>
              <w:top w:val="single" w:sz="4" w:space="0" w:color="003366"/>
              <w:left w:val="single" w:sz="4" w:space="0" w:color="003366"/>
              <w:bottom w:val="nil"/>
              <w:right w:val="single" w:sz="4" w:space="0" w:color="003366"/>
            </w:tcBorders>
          </w:tcPr>
          <w:p w:rsidR="00DE60DD" w:rsidRPr="00ED5CBD" w:rsidRDefault="00E02264" w:rsidP="00A9526E">
            <w:pPr>
              <w:pStyle w:val="Normal00"/>
              <w:spacing w:line="264" w:lineRule="auto"/>
              <w:rPr>
                <w:rFonts w:ascii="Arial" w:hAnsi="Arial" w:cs="Arial"/>
                <w:b/>
                <w:bCs/>
                <w:color w:val="003366"/>
                <w:sz w:val="18"/>
                <w:szCs w:val="18"/>
              </w:rPr>
            </w:pPr>
            <w:r w:rsidRPr="00ED5CBD">
              <w:rPr>
                <w:rFonts w:ascii="Arial" w:hAnsi="Arial" w:cs="Arial"/>
                <w:b/>
                <w:bCs/>
                <w:color w:val="003366"/>
                <w:sz w:val="18"/>
                <w:szCs w:val="18"/>
              </w:rPr>
              <w:t>Date:</w:t>
            </w:r>
          </w:p>
        </w:tc>
        <w:tc>
          <w:tcPr>
            <w:tcW w:w="1865" w:type="pct"/>
            <w:tcBorders>
              <w:top w:val="single" w:sz="4" w:space="0" w:color="003366"/>
              <w:left w:val="single" w:sz="4" w:space="0" w:color="003366"/>
              <w:bottom w:val="nil"/>
              <w:right w:val="single" w:sz="4" w:space="0" w:color="003366"/>
            </w:tcBorders>
          </w:tcPr>
          <w:p w:rsidR="00DE60DD" w:rsidRPr="00ED5CBD" w:rsidRDefault="00E02264" w:rsidP="00057F95">
            <w:pPr>
              <w:pStyle w:val="Normal00"/>
              <w:spacing w:line="264" w:lineRule="auto"/>
              <w:jc w:val="both"/>
              <w:rPr>
                <w:rFonts w:ascii="Arial" w:hAnsi="Arial" w:cs="Arial"/>
                <w:sz w:val="18"/>
                <w:szCs w:val="18"/>
                <w:lang w:eastAsia="ja-JP"/>
              </w:rPr>
            </w:pPr>
            <w:r>
              <w:rPr>
                <w:rFonts w:ascii="Arial" w:hAnsi="Arial" w:cs="Arial"/>
                <w:sz w:val="18"/>
                <w:szCs w:val="18"/>
                <w:lang w:eastAsia="ja-JP"/>
              </w:rPr>
              <w:t>24 October 2019</w:t>
            </w:r>
          </w:p>
        </w:tc>
        <w:tc>
          <w:tcPr>
            <w:tcW w:w="2220" w:type="pct"/>
            <w:tcBorders>
              <w:top w:val="single" w:sz="4" w:space="0" w:color="003366"/>
              <w:left w:val="single" w:sz="4" w:space="0" w:color="003366"/>
              <w:bottom w:val="nil"/>
              <w:right w:val="single" w:sz="4" w:space="0" w:color="003366"/>
            </w:tcBorders>
          </w:tcPr>
          <w:p w:rsidR="00DE60DD" w:rsidRPr="00ED5CBD" w:rsidRDefault="005C2F1A" w:rsidP="00A9526E">
            <w:pPr>
              <w:pStyle w:val="Normal00"/>
              <w:spacing w:line="264" w:lineRule="auto"/>
              <w:jc w:val="both"/>
              <w:rPr>
                <w:rFonts w:ascii="Arial" w:hAnsi="Arial" w:cs="Arial"/>
                <w:sz w:val="18"/>
                <w:szCs w:val="18"/>
                <w:lang w:eastAsia="en-US"/>
              </w:rPr>
            </w:pPr>
            <w:hyperlink r:id="rId83" w:history="1">
              <w:r w:rsidR="00E02264" w:rsidRPr="00ED5CBD">
                <w:rPr>
                  <w:rFonts w:ascii="Arial" w:eastAsia="SimSun" w:hAnsi="Arial" w:cs="Arial"/>
                  <w:color w:val="0000FF"/>
                  <w:sz w:val="18"/>
                  <w:szCs w:val="18"/>
                  <w:u w:val="single"/>
                </w:rPr>
                <w:t>www.rbs.com/results</w:t>
              </w:r>
            </w:hyperlink>
          </w:p>
        </w:tc>
      </w:tr>
      <w:tr w:rsidR="008E0433" w:rsidTr="00C71ED3">
        <w:trPr>
          <w:trHeight w:hRule="exact" w:val="228"/>
        </w:trPr>
        <w:tc>
          <w:tcPr>
            <w:tcW w:w="915" w:type="pct"/>
            <w:tcBorders>
              <w:top w:val="nil"/>
              <w:left w:val="single" w:sz="4" w:space="0" w:color="003366"/>
              <w:bottom w:val="nil"/>
              <w:right w:val="single" w:sz="4" w:space="0" w:color="003366"/>
            </w:tcBorders>
          </w:tcPr>
          <w:p w:rsidR="00DE60DD" w:rsidRPr="00ED5CBD" w:rsidRDefault="00E02264" w:rsidP="00A9526E">
            <w:pPr>
              <w:pStyle w:val="Normal00"/>
              <w:spacing w:line="264" w:lineRule="auto"/>
              <w:rPr>
                <w:rFonts w:ascii="Arial" w:hAnsi="Arial" w:cs="Arial"/>
                <w:b/>
                <w:bCs/>
                <w:color w:val="003366"/>
                <w:sz w:val="18"/>
                <w:szCs w:val="18"/>
              </w:rPr>
            </w:pPr>
            <w:r w:rsidRPr="00ED5CBD">
              <w:rPr>
                <w:rFonts w:ascii="Arial" w:hAnsi="Arial" w:cs="Arial"/>
                <w:b/>
                <w:bCs/>
                <w:color w:val="003366"/>
                <w:sz w:val="18"/>
                <w:szCs w:val="18"/>
              </w:rPr>
              <w:t>Time:</w:t>
            </w:r>
          </w:p>
        </w:tc>
        <w:tc>
          <w:tcPr>
            <w:tcW w:w="1865" w:type="pct"/>
            <w:tcBorders>
              <w:top w:val="nil"/>
              <w:left w:val="single" w:sz="4" w:space="0" w:color="003366"/>
              <w:bottom w:val="nil"/>
              <w:right w:val="single" w:sz="4" w:space="0" w:color="003366"/>
            </w:tcBorders>
          </w:tcPr>
          <w:p w:rsidR="00DE60DD" w:rsidRPr="00ED5CBD" w:rsidRDefault="00E02264" w:rsidP="00A9526E">
            <w:pPr>
              <w:pStyle w:val="Normal00"/>
              <w:spacing w:line="264" w:lineRule="auto"/>
              <w:jc w:val="both"/>
              <w:rPr>
                <w:rFonts w:ascii="Arial" w:hAnsi="Arial" w:cs="Arial"/>
                <w:sz w:val="18"/>
                <w:szCs w:val="18"/>
                <w:lang w:eastAsia="ja-JP"/>
              </w:rPr>
            </w:pPr>
            <w:r w:rsidRPr="00ED5CBD">
              <w:rPr>
                <w:rFonts w:ascii="Arial" w:hAnsi="Arial" w:cs="Arial"/>
                <w:sz w:val="18"/>
                <w:szCs w:val="18"/>
                <w:lang w:eastAsia="ja-JP"/>
              </w:rPr>
              <w:t>9am UK time</w:t>
            </w:r>
          </w:p>
        </w:tc>
        <w:tc>
          <w:tcPr>
            <w:tcW w:w="2220" w:type="pct"/>
            <w:tcBorders>
              <w:top w:val="nil"/>
              <w:left w:val="single" w:sz="4" w:space="0" w:color="003366"/>
              <w:bottom w:val="nil"/>
              <w:right w:val="single" w:sz="4" w:space="0" w:color="003366"/>
            </w:tcBorders>
          </w:tcPr>
          <w:p w:rsidR="00DE60DD" w:rsidRPr="00ED5CBD" w:rsidRDefault="00E02264" w:rsidP="00A9526E">
            <w:pPr>
              <w:pStyle w:val="Normal00"/>
              <w:spacing w:line="264" w:lineRule="auto"/>
              <w:rPr>
                <w:rFonts w:ascii="Arial" w:hAnsi="Arial" w:cs="Arial"/>
                <w:sz w:val="18"/>
                <w:szCs w:val="18"/>
              </w:rPr>
            </w:pPr>
            <w:r w:rsidRPr="00ED5CBD">
              <w:rPr>
                <w:rFonts w:ascii="Arial" w:hAnsi="Arial" w:cs="Arial"/>
                <w:sz w:val="18"/>
                <w:szCs w:val="18"/>
              </w:rPr>
              <w:t>International: +44 (0) 203 057 6566</w:t>
            </w:r>
          </w:p>
        </w:tc>
      </w:tr>
      <w:tr w:rsidR="008E0433" w:rsidTr="00C71ED3">
        <w:trPr>
          <w:trHeight w:val="216"/>
        </w:trPr>
        <w:tc>
          <w:tcPr>
            <w:tcW w:w="915" w:type="pct"/>
            <w:tcBorders>
              <w:top w:val="nil"/>
              <w:left w:val="single" w:sz="4" w:space="0" w:color="003366"/>
              <w:bottom w:val="single" w:sz="4" w:space="0" w:color="003366"/>
              <w:right w:val="single" w:sz="4" w:space="0" w:color="003366"/>
            </w:tcBorders>
          </w:tcPr>
          <w:p w:rsidR="00DE60DD" w:rsidRPr="00ED5CBD" w:rsidRDefault="00E02264" w:rsidP="00A9526E">
            <w:pPr>
              <w:pStyle w:val="Normal00"/>
              <w:spacing w:line="264" w:lineRule="auto"/>
              <w:rPr>
                <w:rFonts w:ascii="Arial" w:hAnsi="Arial" w:cs="Arial"/>
                <w:sz w:val="18"/>
                <w:szCs w:val="18"/>
                <w:lang w:eastAsia="ja-JP"/>
              </w:rPr>
            </w:pPr>
            <w:r w:rsidRPr="00ED5CBD">
              <w:rPr>
                <w:rFonts w:ascii="Arial" w:hAnsi="Arial" w:cs="Arial"/>
                <w:b/>
                <w:bCs/>
                <w:color w:val="003366"/>
                <w:sz w:val="18"/>
                <w:szCs w:val="18"/>
              </w:rPr>
              <w:t>Conference ID:</w:t>
            </w:r>
          </w:p>
        </w:tc>
        <w:tc>
          <w:tcPr>
            <w:tcW w:w="1865" w:type="pct"/>
            <w:tcBorders>
              <w:top w:val="nil"/>
              <w:left w:val="single" w:sz="4" w:space="0" w:color="003366"/>
              <w:bottom w:val="single" w:sz="4" w:space="0" w:color="003366"/>
              <w:right w:val="single" w:sz="4" w:space="0" w:color="003366"/>
            </w:tcBorders>
          </w:tcPr>
          <w:p w:rsidR="00DE60DD" w:rsidRPr="00ED5CBD" w:rsidRDefault="00E02264" w:rsidP="00A9526E">
            <w:pPr>
              <w:pStyle w:val="Normal00"/>
              <w:spacing w:line="264" w:lineRule="auto"/>
              <w:rPr>
                <w:rFonts w:ascii="Arial" w:hAnsi="Arial" w:cs="Arial"/>
                <w:sz w:val="18"/>
                <w:szCs w:val="18"/>
                <w:lang w:eastAsia="ja-JP"/>
              </w:rPr>
            </w:pPr>
            <w:r>
              <w:rPr>
                <w:rFonts w:ascii="Arial" w:hAnsi="Arial" w:cs="Arial"/>
                <w:sz w:val="18"/>
                <w:szCs w:val="18"/>
                <w:lang w:eastAsia="ja-JP"/>
              </w:rPr>
              <w:t>5889802</w:t>
            </w:r>
          </w:p>
        </w:tc>
        <w:tc>
          <w:tcPr>
            <w:tcW w:w="2220" w:type="pct"/>
            <w:tcBorders>
              <w:top w:val="nil"/>
              <w:left w:val="single" w:sz="4" w:space="0" w:color="003366"/>
              <w:bottom w:val="single" w:sz="4" w:space="0" w:color="003366"/>
              <w:right w:val="single" w:sz="4" w:space="0" w:color="003366"/>
            </w:tcBorders>
          </w:tcPr>
          <w:p w:rsidR="00DE60DD" w:rsidRPr="00ED5CBD" w:rsidRDefault="00E02264" w:rsidP="00A9526E">
            <w:pPr>
              <w:pStyle w:val="Normal00"/>
              <w:spacing w:line="264" w:lineRule="auto"/>
              <w:jc w:val="both"/>
              <w:rPr>
                <w:rFonts w:ascii="Arial" w:hAnsi="Arial" w:cs="Arial"/>
                <w:sz w:val="18"/>
                <w:szCs w:val="18"/>
              </w:rPr>
            </w:pPr>
            <w:r w:rsidRPr="00ED5CBD">
              <w:rPr>
                <w:rFonts w:ascii="Arial" w:hAnsi="Arial" w:cs="Arial"/>
                <w:sz w:val="18"/>
                <w:szCs w:val="18"/>
              </w:rPr>
              <w:t>UK Free Call: 0800 279 5995</w:t>
            </w:r>
          </w:p>
          <w:p w:rsidR="00DE60DD" w:rsidRPr="00ED5CBD" w:rsidRDefault="00E02264" w:rsidP="00A9526E">
            <w:pPr>
              <w:pStyle w:val="Normal00"/>
              <w:spacing w:line="264" w:lineRule="auto"/>
              <w:rPr>
                <w:rFonts w:ascii="Arial" w:hAnsi="Arial" w:cs="Arial"/>
                <w:sz w:val="18"/>
                <w:szCs w:val="18"/>
              </w:rPr>
            </w:pPr>
            <w:r w:rsidRPr="00ED5CBD">
              <w:rPr>
                <w:rFonts w:ascii="Arial" w:hAnsi="Arial" w:cs="Arial"/>
                <w:sz w:val="18"/>
                <w:szCs w:val="18"/>
              </w:rPr>
              <w:t>US Local Dial-In, New York: +1 646 741 2115</w:t>
            </w:r>
          </w:p>
        </w:tc>
      </w:tr>
    </w:tbl>
    <w:p w:rsidR="00DE60DD" w:rsidRPr="00ED5CBD" w:rsidRDefault="00DE60DD" w:rsidP="00DE60DD">
      <w:pPr>
        <w:pStyle w:val="Normal00"/>
        <w:spacing w:line="120" w:lineRule="auto"/>
        <w:rPr>
          <w:rFonts w:ascii="Arial" w:hAnsi="Arial" w:cs="Arial"/>
          <w:b/>
          <w:color w:val="003366"/>
          <w:sz w:val="18"/>
          <w:szCs w:val="18"/>
        </w:rPr>
      </w:pPr>
    </w:p>
    <w:p w:rsidR="00DE60DD" w:rsidRPr="00ED5CBD" w:rsidRDefault="00E02264" w:rsidP="00DE60DD">
      <w:pPr>
        <w:pStyle w:val="Normal00"/>
        <w:spacing w:line="264" w:lineRule="auto"/>
        <w:rPr>
          <w:rFonts w:ascii="Arial" w:eastAsia="SimSun" w:hAnsi="Arial" w:cs="Arial"/>
          <w:bCs/>
          <w:color w:val="003366"/>
          <w:sz w:val="18"/>
          <w:szCs w:val="18"/>
        </w:rPr>
      </w:pPr>
      <w:r w:rsidRPr="00ED5CBD">
        <w:rPr>
          <w:rFonts w:ascii="Arial" w:eastAsia="SimSun" w:hAnsi="Arial" w:cs="Arial"/>
          <w:bCs/>
          <w:color w:val="003366"/>
          <w:sz w:val="18"/>
          <w:szCs w:val="18"/>
        </w:rPr>
        <w:t xml:space="preserve">Available on </w:t>
      </w:r>
      <w:hyperlink r:id="rId84" w:history="1">
        <w:r w:rsidRPr="00ED5CBD">
          <w:rPr>
            <w:rFonts w:ascii="Arial" w:eastAsia="SimSun" w:hAnsi="Arial" w:cs="Arial"/>
            <w:bCs/>
            <w:color w:val="003366"/>
            <w:sz w:val="18"/>
            <w:szCs w:val="18"/>
          </w:rPr>
          <w:t>www.rbs.com/results</w:t>
        </w:r>
      </w:hyperlink>
    </w:p>
    <w:p w:rsidR="00DE60DD" w:rsidRPr="00ED5CBD" w:rsidRDefault="00E02264" w:rsidP="00DE60DD">
      <w:pPr>
        <w:pStyle w:val="Normal00"/>
        <w:numPr>
          <w:ilvl w:val="0"/>
          <w:numId w:val="9"/>
        </w:numPr>
        <w:spacing w:line="264" w:lineRule="auto"/>
        <w:rPr>
          <w:rFonts w:ascii="Arial" w:eastAsia="SimSun" w:hAnsi="Arial" w:cs="Arial"/>
          <w:bCs/>
          <w:color w:val="003366"/>
          <w:sz w:val="18"/>
          <w:szCs w:val="18"/>
        </w:rPr>
      </w:pPr>
      <w:r w:rsidRPr="00ED5CBD">
        <w:rPr>
          <w:rFonts w:ascii="Arial" w:hAnsi="Arial" w:cs="Arial"/>
          <w:sz w:val="18"/>
          <w:szCs w:val="18"/>
          <w:lang w:eastAsia="ja-JP"/>
        </w:rPr>
        <w:t>Q3 2019 Interim Management Statement and background slides.</w:t>
      </w:r>
    </w:p>
    <w:p w:rsidR="00DE60DD" w:rsidRPr="00ED5CBD" w:rsidRDefault="00E02264" w:rsidP="00DE60DD">
      <w:pPr>
        <w:pStyle w:val="Normal00"/>
        <w:numPr>
          <w:ilvl w:val="0"/>
          <w:numId w:val="10"/>
        </w:numPr>
        <w:spacing w:line="264" w:lineRule="auto"/>
        <w:rPr>
          <w:rFonts w:ascii="Arial" w:eastAsia="SimSun" w:hAnsi="Arial" w:cs="Arial"/>
          <w:bCs/>
          <w:color w:val="003366"/>
          <w:sz w:val="18"/>
          <w:szCs w:val="18"/>
        </w:rPr>
      </w:pPr>
      <w:r w:rsidRPr="00ED5CBD">
        <w:rPr>
          <w:rFonts w:ascii="Arial" w:hAnsi="Arial" w:cs="Arial"/>
          <w:sz w:val="18"/>
          <w:szCs w:val="18"/>
          <w:lang w:eastAsia="ja-JP"/>
        </w:rPr>
        <w:t>A financial supplement containing income statement, balance sheet and segment performance for the nine quarters ended 30 September 2019.</w:t>
      </w:r>
    </w:p>
    <w:p w:rsidR="00DE60DD" w:rsidRPr="00ED5CBD" w:rsidRDefault="00E02264" w:rsidP="00DE60DD">
      <w:pPr>
        <w:pStyle w:val="Normal00"/>
        <w:numPr>
          <w:ilvl w:val="0"/>
          <w:numId w:val="10"/>
        </w:numPr>
        <w:spacing w:line="264" w:lineRule="auto"/>
        <w:rPr>
          <w:rFonts w:ascii="Arial" w:eastAsia="SimSun" w:hAnsi="Arial" w:cs="Arial"/>
          <w:bCs/>
          <w:color w:val="003366"/>
          <w:sz w:val="18"/>
          <w:szCs w:val="18"/>
        </w:rPr>
      </w:pPr>
      <w:r w:rsidRPr="00ED5CBD">
        <w:rPr>
          <w:rFonts w:ascii="Arial" w:hAnsi="Arial" w:cs="Arial"/>
          <w:sz w:val="18"/>
          <w:szCs w:val="18"/>
          <w:lang w:eastAsia="ja-JP"/>
        </w:rPr>
        <w:t xml:space="preserve">Pillar 3 </w:t>
      </w:r>
      <w:proofErr w:type="gramStart"/>
      <w:r w:rsidRPr="00ED5CBD">
        <w:rPr>
          <w:rFonts w:ascii="Arial" w:hAnsi="Arial" w:cs="Arial"/>
          <w:sz w:val="18"/>
          <w:szCs w:val="18"/>
          <w:lang w:eastAsia="ja-JP"/>
        </w:rPr>
        <w:t>supplement</w:t>
      </w:r>
      <w:proofErr w:type="gramEnd"/>
      <w:r w:rsidRPr="00ED5CBD">
        <w:rPr>
          <w:rFonts w:ascii="Arial" w:hAnsi="Arial" w:cs="Arial"/>
          <w:sz w:val="18"/>
          <w:szCs w:val="18"/>
          <w:lang w:eastAsia="ja-JP"/>
        </w:rPr>
        <w:t xml:space="preserve"> at 30 September 2019. </w:t>
      </w:r>
    </w:p>
    <w:p w:rsidR="00DE60DD" w:rsidRPr="00ED5CBD" w:rsidRDefault="00DE60DD" w:rsidP="00D306CD">
      <w:pPr>
        <w:pStyle w:val="Normal00"/>
        <w:spacing w:line="264" w:lineRule="auto"/>
        <w:ind w:left="284"/>
        <w:rPr>
          <w:rFonts w:ascii="Arial" w:eastAsia="SimSun" w:hAnsi="Arial" w:cs="Arial"/>
          <w:bCs/>
          <w:color w:val="003366"/>
          <w:sz w:val="18"/>
          <w:szCs w:val="18"/>
        </w:rPr>
      </w:pPr>
    </w:p>
    <w:p w:rsidR="00C36715" w:rsidRPr="00ED5CBD" w:rsidRDefault="00C36715">
      <w:pPr>
        <w:rPr>
          <w:rFonts w:cs="Arial"/>
          <w:szCs w:val="18"/>
        </w:rPr>
      </w:pPr>
    </w:p>
    <w:p w:rsidR="007D5AB0" w:rsidRDefault="007D5AB0">
      <w:pPr>
        <w:sectPr w:rsidR="007D5AB0" w:rsidSect="00DE60DD">
          <w:headerReference w:type="even" r:id="rId85"/>
          <w:headerReference w:type="default" r:id="rId86"/>
          <w:footerReference w:type="even" r:id="rId87"/>
          <w:footerReference w:type="default" r:id="rId88"/>
          <w:headerReference w:type="first" r:id="rId89"/>
          <w:footerReference w:type="first" r:id="rId90"/>
          <w:pgSz w:w="11906" w:h="16838"/>
          <w:pgMar w:top="1134" w:right="851" w:bottom="680" w:left="851" w:header="709" w:footer="709" w:gutter="0"/>
          <w:cols w:space="708"/>
          <w:docGrid w:linePitch="360"/>
        </w:sectPr>
      </w:pPr>
    </w:p>
    <w:p w:rsidR="007C3520" w:rsidRPr="004D1EFE" w:rsidRDefault="00E02264" w:rsidP="007C3520">
      <w:pPr>
        <w:pStyle w:val="Normal00"/>
        <w:spacing w:line="288" w:lineRule="auto"/>
        <w:outlineLvl w:val="0"/>
        <w:rPr>
          <w:rFonts w:ascii="Arial" w:hAnsi="Arial" w:cs="Arial"/>
          <w:b/>
          <w:bCs/>
          <w:color w:val="003366"/>
          <w:sz w:val="14"/>
          <w:szCs w:val="14"/>
        </w:rPr>
      </w:pPr>
      <w:r w:rsidRPr="004D1EFE">
        <w:rPr>
          <w:rFonts w:ascii="Arial" w:hAnsi="Arial" w:cs="Arial"/>
          <w:b/>
          <w:bCs/>
          <w:color w:val="003366"/>
          <w:sz w:val="14"/>
          <w:szCs w:val="14"/>
        </w:rPr>
        <w:lastRenderedPageBreak/>
        <w:t>Forward looking statements</w:t>
      </w:r>
    </w:p>
    <w:p w:rsidR="00DB4C2B" w:rsidRPr="00DB4C2B" w:rsidRDefault="00E02264" w:rsidP="00DB4C2B">
      <w:pPr>
        <w:pStyle w:val="Normal00"/>
        <w:rPr>
          <w:rFonts w:ascii="Arial" w:eastAsiaTheme="minorHAnsi" w:hAnsi="Arial" w:cs="Arial"/>
          <w:sz w:val="16"/>
          <w:szCs w:val="16"/>
        </w:rPr>
      </w:pPr>
      <w:r w:rsidRPr="00DB4C2B">
        <w:rPr>
          <w:rFonts w:ascii="Arial" w:eastAsiaTheme="minorHAnsi" w:hAnsi="Arial" w:cs="Arial"/>
          <w:sz w:val="16"/>
          <w:szCs w:val="16"/>
        </w:rPr>
        <w:t>This document contains forward-looking statements within the meaning of the United States Private Securities Litigation Reform Act of 1995, such as statements that include, without limitation, the words ‘expect’, ‘estimate’, ‘project’, ‘anticipate’, ‘commit’, ‘believe’, ‘should’, ‘intend’, ‘plan’, ‘could’, ‘probability’, ‘risk’, ‘Value-at-Risk (VaR)’, ‘target’, ‘goal’, ‘objective’, ‘may’, ‘endeavour’, ‘outlook’, ‘optimistic’, ‘prospects’ and similar expressions or variations on these expressions. These statements concern or may affect future matters, such as RBSG's future economic results, business plans and current strategies.  In particular, this document may include forward-looking statements relating to RBSG in respect of, but not limited to: its regulatory capital position and related requirements, its financial position, profitability and financial performance (including financial, capital and operational targets), its access to adequate sources of liquidity and funding, increasing competition from new incumbents and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legal, regulatory and governmental actions and investigations, LIBOR, EURIBOR and other benchmark reform and RBSG’s exposure to economic and political risks (including with respect to Brexit and climate change), operational risk, conduct risk, cyber and IT risk, key person risk and credit rating risk.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the final number of PPI claims and their amounts,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RBSG's actual results are discussed in RBSG's UK 2018 Annual Report and Accounts (ARA), RBSG’s Interim Results for H1 2019 and materials filed with, or furnished to, the US Securities and Exchange Commission, including, but not limited to, RBSG's most recent Annual Report on Form 20-F and Reports on Form 6-K. The forward-looking statements contained in this document speak only as of the date of this document and RBSG does not assume or undertake any obligation or responsibility to update any of the forward-looking statements contained in this document, whether as a result of new information, future events or otherwise, except to the extent legally required.</w:t>
      </w:r>
    </w:p>
    <w:p w:rsidR="007C3520" w:rsidRPr="00370428" w:rsidRDefault="007C3520" w:rsidP="007C3520">
      <w:pPr>
        <w:pStyle w:val="Normal00"/>
        <w:spacing w:line="120" w:lineRule="auto"/>
        <w:rPr>
          <w:rFonts w:ascii="Arial" w:eastAsia="Arial" w:hAnsi="Arial"/>
          <w:sz w:val="20"/>
          <w:szCs w:val="22"/>
          <w:lang w:eastAsia="en-US"/>
        </w:rPr>
      </w:pPr>
    </w:p>
    <w:p w:rsidR="00F678C4" w:rsidRDefault="00E02264" w:rsidP="00483C2B">
      <w:pPr>
        <w:pStyle w:val="Normal00"/>
        <w:spacing w:line="259" w:lineRule="auto"/>
      </w:pPr>
      <w:r>
        <w:br w:type="page"/>
      </w:r>
    </w:p>
    <w:p w:rsidR="00C36715" w:rsidRDefault="00C36715">
      <w:pPr>
        <w:sectPr w:rsidR="00C36715">
          <w:headerReference w:type="even" r:id="rId91"/>
          <w:headerReference w:type="default" r:id="rId92"/>
          <w:footerReference w:type="even" r:id="rId93"/>
          <w:footerReference w:type="default" r:id="rId94"/>
          <w:headerReference w:type="first" r:id="rId95"/>
          <w:footerReference w:type="first" r:id="rId96"/>
          <w:type w:val="continuous"/>
          <w:pgSz w:w="11906" w:h="16838"/>
          <w:pgMar w:top="1134" w:right="851" w:bottom="680" w:left="851" w:header="709" w:footer="709" w:gutter="0"/>
          <w:cols w:space="708"/>
          <w:docGrid w:linePitch="360"/>
        </w:sectPr>
      </w:pPr>
    </w:p>
    <w:p w:rsidR="007561B2" w:rsidRDefault="007561B2" w:rsidP="007561B2">
      <w:pPr>
        <w:pStyle w:val="Normal00"/>
        <w:rPr>
          <w:rFonts w:ascii="Arial" w:hAnsi="Arial" w:cs="Arial"/>
        </w:rPr>
      </w:pPr>
    </w:p>
    <w:p w:rsidR="007561B2" w:rsidRDefault="007561B2" w:rsidP="007561B2">
      <w:pPr>
        <w:pStyle w:val="Normal00"/>
        <w:rPr>
          <w:rFonts w:ascii="Arial" w:hAnsi="Arial" w:cs="Arial"/>
        </w:rPr>
      </w:pPr>
    </w:p>
    <w:p w:rsidR="007561B2" w:rsidRDefault="007561B2" w:rsidP="007561B2">
      <w:pPr>
        <w:pStyle w:val="Normal00"/>
        <w:rPr>
          <w:rFonts w:ascii="Arial" w:hAnsi="Arial" w:cs="Arial"/>
        </w:rPr>
      </w:pPr>
    </w:p>
    <w:p w:rsidR="007561B2" w:rsidRDefault="007561B2" w:rsidP="007561B2">
      <w:pPr>
        <w:pStyle w:val="Normal00"/>
        <w:rPr>
          <w:rFonts w:ascii="Arial" w:hAnsi="Arial" w:cs="Arial"/>
        </w:rPr>
      </w:pPr>
    </w:p>
    <w:p w:rsidR="007561B2" w:rsidRDefault="007561B2" w:rsidP="007561B2">
      <w:pPr>
        <w:pStyle w:val="Normal00"/>
        <w:rPr>
          <w:rFonts w:ascii="Arial" w:hAnsi="Arial" w:cs="Arial"/>
        </w:rPr>
      </w:pPr>
    </w:p>
    <w:p w:rsidR="007561B2" w:rsidRDefault="007561B2" w:rsidP="007561B2">
      <w:pPr>
        <w:pStyle w:val="Normal00"/>
        <w:jc w:val="center"/>
        <w:rPr>
          <w:rFonts w:ascii="Arial" w:hAnsi="Arial" w:cs="Arial"/>
          <w:color w:val="003366"/>
          <w:sz w:val="64"/>
          <w:szCs w:val="20"/>
        </w:rPr>
      </w:pPr>
    </w:p>
    <w:p w:rsidR="007561B2" w:rsidRDefault="007561B2" w:rsidP="007561B2">
      <w:pPr>
        <w:pStyle w:val="Normal00"/>
        <w:jc w:val="center"/>
        <w:rPr>
          <w:rFonts w:ascii="Arial" w:hAnsi="Arial" w:cs="Arial"/>
          <w:color w:val="003366"/>
          <w:sz w:val="64"/>
          <w:szCs w:val="20"/>
        </w:rPr>
      </w:pPr>
    </w:p>
    <w:p w:rsidR="007561B2" w:rsidRPr="00BC3A5D" w:rsidRDefault="00E02264" w:rsidP="007561B2">
      <w:pPr>
        <w:pStyle w:val="GCATitlePageText00"/>
        <w:rPr>
          <w:rFonts w:cs="Arial"/>
          <w:sz w:val="56"/>
          <w:szCs w:val="56"/>
        </w:rPr>
      </w:pPr>
      <w:r w:rsidRPr="00BC3A5D">
        <w:rPr>
          <w:rFonts w:cs="Arial"/>
          <w:sz w:val="56"/>
          <w:szCs w:val="56"/>
        </w:rPr>
        <w:t>Appendix</w:t>
      </w:r>
    </w:p>
    <w:p w:rsidR="007561B2" w:rsidRPr="00BC3A5D" w:rsidRDefault="007561B2" w:rsidP="007561B2">
      <w:pPr>
        <w:pStyle w:val="GCATitlePageText00"/>
        <w:rPr>
          <w:rFonts w:cs="Arial"/>
          <w:sz w:val="56"/>
          <w:szCs w:val="56"/>
        </w:rPr>
      </w:pPr>
    </w:p>
    <w:p w:rsidR="007561B2" w:rsidRPr="00BC3A5D" w:rsidRDefault="00E02264" w:rsidP="007561B2">
      <w:pPr>
        <w:pStyle w:val="Normal00"/>
        <w:jc w:val="center"/>
        <w:rPr>
          <w:rFonts w:ascii="Arial" w:hAnsi="Arial" w:cs="Arial"/>
          <w:color w:val="003366"/>
          <w:sz w:val="56"/>
          <w:szCs w:val="56"/>
        </w:rPr>
      </w:pPr>
      <w:r w:rsidRPr="00BC3A5D">
        <w:rPr>
          <w:rFonts w:ascii="Arial" w:hAnsi="Arial" w:cs="Arial"/>
          <w:color w:val="003366"/>
          <w:sz w:val="56"/>
          <w:szCs w:val="56"/>
        </w:rPr>
        <w:t>Non-IFRS financial measures</w:t>
      </w:r>
    </w:p>
    <w:p w:rsidR="007561B2" w:rsidRDefault="007561B2" w:rsidP="007561B2">
      <w:pPr>
        <w:pStyle w:val="Normal00"/>
        <w:jc w:val="center"/>
        <w:rPr>
          <w:rFonts w:ascii="Arial" w:hAnsi="Arial" w:cs="Arial"/>
          <w:color w:val="003366"/>
          <w:sz w:val="64"/>
          <w:szCs w:val="20"/>
        </w:rPr>
      </w:pPr>
    </w:p>
    <w:p w:rsidR="007561B2" w:rsidRDefault="007561B2" w:rsidP="007561B2">
      <w:pPr>
        <w:pStyle w:val="Normal00"/>
        <w:jc w:val="center"/>
        <w:rPr>
          <w:rFonts w:ascii="Arial" w:hAnsi="Arial" w:cs="Arial"/>
          <w:color w:val="003366"/>
          <w:sz w:val="64"/>
          <w:szCs w:val="20"/>
        </w:rPr>
      </w:pPr>
    </w:p>
    <w:p w:rsidR="007561B2" w:rsidRDefault="007561B2" w:rsidP="007561B2">
      <w:pPr>
        <w:pStyle w:val="Normal00"/>
        <w:jc w:val="center"/>
        <w:rPr>
          <w:rFonts w:ascii="Arial" w:hAnsi="Arial" w:cs="Arial"/>
          <w:color w:val="003366"/>
          <w:sz w:val="64"/>
          <w:szCs w:val="20"/>
        </w:rPr>
      </w:pPr>
    </w:p>
    <w:p w:rsidR="007561B2" w:rsidRDefault="007561B2" w:rsidP="007561B2">
      <w:pPr>
        <w:rPr>
          <w:color w:val="003366"/>
          <w:szCs w:val="20"/>
        </w:rPr>
        <w:sectPr w:rsidR="007561B2">
          <w:headerReference w:type="even" r:id="rId97"/>
          <w:headerReference w:type="default" r:id="rId98"/>
          <w:footerReference w:type="even" r:id="rId99"/>
          <w:footerReference w:type="default" r:id="rId100"/>
          <w:headerReference w:type="first" r:id="rId101"/>
          <w:footerReference w:type="first" r:id="rId102"/>
          <w:type w:val="continuous"/>
          <w:pgSz w:w="11906" w:h="16838"/>
          <w:pgMar w:top="1134" w:right="851" w:bottom="680" w:left="851" w:header="709" w:footer="709" w:gutter="0"/>
          <w:cols w:space="708"/>
        </w:sectPr>
      </w:pPr>
    </w:p>
    <w:p w:rsidR="007561B2" w:rsidRDefault="00E02264" w:rsidP="007561B2">
      <w:pPr>
        <w:pStyle w:val="Heading100"/>
        <w:pBdr>
          <w:bottom w:val="none" w:sz="0" w:space="0" w:color="auto"/>
        </w:pBdr>
        <w:rPr>
          <w:rFonts w:cs="Arial"/>
          <w:b/>
          <w:color w:val="0A2F64"/>
          <w:sz w:val="18"/>
          <w:szCs w:val="18"/>
        </w:rPr>
      </w:pPr>
      <w:r>
        <w:rPr>
          <w:rFonts w:cs="Arial"/>
          <w:b/>
          <w:color w:val="0A2F64"/>
          <w:sz w:val="18"/>
          <w:szCs w:val="18"/>
        </w:rPr>
        <w:lastRenderedPageBreak/>
        <w:t xml:space="preserve">Appendix Non-IFRS financial measures </w:t>
      </w:r>
    </w:p>
    <w:p w:rsidR="007561B2" w:rsidRDefault="00E02264" w:rsidP="00012CC8">
      <w:pPr>
        <w:pStyle w:val="Normal00"/>
        <w:spacing w:line="259" w:lineRule="auto"/>
        <w:rPr>
          <w:rFonts w:ascii="Arial" w:hAnsi="Arial" w:cs="Arial"/>
          <w:sz w:val="18"/>
          <w:szCs w:val="18"/>
          <w:lang w:eastAsia="ja-JP"/>
        </w:rPr>
      </w:pPr>
      <w:r>
        <w:rPr>
          <w:rFonts w:ascii="Arial" w:hAnsi="Arial" w:cs="Arial"/>
          <w:sz w:val="18"/>
          <w:szCs w:val="18"/>
          <w:lang w:eastAsia="ja-JP"/>
        </w:rPr>
        <w:t>As described in Note 1 on page 18, RBS prepares its financial statements in accordance with IFRS as issued by the IASB which constitutes a body of generally accepted accounting principles (GAAP). The Q3 2019 Results contain a number of adjusted or alternative performance measures, also known as non-GAAP or non-IFRS performance measures. These measures are adjusted for certain items which management believe are not representative of the underlying performance of the business and which distort period-on-period comparison. These non-IFRS measures are not measures within the scope of IFRS and are not a substitute for IFRS measures. These measures include:</w:t>
      </w:r>
    </w:p>
    <w:p w:rsidR="007561B2" w:rsidRDefault="007561B2" w:rsidP="007561B2">
      <w:pPr>
        <w:pStyle w:val="Normal00"/>
        <w:spacing w:line="288" w:lineRule="auto"/>
        <w:jc w:val="both"/>
        <w:rPr>
          <w:rFonts w:ascii="Arial" w:hAnsi="Arial" w:cs="Arial"/>
          <w:sz w:val="18"/>
          <w:szCs w:val="18"/>
          <w:lang w:eastAsia="ja-JP"/>
        </w:rPr>
      </w:pPr>
    </w:p>
    <w:p w:rsidR="007561B2" w:rsidRDefault="00E02264" w:rsidP="007561B2">
      <w:pPr>
        <w:pStyle w:val="Normal00"/>
        <w:spacing w:line="276" w:lineRule="auto"/>
        <w:rPr>
          <w:rFonts w:ascii="Arial" w:hAnsi="Arial" w:cs="Arial"/>
          <w:b/>
          <w:bCs/>
          <w:color w:val="003366"/>
          <w:sz w:val="18"/>
          <w:szCs w:val="18"/>
          <w:lang w:eastAsia="en-US"/>
        </w:rPr>
      </w:pPr>
      <w:r>
        <w:rPr>
          <w:rFonts w:ascii="Arial" w:hAnsi="Arial" w:cs="Arial"/>
          <w:b/>
          <w:bCs/>
          <w:color w:val="003366"/>
          <w:sz w:val="18"/>
          <w:szCs w:val="18"/>
          <w:lang w:eastAsia="en-US"/>
        </w:rPr>
        <w:t>Non-IFRS financial measures</w:t>
      </w:r>
    </w:p>
    <w:tbl>
      <w:tblPr>
        <w:tblW w:w="10206" w:type="dxa"/>
        <w:tblBorders>
          <w:insideH w:val="single" w:sz="4" w:space="0" w:color="auto"/>
          <w:insideV w:val="single" w:sz="4" w:space="0" w:color="auto"/>
        </w:tblBorders>
        <w:tblCellMar>
          <w:left w:w="0" w:type="dxa"/>
          <w:right w:w="0" w:type="dxa"/>
        </w:tblCellMar>
        <w:tblLook w:val="00A0" w:firstRow="1" w:lastRow="0" w:firstColumn="1" w:lastColumn="0" w:noHBand="0" w:noVBand="0"/>
      </w:tblPr>
      <w:tblGrid>
        <w:gridCol w:w="1586"/>
        <w:gridCol w:w="6672"/>
        <w:gridCol w:w="1948"/>
      </w:tblGrid>
      <w:tr w:rsidR="008E0433" w:rsidTr="007561B2">
        <w:tc>
          <w:tcPr>
            <w:tcW w:w="1586"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7561B2" w:rsidRDefault="00E02264">
            <w:pPr>
              <w:pStyle w:val="Normal00"/>
              <w:rPr>
                <w:rFonts w:ascii="Arial" w:hAnsi="Arial" w:cs="Arial"/>
                <w:bCs/>
                <w:color w:val="003366"/>
                <w:sz w:val="17"/>
                <w:szCs w:val="17"/>
                <w:lang w:eastAsia="en-US"/>
              </w:rPr>
            </w:pPr>
            <w:r>
              <w:rPr>
                <w:rFonts w:ascii="Arial" w:hAnsi="Arial" w:cs="Arial"/>
                <w:bCs/>
                <w:color w:val="003366"/>
                <w:sz w:val="17"/>
                <w:szCs w:val="17"/>
              </w:rPr>
              <w:br w:type="page"/>
            </w:r>
            <w:r>
              <w:rPr>
                <w:rFonts w:ascii="Arial" w:hAnsi="Arial" w:cs="Arial"/>
                <w:bCs/>
                <w:color w:val="003366"/>
                <w:sz w:val="17"/>
                <w:szCs w:val="17"/>
                <w:lang w:eastAsia="en-US"/>
              </w:rPr>
              <w:t>Measure</w:t>
            </w:r>
          </w:p>
        </w:tc>
        <w:tc>
          <w:tcPr>
            <w:tcW w:w="667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7561B2"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Basis of preparation</w:t>
            </w:r>
          </w:p>
        </w:tc>
        <w:tc>
          <w:tcPr>
            <w:tcW w:w="1948" w:type="dxa"/>
            <w:tcBorders>
              <w:top w:val="nil"/>
              <w:left w:val="single" w:sz="4" w:space="0" w:color="auto"/>
              <w:bottom w:val="single" w:sz="4" w:space="0" w:color="auto"/>
              <w:right w:val="nil"/>
            </w:tcBorders>
            <w:tcMar>
              <w:top w:w="0" w:type="dxa"/>
              <w:left w:w="108" w:type="dxa"/>
              <w:bottom w:w="0" w:type="dxa"/>
              <w:right w:w="108" w:type="dxa"/>
            </w:tcMar>
            <w:vAlign w:val="bottom"/>
            <w:hideMark/>
          </w:tcPr>
          <w:p w:rsidR="007561B2"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Additional analysis or reconciliation</w:t>
            </w:r>
          </w:p>
        </w:tc>
      </w:tr>
      <w:tr w:rsidR="008E0433"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561B2" w:rsidRDefault="00E02264" w:rsidP="001C2EF5">
            <w:pPr>
              <w:pStyle w:val="Normal00"/>
              <w:rPr>
                <w:rFonts w:ascii="Arial" w:hAnsi="Arial" w:cs="Arial"/>
                <w:bCs/>
                <w:color w:val="003366"/>
                <w:sz w:val="17"/>
                <w:szCs w:val="17"/>
                <w:lang w:eastAsia="en-US"/>
              </w:rPr>
            </w:pPr>
            <w:r>
              <w:rPr>
                <w:rFonts w:ascii="Arial" w:hAnsi="Arial" w:cs="Arial"/>
                <w:bCs/>
                <w:color w:val="003366"/>
                <w:sz w:val="17"/>
                <w:szCs w:val="17"/>
                <w:lang w:eastAsia="en-US"/>
              </w:rPr>
              <w:t xml:space="preserve">RBS return on tangible equity </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61B2" w:rsidRDefault="00E02264" w:rsidP="001C2EF5">
            <w:pPr>
              <w:pStyle w:val="Normal00"/>
              <w:rPr>
                <w:rFonts w:ascii="Arial" w:hAnsi="Arial" w:cs="Arial"/>
                <w:sz w:val="17"/>
                <w:szCs w:val="17"/>
                <w:lang w:eastAsia="en-US"/>
              </w:rPr>
            </w:pPr>
            <w:r>
              <w:rPr>
                <w:rFonts w:ascii="Arial" w:hAnsi="Arial" w:cs="Arial"/>
                <w:color w:val="000000"/>
                <w:sz w:val="17"/>
                <w:szCs w:val="17"/>
              </w:rPr>
              <w:t>Annualised profit for the period attributable to ordinary shareholders divided by average tangible equity. Average tangible equity is total equity less intangible assets and other owners’ equity.</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561B2" w:rsidRDefault="00E02264" w:rsidP="008C55F4">
            <w:pPr>
              <w:pStyle w:val="Normal00"/>
              <w:rPr>
                <w:rFonts w:ascii="Arial" w:hAnsi="Arial" w:cs="Arial"/>
                <w:sz w:val="17"/>
                <w:szCs w:val="17"/>
                <w:shd w:val="clear" w:color="auto" w:fill="FFFFFF"/>
              </w:rPr>
            </w:pPr>
            <w:r>
              <w:rPr>
                <w:rFonts w:ascii="Arial" w:hAnsi="Arial" w:cs="Arial"/>
                <w:sz w:val="17"/>
                <w:szCs w:val="17"/>
                <w:shd w:val="clear" w:color="auto" w:fill="FFFFFF"/>
              </w:rPr>
              <w:t>Table I</w:t>
            </w:r>
          </w:p>
        </w:tc>
      </w:tr>
      <w:tr w:rsidR="008E0433"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C2EF5" w:rsidRDefault="00E02264" w:rsidP="00862891">
            <w:pPr>
              <w:pStyle w:val="Normal00"/>
              <w:rPr>
                <w:rFonts w:ascii="Arial" w:hAnsi="Arial" w:cs="Arial"/>
                <w:bCs/>
                <w:color w:val="003366"/>
                <w:sz w:val="17"/>
                <w:szCs w:val="17"/>
                <w:lang w:eastAsia="en-US"/>
              </w:rPr>
            </w:pPr>
            <w:r>
              <w:rPr>
                <w:rFonts w:ascii="Arial" w:hAnsi="Arial" w:cs="Arial"/>
                <w:bCs/>
                <w:color w:val="003366"/>
                <w:sz w:val="17"/>
                <w:szCs w:val="17"/>
                <w:lang w:eastAsia="en-US"/>
              </w:rPr>
              <w:t>RBS return on tangible equity excluding PPI</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2EF5" w:rsidRDefault="00E02264" w:rsidP="00862891">
            <w:pPr>
              <w:pStyle w:val="Normal00"/>
              <w:rPr>
                <w:rFonts w:ascii="Arial" w:hAnsi="Arial" w:cs="Arial"/>
                <w:sz w:val="17"/>
                <w:szCs w:val="17"/>
                <w:lang w:eastAsia="en-US"/>
              </w:rPr>
            </w:pPr>
            <w:r>
              <w:rPr>
                <w:rFonts w:ascii="Arial" w:hAnsi="Arial" w:cs="Arial"/>
                <w:color w:val="000000"/>
                <w:sz w:val="17"/>
                <w:szCs w:val="17"/>
              </w:rPr>
              <w:t>Annualised profit for the period attributable to ordinary shareholders adjusted for the PPI charge for the period divided by average tangible equity. Average tangible equity is total equity less intangible assets and other owners’ equity.</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1C2EF5" w:rsidRDefault="00E02264" w:rsidP="00862891">
            <w:pPr>
              <w:pStyle w:val="Normal00"/>
              <w:rPr>
                <w:rFonts w:ascii="Arial" w:hAnsi="Arial" w:cs="Arial"/>
                <w:sz w:val="17"/>
                <w:szCs w:val="17"/>
                <w:shd w:val="clear" w:color="auto" w:fill="FFFFFF"/>
              </w:rPr>
            </w:pPr>
            <w:r>
              <w:rPr>
                <w:rFonts w:ascii="Arial" w:hAnsi="Arial" w:cs="Arial"/>
                <w:sz w:val="17"/>
                <w:szCs w:val="17"/>
                <w:shd w:val="clear" w:color="auto" w:fill="FFFFFF"/>
              </w:rPr>
              <w:t>Table I</w:t>
            </w:r>
          </w:p>
        </w:tc>
      </w:tr>
      <w:tr w:rsidR="008E0433"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1C2EF5"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Segmental return on tangible equity</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2EF5" w:rsidRDefault="00E02264" w:rsidP="00296924">
            <w:pPr>
              <w:pStyle w:val="Normal00"/>
              <w:rPr>
                <w:rFonts w:ascii="Arial" w:hAnsi="Arial" w:cs="Arial"/>
                <w:sz w:val="17"/>
                <w:szCs w:val="17"/>
                <w:lang w:eastAsia="en-US"/>
              </w:rPr>
            </w:pPr>
            <w:r>
              <w:rPr>
                <w:rFonts w:ascii="Arial" w:hAnsi="Arial" w:cs="Arial"/>
                <w:color w:val="000000"/>
                <w:sz w:val="17"/>
                <w:szCs w:val="17"/>
                <w:shd w:val="clear" w:color="auto" w:fill="FFFFFF"/>
                <w:lang w:eastAsia="ja-JP"/>
              </w:rPr>
              <w:t>Annualised segmental operating profit adjusted for tax and for preference share dividends divided by average notional equity, allocated at an operating segment specific rate, of the period average segmental risk-weighted assets incorporating the effect of capital deductions (RWAes).</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1C2EF5" w:rsidRDefault="00E02264" w:rsidP="008C55F4">
            <w:pPr>
              <w:pStyle w:val="Normal00"/>
              <w:rPr>
                <w:rFonts w:ascii="Arial" w:hAnsi="Arial" w:cs="Arial"/>
                <w:sz w:val="17"/>
                <w:szCs w:val="17"/>
                <w:lang w:eastAsia="en-US"/>
              </w:rPr>
            </w:pPr>
            <w:r>
              <w:rPr>
                <w:rFonts w:ascii="Arial" w:hAnsi="Arial" w:cs="Arial"/>
                <w:sz w:val="17"/>
                <w:szCs w:val="17"/>
                <w:shd w:val="clear" w:color="auto" w:fill="FFFFFF"/>
              </w:rPr>
              <w:t>Table I</w:t>
            </w:r>
          </w:p>
        </w:tc>
      </w:tr>
      <w:tr w:rsidR="008E0433"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1C2EF5"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Operating expenses analysis – management view</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2EF5" w:rsidRDefault="00E02264">
            <w:pPr>
              <w:pStyle w:val="Normal00"/>
              <w:rPr>
                <w:rFonts w:ascii="Arial" w:hAnsi="Arial" w:cs="Arial"/>
                <w:sz w:val="17"/>
                <w:szCs w:val="17"/>
                <w:lang w:eastAsia="en-US"/>
              </w:rPr>
            </w:pPr>
            <w:r>
              <w:rPr>
                <w:rFonts w:ascii="Arial" w:hAnsi="Arial" w:cs="Arial"/>
                <w:sz w:val="17"/>
                <w:szCs w:val="17"/>
                <w:lang w:eastAsia="en-US"/>
              </w:rPr>
              <w:t>The management analysis of strategic disposals in other income and operating expenses shows strategic costs and litigation and conduct costs in separate lines. These amounts are included in staff, premises and equipment and other administrative expenses in the statutory analysis.</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1C2EF5" w:rsidRDefault="00E02264" w:rsidP="008C55F4">
            <w:pPr>
              <w:pStyle w:val="Normal00"/>
              <w:rPr>
                <w:rFonts w:ascii="Arial" w:hAnsi="Arial" w:cs="Arial"/>
                <w:sz w:val="17"/>
                <w:szCs w:val="17"/>
                <w:lang w:eastAsia="en-US"/>
              </w:rPr>
            </w:pPr>
            <w:r>
              <w:rPr>
                <w:rFonts w:ascii="Arial" w:hAnsi="Arial" w:cs="Arial"/>
                <w:sz w:val="17"/>
                <w:szCs w:val="17"/>
                <w:shd w:val="clear" w:color="auto" w:fill="FFFFFF"/>
              </w:rPr>
              <w:t>Table II</w:t>
            </w:r>
          </w:p>
        </w:tc>
      </w:tr>
      <w:tr w:rsidR="008E0433"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1C2EF5"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Cost:income ratio</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2EF5" w:rsidRDefault="00E02264">
            <w:pPr>
              <w:pStyle w:val="Normal00"/>
              <w:rPr>
                <w:rFonts w:ascii="Arial" w:hAnsi="Arial" w:cs="Arial"/>
                <w:sz w:val="17"/>
                <w:szCs w:val="17"/>
                <w:lang w:eastAsia="en-US"/>
              </w:rPr>
            </w:pPr>
            <w:r>
              <w:rPr>
                <w:rFonts w:ascii="Arial" w:hAnsi="Arial" w:cs="Arial"/>
                <w:sz w:val="17"/>
                <w:szCs w:val="17"/>
                <w:lang w:eastAsia="en-US"/>
              </w:rPr>
              <w:t>Total operating expenses less operating lease depreciation divided by total income less operating lease depreciation.</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1C2EF5" w:rsidRDefault="00E02264" w:rsidP="008C55F4">
            <w:pPr>
              <w:pStyle w:val="Normal00"/>
              <w:rPr>
                <w:rFonts w:ascii="Arial" w:hAnsi="Arial" w:cs="Arial"/>
                <w:sz w:val="17"/>
                <w:szCs w:val="17"/>
                <w:lang w:eastAsia="en-US"/>
              </w:rPr>
            </w:pPr>
            <w:r>
              <w:rPr>
                <w:rFonts w:ascii="Arial" w:hAnsi="Arial" w:cs="Arial"/>
                <w:sz w:val="17"/>
                <w:szCs w:val="17"/>
                <w:shd w:val="clear" w:color="auto" w:fill="FFFFFF"/>
              </w:rPr>
              <w:t>Table III</w:t>
            </w:r>
          </w:p>
        </w:tc>
      </w:tr>
      <w:tr w:rsidR="008E0433"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1C2EF5"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Commentary – adjusted periodically for specific items</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2EF5" w:rsidRDefault="002958D7" w:rsidP="00645861">
            <w:pPr>
              <w:pStyle w:val="Normal00"/>
              <w:rPr>
                <w:rFonts w:ascii="Arial" w:hAnsi="Arial" w:cs="Arial"/>
                <w:sz w:val="17"/>
                <w:szCs w:val="17"/>
                <w:lang w:eastAsia="en-US"/>
              </w:rPr>
            </w:pPr>
            <w:r>
              <w:rPr>
                <w:rFonts w:ascii="Arial" w:hAnsi="Arial" w:cs="Arial"/>
                <w:sz w:val="17"/>
                <w:szCs w:val="17"/>
                <w:lang w:eastAsia="en-US"/>
              </w:rPr>
              <w:t xml:space="preserve">RBS and segmental business performance commentary have been adjusted for the impact of specific items such as the Alawwal bank merger, additional authorised push payments fraud costs, notable items (detailed on page 3), strategic, litigation and conduct costs (detailed on pages 8 to 12). </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1C2EF5" w:rsidRDefault="00E02264">
            <w:pPr>
              <w:pStyle w:val="Normal00"/>
              <w:rPr>
                <w:rFonts w:ascii="Arial" w:hAnsi="Arial" w:cs="Arial"/>
                <w:sz w:val="17"/>
                <w:szCs w:val="17"/>
                <w:lang w:eastAsia="en-US"/>
              </w:rPr>
            </w:pPr>
            <w:r>
              <w:rPr>
                <w:rFonts w:ascii="Arial" w:hAnsi="Arial" w:cs="Arial"/>
                <w:sz w:val="17"/>
                <w:szCs w:val="17"/>
                <w:lang w:eastAsia="en-US"/>
              </w:rPr>
              <w:t xml:space="preserve">Notable items - page 3 </w:t>
            </w:r>
          </w:p>
          <w:p w:rsidR="001C2EF5" w:rsidRDefault="00E02264" w:rsidP="001F5395">
            <w:pPr>
              <w:pStyle w:val="Normal00"/>
              <w:rPr>
                <w:rFonts w:ascii="Arial" w:hAnsi="Arial" w:cs="Arial"/>
                <w:sz w:val="17"/>
                <w:szCs w:val="17"/>
                <w:lang w:eastAsia="en-US"/>
              </w:rPr>
            </w:pPr>
            <w:r>
              <w:rPr>
                <w:rFonts w:ascii="Arial" w:hAnsi="Arial" w:cs="Arial"/>
                <w:sz w:val="17"/>
                <w:szCs w:val="17"/>
                <w:lang w:eastAsia="en-US"/>
              </w:rPr>
              <w:t>Strategic, litigation and conduct costs - pages 8 to 12.</w:t>
            </w:r>
          </w:p>
        </w:tc>
      </w:tr>
      <w:tr w:rsidR="008E0433" w:rsidTr="007561B2">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1C2EF5"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Aggregation of business segments into franchises</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C2EF5" w:rsidRDefault="00E02264" w:rsidP="001F5395">
            <w:pPr>
              <w:pStyle w:val="Normal00"/>
              <w:rPr>
                <w:rFonts w:ascii="Arial" w:hAnsi="Arial" w:cs="Arial"/>
                <w:sz w:val="17"/>
                <w:szCs w:val="17"/>
                <w:lang w:eastAsia="en-US"/>
              </w:rPr>
            </w:pPr>
            <w:r>
              <w:rPr>
                <w:rFonts w:ascii="Arial" w:hAnsi="Arial" w:cs="Arial"/>
                <w:sz w:val="17"/>
                <w:szCs w:val="17"/>
              </w:rPr>
              <w:t>Personal &amp; Ulster franchise results, combining the reportable segments of UK Personal Banking (UK PB) and Ulster Bank RoI, and Commercial &amp; Private Banking (CPB) franchise results, combining the reportable segments of Commercial Banking and Private Banking.</w:t>
            </w:r>
          </w:p>
        </w:tc>
        <w:tc>
          <w:tcPr>
            <w:tcW w:w="1948"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1C2EF5" w:rsidRDefault="00E02264" w:rsidP="00F34B71">
            <w:pPr>
              <w:pStyle w:val="Normal00"/>
              <w:rPr>
                <w:rFonts w:ascii="Arial" w:hAnsi="Arial" w:cs="Arial"/>
                <w:sz w:val="17"/>
                <w:szCs w:val="17"/>
                <w:lang w:eastAsia="en-US"/>
              </w:rPr>
            </w:pPr>
            <w:r>
              <w:rPr>
                <w:rFonts w:ascii="Arial" w:hAnsi="Arial" w:cs="Arial"/>
                <w:sz w:val="17"/>
                <w:szCs w:val="17"/>
                <w:lang w:eastAsia="en-US"/>
              </w:rPr>
              <w:t xml:space="preserve">Pages 8 to 12. </w:t>
            </w:r>
          </w:p>
        </w:tc>
      </w:tr>
      <w:tr w:rsidR="008E0433" w:rsidTr="007561B2">
        <w:trPr>
          <w:trHeight w:val="1004"/>
        </w:trPr>
        <w:tc>
          <w:tcPr>
            <w:tcW w:w="1586" w:type="dxa"/>
            <w:tcBorders>
              <w:top w:val="single" w:sz="4" w:space="0" w:color="auto"/>
              <w:left w:val="nil"/>
              <w:bottom w:val="nil"/>
              <w:right w:val="single" w:sz="4" w:space="0" w:color="auto"/>
            </w:tcBorders>
            <w:tcMar>
              <w:top w:w="0" w:type="dxa"/>
              <w:left w:w="108" w:type="dxa"/>
              <w:bottom w:w="0" w:type="dxa"/>
              <w:right w:w="108" w:type="dxa"/>
            </w:tcMar>
            <w:hideMark/>
          </w:tcPr>
          <w:p w:rsidR="001C2EF5"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 xml:space="preserve">Bank net interest margin (NIM) </w:t>
            </w:r>
          </w:p>
        </w:tc>
        <w:tc>
          <w:tcPr>
            <w:tcW w:w="6672"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1C2EF5" w:rsidRDefault="00E02264">
            <w:pPr>
              <w:pStyle w:val="Normal00"/>
              <w:rPr>
                <w:rFonts w:ascii="Arial" w:hAnsi="Arial" w:cs="Arial"/>
                <w:sz w:val="17"/>
                <w:szCs w:val="17"/>
              </w:rPr>
            </w:pPr>
            <w:r>
              <w:rPr>
                <w:rFonts w:ascii="Arial" w:hAnsi="Arial" w:cs="Arial"/>
                <w:color w:val="000000"/>
                <w:sz w:val="17"/>
                <w:szCs w:val="17"/>
                <w:shd w:val="clear" w:color="auto" w:fill="FFFFFF"/>
                <w:lang w:eastAsia="ja-JP"/>
              </w:rPr>
              <w:t>Net interest income of the banking business less the NatWest Markets (NWM) element as a percentage of interest-earning assets of the banking business less the NWM element.</w:t>
            </w:r>
          </w:p>
        </w:tc>
        <w:tc>
          <w:tcPr>
            <w:tcW w:w="1948" w:type="dxa"/>
            <w:tcBorders>
              <w:top w:val="single" w:sz="4" w:space="0" w:color="auto"/>
              <w:left w:val="single" w:sz="4" w:space="0" w:color="auto"/>
              <w:bottom w:val="nil"/>
              <w:right w:val="nil"/>
            </w:tcBorders>
            <w:tcMar>
              <w:top w:w="0" w:type="dxa"/>
              <w:left w:w="108" w:type="dxa"/>
              <w:bottom w:w="0" w:type="dxa"/>
              <w:right w:w="108" w:type="dxa"/>
            </w:tcMar>
            <w:hideMark/>
          </w:tcPr>
          <w:p w:rsidR="001C2EF5" w:rsidRDefault="00E02264" w:rsidP="008C55F4">
            <w:pPr>
              <w:pStyle w:val="Normal00"/>
              <w:rPr>
                <w:rFonts w:ascii="Arial" w:hAnsi="Arial" w:cs="Arial"/>
                <w:sz w:val="17"/>
                <w:szCs w:val="17"/>
                <w:lang w:eastAsia="en-US"/>
              </w:rPr>
            </w:pPr>
            <w:r>
              <w:rPr>
                <w:rFonts w:ascii="Arial" w:hAnsi="Arial" w:cs="Arial"/>
                <w:sz w:val="17"/>
                <w:szCs w:val="17"/>
                <w:shd w:val="clear" w:color="auto" w:fill="FFFFFF"/>
              </w:rPr>
              <w:t>Table IV</w:t>
            </w:r>
          </w:p>
        </w:tc>
      </w:tr>
    </w:tbl>
    <w:p w:rsidR="007561B2" w:rsidRDefault="007561B2" w:rsidP="007561B2">
      <w:pPr>
        <w:pStyle w:val="Normal00"/>
        <w:spacing w:line="276" w:lineRule="auto"/>
        <w:rPr>
          <w:rFonts w:ascii="Arial" w:hAnsi="Arial" w:cs="Arial"/>
          <w:b/>
          <w:bCs/>
          <w:sz w:val="18"/>
          <w:szCs w:val="18"/>
          <w:u w:val="single"/>
          <w:lang w:eastAsia="en-US"/>
        </w:rPr>
      </w:pPr>
    </w:p>
    <w:p w:rsidR="007561B2" w:rsidRDefault="00E02264" w:rsidP="007561B2">
      <w:pPr>
        <w:pStyle w:val="Normal00"/>
        <w:spacing w:line="276" w:lineRule="auto"/>
        <w:rPr>
          <w:rFonts w:ascii="Arial" w:hAnsi="Arial" w:cs="Arial"/>
          <w:b/>
          <w:bCs/>
          <w:color w:val="003366"/>
          <w:sz w:val="18"/>
          <w:szCs w:val="18"/>
          <w:lang w:eastAsia="en-US"/>
        </w:rPr>
      </w:pPr>
      <w:r>
        <w:rPr>
          <w:rFonts w:ascii="Arial" w:hAnsi="Arial" w:cs="Arial"/>
          <w:b/>
          <w:bCs/>
          <w:color w:val="003366"/>
          <w:sz w:val="18"/>
          <w:szCs w:val="18"/>
          <w:lang w:eastAsia="en-US"/>
        </w:rPr>
        <w:t xml:space="preserve">Performance metrics not defined under </w:t>
      </w:r>
      <w:proofErr w:type="gramStart"/>
      <w:r>
        <w:rPr>
          <w:rFonts w:ascii="Arial" w:hAnsi="Arial" w:cs="Arial"/>
          <w:b/>
          <w:bCs/>
          <w:color w:val="003366"/>
          <w:sz w:val="18"/>
          <w:szCs w:val="18"/>
          <w:lang w:eastAsia="en-US"/>
        </w:rPr>
        <w:t>IFRS</w:t>
      </w:r>
      <w:r>
        <w:rPr>
          <w:rFonts w:ascii="Arial" w:hAnsi="Arial" w:cs="Arial"/>
          <w:b/>
          <w:bCs/>
          <w:color w:val="003366"/>
          <w:sz w:val="18"/>
          <w:szCs w:val="18"/>
          <w:vertAlign w:val="superscript"/>
          <w:lang w:eastAsia="en-US"/>
        </w:rPr>
        <w:t>(</w:t>
      </w:r>
      <w:proofErr w:type="gramEnd"/>
      <w:r>
        <w:rPr>
          <w:rFonts w:ascii="Arial" w:hAnsi="Arial" w:cs="Arial"/>
          <w:b/>
          <w:bCs/>
          <w:color w:val="003366"/>
          <w:sz w:val="18"/>
          <w:szCs w:val="18"/>
          <w:vertAlign w:val="superscript"/>
          <w:lang w:eastAsia="en-US"/>
        </w:rPr>
        <w:t>1)</w:t>
      </w:r>
      <w:r>
        <w:rPr>
          <w:rFonts w:ascii="Arial" w:hAnsi="Arial" w:cs="Arial"/>
          <w:b/>
          <w:bCs/>
          <w:color w:val="003366"/>
          <w:sz w:val="18"/>
          <w:szCs w:val="18"/>
          <w:lang w:eastAsia="en-US"/>
        </w:rPr>
        <w:t xml:space="preserve">  </w:t>
      </w:r>
    </w:p>
    <w:tbl>
      <w:tblPr>
        <w:tblW w:w="10206" w:type="dxa"/>
        <w:tblBorders>
          <w:insideH w:val="single" w:sz="4" w:space="0" w:color="auto"/>
          <w:insideV w:val="single" w:sz="4" w:space="0" w:color="auto"/>
        </w:tblBorders>
        <w:tblCellMar>
          <w:left w:w="0" w:type="dxa"/>
          <w:right w:w="0" w:type="dxa"/>
        </w:tblCellMar>
        <w:tblLook w:val="00A0" w:firstRow="1" w:lastRow="0" w:firstColumn="1" w:lastColumn="0" w:noHBand="0" w:noVBand="0"/>
      </w:tblPr>
      <w:tblGrid>
        <w:gridCol w:w="1615"/>
        <w:gridCol w:w="6653"/>
        <w:gridCol w:w="1938"/>
      </w:tblGrid>
      <w:tr w:rsidR="008E0433" w:rsidTr="007561B2">
        <w:tc>
          <w:tcPr>
            <w:tcW w:w="1724"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7561B2" w:rsidRDefault="00E02264">
            <w:pPr>
              <w:pStyle w:val="Normal00"/>
              <w:rPr>
                <w:rFonts w:ascii="Arial" w:hAnsi="Arial" w:cs="Arial"/>
                <w:bCs/>
                <w:color w:val="003366"/>
                <w:sz w:val="17"/>
                <w:szCs w:val="17"/>
                <w:lang w:eastAsia="en-US"/>
              </w:rPr>
            </w:pPr>
            <w:r>
              <w:rPr>
                <w:rFonts w:ascii="Arial" w:hAnsi="Arial" w:cs="Arial"/>
                <w:bCs/>
                <w:color w:val="003366"/>
                <w:sz w:val="17"/>
                <w:szCs w:val="17"/>
              </w:rPr>
              <w:br w:type="page"/>
            </w:r>
            <w:r>
              <w:rPr>
                <w:rFonts w:ascii="Arial" w:hAnsi="Arial" w:cs="Arial"/>
                <w:bCs/>
                <w:color w:val="003366"/>
                <w:sz w:val="17"/>
                <w:szCs w:val="17"/>
                <w:lang w:eastAsia="en-US"/>
              </w:rPr>
              <w:t>Measure</w:t>
            </w:r>
          </w:p>
        </w:tc>
        <w:tc>
          <w:tcPr>
            <w:tcW w:w="804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7561B2"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Basis of preparation</w:t>
            </w:r>
          </w:p>
        </w:tc>
        <w:tc>
          <w:tcPr>
            <w:tcW w:w="2126" w:type="dxa"/>
            <w:tcBorders>
              <w:top w:val="nil"/>
              <w:left w:val="single" w:sz="4" w:space="0" w:color="auto"/>
              <w:bottom w:val="single" w:sz="4" w:space="0" w:color="auto"/>
              <w:right w:val="nil"/>
            </w:tcBorders>
            <w:tcMar>
              <w:top w:w="0" w:type="dxa"/>
              <w:left w:w="108" w:type="dxa"/>
              <w:bottom w:w="0" w:type="dxa"/>
              <w:right w:w="108" w:type="dxa"/>
            </w:tcMar>
            <w:vAlign w:val="bottom"/>
            <w:hideMark/>
          </w:tcPr>
          <w:p w:rsidR="007561B2" w:rsidRDefault="00E02264">
            <w:pPr>
              <w:pStyle w:val="Normal00"/>
              <w:rPr>
                <w:rFonts w:ascii="Arial" w:hAnsi="Arial" w:cs="Arial"/>
                <w:bCs/>
                <w:color w:val="003366"/>
                <w:sz w:val="17"/>
                <w:szCs w:val="17"/>
                <w:shd w:val="clear" w:color="auto" w:fill="FFFFFF"/>
                <w:lang w:eastAsia="ja-JP"/>
              </w:rPr>
            </w:pPr>
            <w:r>
              <w:rPr>
                <w:rFonts w:ascii="Arial" w:hAnsi="Arial" w:cs="Arial"/>
                <w:bCs/>
                <w:color w:val="003366"/>
                <w:sz w:val="17"/>
                <w:szCs w:val="17"/>
                <w:lang w:eastAsia="en-US"/>
              </w:rPr>
              <w:t>Additional analysis or reconciliation</w:t>
            </w:r>
          </w:p>
        </w:tc>
      </w:tr>
      <w:tr w:rsidR="008E0433" w:rsidTr="007561B2">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561B2"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 xml:space="preserve">Loan:deposit ratio </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61B2" w:rsidRDefault="00E02264">
            <w:pPr>
              <w:pStyle w:val="Normal00"/>
              <w:rPr>
                <w:rFonts w:ascii="Arial" w:hAnsi="Arial" w:cs="Arial"/>
                <w:sz w:val="17"/>
                <w:szCs w:val="17"/>
                <w:lang w:eastAsia="en-US"/>
              </w:rPr>
            </w:pPr>
            <w:r>
              <w:rPr>
                <w:rFonts w:ascii="Arial" w:hAnsi="Arial" w:cs="Arial"/>
                <w:color w:val="000000"/>
                <w:sz w:val="17"/>
                <w:szCs w:val="17"/>
              </w:rPr>
              <w:t>Net customer loans held at amortised cost divided by total customer deposits.</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561B2" w:rsidRDefault="00E02264" w:rsidP="008C55F4">
            <w:pPr>
              <w:pStyle w:val="Normal00"/>
              <w:rPr>
                <w:rFonts w:ascii="Arial" w:hAnsi="Arial" w:cs="Arial"/>
                <w:sz w:val="17"/>
                <w:szCs w:val="17"/>
                <w:lang w:eastAsia="ja-JP"/>
              </w:rPr>
            </w:pPr>
            <w:r>
              <w:rPr>
                <w:rFonts w:ascii="Arial" w:hAnsi="Arial" w:cs="Arial"/>
                <w:sz w:val="17"/>
                <w:szCs w:val="17"/>
                <w:shd w:val="clear" w:color="auto" w:fill="FFFFFF"/>
              </w:rPr>
              <w:t>Table V</w:t>
            </w:r>
          </w:p>
        </w:tc>
      </w:tr>
      <w:tr w:rsidR="008E0433" w:rsidTr="007561B2">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561B2" w:rsidRDefault="001F5395">
            <w:pPr>
              <w:pStyle w:val="Normal00"/>
              <w:rPr>
                <w:rFonts w:ascii="Arial" w:hAnsi="Arial" w:cs="Arial"/>
                <w:bCs/>
                <w:color w:val="003366"/>
                <w:sz w:val="17"/>
                <w:szCs w:val="17"/>
                <w:lang w:eastAsia="en-US"/>
              </w:rPr>
            </w:pPr>
            <w:r>
              <w:rPr>
                <w:rFonts w:ascii="Arial" w:hAnsi="Arial" w:cs="Arial"/>
                <w:bCs/>
                <w:color w:val="003366"/>
                <w:sz w:val="17"/>
                <w:szCs w:val="17"/>
                <w:lang w:eastAsia="en-US"/>
              </w:rPr>
              <w:t>Tangible net asset value (TNAV)</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61B2" w:rsidRDefault="00E02264">
            <w:pPr>
              <w:pStyle w:val="Normal00"/>
              <w:rPr>
                <w:rFonts w:ascii="Arial" w:hAnsi="Arial" w:cs="Arial"/>
                <w:sz w:val="17"/>
                <w:szCs w:val="17"/>
                <w:lang w:eastAsia="ja-JP"/>
              </w:rPr>
            </w:pPr>
            <w:r>
              <w:rPr>
                <w:rFonts w:ascii="Arial" w:hAnsi="Arial" w:cs="Arial"/>
                <w:sz w:val="17"/>
                <w:szCs w:val="17"/>
                <w:lang w:eastAsia="ja-JP"/>
              </w:rPr>
              <w:t xml:space="preserve">Tangible equity divided by the number of ordinary shares in issue. Tangible equity is ordinary shareholders’ interest less intangible assets. </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561B2" w:rsidRDefault="00E02264">
            <w:pPr>
              <w:pStyle w:val="Normal00"/>
              <w:rPr>
                <w:rFonts w:ascii="Arial" w:hAnsi="Arial" w:cs="Arial"/>
                <w:sz w:val="17"/>
                <w:szCs w:val="17"/>
                <w:lang w:eastAsia="ja-JP"/>
              </w:rPr>
            </w:pPr>
            <w:r>
              <w:rPr>
                <w:rFonts w:ascii="Arial" w:hAnsi="Arial" w:cs="Arial"/>
                <w:sz w:val="17"/>
                <w:szCs w:val="17"/>
                <w:lang w:eastAsia="ja-JP"/>
              </w:rPr>
              <w:t>Page 2.</w:t>
            </w:r>
          </w:p>
        </w:tc>
      </w:tr>
      <w:tr w:rsidR="008E0433" w:rsidTr="007561B2">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561B2"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NIM</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61B2" w:rsidRDefault="00E02264">
            <w:pPr>
              <w:pStyle w:val="Normal00"/>
              <w:rPr>
                <w:rFonts w:ascii="Arial" w:hAnsi="Arial" w:cs="Arial"/>
                <w:sz w:val="17"/>
                <w:szCs w:val="17"/>
                <w:lang w:eastAsia="ja-JP"/>
              </w:rPr>
            </w:pPr>
            <w:r>
              <w:rPr>
                <w:rFonts w:ascii="Arial" w:hAnsi="Arial" w:cs="Arial"/>
                <w:color w:val="000000"/>
                <w:sz w:val="17"/>
                <w:szCs w:val="17"/>
                <w:shd w:val="clear" w:color="auto" w:fill="FFFFFF"/>
                <w:lang w:eastAsia="ja-JP"/>
              </w:rPr>
              <w:t xml:space="preserve">Net interest income of the banking business as a percentage of interest-earning assets of the banking business. </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561B2" w:rsidRDefault="00E02264" w:rsidP="00F34B71">
            <w:pPr>
              <w:pStyle w:val="Normal00"/>
              <w:rPr>
                <w:rFonts w:ascii="Arial" w:hAnsi="Arial" w:cs="Arial"/>
                <w:sz w:val="17"/>
                <w:szCs w:val="17"/>
                <w:lang w:eastAsia="en-US"/>
              </w:rPr>
            </w:pPr>
            <w:r>
              <w:rPr>
                <w:rFonts w:ascii="Arial" w:hAnsi="Arial" w:cs="Arial"/>
                <w:sz w:val="17"/>
                <w:szCs w:val="17"/>
                <w:lang w:eastAsia="en-US"/>
              </w:rPr>
              <w:t>Pages 8 to 12.</w:t>
            </w:r>
          </w:p>
        </w:tc>
      </w:tr>
      <w:tr w:rsidR="008E0433" w:rsidTr="00BC3A5D">
        <w:trPr>
          <w:trHeight w:val="229"/>
        </w:trPr>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7561B2"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Funded assets</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561B2" w:rsidRDefault="00E02264">
            <w:pPr>
              <w:pStyle w:val="Normal00"/>
              <w:rPr>
                <w:rFonts w:ascii="Arial" w:hAnsi="Arial" w:cs="Arial"/>
                <w:sz w:val="17"/>
                <w:szCs w:val="17"/>
                <w:lang w:eastAsia="en-US"/>
              </w:rPr>
            </w:pPr>
            <w:r>
              <w:rPr>
                <w:rFonts w:ascii="Arial" w:hAnsi="Arial" w:cs="Arial"/>
                <w:sz w:val="17"/>
                <w:szCs w:val="17"/>
                <w:lang w:eastAsia="ja-JP"/>
              </w:rPr>
              <w:t>Total assets less derivatives.</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561B2" w:rsidRDefault="00E02264" w:rsidP="00915E8F">
            <w:pPr>
              <w:pStyle w:val="Normal00"/>
              <w:rPr>
                <w:rFonts w:ascii="Arial" w:hAnsi="Arial" w:cs="Arial"/>
                <w:sz w:val="17"/>
                <w:szCs w:val="17"/>
                <w:lang w:eastAsia="en-US"/>
              </w:rPr>
            </w:pPr>
            <w:r>
              <w:rPr>
                <w:rFonts w:ascii="Arial" w:hAnsi="Arial" w:cs="Arial"/>
                <w:sz w:val="17"/>
                <w:szCs w:val="17"/>
                <w:lang w:eastAsia="en-US"/>
              </w:rPr>
              <w:t>Pages 8 to 12.</w:t>
            </w:r>
          </w:p>
        </w:tc>
      </w:tr>
      <w:tr w:rsidR="008E0433" w:rsidTr="007561B2">
        <w:tc>
          <w:tcPr>
            <w:tcW w:w="1724" w:type="dxa"/>
            <w:tcBorders>
              <w:top w:val="single" w:sz="4" w:space="0" w:color="auto"/>
              <w:left w:val="nil"/>
              <w:bottom w:val="nil"/>
              <w:right w:val="single" w:sz="4" w:space="0" w:color="auto"/>
            </w:tcBorders>
            <w:tcMar>
              <w:top w:w="0" w:type="dxa"/>
              <w:left w:w="108" w:type="dxa"/>
              <w:bottom w:w="0" w:type="dxa"/>
              <w:right w:w="108" w:type="dxa"/>
            </w:tcMar>
            <w:hideMark/>
          </w:tcPr>
          <w:p w:rsidR="007561B2" w:rsidRDefault="00E02264">
            <w:pPr>
              <w:pStyle w:val="Normal00"/>
              <w:rPr>
                <w:rFonts w:ascii="Arial" w:hAnsi="Arial" w:cs="Arial"/>
                <w:bCs/>
                <w:color w:val="003366"/>
                <w:sz w:val="17"/>
                <w:szCs w:val="17"/>
                <w:lang w:eastAsia="en-US"/>
              </w:rPr>
            </w:pPr>
            <w:r>
              <w:rPr>
                <w:rFonts w:ascii="Arial" w:hAnsi="Arial" w:cs="Arial"/>
                <w:bCs/>
                <w:color w:val="003366"/>
                <w:sz w:val="17"/>
                <w:szCs w:val="17"/>
                <w:lang w:eastAsia="en-US"/>
              </w:rPr>
              <w:t>ECL loss rate</w:t>
            </w:r>
          </w:p>
        </w:tc>
        <w:tc>
          <w:tcPr>
            <w:tcW w:w="8049"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7561B2" w:rsidRDefault="00E02264">
            <w:pPr>
              <w:pStyle w:val="Normal00"/>
              <w:rPr>
                <w:rFonts w:ascii="Arial" w:hAnsi="Arial" w:cs="Arial"/>
                <w:sz w:val="17"/>
                <w:szCs w:val="17"/>
                <w:lang w:eastAsia="en-US"/>
              </w:rPr>
            </w:pPr>
            <w:r>
              <w:rPr>
                <w:rFonts w:ascii="Arial" w:hAnsi="Arial" w:cs="Arial"/>
                <w:sz w:val="17"/>
                <w:szCs w:val="17"/>
                <w:lang w:eastAsia="en-US"/>
              </w:rPr>
              <w:t>The annualised loan impairment charge divided by gross customer loans.</w:t>
            </w:r>
          </w:p>
        </w:tc>
        <w:tc>
          <w:tcPr>
            <w:tcW w:w="2126" w:type="dxa"/>
            <w:tcBorders>
              <w:top w:val="single" w:sz="4" w:space="0" w:color="auto"/>
              <w:left w:val="single" w:sz="4" w:space="0" w:color="auto"/>
              <w:bottom w:val="nil"/>
              <w:right w:val="nil"/>
            </w:tcBorders>
            <w:tcMar>
              <w:top w:w="0" w:type="dxa"/>
              <w:left w:w="108" w:type="dxa"/>
              <w:bottom w:w="0" w:type="dxa"/>
              <w:right w:w="108" w:type="dxa"/>
            </w:tcMar>
            <w:hideMark/>
          </w:tcPr>
          <w:p w:rsidR="007561B2" w:rsidRDefault="00E02264" w:rsidP="00F34B71">
            <w:pPr>
              <w:pStyle w:val="Normal00"/>
              <w:rPr>
                <w:rFonts w:ascii="Arial" w:hAnsi="Arial" w:cs="Arial"/>
                <w:sz w:val="17"/>
                <w:szCs w:val="17"/>
                <w:lang w:eastAsia="en-US"/>
              </w:rPr>
            </w:pPr>
            <w:r>
              <w:rPr>
                <w:rFonts w:ascii="Arial" w:hAnsi="Arial" w:cs="Arial"/>
                <w:sz w:val="17"/>
                <w:szCs w:val="17"/>
                <w:lang w:eastAsia="en-US"/>
              </w:rPr>
              <w:t>Pages 8 to 12.</w:t>
            </w:r>
          </w:p>
        </w:tc>
      </w:tr>
    </w:tbl>
    <w:p w:rsidR="007561B2" w:rsidRDefault="007561B2" w:rsidP="007561B2">
      <w:pPr>
        <w:pStyle w:val="Heading100"/>
        <w:pBdr>
          <w:bottom w:val="none" w:sz="0" w:space="0" w:color="auto"/>
        </w:pBdr>
        <w:rPr>
          <w:rFonts w:cs="Arial"/>
          <w:b/>
          <w:color w:val="0A2F64"/>
          <w:sz w:val="18"/>
          <w:szCs w:val="18"/>
        </w:rPr>
      </w:pPr>
    </w:p>
    <w:p w:rsidR="007561B2" w:rsidRDefault="00E02264" w:rsidP="007561B2">
      <w:pPr>
        <w:pStyle w:val="Heading100"/>
        <w:pBdr>
          <w:bottom w:val="none" w:sz="0" w:space="0" w:color="auto"/>
        </w:pBdr>
        <w:rPr>
          <w:rFonts w:cs="Arial"/>
          <w:color w:val="auto"/>
          <w:sz w:val="14"/>
          <w:szCs w:val="14"/>
        </w:rPr>
      </w:pPr>
      <w:r>
        <w:rPr>
          <w:rFonts w:cs="Arial"/>
          <w:color w:val="auto"/>
          <w:sz w:val="14"/>
          <w:szCs w:val="14"/>
        </w:rPr>
        <w:t>Note:</w:t>
      </w:r>
    </w:p>
    <w:p w:rsidR="007561B2" w:rsidRDefault="00E02264" w:rsidP="007561B2">
      <w:pPr>
        <w:pStyle w:val="Heading100"/>
        <w:pBdr>
          <w:bottom w:val="none" w:sz="0" w:space="0" w:color="auto"/>
        </w:pBdr>
        <w:rPr>
          <w:rFonts w:cs="Arial"/>
          <w:color w:val="auto"/>
          <w:sz w:val="14"/>
          <w:szCs w:val="14"/>
        </w:rPr>
      </w:pPr>
      <w:r>
        <w:rPr>
          <w:rFonts w:cs="Arial"/>
          <w:color w:val="auto"/>
          <w:sz w:val="14"/>
          <w:szCs w:val="14"/>
        </w:rPr>
        <w:t xml:space="preserve">(1)     Metric based on GAAP measures, included as not defined under IFRS and reported for compliance with ESMA adjusted performance measure rules. </w:t>
      </w:r>
    </w:p>
    <w:p w:rsidR="007561B2" w:rsidRDefault="00E02264" w:rsidP="007561B2">
      <w:pPr>
        <w:pStyle w:val="Heading100"/>
        <w:pBdr>
          <w:bottom w:val="none" w:sz="0" w:space="0" w:color="auto"/>
        </w:pBdr>
        <w:rPr>
          <w:rFonts w:cs="Arial"/>
          <w:b/>
          <w:color w:val="0A2F64"/>
          <w:sz w:val="18"/>
          <w:szCs w:val="18"/>
        </w:rPr>
      </w:pPr>
      <w:r>
        <w:rPr>
          <w:rFonts w:cs="Arial"/>
          <w:b/>
          <w:color w:val="0A2F64"/>
          <w:sz w:val="18"/>
          <w:szCs w:val="18"/>
        </w:rPr>
        <w:br w:type="page"/>
      </w:r>
      <w:r>
        <w:rPr>
          <w:rFonts w:cs="Arial"/>
          <w:b/>
          <w:color w:val="0A2F64"/>
          <w:sz w:val="18"/>
          <w:szCs w:val="18"/>
        </w:rPr>
        <w:lastRenderedPageBreak/>
        <w:t xml:space="preserve">Appendix Non-IFRS financial measures </w:t>
      </w:r>
    </w:p>
    <w:p w:rsidR="007561B2" w:rsidRDefault="00E02264" w:rsidP="007561B2">
      <w:pPr>
        <w:pStyle w:val="Normal00"/>
        <w:rPr>
          <w:rFonts w:ascii="Arial" w:hAnsi="Arial" w:cs="Arial"/>
          <w:b/>
          <w:color w:val="0A2F64"/>
          <w:sz w:val="18"/>
          <w:szCs w:val="18"/>
        </w:rPr>
      </w:pPr>
      <w:r>
        <w:rPr>
          <w:rFonts w:ascii="Arial" w:hAnsi="Arial" w:cs="Arial"/>
          <w:b/>
          <w:color w:val="0A2F64"/>
          <w:sz w:val="18"/>
          <w:szCs w:val="18"/>
        </w:rPr>
        <w:t xml:space="preserve">I. Return on tangible equity </w:t>
      </w:r>
    </w:p>
    <w:p w:rsidR="007561B2" w:rsidRDefault="007561B2" w:rsidP="007561B2">
      <w:pPr>
        <w:rPr>
          <w:rFonts w:cs="Arial"/>
          <w:b/>
          <w:color w:val="0A2F64"/>
          <w:szCs w:val="18"/>
        </w:rPr>
      </w:pPr>
    </w:p>
    <w:p w:rsidR="000731E4" w:rsidRDefault="000731E4" w:rsidP="007561B2">
      <w:pPr>
        <w:spacing w:line="4" w:lineRule="exact"/>
      </w:pPr>
    </w:p>
    <w:p w:rsidR="000731E4" w:rsidRDefault="000731E4" w:rsidP="007561B2">
      <w:pPr>
        <w:spacing w:line="4" w:lineRule="exact"/>
      </w:pPr>
    </w:p>
    <w:tbl>
      <w:tblPr>
        <w:tblStyle w:val="table"/>
        <w:tblW w:w="10140" w:type="dxa"/>
        <w:tblInd w:w="5" w:type="dxa"/>
        <w:tblCellMar>
          <w:left w:w="0" w:type="dxa"/>
          <w:right w:w="0" w:type="dxa"/>
        </w:tblCellMar>
        <w:tblLook w:val="05E0" w:firstRow="1" w:lastRow="1" w:firstColumn="1" w:lastColumn="1" w:noHBand="0" w:noVBand="1"/>
      </w:tblPr>
      <w:tblGrid>
        <w:gridCol w:w="4325"/>
        <w:gridCol w:w="1259"/>
        <w:gridCol w:w="1184"/>
        <w:gridCol w:w="120"/>
        <w:gridCol w:w="1259"/>
        <w:gridCol w:w="914"/>
        <w:gridCol w:w="1079"/>
      </w:tblGrid>
      <w:tr w:rsidR="008E0433">
        <w:trPr>
          <w:trHeight w:val="195"/>
        </w:trPr>
        <w:tc>
          <w:tcPr>
            <w:tcW w:w="4335" w:type="dxa"/>
            <w:shd w:val="clear" w:color="auto" w:fill="FFFFFF"/>
            <w:tcMar>
              <w:top w:w="0" w:type="dxa"/>
              <w:left w:w="5" w:type="dxa"/>
              <w:bottom w:w="0" w:type="dxa"/>
              <w:right w:w="5" w:type="dxa"/>
            </w:tcMar>
            <w:vAlign w:val="center"/>
            <w:hideMark/>
          </w:tcPr>
          <w:p w:rsidR="00AC1F24" w:rsidRDefault="00AC1F24">
            <w:pPr>
              <w:spacing w:line="240" w:lineRule="auto"/>
              <w:contextualSpacing/>
              <w:rPr>
                <w:rFonts w:eastAsia="Arial" w:cs="Arial"/>
                <w:color w:val="000000"/>
                <w:sz w:val="20"/>
                <w:szCs w:val="20"/>
              </w:rPr>
            </w:pPr>
          </w:p>
        </w:tc>
        <w:tc>
          <w:tcPr>
            <w:tcW w:w="2445" w:type="dxa"/>
            <w:gridSpan w:val="2"/>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Nine months ended or as at</w:t>
            </w: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center"/>
              <w:rPr>
                <w:rFonts w:eastAsia="Arial" w:cs="Arial"/>
                <w:b/>
                <w:bCs/>
                <w:color w:val="003366"/>
                <w:sz w:val="16"/>
                <w:szCs w:val="16"/>
              </w:rPr>
            </w:pPr>
          </w:p>
        </w:tc>
        <w:tc>
          <w:tcPr>
            <w:tcW w:w="3255" w:type="dxa"/>
            <w:gridSpan w:val="3"/>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 or as at</w:t>
            </w:r>
          </w:p>
        </w:tc>
      </w:tr>
      <w:tr w:rsidR="008E0433">
        <w:trPr>
          <w:trHeight w:val="195"/>
        </w:trPr>
        <w:tc>
          <w:tcPr>
            <w:tcW w:w="4335" w:type="dxa"/>
            <w:shd w:val="clear" w:color="auto" w:fill="FFFFFF"/>
            <w:tcMar>
              <w:top w:w="0" w:type="dxa"/>
              <w:left w:w="5" w:type="dxa"/>
              <w:bottom w:w="0" w:type="dxa"/>
              <w:right w:w="5" w:type="dxa"/>
            </w:tcMar>
            <w:vAlign w:val="center"/>
            <w:hideMark/>
          </w:tcPr>
          <w:p w:rsidR="00AC1F24" w:rsidRDefault="00AC1F24">
            <w:pPr>
              <w:spacing w:line="240" w:lineRule="auto"/>
              <w:contextualSpacing/>
              <w:rPr>
                <w:rFonts w:eastAsia="Arial" w:cs="Arial"/>
                <w:color w:val="000000"/>
                <w:sz w:val="20"/>
                <w:szCs w:val="20"/>
              </w:rPr>
            </w:pPr>
          </w:p>
        </w:tc>
        <w:tc>
          <w:tcPr>
            <w:tcW w:w="1260"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8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rPr>
                <w:rFonts w:eastAsia="Arial" w:cs="Arial"/>
                <w:color w:val="003366"/>
                <w:sz w:val="16"/>
                <w:szCs w:val="16"/>
              </w:rPr>
            </w:pPr>
          </w:p>
        </w:tc>
        <w:tc>
          <w:tcPr>
            <w:tcW w:w="1260"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91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080"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r>
      <w:tr w:rsidR="008E0433">
        <w:trPr>
          <w:trHeight w:val="195"/>
        </w:trPr>
        <w:tc>
          <w:tcPr>
            <w:tcW w:w="4335"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b/>
                <w:bCs/>
                <w:color w:val="003366"/>
                <w:sz w:val="16"/>
                <w:szCs w:val="16"/>
              </w:rPr>
            </w:pPr>
            <w:r>
              <w:rPr>
                <w:rFonts w:eastAsia="Arial" w:cs="Arial"/>
                <w:b/>
                <w:bCs/>
                <w:color w:val="003366"/>
                <w:sz w:val="16"/>
                <w:szCs w:val="16"/>
              </w:rPr>
              <w:t xml:space="preserve">RBS return on tangible equity </w:t>
            </w:r>
          </w:p>
        </w:tc>
        <w:tc>
          <w:tcPr>
            <w:tcW w:w="1260"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2019 </w:t>
            </w: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3366"/>
                <w:sz w:val="16"/>
                <w:szCs w:val="16"/>
              </w:rPr>
            </w:pPr>
            <w:r>
              <w:rPr>
                <w:rFonts w:eastAsia="Arial" w:cs="Arial"/>
                <w:color w:val="003366"/>
                <w:sz w:val="16"/>
                <w:szCs w:val="16"/>
              </w:rPr>
              <w:t>2018 </w:t>
            </w:r>
          </w:p>
        </w:tc>
        <w:tc>
          <w:tcPr>
            <w:tcW w:w="120"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3366"/>
                <w:sz w:val="16"/>
                <w:szCs w:val="16"/>
              </w:rPr>
            </w:pPr>
          </w:p>
        </w:tc>
        <w:tc>
          <w:tcPr>
            <w:tcW w:w="1260"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2019 </w:t>
            </w:r>
          </w:p>
        </w:tc>
        <w:tc>
          <w:tcPr>
            <w:tcW w:w="915"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3366"/>
                <w:sz w:val="16"/>
                <w:szCs w:val="16"/>
              </w:rPr>
            </w:pPr>
            <w:r>
              <w:rPr>
                <w:rFonts w:eastAsia="Arial" w:cs="Arial"/>
                <w:color w:val="003366"/>
                <w:sz w:val="16"/>
                <w:szCs w:val="16"/>
              </w:rPr>
              <w:t>2019 </w:t>
            </w:r>
          </w:p>
        </w:tc>
        <w:tc>
          <w:tcPr>
            <w:tcW w:w="1080"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3366"/>
                <w:sz w:val="16"/>
                <w:szCs w:val="16"/>
              </w:rPr>
            </w:pPr>
            <w:r>
              <w:rPr>
                <w:rFonts w:eastAsia="Arial" w:cs="Arial"/>
                <w:color w:val="003366"/>
                <w:sz w:val="16"/>
                <w:szCs w:val="16"/>
              </w:rPr>
              <w:t>2018 </w:t>
            </w:r>
          </w:p>
        </w:tc>
      </w:tr>
      <w:tr w:rsidR="008E0433">
        <w:trPr>
          <w:trHeight w:val="195"/>
        </w:trPr>
        <w:tc>
          <w:tcPr>
            <w:tcW w:w="4335" w:type="dxa"/>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eastAsia="Arial" w:cs="Arial"/>
                <w:color w:val="000000"/>
                <w:sz w:val="16"/>
                <w:szCs w:val="16"/>
              </w:rPr>
              <w:t>Profit/(loss) attributable to ordinary shareholders (£m)</w:t>
            </w: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1,723</w:t>
            </w:r>
          </w:p>
        </w:tc>
        <w:tc>
          <w:tcPr>
            <w:tcW w:w="118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1,336</w:t>
            </w: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(315)</w:t>
            </w:r>
          </w:p>
        </w:tc>
        <w:tc>
          <w:tcPr>
            <w:tcW w:w="91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1,331</w:t>
            </w:r>
          </w:p>
        </w:tc>
        <w:tc>
          <w:tcPr>
            <w:tcW w:w="1080"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448</w:t>
            </w:r>
          </w:p>
        </w:tc>
      </w:tr>
      <w:tr w:rsidR="008E0433">
        <w:trPr>
          <w:trHeight w:val="195"/>
        </w:trPr>
        <w:tc>
          <w:tcPr>
            <w:tcW w:w="4335" w:type="dxa"/>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eastAsia="Arial" w:cs="Arial"/>
                <w:color w:val="000000"/>
                <w:sz w:val="16"/>
                <w:szCs w:val="16"/>
              </w:rPr>
              <w:t>Annualised profit/(loss) attributable to ordinary shareholders (£m)</w:t>
            </w: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2,297</w:t>
            </w:r>
          </w:p>
        </w:tc>
        <w:tc>
          <w:tcPr>
            <w:tcW w:w="118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1,781</w:t>
            </w: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(1,260)</w:t>
            </w:r>
          </w:p>
        </w:tc>
        <w:tc>
          <w:tcPr>
            <w:tcW w:w="91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5,324</w:t>
            </w:r>
          </w:p>
        </w:tc>
        <w:tc>
          <w:tcPr>
            <w:tcW w:w="1080"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1,792</w:t>
            </w:r>
          </w:p>
        </w:tc>
      </w:tr>
      <w:tr w:rsidR="008E0433">
        <w:trPr>
          <w:trHeight w:val="195"/>
        </w:trPr>
        <w:tc>
          <w:tcPr>
            <w:tcW w:w="4335" w:type="dxa"/>
            <w:tcBorders>
              <w:top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eastAsia="Arial" w:cs="Arial"/>
                <w:color w:val="000000"/>
                <w:sz w:val="16"/>
                <w:szCs w:val="16"/>
              </w:rPr>
              <w:t>Adjustment for PPI provision for Q3 2019 (£m)</w:t>
            </w:r>
          </w:p>
        </w:tc>
        <w:tc>
          <w:tcPr>
            <w:tcW w:w="1260" w:type="dxa"/>
            <w:tcBorders>
              <w:top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185" w:type="dxa"/>
            <w:tcBorders>
              <w:top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20" w:type="dxa"/>
            <w:tcBorders>
              <w:top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tcBorders>
              <w:top w:val="single" w:sz="6" w:space="0" w:color="003366"/>
            </w:tcBorders>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900</w:t>
            </w:r>
          </w:p>
        </w:tc>
        <w:tc>
          <w:tcPr>
            <w:tcW w:w="915" w:type="dxa"/>
            <w:tcBorders>
              <w:top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080" w:type="dxa"/>
            <w:tcBorders>
              <w:top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r>
      <w:tr w:rsidR="008E0433">
        <w:trPr>
          <w:trHeight w:val="195"/>
        </w:trPr>
        <w:tc>
          <w:tcPr>
            <w:tcW w:w="4335" w:type="dxa"/>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eastAsia="Arial" w:cs="Arial"/>
                <w:color w:val="000000"/>
                <w:sz w:val="16"/>
                <w:szCs w:val="16"/>
              </w:rPr>
              <w:t>Adjusted profit attributable to ordinary shareholders (£m)</w:t>
            </w:r>
          </w:p>
        </w:tc>
        <w:tc>
          <w:tcPr>
            <w:tcW w:w="126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585</w:t>
            </w:r>
          </w:p>
        </w:tc>
        <w:tc>
          <w:tcPr>
            <w:tcW w:w="915"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08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r>
      <w:tr w:rsidR="008E0433">
        <w:trPr>
          <w:trHeight w:val="195"/>
        </w:trPr>
        <w:tc>
          <w:tcPr>
            <w:tcW w:w="4335" w:type="dxa"/>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eastAsia="Arial" w:cs="Arial"/>
                <w:color w:val="000000"/>
                <w:sz w:val="16"/>
                <w:szCs w:val="16"/>
              </w:rPr>
              <w:t xml:space="preserve">Annualised adjusted profit attributable to ordinary </w:t>
            </w:r>
          </w:p>
        </w:tc>
        <w:tc>
          <w:tcPr>
            <w:tcW w:w="126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915"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08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r>
      <w:tr w:rsidR="008E0433">
        <w:trPr>
          <w:trHeight w:val="195"/>
        </w:trPr>
        <w:tc>
          <w:tcPr>
            <w:tcW w:w="4335"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r>
              <w:rPr>
                <w:rFonts w:eastAsia="Arial" w:cs="Arial"/>
                <w:color w:val="000000"/>
                <w:sz w:val="16"/>
                <w:szCs w:val="16"/>
              </w:rPr>
              <w:t>shareholders (£m)</w:t>
            </w:r>
          </w:p>
        </w:tc>
        <w:tc>
          <w:tcPr>
            <w:tcW w:w="1260"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20"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tcBorders>
              <w:bottom w:val="single" w:sz="6" w:space="0" w:color="003366"/>
            </w:tcBorders>
            <w:shd w:val="clear" w:color="auto" w:fill="C0C0C0"/>
            <w:tcMar>
              <w:top w:w="0" w:type="dxa"/>
              <w:left w:w="5" w:type="dxa"/>
              <w:bottom w:w="0" w:type="dxa"/>
              <w:right w:w="5" w:type="dxa"/>
            </w:tcMar>
            <w:vAlign w:val="bottom"/>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2,340</w:t>
            </w:r>
          </w:p>
        </w:tc>
        <w:tc>
          <w:tcPr>
            <w:tcW w:w="915"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080"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r>
      <w:tr w:rsidR="008E0433">
        <w:trPr>
          <w:trHeight w:val="195"/>
        </w:trPr>
        <w:tc>
          <w:tcPr>
            <w:tcW w:w="4335" w:type="dxa"/>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eastAsia="Arial" w:cs="Arial"/>
                <w:color w:val="000000"/>
                <w:sz w:val="16"/>
                <w:szCs w:val="16"/>
              </w:rPr>
              <w:t>Average total equity (£m)</w:t>
            </w: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46,025</w:t>
            </w:r>
          </w:p>
        </w:tc>
        <w:tc>
          <w:tcPr>
            <w:tcW w:w="118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48,825</w:t>
            </w: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45,579</w:t>
            </w:r>
          </w:p>
        </w:tc>
        <w:tc>
          <w:tcPr>
            <w:tcW w:w="91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46,179</w:t>
            </w:r>
          </w:p>
        </w:tc>
        <w:tc>
          <w:tcPr>
            <w:tcW w:w="1080"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48,833</w:t>
            </w:r>
          </w:p>
        </w:tc>
      </w:tr>
      <w:tr w:rsidR="008E0433">
        <w:trPr>
          <w:trHeight w:val="195"/>
        </w:trPr>
        <w:tc>
          <w:tcPr>
            <w:tcW w:w="4335"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eastAsia="Arial" w:cs="Arial"/>
                <w:color w:val="000000"/>
                <w:sz w:val="16"/>
                <w:szCs w:val="16"/>
              </w:rPr>
              <w:t>Adjustment</w:t>
            </w:r>
            <w:r>
              <w:rPr>
                <w:rFonts w:ascii="Times New Roman" w:eastAsia="Times New Roman" w:hAnsi="Times New Roman" w:cs="Times New Roman"/>
                <w:color w:val="000000"/>
                <w:sz w:val="16"/>
                <w:szCs w:val="16"/>
              </w:rPr>
              <w:t xml:space="preserve">  </w:t>
            </w:r>
            <w:r>
              <w:rPr>
                <w:rFonts w:eastAsia="Arial" w:cs="Arial"/>
                <w:color w:val="000000"/>
                <w:sz w:val="16"/>
                <w:szCs w:val="16"/>
              </w:rPr>
              <w:t>for other owners equity and intangibles (£m)</w:t>
            </w:r>
          </w:p>
        </w:tc>
        <w:tc>
          <w:tcPr>
            <w:tcW w:w="1260" w:type="dxa"/>
            <w:tcBorders>
              <w:bottom w:val="single" w:sz="6" w:space="0" w:color="003366"/>
            </w:tcBorders>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(12,432)</w:t>
            </w: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(15,126)</w:t>
            </w:r>
          </w:p>
        </w:tc>
        <w:tc>
          <w:tcPr>
            <w:tcW w:w="120"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tcBorders>
              <w:bottom w:val="single" w:sz="6" w:space="0" w:color="003366"/>
            </w:tcBorders>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(12,226)</w:t>
            </w:r>
          </w:p>
        </w:tc>
        <w:tc>
          <w:tcPr>
            <w:tcW w:w="915"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(12,410)</w:t>
            </w:r>
          </w:p>
        </w:tc>
        <w:tc>
          <w:tcPr>
            <w:tcW w:w="1080"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(15,341)</w:t>
            </w:r>
          </w:p>
        </w:tc>
      </w:tr>
      <w:tr w:rsidR="008E0433">
        <w:trPr>
          <w:trHeight w:val="105"/>
        </w:trPr>
        <w:tc>
          <w:tcPr>
            <w:tcW w:w="4335" w:type="dxa"/>
            <w:shd w:val="clear" w:color="auto" w:fill="FFFFFF"/>
            <w:tcMar>
              <w:top w:w="0" w:type="dxa"/>
              <w:left w:w="5" w:type="dxa"/>
              <w:bottom w:w="0" w:type="dxa"/>
              <w:right w:w="5" w:type="dxa"/>
            </w:tcMar>
            <w:vAlign w:val="center"/>
            <w:hideMark/>
          </w:tcPr>
          <w:p w:rsidR="00AC1F24" w:rsidRDefault="00AC1F24">
            <w:pPr>
              <w:spacing w:line="240" w:lineRule="auto"/>
              <w:contextualSpacing/>
              <w:rPr>
                <w:rFonts w:eastAsia="Arial" w:cs="Arial"/>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915"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08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r>
      <w:tr w:rsidR="008E0433">
        <w:trPr>
          <w:trHeight w:val="195"/>
        </w:trPr>
        <w:tc>
          <w:tcPr>
            <w:tcW w:w="4335" w:type="dxa"/>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eastAsia="Arial" w:cs="Arial"/>
                <w:color w:val="000000"/>
                <w:sz w:val="16"/>
                <w:szCs w:val="16"/>
              </w:rPr>
              <w:t>Adjusted total tangible equity (£m)</w:t>
            </w: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33,593</w:t>
            </w:r>
          </w:p>
        </w:tc>
        <w:tc>
          <w:tcPr>
            <w:tcW w:w="118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33,699</w:t>
            </w: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33,353</w:t>
            </w:r>
          </w:p>
        </w:tc>
        <w:tc>
          <w:tcPr>
            <w:tcW w:w="91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33,769</w:t>
            </w:r>
          </w:p>
        </w:tc>
        <w:tc>
          <w:tcPr>
            <w:tcW w:w="1080"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33,492</w:t>
            </w:r>
          </w:p>
        </w:tc>
      </w:tr>
      <w:tr w:rsidR="008E0433">
        <w:trPr>
          <w:trHeight w:val="75"/>
        </w:trPr>
        <w:tc>
          <w:tcPr>
            <w:tcW w:w="4335" w:type="dxa"/>
            <w:shd w:val="clear" w:color="auto" w:fill="FFFFFF"/>
            <w:tcMar>
              <w:top w:w="0" w:type="dxa"/>
              <w:left w:w="5" w:type="dxa"/>
              <w:bottom w:w="0" w:type="dxa"/>
              <w:right w:w="5" w:type="dxa"/>
            </w:tcMar>
            <w:vAlign w:val="center"/>
            <w:hideMark/>
          </w:tcPr>
          <w:p w:rsidR="00AC1F24" w:rsidRDefault="00AC1F24">
            <w:pPr>
              <w:spacing w:line="240" w:lineRule="auto"/>
              <w:contextualSpacing/>
              <w:rPr>
                <w:rFonts w:eastAsia="Arial" w:cs="Arial"/>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915"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08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r>
      <w:tr w:rsidR="008E0433">
        <w:trPr>
          <w:trHeight w:val="195"/>
        </w:trPr>
        <w:tc>
          <w:tcPr>
            <w:tcW w:w="4335" w:type="dxa"/>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eastAsia="Arial" w:cs="Arial"/>
                <w:color w:val="000000"/>
                <w:sz w:val="16"/>
                <w:szCs w:val="16"/>
              </w:rPr>
              <w:t>Return on tangible equity (%)</w:t>
            </w: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6.8%</w:t>
            </w:r>
          </w:p>
        </w:tc>
        <w:tc>
          <w:tcPr>
            <w:tcW w:w="118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5.3%</w:t>
            </w: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w:t>
            </w:r>
          </w:p>
        </w:tc>
        <w:tc>
          <w:tcPr>
            <w:tcW w:w="915"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15.8%</w:t>
            </w:r>
          </w:p>
        </w:tc>
        <w:tc>
          <w:tcPr>
            <w:tcW w:w="1080" w:type="dxa"/>
            <w:shd w:val="clear" w:color="auto" w:fill="FFFFFF"/>
            <w:tcMar>
              <w:top w:w="0" w:type="dxa"/>
              <w:left w:w="5" w:type="dxa"/>
              <w:bottom w:w="0" w:type="dxa"/>
              <w:right w:w="5" w:type="dxa"/>
            </w:tcMar>
            <w:vAlign w:val="center"/>
            <w:hideMark/>
          </w:tcPr>
          <w:p w:rsidR="00AC1F24" w:rsidRDefault="00E02264">
            <w:pPr>
              <w:spacing w:line="240" w:lineRule="auto"/>
              <w:contextualSpacing/>
              <w:jc w:val="right"/>
              <w:rPr>
                <w:rFonts w:eastAsia="Arial" w:cs="Arial"/>
                <w:color w:val="000000"/>
                <w:sz w:val="16"/>
                <w:szCs w:val="16"/>
              </w:rPr>
            </w:pPr>
            <w:r>
              <w:rPr>
                <w:rFonts w:eastAsia="Arial" w:cs="Arial"/>
                <w:color w:val="000000"/>
                <w:sz w:val="16"/>
                <w:szCs w:val="16"/>
              </w:rPr>
              <w:t>5.4%</w:t>
            </w:r>
          </w:p>
        </w:tc>
      </w:tr>
      <w:tr w:rsidR="008E0433">
        <w:trPr>
          <w:trHeight w:val="195"/>
        </w:trPr>
        <w:tc>
          <w:tcPr>
            <w:tcW w:w="4335" w:type="dxa"/>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eastAsia="Arial" w:cs="Arial"/>
                <w:color w:val="000000"/>
                <w:sz w:val="16"/>
                <w:szCs w:val="16"/>
              </w:rPr>
              <w:t xml:space="preserve">Return on tangible equity adjusting for impact of PPI </w:t>
            </w:r>
          </w:p>
        </w:tc>
        <w:tc>
          <w:tcPr>
            <w:tcW w:w="126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185"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2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915"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080" w:type="dxa"/>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r>
      <w:tr w:rsidR="008E0433">
        <w:trPr>
          <w:trHeight w:val="195"/>
        </w:trPr>
        <w:tc>
          <w:tcPr>
            <w:tcW w:w="4335" w:type="dxa"/>
            <w:tcBorders>
              <w:bottom w:val="single" w:sz="6" w:space="0" w:color="003366"/>
            </w:tcBorders>
            <w:shd w:val="clear" w:color="auto" w:fill="FFFFFF"/>
            <w:tcMar>
              <w:top w:w="0" w:type="dxa"/>
              <w:left w:w="5" w:type="dxa"/>
              <w:bottom w:w="0" w:type="dxa"/>
              <w:right w:w="5" w:type="dxa"/>
            </w:tcMar>
            <w:vAlign w:val="center"/>
            <w:hideMark/>
          </w:tcPr>
          <w:p w:rsidR="00AC1F24" w:rsidRDefault="00E02264">
            <w:pPr>
              <w:spacing w:line="240" w:lineRule="auto"/>
              <w:contextualSpacing/>
              <w:rPr>
                <w:rFonts w:eastAsia="Arial" w:cs="Arial"/>
                <w:color w:val="000000"/>
                <w:sz w:val="16"/>
                <w:szCs w:val="16"/>
              </w:rPr>
            </w:pPr>
            <w:r>
              <w:rPr>
                <w:rFonts w:ascii="Times New Roman" w:eastAsia="Times New Roman" w:hAnsi="Times New Roman" w:cs="Times New Roman"/>
                <w:color w:val="000000"/>
                <w:sz w:val="16"/>
                <w:szCs w:val="16"/>
              </w:rPr>
              <w:t xml:space="preserve">  </w:t>
            </w:r>
            <w:proofErr w:type="gramStart"/>
            <w:r>
              <w:rPr>
                <w:rFonts w:eastAsia="Arial" w:cs="Arial"/>
                <w:color w:val="000000"/>
                <w:sz w:val="16"/>
                <w:szCs w:val="16"/>
              </w:rPr>
              <w:t>provision</w:t>
            </w:r>
            <w:proofErr w:type="gramEnd"/>
            <w:r>
              <w:rPr>
                <w:rFonts w:eastAsia="Arial" w:cs="Arial"/>
                <w:color w:val="000000"/>
                <w:sz w:val="16"/>
                <w:szCs w:val="16"/>
              </w:rPr>
              <w:t xml:space="preserve"> (%)</w:t>
            </w:r>
          </w:p>
        </w:tc>
        <w:tc>
          <w:tcPr>
            <w:tcW w:w="1260"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20"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b/>
                <w:bCs/>
                <w:color w:val="000000"/>
                <w:sz w:val="16"/>
                <w:szCs w:val="16"/>
              </w:rPr>
            </w:pPr>
          </w:p>
        </w:tc>
        <w:tc>
          <w:tcPr>
            <w:tcW w:w="1260" w:type="dxa"/>
            <w:tcBorders>
              <w:bottom w:val="single" w:sz="6" w:space="0" w:color="003366"/>
            </w:tcBorders>
            <w:shd w:val="clear" w:color="auto" w:fill="C0C0C0"/>
            <w:tcMar>
              <w:top w:w="0" w:type="dxa"/>
              <w:left w:w="5" w:type="dxa"/>
              <w:bottom w:w="0" w:type="dxa"/>
              <w:right w:w="5" w:type="dxa"/>
            </w:tcMar>
            <w:vAlign w:val="bottom"/>
            <w:hideMark/>
          </w:tcPr>
          <w:p w:rsidR="00AC1F24"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7.0%</w:t>
            </w:r>
          </w:p>
        </w:tc>
        <w:tc>
          <w:tcPr>
            <w:tcW w:w="915"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c>
          <w:tcPr>
            <w:tcW w:w="1080" w:type="dxa"/>
            <w:tcBorders>
              <w:bottom w:val="single" w:sz="6" w:space="0" w:color="003366"/>
            </w:tcBorders>
            <w:shd w:val="clear" w:color="auto" w:fill="FFFFFF"/>
            <w:tcMar>
              <w:top w:w="0" w:type="dxa"/>
              <w:left w:w="5" w:type="dxa"/>
              <w:bottom w:w="0" w:type="dxa"/>
              <w:right w:w="5" w:type="dxa"/>
            </w:tcMar>
            <w:vAlign w:val="center"/>
            <w:hideMark/>
          </w:tcPr>
          <w:p w:rsidR="00AC1F24" w:rsidRDefault="00AC1F24">
            <w:pPr>
              <w:spacing w:line="240" w:lineRule="auto"/>
              <w:contextualSpacing/>
              <w:jc w:val="right"/>
              <w:rPr>
                <w:rFonts w:eastAsia="Arial" w:cs="Arial"/>
                <w:color w:val="000000"/>
                <w:sz w:val="16"/>
                <w:szCs w:val="16"/>
              </w:rPr>
            </w:pPr>
          </w:p>
        </w:tc>
      </w:tr>
    </w:tbl>
    <w:p w:rsidR="00073BD4" w:rsidRDefault="00073BD4" w:rsidP="00073BD4">
      <w:pPr>
        <w:rPr>
          <w:rFonts w:cs="Arial"/>
          <w:b/>
          <w:color w:val="0A2F64"/>
          <w:szCs w:val="18"/>
        </w:rPr>
      </w:pPr>
    </w:p>
    <w:tbl>
      <w:tblPr>
        <w:tblStyle w:val="table"/>
        <w:tblW w:w="10080" w:type="dxa"/>
        <w:tblInd w:w="5" w:type="dxa"/>
        <w:tblCellMar>
          <w:left w:w="0" w:type="dxa"/>
          <w:right w:w="0" w:type="dxa"/>
        </w:tblCellMar>
        <w:tblLook w:val="05E0" w:firstRow="1" w:lastRow="1" w:firstColumn="1" w:lastColumn="1" w:noHBand="0" w:noVBand="1"/>
      </w:tblPr>
      <w:tblGrid>
        <w:gridCol w:w="3735"/>
        <w:gridCol w:w="1110"/>
        <w:gridCol w:w="1035"/>
        <w:gridCol w:w="60"/>
        <w:gridCol w:w="1110"/>
        <w:gridCol w:w="960"/>
        <w:gridCol w:w="1110"/>
        <w:gridCol w:w="960"/>
      </w:tblGrid>
      <w:tr w:rsidR="008E0433">
        <w:trPr>
          <w:trHeight w:val="195"/>
        </w:trPr>
        <w:tc>
          <w:tcPr>
            <w:tcW w:w="37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Cs w:val="18"/>
              </w:rPr>
            </w:pPr>
          </w:p>
        </w:tc>
        <w:tc>
          <w:tcPr>
            <w:tcW w:w="2145" w:type="dxa"/>
            <w:gridSpan w:val="2"/>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Personal &amp; Ulster</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center"/>
              <w:rPr>
                <w:rFonts w:eastAsia="Arial" w:cs="Arial"/>
                <w:b/>
                <w:bCs/>
                <w:color w:val="003366"/>
                <w:sz w:val="16"/>
                <w:szCs w:val="16"/>
              </w:rPr>
            </w:pPr>
          </w:p>
        </w:tc>
        <w:tc>
          <w:tcPr>
            <w:tcW w:w="2070" w:type="dxa"/>
            <w:gridSpan w:val="2"/>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Commercial &amp; Private</w:t>
            </w: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9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Cs w:val="18"/>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UK</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Ulster</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center"/>
              <w:rPr>
                <w:rFonts w:eastAsia="Arial" w:cs="Arial"/>
                <w:b/>
                <w:bCs/>
                <w:color w:val="003366"/>
                <w:sz w:val="16"/>
                <w:szCs w:val="16"/>
              </w:rPr>
            </w:pPr>
          </w:p>
        </w:tc>
        <w:tc>
          <w:tcPr>
            <w:tcW w:w="9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center"/>
              <w:rPr>
                <w:rFonts w:eastAsia="Arial" w:cs="Arial"/>
                <w:b/>
                <w:bCs/>
                <w:color w:val="003366"/>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9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Personal</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Bank</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Commercial</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Private</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RBS</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NatWest</w:t>
            </w:r>
          </w:p>
        </w:tc>
      </w:tr>
      <w:tr w:rsidR="008E0433">
        <w:trPr>
          <w:trHeight w:val="195"/>
        </w:trPr>
        <w:tc>
          <w:tcPr>
            <w:tcW w:w="37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Nine months ended 30 September 2019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RoI</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International</w:t>
            </w: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Markets</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profit (£m)</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529</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1,032</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236</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282</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107</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Adjustment for tax</w:t>
            </w:r>
            <w:r>
              <w:rPr>
                <w:rFonts w:ascii="Times New Roman" w:eastAsia="Times New Roman" w:hAnsi="Times New Roman" w:cs="Times New Roman"/>
                <w:color w:val="000000"/>
                <w:sz w:val="16"/>
                <w:szCs w:val="16"/>
              </w:rPr>
              <w:t xml:space="preserve">  </w:t>
            </w:r>
            <w:r>
              <w:rPr>
                <w:rFonts w:eastAsia="Arial" w:cs="Arial"/>
                <w:color w:val="000000"/>
                <w:sz w:val="16"/>
                <w:szCs w:val="16"/>
              </w:rPr>
              <w:t>(£m)</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(148)</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(289)</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(66)</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w:t>
            </w:r>
          </w:p>
        </w:tc>
      </w:tr>
      <w:tr w:rsidR="008E0433">
        <w:trPr>
          <w:trHeight w:val="195"/>
        </w:trPr>
        <w:tc>
          <w:tcPr>
            <w:tcW w:w="37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Preference share cost allocation (£m)</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(123)</w:t>
            </w:r>
          </w:p>
        </w:tc>
        <w:tc>
          <w:tcPr>
            <w:tcW w:w="96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96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(50)</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attributable profit (£m)</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327</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620</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158</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238</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Annualised adjusted attributable profit (£m)</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436</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72</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827</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211</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317</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Adjustment for Alawwal merger gain (£m)</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(200)</w:t>
            </w:r>
          </w:p>
        </w:tc>
      </w:tr>
      <w:tr w:rsidR="008E0433">
        <w:trPr>
          <w:trHeight w:val="195"/>
        </w:trPr>
        <w:tc>
          <w:tcPr>
            <w:tcW w:w="37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Annualised adjusted attributable profit/(loss) (£m)</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436</w:t>
            </w: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72</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827</w:t>
            </w:r>
          </w:p>
        </w:tc>
        <w:tc>
          <w:tcPr>
            <w:tcW w:w="96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317</w:t>
            </w:r>
          </w:p>
        </w:tc>
        <w:tc>
          <w:tcPr>
            <w:tcW w:w="96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(164)</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Average </w:t>
            </w:r>
            <w:proofErr w:type="spellStart"/>
            <w:r>
              <w:rPr>
                <w:rFonts w:eastAsia="Arial" w:cs="Arial"/>
                <w:color w:val="000000"/>
                <w:sz w:val="16"/>
                <w:szCs w:val="16"/>
              </w:rPr>
              <w:t>RWAe</w:t>
            </w:r>
            <w:proofErr w:type="spellEnd"/>
            <w:r>
              <w:rPr>
                <w:rFonts w:eastAsia="Arial" w:cs="Arial"/>
                <w:color w:val="000000"/>
                <w:sz w:val="16"/>
                <w:szCs w:val="16"/>
              </w:rPr>
              <w:t xml:space="preserve"> (£</w:t>
            </w:r>
            <w:proofErr w:type="spellStart"/>
            <w:r>
              <w:rPr>
                <w:rFonts w:eastAsia="Arial" w:cs="Arial"/>
                <w:color w:val="000000"/>
                <w:sz w:val="16"/>
                <w:szCs w:val="16"/>
              </w:rPr>
              <w:t>bn</w:t>
            </w:r>
            <w:proofErr w:type="spellEnd"/>
            <w:r>
              <w:rPr>
                <w:rFonts w:eastAsia="Arial" w:cs="Arial"/>
                <w:color w:val="000000"/>
                <w:sz w:val="16"/>
                <w:szCs w:val="16"/>
              </w:rPr>
              <w:t>)</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37.4</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14.2</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79.3</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9.7</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6.9</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49.0</w:t>
            </w:r>
          </w:p>
        </w:tc>
      </w:tr>
      <w:tr w:rsidR="008E0433">
        <w:trPr>
          <w:trHeight w:val="195"/>
        </w:trPr>
        <w:tc>
          <w:tcPr>
            <w:tcW w:w="37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Equity factor</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12.0%</w:t>
            </w:r>
          </w:p>
        </w:tc>
        <w:tc>
          <w:tcPr>
            <w:tcW w:w="96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13.0%</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16.0%</w:t>
            </w:r>
          </w:p>
        </w:tc>
        <w:tc>
          <w:tcPr>
            <w:tcW w:w="96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proofErr w:type="spellStart"/>
            <w:r>
              <w:rPr>
                <w:rFonts w:eastAsia="Arial" w:cs="Arial"/>
                <w:color w:val="000000"/>
                <w:sz w:val="16"/>
                <w:szCs w:val="16"/>
              </w:rPr>
              <w:t>RWAe</w:t>
            </w:r>
            <w:proofErr w:type="spellEnd"/>
            <w:r>
              <w:rPr>
                <w:rFonts w:eastAsia="Arial" w:cs="Arial"/>
                <w:color w:val="000000"/>
                <w:sz w:val="16"/>
                <w:szCs w:val="16"/>
              </w:rPr>
              <w:t xml:space="preserve"> applying equity factor (£bn)</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5.6</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9.5</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9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7.4</w:t>
            </w:r>
          </w:p>
        </w:tc>
      </w:tr>
      <w:tr w:rsidR="008E0433">
        <w:trPr>
          <w:trHeight w:val="195"/>
        </w:trPr>
        <w:tc>
          <w:tcPr>
            <w:tcW w:w="37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Return on equity </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7.8%</w:t>
            </w: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8.7%</w:t>
            </w:r>
          </w:p>
        </w:tc>
        <w:tc>
          <w:tcPr>
            <w:tcW w:w="96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16.7%</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28.5%</w:t>
            </w:r>
          </w:p>
        </w:tc>
        <w:tc>
          <w:tcPr>
            <w:tcW w:w="96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03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96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96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r>
      <w:tr w:rsidR="008E0433">
        <w:trPr>
          <w:trHeight w:val="195"/>
        </w:trPr>
        <w:tc>
          <w:tcPr>
            <w:tcW w:w="37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Nine months ended 30 September 2018*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profit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1,501</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1,621</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265</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133</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Adjustment for tax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(420)</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(454)</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(67)</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(38)</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(37)</w:t>
            </w:r>
          </w:p>
        </w:tc>
      </w:tr>
      <w:tr w:rsidR="008E0433">
        <w:trPr>
          <w:trHeight w:val="195"/>
        </w:trPr>
        <w:tc>
          <w:tcPr>
            <w:tcW w:w="37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Preference share cost allocation (£m)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(141)</w:t>
            </w: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(81)</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attributable profit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1,021</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1,026</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215</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w:t>
            </w:r>
          </w:p>
        </w:tc>
      </w:tr>
      <w:tr w:rsidR="008E0433">
        <w:trPr>
          <w:trHeight w:val="195"/>
        </w:trPr>
        <w:tc>
          <w:tcPr>
            <w:tcW w:w="37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Annualised adjusted attributable profit (£m)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1,361</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1,368</w:t>
            </w: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206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287</w:t>
            </w: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20</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Average </w:t>
            </w:r>
            <w:proofErr w:type="spellStart"/>
            <w:r>
              <w:rPr>
                <w:rFonts w:eastAsia="Arial" w:cs="Arial"/>
                <w:color w:val="000000"/>
                <w:sz w:val="16"/>
                <w:szCs w:val="16"/>
              </w:rPr>
              <w:t>RWAe</w:t>
            </w:r>
            <w:proofErr w:type="spellEnd"/>
            <w:r>
              <w:rPr>
                <w:rFonts w:eastAsia="Arial" w:cs="Arial"/>
                <w:color w:val="000000"/>
                <w:sz w:val="16"/>
                <w:szCs w:val="16"/>
              </w:rPr>
              <w:t xml:space="preserve"> (£</w:t>
            </w:r>
            <w:proofErr w:type="spellStart"/>
            <w:r>
              <w:rPr>
                <w:rFonts w:eastAsia="Arial" w:cs="Arial"/>
                <w:color w:val="000000"/>
                <w:sz w:val="16"/>
                <w:szCs w:val="16"/>
              </w:rPr>
              <w:t>bn</w:t>
            </w:r>
            <w:proofErr w:type="spellEnd"/>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33.2</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17.5</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86.1</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55.1</w:t>
            </w:r>
          </w:p>
        </w:tc>
      </w:tr>
      <w:tr w:rsidR="008E0433">
        <w:trPr>
          <w:trHeight w:val="195"/>
        </w:trPr>
        <w:tc>
          <w:tcPr>
            <w:tcW w:w="37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Equity factor</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14.0%</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12.0%</w:t>
            </w: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15.0%</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proofErr w:type="spellStart"/>
            <w:r>
              <w:rPr>
                <w:rFonts w:eastAsia="Arial" w:cs="Arial"/>
                <w:color w:val="000000"/>
                <w:sz w:val="16"/>
                <w:szCs w:val="16"/>
              </w:rPr>
              <w:t>RWAe</w:t>
            </w:r>
            <w:proofErr w:type="spellEnd"/>
            <w:r>
              <w:rPr>
                <w:rFonts w:eastAsia="Arial" w:cs="Arial"/>
                <w:color w:val="000000"/>
                <w:sz w:val="16"/>
                <w:szCs w:val="16"/>
              </w:rPr>
              <w:t xml:space="preserve"> applying equity factor (£bn)</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5.0</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10.3</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9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8.3</w:t>
            </w:r>
          </w:p>
        </w:tc>
      </w:tr>
      <w:tr w:rsidR="008E0433">
        <w:trPr>
          <w:trHeight w:val="195"/>
        </w:trPr>
        <w:tc>
          <w:tcPr>
            <w:tcW w:w="37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27.3%</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0.5%</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13.2%</w:t>
            </w: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16.3%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26.0%</w:t>
            </w:r>
          </w:p>
        </w:tc>
        <w:tc>
          <w:tcPr>
            <w:tcW w:w="9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0.2%</w:t>
            </w: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r>
      <w:tr w:rsidR="008E0433">
        <w:trPr>
          <w:trHeight w:val="195"/>
        </w:trPr>
        <w:tc>
          <w:tcPr>
            <w:tcW w:w="37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2"/>
                <w:szCs w:val="12"/>
              </w:rPr>
            </w:pPr>
            <w:r>
              <w:rPr>
                <w:rFonts w:eastAsia="Arial" w:cs="Arial"/>
                <w:color w:val="000000"/>
                <w:sz w:val="12"/>
                <w:szCs w:val="12"/>
              </w:rPr>
              <w:t xml:space="preserve">* Restated. Refer to Note 1 for further details. </w:t>
            </w: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9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r>
    </w:tbl>
    <w:p w:rsidR="00F44293" w:rsidRDefault="00F44293">
      <w:pPr>
        <w:spacing w:after="200"/>
        <w:rPr>
          <w:rFonts w:cs="Arial"/>
          <w:b/>
          <w:color w:val="0A2F64"/>
          <w:szCs w:val="18"/>
        </w:rPr>
      </w:pPr>
    </w:p>
    <w:p w:rsidR="00F44293" w:rsidRDefault="00E02264">
      <w:pPr>
        <w:spacing w:after="200"/>
        <w:rPr>
          <w:rFonts w:cs="Arial"/>
          <w:b/>
          <w:color w:val="0A2F64"/>
          <w:szCs w:val="18"/>
        </w:rPr>
      </w:pPr>
      <w:r>
        <w:rPr>
          <w:rFonts w:cs="Arial"/>
          <w:b/>
          <w:color w:val="0A2F64"/>
          <w:szCs w:val="18"/>
        </w:rPr>
        <w:br w:type="page"/>
      </w:r>
    </w:p>
    <w:p w:rsidR="00F44293" w:rsidRDefault="00E02264" w:rsidP="00F44293">
      <w:pPr>
        <w:pStyle w:val="Heading100"/>
        <w:pBdr>
          <w:bottom w:val="none" w:sz="0" w:space="0" w:color="auto"/>
        </w:pBdr>
        <w:rPr>
          <w:rFonts w:cs="Arial"/>
          <w:b/>
          <w:color w:val="0A2F64"/>
          <w:sz w:val="18"/>
          <w:szCs w:val="18"/>
        </w:rPr>
      </w:pPr>
      <w:r>
        <w:rPr>
          <w:rFonts w:cs="Arial"/>
          <w:b/>
          <w:color w:val="0A2F64"/>
          <w:sz w:val="18"/>
          <w:szCs w:val="18"/>
        </w:rPr>
        <w:lastRenderedPageBreak/>
        <w:t xml:space="preserve">Appendix Non-IFRS financial measures </w:t>
      </w:r>
    </w:p>
    <w:p w:rsidR="00F44293" w:rsidRPr="008B22FB" w:rsidRDefault="00E02264" w:rsidP="00F44293">
      <w:pPr>
        <w:pStyle w:val="Normal00"/>
        <w:rPr>
          <w:rFonts w:ascii="Arial" w:hAnsi="Arial" w:cs="Arial"/>
          <w:color w:val="0A2F64"/>
          <w:sz w:val="18"/>
          <w:szCs w:val="18"/>
        </w:rPr>
      </w:pPr>
      <w:r>
        <w:rPr>
          <w:rFonts w:ascii="Arial" w:hAnsi="Arial" w:cs="Arial"/>
          <w:b/>
          <w:color w:val="0A2F64"/>
          <w:sz w:val="18"/>
          <w:szCs w:val="18"/>
        </w:rPr>
        <w:t xml:space="preserve">I. Return on tangible equity </w:t>
      </w:r>
      <w:r w:rsidRPr="008B22FB">
        <w:rPr>
          <w:rFonts w:ascii="Arial" w:hAnsi="Arial" w:cs="Arial"/>
          <w:color w:val="0A2F64"/>
          <w:sz w:val="18"/>
          <w:szCs w:val="18"/>
        </w:rPr>
        <w:t>continued</w:t>
      </w:r>
    </w:p>
    <w:p w:rsidR="00F44293" w:rsidRDefault="00F44293" w:rsidP="00F44293">
      <w:pPr>
        <w:rPr>
          <w:rFonts w:cs="Arial"/>
          <w:b/>
          <w:color w:val="0A2F64"/>
          <w:szCs w:val="18"/>
        </w:rPr>
      </w:pPr>
    </w:p>
    <w:tbl>
      <w:tblPr>
        <w:tblStyle w:val="table"/>
        <w:tblW w:w="10260" w:type="dxa"/>
        <w:tblInd w:w="5" w:type="dxa"/>
        <w:tblCellMar>
          <w:left w:w="0" w:type="dxa"/>
          <w:right w:w="0" w:type="dxa"/>
        </w:tblCellMar>
        <w:tblLook w:val="05E0" w:firstRow="1" w:lastRow="1" w:firstColumn="1" w:lastColumn="1" w:noHBand="0" w:noVBand="1"/>
      </w:tblPr>
      <w:tblGrid>
        <w:gridCol w:w="3615"/>
        <w:gridCol w:w="1110"/>
        <w:gridCol w:w="1110"/>
        <w:gridCol w:w="60"/>
        <w:gridCol w:w="1110"/>
        <w:gridCol w:w="1110"/>
        <w:gridCol w:w="1110"/>
        <w:gridCol w:w="1035"/>
      </w:tblGrid>
      <w:tr w:rsidR="008E0433">
        <w:trPr>
          <w:trHeight w:val="195"/>
        </w:trPr>
        <w:tc>
          <w:tcPr>
            <w:tcW w:w="361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20"/>
                <w:szCs w:val="20"/>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Personal &amp; Ulster</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center"/>
              <w:rPr>
                <w:rFonts w:eastAsia="Arial" w:cs="Arial"/>
                <w:b/>
                <w:bCs/>
                <w:color w:val="003366"/>
                <w:sz w:val="16"/>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Commercial &amp; Private</w:t>
            </w: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20"/>
                <w:szCs w:val="20"/>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UK</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Ulster</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center"/>
              <w:rPr>
                <w:rFonts w:eastAsia="Arial" w:cs="Arial"/>
                <w:b/>
                <w:bCs/>
                <w:color w:val="003366"/>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center"/>
              <w:rPr>
                <w:rFonts w:eastAsia="Arial" w:cs="Arial"/>
                <w:b/>
                <w:bCs/>
                <w:color w:val="003366"/>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Personal</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Bank</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Commercial</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Private</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RBS</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NatWest</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Quarter ended 30 September 2019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RoI</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International</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Markets</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(loss)/profit (£m)</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(508)</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331</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81</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88</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(193)</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Adjustment for tax (£m)</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142</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(92)</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Preference share cost allocation (£m)</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w:t>
            </w: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attributable (loss)/profit (£m)</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(384)</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198</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54</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71</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(159)</w:t>
            </w:r>
          </w:p>
        </w:tc>
      </w:tr>
      <w:tr w:rsidR="008E0433">
        <w:trPr>
          <w:trHeight w:val="195"/>
        </w:trPr>
        <w:tc>
          <w:tcPr>
            <w:tcW w:w="3615" w:type="dxa"/>
            <w:tcBorders>
              <w:bottom w:val="single" w:sz="6" w:space="0" w:color="002060"/>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Annualised adjusted attributable (loss)/profit (£m)</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(1,536)</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124</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792</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216</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283</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(634)</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Average </w:t>
            </w:r>
            <w:proofErr w:type="spellStart"/>
            <w:r>
              <w:rPr>
                <w:rFonts w:eastAsia="Arial" w:cs="Arial"/>
                <w:color w:val="000000"/>
                <w:sz w:val="16"/>
                <w:szCs w:val="16"/>
              </w:rPr>
              <w:t>RWAe</w:t>
            </w:r>
            <w:proofErr w:type="spellEnd"/>
            <w:r>
              <w:rPr>
                <w:rFonts w:eastAsia="Arial" w:cs="Arial"/>
                <w:color w:val="000000"/>
                <w:sz w:val="16"/>
                <w:szCs w:val="16"/>
              </w:rPr>
              <w:t xml:space="preserve"> (£</w:t>
            </w:r>
            <w:proofErr w:type="spellStart"/>
            <w:r>
              <w:rPr>
                <w:rFonts w:eastAsia="Arial" w:cs="Arial"/>
                <w:color w:val="000000"/>
                <w:sz w:val="16"/>
                <w:szCs w:val="16"/>
              </w:rPr>
              <w:t>bn</w:t>
            </w:r>
            <w:proofErr w:type="spellEnd"/>
            <w:r>
              <w:rPr>
                <w:rFonts w:eastAsia="Arial" w:cs="Arial"/>
                <w:color w:val="000000"/>
                <w:sz w:val="16"/>
                <w:szCs w:val="16"/>
              </w:rPr>
              <w:t>)</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38.2</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14.2</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78.8</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9.9</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6.8</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48.7</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Equity factor</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12.0%</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13.0%</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16.0%</w:t>
            </w: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proofErr w:type="spellStart"/>
            <w:r>
              <w:rPr>
                <w:rFonts w:eastAsia="Arial" w:cs="Arial"/>
                <w:color w:val="000000"/>
                <w:sz w:val="16"/>
                <w:szCs w:val="16"/>
              </w:rPr>
              <w:t>RWAe</w:t>
            </w:r>
            <w:proofErr w:type="spellEnd"/>
            <w:r>
              <w:rPr>
                <w:rFonts w:eastAsia="Arial" w:cs="Arial"/>
                <w:color w:val="000000"/>
                <w:sz w:val="16"/>
                <w:szCs w:val="16"/>
              </w:rPr>
              <w:t xml:space="preserve"> applying equity factor (£bn)</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9.5</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w:t>
            </w: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7.3</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(26.8%)</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16.8%</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26.0%</w:t>
            </w: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(8.7%)</w:t>
            </w:r>
          </w:p>
        </w:tc>
      </w:tr>
      <w:tr w:rsidR="008E0433">
        <w:trPr>
          <w:trHeight w:val="195"/>
        </w:trPr>
        <w:tc>
          <w:tcPr>
            <w:tcW w:w="361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Quarter ended 30 June 2019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profit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539</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264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101</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362</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Adjustment for tax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(101)</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Preference share cost allocation (£m)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(30)</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attributable profit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370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149</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87</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231</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Annualised adjusted attributable profit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1,480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596</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199</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345</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924</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Adjustment for Alawwal bank merger gain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(598)</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Annualised adjusted attributable profit (£m)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1,480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596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345</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326</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Average </w:t>
            </w:r>
            <w:proofErr w:type="spellStart"/>
            <w:r>
              <w:rPr>
                <w:rFonts w:eastAsia="Arial" w:cs="Arial"/>
                <w:color w:val="000000"/>
                <w:sz w:val="16"/>
                <w:szCs w:val="16"/>
              </w:rPr>
              <w:t>RWAe</w:t>
            </w:r>
            <w:proofErr w:type="spellEnd"/>
            <w:r>
              <w:rPr>
                <w:rFonts w:eastAsia="Arial" w:cs="Arial"/>
                <w:color w:val="000000"/>
                <w:sz w:val="16"/>
                <w:szCs w:val="16"/>
              </w:rPr>
              <w:t xml:space="preserve"> (£</w:t>
            </w:r>
            <w:proofErr w:type="spellStart"/>
            <w:r>
              <w:rPr>
                <w:rFonts w:eastAsia="Arial" w:cs="Arial"/>
                <w:color w:val="000000"/>
                <w:sz w:val="16"/>
                <w:szCs w:val="16"/>
              </w:rPr>
              <w:t>bn</w:t>
            </w:r>
            <w:proofErr w:type="spellEnd"/>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37.2</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14.3</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80.1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9.6</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7.0</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49.1</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Equity factor</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15.0%</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proofErr w:type="spellStart"/>
            <w:r>
              <w:rPr>
                <w:rFonts w:eastAsia="Arial" w:cs="Arial"/>
                <w:color w:val="000000"/>
                <w:sz w:val="16"/>
                <w:szCs w:val="16"/>
              </w:rPr>
              <w:t>RWAe</w:t>
            </w:r>
            <w:proofErr w:type="spellEnd"/>
            <w:r>
              <w:rPr>
                <w:rFonts w:eastAsia="Arial" w:cs="Arial"/>
                <w:color w:val="000000"/>
                <w:sz w:val="16"/>
                <w:szCs w:val="16"/>
              </w:rPr>
              <w:t xml:space="preserve"> applying equity factor (£bn)</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5.6</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9.6</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7.4</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26.5%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0.6%</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30.8%</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4.4%</w:t>
            </w:r>
          </w:p>
        </w:tc>
      </w:tr>
      <w:tr w:rsidR="008E0433">
        <w:trPr>
          <w:trHeight w:val="195"/>
        </w:trPr>
        <w:tc>
          <w:tcPr>
            <w:tcW w:w="361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Quarter ended 30 September 2018*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profit/(loss)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372</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(76)</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406</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92</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87</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Adjustment for tax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Preference share cost allocation (£m)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(47)</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(27)</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attributable profit/(loss) (£m)</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248</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(76)</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75</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36</w:t>
            </w:r>
          </w:p>
        </w:tc>
      </w:tr>
      <w:tr w:rsidR="008E0433">
        <w:trPr>
          <w:trHeight w:val="43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Annualised adjusted attributable profit/(loss) (£m)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991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(304)</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981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299</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142</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Average </w:t>
            </w:r>
            <w:proofErr w:type="spellStart"/>
            <w:r>
              <w:rPr>
                <w:rFonts w:eastAsia="Arial" w:cs="Arial"/>
                <w:color w:val="000000"/>
                <w:sz w:val="16"/>
                <w:szCs w:val="16"/>
              </w:rPr>
              <w:t>RWAe</w:t>
            </w:r>
            <w:proofErr w:type="spellEnd"/>
            <w:r>
              <w:rPr>
                <w:rFonts w:eastAsia="Arial" w:cs="Arial"/>
                <w:color w:val="000000"/>
                <w:sz w:val="16"/>
                <w:szCs w:val="16"/>
              </w:rPr>
              <w:t xml:space="preserve"> (£</w:t>
            </w:r>
            <w:proofErr w:type="spellStart"/>
            <w:r>
              <w:rPr>
                <w:rFonts w:eastAsia="Arial" w:cs="Arial"/>
                <w:color w:val="000000"/>
                <w:sz w:val="16"/>
                <w:szCs w:val="16"/>
              </w:rPr>
              <w:t>bn</w:t>
            </w:r>
            <w:proofErr w:type="spellEnd"/>
            <w:r>
              <w:rPr>
                <w:rFonts w:eastAsia="Arial" w:cs="Arial"/>
                <w:color w:val="000000"/>
                <w:sz w:val="16"/>
                <w:szCs w:val="16"/>
              </w:rPr>
              <w:t>)</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17.1</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85.5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6.9</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52.5</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Equity factor</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14.0%</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16.0%</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15.0%</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proofErr w:type="spellStart"/>
            <w:r>
              <w:rPr>
                <w:rFonts w:eastAsia="Arial" w:cs="Arial"/>
                <w:color w:val="000000"/>
                <w:sz w:val="16"/>
                <w:szCs w:val="16"/>
              </w:rPr>
              <w:t>RWAe</w:t>
            </w:r>
            <w:proofErr w:type="spellEnd"/>
            <w:r>
              <w:rPr>
                <w:rFonts w:eastAsia="Arial" w:cs="Arial"/>
                <w:color w:val="000000"/>
                <w:sz w:val="16"/>
                <w:szCs w:val="16"/>
              </w:rPr>
              <w:t xml:space="preserve"> applying equity factor (£bn)</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10.3</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w:t>
            </w: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7.9</w:t>
            </w:r>
          </w:p>
        </w:tc>
      </w:tr>
      <w:tr w:rsidR="008E0433">
        <w:trPr>
          <w:trHeight w:val="195"/>
        </w:trPr>
        <w:tc>
          <w:tcPr>
            <w:tcW w:w="361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Return on equity</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19.4%</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(12.7%)</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17.3%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26.9%</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1.8%</w:t>
            </w: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r>
      <w:tr w:rsidR="008E0433">
        <w:trPr>
          <w:trHeight w:val="195"/>
        </w:trPr>
        <w:tc>
          <w:tcPr>
            <w:tcW w:w="361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2"/>
                <w:szCs w:val="12"/>
              </w:rPr>
            </w:pPr>
            <w:r>
              <w:rPr>
                <w:rFonts w:eastAsia="Arial" w:cs="Arial"/>
                <w:color w:val="000000"/>
                <w:sz w:val="12"/>
                <w:szCs w:val="12"/>
              </w:rPr>
              <w:t xml:space="preserve">* Restated. Refer to Note 1 for further details. </w:t>
            </w: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r>
    </w:tbl>
    <w:p w:rsidR="0014211C" w:rsidRDefault="0014211C">
      <w:pPr>
        <w:spacing w:after="200"/>
        <w:rPr>
          <w:rFonts w:cs="Arial"/>
          <w:b/>
          <w:color w:val="0A2F64"/>
          <w:szCs w:val="18"/>
        </w:rPr>
      </w:pPr>
    </w:p>
    <w:p w:rsidR="007561B2" w:rsidRDefault="00E02264" w:rsidP="00623A05">
      <w:pPr>
        <w:spacing w:after="200"/>
        <w:rPr>
          <w:rFonts w:cs="Arial"/>
          <w:b/>
          <w:color w:val="0A2F64"/>
          <w:szCs w:val="18"/>
        </w:rPr>
      </w:pPr>
      <w:r>
        <w:rPr>
          <w:rFonts w:cs="Arial"/>
          <w:b/>
          <w:color w:val="0A2F64"/>
          <w:szCs w:val="18"/>
        </w:rPr>
        <w:br w:type="page"/>
      </w:r>
    </w:p>
    <w:p w:rsidR="008F71AC" w:rsidRDefault="00E02264" w:rsidP="008F71AC">
      <w:pPr>
        <w:pStyle w:val="Heading100"/>
        <w:pBdr>
          <w:bottom w:val="none" w:sz="0" w:space="0" w:color="auto"/>
        </w:pBdr>
        <w:rPr>
          <w:rFonts w:cs="Arial"/>
          <w:b/>
          <w:color w:val="0A2F64"/>
          <w:sz w:val="18"/>
          <w:szCs w:val="18"/>
        </w:rPr>
      </w:pPr>
      <w:r>
        <w:rPr>
          <w:rFonts w:cs="Arial"/>
          <w:b/>
          <w:color w:val="0A2F64"/>
          <w:sz w:val="18"/>
          <w:szCs w:val="18"/>
        </w:rPr>
        <w:lastRenderedPageBreak/>
        <w:t xml:space="preserve">Appendix Non-IFRS financial measures </w:t>
      </w:r>
    </w:p>
    <w:p w:rsidR="007561B2" w:rsidRDefault="00E02264" w:rsidP="007561B2">
      <w:pPr>
        <w:pStyle w:val="Normal00"/>
        <w:rPr>
          <w:rFonts w:ascii="Arial" w:eastAsia="MS Mincho" w:hAnsi="Arial" w:cs="Arial"/>
          <w:b/>
          <w:color w:val="003366"/>
          <w:sz w:val="18"/>
          <w:szCs w:val="18"/>
          <w:shd w:val="clear" w:color="auto" w:fill="FFFFFF"/>
          <w:lang w:eastAsia="ja-JP"/>
        </w:rPr>
      </w:pPr>
      <w:r>
        <w:rPr>
          <w:rFonts w:ascii="Arial" w:eastAsia="MS Mincho" w:hAnsi="Arial" w:cs="Arial"/>
          <w:b/>
          <w:color w:val="003366"/>
          <w:sz w:val="18"/>
          <w:szCs w:val="18"/>
          <w:shd w:val="clear" w:color="auto" w:fill="FFFFFF"/>
          <w:lang w:eastAsia="ja-JP"/>
        </w:rPr>
        <w:t>II. Operating expenses analysis</w:t>
      </w:r>
    </w:p>
    <w:p w:rsidR="00073BD4" w:rsidRDefault="00073BD4" w:rsidP="007561B2">
      <w:pPr>
        <w:pStyle w:val="Normal00"/>
        <w:rPr>
          <w:rFonts w:ascii="Arial" w:eastAsia="MS Mincho" w:hAnsi="Arial" w:cs="Arial"/>
          <w:b/>
          <w:color w:val="003366"/>
          <w:sz w:val="18"/>
          <w:szCs w:val="18"/>
          <w:shd w:val="clear" w:color="auto" w:fill="FFFFFF"/>
          <w:lang w:eastAsia="ja-JP"/>
        </w:rPr>
      </w:pPr>
    </w:p>
    <w:tbl>
      <w:tblPr>
        <w:tblStyle w:val="table"/>
        <w:tblW w:w="10080" w:type="dxa"/>
        <w:tblInd w:w="5" w:type="dxa"/>
        <w:tblCellMar>
          <w:left w:w="0" w:type="dxa"/>
          <w:right w:w="0" w:type="dxa"/>
        </w:tblCellMar>
        <w:tblLook w:val="05E0" w:firstRow="1" w:lastRow="1" w:firstColumn="1" w:lastColumn="1" w:noHBand="0" w:noVBand="1"/>
      </w:tblPr>
      <w:tblGrid>
        <w:gridCol w:w="4476"/>
        <w:gridCol w:w="1109"/>
        <w:gridCol w:w="1109"/>
        <w:gridCol w:w="60"/>
        <w:gridCol w:w="1109"/>
        <w:gridCol w:w="1108"/>
        <w:gridCol w:w="1109"/>
      </w:tblGrid>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Style w:val="font20"/>
              </w:rPr>
              <w:t>Statutory analysis</w:t>
            </w:r>
            <w:r>
              <w:rPr>
                <w:rStyle w:val="font31"/>
              </w:rPr>
              <w:t> (1,2)</w:t>
            </w: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0000"/>
                <w:sz w:val="16"/>
                <w:szCs w:val="16"/>
              </w:rPr>
            </w:pP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gridSpan w:val="2"/>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Nine months ended</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gridSpan w:val="3"/>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2018 </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2018 </w:t>
            </w:r>
          </w:p>
        </w:tc>
      </w:tr>
      <w:tr w:rsidR="008E0433">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3366"/>
                <w:sz w:val="16"/>
                <w:szCs w:val="16"/>
              </w:rPr>
            </w:pPr>
            <w:r>
              <w:rPr>
                <w:rFonts w:eastAsia="Arial" w:cs="Arial"/>
                <w:color w:val="003366"/>
                <w:sz w:val="16"/>
                <w:szCs w:val="16"/>
              </w:rPr>
              <w:t>Operating expenses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Staff expenses</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3,028</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3,108</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1,017</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1,022</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Premises and equipment</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823</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972</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293</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328</w:t>
            </w:r>
          </w:p>
        </w:tc>
      </w:tr>
      <w:tr w:rsidR="008E0433">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Other administrative expenses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2,085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2,521</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1,222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445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885</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Administrative expenses</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5,936</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6,601</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2,487</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1,755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2,235</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Depreciation and amortisation</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853</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544</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232</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377</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206</w:t>
            </w:r>
          </w:p>
        </w:tc>
      </w:tr>
      <w:tr w:rsidR="008E0433">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Write-down of other intangible assets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Total operating expenses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6,798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7,176</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2,698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2,162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2,441</w:t>
            </w:r>
          </w:p>
        </w:tc>
      </w:tr>
    </w:tbl>
    <w:p w:rsidR="00073BD4" w:rsidRDefault="00073BD4" w:rsidP="007561B2">
      <w:pPr>
        <w:pStyle w:val="Normal00"/>
        <w:rPr>
          <w:rFonts w:ascii="Arial" w:hAnsi="Arial" w:cs="Arial"/>
          <w:sz w:val="14"/>
          <w:szCs w:val="14"/>
        </w:rPr>
      </w:pPr>
    </w:p>
    <w:tbl>
      <w:tblPr>
        <w:tblStyle w:val="table"/>
        <w:tblW w:w="10080" w:type="dxa"/>
        <w:tblInd w:w="5" w:type="dxa"/>
        <w:tblCellMar>
          <w:left w:w="0" w:type="dxa"/>
          <w:right w:w="0" w:type="dxa"/>
        </w:tblCellMar>
        <w:tblLook w:val="05E0" w:firstRow="1" w:lastRow="1" w:firstColumn="1" w:lastColumn="1" w:noHBand="0" w:noVBand="1"/>
      </w:tblPr>
      <w:tblGrid>
        <w:gridCol w:w="4476"/>
        <w:gridCol w:w="1109"/>
        <w:gridCol w:w="1109"/>
        <w:gridCol w:w="60"/>
        <w:gridCol w:w="1109"/>
        <w:gridCol w:w="1108"/>
        <w:gridCol w:w="1109"/>
      </w:tblGrid>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Non-statutory analysis</w:t>
            </w: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gridSpan w:val="2"/>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Nine months ended</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3366"/>
                <w:sz w:val="16"/>
                <w:szCs w:val="16"/>
              </w:rPr>
            </w:pPr>
          </w:p>
        </w:tc>
        <w:tc>
          <w:tcPr>
            <w:tcW w:w="1110" w:type="dxa"/>
            <w:gridSpan w:val="3"/>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3366"/>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2018 </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3366"/>
                <w:sz w:val="16"/>
                <w:szCs w:val="16"/>
              </w:rPr>
            </w:pP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2018 </w:t>
            </w:r>
          </w:p>
        </w:tc>
      </w:tr>
      <w:tr w:rsidR="008E0433">
        <w:trPr>
          <w:trHeight w:val="195"/>
        </w:trPr>
        <w:tc>
          <w:tcPr>
            <w:tcW w:w="4485"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3366"/>
                <w:sz w:val="16"/>
                <w:szCs w:val="16"/>
              </w:rPr>
            </w:pPr>
            <w:r>
              <w:rPr>
                <w:rFonts w:eastAsia="Arial" w:cs="Arial"/>
                <w:color w:val="003366"/>
                <w:sz w:val="16"/>
                <w:szCs w:val="16"/>
              </w:rPr>
              <w:t>Operating expenses</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3366"/>
                <w:sz w:val="16"/>
                <w:szCs w:val="16"/>
              </w:rPr>
            </w:pP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Staff expenses</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2,732</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2,790</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891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905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887</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Premises and equipment</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730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872</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237</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298</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Other administrative expenses</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1,078</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1,164</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405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318</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404</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Style w:val="font32"/>
              </w:rPr>
              <w:t>Strategic costs</w:t>
            </w:r>
            <w:r>
              <w:rPr>
                <w:rStyle w:val="font600"/>
              </w:rPr>
              <w:t> (1)</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844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649</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434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299</w:t>
            </w:r>
          </w:p>
        </w:tc>
      </w:tr>
      <w:tr w:rsidR="008E0433">
        <w:trPr>
          <w:trHeight w:val="195"/>
        </w:trPr>
        <w:tc>
          <w:tcPr>
            <w:tcW w:w="4485"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Style w:val="font32"/>
              </w:rPr>
              <w:t>Litigation and conduct costs</w:t>
            </w:r>
            <w:r>
              <w:rPr>
                <w:rStyle w:val="font600"/>
              </w:rPr>
              <w:t> (2)</w:t>
            </w:r>
          </w:p>
        </w:tc>
        <w:tc>
          <w:tcPr>
            <w:tcW w:w="111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810</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1,190</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750</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55</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389</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Administrative expenses</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6,194</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6,665</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2,498</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1,957</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2,277</w:t>
            </w:r>
          </w:p>
        </w:tc>
      </w:tr>
      <w:tr w:rsidR="008E0433">
        <w:trPr>
          <w:trHeight w:val="195"/>
        </w:trPr>
        <w:tc>
          <w:tcPr>
            <w:tcW w:w="44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Depreciation and amortisation</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620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480</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221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200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164</w:t>
            </w:r>
          </w:p>
        </w:tc>
      </w:tr>
      <w:tr w:rsidR="008E0433">
        <w:trPr>
          <w:trHeight w:val="195"/>
        </w:trPr>
        <w:tc>
          <w:tcPr>
            <w:tcW w:w="4485"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Write-down of other intangible assets</w:t>
            </w:r>
          </w:p>
        </w:tc>
        <w:tc>
          <w:tcPr>
            <w:tcW w:w="111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31</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(21)</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r>
      <w:tr w:rsidR="008E0433">
        <w:trPr>
          <w:trHeight w:val="195"/>
        </w:trPr>
        <w:tc>
          <w:tcPr>
            <w:tcW w:w="4485"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 xml:space="preserve">Total </w:t>
            </w:r>
          </w:p>
        </w:tc>
        <w:tc>
          <w:tcPr>
            <w:tcW w:w="111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6,798</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7,176</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2,698</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2,162</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2,441</w:t>
            </w:r>
          </w:p>
        </w:tc>
      </w:tr>
    </w:tbl>
    <w:p w:rsidR="00073BD4" w:rsidRDefault="00073BD4" w:rsidP="007561B2">
      <w:pPr>
        <w:pStyle w:val="Normal00"/>
        <w:rPr>
          <w:rFonts w:ascii="Arial" w:hAnsi="Arial" w:cs="Arial"/>
          <w:sz w:val="14"/>
          <w:szCs w:val="14"/>
        </w:rPr>
      </w:pPr>
    </w:p>
    <w:p w:rsidR="007561B2" w:rsidRDefault="00E02264" w:rsidP="007561B2">
      <w:pPr>
        <w:pStyle w:val="Normal00"/>
        <w:rPr>
          <w:rFonts w:ascii="Arial" w:hAnsi="Arial" w:cs="Arial"/>
          <w:sz w:val="14"/>
          <w:szCs w:val="14"/>
        </w:rPr>
      </w:pPr>
      <w:r>
        <w:rPr>
          <w:rFonts w:ascii="Arial" w:hAnsi="Arial" w:cs="Arial"/>
          <w:sz w:val="14"/>
          <w:szCs w:val="14"/>
        </w:rPr>
        <w:t>Notes:</w:t>
      </w:r>
    </w:p>
    <w:p w:rsidR="00733317" w:rsidRDefault="00E02264" w:rsidP="00733317">
      <w:pPr>
        <w:pStyle w:val="Normal00"/>
        <w:numPr>
          <w:ilvl w:val="0"/>
          <w:numId w:val="11"/>
        </w:numPr>
        <w:rPr>
          <w:rFonts w:ascii="Arial" w:hAnsi="Arial" w:cs="Arial"/>
          <w:bCs/>
          <w:sz w:val="14"/>
          <w:szCs w:val="14"/>
        </w:rPr>
      </w:pPr>
      <w:r>
        <w:rPr>
          <w:rFonts w:ascii="Arial" w:hAnsi="Arial" w:cs="Arial"/>
          <w:bCs/>
          <w:sz w:val="14"/>
          <w:szCs w:val="14"/>
        </w:rPr>
        <w:t>On a statutory, or GAAP, basis, strategic costs are included within staff, premises and equipment, depreciation and amortisation, write-down of other intangible assets and other administrative expenses.</w:t>
      </w:r>
    </w:p>
    <w:p w:rsidR="007561B2" w:rsidRPr="00733317" w:rsidRDefault="00E02264" w:rsidP="00733317">
      <w:pPr>
        <w:pStyle w:val="Normal00"/>
        <w:numPr>
          <w:ilvl w:val="0"/>
          <w:numId w:val="11"/>
        </w:numPr>
        <w:rPr>
          <w:rFonts w:ascii="Arial" w:hAnsi="Arial" w:cs="Arial"/>
          <w:bCs/>
          <w:sz w:val="14"/>
          <w:szCs w:val="14"/>
        </w:rPr>
      </w:pPr>
      <w:r w:rsidRPr="00733317">
        <w:rPr>
          <w:rFonts w:ascii="Arial" w:hAnsi="Arial" w:cs="Arial"/>
          <w:bCs/>
          <w:sz w:val="14"/>
          <w:szCs w:val="14"/>
        </w:rPr>
        <w:t xml:space="preserve">On a statutory, or GAAP, basis, litigation and conduct costs are included within other administrative expenses. </w:t>
      </w:r>
    </w:p>
    <w:p w:rsidR="007561B2" w:rsidRDefault="007561B2" w:rsidP="007561B2">
      <w:pPr>
        <w:rPr>
          <w:bCs/>
          <w:szCs w:val="14"/>
        </w:rPr>
      </w:pPr>
    </w:p>
    <w:p w:rsidR="007561B2" w:rsidRDefault="00E02264" w:rsidP="007561B2">
      <w:pPr>
        <w:pStyle w:val="Normal00"/>
        <w:rPr>
          <w:rFonts w:ascii="Arial" w:eastAsia="MS Mincho" w:hAnsi="Arial" w:cs="Arial"/>
          <w:b/>
          <w:color w:val="003366"/>
          <w:sz w:val="18"/>
          <w:szCs w:val="18"/>
          <w:shd w:val="clear" w:color="auto" w:fill="FFFFFF"/>
          <w:lang w:eastAsia="ja-JP"/>
        </w:rPr>
      </w:pPr>
      <w:r>
        <w:rPr>
          <w:rFonts w:ascii="Arial" w:eastAsia="MS Mincho" w:hAnsi="Arial" w:cs="Arial"/>
          <w:b/>
          <w:color w:val="003366"/>
          <w:sz w:val="18"/>
          <w:szCs w:val="18"/>
          <w:shd w:val="clear" w:color="auto" w:fill="FFFFFF"/>
          <w:lang w:eastAsia="ja-JP"/>
        </w:rPr>
        <w:t>III. Cost</w:t>
      </w:r>
      <w:proofErr w:type="gramStart"/>
      <w:r>
        <w:rPr>
          <w:rFonts w:ascii="Arial" w:eastAsia="MS Mincho" w:hAnsi="Arial" w:cs="Arial"/>
          <w:b/>
          <w:color w:val="003366"/>
          <w:sz w:val="18"/>
          <w:szCs w:val="18"/>
          <w:shd w:val="clear" w:color="auto" w:fill="FFFFFF"/>
          <w:lang w:eastAsia="ja-JP"/>
        </w:rPr>
        <w:t>:income</w:t>
      </w:r>
      <w:proofErr w:type="gramEnd"/>
      <w:r>
        <w:rPr>
          <w:rFonts w:ascii="Arial" w:eastAsia="MS Mincho" w:hAnsi="Arial" w:cs="Arial"/>
          <w:b/>
          <w:color w:val="003366"/>
          <w:sz w:val="18"/>
          <w:szCs w:val="18"/>
          <w:shd w:val="clear" w:color="auto" w:fill="FFFFFF"/>
          <w:lang w:eastAsia="ja-JP"/>
        </w:rPr>
        <w:t xml:space="preserve"> ratio</w:t>
      </w:r>
    </w:p>
    <w:p w:rsidR="002C452D" w:rsidRDefault="002C452D" w:rsidP="002C452D">
      <w:pPr>
        <w:rPr>
          <w:rFonts w:cs="Arial"/>
          <w:b/>
          <w:color w:val="0A2F64"/>
          <w:szCs w:val="18"/>
        </w:rPr>
      </w:pPr>
    </w:p>
    <w:tbl>
      <w:tblPr>
        <w:tblStyle w:val="table"/>
        <w:tblW w:w="10040" w:type="dxa"/>
        <w:tblInd w:w="5" w:type="dxa"/>
        <w:tblCellMar>
          <w:left w:w="0" w:type="dxa"/>
          <w:right w:w="0" w:type="dxa"/>
        </w:tblCellMar>
        <w:tblLook w:val="05E0" w:firstRow="1" w:lastRow="1" w:firstColumn="1" w:lastColumn="1" w:noHBand="0" w:noVBand="1"/>
      </w:tblPr>
      <w:tblGrid>
        <w:gridCol w:w="2225"/>
        <w:gridCol w:w="885"/>
        <w:gridCol w:w="885"/>
        <w:gridCol w:w="60"/>
        <w:gridCol w:w="1035"/>
        <w:gridCol w:w="885"/>
        <w:gridCol w:w="1110"/>
        <w:gridCol w:w="885"/>
        <w:gridCol w:w="1185"/>
        <w:gridCol w:w="885"/>
      </w:tblGrid>
      <w:tr w:rsidR="008E0433">
        <w:trPr>
          <w:trHeight w:val="195"/>
        </w:trPr>
        <w:tc>
          <w:tcPr>
            <w:tcW w:w="22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1770" w:type="dxa"/>
            <w:gridSpan w:val="2"/>
            <w:tcBorders>
              <w:bottom w:val="single" w:sz="6" w:space="0" w:color="002060"/>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 Personal &amp; Ulster</w:t>
            </w:r>
          </w:p>
        </w:tc>
        <w:tc>
          <w:tcPr>
            <w:tcW w:w="60" w:type="dxa"/>
            <w:shd w:val="clear" w:color="auto" w:fill="FFFFFF"/>
            <w:noWrap/>
            <w:tcMar>
              <w:top w:w="0" w:type="dxa"/>
              <w:left w:w="5" w:type="dxa"/>
              <w:bottom w:w="0" w:type="dxa"/>
              <w:right w:w="5" w:type="dxa"/>
            </w:tcMar>
            <w:vAlign w:val="bottom"/>
            <w:hideMark/>
          </w:tcPr>
          <w:p w:rsidR="001D2580" w:rsidRDefault="001D2580">
            <w:pPr>
              <w:spacing w:line="240" w:lineRule="auto"/>
              <w:contextualSpacing/>
              <w:jc w:val="center"/>
              <w:rPr>
                <w:rFonts w:ascii="Calibri" w:eastAsia="Calibri" w:hAnsi="Calibri" w:cs="Calibri"/>
                <w:color w:val="000000"/>
                <w:sz w:val="22"/>
              </w:rPr>
            </w:pPr>
          </w:p>
        </w:tc>
        <w:tc>
          <w:tcPr>
            <w:tcW w:w="1920" w:type="dxa"/>
            <w:gridSpan w:val="2"/>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Commercial &amp; Private</w:t>
            </w:r>
          </w:p>
        </w:tc>
        <w:tc>
          <w:tcPr>
            <w:tcW w:w="1110"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11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UK</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Ulster</w:t>
            </w:r>
          </w:p>
        </w:tc>
        <w:tc>
          <w:tcPr>
            <w:tcW w:w="60"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jc w:val="center"/>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jc w:val="center"/>
              <w:rPr>
                <w:rFonts w:eastAsia="Arial" w:cs="Arial"/>
                <w:b/>
                <w:bCs/>
                <w:color w:val="003366"/>
                <w:sz w:val="16"/>
                <w:szCs w:val="16"/>
              </w:rPr>
            </w:pPr>
          </w:p>
        </w:tc>
        <w:tc>
          <w:tcPr>
            <w:tcW w:w="1110"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11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Personal</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Bank</w:t>
            </w:r>
          </w:p>
        </w:tc>
        <w:tc>
          <w:tcPr>
            <w:tcW w:w="60"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Commercial</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Private</w:t>
            </w:r>
          </w:p>
        </w:tc>
        <w:tc>
          <w:tcPr>
            <w:tcW w:w="1110"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RBS</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NatWest</w:t>
            </w:r>
          </w:p>
        </w:tc>
        <w:tc>
          <w:tcPr>
            <w:tcW w:w="11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Central items</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xml:space="preserve">RBS </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Nine months ended</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RoI</w:t>
            </w:r>
          </w:p>
        </w:tc>
        <w:tc>
          <w:tcPr>
            <w:tcW w:w="60"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1110"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International</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Markets</w:t>
            </w:r>
          </w:p>
        </w:tc>
        <w:tc>
          <w:tcPr>
            <w:tcW w:w="11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&amp; other</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Group</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30 September 2019</w:t>
            </w:r>
          </w:p>
        </w:tc>
        <w:tc>
          <w:tcPr>
            <w:tcW w:w="8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60"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10"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(2,830)</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(412)</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(1,900)</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(351)</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(181)</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(1,026)</w:t>
            </w:r>
          </w:p>
        </w:tc>
        <w:tc>
          <w:tcPr>
            <w:tcW w:w="11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(98)</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(6,798)</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Operating lease depreciation </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103</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103</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operating expenses</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(2,830)</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(412)</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(1,797)</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(351)</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(181)</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(1,026)</w:t>
            </w:r>
          </w:p>
        </w:tc>
        <w:tc>
          <w:tcPr>
            <w:tcW w:w="11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(98)</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(6,695)</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3,671</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428</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3,242</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582</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460</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1,092</w:t>
            </w:r>
          </w:p>
        </w:tc>
        <w:tc>
          <w:tcPr>
            <w:tcW w:w="11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545</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10,020</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Operating lease depreciation </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(103)</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(103)</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total income</w:t>
            </w:r>
          </w:p>
        </w:tc>
        <w:tc>
          <w:tcPr>
            <w:tcW w:w="885" w:type="dxa"/>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3,671</w:t>
            </w:r>
          </w:p>
        </w:tc>
        <w:tc>
          <w:tcPr>
            <w:tcW w:w="885" w:type="dxa"/>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428</w:t>
            </w:r>
          </w:p>
        </w:tc>
        <w:tc>
          <w:tcPr>
            <w:tcW w:w="60" w:type="dxa"/>
            <w:shd w:val="clear" w:color="auto" w:fill="BFBFB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3,139</w:t>
            </w:r>
          </w:p>
        </w:tc>
        <w:tc>
          <w:tcPr>
            <w:tcW w:w="885" w:type="dxa"/>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582</w:t>
            </w:r>
          </w:p>
        </w:tc>
        <w:tc>
          <w:tcPr>
            <w:tcW w:w="1110" w:type="dxa"/>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460</w:t>
            </w:r>
          </w:p>
        </w:tc>
        <w:tc>
          <w:tcPr>
            <w:tcW w:w="885" w:type="dxa"/>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1,092</w:t>
            </w:r>
          </w:p>
        </w:tc>
        <w:tc>
          <w:tcPr>
            <w:tcW w:w="1185" w:type="dxa"/>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545</w:t>
            </w:r>
          </w:p>
        </w:tc>
        <w:tc>
          <w:tcPr>
            <w:tcW w:w="885" w:type="dxa"/>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9,917</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Cost:income ratio</w:t>
            </w:r>
          </w:p>
        </w:tc>
        <w:tc>
          <w:tcPr>
            <w:tcW w:w="885" w:type="dxa"/>
            <w:tcBorders>
              <w:bottom w:val="single" w:sz="6" w:space="0" w:color="003366"/>
            </w:tcBorders>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77.1%</w:t>
            </w:r>
          </w:p>
        </w:tc>
        <w:tc>
          <w:tcPr>
            <w:tcW w:w="885" w:type="dxa"/>
            <w:tcBorders>
              <w:bottom w:val="single" w:sz="6" w:space="0" w:color="003366"/>
            </w:tcBorders>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96.3%</w:t>
            </w:r>
          </w:p>
        </w:tc>
        <w:tc>
          <w:tcPr>
            <w:tcW w:w="60" w:type="dxa"/>
            <w:tcBorders>
              <w:bottom w:val="single" w:sz="6" w:space="0" w:color="003366"/>
            </w:tcBorders>
            <w:shd w:val="clear" w:color="auto" w:fill="BFBFB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tcBorders>
              <w:bottom w:val="single" w:sz="6" w:space="0" w:color="003366"/>
            </w:tcBorders>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57.2%</w:t>
            </w:r>
          </w:p>
        </w:tc>
        <w:tc>
          <w:tcPr>
            <w:tcW w:w="885" w:type="dxa"/>
            <w:tcBorders>
              <w:bottom w:val="single" w:sz="6" w:space="0" w:color="003366"/>
            </w:tcBorders>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60.3%</w:t>
            </w:r>
          </w:p>
        </w:tc>
        <w:tc>
          <w:tcPr>
            <w:tcW w:w="1110" w:type="dxa"/>
            <w:tcBorders>
              <w:bottom w:val="single" w:sz="6" w:space="0" w:color="003366"/>
            </w:tcBorders>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39.3%</w:t>
            </w:r>
          </w:p>
        </w:tc>
        <w:tc>
          <w:tcPr>
            <w:tcW w:w="885" w:type="dxa"/>
            <w:tcBorders>
              <w:bottom w:val="single" w:sz="6" w:space="0" w:color="003366"/>
            </w:tcBorders>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94.0%</w:t>
            </w:r>
          </w:p>
        </w:tc>
        <w:tc>
          <w:tcPr>
            <w:tcW w:w="1185" w:type="dxa"/>
            <w:tcBorders>
              <w:bottom w:val="single" w:sz="6" w:space="0" w:color="003366"/>
            </w:tcBorders>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885" w:type="dxa"/>
            <w:tcBorders>
              <w:bottom w:val="single" w:sz="6" w:space="0" w:color="003366"/>
            </w:tcBorders>
            <w:shd w:val="clear" w:color="auto" w:fill="BFBFB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67.5%</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Nine months ended</w:t>
            </w: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30 September 2018</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(2,110)</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(419)</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(1,723)</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(335)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(174)</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(1,149)</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(1,266)</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(7,176)</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Operating lease depreciation </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89</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89</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operating expenses</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(2,110)</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(419)</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(1,634)</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(335)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(174)</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(1,149)</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(1,266)</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(7,087)</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3,808</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463</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3,486</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577</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439</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1,290</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281</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10,344</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Operating lease depreciation </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(89)</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(89)</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total income</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3,808</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463</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3,397</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577</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439</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1,290</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281</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10,255</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Cost:income ratio</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55.4%</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90.5%</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48.1%</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58.1%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39.6%</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89.1%</w:t>
            </w: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69.1%</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r>
      <w:tr w:rsidR="008E0433">
        <w:trPr>
          <w:trHeight w:val="195"/>
        </w:trPr>
        <w:tc>
          <w:tcPr>
            <w:tcW w:w="2235" w:type="dxa"/>
            <w:gridSpan w:val="7"/>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2"/>
                <w:szCs w:val="12"/>
              </w:rPr>
            </w:pPr>
            <w:r>
              <w:rPr>
                <w:rFonts w:eastAsia="Arial" w:cs="Arial"/>
                <w:color w:val="000000"/>
                <w:sz w:val="12"/>
                <w:szCs w:val="12"/>
              </w:rPr>
              <w:t>* Restated. Refer to Note 1 for further details.</w:t>
            </w: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185"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8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r>
    </w:tbl>
    <w:p w:rsidR="000D63B1" w:rsidRDefault="00E02264">
      <w:pPr>
        <w:spacing w:after="200"/>
        <w:rPr>
          <w:rFonts w:cs="Arial"/>
          <w:b/>
          <w:color w:val="0A2F64"/>
          <w:szCs w:val="18"/>
        </w:rPr>
        <w:sectPr w:rsidR="000D63B1" w:rsidSect="00623A05">
          <w:headerReference w:type="even" r:id="rId103"/>
          <w:headerReference w:type="default" r:id="rId104"/>
          <w:footerReference w:type="even" r:id="rId105"/>
          <w:footerReference w:type="default" r:id="rId106"/>
          <w:headerReference w:type="first" r:id="rId107"/>
          <w:footerReference w:type="first" r:id="rId108"/>
          <w:pgSz w:w="11906" w:h="16838"/>
          <w:pgMar w:top="1134" w:right="851" w:bottom="680" w:left="851" w:header="709" w:footer="709" w:gutter="0"/>
          <w:cols w:space="708"/>
          <w:docGrid w:linePitch="360"/>
        </w:sectPr>
      </w:pPr>
      <w:r>
        <w:rPr>
          <w:rFonts w:cs="Arial"/>
          <w:b/>
          <w:color w:val="0A2F64"/>
          <w:szCs w:val="18"/>
        </w:rPr>
        <w:br w:type="page"/>
      </w:r>
    </w:p>
    <w:p w:rsidR="007561B2" w:rsidRDefault="00E02264" w:rsidP="007561B2">
      <w:pPr>
        <w:pStyle w:val="Heading100"/>
        <w:pBdr>
          <w:bottom w:val="none" w:sz="0" w:space="0" w:color="auto"/>
        </w:pBdr>
        <w:rPr>
          <w:rFonts w:cs="Arial"/>
          <w:b/>
          <w:color w:val="0A2F64"/>
          <w:sz w:val="18"/>
          <w:szCs w:val="18"/>
        </w:rPr>
      </w:pPr>
      <w:r>
        <w:rPr>
          <w:rFonts w:cs="Arial"/>
          <w:b/>
          <w:color w:val="0A2F64"/>
          <w:sz w:val="18"/>
          <w:szCs w:val="18"/>
        </w:rPr>
        <w:lastRenderedPageBreak/>
        <w:t xml:space="preserve">Appendix Non-IFRS performance measures </w:t>
      </w:r>
    </w:p>
    <w:p w:rsidR="007561B2" w:rsidRDefault="00E02264" w:rsidP="007561B2">
      <w:pPr>
        <w:pStyle w:val="Normal00"/>
        <w:rPr>
          <w:rFonts w:ascii="Arial" w:eastAsia="MS Mincho" w:hAnsi="Arial" w:cs="Arial"/>
          <w:b/>
          <w:bCs/>
          <w:color w:val="003366"/>
          <w:sz w:val="18"/>
          <w:szCs w:val="18"/>
          <w:lang w:eastAsia="ja-JP"/>
        </w:rPr>
      </w:pPr>
      <w:r>
        <w:rPr>
          <w:rFonts w:ascii="Arial" w:hAnsi="Arial" w:cs="Arial"/>
          <w:b/>
          <w:color w:val="003366"/>
          <w:sz w:val="18"/>
          <w:szCs w:val="18"/>
        </w:rPr>
        <w:t>III. Cost</w:t>
      </w:r>
      <w:proofErr w:type="gramStart"/>
      <w:r>
        <w:rPr>
          <w:rFonts w:ascii="Arial" w:hAnsi="Arial" w:cs="Arial"/>
          <w:b/>
          <w:color w:val="003366"/>
          <w:sz w:val="18"/>
          <w:szCs w:val="18"/>
        </w:rPr>
        <w:t>:income</w:t>
      </w:r>
      <w:proofErr w:type="gramEnd"/>
      <w:r>
        <w:rPr>
          <w:rFonts w:ascii="Arial" w:hAnsi="Arial" w:cs="Arial"/>
          <w:b/>
          <w:color w:val="003366"/>
          <w:sz w:val="18"/>
          <w:szCs w:val="18"/>
        </w:rPr>
        <w:t xml:space="preserve"> ratio </w:t>
      </w:r>
      <w:r>
        <w:rPr>
          <w:rFonts w:ascii="Arial" w:hAnsi="Arial" w:cs="Arial"/>
          <w:color w:val="003366"/>
          <w:sz w:val="18"/>
          <w:szCs w:val="18"/>
        </w:rPr>
        <w:t>continued</w:t>
      </w:r>
    </w:p>
    <w:p w:rsidR="002C452D" w:rsidRDefault="002C452D" w:rsidP="007561B2">
      <w:pPr>
        <w:pStyle w:val="Normal00"/>
        <w:rPr>
          <w:rFonts w:ascii="Arial" w:hAnsi="Arial" w:cs="Arial"/>
          <w:sz w:val="14"/>
          <w:szCs w:val="14"/>
        </w:rPr>
      </w:pPr>
    </w:p>
    <w:tbl>
      <w:tblPr>
        <w:tblStyle w:val="table"/>
        <w:tblW w:w="10040" w:type="dxa"/>
        <w:tblInd w:w="5" w:type="dxa"/>
        <w:tblCellMar>
          <w:left w:w="0" w:type="dxa"/>
          <w:right w:w="0" w:type="dxa"/>
        </w:tblCellMar>
        <w:tblLook w:val="05E0" w:firstRow="1" w:lastRow="1" w:firstColumn="1" w:lastColumn="1" w:noHBand="0" w:noVBand="1"/>
      </w:tblPr>
      <w:tblGrid>
        <w:gridCol w:w="2225"/>
        <w:gridCol w:w="885"/>
        <w:gridCol w:w="885"/>
        <w:gridCol w:w="60"/>
        <w:gridCol w:w="1035"/>
        <w:gridCol w:w="885"/>
        <w:gridCol w:w="1110"/>
        <w:gridCol w:w="885"/>
        <w:gridCol w:w="1185"/>
        <w:gridCol w:w="885"/>
      </w:tblGrid>
      <w:tr w:rsidR="008E0433">
        <w:trPr>
          <w:trHeight w:val="195"/>
        </w:trPr>
        <w:tc>
          <w:tcPr>
            <w:tcW w:w="22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1770" w:type="dxa"/>
            <w:gridSpan w:val="2"/>
            <w:tcBorders>
              <w:bottom w:val="single" w:sz="6" w:space="0" w:color="002060"/>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 Personal &amp; Ulster</w:t>
            </w:r>
          </w:p>
        </w:tc>
        <w:tc>
          <w:tcPr>
            <w:tcW w:w="60" w:type="dxa"/>
            <w:shd w:val="clear" w:color="auto" w:fill="FFFFFF"/>
            <w:noWrap/>
            <w:tcMar>
              <w:top w:w="0" w:type="dxa"/>
              <w:left w:w="5" w:type="dxa"/>
              <w:bottom w:w="0" w:type="dxa"/>
              <w:right w:w="5" w:type="dxa"/>
            </w:tcMar>
            <w:vAlign w:val="bottom"/>
            <w:hideMark/>
          </w:tcPr>
          <w:p w:rsidR="001D2580" w:rsidRDefault="001D2580">
            <w:pPr>
              <w:spacing w:line="240" w:lineRule="auto"/>
              <w:contextualSpacing/>
              <w:jc w:val="center"/>
              <w:rPr>
                <w:rFonts w:ascii="Calibri" w:eastAsia="Calibri" w:hAnsi="Calibri" w:cs="Calibri"/>
                <w:color w:val="000000"/>
                <w:sz w:val="22"/>
              </w:rPr>
            </w:pPr>
          </w:p>
        </w:tc>
        <w:tc>
          <w:tcPr>
            <w:tcW w:w="1920" w:type="dxa"/>
            <w:gridSpan w:val="2"/>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Commercial &amp; Private</w:t>
            </w:r>
          </w:p>
        </w:tc>
        <w:tc>
          <w:tcPr>
            <w:tcW w:w="1110"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11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UK</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Ulster</w:t>
            </w:r>
          </w:p>
        </w:tc>
        <w:tc>
          <w:tcPr>
            <w:tcW w:w="60"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jc w:val="center"/>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jc w:val="center"/>
              <w:rPr>
                <w:rFonts w:eastAsia="Arial" w:cs="Arial"/>
                <w:b/>
                <w:bCs/>
                <w:color w:val="003366"/>
                <w:sz w:val="16"/>
                <w:szCs w:val="16"/>
              </w:rPr>
            </w:pPr>
          </w:p>
        </w:tc>
        <w:tc>
          <w:tcPr>
            <w:tcW w:w="1110"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11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Personal</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Bank</w:t>
            </w:r>
          </w:p>
        </w:tc>
        <w:tc>
          <w:tcPr>
            <w:tcW w:w="60"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Commercial</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Private</w:t>
            </w:r>
          </w:p>
        </w:tc>
        <w:tc>
          <w:tcPr>
            <w:tcW w:w="1110"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RBS</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NatWest</w:t>
            </w:r>
          </w:p>
        </w:tc>
        <w:tc>
          <w:tcPr>
            <w:tcW w:w="11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Central items</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 xml:space="preserve">RBS </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RoI</w:t>
            </w:r>
          </w:p>
        </w:tc>
        <w:tc>
          <w:tcPr>
            <w:tcW w:w="60" w:type="dxa"/>
            <w:shd w:val="clear" w:color="auto" w:fill="FFFFFF"/>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Banking</w:t>
            </w:r>
          </w:p>
        </w:tc>
        <w:tc>
          <w:tcPr>
            <w:tcW w:w="1110"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International</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Markets</w:t>
            </w:r>
          </w:p>
        </w:tc>
        <w:tc>
          <w:tcPr>
            <w:tcW w:w="11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&amp; other</w:t>
            </w:r>
          </w:p>
        </w:tc>
        <w:tc>
          <w:tcPr>
            <w:tcW w:w="885" w:type="dxa"/>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Group</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Quarter ended</w:t>
            </w:r>
          </w:p>
        </w:tc>
        <w:tc>
          <w:tcPr>
            <w:tcW w:w="8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60"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10"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885" w:type="dxa"/>
            <w:tcBorders>
              <w:bottom w:val="single" w:sz="6" w:space="0" w:color="003366"/>
            </w:tcBorders>
            <w:shd w:val="clear" w:color="auto" w:fill="FFFFFF"/>
            <w:noWrap/>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r>
      <w:tr w:rsidR="008E0433">
        <w:trPr>
          <w:trHeight w:val="195"/>
        </w:trPr>
        <w:tc>
          <w:tcPr>
            <w:tcW w:w="2235" w:type="dxa"/>
            <w:tcBorders>
              <w:top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30 September 2019</w:t>
            </w:r>
          </w:p>
        </w:tc>
        <w:tc>
          <w:tcPr>
            <w:tcW w:w="885" w:type="dxa"/>
            <w:tcBorders>
              <w:top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tcBorders>
              <w:top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1035" w:type="dxa"/>
            <w:shd w:val="clear" w:color="auto" w:fill="C0C0C0"/>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shd w:val="clear" w:color="auto" w:fill="C0C0C0"/>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shd w:val="clear" w:color="auto" w:fill="C0C0C0"/>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shd w:val="clear" w:color="auto" w:fill="C0C0C0"/>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85" w:type="dxa"/>
            <w:shd w:val="clear" w:color="auto" w:fill="C0C0C0"/>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shd w:val="clear" w:color="auto" w:fill="C0C0C0"/>
            <w:noWrap/>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(1,601)</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(131)</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(638)</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(119)</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(348)</w:t>
            </w:r>
          </w:p>
        </w:tc>
        <w:tc>
          <w:tcPr>
            <w:tcW w:w="11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201</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(2,698)</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operating expenses</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(1,601)</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(131)</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(603)</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(119)</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(348)</w:t>
            </w:r>
          </w:p>
        </w:tc>
        <w:tc>
          <w:tcPr>
            <w:tcW w:w="11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201</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(2,663)</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1,224</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145</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1,077</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198</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11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2,903</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11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w:t>
            </w:r>
          </w:p>
        </w:tc>
        <w:tc>
          <w:tcPr>
            <w:tcW w:w="885"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total income</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1,224</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145</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1,042</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198</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150</w:t>
            </w:r>
          </w:p>
        </w:tc>
        <w:tc>
          <w:tcPr>
            <w:tcW w:w="11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2,868</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Cost:income ratio </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130.8%</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90.3%</w:t>
            </w:r>
          </w:p>
        </w:tc>
        <w:tc>
          <w:tcPr>
            <w:tcW w:w="60" w:type="dxa"/>
            <w:shd w:val="clear" w:color="auto" w:fill="C0C0C0"/>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57.9%</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60.1%</w:t>
            </w:r>
          </w:p>
        </w:tc>
        <w:tc>
          <w:tcPr>
            <w:tcW w:w="111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41.3%</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232.0%</w:t>
            </w:r>
          </w:p>
        </w:tc>
        <w:tc>
          <w:tcPr>
            <w:tcW w:w="11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nm</w:t>
            </w:r>
          </w:p>
        </w:tc>
        <w:tc>
          <w:tcPr>
            <w:tcW w:w="885"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92.9%</w:t>
            </w:r>
          </w:p>
        </w:tc>
      </w:tr>
      <w:tr w:rsidR="008E0433">
        <w:trPr>
          <w:trHeight w:val="195"/>
        </w:trPr>
        <w:tc>
          <w:tcPr>
            <w:tcW w:w="223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8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8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03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8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8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11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c>
          <w:tcPr>
            <w:tcW w:w="8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0000"/>
                <w:sz w:val="16"/>
                <w:szCs w:val="16"/>
              </w:rPr>
            </w:pP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30 June 2019</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(594)</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(145)</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(622)</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(344)</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(282)</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(2,162)</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operating expenses</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(594)</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(145)</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(588)</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(344)</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(282)</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(2,128)</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1,202</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138</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1,083</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159</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686</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621</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4,080</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total income</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1,202</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138</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1,049</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159</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686</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621</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4,046</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Cost:income ratio </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49.4%</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105.1%</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56.1%</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60.2%</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37.7%</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50.1%</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52.6%</w:t>
            </w:r>
          </w:p>
        </w:tc>
      </w:tr>
      <w:tr w:rsidR="008E0433">
        <w:trPr>
          <w:trHeight w:val="195"/>
        </w:trPr>
        <w:tc>
          <w:tcPr>
            <w:tcW w:w="223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8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8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8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8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1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885" w:type="dxa"/>
            <w:tcBorders>
              <w:top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b/>
                <w:bCs/>
                <w:color w:val="003366"/>
                <w:sz w:val="16"/>
                <w:szCs w:val="16"/>
              </w:rPr>
            </w:pPr>
            <w:r>
              <w:rPr>
                <w:rFonts w:eastAsia="Arial" w:cs="Arial"/>
                <w:b/>
                <w:bCs/>
                <w:color w:val="003366"/>
                <w:sz w:val="16"/>
                <w:szCs w:val="16"/>
              </w:rPr>
              <w:t>30 September 2018</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expenses</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(819)</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(167)</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(583)</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(478)</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(224)</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(2,441)</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32</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32</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operating expenses</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(819)</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(167)</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(551)</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(60)</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(478)</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(224)</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(2,409)</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Total income</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1,257</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151</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1,096</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569</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219</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3,642</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Operating lease depreciation</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(32)</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(32)</w:t>
            </w:r>
          </w:p>
        </w:tc>
      </w:tr>
      <w:tr w:rsidR="008E0433">
        <w:trPr>
          <w:trHeight w:val="195"/>
        </w:trPr>
        <w:tc>
          <w:tcPr>
            <w:tcW w:w="223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Adjusted total income</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1,257</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151</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1,064</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155</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569</w:t>
            </w:r>
          </w:p>
        </w:tc>
        <w:tc>
          <w:tcPr>
            <w:tcW w:w="11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219</w:t>
            </w:r>
          </w:p>
        </w:tc>
        <w:tc>
          <w:tcPr>
            <w:tcW w:w="885"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3,610</w:t>
            </w:r>
          </w:p>
        </w:tc>
      </w:tr>
      <w:tr w:rsidR="008E0433">
        <w:trPr>
          <w:trHeight w:val="195"/>
        </w:trPr>
        <w:tc>
          <w:tcPr>
            <w:tcW w:w="22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Cost:income ratio </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65.2%</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110.6%</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51.8%</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56.4%</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38.7%</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84.0%</w:t>
            </w:r>
          </w:p>
        </w:tc>
        <w:tc>
          <w:tcPr>
            <w:tcW w:w="11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nm</w:t>
            </w:r>
          </w:p>
        </w:tc>
        <w:tc>
          <w:tcPr>
            <w:tcW w:w="885"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66.7%</w:t>
            </w:r>
          </w:p>
        </w:tc>
      </w:tr>
    </w:tbl>
    <w:p w:rsidR="007561B2" w:rsidRDefault="00E02264" w:rsidP="007561B2">
      <w:pPr>
        <w:pStyle w:val="Normal00"/>
        <w:rPr>
          <w:rFonts w:ascii="Arial" w:hAnsi="Arial" w:cs="Arial"/>
          <w:sz w:val="14"/>
          <w:szCs w:val="14"/>
        </w:rPr>
      </w:pPr>
      <w:r>
        <w:rPr>
          <w:rFonts w:ascii="Arial" w:hAnsi="Arial" w:cs="Arial"/>
          <w:bCs/>
          <w:sz w:val="14"/>
          <w:szCs w:val="14"/>
        </w:rPr>
        <w:t>* Restated. Refer to Note 1 for further details.</w:t>
      </w:r>
    </w:p>
    <w:p w:rsidR="007561B2" w:rsidRDefault="007561B2" w:rsidP="007561B2">
      <w:pPr>
        <w:rPr>
          <w:szCs w:val="14"/>
        </w:rPr>
      </w:pPr>
    </w:p>
    <w:p w:rsidR="007561B2" w:rsidRDefault="00E02264" w:rsidP="007561B2">
      <w:pPr>
        <w:pStyle w:val="Normal00"/>
        <w:rPr>
          <w:rFonts w:ascii="Arial" w:hAnsi="Arial" w:cs="Arial"/>
          <w:b/>
          <w:color w:val="003366"/>
          <w:sz w:val="18"/>
          <w:szCs w:val="18"/>
        </w:rPr>
      </w:pPr>
      <w:r>
        <w:rPr>
          <w:rFonts w:ascii="Arial" w:hAnsi="Arial" w:cs="Arial"/>
          <w:b/>
          <w:color w:val="003366"/>
          <w:sz w:val="18"/>
          <w:szCs w:val="18"/>
        </w:rPr>
        <w:t>IV. Net interest margin</w:t>
      </w:r>
    </w:p>
    <w:p w:rsidR="00A02FBD" w:rsidRDefault="00A02FBD" w:rsidP="007561B2">
      <w:pPr>
        <w:pStyle w:val="Normal00"/>
        <w:rPr>
          <w:rFonts w:ascii="Arial" w:hAnsi="Arial" w:cs="Arial"/>
          <w:b/>
          <w:color w:val="003366"/>
          <w:sz w:val="18"/>
          <w:szCs w:val="18"/>
        </w:rPr>
      </w:pPr>
    </w:p>
    <w:tbl>
      <w:tblPr>
        <w:tblStyle w:val="table"/>
        <w:tblW w:w="10080" w:type="dxa"/>
        <w:tblInd w:w="5" w:type="dxa"/>
        <w:tblCellMar>
          <w:left w:w="0" w:type="dxa"/>
          <w:right w:w="0" w:type="dxa"/>
        </w:tblCellMar>
        <w:tblLook w:val="05E0" w:firstRow="1" w:lastRow="1" w:firstColumn="1" w:lastColumn="1" w:noHBand="0" w:noVBand="1"/>
      </w:tblPr>
      <w:tblGrid>
        <w:gridCol w:w="4175"/>
        <w:gridCol w:w="1259"/>
        <w:gridCol w:w="1109"/>
        <w:gridCol w:w="60"/>
        <w:gridCol w:w="1259"/>
        <w:gridCol w:w="1109"/>
        <w:gridCol w:w="1109"/>
      </w:tblGrid>
      <w:tr w:rsidR="008E0433">
        <w:trPr>
          <w:trHeight w:val="195"/>
        </w:trPr>
        <w:tc>
          <w:tcPr>
            <w:tcW w:w="41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2370" w:type="dxa"/>
            <w:gridSpan w:val="2"/>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 xml:space="preserve">Nine months ended or as at </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3480" w:type="dxa"/>
            <w:gridSpan w:val="3"/>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Quarter ended or as at</w:t>
            </w:r>
          </w:p>
        </w:tc>
      </w:tr>
      <w:tr w:rsidR="008E0433">
        <w:trPr>
          <w:trHeight w:val="195"/>
        </w:trPr>
        <w:tc>
          <w:tcPr>
            <w:tcW w:w="41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30 September</w:t>
            </w:r>
          </w:p>
        </w:tc>
      </w:tr>
      <w:tr w:rsidR="008E0433">
        <w:trPr>
          <w:trHeight w:val="195"/>
        </w:trPr>
        <w:tc>
          <w:tcPr>
            <w:tcW w:w="4185"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2018 </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2018 </w:t>
            </w:r>
          </w:p>
        </w:tc>
      </w:tr>
      <w:tr w:rsidR="008E0433">
        <w:trPr>
          <w:trHeight w:val="195"/>
        </w:trPr>
        <w:tc>
          <w:tcPr>
            <w:tcW w:w="4185"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3366"/>
                <w:sz w:val="16"/>
                <w:szCs w:val="16"/>
              </w:rPr>
            </w:pPr>
          </w:p>
        </w:tc>
        <w:tc>
          <w:tcPr>
            <w:tcW w:w="126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color w:val="000000"/>
                <w:sz w:val="16"/>
                <w:szCs w:val="16"/>
              </w:rPr>
            </w:pPr>
          </w:p>
        </w:tc>
        <w:tc>
          <w:tcPr>
            <w:tcW w:w="126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£m</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£m</w:t>
            </w:r>
          </w:p>
        </w:tc>
      </w:tr>
      <w:tr w:rsidR="008E0433">
        <w:trPr>
          <w:trHeight w:val="195"/>
        </w:trPr>
        <w:tc>
          <w:tcPr>
            <w:tcW w:w="41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RBS net interest income</w:t>
            </w:r>
          </w:p>
        </w:tc>
        <w:tc>
          <w:tcPr>
            <w:tcW w:w="12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6,010</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6,480</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2,006</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1,971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2,154</w:t>
            </w:r>
          </w:p>
        </w:tc>
      </w:tr>
      <w:tr w:rsidR="008E0433">
        <w:trPr>
          <w:trHeight w:val="195"/>
        </w:trPr>
        <w:tc>
          <w:tcPr>
            <w:tcW w:w="4185"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NWM net interest income</w:t>
            </w: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184</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(82)</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62</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91</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(15)</w:t>
            </w:r>
          </w:p>
        </w:tc>
      </w:tr>
      <w:tr w:rsidR="008E0433">
        <w:trPr>
          <w:trHeight w:val="195"/>
        </w:trPr>
        <w:tc>
          <w:tcPr>
            <w:tcW w:w="4185"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Net interest income excluding NWM</w:t>
            </w: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6,194</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6,398</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2,068</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2,062</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2,139</w:t>
            </w:r>
          </w:p>
        </w:tc>
      </w:tr>
      <w:tr w:rsidR="008E0433">
        <w:trPr>
          <w:trHeight w:val="195"/>
        </w:trPr>
        <w:tc>
          <w:tcPr>
            <w:tcW w:w="41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Annualised net interest income </w:t>
            </w:r>
          </w:p>
        </w:tc>
        <w:tc>
          <w:tcPr>
            <w:tcW w:w="12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8,035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8,664</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7,959</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7,906</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8,546</w:t>
            </w:r>
          </w:p>
        </w:tc>
      </w:tr>
      <w:tr w:rsidR="008E0433">
        <w:trPr>
          <w:trHeight w:val="195"/>
        </w:trPr>
        <w:tc>
          <w:tcPr>
            <w:tcW w:w="41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Annualised net interest income excluding NWM</w:t>
            </w:r>
          </w:p>
        </w:tc>
        <w:tc>
          <w:tcPr>
            <w:tcW w:w="12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8,281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8,554</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8,205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8,271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8,486</w:t>
            </w:r>
          </w:p>
        </w:tc>
      </w:tr>
      <w:tr w:rsidR="008E0433">
        <w:trPr>
          <w:trHeight w:val="195"/>
        </w:trPr>
        <w:tc>
          <w:tcPr>
            <w:tcW w:w="4185"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Average interest earning assets (IEA)</w:t>
            </w: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445,068</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435,218</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454,429</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444,800</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443,092</w:t>
            </w:r>
          </w:p>
        </w:tc>
      </w:tr>
      <w:tr w:rsidR="008E0433">
        <w:trPr>
          <w:trHeight w:val="195"/>
        </w:trPr>
        <w:tc>
          <w:tcPr>
            <w:tcW w:w="4185"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NWM average IEA</w:t>
            </w: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35,065</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26,989</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38,616</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34,436</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26,705</w:t>
            </w:r>
          </w:p>
        </w:tc>
      </w:tr>
      <w:tr w:rsidR="008E0433">
        <w:trPr>
          <w:trHeight w:val="195"/>
        </w:trPr>
        <w:tc>
          <w:tcPr>
            <w:tcW w:w="4185"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Bank average IEA excluding NWM</w:t>
            </w: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410,003</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408,229</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16"/>
                <w:szCs w:val="16"/>
              </w:rPr>
            </w:pP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415,813</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410,364</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416,387</w:t>
            </w:r>
          </w:p>
        </w:tc>
      </w:tr>
      <w:tr w:rsidR="008E0433">
        <w:trPr>
          <w:trHeight w:val="195"/>
        </w:trPr>
        <w:tc>
          <w:tcPr>
            <w:tcW w:w="4185"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20"/>
                <w:szCs w:val="20"/>
              </w:rPr>
            </w:pPr>
          </w:p>
        </w:tc>
        <w:tc>
          <w:tcPr>
            <w:tcW w:w="12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20"/>
                <w:szCs w:val="20"/>
              </w:rPr>
            </w:pP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20"/>
                <w:szCs w:val="20"/>
              </w:rPr>
            </w:pP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20"/>
                <w:szCs w:val="20"/>
              </w:rPr>
            </w:pPr>
          </w:p>
        </w:tc>
        <w:tc>
          <w:tcPr>
            <w:tcW w:w="12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20"/>
                <w:szCs w:val="20"/>
              </w:rPr>
            </w:pP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20"/>
                <w:szCs w:val="20"/>
              </w:rPr>
            </w:pP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20"/>
                <w:szCs w:val="20"/>
              </w:rPr>
            </w:pPr>
          </w:p>
        </w:tc>
      </w:tr>
      <w:tr w:rsidR="008E0433">
        <w:trPr>
          <w:trHeight w:val="195"/>
        </w:trPr>
        <w:tc>
          <w:tcPr>
            <w:tcW w:w="4185"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Net interest margin</w:t>
            </w:r>
          </w:p>
        </w:tc>
        <w:tc>
          <w:tcPr>
            <w:tcW w:w="12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1.81%</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1.99%</w:t>
            </w:r>
          </w:p>
        </w:tc>
        <w:tc>
          <w:tcPr>
            <w:tcW w:w="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0000"/>
                <w:sz w:val="16"/>
                <w:szCs w:val="16"/>
              </w:rPr>
            </w:pPr>
          </w:p>
        </w:tc>
        <w:tc>
          <w:tcPr>
            <w:tcW w:w="12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1.75%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1.78%</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1.93%</w:t>
            </w:r>
          </w:p>
        </w:tc>
      </w:tr>
      <w:tr w:rsidR="008E0433">
        <w:trPr>
          <w:trHeight w:val="195"/>
        </w:trPr>
        <w:tc>
          <w:tcPr>
            <w:tcW w:w="4185"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Bank net interest margin (RBS NIM excluding NWM)</w:t>
            </w: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2.02%</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2.10%</w:t>
            </w:r>
          </w:p>
        </w:tc>
        <w:tc>
          <w:tcPr>
            <w:tcW w:w="60" w:type="dxa"/>
            <w:tcBorders>
              <w:bottom w:val="single" w:sz="6" w:space="0" w:color="0034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0000"/>
                <w:sz w:val="16"/>
                <w:szCs w:val="16"/>
              </w:rPr>
            </w:pPr>
          </w:p>
        </w:tc>
        <w:tc>
          <w:tcPr>
            <w:tcW w:w="1260" w:type="dxa"/>
            <w:tcBorders>
              <w:bottom w:val="single" w:sz="6" w:space="0" w:color="0034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1.97%</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2.02%</w:t>
            </w:r>
          </w:p>
        </w:tc>
        <w:tc>
          <w:tcPr>
            <w:tcW w:w="1110" w:type="dxa"/>
            <w:tcBorders>
              <w:bottom w:val="single" w:sz="6" w:space="0" w:color="0034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2.04%</w:t>
            </w:r>
          </w:p>
        </w:tc>
      </w:tr>
    </w:tbl>
    <w:p w:rsidR="002C452D" w:rsidRDefault="002C452D" w:rsidP="007561B2">
      <w:pPr>
        <w:pStyle w:val="Normal00"/>
        <w:rPr>
          <w:rFonts w:ascii="Arial" w:hAnsi="Arial" w:cs="Arial"/>
          <w:b/>
          <w:color w:val="003366"/>
          <w:sz w:val="18"/>
          <w:szCs w:val="18"/>
        </w:rPr>
      </w:pPr>
    </w:p>
    <w:p w:rsidR="007561B2" w:rsidRDefault="00E02264" w:rsidP="007561B2">
      <w:pPr>
        <w:pStyle w:val="Normal00"/>
        <w:rPr>
          <w:rFonts w:ascii="Arial" w:hAnsi="Arial" w:cs="Arial"/>
          <w:b/>
          <w:color w:val="003366"/>
          <w:sz w:val="18"/>
          <w:szCs w:val="18"/>
        </w:rPr>
      </w:pPr>
      <w:r>
        <w:rPr>
          <w:rFonts w:ascii="Arial" w:hAnsi="Arial" w:cs="Arial"/>
          <w:b/>
          <w:color w:val="003366"/>
          <w:sz w:val="18"/>
          <w:szCs w:val="18"/>
        </w:rPr>
        <w:t>V. Loan</w:t>
      </w:r>
      <w:proofErr w:type="gramStart"/>
      <w:r>
        <w:rPr>
          <w:rFonts w:ascii="Arial" w:hAnsi="Arial" w:cs="Arial"/>
          <w:b/>
          <w:color w:val="003366"/>
          <w:sz w:val="18"/>
          <w:szCs w:val="18"/>
        </w:rPr>
        <w:t>:deposit</w:t>
      </w:r>
      <w:proofErr w:type="gramEnd"/>
      <w:r>
        <w:rPr>
          <w:rFonts w:ascii="Arial" w:hAnsi="Arial" w:cs="Arial"/>
          <w:b/>
          <w:color w:val="003366"/>
          <w:sz w:val="18"/>
          <w:szCs w:val="18"/>
        </w:rPr>
        <w:t xml:space="preserve"> ratio </w:t>
      </w:r>
    </w:p>
    <w:p w:rsidR="002C452D" w:rsidRDefault="002C452D" w:rsidP="007561B2">
      <w:pPr>
        <w:pStyle w:val="GCAHeader1140"/>
        <w:jc w:val="both"/>
        <w:outlineLvl w:val="0"/>
        <w:rPr>
          <w:b w:val="0"/>
          <w:color w:val="000000"/>
          <w:sz w:val="18"/>
          <w:szCs w:val="18"/>
          <w:lang w:eastAsia="en-GB"/>
        </w:rPr>
      </w:pPr>
    </w:p>
    <w:tbl>
      <w:tblPr>
        <w:tblStyle w:val="table"/>
        <w:tblW w:w="10140" w:type="dxa"/>
        <w:tblInd w:w="5" w:type="dxa"/>
        <w:tblCellMar>
          <w:left w:w="0" w:type="dxa"/>
          <w:right w:w="0" w:type="dxa"/>
        </w:tblCellMar>
        <w:tblLook w:val="05E0" w:firstRow="1" w:lastRow="1" w:firstColumn="1" w:lastColumn="1" w:noHBand="0" w:noVBand="1"/>
      </w:tblPr>
      <w:tblGrid>
        <w:gridCol w:w="6660"/>
        <w:gridCol w:w="1260"/>
        <w:gridCol w:w="1110"/>
        <w:gridCol w:w="1110"/>
      </w:tblGrid>
      <w:tr w:rsidR="008E0433">
        <w:trPr>
          <w:trHeight w:val="195"/>
        </w:trPr>
        <w:tc>
          <w:tcPr>
            <w:tcW w:w="66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color w:val="000000"/>
                <w:sz w:val="20"/>
                <w:szCs w:val="20"/>
              </w:rPr>
            </w:pPr>
          </w:p>
        </w:tc>
        <w:tc>
          <w:tcPr>
            <w:tcW w:w="3480" w:type="dxa"/>
            <w:gridSpan w:val="3"/>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center"/>
              <w:rPr>
                <w:rFonts w:eastAsia="Arial" w:cs="Arial"/>
                <w:b/>
                <w:bCs/>
                <w:color w:val="003366"/>
                <w:sz w:val="16"/>
                <w:szCs w:val="16"/>
              </w:rPr>
            </w:pPr>
            <w:r>
              <w:rPr>
                <w:rFonts w:eastAsia="Arial" w:cs="Arial"/>
                <w:b/>
                <w:bCs/>
                <w:color w:val="003366"/>
                <w:sz w:val="16"/>
                <w:szCs w:val="16"/>
              </w:rPr>
              <w:t>As at</w:t>
            </w:r>
          </w:p>
        </w:tc>
      </w:tr>
      <w:tr w:rsidR="008E0433">
        <w:trPr>
          <w:trHeight w:val="195"/>
        </w:trPr>
        <w:tc>
          <w:tcPr>
            <w:tcW w:w="6660" w:type="dxa"/>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12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30 September</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30 June</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31 December</w:t>
            </w:r>
          </w:p>
        </w:tc>
      </w:tr>
      <w:tr w:rsidR="008E0433">
        <w:trPr>
          <w:trHeight w:val="195"/>
        </w:trPr>
        <w:tc>
          <w:tcPr>
            <w:tcW w:w="6660" w:type="dxa"/>
            <w:shd w:val="clear" w:color="auto" w:fill="FFFFFF"/>
            <w:tcMar>
              <w:top w:w="0" w:type="dxa"/>
              <w:left w:w="5" w:type="dxa"/>
              <w:bottom w:w="0" w:type="dxa"/>
              <w:right w:w="5" w:type="dxa"/>
            </w:tcMar>
            <w:vAlign w:val="center"/>
            <w:hideMark/>
          </w:tcPr>
          <w:p w:rsidR="001D2580" w:rsidRDefault="001D2580">
            <w:pPr>
              <w:spacing w:line="240" w:lineRule="auto"/>
              <w:contextualSpacing/>
              <w:jc w:val="right"/>
              <w:rPr>
                <w:rFonts w:eastAsia="Arial" w:cs="Arial"/>
                <w:b/>
                <w:bCs/>
                <w:color w:val="003366"/>
                <w:sz w:val="16"/>
                <w:szCs w:val="16"/>
              </w:rPr>
            </w:pPr>
          </w:p>
        </w:tc>
        <w:tc>
          <w:tcPr>
            <w:tcW w:w="126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2019 </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2018 </w:t>
            </w:r>
          </w:p>
        </w:tc>
      </w:tr>
      <w:tr w:rsidR="008E0433">
        <w:trPr>
          <w:trHeight w:val="195"/>
        </w:trPr>
        <w:tc>
          <w:tcPr>
            <w:tcW w:w="6660" w:type="dxa"/>
            <w:tcBorders>
              <w:bottom w:val="single" w:sz="6" w:space="0" w:color="003366"/>
            </w:tcBorders>
            <w:shd w:val="clear" w:color="auto" w:fill="FFFFFF"/>
            <w:tcMar>
              <w:top w:w="0" w:type="dxa"/>
              <w:left w:w="5" w:type="dxa"/>
              <w:bottom w:w="0" w:type="dxa"/>
              <w:right w:w="5" w:type="dxa"/>
            </w:tcMar>
            <w:vAlign w:val="center"/>
            <w:hideMark/>
          </w:tcPr>
          <w:p w:rsidR="001D2580" w:rsidRDefault="001D2580">
            <w:pPr>
              <w:spacing w:line="240" w:lineRule="auto"/>
              <w:contextualSpacing/>
              <w:rPr>
                <w:rFonts w:eastAsia="Arial" w:cs="Arial"/>
                <w:b/>
                <w:bCs/>
                <w:color w:val="003366"/>
                <w:sz w:val="16"/>
                <w:szCs w:val="16"/>
              </w:rPr>
            </w:pPr>
          </w:p>
        </w:tc>
        <w:tc>
          <w:tcPr>
            <w:tcW w:w="12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3366"/>
                <w:sz w:val="16"/>
                <w:szCs w:val="16"/>
              </w:rPr>
            </w:pPr>
            <w:r>
              <w:rPr>
                <w:rFonts w:eastAsia="Arial" w:cs="Arial"/>
                <w:b/>
                <w:bCs/>
                <w:color w:val="003366"/>
                <w:sz w:val="16"/>
                <w:szCs w:val="16"/>
              </w:rPr>
              <w:t>£bn</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£bn</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3366"/>
                <w:sz w:val="16"/>
                <w:szCs w:val="16"/>
              </w:rPr>
            </w:pPr>
            <w:r>
              <w:rPr>
                <w:rFonts w:eastAsia="Arial" w:cs="Arial"/>
                <w:color w:val="003366"/>
                <w:sz w:val="16"/>
                <w:szCs w:val="16"/>
              </w:rPr>
              <w:t> £bn</w:t>
            </w:r>
          </w:p>
        </w:tc>
      </w:tr>
      <w:tr w:rsidR="008E0433">
        <w:trPr>
          <w:trHeight w:val="195"/>
        </w:trPr>
        <w:tc>
          <w:tcPr>
            <w:tcW w:w="6660"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Loans to customers - amortised cost </w:t>
            </w:r>
          </w:p>
        </w:tc>
        <w:tc>
          <w:tcPr>
            <w:tcW w:w="12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319.5</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310.6</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305.1</w:t>
            </w:r>
          </w:p>
        </w:tc>
      </w:tr>
      <w:tr w:rsidR="008E0433">
        <w:trPr>
          <w:trHeight w:val="195"/>
        </w:trPr>
        <w:tc>
          <w:tcPr>
            <w:tcW w:w="6660" w:type="dxa"/>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 xml:space="preserve">Customer deposits </w:t>
            </w:r>
          </w:p>
        </w:tc>
        <w:tc>
          <w:tcPr>
            <w:tcW w:w="1260" w:type="dxa"/>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369.7</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361.6</w:t>
            </w:r>
          </w:p>
        </w:tc>
        <w:tc>
          <w:tcPr>
            <w:tcW w:w="1110" w:type="dxa"/>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360.9</w:t>
            </w:r>
          </w:p>
        </w:tc>
      </w:tr>
      <w:tr w:rsidR="008E0433">
        <w:trPr>
          <w:trHeight w:val="195"/>
        </w:trPr>
        <w:tc>
          <w:tcPr>
            <w:tcW w:w="666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rPr>
                <w:rFonts w:eastAsia="Arial" w:cs="Arial"/>
                <w:color w:val="000000"/>
                <w:sz w:val="16"/>
                <w:szCs w:val="16"/>
              </w:rPr>
            </w:pPr>
            <w:r>
              <w:rPr>
                <w:rFonts w:eastAsia="Arial" w:cs="Arial"/>
                <w:color w:val="000000"/>
                <w:sz w:val="16"/>
                <w:szCs w:val="16"/>
              </w:rPr>
              <w:t>Loan</w:t>
            </w:r>
            <w:proofErr w:type="gramStart"/>
            <w:r>
              <w:rPr>
                <w:rFonts w:eastAsia="Arial" w:cs="Arial"/>
                <w:color w:val="000000"/>
                <w:sz w:val="16"/>
                <w:szCs w:val="16"/>
              </w:rPr>
              <w:t>:deposit</w:t>
            </w:r>
            <w:proofErr w:type="gramEnd"/>
            <w:r>
              <w:rPr>
                <w:rFonts w:eastAsia="Arial" w:cs="Arial"/>
                <w:color w:val="000000"/>
                <w:sz w:val="16"/>
                <w:szCs w:val="16"/>
              </w:rPr>
              <w:t xml:space="preserve"> ratio (%)</w:t>
            </w:r>
          </w:p>
        </w:tc>
        <w:tc>
          <w:tcPr>
            <w:tcW w:w="1260" w:type="dxa"/>
            <w:tcBorders>
              <w:bottom w:val="single" w:sz="6" w:space="0" w:color="003366"/>
            </w:tcBorders>
            <w:shd w:val="clear" w:color="auto" w:fill="C0C0C0"/>
            <w:tcMar>
              <w:top w:w="0" w:type="dxa"/>
              <w:left w:w="5" w:type="dxa"/>
              <w:bottom w:w="0" w:type="dxa"/>
              <w:right w:w="5" w:type="dxa"/>
            </w:tcMar>
            <w:vAlign w:val="center"/>
            <w:hideMark/>
          </w:tcPr>
          <w:p w:rsidR="001D2580" w:rsidRDefault="00E02264">
            <w:pPr>
              <w:spacing w:line="240" w:lineRule="auto"/>
              <w:contextualSpacing/>
              <w:jc w:val="right"/>
              <w:rPr>
                <w:rFonts w:eastAsia="Arial" w:cs="Arial"/>
                <w:b/>
                <w:bCs/>
                <w:color w:val="000000"/>
                <w:sz w:val="16"/>
                <w:szCs w:val="16"/>
              </w:rPr>
            </w:pPr>
            <w:r>
              <w:rPr>
                <w:rFonts w:eastAsia="Arial" w:cs="Arial"/>
                <w:b/>
                <w:bCs/>
                <w:color w:val="000000"/>
                <w:sz w:val="16"/>
                <w:szCs w:val="16"/>
              </w:rPr>
              <w:t>86%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1D2580" w:rsidRDefault="00E02264">
            <w:pPr>
              <w:spacing w:line="240" w:lineRule="auto"/>
              <w:contextualSpacing/>
              <w:jc w:val="right"/>
              <w:rPr>
                <w:rFonts w:eastAsia="Arial" w:cs="Arial"/>
                <w:color w:val="000000"/>
                <w:sz w:val="16"/>
                <w:szCs w:val="16"/>
              </w:rPr>
            </w:pPr>
            <w:r>
              <w:rPr>
                <w:rFonts w:eastAsia="Arial" w:cs="Arial"/>
                <w:color w:val="000000"/>
                <w:sz w:val="16"/>
                <w:szCs w:val="16"/>
              </w:rPr>
              <w:t>85%</w:t>
            </w:r>
          </w:p>
        </w:tc>
      </w:tr>
    </w:tbl>
    <w:p w:rsidR="002C452D" w:rsidRDefault="002C452D" w:rsidP="007561B2">
      <w:pPr>
        <w:pStyle w:val="GCAHeader1140"/>
        <w:jc w:val="both"/>
        <w:outlineLvl w:val="0"/>
        <w:rPr>
          <w:b w:val="0"/>
          <w:color w:val="000000"/>
          <w:sz w:val="18"/>
          <w:szCs w:val="18"/>
          <w:lang w:eastAsia="en-GB"/>
        </w:rPr>
      </w:pPr>
    </w:p>
    <w:p w:rsidR="007561B2" w:rsidRDefault="00E02264" w:rsidP="007561B2">
      <w:pPr>
        <w:pStyle w:val="GCAHeader1140"/>
        <w:jc w:val="both"/>
        <w:outlineLvl w:val="0"/>
        <w:rPr>
          <w:b w:val="0"/>
          <w:color w:val="000000"/>
          <w:sz w:val="18"/>
          <w:szCs w:val="18"/>
          <w:lang w:eastAsia="en-GB"/>
        </w:rPr>
      </w:pPr>
      <w:r>
        <w:rPr>
          <w:b w:val="0"/>
          <w:color w:val="000000"/>
          <w:sz w:val="18"/>
          <w:szCs w:val="18"/>
          <w:lang w:eastAsia="en-GB"/>
        </w:rPr>
        <w:t>Legal Entity Identifier: 2138005O9XJIJN4JPN90</w:t>
      </w:r>
    </w:p>
    <w:p w:rsidR="00C36715" w:rsidRDefault="00C36715"/>
    <w:sectPr w:rsidR="00C36715" w:rsidSect="00563E6E">
      <w:pgSz w:w="11906" w:h="16838"/>
      <w:pgMar w:top="1134"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D46" w:rsidRDefault="00E02264">
      <w:pPr>
        <w:spacing w:line="240" w:lineRule="auto"/>
      </w:pPr>
      <w:r>
        <w:separator/>
      </w:r>
    </w:p>
  </w:endnote>
  <w:endnote w:type="continuationSeparator" w:id="0">
    <w:p w:rsidR="00FE4D46" w:rsidRDefault="00E02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96" w:rsidRDefault="00B07396"/>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3E" w:rsidRDefault="009A6A3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430506"/>
      <w:docPartObj>
        <w:docPartGallery w:val="Page Numbers (Bottom of Page)"/>
        <w:docPartUnique/>
      </w:docPartObj>
    </w:sdtPr>
    <w:sdtEndPr>
      <w:rPr>
        <w:noProof/>
      </w:rPr>
    </w:sdtEndPr>
    <w:sdtContent>
      <w:p w:rsidR="009A6A3E" w:rsidRDefault="00E02264">
        <w:pPr>
          <w:pStyle w:val="Footer"/>
          <w:jc w:val="center"/>
        </w:pPr>
        <w:r>
          <w:fldChar w:fldCharType="begin"/>
        </w:r>
        <w:r>
          <w:instrText xml:space="preserve"> PAGE   \* MERGEFORMAT </w:instrText>
        </w:r>
        <w:r>
          <w:fldChar w:fldCharType="separate"/>
        </w:r>
        <w:r w:rsidR="005C2F1A">
          <w:rPr>
            <w:noProof/>
          </w:rPr>
          <w:t>7</w:t>
        </w:r>
        <w:r>
          <w:rPr>
            <w:noProof/>
          </w:rPr>
          <w:fldChar w:fldCharType="end"/>
        </w:r>
      </w:p>
    </w:sdtContent>
  </w:sdt>
  <w:p w:rsidR="009A6A3E" w:rsidRDefault="00E02264" w:rsidP="004A797B">
    <w:pPr>
      <w:pStyle w:val="Footer"/>
    </w:pPr>
    <w:r>
      <w:t>RBS – Q3 2019 Results</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3E" w:rsidRDefault="009A6A3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028981"/>
      <w:docPartObj>
        <w:docPartGallery w:val="Page Numbers (Bottom of Page)"/>
        <w:docPartUnique/>
      </w:docPartObj>
    </w:sdtPr>
    <w:sdtEndPr>
      <w:rPr>
        <w:noProof/>
      </w:rPr>
    </w:sdtEndPr>
    <w:sdtContent>
      <w:p w:rsidR="00DC202D" w:rsidRDefault="00E02264">
        <w:pPr>
          <w:pStyle w:val="Footer"/>
          <w:jc w:val="center"/>
        </w:pPr>
        <w:r>
          <w:fldChar w:fldCharType="begin"/>
        </w:r>
        <w:r>
          <w:instrText xml:space="preserve"> PAGE   \* MERGEFORMAT </w:instrText>
        </w:r>
        <w:r>
          <w:fldChar w:fldCharType="separate"/>
        </w:r>
        <w:r w:rsidR="005C2F1A">
          <w:rPr>
            <w:noProof/>
          </w:rPr>
          <w:t>9</w:t>
        </w:r>
        <w:r>
          <w:rPr>
            <w:noProof/>
          </w:rPr>
          <w:fldChar w:fldCharType="end"/>
        </w:r>
      </w:p>
    </w:sdtContent>
  </w:sdt>
  <w:p w:rsidR="00DC202D" w:rsidRDefault="00E02264" w:rsidP="004A797B">
    <w:pPr>
      <w:pStyle w:val="Footer"/>
    </w:pPr>
    <w:r>
      <w:t>RBS – Q3 2019 Results</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210910"/>
      <w:docPartObj>
        <w:docPartGallery w:val="Page Numbers (Bottom of Page)"/>
        <w:docPartUnique/>
      </w:docPartObj>
    </w:sdtPr>
    <w:sdtEndPr>
      <w:rPr>
        <w:noProof/>
      </w:rPr>
    </w:sdtEndPr>
    <w:sdtContent>
      <w:p w:rsidR="004A797B" w:rsidRDefault="00E02264">
        <w:pPr>
          <w:pStyle w:val="Footer"/>
          <w:jc w:val="center"/>
        </w:pPr>
        <w:r>
          <w:fldChar w:fldCharType="begin"/>
        </w:r>
        <w:r>
          <w:instrText xml:space="preserve"> PAGE   \* MERGEFORMAT </w:instrText>
        </w:r>
        <w:r>
          <w:fldChar w:fldCharType="separate"/>
        </w:r>
        <w:r w:rsidR="000F3C46">
          <w:rPr>
            <w:noProof/>
          </w:rPr>
          <w:t>13</w:t>
        </w:r>
        <w:r>
          <w:rPr>
            <w:noProof/>
          </w:rPr>
          <w:fldChar w:fldCharType="end"/>
        </w:r>
      </w:p>
    </w:sdtContent>
  </w:sdt>
  <w:p w:rsidR="004A797B" w:rsidRDefault="00E02264" w:rsidP="004A797B">
    <w:pPr>
      <w:pStyle w:val="Footer"/>
    </w:pPr>
    <w:r>
      <w:t>RBS – Q3 2019 Results</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277" w:rsidRDefault="008E5277" w:rsidP="009E1D0C">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64962"/>
      <w:docPartObj>
        <w:docPartGallery w:val="Page Numbers (Bottom of Page)"/>
        <w:docPartUnique/>
      </w:docPartObj>
    </w:sdtPr>
    <w:sdtEndPr>
      <w:rPr>
        <w:noProof/>
      </w:rPr>
    </w:sdtEndPr>
    <w:sdtContent>
      <w:p w:rsidR="004A797B" w:rsidRDefault="00E02264">
        <w:pPr>
          <w:pStyle w:val="Footer"/>
          <w:jc w:val="center"/>
        </w:pPr>
        <w:r>
          <w:fldChar w:fldCharType="begin"/>
        </w:r>
        <w:r>
          <w:instrText xml:space="preserve"> PAGE   \* MERGEFORMAT </w:instrText>
        </w:r>
        <w:r>
          <w:fldChar w:fldCharType="separate"/>
        </w:r>
        <w:r w:rsidR="000F3C46">
          <w:rPr>
            <w:noProof/>
          </w:rPr>
          <w:t>14</w:t>
        </w:r>
        <w:r>
          <w:rPr>
            <w:noProof/>
          </w:rPr>
          <w:fldChar w:fldCharType="end"/>
        </w:r>
      </w:p>
    </w:sdtContent>
  </w:sdt>
  <w:p w:rsidR="004A797B" w:rsidRDefault="00E02264" w:rsidP="004A797B">
    <w:pPr>
      <w:pStyle w:val="Footer"/>
    </w:pPr>
    <w:r>
      <w:t>RBS – Q3 2019 Results</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000281"/>
      <w:docPartObj>
        <w:docPartGallery w:val="Page Numbers (Bottom of Page)"/>
        <w:docPartUnique/>
      </w:docPartObj>
    </w:sdtPr>
    <w:sdtEndPr>
      <w:rPr>
        <w:noProof/>
      </w:rPr>
    </w:sdtEndPr>
    <w:sdtContent>
      <w:p w:rsidR="004A797B" w:rsidRDefault="00E02264">
        <w:pPr>
          <w:pStyle w:val="Footer"/>
          <w:jc w:val="center"/>
        </w:pPr>
        <w:r>
          <w:fldChar w:fldCharType="begin"/>
        </w:r>
        <w:r>
          <w:instrText xml:space="preserve"> PAGE   \* MERGEFORMAT </w:instrText>
        </w:r>
        <w:r>
          <w:fldChar w:fldCharType="separate"/>
        </w:r>
        <w:r w:rsidR="000F3C46">
          <w:rPr>
            <w:noProof/>
          </w:rPr>
          <w:t>18</w:t>
        </w:r>
        <w:r>
          <w:rPr>
            <w:noProof/>
          </w:rPr>
          <w:fldChar w:fldCharType="end"/>
        </w:r>
      </w:p>
    </w:sdtContent>
  </w:sdt>
  <w:p w:rsidR="004A797B" w:rsidRDefault="00E02264" w:rsidP="004A797B">
    <w:pPr>
      <w:pStyle w:val="Footer"/>
    </w:pPr>
    <w:r>
      <w:t>RBS – Q3 2019 Results</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273979"/>
      <w:docPartObj>
        <w:docPartGallery w:val="Page Numbers (Bottom of Page)"/>
        <w:docPartUnique/>
      </w:docPartObj>
    </w:sdtPr>
    <w:sdtEndPr>
      <w:rPr>
        <w:noProof/>
      </w:rPr>
    </w:sdtEndPr>
    <w:sdtContent>
      <w:p w:rsidR="004A797B" w:rsidRDefault="00E02264">
        <w:pPr>
          <w:pStyle w:val="Footer"/>
          <w:jc w:val="center"/>
        </w:pPr>
        <w:r>
          <w:fldChar w:fldCharType="begin"/>
        </w:r>
        <w:r>
          <w:instrText xml:space="preserve"> PAGE   \* MERGEFORMAT </w:instrText>
        </w:r>
        <w:r>
          <w:fldChar w:fldCharType="separate"/>
        </w:r>
        <w:r w:rsidR="0005496B">
          <w:rPr>
            <w:noProof/>
          </w:rPr>
          <w:t>20</w:t>
        </w:r>
        <w:r>
          <w:rPr>
            <w:noProof/>
          </w:rPr>
          <w:fldChar w:fldCharType="end"/>
        </w:r>
      </w:p>
    </w:sdtContent>
  </w:sdt>
  <w:p w:rsidR="004A797B" w:rsidRDefault="00E02264" w:rsidP="004A797B">
    <w:pPr>
      <w:pStyle w:val="Footer"/>
    </w:pPr>
    <w:r>
      <w:t>RBS – Q3 2019 Results</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538786"/>
      <w:docPartObj>
        <w:docPartGallery w:val="Page Numbers (Bottom of Page)"/>
        <w:docPartUnique/>
      </w:docPartObj>
    </w:sdtPr>
    <w:sdtEndPr>
      <w:rPr>
        <w:noProof/>
      </w:rPr>
    </w:sdtEndPr>
    <w:sdtContent>
      <w:p w:rsidR="004A797B" w:rsidRDefault="00E02264">
        <w:pPr>
          <w:pStyle w:val="Footer"/>
          <w:jc w:val="center"/>
        </w:pPr>
        <w:r>
          <w:fldChar w:fldCharType="begin"/>
        </w:r>
        <w:r>
          <w:instrText xml:space="preserve"> PAGE   \* MERGEFORMAT </w:instrText>
        </w:r>
        <w:r>
          <w:fldChar w:fldCharType="separate"/>
        </w:r>
        <w:r w:rsidR="0005496B">
          <w:rPr>
            <w:noProof/>
          </w:rPr>
          <w:t>21</w:t>
        </w:r>
        <w:r>
          <w:rPr>
            <w:noProof/>
          </w:rPr>
          <w:fldChar w:fldCharType="end"/>
        </w:r>
      </w:p>
    </w:sdtContent>
  </w:sdt>
  <w:p w:rsidR="004A797B" w:rsidRDefault="00E02264" w:rsidP="004A797B">
    <w:pPr>
      <w:pStyle w:val="Footer"/>
    </w:pPr>
    <w:r>
      <w:t>RBS – Q3 2019 Results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96" w:rsidRDefault="00B07396"/>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935113"/>
      <w:docPartObj>
        <w:docPartGallery w:val="Page Numbers (Bottom of Page)"/>
        <w:docPartUnique/>
      </w:docPartObj>
    </w:sdtPr>
    <w:sdtEndPr>
      <w:rPr>
        <w:noProof/>
      </w:rPr>
    </w:sdtEndPr>
    <w:sdtContent>
      <w:p w:rsidR="004A797B" w:rsidRDefault="00E02264">
        <w:pPr>
          <w:pStyle w:val="Footer"/>
          <w:jc w:val="center"/>
        </w:pPr>
        <w:r>
          <w:fldChar w:fldCharType="begin"/>
        </w:r>
        <w:r>
          <w:instrText xml:space="preserve"> PAGE   \* MERGEFORMAT </w:instrText>
        </w:r>
        <w:r>
          <w:fldChar w:fldCharType="separate"/>
        </w:r>
        <w:r w:rsidR="0005496B">
          <w:rPr>
            <w:noProof/>
          </w:rPr>
          <w:t>22</w:t>
        </w:r>
        <w:r>
          <w:rPr>
            <w:noProof/>
          </w:rPr>
          <w:fldChar w:fldCharType="end"/>
        </w:r>
      </w:p>
    </w:sdtContent>
  </w:sdt>
  <w:p w:rsidR="004A797B" w:rsidRDefault="00E02264" w:rsidP="004A797B">
    <w:pPr>
      <w:pStyle w:val="Footer"/>
    </w:pPr>
    <w:r>
      <w:t>RBS – Q3 2019 Results</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673038"/>
      <w:docPartObj>
        <w:docPartGallery w:val="Page Numbers (Bottom of Page)"/>
        <w:docPartUnique/>
      </w:docPartObj>
    </w:sdtPr>
    <w:sdtEndPr>
      <w:rPr>
        <w:noProof/>
      </w:rPr>
    </w:sdtEndPr>
    <w:sdtContent>
      <w:p w:rsidR="004A797B" w:rsidRDefault="00E0226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A797B" w:rsidRDefault="00E02264" w:rsidP="004A797B">
    <w:pPr>
      <w:pStyle w:val="Footer"/>
    </w:pPr>
    <w:r>
      <w:t>RBS – Q3 2019 Results</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2A" w:rsidRDefault="00D2372A"/>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521416"/>
      <w:docPartObj>
        <w:docPartGallery w:val="Page Numbers (Bottom of Page)"/>
        <w:docPartUnique/>
      </w:docPartObj>
    </w:sdtPr>
    <w:sdtEndPr>
      <w:rPr>
        <w:noProof/>
      </w:rPr>
    </w:sdtEndPr>
    <w:sdtContent>
      <w:p w:rsidR="004A797B" w:rsidRDefault="00E02264">
        <w:pPr>
          <w:pStyle w:val="Footer"/>
          <w:jc w:val="center"/>
        </w:pPr>
        <w:r>
          <w:fldChar w:fldCharType="begin"/>
        </w:r>
        <w:r>
          <w:instrText xml:space="preserve"> PAGE   \* MERGEFORMAT </w:instrText>
        </w:r>
        <w:r>
          <w:fldChar w:fldCharType="separate"/>
        </w:r>
        <w:r w:rsidR="0005496B">
          <w:rPr>
            <w:noProof/>
          </w:rPr>
          <w:t>23</w:t>
        </w:r>
        <w:r>
          <w:rPr>
            <w:noProof/>
          </w:rPr>
          <w:fldChar w:fldCharType="end"/>
        </w:r>
      </w:p>
    </w:sdtContent>
  </w:sdt>
  <w:p w:rsidR="004A797B" w:rsidRDefault="00E02264" w:rsidP="004A797B">
    <w:pPr>
      <w:pStyle w:val="Footer"/>
    </w:pPr>
    <w:r>
      <w:t>RBS – Q3 2019 Results</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2A" w:rsidRDefault="00D2372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274264"/>
      <w:docPartObj>
        <w:docPartGallery w:val="Page Numbers (Bottom of Page)"/>
        <w:docPartUnique/>
      </w:docPartObj>
    </w:sdtPr>
    <w:sdtEndPr>
      <w:rPr>
        <w:noProof/>
      </w:rPr>
    </w:sdtEndPr>
    <w:sdtContent>
      <w:p w:rsidR="004A797B" w:rsidRDefault="00E0226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A797B" w:rsidRDefault="00E02264" w:rsidP="004A797B">
    <w:pPr>
      <w:pStyle w:val="Footer"/>
    </w:pPr>
    <w:r>
      <w:t>RBS – Q3 2019 Results</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Default="007F5685">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Default="007F5685" w:rsidP="003C062F">
    <w:pPr>
      <w:pStyle w:val="Footer"/>
      <w:jc w:val="cen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Default="007F5685">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Default="007F5685"/>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966891"/>
      <w:docPartObj>
        <w:docPartGallery w:val="Page Numbers (Bottom of Page)"/>
        <w:docPartUnique/>
      </w:docPartObj>
    </w:sdtPr>
    <w:sdtEndPr>
      <w:rPr>
        <w:noProof/>
      </w:rPr>
    </w:sdtEndPr>
    <w:sdtContent>
      <w:p w:rsidR="007F5685" w:rsidRDefault="00E02264">
        <w:pPr>
          <w:pStyle w:val="Footer"/>
          <w:jc w:val="center"/>
        </w:pPr>
        <w:r>
          <w:fldChar w:fldCharType="begin"/>
        </w:r>
        <w:r>
          <w:instrText xml:space="preserve"> PAGE   \* MERGEFORMAT </w:instrText>
        </w:r>
        <w:r>
          <w:fldChar w:fldCharType="separate"/>
        </w:r>
        <w:r w:rsidR="0005496B">
          <w:rPr>
            <w:noProof/>
          </w:rPr>
          <w:t>29</w:t>
        </w:r>
        <w:r>
          <w:rPr>
            <w:noProof/>
          </w:rPr>
          <w:fldChar w:fldCharType="end"/>
        </w:r>
      </w:p>
    </w:sdtContent>
  </w:sdt>
  <w:p w:rsidR="007F5685" w:rsidRDefault="00E02264" w:rsidP="004A797B">
    <w:pPr>
      <w:pStyle w:val="Footer"/>
    </w:pPr>
    <w:r>
      <w:t>RBS – Q3 2019 Results</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Default="007F568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521667"/>
      <w:docPartObj>
        <w:docPartGallery w:val="Page Numbers (Bottom of Page)"/>
        <w:docPartUnique/>
      </w:docPartObj>
    </w:sdtPr>
    <w:sdtEndPr>
      <w:rPr>
        <w:noProof/>
      </w:rPr>
    </w:sdtEndPr>
    <w:sdtContent>
      <w:p w:rsidR="004A797B" w:rsidRDefault="00E02264">
        <w:pPr>
          <w:pStyle w:val="Footer"/>
          <w:jc w:val="center"/>
        </w:pPr>
        <w:r>
          <w:fldChar w:fldCharType="begin"/>
        </w:r>
        <w:r>
          <w:instrText xml:space="preserve"> PAGE   \* MERGEFORMAT </w:instrText>
        </w:r>
        <w:r>
          <w:fldChar w:fldCharType="separate"/>
        </w:r>
        <w:r w:rsidR="00EB77F8">
          <w:rPr>
            <w:noProof/>
          </w:rPr>
          <w:t>1</w:t>
        </w:r>
        <w:r>
          <w:rPr>
            <w:noProof/>
          </w:rPr>
          <w:fldChar w:fldCharType="end"/>
        </w:r>
      </w:p>
    </w:sdtContent>
  </w:sdt>
  <w:p w:rsidR="004A797B" w:rsidRDefault="00E02264" w:rsidP="004A797B">
    <w:pPr>
      <w:pStyle w:val="Footer"/>
    </w:pPr>
    <w:r>
      <w:t>RBS – Q3 2019 Results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132828"/>
      <w:docPartObj>
        <w:docPartGallery w:val="Page Numbers (Bottom of Page)"/>
        <w:docPartUnique/>
      </w:docPartObj>
    </w:sdtPr>
    <w:sdtEndPr>
      <w:rPr>
        <w:noProof/>
      </w:rPr>
    </w:sdtEndPr>
    <w:sdtContent>
      <w:p w:rsidR="00CD29A0" w:rsidRDefault="00E02264">
        <w:pPr>
          <w:pStyle w:val="Footer"/>
          <w:jc w:val="center"/>
        </w:pPr>
        <w:r>
          <w:fldChar w:fldCharType="begin"/>
        </w:r>
        <w:r>
          <w:instrText xml:space="preserve"> PAGE   \* MERGEFORMAT </w:instrText>
        </w:r>
        <w:r>
          <w:fldChar w:fldCharType="separate"/>
        </w:r>
        <w:r w:rsidR="000F3C46">
          <w:rPr>
            <w:noProof/>
          </w:rPr>
          <w:t>2</w:t>
        </w:r>
        <w:r>
          <w:rPr>
            <w:noProof/>
          </w:rPr>
          <w:fldChar w:fldCharType="end"/>
        </w:r>
      </w:p>
    </w:sdtContent>
  </w:sdt>
  <w:p w:rsidR="00CD29A0" w:rsidRDefault="00E02264" w:rsidP="004A797B">
    <w:pPr>
      <w:pStyle w:val="Footer"/>
    </w:pPr>
    <w:r>
      <w:t>RBS – Q3 2019 Results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D46" w:rsidRDefault="00E02264">
      <w:pPr>
        <w:spacing w:line="240" w:lineRule="auto"/>
      </w:pPr>
      <w:r>
        <w:separator/>
      </w:r>
    </w:p>
  </w:footnote>
  <w:footnote w:type="continuationSeparator" w:id="0">
    <w:p w:rsidR="00FE4D46" w:rsidRDefault="00E022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96" w:rsidRDefault="00B0739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3E" w:rsidRDefault="009A6A3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3E" w:rsidRDefault="009A6A3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A3E" w:rsidRDefault="009A6A3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B" w:rsidRDefault="004A797B">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96" w:rsidRDefault="00B07396"/>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B" w:rsidRDefault="004A797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B" w:rsidRDefault="004A797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B" w:rsidRDefault="004A797B">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B" w:rsidRDefault="004A79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396" w:rsidRDefault="00B07396"/>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B" w:rsidRDefault="004A797B">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B" w:rsidRDefault="004A797B">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2A" w:rsidRDefault="00D2372A"/>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B" w:rsidRDefault="004A797B">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2A" w:rsidRDefault="00D2372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7B" w:rsidRDefault="004A797B">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Default="007F5685">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Default="007F5685">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Default="007F5685">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Default="007F5685"/>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Pr="00073BD4" w:rsidRDefault="007F5685" w:rsidP="00073BD4">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685" w:rsidRDefault="007F568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A0" w:rsidRDefault="00CD29A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433" w:rsidRDefault="008E04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5208980"/>
    <w:lvl w:ilvl="0" w:tplc="4D341146">
      <w:start w:val="1"/>
      <w:numFmt w:val="decimal"/>
      <w:lvlText w:val="(%1)"/>
      <w:lvlJc w:val="left"/>
      <w:pPr>
        <w:tabs>
          <w:tab w:val="num" w:pos="284"/>
        </w:tabs>
        <w:ind w:left="284" w:hanging="284"/>
      </w:pPr>
      <w:rPr>
        <w:rFonts w:ascii="Arial" w:hAnsi="Arial" w:cs="Times New Roman" w:hint="default"/>
        <w:b w:val="0"/>
        <w:i w:val="0"/>
        <w:color w:val="auto"/>
        <w:sz w:val="14"/>
        <w:szCs w:val="14"/>
      </w:rPr>
    </w:lvl>
    <w:lvl w:ilvl="1" w:tplc="FEA6CD1E" w:tentative="1">
      <w:start w:val="1"/>
      <w:numFmt w:val="lowerLetter"/>
      <w:lvlText w:val="%2."/>
      <w:lvlJc w:val="left"/>
      <w:pPr>
        <w:tabs>
          <w:tab w:val="num" w:pos="1440"/>
        </w:tabs>
        <w:ind w:left="1440" w:hanging="360"/>
      </w:pPr>
      <w:rPr>
        <w:rFonts w:cs="Times New Roman"/>
      </w:rPr>
    </w:lvl>
    <w:lvl w:ilvl="2" w:tplc="79FAD91E" w:tentative="1">
      <w:start w:val="1"/>
      <w:numFmt w:val="lowerRoman"/>
      <w:lvlText w:val="%3."/>
      <w:lvlJc w:val="right"/>
      <w:pPr>
        <w:tabs>
          <w:tab w:val="num" w:pos="2160"/>
        </w:tabs>
        <w:ind w:left="2160" w:hanging="180"/>
      </w:pPr>
      <w:rPr>
        <w:rFonts w:cs="Times New Roman"/>
      </w:rPr>
    </w:lvl>
    <w:lvl w:ilvl="3" w:tplc="EF02A70A" w:tentative="1">
      <w:start w:val="1"/>
      <w:numFmt w:val="decimal"/>
      <w:lvlText w:val="%4."/>
      <w:lvlJc w:val="left"/>
      <w:pPr>
        <w:tabs>
          <w:tab w:val="num" w:pos="2880"/>
        </w:tabs>
        <w:ind w:left="2880" w:hanging="360"/>
      </w:pPr>
      <w:rPr>
        <w:rFonts w:cs="Times New Roman"/>
      </w:rPr>
    </w:lvl>
    <w:lvl w:ilvl="4" w:tplc="CB946EAE" w:tentative="1">
      <w:start w:val="1"/>
      <w:numFmt w:val="lowerLetter"/>
      <w:lvlText w:val="%5."/>
      <w:lvlJc w:val="left"/>
      <w:pPr>
        <w:tabs>
          <w:tab w:val="num" w:pos="3600"/>
        </w:tabs>
        <w:ind w:left="3600" w:hanging="360"/>
      </w:pPr>
      <w:rPr>
        <w:rFonts w:cs="Times New Roman"/>
      </w:rPr>
    </w:lvl>
    <w:lvl w:ilvl="5" w:tplc="9B047432" w:tentative="1">
      <w:start w:val="1"/>
      <w:numFmt w:val="lowerRoman"/>
      <w:lvlText w:val="%6."/>
      <w:lvlJc w:val="right"/>
      <w:pPr>
        <w:tabs>
          <w:tab w:val="num" w:pos="4320"/>
        </w:tabs>
        <w:ind w:left="4320" w:hanging="180"/>
      </w:pPr>
      <w:rPr>
        <w:rFonts w:cs="Times New Roman"/>
      </w:rPr>
    </w:lvl>
    <w:lvl w:ilvl="6" w:tplc="0E38D028" w:tentative="1">
      <w:start w:val="1"/>
      <w:numFmt w:val="decimal"/>
      <w:lvlText w:val="%7."/>
      <w:lvlJc w:val="left"/>
      <w:pPr>
        <w:tabs>
          <w:tab w:val="num" w:pos="5040"/>
        </w:tabs>
        <w:ind w:left="5040" w:hanging="360"/>
      </w:pPr>
      <w:rPr>
        <w:rFonts w:cs="Times New Roman"/>
      </w:rPr>
    </w:lvl>
    <w:lvl w:ilvl="7" w:tplc="4530C7A0" w:tentative="1">
      <w:start w:val="1"/>
      <w:numFmt w:val="lowerLetter"/>
      <w:lvlText w:val="%8."/>
      <w:lvlJc w:val="left"/>
      <w:pPr>
        <w:tabs>
          <w:tab w:val="num" w:pos="5760"/>
        </w:tabs>
        <w:ind w:left="5760" w:hanging="360"/>
      </w:pPr>
      <w:rPr>
        <w:rFonts w:cs="Times New Roman"/>
      </w:rPr>
    </w:lvl>
    <w:lvl w:ilvl="8" w:tplc="BAF6E31A" w:tentative="1">
      <w:start w:val="1"/>
      <w:numFmt w:val="lowerRoman"/>
      <w:lvlText w:val="%9."/>
      <w:lvlJc w:val="right"/>
      <w:pPr>
        <w:tabs>
          <w:tab w:val="num" w:pos="6480"/>
        </w:tabs>
        <w:ind w:left="6480" w:hanging="180"/>
      </w:pPr>
      <w:rPr>
        <w:rFonts w:cs="Times New Roman"/>
      </w:rPr>
    </w:lvl>
  </w:abstractNum>
  <w:abstractNum w:abstractNumId="1">
    <w:nsid w:val="00000002"/>
    <w:multiLevelType w:val="hybridMultilevel"/>
    <w:tmpl w:val="D8C6A190"/>
    <w:lvl w:ilvl="0" w:tplc="F02A0760">
      <w:start w:val="1"/>
      <w:numFmt w:val="decimal"/>
      <w:lvlText w:val="(%1)"/>
      <w:lvlJc w:val="left"/>
      <w:pPr>
        <w:tabs>
          <w:tab w:val="num" w:pos="284"/>
        </w:tabs>
        <w:ind w:left="284" w:hanging="284"/>
      </w:pPr>
      <w:rPr>
        <w:rFonts w:ascii="Arial" w:hAnsi="Arial" w:hint="default"/>
        <w:color w:val="auto"/>
        <w:sz w:val="14"/>
      </w:rPr>
    </w:lvl>
    <w:lvl w:ilvl="1" w:tplc="5B240374" w:tentative="1">
      <w:start w:val="1"/>
      <w:numFmt w:val="lowerLetter"/>
      <w:lvlText w:val="%2."/>
      <w:lvlJc w:val="left"/>
      <w:pPr>
        <w:tabs>
          <w:tab w:val="num" w:pos="1440"/>
        </w:tabs>
        <w:ind w:left="1440" w:hanging="360"/>
      </w:pPr>
    </w:lvl>
    <w:lvl w:ilvl="2" w:tplc="F092AC62" w:tentative="1">
      <w:start w:val="1"/>
      <w:numFmt w:val="lowerRoman"/>
      <w:lvlText w:val="%3."/>
      <w:lvlJc w:val="right"/>
      <w:pPr>
        <w:tabs>
          <w:tab w:val="num" w:pos="2160"/>
        </w:tabs>
        <w:ind w:left="2160" w:hanging="180"/>
      </w:pPr>
    </w:lvl>
    <w:lvl w:ilvl="3" w:tplc="A008D5DE" w:tentative="1">
      <w:start w:val="1"/>
      <w:numFmt w:val="decimal"/>
      <w:lvlText w:val="%4."/>
      <w:lvlJc w:val="left"/>
      <w:pPr>
        <w:tabs>
          <w:tab w:val="num" w:pos="2880"/>
        </w:tabs>
        <w:ind w:left="2880" w:hanging="360"/>
      </w:pPr>
    </w:lvl>
    <w:lvl w:ilvl="4" w:tplc="59CEA818" w:tentative="1">
      <w:start w:val="1"/>
      <w:numFmt w:val="lowerLetter"/>
      <w:lvlText w:val="%5."/>
      <w:lvlJc w:val="left"/>
      <w:pPr>
        <w:tabs>
          <w:tab w:val="num" w:pos="3600"/>
        </w:tabs>
        <w:ind w:left="3600" w:hanging="360"/>
      </w:pPr>
    </w:lvl>
    <w:lvl w:ilvl="5" w:tplc="12B27FBA" w:tentative="1">
      <w:start w:val="1"/>
      <w:numFmt w:val="lowerRoman"/>
      <w:lvlText w:val="%6."/>
      <w:lvlJc w:val="right"/>
      <w:pPr>
        <w:tabs>
          <w:tab w:val="num" w:pos="4320"/>
        </w:tabs>
        <w:ind w:left="4320" w:hanging="180"/>
      </w:pPr>
    </w:lvl>
    <w:lvl w:ilvl="6" w:tplc="74C06E26" w:tentative="1">
      <w:start w:val="1"/>
      <w:numFmt w:val="decimal"/>
      <w:lvlText w:val="%7."/>
      <w:lvlJc w:val="left"/>
      <w:pPr>
        <w:tabs>
          <w:tab w:val="num" w:pos="5040"/>
        </w:tabs>
        <w:ind w:left="5040" w:hanging="360"/>
      </w:pPr>
    </w:lvl>
    <w:lvl w:ilvl="7" w:tplc="435C9BFC" w:tentative="1">
      <w:start w:val="1"/>
      <w:numFmt w:val="lowerLetter"/>
      <w:lvlText w:val="%8."/>
      <w:lvlJc w:val="left"/>
      <w:pPr>
        <w:tabs>
          <w:tab w:val="num" w:pos="5760"/>
        </w:tabs>
        <w:ind w:left="5760" w:hanging="360"/>
      </w:pPr>
    </w:lvl>
    <w:lvl w:ilvl="8" w:tplc="B40CE2EC" w:tentative="1">
      <w:start w:val="1"/>
      <w:numFmt w:val="lowerRoman"/>
      <w:lvlText w:val="%9."/>
      <w:lvlJc w:val="right"/>
      <w:pPr>
        <w:tabs>
          <w:tab w:val="num" w:pos="6480"/>
        </w:tabs>
        <w:ind w:left="6480" w:hanging="180"/>
      </w:pPr>
    </w:lvl>
  </w:abstractNum>
  <w:abstractNum w:abstractNumId="2">
    <w:nsid w:val="00000005"/>
    <w:multiLevelType w:val="hybridMultilevel"/>
    <w:tmpl w:val="CB82AEDC"/>
    <w:lvl w:ilvl="0" w:tplc="4A1A36B2">
      <w:start w:val="1"/>
      <w:numFmt w:val="decimal"/>
      <w:lvlText w:val="(%1)"/>
      <w:lvlJc w:val="left"/>
      <w:pPr>
        <w:tabs>
          <w:tab w:val="num" w:pos="284"/>
        </w:tabs>
        <w:ind w:left="284" w:hanging="284"/>
      </w:pPr>
      <w:rPr>
        <w:rFonts w:hint="default"/>
      </w:rPr>
    </w:lvl>
    <w:lvl w:ilvl="1" w:tplc="ADA65E72">
      <w:start w:val="1"/>
      <w:numFmt w:val="bullet"/>
      <w:lvlText w:val=""/>
      <w:lvlJc w:val="left"/>
      <w:pPr>
        <w:tabs>
          <w:tab w:val="num" w:pos="284"/>
        </w:tabs>
        <w:ind w:left="284" w:hanging="284"/>
      </w:pPr>
      <w:rPr>
        <w:rFonts w:ascii="Symbol" w:hAnsi="Symbol" w:hint="default"/>
        <w:color w:val="000080"/>
        <w:sz w:val="16"/>
      </w:rPr>
    </w:lvl>
    <w:lvl w:ilvl="2" w:tplc="8FF63500" w:tentative="1">
      <w:start w:val="1"/>
      <w:numFmt w:val="lowerRoman"/>
      <w:lvlText w:val="%3."/>
      <w:lvlJc w:val="right"/>
      <w:pPr>
        <w:tabs>
          <w:tab w:val="num" w:pos="2160"/>
        </w:tabs>
        <w:ind w:left="2160" w:hanging="180"/>
      </w:pPr>
    </w:lvl>
    <w:lvl w:ilvl="3" w:tplc="894E0598" w:tentative="1">
      <w:start w:val="1"/>
      <w:numFmt w:val="decimal"/>
      <w:lvlText w:val="%4."/>
      <w:lvlJc w:val="left"/>
      <w:pPr>
        <w:tabs>
          <w:tab w:val="num" w:pos="2880"/>
        </w:tabs>
        <w:ind w:left="2880" w:hanging="360"/>
      </w:pPr>
    </w:lvl>
    <w:lvl w:ilvl="4" w:tplc="FF76E980" w:tentative="1">
      <w:start w:val="1"/>
      <w:numFmt w:val="lowerLetter"/>
      <w:lvlText w:val="%5."/>
      <w:lvlJc w:val="left"/>
      <w:pPr>
        <w:tabs>
          <w:tab w:val="num" w:pos="3600"/>
        </w:tabs>
        <w:ind w:left="3600" w:hanging="360"/>
      </w:pPr>
    </w:lvl>
    <w:lvl w:ilvl="5" w:tplc="6C0C714A" w:tentative="1">
      <w:start w:val="1"/>
      <w:numFmt w:val="lowerRoman"/>
      <w:lvlText w:val="%6."/>
      <w:lvlJc w:val="right"/>
      <w:pPr>
        <w:tabs>
          <w:tab w:val="num" w:pos="4320"/>
        </w:tabs>
        <w:ind w:left="4320" w:hanging="180"/>
      </w:pPr>
    </w:lvl>
    <w:lvl w:ilvl="6" w:tplc="A3126428" w:tentative="1">
      <w:start w:val="1"/>
      <w:numFmt w:val="decimal"/>
      <w:lvlText w:val="%7."/>
      <w:lvlJc w:val="left"/>
      <w:pPr>
        <w:tabs>
          <w:tab w:val="num" w:pos="5040"/>
        </w:tabs>
        <w:ind w:left="5040" w:hanging="360"/>
      </w:pPr>
    </w:lvl>
    <w:lvl w:ilvl="7" w:tplc="E9504818" w:tentative="1">
      <w:start w:val="1"/>
      <w:numFmt w:val="lowerLetter"/>
      <w:lvlText w:val="%8."/>
      <w:lvlJc w:val="left"/>
      <w:pPr>
        <w:tabs>
          <w:tab w:val="num" w:pos="5760"/>
        </w:tabs>
        <w:ind w:left="5760" w:hanging="360"/>
      </w:pPr>
    </w:lvl>
    <w:lvl w:ilvl="8" w:tplc="1F50CBE0" w:tentative="1">
      <w:start w:val="1"/>
      <w:numFmt w:val="lowerRoman"/>
      <w:lvlText w:val="%9."/>
      <w:lvlJc w:val="right"/>
      <w:pPr>
        <w:tabs>
          <w:tab w:val="num" w:pos="6480"/>
        </w:tabs>
        <w:ind w:left="6480" w:hanging="180"/>
      </w:pPr>
    </w:lvl>
  </w:abstractNum>
  <w:abstractNum w:abstractNumId="3">
    <w:nsid w:val="00000006"/>
    <w:multiLevelType w:val="hybridMultilevel"/>
    <w:tmpl w:val="A0BA8F96"/>
    <w:lvl w:ilvl="0" w:tplc="29F4BC04">
      <w:start w:val="1"/>
      <w:numFmt w:val="decimal"/>
      <w:lvlText w:val="(%1)"/>
      <w:lvlJc w:val="left"/>
      <w:pPr>
        <w:tabs>
          <w:tab w:val="num" w:pos="284"/>
        </w:tabs>
        <w:ind w:left="284" w:hanging="284"/>
      </w:pPr>
      <w:rPr>
        <w:rFonts w:ascii="Arial" w:hAnsi="Arial" w:hint="default"/>
        <w:b w:val="0"/>
        <w:i w:val="0"/>
        <w:color w:val="auto"/>
        <w:sz w:val="14"/>
      </w:rPr>
    </w:lvl>
    <w:lvl w:ilvl="1" w:tplc="5A004E80" w:tentative="1">
      <w:start w:val="1"/>
      <w:numFmt w:val="lowerLetter"/>
      <w:lvlText w:val="%2."/>
      <w:lvlJc w:val="left"/>
      <w:pPr>
        <w:tabs>
          <w:tab w:val="num" w:pos="1440"/>
        </w:tabs>
        <w:ind w:left="1440" w:hanging="360"/>
      </w:pPr>
    </w:lvl>
    <w:lvl w:ilvl="2" w:tplc="01DA65C2" w:tentative="1">
      <w:start w:val="1"/>
      <w:numFmt w:val="lowerRoman"/>
      <w:lvlText w:val="%3."/>
      <w:lvlJc w:val="right"/>
      <w:pPr>
        <w:tabs>
          <w:tab w:val="num" w:pos="2160"/>
        </w:tabs>
        <w:ind w:left="2160" w:hanging="180"/>
      </w:pPr>
    </w:lvl>
    <w:lvl w:ilvl="3" w:tplc="3E74660E" w:tentative="1">
      <w:start w:val="1"/>
      <w:numFmt w:val="decimal"/>
      <w:lvlText w:val="%4."/>
      <w:lvlJc w:val="left"/>
      <w:pPr>
        <w:tabs>
          <w:tab w:val="num" w:pos="2880"/>
        </w:tabs>
        <w:ind w:left="2880" w:hanging="360"/>
      </w:pPr>
    </w:lvl>
    <w:lvl w:ilvl="4" w:tplc="90661FA8" w:tentative="1">
      <w:start w:val="1"/>
      <w:numFmt w:val="lowerLetter"/>
      <w:lvlText w:val="%5."/>
      <w:lvlJc w:val="left"/>
      <w:pPr>
        <w:tabs>
          <w:tab w:val="num" w:pos="3600"/>
        </w:tabs>
        <w:ind w:left="3600" w:hanging="360"/>
      </w:pPr>
    </w:lvl>
    <w:lvl w:ilvl="5" w:tplc="DCFE783C" w:tentative="1">
      <w:start w:val="1"/>
      <w:numFmt w:val="lowerRoman"/>
      <w:lvlText w:val="%6."/>
      <w:lvlJc w:val="right"/>
      <w:pPr>
        <w:tabs>
          <w:tab w:val="num" w:pos="4320"/>
        </w:tabs>
        <w:ind w:left="4320" w:hanging="180"/>
      </w:pPr>
    </w:lvl>
    <w:lvl w:ilvl="6" w:tplc="FA16E1E8" w:tentative="1">
      <w:start w:val="1"/>
      <w:numFmt w:val="decimal"/>
      <w:lvlText w:val="%7."/>
      <w:lvlJc w:val="left"/>
      <w:pPr>
        <w:tabs>
          <w:tab w:val="num" w:pos="5040"/>
        </w:tabs>
        <w:ind w:left="5040" w:hanging="360"/>
      </w:pPr>
    </w:lvl>
    <w:lvl w:ilvl="7" w:tplc="313C25B4" w:tentative="1">
      <w:start w:val="1"/>
      <w:numFmt w:val="lowerLetter"/>
      <w:lvlText w:val="%8."/>
      <w:lvlJc w:val="left"/>
      <w:pPr>
        <w:tabs>
          <w:tab w:val="num" w:pos="5760"/>
        </w:tabs>
        <w:ind w:left="5760" w:hanging="360"/>
      </w:pPr>
    </w:lvl>
    <w:lvl w:ilvl="8" w:tplc="C1F43F80" w:tentative="1">
      <w:start w:val="1"/>
      <w:numFmt w:val="lowerRoman"/>
      <w:lvlText w:val="%9."/>
      <w:lvlJc w:val="right"/>
      <w:pPr>
        <w:tabs>
          <w:tab w:val="num" w:pos="6480"/>
        </w:tabs>
        <w:ind w:left="6480" w:hanging="180"/>
      </w:pPr>
    </w:lvl>
  </w:abstractNum>
  <w:abstractNum w:abstractNumId="4">
    <w:nsid w:val="0000000D"/>
    <w:multiLevelType w:val="hybridMultilevel"/>
    <w:tmpl w:val="B1C69960"/>
    <w:lvl w:ilvl="0" w:tplc="B43859DE">
      <w:start w:val="1"/>
      <w:numFmt w:val="bullet"/>
      <w:lvlText w:val=""/>
      <w:lvlJc w:val="left"/>
      <w:pPr>
        <w:tabs>
          <w:tab w:val="num" w:pos="284"/>
        </w:tabs>
        <w:ind w:left="284" w:hanging="284"/>
      </w:pPr>
      <w:rPr>
        <w:rFonts w:ascii="Symbol" w:hAnsi="Symbol" w:hint="default"/>
        <w:color w:val="003366"/>
        <w:sz w:val="20"/>
      </w:rPr>
    </w:lvl>
    <w:lvl w:ilvl="1" w:tplc="F25068F8" w:tentative="1">
      <w:start w:val="1"/>
      <w:numFmt w:val="bullet"/>
      <w:lvlText w:val="o"/>
      <w:lvlJc w:val="left"/>
      <w:pPr>
        <w:tabs>
          <w:tab w:val="num" w:pos="1440"/>
        </w:tabs>
        <w:ind w:left="1440" w:hanging="360"/>
      </w:pPr>
      <w:rPr>
        <w:rFonts w:ascii="Courier New" w:hAnsi="Courier New" w:cs="Courier New" w:hint="default"/>
      </w:rPr>
    </w:lvl>
    <w:lvl w:ilvl="2" w:tplc="4CF6F89C" w:tentative="1">
      <w:start w:val="1"/>
      <w:numFmt w:val="bullet"/>
      <w:lvlText w:val=""/>
      <w:lvlJc w:val="left"/>
      <w:pPr>
        <w:tabs>
          <w:tab w:val="num" w:pos="2160"/>
        </w:tabs>
        <w:ind w:left="2160" w:hanging="360"/>
      </w:pPr>
      <w:rPr>
        <w:rFonts w:ascii="Wingdings" w:hAnsi="Wingdings" w:hint="default"/>
      </w:rPr>
    </w:lvl>
    <w:lvl w:ilvl="3" w:tplc="1CBE2786" w:tentative="1">
      <w:start w:val="1"/>
      <w:numFmt w:val="bullet"/>
      <w:lvlText w:val=""/>
      <w:lvlJc w:val="left"/>
      <w:pPr>
        <w:tabs>
          <w:tab w:val="num" w:pos="2880"/>
        </w:tabs>
        <w:ind w:left="2880" w:hanging="360"/>
      </w:pPr>
      <w:rPr>
        <w:rFonts w:ascii="Symbol" w:hAnsi="Symbol" w:hint="default"/>
      </w:rPr>
    </w:lvl>
    <w:lvl w:ilvl="4" w:tplc="9EC6B5EC" w:tentative="1">
      <w:start w:val="1"/>
      <w:numFmt w:val="bullet"/>
      <w:lvlText w:val="o"/>
      <w:lvlJc w:val="left"/>
      <w:pPr>
        <w:tabs>
          <w:tab w:val="num" w:pos="3600"/>
        </w:tabs>
        <w:ind w:left="3600" w:hanging="360"/>
      </w:pPr>
      <w:rPr>
        <w:rFonts w:ascii="Courier New" w:hAnsi="Courier New" w:cs="Courier New" w:hint="default"/>
      </w:rPr>
    </w:lvl>
    <w:lvl w:ilvl="5" w:tplc="8BF02124" w:tentative="1">
      <w:start w:val="1"/>
      <w:numFmt w:val="bullet"/>
      <w:lvlText w:val=""/>
      <w:lvlJc w:val="left"/>
      <w:pPr>
        <w:tabs>
          <w:tab w:val="num" w:pos="4320"/>
        </w:tabs>
        <w:ind w:left="4320" w:hanging="360"/>
      </w:pPr>
      <w:rPr>
        <w:rFonts w:ascii="Wingdings" w:hAnsi="Wingdings" w:hint="default"/>
      </w:rPr>
    </w:lvl>
    <w:lvl w:ilvl="6" w:tplc="A4C6DEF0" w:tentative="1">
      <w:start w:val="1"/>
      <w:numFmt w:val="bullet"/>
      <w:lvlText w:val=""/>
      <w:lvlJc w:val="left"/>
      <w:pPr>
        <w:tabs>
          <w:tab w:val="num" w:pos="5040"/>
        </w:tabs>
        <w:ind w:left="5040" w:hanging="360"/>
      </w:pPr>
      <w:rPr>
        <w:rFonts w:ascii="Symbol" w:hAnsi="Symbol" w:hint="default"/>
      </w:rPr>
    </w:lvl>
    <w:lvl w:ilvl="7" w:tplc="38D012F4" w:tentative="1">
      <w:start w:val="1"/>
      <w:numFmt w:val="bullet"/>
      <w:lvlText w:val="o"/>
      <w:lvlJc w:val="left"/>
      <w:pPr>
        <w:tabs>
          <w:tab w:val="num" w:pos="5760"/>
        </w:tabs>
        <w:ind w:left="5760" w:hanging="360"/>
      </w:pPr>
      <w:rPr>
        <w:rFonts w:ascii="Courier New" w:hAnsi="Courier New" w:cs="Courier New" w:hint="default"/>
      </w:rPr>
    </w:lvl>
    <w:lvl w:ilvl="8" w:tplc="70F848C4" w:tentative="1">
      <w:start w:val="1"/>
      <w:numFmt w:val="bullet"/>
      <w:lvlText w:val=""/>
      <w:lvlJc w:val="left"/>
      <w:pPr>
        <w:tabs>
          <w:tab w:val="num" w:pos="6480"/>
        </w:tabs>
        <w:ind w:left="6480" w:hanging="360"/>
      </w:pPr>
      <w:rPr>
        <w:rFonts w:ascii="Wingdings" w:hAnsi="Wingdings" w:hint="default"/>
      </w:rPr>
    </w:lvl>
  </w:abstractNum>
  <w:abstractNum w:abstractNumId="5">
    <w:nsid w:val="0000000E"/>
    <w:multiLevelType w:val="hybridMultilevel"/>
    <w:tmpl w:val="446C433C"/>
    <w:lvl w:ilvl="0" w:tplc="48AA1790">
      <w:start w:val="1"/>
      <w:numFmt w:val="bullet"/>
      <w:lvlText w:val=""/>
      <w:lvlJc w:val="left"/>
      <w:pPr>
        <w:tabs>
          <w:tab w:val="num" w:pos="284"/>
        </w:tabs>
        <w:ind w:left="284" w:hanging="284"/>
      </w:pPr>
      <w:rPr>
        <w:rFonts w:ascii="Symbol" w:hAnsi="Symbol" w:hint="default"/>
        <w:sz w:val="20"/>
      </w:rPr>
    </w:lvl>
    <w:lvl w:ilvl="1" w:tplc="3A30D032" w:tentative="1">
      <w:start w:val="1"/>
      <w:numFmt w:val="bullet"/>
      <w:lvlText w:val="o"/>
      <w:lvlJc w:val="left"/>
      <w:pPr>
        <w:tabs>
          <w:tab w:val="num" w:pos="1440"/>
        </w:tabs>
        <w:ind w:left="1440" w:hanging="360"/>
      </w:pPr>
      <w:rPr>
        <w:rFonts w:ascii="Courier New" w:hAnsi="Courier New" w:cs="Courier New" w:hint="default"/>
      </w:rPr>
    </w:lvl>
    <w:lvl w:ilvl="2" w:tplc="C04CD31E" w:tentative="1">
      <w:start w:val="1"/>
      <w:numFmt w:val="bullet"/>
      <w:lvlText w:val=""/>
      <w:lvlJc w:val="left"/>
      <w:pPr>
        <w:tabs>
          <w:tab w:val="num" w:pos="2160"/>
        </w:tabs>
        <w:ind w:left="2160" w:hanging="360"/>
      </w:pPr>
      <w:rPr>
        <w:rFonts w:ascii="Wingdings" w:hAnsi="Wingdings" w:hint="default"/>
      </w:rPr>
    </w:lvl>
    <w:lvl w:ilvl="3" w:tplc="B0C61DDE" w:tentative="1">
      <w:start w:val="1"/>
      <w:numFmt w:val="bullet"/>
      <w:lvlText w:val=""/>
      <w:lvlJc w:val="left"/>
      <w:pPr>
        <w:tabs>
          <w:tab w:val="num" w:pos="2880"/>
        </w:tabs>
        <w:ind w:left="2880" w:hanging="360"/>
      </w:pPr>
      <w:rPr>
        <w:rFonts w:ascii="Symbol" w:hAnsi="Symbol" w:hint="default"/>
      </w:rPr>
    </w:lvl>
    <w:lvl w:ilvl="4" w:tplc="50FAEDF0" w:tentative="1">
      <w:start w:val="1"/>
      <w:numFmt w:val="bullet"/>
      <w:lvlText w:val="o"/>
      <w:lvlJc w:val="left"/>
      <w:pPr>
        <w:tabs>
          <w:tab w:val="num" w:pos="3600"/>
        </w:tabs>
        <w:ind w:left="3600" w:hanging="360"/>
      </w:pPr>
      <w:rPr>
        <w:rFonts w:ascii="Courier New" w:hAnsi="Courier New" w:cs="Courier New" w:hint="default"/>
      </w:rPr>
    </w:lvl>
    <w:lvl w:ilvl="5" w:tplc="C68218D6" w:tentative="1">
      <w:start w:val="1"/>
      <w:numFmt w:val="bullet"/>
      <w:lvlText w:val=""/>
      <w:lvlJc w:val="left"/>
      <w:pPr>
        <w:tabs>
          <w:tab w:val="num" w:pos="4320"/>
        </w:tabs>
        <w:ind w:left="4320" w:hanging="360"/>
      </w:pPr>
      <w:rPr>
        <w:rFonts w:ascii="Wingdings" w:hAnsi="Wingdings" w:hint="default"/>
      </w:rPr>
    </w:lvl>
    <w:lvl w:ilvl="6" w:tplc="10ACE5D4" w:tentative="1">
      <w:start w:val="1"/>
      <w:numFmt w:val="bullet"/>
      <w:lvlText w:val=""/>
      <w:lvlJc w:val="left"/>
      <w:pPr>
        <w:tabs>
          <w:tab w:val="num" w:pos="5040"/>
        </w:tabs>
        <w:ind w:left="5040" w:hanging="360"/>
      </w:pPr>
      <w:rPr>
        <w:rFonts w:ascii="Symbol" w:hAnsi="Symbol" w:hint="default"/>
      </w:rPr>
    </w:lvl>
    <w:lvl w:ilvl="7" w:tplc="95AEA778" w:tentative="1">
      <w:start w:val="1"/>
      <w:numFmt w:val="bullet"/>
      <w:lvlText w:val="o"/>
      <w:lvlJc w:val="left"/>
      <w:pPr>
        <w:tabs>
          <w:tab w:val="num" w:pos="5760"/>
        </w:tabs>
        <w:ind w:left="5760" w:hanging="360"/>
      </w:pPr>
      <w:rPr>
        <w:rFonts w:ascii="Courier New" w:hAnsi="Courier New" w:cs="Courier New" w:hint="default"/>
      </w:rPr>
    </w:lvl>
    <w:lvl w:ilvl="8" w:tplc="4CF4AF2A" w:tentative="1">
      <w:start w:val="1"/>
      <w:numFmt w:val="bullet"/>
      <w:lvlText w:val=""/>
      <w:lvlJc w:val="left"/>
      <w:pPr>
        <w:tabs>
          <w:tab w:val="num" w:pos="6480"/>
        </w:tabs>
        <w:ind w:left="6480" w:hanging="360"/>
      </w:pPr>
      <w:rPr>
        <w:rFonts w:ascii="Wingdings" w:hAnsi="Wingdings" w:hint="default"/>
      </w:rPr>
    </w:lvl>
  </w:abstractNum>
  <w:abstractNum w:abstractNumId="6">
    <w:nsid w:val="446C17BB"/>
    <w:multiLevelType w:val="hybridMultilevel"/>
    <w:tmpl w:val="226ABBF2"/>
    <w:lvl w:ilvl="0" w:tplc="99CE0F08">
      <w:start w:val="1"/>
      <w:numFmt w:val="decimal"/>
      <w:lvlText w:val="(%1)"/>
      <w:lvlJc w:val="left"/>
      <w:pPr>
        <w:ind w:left="284" w:hanging="284"/>
      </w:pPr>
      <w:rPr>
        <w:rFonts w:hint="default"/>
      </w:rPr>
    </w:lvl>
    <w:lvl w:ilvl="1" w:tplc="24C4EA40" w:tentative="1">
      <w:start w:val="1"/>
      <w:numFmt w:val="lowerLetter"/>
      <w:lvlText w:val="%2."/>
      <w:lvlJc w:val="left"/>
      <w:pPr>
        <w:ind w:left="1440" w:hanging="360"/>
      </w:pPr>
    </w:lvl>
    <w:lvl w:ilvl="2" w:tplc="5BEC02DA" w:tentative="1">
      <w:start w:val="1"/>
      <w:numFmt w:val="lowerRoman"/>
      <w:lvlText w:val="%3."/>
      <w:lvlJc w:val="right"/>
      <w:pPr>
        <w:ind w:left="2160" w:hanging="180"/>
      </w:pPr>
    </w:lvl>
    <w:lvl w:ilvl="3" w:tplc="AE06C236" w:tentative="1">
      <w:start w:val="1"/>
      <w:numFmt w:val="decimal"/>
      <w:lvlText w:val="%4."/>
      <w:lvlJc w:val="left"/>
      <w:pPr>
        <w:ind w:left="2880" w:hanging="360"/>
      </w:pPr>
    </w:lvl>
    <w:lvl w:ilvl="4" w:tplc="2850ED02" w:tentative="1">
      <w:start w:val="1"/>
      <w:numFmt w:val="lowerLetter"/>
      <w:lvlText w:val="%5."/>
      <w:lvlJc w:val="left"/>
      <w:pPr>
        <w:ind w:left="3600" w:hanging="360"/>
      </w:pPr>
    </w:lvl>
    <w:lvl w:ilvl="5" w:tplc="FE709E80" w:tentative="1">
      <w:start w:val="1"/>
      <w:numFmt w:val="lowerRoman"/>
      <w:lvlText w:val="%6."/>
      <w:lvlJc w:val="right"/>
      <w:pPr>
        <w:ind w:left="4320" w:hanging="180"/>
      </w:pPr>
    </w:lvl>
    <w:lvl w:ilvl="6" w:tplc="0A70DFE8" w:tentative="1">
      <w:start w:val="1"/>
      <w:numFmt w:val="decimal"/>
      <w:lvlText w:val="%7."/>
      <w:lvlJc w:val="left"/>
      <w:pPr>
        <w:ind w:left="5040" w:hanging="360"/>
      </w:pPr>
    </w:lvl>
    <w:lvl w:ilvl="7" w:tplc="8A2A16CA" w:tentative="1">
      <w:start w:val="1"/>
      <w:numFmt w:val="lowerLetter"/>
      <w:lvlText w:val="%8."/>
      <w:lvlJc w:val="left"/>
      <w:pPr>
        <w:ind w:left="5760" w:hanging="360"/>
      </w:pPr>
    </w:lvl>
    <w:lvl w:ilvl="8" w:tplc="CC66F4AA" w:tentative="1">
      <w:start w:val="1"/>
      <w:numFmt w:val="lowerRoman"/>
      <w:lvlText w:val="%9."/>
      <w:lvlJc w:val="right"/>
      <w:pPr>
        <w:ind w:left="6480" w:hanging="180"/>
      </w:pPr>
    </w:lvl>
  </w:abstractNum>
  <w:abstractNum w:abstractNumId="7">
    <w:nsid w:val="4F275378"/>
    <w:multiLevelType w:val="hybridMultilevel"/>
    <w:tmpl w:val="85C67F1A"/>
    <w:lvl w:ilvl="0" w:tplc="7AC8D326">
      <w:start w:val="1"/>
      <w:numFmt w:val="decimal"/>
      <w:lvlText w:val="(%1)"/>
      <w:lvlJc w:val="left"/>
      <w:pPr>
        <w:ind w:left="284" w:hanging="284"/>
      </w:pPr>
      <w:rPr>
        <w:rFonts w:hint="default"/>
      </w:rPr>
    </w:lvl>
    <w:lvl w:ilvl="1" w:tplc="11460D4C" w:tentative="1">
      <w:start w:val="1"/>
      <w:numFmt w:val="lowerLetter"/>
      <w:lvlText w:val="%2."/>
      <w:lvlJc w:val="left"/>
      <w:pPr>
        <w:ind w:left="1440" w:hanging="360"/>
      </w:pPr>
    </w:lvl>
    <w:lvl w:ilvl="2" w:tplc="8FD8EA1A" w:tentative="1">
      <w:start w:val="1"/>
      <w:numFmt w:val="lowerRoman"/>
      <w:lvlText w:val="%3."/>
      <w:lvlJc w:val="right"/>
      <w:pPr>
        <w:ind w:left="2160" w:hanging="180"/>
      </w:pPr>
    </w:lvl>
    <w:lvl w:ilvl="3" w:tplc="728AAA22" w:tentative="1">
      <w:start w:val="1"/>
      <w:numFmt w:val="decimal"/>
      <w:lvlText w:val="%4."/>
      <w:lvlJc w:val="left"/>
      <w:pPr>
        <w:ind w:left="2880" w:hanging="360"/>
      </w:pPr>
    </w:lvl>
    <w:lvl w:ilvl="4" w:tplc="4F2A7334" w:tentative="1">
      <w:start w:val="1"/>
      <w:numFmt w:val="lowerLetter"/>
      <w:lvlText w:val="%5."/>
      <w:lvlJc w:val="left"/>
      <w:pPr>
        <w:ind w:left="3600" w:hanging="360"/>
      </w:pPr>
    </w:lvl>
    <w:lvl w:ilvl="5" w:tplc="02469F0A" w:tentative="1">
      <w:start w:val="1"/>
      <w:numFmt w:val="lowerRoman"/>
      <w:lvlText w:val="%6."/>
      <w:lvlJc w:val="right"/>
      <w:pPr>
        <w:ind w:left="4320" w:hanging="180"/>
      </w:pPr>
    </w:lvl>
    <w:lvl w:ilvl="6" w:tplc="E7E4BD76" w:tentative="1">
      <w:start w:val="1"/>
      <w:numFmt w:val="decimal"/>
      <w:lvlText w:val="%7."/>
      <w:lvlJc w:val="left"/>
      <w:pPr>
        <w:ind w:left="5040" w:hanging="360"/>
      </w:pPr>
    </w:lvl>
    <w:lvl w:ilvl="7" w:tplc="EF2E7E94" w:tentative="1">
      <w:start w:val="1"/>
      <w:numFmt w:val="lowerLetter"/>
      <w:lvlText w:val="%8."/>
      <w:lvlJc w:val="left"/>
      <w:pPr>
        <w:ind w:left="5760" w:hanging="360"/>
      </w:pPr>
    </w:lvl>
    <w:lvl w:ilvl="8" w:tplc="53CC0A2C" w:tentative="1">
      <w:start w:val="1"/>
      <w:numFmt w:val="lowerRoman"/>
      <w:lvlText w:val="%9."/>
      <w:lvlJc w:val="right"/>
      <w:pPr>
        <w:ind w:left="6480" w:hanging="180"/>
      </w:pPr>
    </w:lvl>
  </w:abstractNum>
  <w:abstractNum w:abstractNumId="8">
    <w:nsid w:val="51A5743A"/>
    <w:multiLevelType w:val="hybridMultilevel"/>
    <w:tmpl w:val="81ECDAAA"/>
    <w:lvl w:ilvl="0" w:tplc="18E8E66A">
      <w:start w:val="1"/>
      <w:numFmt w:val="decimal"/>
      <w:lvlText w:val="(%1)"/>
      <w:lvlJc w:val="left"/>
      <w:pPr>
        <w:ind w:left="360" w:hanging="360"/>
      </w:pPr>
      <w:rPr>
        <w:rFonts w:hint="default"/>
      </w:rPr>
    </w:lvl>
    <w:lvl w:ilvl="1" w:tplc="EBC0D208" w:tentative="1">
      <w:start w:val="1"/>
      <w:numFmt w:val="lowerLetter"/>
      <w:lvlText w:val="%2."/>
      <w:lvlJc w:val="left"/>
      <w:pPr>
        <w:ind w:left="1080" w:hanging="360"/>
      </w:pPr>
    </w:lvl>
    <w:lvl w:ilvl="2" w:tplc="2F8EDD9C" w:tentative="1">
      <w:start w:val="1"/>
      <w:numFmt w:val="lowerRoman"/>
      <w:lvlText w:val="%3."/>
      <w:lvlJc w:val="right"/>
      <w:pPr>
        <w:ind w:left="1800" w:hanging="180"/>
      </w:pPr>
    </w:lvl>
    <w:lvl w:ilvl="3" w:tplc="6B04E4AE" w:tentative="1">
      <w:start w:val="1"/>
      <w:numFmt w:val="decimal"/>
      <w:lvlText w:val="%4."/>
      <w:lvlJc w:val="left"/>
      <w:pPr>
        <w:ind w:left="2520" w:hanging="360"/>
      </w:pPr>
    </w:lvl>
    <w:lvl w:ilvl="4" w:tplc="8EEC9248" w:tentative="1">
      <w:start w:val="1"/>
      <w:numFmt w:val="lowerLetter"/>
      <w:lvlText w:val="%5."/>
      <w:lvlJc w:val="left"/>
      <w:pPr>
        <w:ind w:left="3240" w:hanging="360"/>
      </w:pPr>
    </w:lvl>
    <w:lvl w:ilvl="5" w:tplc="7A989C5E" w:tentative="1">
      <w:start w:val="1"/>
      <w:numFmt w:val="lowerRoman"/>
      <w:lvlText w:val="%6."/>
      <w:lvlJc w:val="right"/>
      <w:pPr>
        <w:ind w:left="3960" w:hanging="180"/>
      </w:pPr>
    </w:lvl>
    <w:lvl w:ilvl="6" w:tplc="51DA67B8" w:tentative="1">
      <w:start w:val="1"/>
      <w:numFmt w:val="decimal"/>
      <w:lvlText w:val="%7."/>
      <w:lvlJc w:val="left"/>
      <w:pPr>
        <w:ind w:left="4680" w:hanging="360"/>
      </w:pPr>
    </w:lvl>
    <w:lvl w:ilvl="7" w:tplc="6B9CD380" w:tentative="1">
      <w:start w:val="1"/>
      <w:numFmt w:val="lowerLetter"/>
      <w:lvlText w:val="%8."/>
      <w:lvlJc w:val="left"/>
      <w:pPr>
        <w:ind w:left="5400" w:hanging="360"/>
      </w:pPr>
    </w:lvl>
    <w:lvl w:ilvl="8" w:tplc="8B28FEA0" w:tentative="1">
      <w:start w:val="1"/>
      <w:numFmt w:val="lowerRoman"/>
      <w:lvlText w:val="%9."/>
      <w:lvlJc w:val="right"/>
      <w:pPr>
        <w:ind w:left="6120" w:hanging="180"/>
      </w:pPr>
    </w:lvl>
  </w:abstractNum>
  <w:abstractNum w:abstractNumId="9">
    <w:nsid w:val="5EB22420"/>
    <w:multiLevelType w:val="hybridMultilevel"/>
    <w:tmpl w:val="E9CCF230"/>
    <w:lvl w:ilvl="0" w:tplc="1F242DC0">
      <w:start w:val="1"/>
      <w:numFmt w:val="decimal"/>
      <w:lvlText w:val="(%1)"/>
      <w:lvlJc w:val="left"/>
      <w:pPr>
        <w:ind w:left="284" w:hanging="284"/>
      </w:pPr>
      <w:rPr>
        <w:rFonts w:hint="default"/>
      </w:rPr>
    </w:lvl>
    <w:lvl w:ilvl="1" w:tplc="6E507802" w:tentative="1">
      <w:start w:val="1"/>
      <w:numFmt w:val="lowerLetter"/>
      <w:lvlText w:val="%2."/>
      <w:lvlJc w:val="left"/>
      <w:pPr>
        <w:ind w:left="1440" w:hanging="360"/>
      </w:pPr>
    </w:lvl>
    <w:lvl w:ilvl="2" w:tplc="502E5E0C" w:tentative="1">
      <w:start w:val="1"/>
      <w:numFmt w:val="lowerRoman"/>
      <w:lvlText w:val="%3."/>
      <w:lvlJc w:val="right"/>
      <w:pPr>
        <w:ind w:left="2160" w:hanging="180"/>
      </w:pPr>
    </w:lvl>
    <w:lvl w:ilvl="3" w:tplc="895E6610" w:tentative="1">
      <w:start w:val="1"/>
      <w:numFmt w:val="decimal"/>
      <w:lvlText w:val="%4."/>
      <w:lvlJc w:val="left"/>
      <w:pPr>
        <w:ind w:left="2880" w:hanging="360"/>
      </w:pPr>
    </w:lvl>
    <w:lvl w:ilvl="4" w:tplc="E9E4673C" w:tentative="1">
      <w:start w:val="1"/>
      <w:numFmt w:val="lowerLetter"/>
      <w:lvlText w:val="%5."/>
      <w:lvlJc w:val="left"/>
      <w:pPr>
        <w:ind w:left="3600" w:hanging="360"/>
      </w:pPr>
    </w:lvl>
    <w:lvl w:ilvl="5" w:tplc="0840C658" w:tentative="1">
      <w:start w:val="1"/>
      <w:numFmt w:val="lowerRoman"/>
      <w:lvlText w:val="%6."/>
      <w:lvlJc w:val="right"/>
      <w:pPr>
        <w:ind w:left="4320" w:hanging="180"/>
      </w:pPr>
    </w:lvl>
    <w:lvl w:ilvl="6" w:tplc="9BB29850" w:tentative="1">
      <w:start w:val="1"/>
      <w:numFmt w:val="decimal"/>
      <w:lvlText w:val="%7."/>
      <w:lvlJc w:val="left"/>
      <w:pPr>
        <w:ind w:left="5040" w:hanging="360"/>
      </w:pPr>
    </w:lvl>
    <w:lvl w:ilvl="7" w:tplc="AEBE22BC" w:tentative="1">
      <w:start w:val="1"/>
      <w:numFmt w:val="lowerLetter"/>
      <w:lvlText w:val="%8."/>
      <w:lvlJc w:val="left"/>
      <w:pPr>
        <w:ind w:left="5760" w:hanging="360"/>
      </w:pPr>
    </w:lvl>
    <w:lvl w:ilvl="8" w:tplc="EBC2056E" w:tentative="1">
      <w:start w:val="1"/>
      <w:numFmt w:val="lowerRoman"/>
      <w:lvlText w:val="%9."/>
      <w:lvlJc w:val="right"/>
      <w:pPr>
        <w:ind w:left="6480" w:hanging="180"/>
      </w:pPr>
    </w:lvl>
  </w:abstractNum>
  <w:abstractNum w:abstractNumId="10">
    <w:nsid w:val="6F073880"/>
    <w:multiLevelType w:val="hybridMultilevel"/>
    <w:tmpl w:val="80C225F0"/>
    <w:lvl w:ilvl="0" w:tplc="8342E2BE">
      <w:start w:val="1"/>
      <w:numFmt w:val="decimal"/>
      <w:lvlText w:val="(%1)"/>
      <w:lvlJc w:val="left"/>
      <w:pPr>
        <w:ind w:left="360" w:hanging="360"/>
      </w:pPr>
      <w:rPr>
        <w:rFonts w:hint="default"/>
      </w:rPr>
    </w:lvl>
    <w:lvl w:ilvl="1" w:tplc="14C2D9FE" w:tentative="1">
      <w:start w:val="1"/>
      <w:numFmt w:val="lowerLetter"/>
      <w:lvlText w:val="%2."/>
      <w:lvlJc w:val="left"/>
      <w:pPr>
        <w:ind w:left="1080" w:hanging="360"/>
      </w:pPr>
    </w:lvl>
    <w:lvl w:ilvl="2" w:tplc="85ACB3EC" w:tentative="1">
      <w:start w:val="1"/>
      <w:numFmt w:val="lowerRoman"/>
      <w:lvlText w:val="%3."/>
      <w:lvlJc w:val="right"/>
      <w:pPr>
        <w:ind w:left="1800" w:hanging="180"/>
      </w:pPr>
    </w:lvl>
    <w:lvl w:ilvl="3" w:tplc="EAE04FB2" w:tentative="1">
      <w:start w:val="1"/>
      <w:numFmt w:val="decimal"/>
      <w:lvlText w:val="%4."/>
      <w:lvlJc w:val="left"/>
      <w:pPr>
        <w:ind w:left="2520" w:hanging="360"/>
      </w:pPr>
    </w:lvl>
    <w:lvl w:ilvl="4" w:tplc="EDB60AFE" w:tentative="1">
      <w:start w:val="1"/>
      <w:numFmt w:val="lowerLetter"/>
      <w:lvlText w:val="%5."/>
      <w:lvlJc w:val="left"/>
      <w:pPr>
        <w:ind w:left="3240" w:hanging="360"/>
      </w:pPr>
    </w:lvl>
    <w:lvl w:ilvl="5" w:tplc="09B0E366" w:tentative="1">
      <w:start w:val="1"/>
      <w:numFmt w:val="lowerRoman"/>
      <w:lvlText w:val="%6."/>
      <w:lvlJc w:val="right"/>
      <w:pPr>
        <w:ind w:left="3960" w:hanging="180"/>
      </w:pPr>
    </w:lvl>
    <w:lvl w:ilvl="6" w:tplc="6B96B858" w:tentative="1">
      <w:start w:val="1"/>
      <w:numFmt w:val="decimal"/>
      <w:lvlText w:val="%7."/>
      <w:lvlJc w:val="left"/>
      <w:pPr>
        <w:ind w:left="4680" w:hanging="360"/>
      </w:pPr>
    </w:lvl>
    <w:lvl w:ilvl="7" w:tplc="7870BDC6" w:tentative="1">
      <w:start w:val="1"/>
      <w:numFmt w:val="lowerLetter"/>
      <w:lvlText w:val="%8."/>
      <w:lvlJc w:val="left"/>
      <w:pPr>
        <w:ind w:left="5400" w:hanging="360"/>
      </w:pPr>
    </w:lvl>
    <w:lvl w:ilvl="8" w:tplc="FA40F720"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10"/>
  </w:num>
  <w:num w:numId="6">
    <w:abstractNumId w:val="6"/>
  </w:num>
  <w:num w:numId="7">
    <w:abstractNumId w:val="9"/>
  </w:num>
  <w:num w:numId="8">
    <w:abstractNumId w:val="8"/>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V_COMMENTS_LIST_A3F0ABAB-D387-4CB1-A59F-9459101C3EB1" w:val="&lt;compressed size=&quot;84&quot;&gt;eJwdijEKgDAQBOdDgSiSw/I0vsMqpWBh4+8dZIubud3Bxc3Dy8lCmM5EpZEUdqnLxa7JISUHm9/inV2s/6JqqYf+Ae3nCpA=&lt;/compressed&gt;_x000d__x000a_"/>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82327B"/>
    <w:rsid w:val="00001A04"/>
    <w:rsid w:val="00012CC8"/>
    <w:rsid w:val="00021446"/>
    <w:rsid w:val="00026096"/>
    <w:rsid w:val="000429A5"/>
    <w:rsid w:val="000437D8"/>
    <w:rsid w:val="00046889"/>
    <w:rsid w:val="000519C6"/>
    <w:rsid w:val="0005496B"/>
    <w:rsid w:val="00057F95"/>
    <w:rsid w:val="00063D6F"/>
    <w:rsid w:val="00066AD9"/>
    <w:rsid w:val="00071958"/>
    <w:rsid w:val="00071A29"/>
    <w:rsid w:val="000731E4"/>
    <w:rsid w:val="00073BD4"/>
    <w:rsid w:val="0007483D"/>
    <w:rsid w:val="00093C20"/>
    <w:rsid w:val="000A05FE"/>
    <w:rsid w:val="000A4C61"/>
    <w:rsid w:val="000B2423"/>
    <w:rsid w:val="000C0072"/>
    <w:rsid w:val="000D2FC0"/>
    <w:rsid w:val="000D5515"/>
    <w:rsid w:val="000D63B1"/>
    <w:rsid w:val="000F3C46"/>
    <w:rsid w:val="0011664A"/>
    <w:rsid w:val="00133D7F"/>
    <w:rsid w:val="0014211C"/>
    <w:rsid w:val="00161BDC"/>
    <w:rsid w:val="00163E80"/>
    <w:rsid w:val="0016441B"/>
    <w:rsid w:val="00175E75"/>
    <w:rsid w:val="00176E72"/>
    <w:rsid w:val="001861BA"/>
    <w:rsid w:val="001915DA"/>
    <w:rsid w:val="001A22BE"/>
    <w:rsid w:val="001A6D2B"/>
    <w:rsid w:val="001A7AD7"/>
    <w:rsid w:val="001B21D1"/>
    <w:rsid w:val="001B4D40"/>
    <w:rsid w:val="001B6FCB"/>
    <w:rsid w:val="001C2EF5"/>
    <w:rsid w:val="001C7AE1"/>
    <w:rsid w:val="001D2580"/>
    <w:rsid w:val="001D46D3"/>
    <w:rsid w:val="001F3A24"/>
    <w:rsid w:val="001F5395"/>
    <w:rsid w:val="002146D9"/>
    <w:rsid w:val="0021583F"/>
    <w:rsid w:val="002163AE"/>
    <w:rsid w:val="0022125B"/>
    <w:rsid w:val="002336A4"/>
    <w:rsid w:val="002467F1"/>
    <w:rsid w:val="00251585"/>
    <w:rsid w:val="00252B5F"/>
    <w:rsid w:val="00280170"/>
    <w:rsid w:val="00286C28"/>
    <w:rsid w:val="002958D7"/>
    <w:rsid w:val="00296924"/>
    <w:rsid w:val="002A395A"/>
    <w:rsid w:val="002B30BE"/>
    <w:rsid w:val="002C03B9"/>
    <w:rsid w:val="002C452D"/>
    <w:rsid w:val="002D0127"/>
    <w:rsid w:val="002D6242"/>
    <w:rsid w:val="002E0D53"/>
    <w:rsid w:val="002E3C88"/>
    <w:rsid w:val="002E625D"/>
    <w:rsid w:val="002E66B9"/>
    <w:rsid w:val="002E7972"/>
    <w:rsid w:val="002F0036"/>
    <w:rsid w:val="0031042D"/>
    <w:rsid w:val="00321358"/>
    <w:rsid w:val="0032697C"/>
    <w:rsid w:val="0033077E"/>
    <w:rsid w:val="00337B64"/>
    <w:rsid w:val="00343474"/>
    <w:rsid w:val="00350E50"/>
    <w:rsid w:val="003628D9"/>
    <w:rsid w:val="00370428"/>
    <w:rsid w:val="003741B6"/>
    <w:rsid w:val="003829CF"/>
    <w:rsid w:val="003902F1"/>
    <w:rsid w:val="003A520A"/>
    <w:rsid w:val="003A6DC3"/>
    <w:rsid w:val="003C062F"/>
    <w:rsid w:val="003E1B28"/>
    <w:rsid w:val="003E5C29"/>
    <w:rsid w:val="003F0AFC"/>
    <w:rsid w:val="004074F7"/>
    <w:rsid w:val="00410251"/>
    <w:rsid w:val="00431C48"/>
    <w:rsid w:val="0044267B"/>
    <w:rsid w:val="004536B3"/>
    <w:rsid w:val="004717BE"/>
    <w:rsid w:val="004722FA"/>
    <w:rsid w:val="00476C34"/>
    <w:rsid w:val="004774C2"/>
    <w:rsid w:val="00483ACF"/>
    <w:rsid w:val="00483C2B"/>
    <w:rsid w:val="004975D3"/>
    <w:rsid w:val="004A16BE"/>
    <w:rsid w:val="004A2458"/>
    <w:rsid w:val="004A797B"/>
    <w:rsid w:val="004B22D7"/>
    <w:rsid w:val="004C1B78"/>
    <w:rsid w:val="004D082D"/>
    <w:rsid w:val="004D1EFE"/>
    <w:rsid w:val="004D5594"/>
    <w:rsid w:val="004E1DD5"/>
    <w:rsid w:val="004E2D43"/>
    <w:rsid w:val="004E42DA"/>
    <w:rsid w:val="004E6C8B"/>
    <w:rsid w:val="004E7E8B"/>
    <w:rsid w:val="004F4E7D"/>
    <w:rsid w:val="00503FBE"/>
    <w:rsid w:val="00516BF2"/>
    <w:rsid w:val="00517D05"/>
    <w:rsid w:val="00525FD4"/>
    <w:rsid w:val="005550A1"/>
    <w:rsid w:val="00556430"/>
    <w:rsid w:val="00572DEB"/>
    <w:rsid w:val="005809DD"/>
    <w:rsid w:val="005829C9"/>
    <w:rsid w:val="00582FB5"/>
    <w:rsid w:val="005847E4"/>
    <w:rsid w:val="00584E36"/>
    <w:rsid w:val="00587317"/>
    <w:rsid w:val="00587B70"/>
    <w:rsid w:val="005904A9"/>
    <w:rsid w:val="00593534"/>
    <w:rsid w:val="005A21DE"/>
    <w:rsid w:val="005A39BC"/>
    <w:rsid w:val="005B735D"/>
    <w:rsid w:val="005C2A50"/>
    <w:rsid w:val="005C2F1A"/>
    <w:rsid w:val="005C46B6"/>
    <w:rsid w:val="005C79F4"/>
    <w:rsid w:val="005D0E0F"/>
    <w:rsid w:val="005D45FF"/>
    <w:rsid w:val="005D65A8"/>
    <w:rsid w:val="005D76E8"/>
    <w:rsid w:val="005F056D"/>
    <w:rsid w:val="005F51C4"/>
    <w:rsid w:val="00623A05"/>
    <w:rsid w:val="00645861"/>
    <w:rsid w:val="00657792"/>
    <w:rsid w:val="0066553C"/>
    <w:rsid w:val="00676C88"/>
    <w:rsid w:val="0068598F"/>
    <w:rsid w:val="006A0A7D"/>
    <w:rsid w:val="006A5DDE"/>
    <w:rsid w:val="006B6125"/>
    <w:rsid w:val="006C623E"/>
    <w:rsid w:val="006D3792"/>
    <w:rsid w:val="006E3678"/>
    <w:rsid w:val="006F49C0"/>
    <w:rsid w:val="00703AF8"/>
    <w:rsid w:val="00706EBD"/>
    <w:rsid w:val="007178C8"/>
    <w:rsid w:val="00733317"/>
    <w:rsid w:val="00747F6F"/>
    <w:rsid w:val="007561B2"/>
    <w:rsid w:val="00757C54"/>
    <w:rsid w:val="007801F3"/>
    <w:rsid w:val="007A6ADD"/>
    <w:rsid w:val="007B44A6"/>
    <w:rsid w:val="007B5F40"/>
    <w:rsid w:val="007C3520"/>
    <w:rsid w:val="007D5AB0"/>
    <w:rsid w:val="007E7406"/>
    <w:rsid w:val="007E791F"/>
    <w:rsid w:val="007F40AE"/>
    <w:rsid w:val="007F5685"/>
    <w:rsid w:val="00801852"/>
    <w:rsid w:val="0081059B"/>
    <w:rsid w:val="00812E55"/>
    <w:rsid w:val="00814A1B"/>
    <w:rsid w:val="0082327B"/>
    <w:rsid w:val="0083115D"/>
    <w:rsid w:val="00861335"/>
    <w:rsid w:val="00862891"/>
    <w:rsid w:val="00862EE4"/>
    <w:rsid w:val="00876783"/>
    <w:rsid w:val="0088479E"/>
    <w:rsid w:val="008916B3"/>
    <w:rsid w:val="008B22FB"/>
    <w:rsid w:val="008C55F4"/>
    <w:rsid w:val="008C6EC9"/>
    <w:rsid w:val="008D7EE5"/>
    <w:rsid w:val="008E0433"/>
    <w:rsid w:val="008E306F"/>
    <w:rsid w:val="008E5277"/>
    <w:rsid w:val="008F71AC"/>
    <w:rsid w:val="00902764"/>
    <w:rsid w:val="00915E8F"/>
    <w:rsid w:val="00927A80"/>
    <w:rsid w:val="009328A3"/>
    <w:rsid w:val="00932E1C"/>
    <w:rsid w:val="00941861"/>
    <w:rsid w:val="00941D3A"/>
    <w:rsid w:val="00945E2D"/>
    <w:rsid w:val="00947FD9"/>
    <w:rsid w:val="00990046"/>
    <w:rsid w:val="0099694B"/>
    <w:rsid w:val="00996E70"/>
    <w:rsid w:val="009A2432"/>
    <w:rsid w:val="009A472A"/>
    <w:rsid w:val="009A5F37"/>
    <w:rsid w:val="009A6A3E"/>
    <w:rsid w:val="009B02A4"/>
    <w:rsid w:val="009C2A04"/>
    <w:rsid w:val="009C33B5"/>
    <w:rsid w:val="009D0EB1"/>
    <w:rsid w:val="009D386E"/>
    <w:rsid w:val="009E0D2D"/>
    <w:rsid w:val="009E0EA1"/>
    <w:rsid w:val="009E1D0C"/>
    <w:rsid w:val="009E2E11"/>
    <w:rsid w:val="009E3C37"/>
    <w:rsid w:val="009E5940"/>
    <w:rsid w:val="009F3F44"/>
    <w:rsid w:val="009F6FCD"/>
    <w:rsid w:val="00A02FBD"/>
    <w:rsid w:val="00A04DB8"/>
    <w:rsid w:val="00A36202"/>
    <w:rsid w:val="00A46638"/>
    <w:rsid w:val="00A51434"/>
    <w:rsid w:val="00A53A54"/>
    <w:rsid w:val="00A56331"/>
    <w:rsid w:val="00A57912"/>
    <w:rsid w:val="00A65190"/>
    <w:rsid w:val="00A67E8A"/>
    <w:rsid w:val="00A711D7"/>
    <w:rsid w:val="00A73DAA"/>
    <w:rsid w:val="00A7670B"/>
    <w:rsid w:val="00A9526E"/>
    <w:rsid w:val="00AA14FB"/>
    <w:rsid w:val="00AA7279"/>
    <w:rsid w:val="00AC1F24"/>
    <w:rsid w:val="00AC7C63"/>
    <w:rsid w:val="00AE3292"/>
    <w:rsid w:val="00AE32A5"/>
    <w:rsid w:val="00B07396"/>
    <w:rsid w:val="00B11B45"/>
    <w:rsid w:val="00B3276D"/>
    <w:rsid w:val="00B33F4B"/>
    <w:rsid w:val="00B343E2"/>
    <w:rsid w:val="00B36D89"/>
    <w:rsid w:val="00B371A7"/>
    <w:rsid w:val="00B427E4"/>
    <w:rsid w:val="00B463B1"/>
    <w:rsid w:val="00B562D8"/>
    <w:rsid w:val="00B628F9"/>
    <w:rsid w:val="00B64BBD"/>
    <w:rsid w:val="00B66C8D"/>
    <w:rsid w:val="00B70853"/>
    <w:rsid w:val="00B727FC"/>
    <w:rsid w:val="00B74939"/>
    <w:rsid w:val="00B86C4D"/>
    <w:rsid w:val="00B961CD"/>
    <w:rsid w:val="00BC3A5D"/>
    <w:rsid w:val="00BD02D4"/>
    <w:rsid w:val="00C10366"/>
    <w:rsid w:val="00C13813"/>
    <w:rsid w:val="00C13ABD"/>
    <w:rsid w:val="00C20616"/>
    <w:rsid w:val="00C251B2"/>
    <w:rsid w:val="00C3171A"/>
    <w:rsid w:val="00C323E2"/>
    <w:rsid w:val="00C3661C"/>
    <w:rsid w:val="00C366E9"/>
    <w:rsid w:val="00C36715"/>
    <w:rsid w:val="00C4781A"/>
    <w:rsid w:val="00C56885"/>
    <w:rsid w:val="00C60592"/>
    <w:rsid w:val="00C649A0"/>
    <w:rsid w:val="00C71BE1"/>
    <w:rsid w:val="00C71ED3"/>
    <w:rsid w:val="00C752E3"/>
    <w:rsid w:val="00C92682"/>
    <w:rsid w:val="00C94DB8"/>
    <w:rsid w:val="00CA0356"/>
    <w:rsid w:val="00CA3801"/>
    <w:rsid w:val="00CB7B55"/>
    <w:rsid w:val="00CC4AB7"/>
    <w:rsid w:val="00CD29A0"/>
    <w:rsid w:val="00CD310F"/>
    <w:rsid w:val="00CD32C9"/>
    <w:rsid w:val="00CF2893"/>
    <w:rsid w:val="00D0682F"/>
    <w:rsid w:val="00D1448A"/>
    <w:rsid w:val="00D2372A"/>
    <w:rsid w:val="00D277D6"/>
    <w:rsid w:val="00D306CD"/>
    <w:rsid w:val="00D353F3"/>
    <w:rsid w:val="00D508B7"/>
    <w:rsid w:val="00D57AC7"/>
    <w:rsid w:val="00D6466A"/>
    <w:rsid w:val="00D7413D"/>
    <w:rsid w:val="00D82BC5"/>
    <w:rsid w:val="00D924D4"/>
    <w:rsid w:val="00D9584E"/>
    <w:rsid w:val="00DA6AF1"/>
    <w:rsid w:val="00DB4C2B"/>
    <w:rsid w:val="00DB6572"/>
    <w:rsid w:val="00DC202D"/>
    <w:rsid w:val="00DD7B2D"/>
    <w:rsid w:val="00DE60DD"/>
    <w:rsid w:val="00E02264"/>
    <w:rsid w:val="00E04946"/>
    <w:rsid w:val="00E07E52"/>
    <w:rsid w:val="00E106BC"/>
    <w:rsid w:val="00E1442D"/>
    <w:rsid w:val="00E24B1B"/>
    <w:rsid w:val="00E33DFA"/>
    <w:rsid w:val="00E34248"/>
    <w:rsid w:val="00E461D7"/>
    <w:rsid w:val="00E51D75"/>
    <w:rsid w:val="00E53FF9"/>
    <w:rsid w:val="00E5658D"/>
    <w:rsid w:val="00E57BEF"/>
    <w:rsid w:val="00E7530F"/>
    <w:rsid w:val="00E84D65"/>
    <w:rsid w:val="00EA74DE"/>
    <w:rsid w:val="00EB1B49"/>
    <w:rsid w:val="00EB77F8"/>
    <w:rsid w:val="00EC5EF9"/>
    <w:rsid w:val="00EC67A7"/>
    <w:rsid w:val="00ED5CBD"/>
    <w:rsid w:val="00EE093F"/>
    <w:rsid w:val="00EE5E02"/>
    <w:rsid w:val="00EF5005"/>
    <w:rsid w:val="00EF6AC8"/>
    <w:rsid w:val="00EF79EC"/>
    <w:rsid w:val="00F04EB8"/>
    <w:rsid w:val="00F0691C"/>
    <w:rsid w:val="00F127B3"/>
    <w:rsid w:val="00F164DD"/>
    <w:rsid w:val="00F174B6"/>
    <w:rsid w:val="00F34B71"/>
    <w:rsid w:val="00F377A3"/>
    <w:rsid w:val="00F44293"/>
    <w:rsid w:val="00F45E6D"/>
    <w:rsid w:val="00F530D6"/>
    <w:rsid w:val="00F57394"/>
    <w:rsid w:val="00F6040D"/>
    <w:rsid w:val="00F64034"/>
    <w:rsid w:val="00F678C4"/>
    <w:rsid w:val="00F751A6"/>
    <w:rsid w:val="00F76CB8"/>
    <w:rsid w:val="00F818BA"/>
    <w:rsid w:val="00F840CB"/>
    <w:rsid w:val="00FA60F9"/>
    <w:rsid w:val="00FB15A9"/>
    <w:rsid w:val="00FB1CD7"/>
    <w:rsid w:val="00FC7896"/>
    <w:rsid w:val="00FD4DF6"/>
    <w:rsid w:val="00FE3281"/>
    <w:rsid w:val="00FE4D46"/>
    <w:rsid w:val="00FF3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7B"/>
    <w:pPr>
      <w:spacing w:after="0"/>
    </w:pPr>
    <w:rPr>
      <w:rFonts w:ascii="Arial" w:hAnsi="Arial"/>
      <w:sz w:val="18"/>
    </w:rPr>
  </w:style>
  <w:style w:type="paragraph" w:styleId="Heading1">
    <w:name w:val="heading 1"/>
    <w:basedOn w:val="Normal"/>
    <w:next w:val="Normal"/>
    <w:link w:val="Heading1Char"/>
    <w:uiPriority w:val="9"/>
    <w:qFormat/>
    <w:rsid w:val="00111D1D"/>
    <w:pPr>
      <w:keepNext/>
      <w:keepLines/>
      <w:outlineLvl w:val="0"/>
    </w:pPr>
    <w:rPr>
      <w:rFonts w:eastAsiaTheme="majorEastAsia" w:cstheme="majorBidi"/>
      <w:b/>
      <w:bCs/>
      <w:color w:val="003466"/>
      <w:sz w:val="20"/>
      <w:szCs w:val="28"/>
    </w:rPr>
  </w:style>
  <w:style w:type="paragraph" w:styleId="Heading2">
    <w:name w:val="heading 2"/>
    <w:basedOn w:val="Normal"/>
    <w:next w:val="Normal"/>
    <w:link w:val="Heading2Char"/>
    <w:uiPriority w:val="9"/>
    <w:unhideWhenUsed/>
    <w:qFormat/>
    <w:rsid w:val="00111D1D"/>
    <w:pPr>
      <w:keepNext/>
      <w:keepLines/>
      <w:outlineLvl w:val="1"/>
    </w:pPr>
    <w:rPr>
      <w:rFonts w:eastAsiaTheme="majorEastAsia" w:cstheme="majorBidi"/>
      <w:b/>
      <w:bCs/>
      <w:color w:val="003466"/>
      <w:szCs w:val="26"/>
    </w:rPr>
  </w:style>
  <w:style w:type="paragraph" w:styleId="Heading3">
    <w:name w:val="heading 3"/>
    <w:basedOn w:val="Normal"/>
    <w:next w:val="Normal"/>
    <w:link w:val="Heading3Char"/>
    <w:uiPriority w:val="9"/>
    <w:unhideWhenUsed/>
    <w:qFormat/>
    <w:rsid w:val="00111D1D"/>
    <w:pPr>
      <w:keepNext/>
      <w:keepLines/>
      <w:outlineLvl w:val="2"/>
    </w:pPr>
    <w:rPr>
      <w:rFonts w:eastAsiaTheme="majorEastAsia" w:cstheme="majorBidi"/>
      <w:bCs/>
      <w:color w:val="0034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82327B"/>
    <w:pPr>
      <w:spacing w:after="0" w:line="240" w:lineRule="auto"/>
    </w:pPr>
    <w:rPr>
      <w:rFonts w:ascii="Times New Roman" w:eastAsia="SimSun" w:hAnsi="Times New Roman" w:cs="Times New Roman"/>
      <w:sz w:val="24"/>
      <w:szCs w:val="24"/>
      <w:lang w:eastAsia="zh-CN"/>
    </w:rPr>
  </w:style>
  <w:style w:type="paragraph" w:customStyle="1" w:styleId="Normal00">
    <w:name w:val="Normal_0_0"/>
    <w:rsid w:val="0082327B"/>
    <w:pPr>
      <w:spacing w:after="0"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111D1D"/>
    <w:rPr>
      <w:rFonts w:ascii="Arial" w:eastAsiaTheme="majorEastAsia" w:hAnsi="Arial" w:cstheme="majorBidi"/>
      <w:b/>
      <w:bCs/>
      <w:color w:val="003466"/>
      <w:sz w:val="20"/>
      <w:szCs w:val="28"/>
    </w:rPr>
  </w:style>
  <w:style w:type="character" w:customStyle="1" w:styleId="Heading2Char">
    <w:name w:val="Heading 2 Char"/>
    <w:basedOn w:val="DefaultParagraphFont"/>
    <w:link w:val="Heading2"/>
    <w:uiPriority w:val="9"/>
    <w:rsid w:val="00111D1D"/>
    <w:rPr>
      <w:rFonts w:ascii="Arial" w:eastAsiaTheme="majorEastAsia" w:hAnsi="Arial" w:cstheme="majorBidi"/>
      <w:b/>
      <w:bCs/>
      <w:color w:val="003466"/>
      <w:sz w:val="18"/>
      <w:szCs w:val="26"/>
    </w:rPr>
  </w:style>
  <w:style w:type="character" w:customStyle="1" w:styleId="Heading3Char">
    <w:name w:val="Heading 3 Char"/>
    <w:basedOn w:val="DefaultParagraphFont"/>
    <w:link w:val="Heading3"/>
    <w:uiPriority w:val="9"/>
    <w:rsid w:val="00111D1D"/>
    <w:rPr>
      <w:rFonts w:ascii="Arial" w:eastAsiaTheme="majorEastAsia" w:hAnsi="Arial" w:cstheme="majorBidi"/>
      <w:bCs/>
      <w:color w:val="003466"/>
      <w:sz w:val="18"/>
    </w:rPr>
  </w:style>
  <w:style w:type="paragraph" w:styleId="Header">
    <w:name w:val="header"/>
    <w:basedOn w:val="Normal"/>
    <w:link w:val="HeaderChar"/>
    <w:unhideWhenUsed/>
    <w:rsid w:val="00EF7B96"/>
    <w:pPr>
      <w:tabs>
        <w:tab w:val="center" w:pos="4513"/>
        <w:tab w:val="right" w:pos="9026"/>
      </w:tabs>
      <w:spacing w:line="240" w:lineRule="auto"/>
    </w:pPr>
  </w:style>
  <w:style w:type="paragraph" w:styleId="Footer">
    <w:name w:val="footer"/>
    <w:basedOn w:val="Normal"/>
    <w:link w:val="FooterChar"/>
    <w:uiPriority w:val="99"/>
    <w:unhideWhenUsed/>
    <w:rsid w:val="008E5277"/>
    <w:pPr>
      <w:tabs>
        <w:tab w:val="center" w:pos="4513"/>
        <w:tab w:val="right" w:pos="9026"/>
      </w:tabs>
      <w:spacing w:line="240" w:lineRule="auto"/>
    </w:pPr>
  </w:style>
  <w:style w:type="character" w:customStyle="1" w:styleId="FooterChar">
    <w:name w:val="Footer Char"/>
    <w:basedOn w:val="DefaultParagraphFont"/>
    <w:link w:val="Footer"/>
    <w:uiPriority w:val="99"/>
    <w:rsid w:val="008E5277"/>
    <w:rPr>
      <w:rFonts w:ascii="Arial" w:hAnsi="Arial"/>
      <w:sz w:val="18"/>
    </w:rPr>
  </w:style>
  <w:style w:type="character" w:customStyle="1" w:styleId="HeaderChar">
    <w:name w:val="Header Char"/>
    <w:basedOn w:val="DefaultParagraphFont"/>
    <w:link w:val="Header"/>
    <w:uiPriority w:val="99"/>
    <w:rsid w:val="008E5277"/>
    <w:rPr>
      <w:rFonts w:ascii="Arial" w:hAnsi="Arial"/>
      <w:sz w:val="18"/>
    </w:rPr>
  </w:style>
  <w:style w:type="paragraph" w:customStyle="1" w:styleId="Normal20">
    <w:name w:val="Normal_2_0"/>
    <w:qFormat/>
    <w:rsid w:val="00FD4DF6"/>
    <w:pPr>
      <w:spacing w:after="0" w:line="240" w:lineRule="auto"/>
    </w:pPr>
    <w:rPr>
      <w:rFonts w:ascii="Arial" w:eastAsia="Arial" w:hAnsi="Arial" w:cs="Arial"/>
      <w:sz w:val="16"/>
      <w:szCs w:val="24"/>
      <w:lang w:eastAsia="en-GB"/>
    </w:rPr>
  </w:style>
  <w:style w:type="table" w:customStyle="1" w:styleId="table">
    <w:name w:val="table"/>
    <w:basedOn w:val="TableNormal"/>
    <w:rsid w:val="00C752E3"/>
    <w:tblPr/>
  </w:style>
  <w:style w:type="character" w:customStyle="1" w:styleId="font32">
    <w:name w:val="font32"/>
    <w:basedOn w:val="DefaultParagraphFont"/>
    <w:rsid w:val="00A53A54"/>
    <w:rPr>
      <w:rFonts w:ascii="Arial" w:eastAsia="Arial" w:hAnsi="Arial" w:cs="Arial"/>
      <w:b w:val="0"/>
      <w:bCs w:val="0"/>
      <w:i w:val="0"/>
      <w:iCs w:val="0"/>
      <w:color w:val="000000"/>
      <w:sz w:val="16"/>
      <w:szCs w:val="16"/>
    </w:rPr>
  </w:style>
  <w:style w:type="character" w:customStyle="1" w:styleId="font71">
    <w:name w:val="font71"/>
    <w:basedOn w:val="DefaultParagraphFont"/>
    <w:rsid w:val="00A53A54"/>
    <w:rPr>
      <w:rFonts w:ascii="Arial" w:eastAsia="Arial" w:hAnsi="Arial" w:cs="Arial"/>
      <w:b w:val="0"/>
      <w:bCs w:val="0"/>
      <w:i w:val="0"/>
      <w:iCs w:val="0"/>
      <w:color w:val="000000"/>
      <w:sz w:val="12"/>
      <w:szCs w:val="12"/>
    </w:rPr>
  </w:style>
  <w:style w:type="character" w:customStyle="1" w:styleId="font2">
    <w:name w:val="font2"/>
    <w:basedOn w:val="DefaultParagraphFont"/>
    <w:rsid w:val="00C752E3"/>
    <w:rPr>
      <w:rFonts w:ascii="Arial" w:eastAsia="Arial" w:hAnsi="Arial" w:cs="Arial"/>
      <w:b w:val="0"/>
      <w:bCs w:val="0"/>
      <w:i w:val="0"/>
      <w:iCs w:val="0"/>
      <w:color w:val="000000"/>
      <w:sz w:val="16"/>
      <w:szCs w:val="16"/>
    </w:rPr>
  </w:style>
  <w:style w:type="character" w:customStyle="1" w:styleId="font600">
    <w:name w:val="font6_0_0"/>
    <w:basedOn w:val="DefaultParagraphFont"/>
    <w:rPr>
      <w:rFonts w:ascii="Arial" w:eastAsia="Arial" w:hAnsi="Arial" w:cs="Arial"/>
      <w:b w:val="0"/>
      <w:bCs w:val="0"/>
      <w:i w:val="0"/>
      <w:iCs w:val="0"/>
      <w:color w:val="000000"/>
      <w:sz w:val="12"/>
      <w:szCs w:val="12"/>
    </w:rPr>
  </w:style>
  <w:style w:type="character" w:customStyle="1" w:styleId="font70">
    <w:name w:val="font7_0"/>
    <w:basedOn w:val="DefaultParagraphFont"/>
    <w:rPr>
      <w:rFonts w:ascii="Arial" w:eastAsia="Arial" w:hAnsi="Arial" w:cs="Arial"/>
      <w:b w:val="0"/>
      <w:bCs w:val="0"/>
      <w:i w:val="0"/>
      <w:iCs w:val="0"/>
      <w:color w:val="000000"/>
      <w:sz w:val="16"/>
      <w:szCs w:val="16"/>
    </w:rPr>
  </w:style>
  <w:style w:type="character" w:customStyle="1" w:styleId="font9">
    <w:name w:val="font9"/>
    <w:basedOn w:val="DefaultParagraphFont"/>
    <w:rPr>
      <w:rFonts w:ascii="Arial" w:eastAsia="Arial" w:hAnsi="Arial" w:cs="Arial"/>
      <w:b w:val="0"/>
      <w:bCs w:val="0"/>
      <w:i w:val="0"/>
      <w:iCs w:val="0"/>
      <w:color w:val="000000"/>
      <w:sz w:val="12"/>
      <w:szCs w:val="12"/>
    </w:rPr>
  </w:style>
  <w:style w:type="paragraph" w:customStyle="1" w:styleId="Normal180">
    <w:name w:val="Normal_18_0"/>
    <w:rsid w:val="000A4C61"/>
    <w:pPr>
      <w:spacing w:after="0" w:line="240" w:lineRule="auto"/>
    </w:pPr>
    <w:rPr>
      <w:rFonts w:ascii="Arial" w:eastAsia="Arial" w:hAnsi="Arial" w:cs="Arial"/>
      <w:sz w:val="24"/>
      <w:szCs w:val="24"/>
      <w:lang w:eastAsia="en-GB"/>
    </w:rPr>
  </w:style>
  <w:style w:type="character" w:customStyle="1" w:styleId="font30">
    <w:name w:val="font3_0"/>
    <w:basedOn w:val="DefaultParagraphFont"/>
    <w:rPr>
      <w:rFonts w:ascii="Arial" w:eastAsia="Arial" w:hAnsi="Arial" w:cs="Arial"/>
      <w:b w:val="0"/>
      <w:bCs w:val="0"/>
      <w:i w:val="0"/>
      <w:iCs w:val="0"/>
      <w:color w:val="000000"/>
      <w:sz w:val="12"/>
      <w:szCs w:val="12"/>
    </w:rPr>
  </w:style>
  <w:style w:type="table" w:styleId="TableGrid">
    <w:name w:val="Table Grid"/>
    <w:basedOn w:val="TableNormal"/>
    <w:uiPriority w:val="59"/>
    <w:rsid w:val="00186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77">
    <w:name w:val="font177"/>
    <w:basedOn w:val="DefaultParagraphFont"/>
    <w:rPr>
      <w:rFonts w:ascii="Arial" w:eastAsia="Arial" w:hAnsi="Arial" w:cs="Arial"/>
      <w:b/>
      <w:bCs/>
      <w:i w:val="0"/>
      <w:iCs w:val="0"/>
      <w:color w:val="003366"/>
      <w:sz w:val="16"/>
      <w:szCs w:val="16"/>
    </w:rPr>
  </w:style>
  <w:style w:type="character" w:customStyle="1" w:styleId="font186">
    <w:name w:val="font186"/>
    <w:basedOn w:val="DefaultParagraphFont"/>
    <w:rPr>
      <w:rFonts w:ascii="Arial" w:eastAsia="Arial" w:hAnsi="Arial" w:cs="Arial"/>
      <w:b w:val="0"/>
      <w:bCs w:val="0"/>
      <w:i w:val="0"/>
      <w:iCs w:val="0"/>
      <w:color w:val="003366"/>
      <w:sz w:val="12"/>
      <w:szCs w:val="12"/>
    </w:rPr>
  </w:style>
  <w:style w:type="character" w:customStyle="1" w:styleId="font60">
    <w:name w:val="font6_0"/>
    <w:basedOn w:val="DefaultParagraphFont"/>
    <w:rPr>
      <w:rFonts w:ascii="Arial" w:eastAsia="Arial" w:hAnsi="Arial" w:cs="Arial"/>
      <w:b w:val="0"/>
      <w:bCs w:val="0"/>
      <w:i w:val="0"/>
      <w:iCs w:val="0"/>
      <w:color w:val="000000"/>
      <w:sz w:val="16"/>
      <w:szCs w:val="16"/>
    </w:rPr>
  </w:style>
  <w:style w:type="character" w:customStyle="1" w:styleId="font17800">
    <w:name w:val="font178_0_0"/>
    <w:basedOn w:val="DefaultParagraphFont"/>
    <w:rPr>
      <w:rFonts w:ascii="Arial" w:eastAsia="Arial" w:hAnsi="Arial" w:cs="Arial"/>
      <w:b w:val="0"/>
      <w:bCs w:val="0"/>
      <w:i w:val="0"/>
      <w:iCs w:val="0"/>
      <w:color w:val="003366"/>
      <w:sz w:val="16"/>
      <w:szCs w:val="16"/>
    </w:rPr>
  </w:style>
  <w:style w:type="paragraph" w:customStyle="1" w:styleId="Heading100">
    <w:name w:val="Heading 1_0_0"/>
    <w:basedOn w:val="Normal"/>
    <w:next w:val="Normal"/>
    <w:qFormat/>
    <w:rsid w:val="00525FD4"/>
    <w:pPr>
      <w:keepNext/>
      <w:pBdr>
        <w:bottom w:val="single" w:sz="4" w:space="1" w:color="003366"/>
      </w:pBdr>
      <w:spacing w:line="288" w:lineRule="auto"/>
      <w:outlineLvl w:val="0"/>
    </w:pPr>
    <w:rPr>
      <w:rFonts w:eastAsia="Times New Roman" w:cs="Times New Roman"/>
      <w:color w:val="003366"/>
      <w:sz w:val="20"/>
      <w:szCs w:val="20"/>
      <w:lang w:eastAsia="ja-JP"/>
    </w:rPr>
  </w:style>
  <w:style w:type="character" w:customStyle="1" w:styleId="font4">
    <w:name w:val="font4"/>
    <w:basedOn w:val="DefaultParagraphFont"/>
    <w:rsid w:val="009A5F37"/>
    <w:rPr>
      <w:rFonts w:ascii="Arial" w:eastAsia="Arial" w:hAnsi="Arial" w:cs="Arial"/>
      <w:b w:val="0"/>
      <w:bCs w:val="0"/>
      <w:i w:val="0"/>
      <w:iCs w:val="0"/>
      <w:color w:val="000000"/>
      <w:sz w:val="16"/>
      <w:szCs w:val="16"/>
    </w:rPr>
  </w:style>
  <w:style w:type="character" w:customStyle="1" w:styleId="font710">
    <w:name w:val="font7_1_0"/>
    <w:basedOn w:val="DefaultParagraphFont"/>
    <w:rPr>
      <w:rFonts w:ascii="Arial" w:eastAsia="Arial" w:hAnsi="Arial" w:cs="Arial"/>
      <w:b/>
      <w:bCs/>
      <w:i w:val="0"/>
      <w:iCs w:val="0"/>
      <w:color w:val="003366"/>
      <w:sz w:val="16"/>
      <w:szCs w:val="16"/>
    </w:rPr>
  </w:style>
  <w:style w:type="character" w:customStyle="1" w:styleId="font1200">
    <w:name w:val="font12_0_0"/>
    <w:basedOn w:val="DefaultParagraphFont"/>
    <w:rPr>
      <w:rFonts w:ascii="Arial" w:eastAsia="Arial" w:hAnsi="Arial" w:cs="Arial"/>
      <w:b w:val="0"/>
      <w:bCs w:val="0"/>
      <w:i w:val="0"/>
      <w:iCs w:val="0"/>
      <w:color w:val="003366"/>
      <w:sz w:val="12"/>
      <w:szCs w:val="12"/>
    </w:rPr>
  </w:style>
  <w:style w:type="paragraph" w:styleId="ListParagraph">
    <w:name w:val="List Paragraph"/>
    <w:basedOn w:val="Normal"/>
    <w:uiPriority w:val="34"/>
    <w:qFormat/>
    <w:rsid w:val="00A51434"/>
    <w:pPr>
      <w:ind w:left="720"/>
      <w:contextualSpacing/>
    </w:pPr>
  </w:style>
  <w:style w:type="character" w:customStyle="1" w:styleId="font1000">
    <w:name w:val="font10_0_0"/>
    <w:basedOn w:val="DefaultParagraphFont"/>
    <w:rPr>
      <w:rFonts w:ascii="Arial" w:eastAsia="Arial" w:hAnsi="Arial" w:cs="Arial"/>
      <w:b w:val="0"/>
      <w:bCs w:val="0"/>
      <w:i w:val="0"/>
      <w:iCs w:val="0"/>
      <w:color w:val="000000"/>
      <w:sz w:val="16"/>
      <w:szCs w:val="16"/>
    </w:rPr>
  </w:style>
  <w:style w:type="character" w:customStyle="1" w:styleId="font36">
    <w:name w:val="font36"/>
    <w:basedOn w:val="DefaultParagraphFont"/>
    <w:rPr>
      <w:rFonts w:ascii="Arial" w:eastAsia="Arial" w:hAnsi="Arial" w:cs="Arial"/>
      <w:b w:val="0"/>
      <w:bCs w:val="0"/>
      <w:i w:val="0"/>
      <w:iCs w:val="0"/>
      <w:color w:val="000000"/>
      <w:sz w:val="12"/>
      <w:szCs w:val="12"/>
    </w:rPr>
  </w:style>
  <w:style w:type="paragraph" w:customStyle="1" w:styleId="Normal250">
    <w:name w:val="Normal_25_0"/>
    <w:qFormat/>
    <w:rsid w:val="00F57394"/>
    <w:pPr>
      <w:spacing w:after="0" w:line="240" w:lineRule="auto"/>
    </w:pPr>
    <w:rPr>
      <w:rFonts w:ascii="Times New Roman" w:eastAsia="Times New Roman" w:hAnsi="Times New Roman" w:cs="Times New Roman"/>
      <w:sz w:val="24"/>
      <w:szCs w:val="20"/>
      <w:lang w:eastAsia="ja-JP"/>
    </w:rPr>
  </w:style>
  <w:style w:type="paragraph" w:customStyle="1" w:styleId="GCAHeaderBold">
    <w:name w:val="~ GCA Header (Bold)"/>
    <w:link w:val="GCAHeaderBoldChar"/>
    <w:rsid w:val="00F57394"/>
    <w:pPr>
      <w:spacing w:after="0" w:line="288" w:lineRule="auto"/>
    </w:pPr>
    <w:rPr>
      <w:rFonts w:ascii="Arial" w:eastAsia="Arial Unicode MS" w:hAnsi="Arial" w:cs="Times New Roman"/>
      <w:b/>
      <w:color w:val="003366"/>
      <w:sz w:val="20"/>
      <w:szCs w:val="20"/>
      <w:lang w:eastAsia="ja-JP"/>
    </w:rPr>
  </w:style>
  <w:style w:type="character" w:customStyle="1" w:styleId="GCAHeaderBoldChar">
    <w:name w:val="~ GCA Header (Bold) Char"/>
    <w:link w:val="GCAHeaderBold"/>
    <w:rsid w:val="00F57394"/>
    <w:rPr>
      <w:rFonts w:ascii="Arial" w:eastAsia="Arial Unicode MS" w:hAnsi="Arial" w:cs="Times New Roman"/>
      <w:b/>
      <w:color w:val="003366"/>
      <w:sz w:val="20"/>
      <w:szCs w:val="20"/>
      <w:lang w:eastAsia="ja-JP"/>
    </w:rPr>
  </w:style>
  <w:style w:type="character" w:customStyle="1" w:styleId="font72">
    <w:name w:val="font7_2"/>
    <w:basedOn w:val="DefaultParagraphFont"/>
    <w:rsid w:val="00CF2893"/>
    <w:rPr>
      <w:rFonts w:ascii="Arial" w:eastAsia="Arial" w:hAnsi="Arial" w:cs="Arial"/>
      <w:b w:val="0"/>
      <w:bCs w:val="0"/>
      <w:i w:val="0"/>
      <w:iCs w:val="0"/>
      <w:color w:val="FF0000"/>
      <w:sz w:val="16"/>
      <w:szCs w:val="16"/>
    </w:rPr>
  </w:style>
  <w:style w:type="character" w:customStyle="1" w:styleId="font40">
    <w:name w:val="font4_0"/>
    <w:basedOn w:val="DefaultParagraphFont"/>
    <w:rsid w:val="00CF2893"/>
    <w:rPr>
      <w:rFonts w:ascii="Arial" w:eastAsia="Arial" w:hAnsi="Arial" w:cs="Arial"/>
      <w:b/>
      <w:bCs/>
      <w:i w:val="0"/>
      <w:iCs w:val="0"/>
      <w:color w:val="003366"/>
      <w:sz w:val="16"/>
      <w:szCs w:val="16"/>
    </w:rPr>
  </w:style>
  <w:style w:type="character" w:customStyle="1" w:styleId="font601">
    <w:name w:val="font6_0_1"/>
    <w:basedOn w:val="DefaultParagraphFont"/>
    <w:rPr>
      <w:rFonts w:ascii="Arial" w:eastAsia="Arial" w:hAnsi="Arial" w:cs="Arial"/>
      <w:b/>
      <w:bCs/>
      <w:i w:val="0"/>
      <w:iCs w:val="0"/>
      <w:color w:val="003366"/>
      <w:sz w:val="12"/>
      <w:szCs w:val="12"/>
    </w:rPr>
  </w:style>
  <w:style w:type="character" w:customStyle="1" w:styleId="font101">
    <w:name w:val="font10_1"/>
    <w:basedOn w:val="DefaultParagraphFont"/>
    <w:rsid w:val="00CF2893"/>
    <w:rPr>
      <w:rFonts w:ascii="Arial" w:eastAsia="Arial" w:hAnsi="Arial" w:cs="Arial"/>
      <w:b w:val="0"/>
      <w:bCs w:val="0"/>
      <w:i w:val="0"/>
      <w:iCs w:val="0"/>
      <w:color w:val="000000"/>
      <w:sz w:val="14"/>
      <w:szCs w:val="14"/>
    </w:rPr>
  </w:style>
  <w:style w:type="paragraph" w:customStyle="1" w:styleId="GCAHeaderUnderline">
    <w:name w:val="~ GCA Header Underline"/>
    <w:link w:val="GCAHeaderUnderlineChar"/>
    <w:rsid w:val="0021583F"/>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
    <w:name w:val="~ GCA Header Underline Char"/>
    <w:link w:val="GCAHeaderUnderline"/>
    <w:locked/>
    <w:rsid w:val="0021583F"/>
    <w:rPr>
      <w:rFonts w:ascii="Arial" w:eastAsia="Times New Roman" w:hAnsi="Arial" w:cs="Arial"/>
      <w:b/>
      <w:color w:val="003366"/>
      <w:sz w:val="20"/>
      <w:szCs w:val="20"/>
      <w:lang w:eastAsia="ja-JP"/>
    </w:rPr>
  </w:style>
  <w:style w:type="character" w:customStyle="1" w:styleId="font5">
    <w:name w:val="font5"/>
    <w:basedOn w:val="DefaultParagraphFont"/>
    <w:rPr>
      <w:rFonts w:ascii="Arial" w:eastAsia="Arial" w:hAnsi="Arial" w:cs="Arial"/>
      <w:b/>
      <w:bCs/>
      <w:i w:val="0"/>
      <w:iCs w:val="0"/>
      <w:color w:val="003366"/>
      <w:sz w:val="16"/>
      <w:szCs w:val="16"/>
    </w:rPr>
  </w:style>
  <w:style w:type="character" w:customStyle="1" w:styleId="font61">
    <w:name w:val="font6_1"/>
    <w:basedOn w:val="DefaultParagraphFont"/>
    <w:rPr>
      <w:rFonts w:ascii="Arial" w:eastAsia="Arial" w:hAnsi="Arial" w:cs="Arial"/>
      <w:b w:val="0"/>
      <w:bCs w:val="0"/>
      <w:i w:val="0"/>
      <w:iCs w:val="0"/>
      <w:color w:val="003366"/>
      <w:sz w:val="16"/>
      <w:szCs w:val="16"/>
    </w:rPr>
  </w:style>
  <w:style w:type="character" w:customStyle="1" w:styleId="font90">
    <w:name w:val="font9_0"/>
    <w:basedOn w:val="DefaultParagraphFont"/>
    <w:rPr>
      <w:rFonts w:ascii="Arial" w:eastAsia="Arial" w:hAnsi="Arial" w:cs="Arial"/>
      <w:b w:val="0"/>
      <w:bCs w:val="0"/>
      <w:i w:val="0"/>
      <w:iCs w:val="0"/>
      <w:color w:val="003366"/>
      <w:sz w:val="12"/>
      <w:szCs w:val="12"/>
    </w:rPr>
  </w:style>
  <w:style w:type="character" w:customStyle="1" w:styleId="font1001">
    <w:name w:val="font10_0_1"/>
    <w:basedOn w:val="DefaultParagraphFont"/>
    <w:rPr>
      <w:rFonts w:ascii="Arial" w:eastAsia="Arial" w:hAnsi="Arial" w:cs="Arial"/>
      <w:b/>
      <w:bCs/>
      <w:i w:val="0"/>
      <w:iCs w:val="0"/>
      <w:color w:val="002060"/>
      <w:sz w:val="16"/>
      <w:szCs w:val="16"/>
    </w:rPr>
  </w:style>
  <w:style w:type="character" w:customStyle="1" w:styleId="font1201">
    <w:name w:val="font12_0_1"/>
    <w:basedOn w:val="DefaultParagraphFont"/>
    <w:rPr>
      <w:rFonts w:ascii="Arial" w:eastAsia="Arial" w:hAnsi="Arial" w:cs="Arial"/>
      <w:b w:val="0"/>
      <w:bCs w:val="0"/>
      <w:i w:val="0"/>
      <w:iCs w:val="0"/>
      <w:color w:val="002060"/>
      <w:sz w:val="12"/>
      <w:szCs w:val="12"/>
    </w:rPr>
  </w:style>
  <w:style w:type="paragraph" w:customStyle="1" w:styleId="GCATitlePageText00">
    <w:name w:val="~ GCA Title Page Text_0_0"/>
    <w:rsid w:val="007561B2"/>
    <w:pPr>
      <w:spacing w:after="0" w:line="240" w:lineRule="auto"/>
      <w:jc w:val="center"/>
    </w:pPr>
    <w:rPr>
      <w:rFonts w:ascii="Arial" w:eastAsia="MS Mincho" w:hAnsi="Arial" w:cs="Times New Roman"/>
      <w:color w:val="003366"/>
      <w:sz w:val="64"/>
      <w:szCs w:val="20"/>
      <w:lang w:eastAsia="ja-JP"/>
    </w:rPr>
  </w:style>
  <w:style w:type="character" w:customStyle="1" w:styleId="font20">
    <w:name w:val="font2_0"/>
    <w:basedOn w:val="DefaultParagraphFont"/>
    <w:rsid w:val="000731E4"/>
    <w:rPr>
      <w:rFonts w:ascii="Arial" w:eastAsia="Arial" w:hAnsi="Arial" w:cs="Arial"/>
      <w:b/>
      <w:bCs/>
      <w:i w:val="0"/>
      <w:iCs w:val="0"/>
      <w:color w:val="003366"/>
      <w:sz w:val="16"/>
      <w:szCs w:val="16"/>
    </w:rPr>
  </w:style>
  <w:style w:type="character" w:customStyle="1" w:styleId="font31">
    <w:name w:val="font3_1"/>
    <w:basedOn w:val="DefaultParagraphFont"/>
    <w:rsid w:val="000731E4"/>
    <w:rPr>
      <w:rFonts w:ascii="Arial" w:eastAsia="Arial" w:hAnsi="Arial" w:cs="Arial"/>
      <w:b w:val="0"/>
      <w:bCs w:val="0"/>
      <w:i w:val="0"/>
      <w:iCs w:val="0"/>
      <w:color w:val="003366"/>
      <w:sz w:val="12"/>
      <w:szCs w:val="12"/>
    </w:rPr>
  </w:style>
  <w:style w:type="paragraph" w:customStyle="1" w:styleId="GCAHeader1140">
    <w:name w:val="~ GCA Header_11_4_0"/>
    <w:link w:val="GCAHeaderChar1140"/>
    <w:rsid w:val="007561B2"/>
    <w:pPr>
      <w:spacing w:after="0" w:line="288" w:lineRule="auto"/>
    </w:pPr>
    <w:rPr>
      <w:rFonts w:ascii="Arial" w:hAnsi="Arial" w:cs="Arial"/>
      <w:b/>
      <w:color w:val="003366"/>
      <w:lang w:eastAsia="ja-JP"/>
    </w:rPr>
  </w:style>
  <w:style w:type="character" w:customStyle="1" w:styleId="GCAHeaderChar1140">
    <w:name w:val="~ GCA Header Char_11_4_0"/>
    <w:link w:val="GCAHeader1140"/>
    <w:locked/>
    <w:rsid w:val="007561B2"/>
    <w:rPr>
      <w:rFonts w:ascii="Arial" w:hAnsi="Arial" w:cs="Arial"/>
      <w:b/>
      <w:color w:val="00336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7B"/>
    <w:pPr>
      <w:spacing w:after="0"/>
    </w:pPr>
    <w:rPr>
      <w:rFonts w:ascii="Arial" w:hAnsi="Arial"/>
      <w:sz w:val="18"/>
    </w:rPr>
  </w:style>
  <w:style w:type="paragraph" w:styleId="Heading1">
    <w:name w:val="heading 1"/>
    <w:basedOn w:val="Normal"/>
    <w:next w:val="Normal"/>
    <w:link w:val="Heading1Char"/>
    <w:uiPriority w:val="9"/>
    <w:qFormat/>
    <w:rsid w:val="00111D1D"/>
    <w:pPr>
      <w:keepNext/>
      <w:keepLines/>
      <w:outlineLvl w:val="0"/>
    </w:pPr>
    <w:rPr>
      <w:rFonts w:eastAsiaTheme="majorEastAsia" w:cstheme="majorBidi"/>
      <w:b/>
      <w:bCs/>
      <w:color w:val="003466"/>
      <w:sz w:val="20"/>
      <w:szCs w:val="28"/>
    </w:rPr>
  </w:style>
  <w:style w:type="paragraph" w:styleId="Heading2">
    <w:name w:val="heading 2"/>
    <w:basedOn w:val="Normal"/>
    <w:next w:val="Normal"/>
    <w:link w:val="Heading2Char"/>
    <w:uiPriority w:val="9"/>
    <w:unhideWhenUsed/>
    <w:qFormat/>
    <w:rsid w:val="00111D1D"/>
    <w:pPr>
      <w:keepNext/>
      <w:keepLines/>
      <w:outlineLvl w:val="1"/>
    </w:pPr>
    <w:rPr>
      <w:rFonts w:eastAsiaTheme="majorEastAsia" w:cstheme="majorBidi"/>
      <w:b/>
      <w:bCs/>
      <w:color w:val="003466"/>
      <w:szCs w:val="26"/>
    </w:rPr>
  </w:style>
  <w:style w:type="paragraph" w:styleId="Heading3">
    <w:name w:val="heading 3"/>
    <w:basedOn w:val="Normal"/>
    <w:next w:val="Normal"/>
    <w:link w:val="Heading3Char"/>
    <w:uiPriority w:val="9"/>
    <w:unhideWhenUsed/>
    <w:qFormat/>
    <w:rsid w:val="00111D1D"/>
    <w:pPr>
      <w:keepNext/>
      <w:keepLines/>
      <w:outlineLvl w:val="2"/>
    </w:pPr>
    <w:rPr>
      <w:rFonts w:eastAsiaTheme="majorEastAsia" w:cstheme="majorBidi"/>
      <w:bCs/>
      <w:color w:val="0034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82327B"/>
    <w:pPr>
      <w:spacing w:after="0" w:line="240" w:lineRule="auto"/>
    </w:pPr>
    <w:rPr>
      <w:rFonts w:ascii="Times New Roman" w:eastAsia="SimSun" w:hAnsi="Times New Roman" w:cs="Times New Roman"/>
      <w:sz w:val="24"/>
      <w:szCs w:val="24"/>
      <w:lang w:eastAsia="zh-CN"/>
    </w:rPr>
  </w:style>
  <w:style w:type="paragraph" w:customStyle="1" w:styleId="Normal00">
    <w:name w:val="Normal_0_0"/>
    <w:rsid w:val="0082327B"/>
    <w:pPr>
      <w:spacing w:after="0"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111D1D"/>
    <w:rPr>
      <w:rFonts w:ascii="Arial" w:eastAsiaTheme="majorEastAsia" w:hAnsi="Arial" w:cstheme="majorBidi"/>
      <w:b/>
      <w:bCs/>
      <w:color w:val="003466"/>
      <w:sz w:val="20"/>
      <w:szCs w:val="28"/>
    </w:rPr>
  </w:style>
  <w:style w:type="character" w:customStyle="1" w:styleId="Heading2Char">
    <w:name w:val="Heading 2 Char"/>
    <w:basedOn w:val="DefaultParagraphFont"/>
    <w:link w:val="Heading2"/>
    <w:uiPriority w:val="9"/>
    <w:rsid w:val="00111D1D"/>
    <w:rPr>
      <w:rFonts w:ascii="Arial" w:eastAsiaTheme="majorEastAsia" w:hAnsi="Arial" w:cstheme="majorBidi"/>
      <w:b/>
      <w:bCs/>
      <w:color w:val="003466"/>
      <w:sz w:val="18"/>
      <w:szCs w:val="26"/>
    </w:rPr>
  </w:style>
  <w:style w:type="character" w:customStyle="1" w:styleId="Heading3Char">
    <w:name w:val="Heading 3 Char"/>
    <w:basedOn w:val="DefaultParagraphFont"/>
    <w:link w:val="Heading3"/>
    <w:uiPriority w:val="9"/>
    <w:rsid w:val="00111D1D"/>
    <w:rPr>
      <w:rFonts w:ascii="Arial" w:eastAsiaTheme="majorEastAsia" w:hAnsi="Arial" w:cstheme="majorBidi"/>
      <w:bCs/>
      <w:color w:val="003466"/>
      <w:sz w:val="18"/>
    </w:rPr>
  </w:style>
  <w:style w:type="paragraph" w:styleId="Header">
    <w:name w:val="header"/>
    <w:basedOn w:val="Normal"/>
    <w:link w:val="HeaderChar"/>
    <w:unhideWhenUsed/>
    <w:rsid w:val="00EF7B96"/>
    <w:pPr>
      <w:tabs>
        <w:tab w:val="center" w:pos="4513"/>
        <w:tab w:val="right" w:pos="9026"/>
      </w:tabs>
      <w:spacing w:line="240" w:lineRule="auto"/>
    </w:pPr>
  </w:style>
  <w:style w:type="paragraph" w:styleId="Footer">
    <w:name w:val="footer"/>
    <w:basedOn w:val="Normal"/>
    <w:link w:val="FooterChar"/>
    <w:uiPriority w:val="99"/>
    <w:unhideWhenUsed/>
    <w:rsid w:val="008E5277"/>
    <w:pPr>
      <w:tabs>
        <w:tab w:val="center" w:pos="4513"/>
        <w:tab w:val="right" w:pos="9026"/>
      </w:tabs>
      <w:spacing w:line="240" w:lineRule="auto"/>
    </w:pPr>
  </w:style>
  <w:style w:type="character" w:customStyle="1" w:styleId="FooterChar">
    <w:name w:val="Footer Char"/>
    <w:basedOn w:val="DefaultParagraphFont"/>
    <w:link w:val="Footer"/>
    <w:uiPriority w:val="99"/>
    <w:rsid w:val="008E5277"/>
    <w:rPr>
      <w:rFonts w:ascii="Arial" w:hAnsi="Arial"/>
      <w:sz w:val="18"/>
    </w:rPr>
  </w:style>
  <w:style w:type="character" w:customStyle="1" w:styleId="HeaderChar">
    <w:name w:val="Header Char"/>
    <w:basedOn w:val="DefaultParagraphFont"/>
    <w:link w:val="Header"/>
    <w:uiPriority w:val="99"/>
    <w:rsid w:val="008E5277"/>
    <w:rPr>
      <w:rFonts w:ascii="Arial" w:hAnsi="Arial"/>
      <w:sz w:val="18"/>
    </w:rPr>
  </w:style>
  <w:style w:type="paragraph" w:customStyle="1" w:styleId="Normal20">
    <w:name w:val="Normal_2_0"/>
    <w:qFormat/>
    <w:rsid w:val="00FD4DF6"/>
    <w:pPr>
      <w:spacing w:after="0" w:line="240" w:lineRule="auto"/>
    </w:pPr>
    <w:rPr>
      <w:rFonts w:ascii="Arial" w:eastAsia="Arial" w:hAnsi="Arial" w:cs="Arial"/>
      <w:sz w:val="16"/>
      <w:szCs w:val="24"/>
      <w:lang w:eastAsia="en-GB"/>
    </w:rPr>
  </w:style>
  <w:style w:type="table" w:customStyle="1" w:styleId="table">
    <w:name w:val="table"/>
    <w:basedOn w:val="TableNormal"/>
    <w:rsid w:val="00C752E3"/>
    <w:tblPr/>
  </w:style>
  <w:style w:type="character" w:customStyle="1" w:styleId="font32">
    <w:name w:val="font32"/>
    <w:basedOn w:val="DefaultParagraphFont"/>
    <w:rsid w:val="00A53A54"/>
    <w:rPr>
      <w:rFonts w:ascii="Arial" w:eastAsia="Arial" w:hAnsi="Arial" w:cs="Arial"/>
      <w:b w:val="0"/>
      <w:bCs w:val="0"/>
      <w:i w:val="0"/>
      <w:iCs w:val="0"/>
      <w:color w:val="000000"/>
      <w:sz w:val="16"/>
      <w:szCs w:val="16"/>
    </w:rPr>
  </w:style>
  <w:style w:type="character" w:customStyle="1" w:styleId="font71">
    <w:name w:val="font71"/>
    <w:basedOn w:val="DefaultParagraphFont"/>
    <w:rsid w:val="00A53A54"/>
    <w:rPr>
      <w:rFonts w:ascii="Arial" w:eastAsia="Arial" w:hAnsi="Arial" w:cs="Arial"/>
      <w:b w:val="0"/>
      <w:bCs w:val="0"/>
      <w:i w:val="0"/>
      <w:iCs w:val="0"/>
      <w:color w:val="000000"/>
      <w:sz w:val="12"/>
      <w:szCs w:val="12"/>
    </w:rPr>
  </w:style>
  <w:style w:type="character" w:customStyle="1" w:styleId="font2">
    <w:name w:val="font2"/>
    <w:basedOn w:val="DefaultParagraphFont"/>
    <w:rsid w:val="00C752E3"/>
    <w:rPr>
      <w:rFonts w:ascii="Arial" w:eastAsia="Arial" w:hAnsi="Arial" w:cs="Arial"/>
      <w:b w:val="0"/>
      <w:bCs w:val="0"/>
      <w:i w:val="0"/>
      <w:iCs w:val="0"/>
      <w:color w:val="000000"/>
      <w:sz w:val="16"/>
      <w:szCs w:val="16"/>
    </w:rPr>
  </w:style>
  <w:style w:type="character" w:customStyle="1" w:styleId="font600">
    <w:name w:val="font6_0_0"/>
    <w:basedOn w:val="DefaultParagraphFont"/>
    <w:rPr>
      <w:rFonts w:ascii="Arial" w:eastAsia="Arial" w:hAnsi="Arial" w:cs="Arial"/>
      <w:b w:val="0"/>
      <w:bCs w:val="0"/>
      <w:i w:val="0"/>
      <w:iCs w:val="0"/>
      <w:color w:val="000000"/>
      <w:sz w:val="12"/>
      <w:szCs w:val="12"/>
    </w:rPr>
  </w:style>
  <w:style w:type="character" w:customStyle="1" w:styleId="font70">
    <w:name w:val="font7_0"/>
    <w:basedOn w:val="DefaultParagraphFont"/>
    <w:rPr>
      <w:rFonts w:ascii="Arial" w:eastAsia="Arial" w:hAnsi="Arial" w:cs="Arial"/>
      <w:b w:val="0"/>
      <w:bCs w:val="0"/>
      <w:i w:val="0"/>
      <w:iCs w:val="0"/>
      <w:color w:val="000000"/>
      <w:sz w:val="16"/>
      <w:szCs w:val="16"/>
    </w:rPr>
  </w:style>
  <w:style w:type="character" w:customStyle="1" w:styleId="font9">
    <w:name w:val="font9"/>
    <w:basedOn w:val="DefaultParagraphFont"/>
    <w:rPr>
      <w:rFonts w:ascii="Arial" w:eastAsia="Arial" w:hAnsi="Arial" w:cs="Arial"/>
      <w:b w:val="0"/>
      <w:bCs w:val="0"/>
      <w:i w:val="0"/>
      <w:iCs w:val="0"/>
      <w:color w:val="000000"/>
      <w:sz w:val="12"/>
      <w:szCs w:val="12"/>
    </w:rPr>
  </w:style>
  <w:style w:type="paragraph" w:customStyle="1" w:styleId="Normal180">
    <w:name w:val="Normal_18_0"/>
    <w:rsid w:val="000A4C61"/>
    <w:pPr>
      <w:spacing w:after="0" w:line="240" w:lineRule="auto"/>
    </w:pPr>
    <w:rPr>
      <w:rFonts w:ascii="Arial" w:eastAsia="Arial" w:hAnsi="Arial" w:cs="Arial"/>
      <w:sz w:val="24"/>
      <w:szCs w:val="24"/>
      <w:lang w:eastAsia="en-GB"/>
    </w:rPr>
  </w:style>
  <w:style w:type="character" w:customStyle="1" w:styleId="font30">
    <w:name w:val="font3_0"/>
    <w:basedOn w:val="DefaultParagraphFont"/>
    <w:rPr>
      <w:rFonts w:ascii="Arial" w:eastAsia="Arial" w:hAnsi="Arial" w:cs="Arial"/>
      <w:b w:val="0"/>
      <w:bCs w:val="0"/>
      <w:i w:val="0"/>
      <w:iCs w:val="0"/>
      <w:color w:val="000000"/>
      <w:sz w:val="12"/>
      <w:szCs w:val="12"/>
    </w:rPr>
  </w:style>
  <w:style w:type="table" w:styleId="TableGrid">
    <w:name w:val="Table Grid"/>
    <w:basedOn w:val="TableNormal"/>
    <w:uiPriority w:val="59"/>
    <w:rsid w:val="00186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77">
    <w:name w:val="font177"/>
    <w:basedOn w:val="DefaultParagraphFont"/>
    <w:rPr>
      <w:rFonts w:ascii="Arial" w:eastAsia="Arial" w:hAnsi="Arial" w:cs="Arial"/>
      <w:b/>
      <w:bCs/>
      <w:i w:val="0"/>
      <w:iCs w:val="0"/>
      <w:color w:val="003366"/>
      <w:sz w:val="16"/>
      <w:szCs w:val="16"/>
    </w:rPr>
  </w:style>
  <w:style w:type="character" w:customStyle="1" w:styleId="font186">
    <w:name w:val="font186"/>
    <w:basedOn w:val="DefaultParagraphFont"/>
    <w:rPr>
      <w:rFonts w:ascii="Arial" w:eastAsia="Arial" w:hAnsi="Arial" w:cs="Arial"/>
      <w:b w:val="0"/>
      <w:bCs w:val="0"/>
      <w:i w:val="0"/>
      <w:iCs w:val="0"/>
      <w:color w:val="003366"/>
      <w:sz w:val="12"/>
      <w:szCs w:val="12"/>
    </w:rPr>
  </w:style>
  <w:style w:type="character" w:customStyle="1" w:styleId="font60">
    <w:name w:val="font6_0"/>
    <w:basedOn w:val="DefaultParagraphFont"/>
    <w:rPr>
      <w:rFonts w:ascii="Arial" w:eastAsia="Arial" w:hAnsi="Arial" w:cs="Arial"/>
      <w:b w:val="0"/>
      <w:bCs w:val="0"/>
      <w:i w:val="0"/>
      <w:iCs w:val="0"/>
      <w:color w:val="000000"/>
      <w:sz w:val="16"/>
      <w:szCs w:val="16"/>
    </w:rPr>
  </w:style>
  <w:style w:type="character" w:customStyle="1" w:styleId="font17800">
    <w:name w:val="font178_0_0"/>
    <w:basedOn w:val="DefaultParagraphFont"/>
    <w:rPr>
      <w:rFonts w:ascii="Arial" w:eastAsia="Arial" w:hAnsi="Arial" w:cs="Arial"/>
      <w:b w:val="0"/>
      <w:bCs w:val="0"/>
      <w:i w:val="0"/>
      <w:iCs w:val="0"/>
      <w:color w:val="003366"/>
      <w:sz w:val="16"/>
      <w:szCs w:val="16"/>
    </w:rPr>
  </w:style>
  <w:style w:type="paragraph" w:customStyle="1" w:styleId="Heading100">
    <w:name w:val="Heading 1_0_0"/>
    <w:basedOn w:val="Normal"/>
    <w:next w:val="Normal"/>
    <w:qFormat/>
    <w:rsid w:val="00525FD4"/>
    <w:pPr>
      <w:keepNext/>
      <w:pBdr>
        <w:bottom w:val="single" w:sz="4" w:space="1" w:color="003366"/>
      </w:pBdr>
      <w:spacing w:line="288" w:lineRule="auto"/>
      <w:outlineLvl w:val="0"/>
    </w:pPr>
    <w:rPr>
      <w:rFonts w:eastAsia="Times New Roman" w:cs="Times New Roman"/>
      <w:color w:val="003366"/>
      <w:sz w:val="20"/>
      <w:szCs w:val="20"/>
      <w:lang w:eastAsia="ja-JP"/>
    </w:rPr>
  </w:style>
  <w:style w:type="character" w:customStyle="1" w:styleId="font4">
    <w:name w:val="font4"/>
    <w:basedOn w:val="DefaultParagraphFont"/>
    <w:rsid w:val="009A5F37"/>
    <w:rPr>
      <w:rFonts w:ascii="Arial" w:eastAsia="Arial" w:hAnsi="Arial" w:cs="Arial"/>
      <w:b w:val="0"/>
      <w:bCs w:val="0"/>
      <w:i w:val="0"/>
      <w:iCs w:val="0"/>
      <w:color w:val="000000"/>
      <w:sz w:val="16"/>
      <w:szCs w:val="16"/>
    </w:rPr>
  </w:style>
  <w:style w:type="character" w:customStyle="1" w:styleId="font710">
    <w:name w:val="font7_1_0"/>
    <w:basedOn w:val="DefaultParagraphFont"/>
    <w:rPr>
      <w:rFonts w:ascii="Arial" w:eastAsia="Arial" w:hAnsi="Arial" w:cs="Arial"/>
      <w:b/>
      <w:bCs/>
      <w:i w:val="0"/>
      <w:iCs w:val="0"/>
      <w:color w:val="003366"/>
      <w:sz w:val="16"/>
      <w:szCs w:val="16"/>
    </w:rPr>
  </w:style>
  <w:style w:type="character" w:customStyle="1" w:styleId="font1200">
    <w:name w:val="font12_0_0"/>
    <w:basedOn w:val="DefaultParagraphFont"/>
    <w:rPr>
      <w:rFonts w:ascii="Arial" w:eastAsia="Arial" w:hAnsi="Arial" w:cs="Arial"/>
      <w:b w:val="0"/>
      <w:bCs w:val="0"/>
      <w:i w:val="0"/>
      <w:iCs w:val="0"/>
      <w:color w:val="003366"/>
      <w:sz w:val="12"/>
      <w:szCs w:val="12"/>
    </w:rPr>
  </w:style>
  <w:style w:type="paragraph" w:styleId="ListParagraph">
    <w:name w:val="List Paragraph"/>
    <w:basedOn w:val="Normal"/>
    <w:uiPriority w:val="34"/>
    <w:qFormat/>
    <w:rsid w:val="00A51434"/>
    <w:pPr>
      <w:ind w:left="720"/>
      <w:contextualSpacing/>
    </w:pPr>
  </w:style>
  <w:style w:type="character" w:customStyle="1" w:styleId="font1000">
    <w:name w:val="font10_0_0"/>
    <w:basedOn w:val="DefaultParagraphFont"/>
    <w:rPr>
      <w:rFonts w:ascii="Arial" w:eastAsia="Arial" w:hAnsi="Arial" w:cs="Arial"/>
      <w:b w:val="0"/>
      <w:bCs w:val="0"/>
      <w:i w:val="0"/>
      <w:iCs w:val="0"/>
      <w:color w:val="000000"/>
      <w:sz w:val="16"/>
      <w:szCs w:val="16"/>
    </w:rPr>
  </w:style>
  <w:style w:type="character" w:customStyle="1" w:styleId="font36">
    <w:name w:val="font36"/>
    <w:basedOn w:val="DefaultParagraphFont"/>
    <w:rPr>
      <w:rFonts w:ascii="Arial" w:eastAsia="Arial" w:hAnsi="Arial" w:cs="Arial"/>
      <w:b w:val="0"/>
      <w:bCs w:val="0"/>
      <w:i w:val="0"/>
      <w:iCs w:val="0"/>
      <w:color w:val="000000"/>
      <w:sz w:val="12"/>
      <w:szCs w:val="12"/>
    </w:rPr>
  </w:style>
  <w:style w:type="paragraph" w:customStyle="1" w:styleId="Normal250">
    <w:name w:val="Normal_25_0"/>
    <w:qFormat/>
    <w:rsid w:val="00F57394"/>
    <w:pPr>
      <w:spacing w:after="0" w:line="240" w:lineRule="auto"/>
    </w:pPr>
    <w:rPr>
      <w:rFonts w:ascii="Times New Roman" w:eastAsia="Times New Roman" w:hAnsi="Times New Roman" w:cs="Times New Roman"/>
      <w:sz w:val="24"/>
      <w:szCs w:val="20"/>
      <w:lang w:eastAsia="ja-JP"/>
    </w:rPr>
  </w:style>
  <w:style w:type="paragraph" w:customStyle="1" w:styleId="GCAHeaderBold">
    <w:name w:val="~ GCA Header (Bold)"/>
    <w:link w:val="GCAHeaderBoldChar"/>
    <w:rsid w:val="00F57394"/>
    <w:pPr>
      <w:spacing w:after="0" w:line="288" w:lineRule="auto"/>
    </w:pPr>
    <w:rPr>
      <w:rFonts w:ascii="Arial" w:eastAsia="Arial Unicode MS" w:hAnsi="Arial" w:cs="Times New Roman"/>
      <w:b/>
      <w:color w:val="003366"/>
      <w:sz w:val="20"/>
      <w:szCs w:val="20"/>
      <w:lang w:eastAsia="ja-JP"/>
    </w:rPr>
  </w:style>
  <w:style w:type="character" w:customStyle="1" w:styleId="GCAHeaderBoldChar">
    <w:name w:val="~ GCA Header (Bold) Char"/>
    <w:link w:val="GCAHeaderBold"/>
    <w:rsid w:val="00F57394"/>
    <w:rPr>
      <w:rFonts w:ascii="Arial" w:eastAsia="Arial Unicode MS" w:hAnsi="Arial" w:cs="Times New Roman"/>
      <w:b/>
      <w:color w:val="003366"/>
      <w:sz w:val="20"/>
      <w:szCs w:val="20"/>
      <w:lang w:eastAsia="ja-JP"/>
    </w:rPr>
  </w:style>
  <w:style w:type="character" w:customStyle="1" w:styleId="font72">
    <w:name w:val="font7_2"/>
    <w:basedOn w:val="DefaultParagraphFont"/>
    <w:rsid w:val="00CF2893"/>
    <w:rPr>
      <w:rFonts w:ascii="Arial" w:eastAsia="Arial" w:hAnsi="Arial" w:cs="Arial"/>
      <w:b w:val="0"/>
      <w:bCs w:val="0"/>
      <w:i w:val="0"/>
      <w:iCs w:val="0"/>
      <w:color w:val="FF0000"/>
      <w:sz w:val="16"/>
      <w:szCs w:val="16"/>
    </w:rPr>
  </w:style>
  <w:style w:type="character" w:customStyle="1" w:styleId="font40">
    <w:name w:val="font4_0"/>
    <w:basedOn w:val="DefaultParagraphFont"/>
    <w:rsid w:val="00CF2893"/>
    <w:rPr>
      <w:rFonts w:ascii="Arial" w:eastAsia="Arial" w:hAnsi="Arial" w:cs="Arial"/>
      <w:b/>
      <w:bCs/>
      <w:i w:val="0"/>
      <w:iCs w:val="0"/>
      <w:color w:val="003366"/>
      <w:sz w:val="16"/>
      <w:szCs w:val="16"/>
    </w:rPr>
  </w:style>
  <w:style w:type="character" w:customStyle="1" w:styleId="font601">
    <w:name w:val="font6_0_1"/>
    <w:basedOn w:val="DefaultParagraphFont"/>
    <w:rPr>
      <w:rFonts w:ascii="Arial" w:eastAsia="Arial" w:hAnsi="Arial" w:cs="Arial"/>
      <w:b/>
      <w:bCs/>
      <w:i w:val="0"/>
      <w:iCs w:val="0"/>
      <w:color w:val="003366"/>
      <w:sz w:val="12"/>
      <w:szCs w:val="12"/>
    </w:rPr>
  </w:style>
  <w:style w:type="character" w:customStyle="1" w:styleId="font101">
    <w:name w:val="font10_1"/>
    <w:basedOn w:val="DefaultParagraphFont"/>
    <w:rsid w:val="00CF2893"/>
    <w:rPr>
      <w:rFonts w:ascii="Arial" w:eastAsia="Arial" w:hAnsi="Arial" w:cs="Arial"/>
      <w:b w:val="0"/>
      <w:bCs w:val="0"/>
      <w:i w:val="0"/>
      <w:iCs w:val="0"/>
      <w:color w:val="000000"/>
      <w:sz w:val="14"/>
      <w:szCs w:val="14"/>
    </w:rPr>
  </w:style>
  <w:style w:type="paragraph" w:customStyle="1" w:styleId="GCAHeaderUnderline">
    <w:name w:val="~ GCA Header Underline"/>
    <w:link w:val="GCAHeaderUnderlineChar"/>
    <w:rsid w:val="0021583F"/>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
    <w:name w:val="~ GCA Header Underline Char"/>
    <w:link w:val="GCAHeaderUnderline"/>
    <w:locked/>
    <w:rsid w:val="0021583F"/>
    <w:rPr>
      <w:rFonts w:ascii="Arial" w:eastAsia="Times New Roman" w:hAnsi="Arial" w:cs="Arial"/>
      <w:b/>
      <w:color w:val="003366"/>
      <w:sz w:val="20"/>
      <w:szCs w:val="20"/>
      <w:lang w:eastAsia="ja-JP"/>
    </w:rPr>
  </w:style>
  <w:style w:type="character" w:customStyle="1" w:styleId="font5">
    <w:name w:val="font5"/>
    <w:basedOn w:val="DefaultParagraphFont"/>
    <w:rPr>
      <w:rFonts w:ascii="Arial" w:eastAsia="Arial" w:hAnsi="Arial" w:cs="Arial"/>
      <w:b/>
      <w:bCs/>
      <w:i w:val="0"/>
      <w:iCs w:val="0"/>
      <w:color w:val="003366"/>
      <w:sz w:val="16"/>
      <w:szCs w:val="16"/>
    </w:rPr>
  </w:style>
  <w:style w:type="character" w:customStyle="1" w:styleId="font61">
    <w:name w:val="font6_1"/>
    <w:basedOn w:val="DefaultParagraphFont"/>
    <w:rPr>
      <w:rFonts w:ascii="Arial" w:eastAsia="Arial" w:hAnsi="Arial" w:cs="Arial"/>
      <w:b w:val="0"/>
      <w:bCs w:val="0"/>
      <w:i w:val="0"/>
      <w:iCs w:val="0"/>
      <w:color w:val="003366"/>
      <w:sz w:val="16"/>
      <w:szCs w:val="16"/>
    </w:rPr>
  </w:style>
  <w:style w:type="character" w:customStyle="1" w:styleId="font90">
    <w:name w:val="font9_0"/>
    <w:basedOn w:val="DefaultParagraphFont"/>
    <w:rPr>
      <w:rFonts w:ascii="Arial" w:eastAsia="Arial" w:hAnsi="Arial" w:cs="Arial"/>
      <w:b w:val="0"/>
      <w:bCs w:val="0"/>
      <w:i w:val="0"/>
      <w:iCs w:val="0"/>
      <w:color w:val="003366"/>
      <w:sz w:val="12"/>
      <w:szCs w:val="12"/>
    </w:rPr>
  </w:style>
  <w:style w:type="character" w:customStyle="1" w:styleId="font1001">
    <w:name w:val="font10_0_1"/>
    <w:basedOn w:val="DefaultParagraphFont"/>
    <w:rPr>
      <w:rFonts w:ascii="Arial" w:eastAsia="Arial" w:hAnsi="Arial" w:cs="Arial"/>
      <w:b/>
      <w:bCs/>
      <w:i w:val="0"/>
      <w:iCs w:val="0"/>
      <w:color w:val="002060"/>
      <w:sz w:val="16"/>
      <w:szCs w:val="16"/>
    </w:rPr>
  </w:style>
  <w:style w:type="character" w:customStyle="1" w:styleId="font1201">
    <w:name w:val="font12_0_1"/>
    <w:basedOn w:val="DefaultParagraphFont"/>
    <w:rPr>
      <w:rFonts w:ascii="Arial" w:eastAsia="Arial" w:hAnsi="Arial" w:cs="Arial"/>
      <w:b w:val="0"/>
      <w:bCs w:val="0"/>
      <w:i w:val="0"/>
      <w:iCs w:val="0"/>
      <w:color w:val="002060"/>
      <w:sz w:val="12"/>
      <w:szCs w:val="12"/>
    </w:rPr>
  </w:style>
  <w:style w:type="paragraph" w:customStyle="1" w:styleId="GCATitlePageText00">
    <w:name w:val="~ GCA Title Page Text_0_0"/>
    <w:rsid w:val="007561B2"/>
    <w:pPr>
      <w:spacing w:after="0" w:line="240" w:lineRule="auto"/>
      <w:jc w:val="center"/>
    </w:pPr>
    <w:rPr>
      <w:rFonts w:ascii="Arial" w:eastAsia="MS Mincho" w:hAnsi="Arial" w:cs="Times New Roman"/>
      <w:color w:val="003366"/>
      <w:sz w:val="64"/>
      <w:szCs w:val="20"/>
      <w:lang w:eastAsia="ja-JP"/>
    </w:rPr>
  </w:style>
  <w:style w:type="character" w:customStyle="1" w:styleId="font20">
    <w:name w:val="font2_0"/>
    <w:basedOn w:val="DefaultParagraphFont"/>
    <w:rsid w:val="000731E4"/>
    <w:rPr>
      <w:rFonts w:ascii="Arial" w:eastAsia="Arial" w:hAnsi="Arial" w:cs="Arial"/>
      <w:b/>
      <w:bCs/>
      <w:i w:val="0"/>
      <w:iCs w:val="0"/>
      <w:color w:val="003366"/>
      <w:sz w:val="16"/>
      <w:szCs w:val="16"/>
    </w:rPr>
  </w:style>
  <w:style w:type="character" w:customStyle="1" w:styleId="font31">
    <w:name w:val="font3_1"/>
    <w:basedOn w:val="DefaultParagraphFont"/>
    <w:rsid w:val="000731E4"/>
    <w:rPr>
      <w:rFonts w:ascii="Arial" w:eastAsia="Arial" w:hAnsi="Arial" w:cs="Arial"/>
      <w:b w:val="0"/>
      <w:bCs w:val="0"/>
      <w:i w:val="0"/>
      <w:iCs w:val="0"/>
      <w:color w:val="003366"/>
      <w:sz w:val="12"/>
      <w:szCs w:val="12"/>
    </w:rPr>
  </w:style>
  <w:style w:type="paragraph" w:customStyle="1" w:styleId="GCAHeader1140">
    <w:name w:val="~ GCA Header_11_4_0"/>
    <w:link w:val="GCAHeaderChar1140"/>
    <w:rsid w:val="007561B2"/>
    <w:pPr>
      <w:spacing w:after="0" w:line="288" w:lineRule="auto"/>
    </w:pPr>
    <w:rPr>
      <w:rFonts w:ascii="Arial" w:hAnsi="Arial" w:cs="Arial"/>
      <w:b/>
      <w:color w:val="003366"/>
      <w:lang w:eastAsia="ja-JP"/>
    </w:rPr>
  </w:style>
  <w:style w:type="character" w:customStyle="1" w:styleId="GCAHeaderChar1140">
    <w:name w:val="~ GCA Header Char_11_4_0"/>
    <w:link w:val="GCAHeader1140"/>
    <w:locked/>
    <w:rsid w:val="007561B2"/>
    <w:rPr>
      <w:rFonts w:ascii="Arial" w:hAnsi="Arial" w:cs="Arial"/>
      <w:b/>
      <w:color w:val="00336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hyperlink" Target="http://www.rbs.com/results" TargetMode="External"/><Relationship Id="rId89" Type="http://schemas.openxmlformats.org/officeDocument/2006/relationships/header" Target="header39.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0.xml"/><Relationship Id="rId107" Type="http://schemas.openxmlformats.org/officeDocument/2006/relationships/header" Target="header48.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header" Target="header29.xml"/><Relationship Id="rId74" Type="http://schemas.openxmlformats.org/officeDocument/2006/relationships/footer" Target="footer32.xml"/><Relationship Id="rId79" Type="http://schemas.openxmlformats.org/officeDocument/2006/relationships/footer" Target="footer34.xml"/><Relationship Id="rId87" Type="http://schemas.openxmlformats.org/officeDocument/2006/relationships/footer" Target="footer37.xml"/><Relationship Id="rId102" Type="http://schemas.openxmlformats.org/officeDocument/2006/relationships/footer" Target="footer45.xml"/><Relationship Id="rId110" Type="http://schemas.openxmlformats.org/officeDocument/2006/relationships/theme" Target="theme/theme1.xml"/><Relationship Id="rId5" Type="http://schemas.microsoft.com/office/2007/relationships/stylesWithEffects" Target="stylesWithEffects.xml"/><Relationship Id="rId61" Type="http://schemas.openxmlformats.org/officeDocument/2006/relationships/footer" Target="footer25.xml"/><Relationship Id="rId82" Type="http://schemas.openxmlformats.org/officeDocument/2006/relationships/footer" Target="footer36.xml"/><Relationship Id="rId90" Type="http://schemas.openxmlformats.org/officeDocument/2006/relationships/footer" Target="footer39.xml"/><Relationship Id="rId95" Type="http://schemas.openxmlformats.org/officeDocument/2006/relationships/header" Target="header42.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header" Target="header34.xml"/><Relationship Id="rId100" Type="http://schemas.openxmlformats.org/officeDocument/2006/relationships/footer" Target="footer44.xml"/><Relationship Id="rId105" Type="http://schemas.openxmlformats.org/officeDocument/2006/relationships/footer" Target="footer46.xml"/><Relationship Id="rId8" Type="http://schemas.openxmlformats.org/officeDocument/2006/relationships/footnotes" Target="footnotes.xml"/><Relationship Id="rId51" Type="http://schemas.openxmlformats.org/officeDocument/2006/relationships/header" Target="header21.xml"/><Relationship Id="rId72" Type="http://schemas.openxmlformats.org/officeDocument/2006/relationships/header" Target="header32.xml"/><Relationship Id="rId80" Type="http://schemas.openxmlformats.org/officeDocument/2006/relationships/footer" Target="footer35.xml"/><Relationship Id="rId85" Type="http://schemas.openxmlformats.org/officeDocument/2006/relationships/header" Target="header37.xml"/><Relationship Id="rId93" Type="http://schemas.openxmlformats.org/officeDocument/2006/relationships/footer" Target="footer40.xml"/><Relationship Id="rId98" Type="http://schemas.openxmlformats.org/officeDocument/2006/relationships/header" Target="header44.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footer" Target="footer28.xml"/><Relationship Id="rId103" Type="http://schemas.openxmlformats.org/officeDocument/2006/relationships/header" Target="header46.xml"/><Relationship Id="rId108" Type="http://schemas.openxmlformats.org/officeDocument/2006/relationships/footer" Target="footer48.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3.xml"/><Relationship Id="rId83" Type="http://schemas.openxmlformats.org/officeDocument/2006/relationships/hyperlink" Target="http://www.rbs.com/results" TargetMode="External"/><Relationship Id="rId88" Type="http://schemas.openxmlformats.org/officeDocument/2006/relationships/footer" Target="footer38.xml"/><Relationship Id="rId91" Type="http://schemas.openxmlformats.org/officeDocument/2006/relationships/header" Target="header40.xml"/><Relationship Id="rId96"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6" Type="http://schemas.openxmlformats.org/officeDocument/2006/relationships/footer" Target="footer47.xml"/><Relationship Id="rId10" Type="http://schemas.openxmlformats.org/officeDocument/2006/relationships/image" Target="media/image1.jpeg"/><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1.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45.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fontTable" Target="fontTable.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header" Target="header43.xml"/><Relationship Id="rId104" Type="http://schemas.openxmlformats.org/officeDocument/2006/relationships/header" Target="header47.xml"/><Relationship Id="rId7" Type="http://schemas.openxmlformats.org/officeDocument/2006/relationships/webSettings" Target="webSettings.xml"/><Relationship Id="rId71" Type="http://schemas.openxmlformats.org/officeDocument/2006/relationships/header" Target="header31.xml"/><Relationship Id="rId92"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item key="SV_COMMENTS_LIST_A3F0ABAB-D387-4CB1-A59F-9459101C3EB1">
      <compressed size="84">eJwdijEKgDAQBOdDgSiSw/I0vsMqpWBh4+8dZIubud3Bxc3Dy8lCmM5EpZEUdqnLxa7JISUHm9/inV2s/6JqqYf+Ae3nCpA=</compressed>
    </item>
  </generic>
</OracleSV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C0B0-4371-40D9-A1AA-76A32C7B41B9}">
  <ds:schemaRefs/>
</ds:datastoreItem>
</file>

<file path=customXml/itemProps2.xml><?xml version="1.0" encoding="utf-8"?>
<ds:datastoreItem xmlns:ds="http://schemas.openxmlformats.org/officeDocument/2006/customXml" ds:itemID="{A4A5A6EA-396C-4357-8154-0AB575C9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11985</Words>
  <Characters>68316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80141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patelkh</dc:creator>
  <cp:lastModifiedBy>patteja</cp:lastModifiedBy>
  <cp:revision>6</cp:revision>
  <dcterms:created xsi:type="dcterms:W3CDTF">2019-10-23T17:13:00Z</dcterms:created>
  <dcterms:modified xsi:type="dcterms:W3CDTF">2019-10-23T17:47:00Z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-2081338066</vt:i4>
  </property>
  <property fmtid="{D5CDD505-2E9C-101B-9397-08002B2CF9AE}" pid="3" name="_NewReviewCycle">
    <vt:lpwstr/>
  </property>
  <property fmtid="{D5CDD505-2E9C-101B-9397-08002B2CF9AE}" pid="4" name="_EmailSubject">
    <vt:lpwstr>JACKIE: RNS testing</vt:lpwstr>
  </property>
  <property fmtid="{D5CDD505-2E9C-101B-9397-08002B2CF9AE}" pid="5" name="_AuthorEmail">
    <vt:lpwstr>Emily.Watson@rbs.co.uk</vt:lpwstr>
  </property>
  <property fmtid="{D5CDD505-2E9C-101B-9397-08002B2CF9AE}" pid="6" name="_AuthorEmailDisplayName">
    <vt:lpwstr>Watson, Emily (Financial Control and Reporting)</vt:lpwstr>
  </property>
  <property fmtid="{D5CDD505-2E9C-101B-9397-08002B2CF9AE}" pid="7" name="_ReviewingToolsShownOnce">
    <vt:lpwstr/>
  </property>
</Properties>
</file>