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588" w:rsidRPr="009225F9" w:rsidRDefault="00863588" w:rsidP="00863588">
      <w:pPr>
        <w:rPr>
          <w:b/>
        </w:rPr>
      </w:pPr>
      <w:r w:rsidRPr="009225F9">
        <w:rPr>
          <w:b/>
        </w:rPr>
        <w:t>The Royal Bank of Scotland Group plc</w:t>
      </w:r>
    </w:p>
    <w:p w:rsidR="00863588" w:rsidRPr="009225F9" w:rsidRDefault="00863588" w:rsidP="00863588">
      <w:pPr>
        <w:rPr>
          <w:b/>
        </w:rPr>
      </w:pPr>
    </w:p>
    <w:p w:rsidR="005D3CA1" w:rsidRPr="009225F9" w:rsidRDefault="005D3CA1" w:rsidP="00863588">
      <w:pPr>
        <w:rPr>
          <w:b/>
        </w:rPr>
      </w:pPr>
      <w:r w:rsidRPr="009225F9">
        <w:rPr>
          <w:b/>
        </w:rPr>
        <w:t>Reduction in</w:t>
      </w:r>
      <w:r w:rsidR="009225F9">
        <w:rPr>
          <w:b/>
        </w:rPr>
        <w:t xml:space="preserve"> Pillar 2A capital requirements</w:t>
      </w:r>
    </w:p>
    <w:p w:rsidR="005D3CA1" w:rsidRPr="005D3CA1" w:rsidRDefault="005D3CA1" w:rsidP="00863588">
      <w:bookmarkStart w:id="0" w:name="_GoBack"/>
      <w:bookmarkEnd w:id="0"/>
    </w:p>
    <w:p w:rsidR="00863588" w:rsidRPr="005D3CA1" w:rsidRDefault="00863588" w:rsidP="00863588">
      <w:r w:rsidRPr="005D3CA1">
        <w:t>2</w:t>
      </w:r>
      <w:r w:rsidR="00E20DF7" w:rsidRPr="005D3CA1">
        <w:t>1</w:t>
      </w:r>
      <w:r w:rsidRPr="005D3CA1">
        <w:t xml:space="preserve"> November 2019</w:t>
      </w:r>
    </w:p>
    <w:p w:rsidR="00863588" w:rsidRPr="005D3CA1" w:rsidRDefault="00863588" w:rsidP="00863588">
      <w:r w:rsidRPr="005D3CA1">
        <w:t xml:space="preserve"> </w:t>
      </w:r>
    </w:p>
    <w:p w:rsidR="00863588" w:rsidRPr="005D3CA1" w:rsidRDefault="00863588" w:rsidP="00863588">
      <w:r w:rsidRPr="005D3CA1">
        <w:t>The Royal Bank of Scotland Group plc ("</w:t>
      </w:r>
      <w:r w:rsidR="000E6299">
        <w:t>Group</w:t>
      </w:r>
      <w:r w:rsidRPr="005D3CA1">
        <w:t xml:space="preserve">") </w:t>
      </w:r>
      <w:r w:rsidRPr="005D3CA1">
        <w:rPr>
          <w:rFonts w:eastAsia="Times New Roman"/>
          <w:sz w:val="24"/>
          <w:szCs w:val="24"/>
        </w:rPr>
        <w:t>announces a reduction in the Group’s Pillar 2A capital requirements, as determined by its regulator, the Prudential Regulation Authority. </w:t>
      </w:r>
    </w:p>
    <w:p w:rsidR="00863588" w:rsidRPr="005D3CA1" w:rsidRDefault="00863588" w:rsidP="00863588"/>
    <w:p w:rsidR="00863588" w:rsidRPr="005D3CA1" w:rsidRDefault="00863588" w:rsidP="00863588">
      <w:r w:rsidRPr="005D3CA1">
        <w:t xml:space="preserve">As of </w:t>
      </w:r>
      <w:r w:rsidR="00D926F5" w:rsidRPr="005D3CA1">
        <w:t>14th</w:t>
      </w:r>
      <w:r w:rsidRPr="005D3CA1">
        <w:t xml:space="preserve"> November 201</w:t>
      </w:r>
      <w:r w:rsidR="00D926F5" w:rsidRPr="005D3CA1">
        <w:t>9</w:t>
      </w:r>
      <w:r w:rsidRPr="005D3CA1">
        <w:t>, the total Pillar 2A req</w:t>
      </w:r>
      <w:r w:rsidR="00292B30" w:rsidRPr="005D3CA1">
        <w:t xml:space="preserve">uirement for the Group is </w:t>
      </w:r>
      <w:r w:rsidR="0059698F" w:rsidRPr="005D3CA1">
        <w:t xml:space="preserve">reduced 20 bps to </w:t>
      </w:r>
      <w:r w:rsidR="00292B30" w:rsidRPr="005D3CA1">
        <w:t>3.4%</w:t>
      </w:r>
      <w:r w:rsidR="0059698F" w:rsidRPr="005D3CA1">
        <w:t xml:space="preserve"> (3.6% in 2018)</w:t>
      </w:r>
      <w:r w:rsidR="00292B30" w:rsidRPr="005D3CA1">
        <w:t xml:space="preserve">, of which </w:t>
      </w:r>
      <w:r w:rsidR="00D926F5" w:rsidRPr="005D3CA1">
        <w:t>1.9</w:t>
      </w:r>
      <w:r w:rsidR="00292B30" w:rsidRPr="005D3CA1">
        <w:t>%</w:t>
      </w:r>
      <w:r w:rsidRPr="005D3CA1">
        <w:t xml:space="preserve"> </w:t>
      </w:r>
      <w:r w:rsidR="0059698F" w:rsidRPr="005D3CA1">
        <w:t xml:space="preserve">(2.0% in 2018) </w:t>
      </w:r>
      <w:r w:rsidRPr="005D3CA1">
        <w:t>is held in the form of</w:t>
      </w:r>
      <w:r w:rsidR="0059698F" w:rsidRPr="005D3CA1">
        <w:t xml:space="preserve"> Common Equity Tier 1 capital.</w:t>
      </w:r>
    </w:p>
    <w:p w:rsidR="00863588" w:rsidRPr="005D3CA1" w:rsidRDefault="00863588" w:rsidP="00863588">
      <w:r w:rsidRPr="005D3CA1">
        <w:t> </w:t>
      </w:r>
    </w:p>
    <w:p w:rsidR="00863588" w:rsidRPr="005D3CA1" w:rsidRDefault="00863588" w:rsidP="00863588">
      <w:r w:rsidRPr="005D3CA1">
        <w:t>There is no change to the Group’s stated target ratio of 14% by the end of 2021.</w:t>
      </w:r>
    </w:p>
    <w:p w:rsidR="00863588" w:rsidRPr="005D3CA1" w:rsidRDefault="00863588" w:rsidP="00863588"/>
    <w:p w:rsidR="00863588" w:rsidRPr="005D3CA1" w:rsidRDefault="00863588" w:rsidP="00863588">
      <w:r w:rsidRPr="005D3CA1">
        <w:t xml:space="preserve"> For further information, please contact:</w:t>
      </w:r>
    </w:p>
    <w:p w:rsidR="00863588" w:rsidRPr="005D3CA1" w:rsidRDefault="00863588" w:rsidP="00863588"/>
    <w:p w:rsidR="00863588" w:rsidRPr="005D3CA1" w:rsidRDefault="00863588" w:rsidP="00863588">
      <w:r w:rsidRPr="005D3CA1">
        <w:t xml:space="preserve"> </w:t>
      </w:r>
    </w:p>
    <w:p w:rsidR="00863588" w:rsidRPr="005D3CA1" w:rsidRDefault="00863588" w:rsidP="00863588">
      <w:pPr>
        <w:rPr>
          <w:b/>
        </w:rPr>
      </w:pPr>
      <w:r w:rsidRPr="005D3CA1">
        <w:rPr>
          <w:b/>
        </w:rPr>
        <w:t xml:space="preserve">Investor Relations </w:t>
      </w:r>
    </w:p>
    <w:p w:rsidR="00863588" w:rsidRPr="005D3CA1" w:rsidRDefault="00863588" w:rsidP="00863588">
      <w:r w:rsidRPr="005D3CA1">
        <w:t>Alexander Holcroft</w:t>
      </w:r>
    </w:p>
    <w:p w:rsidR="00863588" w:rsidRPr="005D3CA1" w:rsidRDefault="00863588" w:rsidP="00863588">
      <w:r w:rsidRPr="005D3CA1">
        <w:t>Head of Investor Relations</w:t>
      </w:r>
    </w:p>
    <w:p w:rsidR="00863588" w:rsidRPr="005D3CA1" w:rsidRDefault="00863588" w:rsidP="00863588">
      <w:r w:rsidRPr="005D3CA1">
        <w:t>+44 (0) 207 672 1758</w:t>
      </w:r>
    </w:p>
    <w:p w:rsidR="00863588" w:rsidRPr="005D3CA1" w:rsidRDefault="00863588" w:rsidP="00863588"/>
    <w:p w:rsidR="00863588" w:rsidRPr="005D3CA1" w:rsidRDefault="00863588" w:rsidP="00863588">
      <w:r w:rsidRPr="005D3CA1">
        <w:t>Paul Pybus</w:t>
      </w:r>
    </w:p>
    <w:p w:rsidR="00863588" w:rsidRPr="005D3CA1" w:rsidRDefault="00863588" w:rsidP="00863588">
      <w:r w:rsidRPr="005D3CA1">
        <w:t>Head of Debt Investor Relations</w:t>
      </w:r>
    </w:p>
    <w:p w:rsidR="00863588" w:rsidRPr="005D3CA1" w:rsidRDefault="00863588" w:rsidP="00863588">
      <w:r w:rsidRPr="005D3CA1">
        <w:t>+44 (0) 207 672 1754</w:t>
      </w:r>
    </w:p>
    <w:p w:rsidR="00863588" w:rsidRPr="005D3CA1" w:rsidRDefault="00863588" w:rsidP="00863588"/>
    <w:p w:rsidR="00863588" w:rsidRPr="005D3CA1" w:rsidRDefault="00863588" w:rsidP="00863588">
      <w:pPr>
        <w:rPr>
          <w:b/>
        </w:rPr>
      </w:pPr>
      <w:r w:rsidRPr="005D3CA1">
        <w:rPr>
          <w:b/>
        </w:rPr>
        <w:t xml:space="preserve"> RBS Media Relations</w:t>
      </w:r>
    </w:p>
    <w:p w:rsidR="00863588" w:rsidRPr="005D3CA1" w:rsidRDefault="00863588" w:rsidP="00863588">
      <w:r w:rsidRPr="005D3CA1">
        <w:t>+44 (0) 131 523 4205</w:t>
      </w:r>
    </w:p>
    <w:p w:rsidR="00357807" w:rsidRDefault="00357807" w:rsidP="00863588">
      <w:pPr>
        <w:rPr>
          <w:b/>
          <w:color w:val="1F497D"/>
        </w:rPr>
      </w:pPr>
    </w:p>
    <w:p w:rsidR="00357807" w:rsidRPr="00292B30" w:rsidRDefault="00357807" w:rsidP="00863588">
      <w:pPr>
        <w:rPr>
          <w:rFonts w:asciiTheme="minorHAnsi" w:hAnsiTheme="minorHAnsi"/>
          <w:b/>
          <w:sz w:val="14"/>
          <w:szCs w:val="14"/>
        </w:rPr>
      </w:pPr>
      <w:r w:rsidRPr="00292B30">
        <w:rPr>
          <w:rFonts w:asciiTheme="minorHAnsi" w:hAnsiTheme="minorHAnsi"/>
          <w:b/>
          <w:sz w:val="14"/>
          <w:szCs w:val="14"/>
        </w:rPr>
        <w:t>Forward-looking statements</w:t>
      </w:r>
    </w:p>
    <w:p w:rsidR="00357807" w:rsidRPr="00292B30" w:rsidRDefault="00357807" w:rsidP="00863588">
      <w:pPr>
        <w:rPr>
          <w:rFonts w:asciiTheme="minorHAnsi" w:hAnsiTheme="minorHAnsi"/>
          <w:color w:val="1F497D"/>
          <w:sz w:val="14"/>
          <w:szCs w:val="14"/>
        </w:rPr>
      </w:pPr>
    </w:p>
    <w:p w:rsidR="00357807" w:rsidRPr="00292B30" w:rsidRDefault="00357807" w:rsidP="00357807">
      <w:pPr>
        <w:pStyle w:val="Normal4"/>
        <w:jc w:val="both"/>
        <w:rPr>
          <w:rFonts w:asciiTheme="minorHAnsi" w:eastAsiaTheme="minorHAnsi" w:hAnsiTheme="minorHAnsi" w:cs="Arial"/>
          <w:sz w:val="14"/>
          <w:szCs w:val="14"/>
        </w:rPr>
      </w:pPr>
      <w:r w:rsidRPr="00292B30">
        <w:rPr>
          <w:rFonts w:asciiTheme="minorHAnsi" w:eastAsiaTheme="minorHAnsi" w:hAnsiTheme="minorHAnsi" w:cs="Arial"/>
          <w:sz w:val="14"/>
          <w:szCs w:val="14"/>
        </w:rPr>
        <w:t>This document contains forward-looking statements within the meaning of the United States Private Securities Litigation Reform Act of 1995, such as statements that include, without limitation, the words ‘expect’, ‘estimate’, ‘project’, ‘anticipate’, ‘commit’, ‘believe’, ‘should’, ‘intend’, ‘plan’, ‘could’, ‘probability’, ‘risk’, ‘Value-at-Risk (</w:t>
      </w:r>
      <w:proofErr w:type="spellStart"/>
      <w:r w:rsidRPr="00292B30">
        <w:rPr>
          <w:rFonts w:asciiTheme="minorHAnsi" w:eastAsiaTheme="minorHAnsi" w:hAnsiTheme="minorHAnsi" w:cs="Arial"/>
          <w:sz w:val="14"/>
          <w:szCs w:val="14"/>
        </w:rPr>
        <w:t>VaR</w:t>
      </w:r>
      <w:proofErr w:type="spellEnd"/>
      <w:r w:rsidRPr="00292B30">
        <w:rPr>
          <w:rFonts w:asciiTheme="minorHAnsi" w:eastAsiaTheme="minorHAnsi" w:hAnsiTheme="minorHAnsi" w:cs="Arial"/>
          <w:sz w:val="14"/>
          <w:szCs w:val="14"/>
        </w:rPr>
        <w:t>)’, ‘target’, ‘goal’, ‘objective’, ‘may’, ‘endeavour’, ‘outlook’, ‘optimistic’, ‘prospects’ and similar expressions or variations on these expressions. These statements concern or may affect future matters, such as RBSG's future economic results, business plans and current strategies.  In particular, this document may include forward-looking statements relating to RBSG in respect of, but not limited to: its regulatory capital position and related requirements, its financial position, profitability and financial performance (including financial, capital and operational targets), its access to adequate sources of liquidity and funding, increasing competition from new incumbents and  disruptive technologies, its exposure to third party risks, its ongoing compliance with the UK ring-fencing regime and ensuring operational continuity in resolution, its impairment losses and credit exposures under certain specified scenarios, substantial regulation and oversight, ongoing legal, regulatory and governmental actions and investigations, LIBOR, EURIBOR and other benchmark reform and RBSG’s exposure to economic and political risks (including with respect to Brexit and climate change), operational risk, conduct risk, cyber and IT risk, key person risk and credit rating risk.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the final number of PPI claims and their amounts,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RBSG's actual results are discussed in RBSG's UK 2018 Annual Report and Accounts (ARA), RBSG’s Interim Results for H1 2019 and materials filed with, or furnished to, the US Securities and Exchange Commission, including, but not limited to, RBSG's most recent Annual Report on Form 20-F and Reports on Form 6-K. The forward-looking statements contained in this document speak only as of the date of this document and RBSG does not assume or undertake any obligation or responsibility to update any of the forward-looking statements contained in this document, whether as a result of new information, future events or otherwise, except to the extent legally required.</w:t>
      </w:r>
    </w:p>
    <w:p w:rsidR="00357807" w:rsidRPr="00292B30" w:rsidRDefault="00357807" w:rsidP="00357807">
      <w:pPr>
        <w:jc w:val="both"/>
        <w:rPr>
          <w:sz w:val="14"/>
          <w:szCs w:val="14"/>
        </w:rPr>
      </w:pPr>
    </w:p>
    <w:p w:rsidR="00357807" w:rsidRPr="00863588" w:rsidRDefault="00357807" w:rsidP="00863588">
      <w:pPr>
        <w:rPr>
          <w:color w:val="1F497D"/>
        </w:rPr>
      </w:pPr>
    </w:p>
    <w:p w:rsidR="00863588" w:rsidRPr="00863588" w:rsidRDefault="00863588" w:rsidP="00863588">
      <w:pPr>
        <w:rPr>
          <w:color w:val="1F497D"/>
        </w:rPr>
      </w:pPr>
    </w:p>
    <w:p w:rsidR="00863588" w:rsidRPr="00863588" w:rsidRDefault="00863588" w:rsidP="00863588">
      <w:pPr>
        <w:rPr>
          <w:color w:val="1F497D"/>
        </w:rPr>
      </w:pPr>
      <w:r w:rsidRPr="00863588">
        <w:rPr>
          <w:color w:val="1F497D"/>
        </w:rPr>
        <w:t xml:space="preserve"> </w:t>
      </w:r>
    </w:p>
    <w:p w:rsidR="00863588" w:rsidRPr="00863588" w:rsidRDefault="00863588" w:rsidP="00863588">
      <w:pPr>
        <w:rPr>
          <w:color w:val="1F497D"/>
        </w:rPr>
      </w:pPr>
    </w:p>
    <w:p w:rsidR="00863588" w:rsidRPr="00863588" w:rsidRDefault="00863588" w:rsidP="00863588">
      <w:pPr>
        <w:rPr>
          <w:color w:val="1F497D"/>
        </w:rPr>
      </w:pPr>
      <w:r w:rsidRPr="00863588">
        <w:rPr>
          <w:color w:val="1F497D"/>
        </w:rPr>
        <w:t xml:space="preserve"> </w:t>
      </w:r>
    </w:p>
    <w:p w:rsidR="00A02C74" w:rsidRDefault="00863588" w:rsidP="00863588">
      <w:r w:rsidRPr="005D3CA1">
        <w:t>Legal Entity Identifier</w:t>
      </w:r>
      <w:r w:rsidR="005D3CA1" w:rsidRPr="005D3CA1">
        <w:t xml:space="preserve"> </w:t>
      </w:r>
      <w:r w:rsidRPr="005D3CA1">
        <w:t xml:space="preserve">2138005O9XJIJN4JPN90        </w:t>
      </w:r>
    </w:p>
    <w:sectPr w:rsidR="00A02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74"/>
    <w:rsid w:val="000C2CD4"/>
    <w:rsid w:val="000E6299"/>
    <w:rsid w:val="001414C3"/>
    <w:rsid w:val="00292B30"/>
    <w:rsid w:val="00342EEF"/>
    <w:rsid w:val="00357807"/>
    <w:rsid w:val="004F1354"/>
    <w:rsid w:val="0059698F"/>
    <w:rsid w:val="005D3CA1"/>
    <w:rsid w:val="00863588"/>
    <w:rsid w:val="009225F9"/>
    <w:rsid w:val="00A02C74"/>
    <w:rsid w:val="00A109BA"/>
    <w:rsid w:val="00D926F5"/>
    <w:rsid w:val="00E20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C74"/>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4">
    <w:name w:val="Normal_4"/>
    <w:basedOn w:val="Normal"/>
    <w:rsid w:val="0035780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926F5"/>
    <w:rPr>
      <w:rFonts w:ascii="Tahoma" w:hAnsi="Tahoma" w:cs="Tahoma"/>
      <w:sz w:val="16"/>
      <w:szCs w:val="16"/>
    </w:rPr>
  </w:style>
  <w:style w:type="character" w:customStyle="1" w:styleId="BalloonTextChar">
    <w:name w:val="Balloon Text Char"/>
    <w:basedOn w:val="DefaultParagraphFont"/>
    <w:link w:val="BalloonText"/>
    <w:uiPriority w:val="99"/>
    <w:semiHidden/>
    <w:rsid w:val="00D926F5"/>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C74"/>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4">
    <w:name w:val="Normal_4"/>
    <w:basedOn w:val="Normal"/>
    <w:rsid w:val="0035780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926F5"/>
    <w:rPr>
      <w:rFonts w:ascii="Tahoma" w:hAnsi="Tahoma" w:cs="Tahoma"/>
      <w:sz w:val="16"/>
      <w:szCs w:val="16"/>
    </w:rPr>
  </w:style>
  <w:style w:type="character" w:customStyle="1" w:styleId="BalloonTextChar">
    <w:name w:val="Balloon Text Char"/>
    <w:basedOn w:val="DefaultParagraphFont"/>
    <w:link w:val="BalloonText"/>
    <w:uiPriority w:val="99"/>
    <w:semiHidden/>
    <w:rsid w:val="00D926F5"/>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9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pybusp</dc:creator>
  <cp:lastModifiedBy>pybusp</cp:lastModifiedBy>
  <cp:revision>2</cp:revision>
  <dcterms:created xsi:type="dcterms:W3CDTF">2019-11-21T10:12:00Z</dcterms:created>
  <dcterms:modified xsi:type="dcterms:W3CDTF">2019-11-21T10:12:00Z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-1569284936</vt:i4>
  </property>
  <property fmtid="{D5CDD505-2E9C-101B-9397-08002B2CF9AE}" pid="3" name="_NewReviewCycle">
    <vt:lpwstr/>
  </property>
  <property fmtid="{D5CDD505-2E9C-101B-9397-08002B2CF9AE}" pid="4" name="_EmailSubject">
    <vt:lpwstr>STEPHEN: RE: RNS for approval</vt:lpwstr>
  </property>
  <property fmtid="{D5CDD505-2E9C-101B-9397-08002B2CF9AE}" pid="5" name="_AuthorEmail">
    <vt:lpwstr>Paul.Pybus@rbs.com</vt:lpwstr>
  </property>
  <property fmtid="{D5CDD505-2E9C-101B-9397-08002B2CF9AE}" pid="6" name="_AuthorEmailDisplayName">
    <vt:lpwstr>Pybus, Paul</vt:lpwstr>
  </property>
  <property fmtid="{D5CDD505-2E9C-101B-9397-08002B2CF9AE}" pid="7" name="_PreviousAdHocReviewCycleID">
    <vt:i4>930423537</vt:i4>
  </property>
</Properties>
</file>