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7.xml" ContentType="application/vnd.openxmlformats-officedocument.wordprocessingml.foot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50.xml" ContentType="application/vnd.openxmlformats-officedocument.wordprocessingml.footer+xml"/>
  <Override PartName="/word/footer51.xml" ContentType="application/vnd.openxmlformats-officedocument.wordprocessingml.footer+xml"/>
  <Override PartName="/word/header51.xml" ContentType="application/vnd.openxmlformats-officedocument.wordprocessingml.header+xml"/>
  <Override PartName="/word/footer52.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3.xml" ContentType="application/vnd.openxmlformats-officedocument.wordprocessingml.footer+xml"/>
  <Override PartName="/word/footer54.xml" ContentType="application/vnd.openxmlformats-officedocument.wordprocessingml.footer+xml"/>
  <Override PartName="/word/header54.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header57.xml" ContentType="application/vnd.openxmlformats-officedocument.wordprocessingml.header+xml"/>
  <Override PartName="/word/footer59.xml" ContentType="application/vnd.openxmlformats-officedocument.wordprocessingml.footer+xml"/>
  <Override PartName="/word/header58.xml" ContentType="application/vnd.openxmlformats-officedocument.wordprocessingml.header+xml"/>
  <Override PartName="/word/footer60.xml" ContentType="application/vnd.openxmlformats-officedocument.wordprocessingml.footer+xml"/>
  <Override PartName="/word/header59.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0.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434F5" w:rsidRDefault="00FC1FDC" w:rsidP="00D434F5">
      <w:r>
        <w:rPr>
          <w:rFonts w:ascii="Calibri" w:hAnsi="Calibri"/>
          <w:noProof/>
          <w:sz w:val="22"/>
          <w:lang w:eastAsia="en-GB"/>
        </w:rPr>
        <mc:AlternateContent>
          <mc:Choice Requires="wps">
            <w:drawing>
              <wp:anchor distT="0" distB="0" distL="114300" distR="114300" simplePos="0" relativeHeight="251658240" behindDoc="0" locked="0" layoutInCell="1" allowOverlap="1" wp14:anchorId="10BC9231" wp14:editId="2D410ACA">
                <wp:simplePos x="0" y="0"/>
                <wp:positionH relativeFrom="column">
                  <wp:posOffset>799317</wp:posOffset>
                </wp:positionH>
                <wp:positionV relativeFrom="paragraph">
                  <wp:posOffset>5765769</wp:posOffset>
                </wp:positionV>
                <wp:extent cx="5743575" cy="2934587"/>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9345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54E" w:rsidRPr="009C2188" w:rsidRDefault="00CA654E" w:rsidP="00CA654E">
                            <w:pPr>
                              <w:pStyle w:val="Normal0"/>
                              <w:rPr>
                                <w:rFonts w:ascii="Arial" w:hAnsi="Arial" w:cs="Arial"/>
                                <w:b/>
                                <w:color w:val="FFFFFF"/>
                                <w:sz w:val="50"/>
                                <w:szCs w:val="50"/>
                              </w:rPr>
                            </w:pPr>
                          </w:p>
                          <w:p w:rsidR="005E0DA7" w:rsidRDefault="005E0DA7" w:rsidP="00D7231C">
                            <w:pPr>
                              <w:pStyle w:val="Normal00"/>
                              <w:jc w:val="right"/>
                              <w:outlineLvl w:val="0"/>
                              <w:rPr>
                                <w:rFonts w:ascii="Arial" w:eastAsia="SimSun" w:hAnsi="Arial" w:cs="Arial"/>
                                <w:b/>
                                <w:color w:val="003366"/>
                              </w:rPr>
                            </w:pPr>
                          </w:p>
                          <w:p w:rsidR="00D434F5" w:rsidRDefault="00D434F5" w:rsidP="00D7231C">
                            <w:pPr>
                              <w:pStyle w:val="Normal00"/>
                              <w:jc w:val="right"/>
                              <w:outlineLvl w:val="0"/>
                              <w:rPr>
                                <w:rFonts w:ascii="Arial" w:eastAsia="SimSun" w:hAnsi="Arial" w:cs="Arial"/>
                                <w:b/>
                                <w:color w:val="003366"/>
                              </w:rPr>
                            </w:pPr>
                          </w:p>
                          <w:p w:rsidR="00D434F5" w:rsidRDefault="00D434F5" w:rsidP="00D7231C">
                            <w:pPr>
                              <w:pStyle w:val="Normal00"/>
                              <w:jc w:val="right"/>
                              <w:outlineLvl w:val="0"/>
                              <w:rPr>
                                <w:rFonts w:ascii="Arial" w:eastAsia="SimSun" w:hAnsi="Arial" w:cs="Arial"/>
                                <w:b/>
                                <w:color w:val="003366"/>
                              </w:rPr>
                            </w:pPr>
                          </w:p>
                          <w:p w:rsidR="00D434F5" w:rsidRDefault="00D434F5" w:rsidP="00D7231C">
                            <w:pPr>
                              <w:pStyle w:val="Normal00"/>
                              <w:jc w:val="right"/>
                              <w:outlineLvl w:val="0"/>
                              <w:rPr>
                                <w:rFonts w:ascii="Arial" w:eastAsia="SimSun" w:hAnsi="Arial" w:cs="Arial"/>
                                <w:b/>
                                <w:color w:val="003366"/>
                              </w:rPr>
                            </w:pPr>
                          </w:p>
                          <w:p w:rsidR="00D434F5" w:rsidRDefault="00D434F5" w:rsidP="00D7231C">
                            <w:pPr>
                              <w:pStyle w:val="Normal00"/>
                              <w:jc w:val="right"/>
                              <w:outlineLvl w:val="0"/>
                              <w:rPr>
                                <w:rFonts w:ascii="Arial" w:eastAsia="SimSun" w:hAnsi="Arial" w:cs="Arial"/>
                                <w:b/>
                                <w:color w:val="003366"/>
                              </w:rPr>
                            </w:pPr>
                          </w:p>
                          <w:p w:rsidR="00D434F5" w:rsidRDefault="00D434F5" w:rsidP="00D7231C">
                            <w:pPr>
                              <w:pStyle w:val="Normal00"/>
                              <w:jc w:val="right"/>
                              <w:outlineLvl w:val="0"/>
                              <w:rPr>
                                <w:rFonts w:ascii="Arial" w:eastAsia="SimSun" w:hAnsi="Arial" w:cs="Arial"/>
                                <w:b/>
                                <w:color w:val="003366"/>
                              </w:rPr>
                            </w:pPr>
                          </w:p>
                          <w:p w:rsidR="008535DF" w:rsidRDefault="008535DF" w:rsidP="00D7231C">
                            <w:pPr>
                              <w:pStyle w:val="Normal00"/>
                              <w:jc w:val="right"/>
                              <w:outlineLvl w:val="0"/>
                              <w:rPr>
                                <w:rFonts w:ascii="Arial" w:eastAsia="SimSun" w:hAnsi="Arial" w:cs="Arial"/>
                                <w:b/>
                                <w:color w:val="003366"/>
                              </w:rPr>
                            </w:pPr>
                          </w:p>
                          <w:p w:rsidR="008535DF" w:rsidRDefault="008535DF" w:rsidP="00D7231C">
                            <w:pPr>
                              <w:pStyle w:val="Normal00"/>
                              <w:jc w:val="right"/>
                              <w:outlineLvl w:val="0"/>
                              <w:rPr>
                                <w:rFonts w:ascii="Arial" w:eastAsia="SimSun" w:hAnsi="Arial" w:cs="Arial"/>
                                <w:b/>
                                <w:color w:val="003366"/>
                              </w:rPr>
                            </w:pPr>
                          </w:p>
                          <w:p w:rsidR="008535DF" w:rsidRDefault="008535DF" w:rsidP="00D7231C">
                            <w:pPr>
                              <w:pStyle w:val="Normal00"/>
                              <w:jc w:val="right"/>
                              <w:outlineLvl w:val="0"/>
                              <w:rPr>
                                <w:rFonts w:ascii="Arial" w:eastAsia="SimSun" w:hAnsi="Arial" w:cs="Arial"/>
                                <w:b/>
                                <w:color w:val="003366"/>
                              </w:rPr>
                            </w:pPr>
                          </w:p>
                          <w:p w:rsidR="008535DF" w:rsidRDefault="008535DF" w:rsidP="00D7231C">
                            <w:pPr>
                              <w:pStyle w:val="Normal00"/>
                              <w:jc w:val="right"/>
                              <w:outlineLvl w:val="0"/>
                              <w:rPr>
                                <w:rFonts w:ascii="Arial" w:eastAsia="SimSun" w:hAnsi="Arial" w:cs="Arial"/>
                                <w:b/>
                                <w:color w:val="003366"/>
                              </w:rPr>
                            </w:pPr>
                          </w:p>
                          <w:p w:rsidR="008535DF" w:rsidRDefault="008535DF" w:rsidP="00D7231C">
                            <w:pPr>
                              <w:pStyle w:val="Normal00"/>
                              <w:jc w:val="right"/>
                              <w:outlineLvl w:val="0"/>
                              <w:rPr>
                                <w:rFonts w:ascii="Arial" w:eastAsia="SimSun" w:hAnsi="Arial" w:cs="Arial"/>
                                <w:b/>
                                <w:color w:val="003366"/>
                              </w:rPr>
                            </w:pPr>
                          </w:p>
                          <w:p w:rsidR="008535DF" w:rsidRDefault="008535DF" w:rsidP="00D7231C">
                            <w:pPr>
                              <w:pStyle w:val="Normal00"/>
                              <w:jc w:val="right"/>
                              <w:outlineLvl w:val="0"/>
                              <w:rPr>
                                <w:rFonts w:ascii="Arial" w:eastAsia="SimSun" w:hAnsi="Arial" w:cs="Arial"/>
                                <w:b/>
                                <w:color w:val="003366"/>
                              </w:rPr>
                            </w:pPr>
                          </w:p>
                          <w:p w:rsidR="00CA654E" w:rsidRDefault="00FC1FDC" w:rsidP="00D7231C">
                            <w:pPr>
                              <w:pStyle w:val="Normal00"/>
                              <w:jc w:val="right"/>
                              <w:outlineLvl w:val="0"/>
                            </w:pPr>
                            <w:r>
                              <w:rPr>
                                <w:rFonts w:ascii="Arial" w:eastAsia="SimSun" w:hAnsi="Arial" w:cs="Arial"/>
                                <w:b/>
                                <w:color w:val="003366"/>
                              </w:rPr>
                              <w:t>rbs.com</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2.95pt;margin-top:454pt;width:452.25pt;height:23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" filled="f" stroked="f">
                <v:textbox>
                  <w:txbxContent>
                    <w:p w:rsidR="00CA654E" w:rsidRPr="009C2188" w:rsidRDefault="00CA654E" w:rsidP="00CA654E">
                      <w:pPr>
                        <w:pStyle w:val="Normal0"/>
                        <w:rPr>
                          <w:rFonts w:ascii="Arial" w:hAnsi="Arial" w:cs="Arial"/>
                          <w:b/>
                          <w:color w:val="FFFFFF"/>
                          <w:sz w:val="50"/>
                          <w:szCs w:val="50"/>
                        </w:rPr>
                      </w:pPr>
                    </w:p>
                    <w:p w:rsidR="005E0DA7" w:rsidRDefault="005E0DA7" w:rsidP="00D7231C">
                      <w:pPr>
                        <w:pStyle w:val="Normal00"/>
                        <w:jc w:val="right"/>
                        <w:outlineLvl w:val="0"/>
                        <w:rPr>
                          <w:rFonts w:ascii="Arial" w:eastAsia="SimSun" w:hAnsi="Arial" w:cs="Arial"/>
                          <w:b/>
                          <w:color w:val="003366"/>
                        </w:rPr>
                      </w:pPr>
                    </w:p>
                    <w:p w:rsidR="00D434F5" w:rsidRDefault="00D434F5" w:rsidP="00D7231C">
                      <w:pPr>
                        <w:pStyle w:val="Normal00"/>
                        <w:jc w:val="right"/>
                        <w:outlineLvl w:val="0"/>
                        <w:rPr>
                          <w:rFonts w:ascii="Arial" w:eastAsia="SimSun" w:hAnsi="Arial" w:cs="Arial"/>
                          <w:b/>
                          <w:color w:val="003366"/>
                        </w:rPr>
                      </w:pPr>
                    </w:p>
                    <w:p w:rsidR="00D434F5" w:rsidRDefault="00D434F5" w:rsidP="00D7231C">
                      <w:pPr>
                        <w:pStyle w:val="Normal00"/>
                        <w:jc w:val="right"/>
                        <w:outlineLvl w:val="0"/>
                        <w:rPr>
                          <w:rFonts w:ascii="Arial" w:eastAsia="SimSun" w:hAnsi="Arial" w:cs="Arial"/>
                          <w:b/>
                          <w:color w:val="003366"/>
                        </w:rPr>
                      </w:pPr>
                    </w:p>
                    <w:p w:rsidR="00D434F5" w:rsidRDefault="00D434F5" w:rsidP="00D7231C">
                      <w:pPr>
                        <w:pStyle w:val="Normal00"/>
                        <w:jc w:val="right"/>
                        <w:outlineLvl w:val="0"/>
                        <w:rPr>
                          <w:rFonts w:ascii="Arial" w:eastAsia="SimSun" w:hAnsi="Arial" w:cs="Arial"/>
                          <w:b/>
                          <w:color w:val="003366"/>
                        </w:rPr>
                      </w:pPr>
                    </w:p>
                    <w:p w:rsidR="00D434F5" w:rsidRDefault="00D434F5" w:rsidP="00D7231C">
                      <w:pPr>
                        <w:pStyle w:val="Normal00"/>
                        <w:jc w:val="right"/>
                        <w:outlineLvl w:val="0"/>
                        <w:rPr>
                          <w:rFonts w:ascii="Arial" w:eastAsia="SimSun" w:hAnsi="Arial" w:cs="Arial"/>
                          <w:b/>
                          <w:color w:val="003366"/>
                        </w:rPr>
                      </w:pPr>
                    </w:p>
                    <w:p w:rsidR="00D434F5" w:rsidRDefault="00D434F5" w:rsidP="00D7231C">
                      <w:pPr>
                        <w:pStyle w:val="Normal00"/>
                        <w:jc w:val="right"/>
                        <w:outlineLvl w:val="0"/>
                        <w:rPr>
                          <w:rFonts w:ascii="Arial" w:eastAsia="SimSun" w:hAnsi="Arial" w:cs="Arial"/>
                          <w:b/>
                          <w:color w:val="003366"/>
                        </w:rPr>
                      </w:pPr>
                    </w:p>
                    <w:p w:rsidR="008535DF" w:rsidRDefault="008535DF" w:rsidP="00D7231C">
                      <w:pPr>
                        <w:pStyle w:val="Normal00"/>
                        <w:jc w:val="right"/>
                        <w:outlineLvl w:val="0"/>
                        <w:rPr>
                          <w:rFonts w:ascii="Arial" w:eastAsia="SimSun" w:hAnsi="Arial" w:cs="Arial"/>
                          <w:b/>
                          <w:color w:val="003366"/>
                        </w:rPr>
                      </w:pPr>
                    </w:p>
                    <w:p w:rsidR="008535DF" w:rsidRDefault="008535DF" w:rsidP="00D7231C">
                      <w:pPr>
                        <w:pStyle w:val="Normal00"/>
                        <w:jc w:val="right"/>
                        <w:outlineLvl w:val="0"/>
                        <w:rPr>
                          <w:rFonts w:ascii="Arial" w:eastAsia="SimSun" w:hAnsi="Arial" w:cs="Arial"/>
                          <w:b/>
                          <w:color w:val="003366"/>
                        </w:rPr>
                      </w:pPr>
                    </w:p>
                    <w:p w:rsidR="008535DF" w:rsidRDefault="008535DF" w:rsidP="00D7231C">
                      <w:pPr>
                        <w:pStyle w:val="Normal00"/>
                        <w:jc w:val="right"/>
                        <w:outlineLvl w:val="0"/>
                        <w:rPr>
                          <w:rFonts w:ascii="Arial" w:eastAsia="SimSun" w:hAnsi="Arial" w:cs="Arial"/>
                          <w:b/>
                          <w:color w:val="003366"/>
                        </w:rPr>
                      </w:pPr>
                    </w:p>
                    <w:p w:rsidR="008535DF" w:rsidRDefault="008535DF" w:rsidP="00D7231C">
                      <w:pPr>
                        <w:pStyle w:val="Normal00"/>
                        <w:jc w:val="right"/>
                        <w:outlineLvl w:val="0"/>
                        <w:rPr>
                          <w:rFonts w:ascii="Arial" w:eastAsia="SimSun" w:hAnsi="Arial" w:cs="Arial"/>
                          <w:b/>
                          <w:color w:val="003366"/>
                        </w:rPr>
                      </w:pPr>
                    </w:p>
                    <w:p w:rsidR="008535DF" w:rsidRDefault="008535DF" w:rsidP="00D7231C">
                      <w:pPr>
                        <w:pStyle w:val="Normal00"/>
                        <w:jc w:val="right"/>
                        <w:outlineLvl w:val="0"/>
                        <w:rPr>
                          <w:rFonts w:ascii="Arial" w:eastAsia="SimSun" w:hAnsi="Arial" w:cs="Arial"/>
                          <w:b/>
                          <w:color w:val="003366"/>
                        </w:rPr>
                      </w:pPr>
                    </w:p>
                    <w:p w:rsidR="008535DF" w:rsidRDefault="008535DF" w:rsidP="00D7231C">
                      <w:pPr>
                        <w:pStyle w:val="Normal00"/>
                        <w:jc w:val="right"/>
                        <w:outlineLvl w:val="0"/>
                        <w:rPr>
                          <w:rFonts w:ascii="Arial" w:eastAsia="SimSun" w:hAnsi="Arial" w:cs="Arial"/>
                          <w:b/>
                          <w:color w:val="003366"/>
                        </w:rPr>
                      </w:pPr>
                    </w:p>
                    <w:p w:rsidR="00CA654E" w:rsidRDefault="00FC1FDC" w:rsidP="00D7231C">
                      <w:pPr>
                        <w:pStyle w:val="Normal00"/>
                        <w:jc w:val="right"/>
                        <w:outlineLvl w:val="0"/>
                      </w:pPr>
                      <w:r>
                        <w:rPr>
                          <w:rFonts w:ascii="Arial" w:eastAsia="SimSun" w:hAnsi="Arial" w:cs="Arial"/>
                          <w:b/>
                          <w:color w:val="003366"/>
                        </w:rPr>
                        <w:t>rbs.com</w:t>
                      </w:r>
                    </w:p>
                  </w:txbxContent>
                </v:textbox>
              </v:shape>
            </w:pict>
          </mc:Fallback>
        </mc:AlternateContent>
      </w:r>
      <w:r>
        <w:rPr>
          <w:noProof/>
          <w:lang w:eastAsia="en-GB"/>
        </w:rPr>
        <w:drawing>
          <wp:anchor distT="0" distB="0" distL="114300" distR="114300" simplePos="0" relativeHeight="251663360" behindDoc="1" locked="0" layoutInCell="1" allowOverlap="1" wp14:anchorId="3347A892" wp14:editId="5F1AC3ED">
            <wp:simplePos x="0" y="0"/>
            <wp:positionH relativeFrom="column">
              <wp:posOffset>4332546</wp:posOffset>
            </wp:positionH>
            <wp:positionV relativeFrom="paragraph">
              <wp:posOffset>362585</wp:posOffset>
            </wp:positionV>
            <wp:extent cx="2057400" cy="1513205"/>
            <wp:effectExtent l="0" t="0" r="0" b="0"/>
            <wp:wrapNone/>
            <wp:docPr id="1" name="Picture 1" descr="F2A4E6A5-86EA-4413-90D6-619423C4A8DF|3|Oracle.SmartView.EPRCS|{46b9c376-2bba-48ff-b66e-62f4aa954e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799001"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57400" cy="15132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 w:val="22"/>
          <w:lang w:eastAsia="en-GB"/>
        </w:rPr>
        <mc:AlternateContent>
          <mc:Choice Requires="wps">
            <w:drawing>
              <wp:anchor distT="0" distB="0" distL="114300" distR="114300" simplePos="0" relativeHeight="251661312" behindDoc="0" locked="0" layoutInCell="1" allowOverlap="1" wp14:anchorId="20DB419A" wp14:editId="16707702">
                <wp:simplePos x="0" y="0"/>
                <wp:positionH relativeFrom="column">
                  <wp:posOffset>914400</wp:posOffset>
                </wp:positionH>
                <wp:positionV relativeFrom="paragraph">
                  <wp:posOffset>3543300</wp:posOffset>
                </wp:positionV>
                <wp:extent cx="7086600" cy="1371600"/>
                <wp:effectExtent l="0" t="635"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54E" w:rsidRDefault="00FC1FDC" w:rsidP="00CA654E">
                            <w:pPr>
                              <w:pStyle w:val="Normal0"/>
                              <w:rPr>
                                <w:rFonts w:ascii="Arial" w:hAnsi="Arial" w:cs="Arial"/>
                                <w:b/>
                                <w:color w:val="003366"/>
                                <w:sz w:val="56"/>
                                <w:szCs w:val="56"/>
                              </w:rPr>
                            </w:pPr>
                            <w:r>
                              <w:rPr>
                                <w:rFonts w:ascii="Arial" w:hAnsi="Arial" w:cs="Arial"/>
                                <w:b/>
                                <w:color w:val="003366"/>
                                <w:sz w:val="56"/>
                                <w:szCs w:val="56"/>
                              </w:rPr>
                              <w:t>Annual Results</w:t>
                            </w:r>
                          </w:p>
                          <w:p w:rsidR="00CA654E" w:rsidRPr="009F0E6C" w:rsidRDefault="00FC1FDC" w:rsidP="00CA654E">
                            <w:pPr>
                              <w:pStyle w:val="Normal0"/>
                              <w:rPr>
                                <w:rFonts w:ascii="Arial" w:hAnsi="Arial" w:cs="Arial"/>
                                <w:b/>
                                <w:color w:val="FFFFFF"/>
                                <w:sz w:val="36"/>
                                <w:szCs w:val="36"/>
                              </w:rPr>
                            </w:pPr>
                            <w:r>
                              <w:rPr>
                                <w:rFonts w:ascii="Arial" w:hAnsi="Arial" w:cs="Arial"/>
                                <w:b/>
                                <w:color w:val="003366"/>
                                <w:sz w:val="36"/>
                                <w:szCs w:val="36"/>
                              </w:rPr>
                              <w:t>For the year ended 31 December 2019</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Text Box 3" o:spid="_x0000_s1026" type="#_x0000_t202" style="width:558pt;height:108pt;margin-top:279pt;margin-left:1in;mso-height-percent:0;mso-height-relative:page;mso-width-percent:0;mso-width-relative:page;mso-wrap-distance-bottom:0;mso-wrap-distance-left:9pt;mso-wrap-distance-right:9pt;mso-wrap-distance-top:0;mso-wrap-style:square;position:absolute;visibility:visible;v-text-anchor:top;z-index:251662336" filled="f" stroked="f">
                <v:textbox>
                  <w:txbxContent>
                    <w:p w:rsidR="00CA654E" w:rsidP="00CA654E">
                      <w:pPr>
                        <w:pStyle w:val="Normal0"/>
                        <w:rPr>
                          <w:rFonts w:ascii="Arial" w:hAnsi="Arial" w:cs="Arial"/>
                          <w:b/>
                          <w:color w:val="003366"/>
                          <w:sz w:val="56"/>
                          <w:szCs w:val="56"/>
                        </w:rPr>
                      </w:pPr>
                      <w:r>
                        <w:rPr>
                          <w:rFonts w:ascii="Arial" w:hAnsi="Arial" w:cs="Arial"/>
                          <w:b/>
                          <w:color w:val="003366"/>
                          <w:sz w:val="56"/>
                          <w:szCs w:val="56"/>
                        </w:rPr>
                        <w:t>Annual Results</w:t>
                      </w:r>
                    </w:p>
                    <w:p w:rsidR="00CA654E" w:rsidRPr="009F0E6C" w:rsidP="00CA654E">
                      <w:pPr>
                        <w:pStyle w:val="Normal0"/>
                        <w:rPr>
                          <w:rFonts w:ascii="Arial" w:hAnsi="Arial" w:cs="Arial"/>
                          <w:b/>
                          <w:color w:val="FFFFFF"/>
                          <w:sz w:val="36"/>
                          <w:szCs w:val="36"/>
                        </w:rPr>
                      </w:pPr>
                      <w:r>
                        <w:rPr>
                          <w:rFonts w:ascii="Arial" w:hAnsi="Arial" w:cs="Arial"/>
                          <w:b/>
                          <w:color w:val="003366"/>
                          <w:sz w:val="36"/>
                          <w:szCs w:val="36"/>
                        </w:rPr>
                        <w:t>For the year ended 31 December 2019</w:t>
                      </w:r>
                    </w:p>
                  </w:txbxContent>
                </v:textbox>
              </v:shape>
            </w:pict>
          </mc:Fallback>
        </mc:AlternateContent>
      </w:r>
      <w:r w:rsidR="00D434F5">
        <w:br w:type="page"/>
      </w:r>
    </w:p>
    <w:p w:rsidR="00C36715" w:rsidRDefault="00C36715">
      <w:pPr>
        <w:sectPr w:rsidR="00C36715" w:rsidSect="00ED05D9">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680" w:left="851" w:header="708" w:footer="708" w:gutter="0"/>
          <w:pgNumType w:start="1"/>
          <w:cols w:space="708"/>
          <w:docGrid w:linePitch="360"/>
        </w:sectPr>
      </w:pPr>
    </w:p>
    <w:p w:rsidR="001B061F" w:rsidRPr="003C0798" w:rsidRDefault="00FC1FDC" w:rsidP="000B5841">
      <w:pPr>
        <w:pStyle w:val="9pt"/>
        <w:rPr>
          <w:color w:val="FFFFFF"/>
        </w:rPr>
      </w:pPr>
      <w:r w:rsidRPr="003C0798">
        <w:lastRenderedPageBreak/>
        <w:t>The Royal Bank of Scotland Group plc</w:t>
      </w:r>
    </w:p>
    <w:p w:rsidR="001B061F" w:rsidRPr="003C0798" w:rsidRDefault="00FC1FDC" w:rsidP="000B5841">
      <w:pPr>
        <w:pStyle w:val="Normal30"/>
        <w:keepNext/>
        <w:spacing w:line="288" w:lineRule="auto"/>
        <w:jc w:val="both"/>
        <w:outlineLvl w:val="0"/>
        <w:rPr>
          <w:rFonts w:eastAsia="Times New Roman"/>
          <w:color w:val="003366"/>
          <w:sz w:val="18"/>
          <w:szCs w:val="18"/>
          <w:lang w:eastAsia="en-US"/>
        </w:rPr>
      </w:pPr>
      <w:r w:rsidRPr="003C0798">
        <w:rPr>
          <w:rFonts w:eastAsia="SimSun"/>
          <w:b/>
          <w:color w:val="003366"/>
          <w:sz w:val="18"/>
          <w:szCs w:val="18"/>
          <w:lang w:eastAsia="zh-CN"/>
        </w:rPr>
        <w:t>2019 RBS performance summary</w:t>
      </w:r>
    </w:p>
    <w:p w:rsidR="003A06EC" w:rsidRDefault="003A06EC" w:rsidP="0080270C">
      <w:pPr>
        <w:pStyle w:val="Normal30"/>
        <w:spacing w:line="288" w:lineRule="auto"/>
        <w:rPr>
          <w:rFonts w:eastAsia="SimSun"/>
          <w:b/>
          <w:color w:val="003366"/>
          <w:sz w:val="18"/>
          <w:szCs w:val="18"/>
          <w:lang w:eastAsia="zh-CN"/>
        </w:rPr>
      </w:pPr>
    </w:p>
    <w:p w:rsidR="0080270C" w:rsidRDefault="00FC1FDC" w:rsidP="0080270C">
      <w:pPr>
        <w:pStyle w:val="Normal30"/>
        <w:spacing w:line="288" w:lineRule="auto"/>
        <w:rPr>
          <w:rFonts w:eastAsia="SimSun"/>
          <w:b/>
          <w:color w:val="003366"/>
          <w:sz w:val="18"/>
          <w:szCs w:val="18"/>
          <w:lang w:eastAsia="zh-CN"/>
        </w:rPr>
      </w:pPr>
      <w:r w:rsidRPr="003C0798">
        <w:rPr>
          <w:rFonts w:eastAsia="SimSun"/>
          <w:b/>
          <w:color w:val="003366"/>
          <w:sz w:val="18"/>
          <w:szCs w:val="18"/>
          <w:lang w:eastAsia="zh-CN"/>
        </w:rPr>
        <w:t>RBS reported an o</w:t>
      </w:r>
      <w:r>
        <w:rPr>
          <w:rFonts w:eastAsia="SimSun"/>
          <w:b/>
          <w:color w:val="003366"/>
          <w:sz w:val="18"/>
          <w:szCs w:val="18"/>
          <w:lang w:eastAsia="zh-CN"/>
        </w:rPr>
        <w:t>perating profit before tax of £</w:t>
      </w:r>
      <w:r w:rsidRPr="003C0798">
        <w:rPr>
          <w:rFonts w:eastAsia="SimSun"/>
          <w:b/>
          <w:color w:val="003366"/>
          <w:sz w:val="18"/>
          <w:szCs w:val="18"/>
          <w:lang w:eastAsia="zh-CN"/>
        </w:rPr>
        <w:t>4,</w:t>
      </w:r>
      <w:r>
        <w:rPr>
          <w:rFonts w:eastAsia="SimSun"/>
          <w:b/>
          <w:color w:val="003366"/>
          <w:sz w:val="18"/>
          <w:szCs w:val="18"/>
          <w:lang w:eastAsia="zh-CN"/>
        </w:rPr>
        <w:t>232</w:t>
      </w:r>
      <w:r w:rsidRPr="003C0798">
        <w:rPr>
          <w:rFonts w:eastAsia="SimSun"/>
          <w:b/>
          <w:color w:val="003366"/>
          <w:sz w:val="18"/>
          <w:szCs w:val="18"/>
          <w:lang w:eastAsia="zh-CN"/>
        </w:rPr>
        <w:t xml:space="preserve"> million </w:t>
      </w:r>
      <w:r>
        <w:rPr>
          <w:rFonts w:eastAsia="SimSun"/>
          <w:b/>
          <w:color w:val="003366"/>
          <w:sz w:val="18"/>
          <w:szCs w:val="18"/>
          <w:lang w:eastAsia="zh-CN"/>
        </w:rPr>
        <w:t>and an attributable profit of £3,133</w:t>
      </w:r>
      <w:r w:rsidRPr="003C0798">
        <w:rPr>
          <w:rFonts w:eastAsia="SimSun"/>
          <w:b/>
          <w:color w:val="003366"/>
          <w:sz w:val="18"/>
          <w:szCs w:val="18"/>
          <w:lang w:eastAsia="zh-CN"/>
        </w:rPr>
        <w:t xml:space="preserve"> million and proposes a final ordinary dividend of </w:t>
      </w:r>
      <w:r>
        <w:rPr>
          <w:rFonts w:eastAsia="SimSun"/>
          <w:b/>
          <w:color w:val="003366"/>
          <w:sz w:val="18"/>
          <w:szCs w:val="18"/>
          <w:lang w:eastAsia="zh-CN"/>
        </w:rPr>
        <w:t>3</w:t>
      </w:r>
      <w:r w:rsidRPr="003C0798">
        <w:rPr>
          <w:rFonts w:eastAsia="SimSun"/>
          <w:b/>
          <w:color w:val="003366"/>
          <w:sz w:val="18"/>
          <w:szCs w:val="18"/>
          <w:lang w:eastAsia="zh-CN"/>
        </w:rPr>
        <w:t xml:space="preserve"> pence and a </w:t>
      </w:r>
      <w:r>
        <w:rPr>
          <w:rFonts w:eastAsia="SimSun"/>
          <w:b/>
          <w:color w:val="003366"/>
          <w:sz w:val="18"/>
          <w:szCs w:val="18"/>
          <w:lang w:eastAsia="zh-CN"/>
        </w:rPr>
        <w:t>5 pence special dividend.</w:t>
      </w:r>
    </w:p>
    <w:p w:rsidR="001B061F" w:rsidRDefault="001B061F" w:rsidP="000B5841">
      <w:pPr>
        <w:pStyle w:val="Normal30"/>
        <w:spacing w:line="288" w:lineRule="auto"/>
        <w:rPr>
          <w:sz w:val="18"/>
          <w:szCs w:val="18"/>
        </w:rPr>
      </w:pPr>
    </w:p>
    <w:p w:rsidR="0080270C" w:rsidRPr="003C0798" w:rsidRDefault="00FC1FDC" w:rsidP="0080270C">
      <w:pPr>
        <w:pStyle w:val="Normal30"/>
        <w:spacing w:line="288" w:lineRule="auto"/>
        <w:rPr>
          <w:rFonts w:eastAsia="SimSun"/>
          <w:b/>
          <w:color w:val="003366"/>
          <w:sz w:val="18"/>
          <w:szCs w:val="18"/>
          <w:lang w:eastAsia="zh-CN"/>
        </w:rPr>
      </w:pPr>
      <w:r>
        <w:rPr>
          <w:rFonts w:eastAsia="SimSun"/>
          <w:b/>
          <w:color w:val="003366"/>
          <w:sz w:val="18"/>
          <w:szCs w:val="18"/>
          <w:lang w:eastAsia="zh-CN"/>
        </w:rPr>
        <w:t>In a challenging market RBS has exceeded all of its 2019 financial targets: cost reduction above target; net lending growth ahead of target; RWAs below guidance; and 22 pence of total distributions to shareholders in 2019, while maintaining a CET1 ratio of 16.2%.</w:t>
      </w:r>
    </w:p>
    <w:p w:rsidR="00DD3335" w:rsidRPr="003C0798" w:rsidRDefault="00DD3335" w:rsidP="000B5841">
      <w:pPr>
        <w:pStyle w:val="Normal30"/>
        <w:spacing w:line="288" w:lineRule="auto"/>
        <w:rPr>
          <w:sz w:val="18"/>
          <w:szCs w:val="18"/>
        </w:rPr>
      </w:pPr>
    </w:p>
    <w:tbl>
      <w:tblPr>
        <w:tblW w:w="10206" w:type="dxa"/>
        <w:tblCellMar>
          <w:left w:w="0" w:type="dxa"/>
          <w:right w:w="0" w:type="dxa"/>
        </w:tblCellMar>
        <w:tblLook w:val="01E0" w:firstRow="1" w:lastRow="1" w:firstColumn="1" w:lastColumn="1" w:noHBand="0" w:noVBand="0"/>
      </w:tblPr>
      <w:tblGrid>
        <w:gridCol w:w="314"/>
        <w:gridCol w:w="9892"/>
      </w:tblGrid>
      <w:tr w:rsidR="0064628A" w:rsidTr="005C4C66">
        <w:trPr>
          <w:trHeight w:hRule="exact" w:val="228"/>
        </w:trPr>
        <w:tc>
          <w:tcPr>
            <w:tcW w:w="314" w:type="dxa"/>
          </w:tcPr>
          <w:p w:rsidR="0080270C" w:rsidRPr="003C0798" w:rsidRDefault="00FC1FDC" w:rsidP="000B5841">
            <w:pPr>
              <w:pStyle w:val="Normal30"/>
              <w:spacing w:line="288" w:lineRule="auto"/>
              <w:ind w:right="98"/>
              <w:jc w:val="both"/>
              <w:rPr>
                <w:rFonts w:eastAsia="SimSun"/>
                <w:color w:val="003366"/>
                <w:sz w:val="18"/>
                <w:szCs w:val="18"/>
                <w:lang w:eastAsia="ja-JP"/>
              </w:rPr>
            </w:pPr>
            <w:r w:rsidRPr="003C0798">
              <w:rPr>
                <w:rFonts w:eastAsia="SimSun"/>
                <w:color w:val="003366"/>
                <w:sz w:val="18"/>
                <w:szCs w:val="18"/>
                <w:lang w:eastAsia="ja-JP"/>
              </w:rPr>
              <w:t>●</w:t>
            </w:r>
          </w:p>
        </w:tc>
        <w:tc>
          <w:tcPr>
            <w:tcW w:w="9892" w:type="dxa"/>
          </w:tcPr>
          <w:p w:rsidR="0080270C" w:rsidRPr="003C0798" w:rsidRDefault="00FC1FDC" w:rsidP="00883FE3">
            <w:pPr>
              <w:pStyle w:val="Normal30"/>
              <w:spacing w:line="288" w:lineRule="auto"/>
              <w:ind w:right="98"/>
              <w:contextualSpacing/>
              <w:rPr>
                <w:rFonts w:eastAsia="Calibri"/>
                <w:sz w:val="18"/>
                <w:szCs w:val="18"/>
                <w:lang w:val="en-US" w:eastAsia="en-US" w:bidi="he-IL"/>
              </w:rPr>
            </w:pPr>
            <w:r>
              <w:rPr>
                <w:rFonts w:eastAsia="Calibri"/>
                <w:sz w:val="18"/>
                <w:szCs w:val="18"/>
                <w:lang w:val="en-US" w:eastAsia="en-US" w:bidi="he-IL"/>
              </w:rPr>
              <w:t xml:space="preserve">Return on tangible equity of 9.4% for 2019 </w:t>
            </w:r>
            <w:r w:rsidRPr="00C66CC1">
              <w:rPr>
                <w:rFonts w:eastAsia="Calibri"/>
                <w:sz w:val="18"/>
                <w:szCs w:val="18"/>
                <w:lang w:val="en-US" w:eastAsia="en-US" w:bidi="he-IL"/>
              </w:rPr>
              <w:t>and 4.7% excluding FX recycling gains.</w:t>
            </w:r>
          </w:p>
        </w:tc>
      </w:tr>
      <w:tr w:rsidR="0064628A" w:rsidTr="005C4C66">
        <w:trPr>
          <w:trHeight w:val="136"/>
        </w:trPr>
        <w:tc>
          <w:tcPr>
            <w:tcW w:w="314" w:type="dxa"/>
          </w:tcPr>
          <w:p w:rsidR="0080270C" w:rsidRPr="003C0798" w:rsidRDefault="00FC1FDC" w:rsidP="000B5841">
            <w:pPr>
              <w:pStyle w:val="Normal30"/>
              <w:spacing w:line="288" w:lineRule="auto"/>
              <w:ind w:right="98"/>
              <w:jc w:val="both"/>
              <w:rPr>
                <w:rFonts w:eastAsia="SimSun"/>
                <w:color w:val="003366"/>
                <w:sz w:val="18"/>
                <w:szCs w:val="18"/>
                <w:lang w:eastAsia="ja-JP"/>
              </w:rPr>
            </w:pPr>
            <w:r w:rsidRPr="003C0798">
              <w:rPr>
                <w:rFonts w:eastAsia="SimSun"/>
                <w:color w:val="003366"/>
                <w:sz w:val="18"/>
                <w:szCs w:val="18"/>
                <w:lang w:eastAsia="ja-JP"/>
              </w:rPr>
              <w:t>●</w:t>
            </w:r>
          </w:p>
        </w:tc>
        <w:tc>
          <w:tcPr>
            <w:tcW w:w="9892" w:type="dxa"/>
          </w:tcPr>
          <w:p w:rsidR="0080270C" w:rsidRPr="003C0798" w:rsidRDefault="00FC1FDC" w:rsidP="00883FE3">
            <w:pPr>
              <w:pStyle w:val="Normal30"/>
              <w:spacing w:line="288" w:lineRule="auto"/>
              <w:ind w:right="98"/>
              <w:contextualSpacing/>
              <w:rPr>
                <w:rFonts w:eastAsia="Calibri"/>
                <w:sz w:val="18"/>
                <w:szCs w:val="18"/>
                <w:lang w:val="en-US" w:eastAsia="en-US" w:bidi="he-IL"/>
              </w:rPr>
            </w:pPr>
            <w:r w:rsidRPr="003C0798">
              <w:rPr>
                <w:rFonts w:eastAsia="Calibri"/>
                <w:sz w:val="18"/>
                <w:szCs w:val="18"/>
                <w:lang w:val="en-US" w:eastAsia="en-US" w:bidi="he-IL"/>
              </w:rPr>
              <w:t>Q4 2019 o</w:t>
            </w:r>
            <w:r>
              <w:rPr>
                <w:rFonts w:eastAsia="Calibri"/>
                <w:sz w:val="18"/>
                <w:szCs w:val="18"/>
                <w:lang w:val="en-US" w:eastAsia="en-US" w:bidi="he-IL"/>
              </w:rPr>
              <w:t>perating profit before tax of £</w:t>
            </w:r>
            <w:r w:rsidRPr="003C0798">
              <w:rPr>
                <w:rFonts w:eastAsia="Calibri"/>
                <w:sz w:val="18"/>
                <w:szCs w:val="18"/>
                <w:lang w:val="en-US" w:eastAsia="en-US" w:bidi="he-IL"/>
              </w:rPr>
              <w:t>1,</w:t>
            </w:r>
            <w:r>
              <w:rPr>
                <w:rFonts w:eastAsia="Calibri"/>
                <w:sz w:val="18"/>
                <w:szCs w:val="18"/>
                <w:lang w:val="en-US" w:eastAsia="en-US" w:bidi="he-IL"/>
              </w:rPr>
              <w:t>546</w:t>
            </w:r>
            <w:r w:rsidRPr="003C0798">
              <w:rPr>
                <w:rFonts w:eastAsia="Calibri"/>
                <w:sz w:val="18"/>
                <w:szCs w:val="18"/>
                <w:lang w:val="en-US" w:eastAsia="en-US" w:bidi="he-IL"/>
              </w:rPr>
              <w:t xml:space="preserve"> million a</w:t>
            </w:r>
            <w:r>
              <w:rPr>
                <w:rFonts w:eastAsia="Calibri"/>
                <w:sz w:val="18"/>
                <w:szCs w:val="18"/>
                <w:lang w:val="en-US" w:eastAsia="en-US" w:bidi="he-IL"/>
              </w:rPr>
              <w:t>nd an attributable profit of £1,410</w:t>
            </w:r>
            <w:r w:rsidRPr="003C0798">
              <w:rPr>
                <w:rFonts w:eastAsia="Calibri"/>
                <w:sz w:val="18"/>
                <w:szCs w:val="18"/>
                <w:lang w:val="en-US" w:eastAsia="en-US" w:bidi="he-IL"/>
              </w:rPr>
              <w:t xml:space="preserve"> millio</w:t>
            </w:r>
            <w:r>
              <w:rPr>
                <w:rFonts w:eastAsia="Calibri"/>
                <w:sz w:val="18"/>
                <w:szCs w:val="18"/>
                <w:lang w:val="en-US" w:eastAsia="en-US" w:bidi="he-IL"/>
              </w:rPr>
              <w:t>n, or £176 million excluding FX recycling gains.</w:t>
            </w:r>
          </w:p>
        </w:tc>
      </w:tr>
      <w:tr w:rsidR="0064628A" w:rsidTr="005C4C66">
        <w:trPr>
          <w:trHeight w:hRule="exact" w:val="413"/>
        </w:trPr>
        <w:tc>
          <w:tcPr>
            <w:tcW w:w="314" w:type="dxa"/>
          </w:tcPr>
          <w:p w:rsidR="00B917A6" w:rsidRPr="003C0798" w:rsidRDefault="00FC1FDC" w:rsidP="000B5841">
            <w:pPr>
              <w:pStyle w:val="Normal30"/>
              <w:spacing w:line="288" w:lineRule="auto"/>
              <w:ind w:right="98"/>
              <w:jc w:val="both"/>
              <w:rPr>
                <w:rFonts w:eastAsia="SimSun"/>
                <w:color w:val="003366"/>
                <w:sz w:val="18"/>
                <w:szCs w:val="18"/>
                <w:lang w:eastAsia="ja-JP"/>
              </w:rPr>
            </w:pPr>
            <w:r w:rsidRPr="003C0798">
              <w:rPr>
                <w:rFonts w:eastAsia="SimSun"/>
                <w:color w:val="003366"/>
                <w:sz w:val="18"/>
                <w:szCs w:val="18"/>
                <w:lang w:eastAsia="ja-JP"/>
              </w:rPr>
              <w:t>●</w:t>
            </w:r>
          </w:p>
        </w:tc>
        <w:tc>
          <w:tcPr>
            <w:tcW w:w="9892" w:type="dxa"/>
          </w:tcPr>
          <w:p w:rsidR="00B917A6" w:rsidRPr="003C0798" w:rsidRDefault="00FC1FDC" w:rsidP="00883FE3">
            <w:pPr>
              <w:pStyle w:val="Normal30"/>
              <w:spacing w:line="288" w:lineRule="auto"/>
              <w:ind w:right="98"/>
              <w:contextualSpacing/>
              <w:rPr>
                <w:rFonts w:eastAsia="Calibri"/>
                <w:sz w:val="18"/>
                <w:szCs w:val="18"/>
                <w:lang w:val="en-US" w:eastAsia="en-US" w:bidi="he-IL"/>
              </w:rPr>
            </w:pPr>
            <w:r>
              <w:rPr>
                <w:rFonts w:eastAsia="Calibri"/>
                <w:sz w:val="18"/>
                <w:szCs w:val="18"/>
                <w:lang w:val="en-US" w:eastAsia="en-US" w:bidi="he-IL"/>
              </w:rPr>
              <w:t>FY 2019 attributable profit of £3,133 million, or £1,561 million excluding FX recycling gains.</w:t>
            </w:r>
          </w:p>
        </w:tc>
      </w:tr>
    </w:tbl>
    <w:p w:rsidR="001B061F" w:rsidRPr="003C0798" w:rsidRDefault="001B061F" w:rsidP="000B5841">
      <w:pPr>
        <w:pStyle w:val="Normal30"/>
        <w:spacing w:line="288" w:lineRule="auto"/>
        <w:rPr>
          <w:sz w:val="18"/>
          <w:szCs w:val="18"/>
        </w:rPr>
      </w:pPr>
    </w:p>
    <w:p w:rsidR="001B061F" w:rsidRPr="00DD3335" w:rsidRDefault="00FC1FDC" w:rsidP="00DD3335">
      <w:pPr>
        <w:pStyle w:val="Normal30"/>
        <w:spacing w:line="288" w:lineRule="auto"/>
        <w:ind w:right="98"/>
        <w:rPr>
          <w:rFonts w:eastAsia="Calibri"/>
          <w:b/>
          <w:color w:val="1F497D"/>
          <w:sz w:val="18"/>
          <w:szCs w:val="18"/>
        </w:rPr>
      </w:pPr>
      <w:r w:rsidRPr="003C0798">
        <w:rPr>
          <w:rFonts w:eastAsia="Calibri"/>
          <w:b/>
          <w:color w:val="1F497D"/>
          <w:sz w:val="18"/>
          <w:szCs w:val="18"/>
        </w:rPr>
        <w:t>Supporting our customers through continued lending growth</w:t>
      </w:r>
    </w:p>
    <w:tbl>
      <w:tblPr>
        <w:tblW w:w="10206" w:type="dxa"/>
        <w:tblCellMar>
          <w:left w:w="0" w:type="dxa"/>
          <w:right w:w="0" w:type="dxa"/>
        </w:tblCellMar>
        <w:tblLook w:val="01E0" w:firstRow="1" w:lastRow="1" w:firstColumn="1" w:lastColumn="1" w:noHBand="0" w:noVBand="0"/>
      </w:tblPr>
      <w:tblGrid>
        <w:gridCol w:w="314"/>
        <w:gridCol w:w="9892"/>
      </w:tblGrid>
      <w:tr w:rsidR="0064628A" w:rsidTr="0080270C">
        <w:trPr>
          <w:trHeight w:val="769"/>
        </w:trPr>
        <w:tc>
          <w:tcPr>
            <w:tcW w:w="314" w:type="dxa"/>
          </w:tcPr>
          <w:p w:rsidR="0080270C" w:rsidRPr="003C0798" w:rsidRDefault="00FC1FDC" w:rsidP="000B5841">
            <w:pPr>
              <w:pStyle w:val="Normal30"/>
              <w:spacing w:line="288" w:lineRule="auto"/>
              <w:ind w:right="98"/>
              <w:jc w:val="both"/>
              <w:rPr>
                <w:rFonts w:eastAsia="SimSun"/>
                <w:color w:val="003366"/>
                <w:sz w:val="18"/>
                <w:szCs w:val="18"/>
                <w:lang w:eastAsia="ja-JP"/>
              </w:rPr>
            </w:pPr>
            <w:r w:rsidRPr="003C0798">
              <w:rPr>
                <w:rFonts w:eastAsia="SimSun"/>
                <w:color w:val="003366"/>
                <w:sz w:val="18"/>
                <w:szCs w:val="18"/>
                <w:lang w:eastAsia="ja-JP"/>
              </w:rPr>
              <w:t>●</w:t>
            </w:r>
          </w:p>
        </w:tc>
        <w:tc>
          <w:tcPr>
            <w:tcW w:w="9892" w:type="dxa"/>
          </w:tcPr>
          <w:p w:rsidR="0080270C" w:rsidRPr="003C0798" w:rsidRDefault="00FC1FDC" w:rsidP="00883FE3">
            <w:pPr>
              <w:pStyle w:val="Normal30"/>
              <w:spacing w:line="288" w:lineRule="auto"/>
              <w:ind w:right="98"/>
              <w:contextualSpacing/>
              <w:rPr>
                <w:rFonts w:eastAsia="Calibri"/>
                <w:sz w:val="18"/>
                <w:szCs w:val="18"/>
                <w:lang w:val="en-US" w:eastAsia="en-US" w:bidi="he-IL"/>
              </w:rPr>
            </w:pPr>
            <w:r>
              <w:rPr>
                <w:rFonts w:eastAsia="Calibri"/>
                <w:sz w:val="18"/>
                <w:szCs w:val="18"/>
                <w:lang w:val="en-US" w:eastAsia="en-US" w:bidi="he-IL"/>
              </w:rPr>
              <w:t>We continue to achieve net lending growth at attractive returns in a challenging market. Across UK Personal Banking, Ulster Bank RoI, Commercial Banking and Private Banking, net loans to customers increased by 3.7% in 2019, exceeding our 2-3% growth target.</w:t>
            </w:r>
          </w:p>
        </w:tc>
      </w:tr>
      <w:tr w:rsidR="0064628A" w:rsidTr="0080270C">
        <w:trPr>
          <w:trHeight w:val="522"/>
        </w:trPr>
        <w:tc>
          <w:tcPr>
            <w:tcW w:w="314" w:type="dxa"/>
          </w:tcPr>
          <w:p w:rsidR="0080270C" w:rsidRPr="003C0798" w:rsidRDefault="00FC1FDC" w:rsidP="000B5841">
            <w:pPr>
              <w:pStyle w:val="Normal30"/>
              <w:spacing w:line="288" w:lineRule="auto"/>
              <w:ind w:right="98"/>
              <w:jc w:val="both"/>
              <w:rPr>
                <w:rFonts w:eastAsia="SimSun"/>
                <w:color w:val="003366"/>
                <w:sz w:val="18"/>
                <w:szCs w:val="18"/>
                <w:lang w:eastAsia="ja-JP"/>
              </w:rPr>
            </w:pPr>
            <w:r w:rsidRPr="003C0798">
              <w:rPr>
                <w:rFonts w:eastAsia="SimSun"/>
                <w:color w:val="003366"/>
                <w:sz w:val="18"/>
                <w:szCs w:val="18"/>
                <w:lang w:eastAsia="ja-JP"/>
              </w:rPr>
              <w:t>●</w:t>
            </w:r>
          </w:p>
        </w:tc>
        <w:tc>
          <w:tcPr>
            <w:tcW w:w="9892" w:type="dxa"/>
          </w:tcPr>
          <w:p w:rsidR="0080270C" w:rsidRPr="003C0798" w:rsidRDefault="00FC1FDC" w:rsidP="00883FE3">
            <w:pPr>
              <w:pStyle w:val="Normal30"/>
              <w:spacing w:line="288" w:lineRule="auto"/>
              <w:ind w:right="98"/>
              <w:contextualSpacing/>
              <w:rPr>
                <w:rFonts w:eastAsia="Calibri"/>
                <w:sz w:val="18"/>
                <w:szCs w:val="18"/>
                <w:lang w:val="en-US" w:eastAsia="en-US" w:bidi="he-IL"/>
              </w:rPr>
            </w:pPr>
            <w:r w:rsidRPr="003C0798">
              <w:rPr>
                <w:rFonts w:eastAsia="Calibri"/>
                <w:sz w:val="18"/>
                <w:szCs w:val="18"/>
                <w:lang w:val="en-US" w:eastAsia="en-US" w:bidi="he-IL"/>
              </w:rPr>
              <w:t>UK P</w:t>
            </w:r>
            <w:r>
              <w:rPr>
                <w:rFonts w:eastAsia="Calibri"/>
                <w:sz w:val="18"/>
                <w:szCs w:val="18"/>
                <w:lang w:val="en-US" w:eastAsia="en-US" w:bidi="he-IL"/>
              </w:rPr>
              <w:t xml:space="preserve">ersonal </w:t>
            </w:r>
            <w:r w:rsidRPr="003C0798">
              <w:rPr>
                <w:rFonts w:eastAsia="Calibri"/>
                <w:sz w:val="18"/>
                <w:szCs w:val="18"/>
                <w:lang w:val="en-US" w:eastAsia="en-US" w:bidi="he-IL"/>
              </w:rPr>
              <w:t>B</w:t>
            </w:r>
            <w:r>
              <w:rPr>
                <w:rFonts w:eastAsia="Calibri"/>
                <w:sz w:val="18"/>
                <w:szCs w:val="18"/>
                <w:lang w:val="en-US" w:eastAsia="en-US" w:bidi="he-IL"/>
              </w:rPr>
              <w:t>anking</w:t>
            </w:r>
            <w:r w:rsidRPr="003C0798">
              <w:rPr>
                <w:rFonts w:eastAsia="Calibri"/>
                <w:sz w:val="18"/>
                <w:szCs w:val="18"/>
                <w:lang w:val="en-US" w:eastAsia="en-US" w:bidi="he-IL"/>
              </w:rPr>
              <w:t xml:space="preserve"> gross new mortgage lending was £</w:t>
            </w:r>
            <w:r>
              <w:rPr>
                <w:rFonts w:eastAsia="Calibri"/>
                <w:sz w:val="18"/>
                <w:szCs w:val="18"/>
                <w:lang w:val="en-US" w:eastAsia="en-US" w:bidi="he-IL"/>
              </w:rPr>
              <w:t>33.3</w:t>
            </w:r>
            <w:r w:rsidRPr="003C0798">
              <w:rPr>
                <w:rFonts w:eastAsia="Calibri"/>
                <w:sz w:val="18"/>
                <w:szCs w:val="18"/>
                <w:lang w:val="en-US" w:eastAsia="en-US" w:bidi="he-IL"/>
              </w:rPr>
              <w:t xml:space="preserve"> billion in 2019 compared with £</w:t>
            </w:r>
            <w:r>
              <w:rPr>
                <w:rFonts w:eastAsia="Calibri"/>
                <w:sz w:val="18"/>
                <w:szCs w:val="18"/>
                <w:lang w:val="en-US" w:eastAsia="en-US" w:bidi="he-IL"/>
              </w:rPr>
              <w:t>30.4</w:t>
            </w:r>
            <w:r w:rsidRPr="003C0798">
              <w:rPr>
                <w:rFonts w:eastAsia="Calibri"/>
                <w:sz w:val="18"/>
                <w:szCs w:val="18"/>
                <w:lang w:val="en-US" w:eastAsia="en-US" w:bidi="he-IL"/>
              </w:rPr>
              <w:t xml:space="preserve"> billion in 2018. </w:t>
            </w:r>
            <w:r w:rsidRPr="00C66CC1">
              <w:rPr>
                <w:rFonts w:eastAsia="Times New Roman"/>
                <w:sz w:val="18"/>
                <w:szCs w:val="18"/>
                <w:lang w:val="en-US" w:eastAsia="ja-JP" w:bidi="he-IL"/>
              </w:rPr>
              <w:t>Commercial Ban</w:t>
            </w:r>
            <w:r>
              <w:rPr>
                <w:rFonts w:eastAsia="Times New Roman"/>
                <w:sz w:val="18"/>
                <w:szCs w:val="18"/>
                <w:lang w:val="en-US" w:eastAsia="ja-JP" w:bidi="he-IL"/>
              </w:rPr>
              <w:t xml:space="preserve">king gross new lending was £19.5 billion </w:t>
            </w:r>
            <w:r w:rsidRPr="00C66CC1">
              <w:rPr>
                <w:rFonts w:eastAsia="Times New Roman"/>
                <w:sz w:val="18"/>
                <w:szCs w:val="18"/>
                <w:lang w:val="en-US" w:eastAsia="ja-JP" w:bidi="he-IL"/>
              </w:rPr>
              <w:t>in 2019.</w:t>
            </w:r>
          </w:p>
        </w:tc>
      </w:tr>
      <w:tr w:rsidR="0064628A" w:rsidTr="0080270C">
        <w:tc>
          <w:tcPr>
            <w:tcW w:w="314" w:type="dxa"/>
          </w:tcPr>
          <w:p w:rsidR="0080270C" w:rsidRPr="003C0798" w:rsidRDefault="00FC1FDC" w:rsidP="000B5841">
            <w:pPr>
              <w:pStyle w:val="Normal30"/>
              <w:spacing w:line="288" w:lineRule="auto"/>
              <w:ind w:right="98"/>
              <w:jc w:val="both"/>
              <w:rPr>
                <w:rFonts w:eastAsia="SimSun"/>
                <w:color w:val="003366"/>
                <w:sz w:val="18"/>
                <w:szCs w:val="18"/>
                <w:lang w:eastAsia="ja-JP"/>
              </w:rPr>
            </w:pPr>
            <w:r w:rsidRPr="003C0798">
              <w:rPr>
                <w:rFonts w:eastAsia="SimSun"/>
                <w:color w:val="003366"/>
                <w:sz w:val="18"/>
                <w:szCs w:val="18"/>
                <w:lang w:eastAsia="ja-JP"/>
              </w:rPr>
              <w:t>●</w:t>
            </w:r>
          </w:p>
        </w:tc>
        <w:tc>
          <w:tcPr>
            <w:tcW w:w="9892" w:type="dxa"/>
          </w:tcPr>
          <w:p w:rsidR="0080270C" w:rsidRPr="003C0798" w:rsidRDefault="00FC1FDC" w:rsidP="00883FE3">
            <w:pPr>
              <w:pStyle w:val="Normal30"/>
              <w:spacing w:line="288" w:lineRule="auto"/>
              <w:ind w:right="98"/>
              <w:contextualSpacing/>
              <w:rPr>
                <w:sz w:val="18"/>
                <w:szCs w:val="18"/>
                <w:lang w:val="en-US" w:bidi="he-IL"/>
              </w:rPr>
            </w:pPr>
            <w:r w:rsidRPr="003C0798">
              <w:rPr>
                <w:sz w:val="18"/>
                <w:szCs w:val="18"/>
                <w:lang w:val="en-US" w:bidi="he-IL"/>
              </w:rPr>
              <w:t>2019 net impairment loss</w:t>
            </w:r>
            <w:r>
              <w:rPr>
                <w:sz w:val="18"/>
                <w:szCs w:val="18"/>
                <w:lang w:val="en-US" w:bidi="he-IL"/>
              </w:rPr>
              <w:t>es</w:t>
            </w:r>
            <w:r w:rsidRPr="003C0798">
              <w:rPr>
                <w:sz w:val="18"/>
                <w:szCs w:val="18"/>
                <w:lang w:val="en-US" w:bidi="he-IL"/>
              </w:rPr>
              <w:t xml:space="preserve"> of £</w:t>
            </w:r>
            <w:r>
              <w:rPr>
                <w:sz w:val="18"/>
                <w:szCs w:val="18"/>
                <w:lang w:val="en-US" w:bidi="he-IL"/>
              </w:rPr>
              <w:t>696 million equate</w:t>
            </w:r>
            <w:r w:rsidRPr="003C0798">
              <w:rPr>
                <w:sz w:val="18"/>
                <w:szCs w:val="18"/>
                <w:lang w:val="en-US" w:bidi="he-IL"/>
              </w:rPr>
              <w:t xml:space="preserve"> to </w:t>
            </w:r>
            <w:r>
              <w:rPr>
                <w:sz w:val="18"/>
                <w:szCs w:val="18"/>
                <w:lang w:val="en-US" w:bidi="he-IL"/>
              </w:rPr>
              <w:t>21</w:t>
            </w:r>
            <w:r w:rsidRPr="003C0798">
              <w:rPr>
                <w:sz w:val="18"/>
                <w:szCs w:val="18"/>
                <w:lang w:val="en-US" w:bidi="he-IL"/>
              </w:rPr>
              <w:t xml:space="preserve"> basis points of gross customer loans, compared with 13 basis points in 2018. The cost of risk remains below our view of a normalised </w:t>
            </w:r>
            <w:r>
              <w:rPr>
                <w:sz w:val="18"/>
                <w:szCs w:val="18"/>
                <w:lang w:val="en-US" w:bidi="he-IL"/>
              </w:rPr>
              <w:t xml:space="preserve">blended </w:t>
            </w:r>
            <w:r w:rsidRPr="003C0798">
              <w:rPr>
                <w:sz w:val="18"/>
                <w:szCs w:val="18"/>
                <w:lang w:val="en-US" w:bidi="he-IL"/>
              </w:rPr>
              <w:t>long term loss rate of 30-40 basis points.</w:t>
            </w:r>
          </w:p>
        </w:tc>
      </w:tr>
    </w:tbl>
    <w:p w:rsidR="001B061F" w:rsidRDefault="001B061F" w:rsidP="000B5841">
      <w:pPr>
        <w:pStyle w:val="Normal30"/>
        <w:spacing w:line="288" w:lineRule="auto"/>
        <w:rPr>
          <w:sz w:val="18"/>
          <w:szCs w:val="18"/>
        </w:rPr>
      </w:pPr>
    </w:p>
    <w:p w:rsidR="001A451A" w:rsidRPr="003C0798" w:rsidRDefault="001A451A" w:rsidP="000B5841">
      <w:pPr>
        <w:pStyle w:val="Normal30"/>
        <w:spacing w:line="288" w:lineRule="auto"/>
        <w:rPr>
          <w:sz w:val="18"/>
          <w:szCs w:val="18"/>
        </w:rPr>
      </w:pPr>
    </w:p>
    <w:p w:rsidR="001B061F" w:rsidRPr="00DD3335" w:rsidRDefault="00FC1FDC" w:rsidP="00DD3335">
      <w:pPr>
        <w:pStyle w:val="Normal30"/>
        <w:spacing w:line="288" w:lineRule="auto"/>
        <w:ind w:right="98"/>
        <w:rPr>
          <w:rFonts w:eastAsia="Calibri"/>
          <w:b/>
          <w:color w:val="1F497D"/>
          <w:sz w:val="18"/>
          <w:szCs w:val="18"/>
        </w:rPr>
      </w:pPr>
      <w:r w:rsidRPr="003C0798">
        <w:rPr>
          <w:rFonts w:eastAsia="Calibri"/>
          <w:b/>
          <w:color w:val="1F497D"/>
          <w:sz w:val="18"/>
          <w:szCs w:val="18"/>
        </w:rPr>
        <w:t xml:space="preserve">Continuing competitive market </w:t>
      </w:r>
    </w:p>
    <w:tbl>
      <w:tblPr>
        <w:tblW w:w="10206" w:type="dxa"/>
        <w:tblCellMar>
          <w:left w:w="0" w:type="dxa"/>
          <w:right w:w="0" w:type="dxa"/>
        </w:tblCellMar>
        <w:tblLook w:val="01E0" w:firstRow="1" w:lastRow="1" w:firstColumn="1" w:lastColumn="1" w:noHBand="0" w:noVBand="0"/>
      </w:tblPr>
      <w:tblGrid>
        <w:gridCol w:w="314"/>
        <w:gridCol w:w="9892"/>
      </w:tblGrid>
      <w:tr w:rsidR="0064628A" w:rsidTr="0080270C">
        <w:trPr>
          <w:trHeight w:val="137"/>
        </w:trPr>
        <w:tc>
          <w:tcPr>
            <w:tcW w:w="314" w:type="dxa"/>
          </w:tcPr>
          <w:p w:rsidR="0080270C" w:rsidRPr="003C0798" w:rsidRDefault="00FC1FDC" w:rsidP="000B5841">
            <w:pPr>
              <w:pStyle w:val="Normal30"/>
              <w:spacing w:line="288" w:lineRule="auto"/>
              <w:ind w:right="98"/>
              <w:jc w:val="both"/>
              <w:rPr>
                <w:rFonts w:eastAsia="SimSun"/>
                <w:color w:val="003366"/>
                <w:sz w:val="18"/>
                <w:szCs w:val="18"/>
                <w:lang w:eastAsia="ja-JP"/>
              </w:rPr>
            </w:pPr>
            <w:r w:rsidRPr="003C0798">
              <w:rPr>
                <w:rFonts w:eastAsia="SimSun"/>
                <w:color w:val="003366"/>
                <w:sz w:val="18"/>
                <w:szCs w:val="18"/>
                <w:lang w:eastAsia="ja-JP"/>
              </w:rPr>
              <w:t>●</w:t>
            </w:r>
          </w:p>
        </w:tc>
        <w:tc>
          <w:tcPr>
            <w:tcW w:w="9892" w:type="dxa"/>
          </w:tcPr>
          <w:p w:rsidR="0080270C" w:rsidRPr="003C0798" w:rsidRDefault="00FC1FDC" w:rsidP="00883FE3">
            <w:pPr>
              <w:pStyle w:val="Normal30"/>
              <w:spacing w:line="288" w:lineRule="auto"/>
              <w:ind w:right="98"/>
              <w:contextualSpacing/>
              <w:rPr>
                <w:sz w:val="18"/>
                <w:szCs w:val="18"/>
                <w:lang w:val="en-US" w:bidi="he-IL"/>
              </w:rPr>
            </w:pPr>
            <w:r>
              <w:rPr>
                <w:sz w:val="18"/>
                <w:szCs w:val="18"/>
                <w:lang w:val="en-US" w:bidi="he-IL"/>
              </w:rPr>
              <w:t>Reflecting challenging market conditions and ongoing margin pressure, a</w:t>
            </w:r>
            <w:r w:rsidRPr="003C0798">
              <w:rPr>
                <w:sz w:val="18"/>
                <w:szCs w:val="18"/>
                <w:lang w:val="en-US" w:bidi="he-IL"/>
              </w:rPr>
              <w:t>cross the retail and commercial busi</w:t>
            </w:r>
            <w:r>
              <w:rPr>
                <w:sz w:val="18"/>
                <w:szCs w:val="18"/>
                <w:lang w:val="en-US" w:bidi="he-IL"/>
              </w:rPr>
              <w:t xml:space="preserve">nesses income, excluding notable items, decreased </w:t>
            </w:r>
            <w:r w:rsidRPr="00DD1A53">
              <w:rPr>
                <w:sz w:val="18"/>
                <w:szCs w:val="18"/>
                <w:lang w:val="en-US" w:bidi="he-IL"/>
              </w:rPr>
              <w:t>by 2.6%</w:t>
            </w:r>
            <w:r w:rsidRPr="003C0798">
              <w:rPr>
                <w:sz w:val="18"/>
                <w:szCs w:val="18"/>
                <w:lang w:val="en-US" w:bidi="he-IL"/>
              </w:rPr>
              <w:t xml:space="preserve"> compared with 2018.</w:t>
            </w:r>
          </w:p>
        </w:tc>
      </w:tr>
      <w:tr w:rsidR="0064628A" w:rsidTr="0080270C">
        <w:tc>
          <w:tcPr>
            <w:tcW w:w="314" w:type="dxa"/>
          </w:tcPr>
          <w:p w:rsidR="0080270C" w:rsidRPr="003C0798" w:rsidRDefault="00FC1FDC" w:rsidP="000B5841">
            <w:pPr>
              <w:pStyle w:val="Normal30"/>
              <w:spacing w:line="288" w:lineRule="auto"/>
              <w:ind w:right="98"/>
              <w:jc w:val="both"/>
              <w:rPr>
                <w:rFonts w:eastAsia="SimSun"/>
                <w:color w:val="003366"/>
                <w:sz w:val="18"/>
                <w:szCs w:val="18"/>
                <w:lang w:eastAsia="ja-JP"/>
              </w:rPr>
            </w:pPr>
            <w:r w:rsidRPr="003C0798">
              <w:rPr>
                <w:rFonts w:eastAsia="SimSun"/>
                <w:color w:val="003366"/>
                <w:sz w:val="18"/>
                <w:szCs w:val="18"/>
                <w:lang w:eastAsia="ja-JP"/>
              </w:rPr>
              <w:t>●</w:t>
            </w:r>
          </w:p>
        </w:tc>
        <w:tc>
          <w:tcPr>
            <w:tcW w:w="9892" w:type="dxa"/>
          </w:tcPr>
          <w:p w:rsidR="0080270C" w:rsidRPr="003C0798" w:rsidRDefault="00FC1FDC" w:rsidP="00883FE3">
            <w:pPr>
              <w:pStyle w:val="Normal30"/>
              <w:spacing w:line="288" w:lineRule="auto"/>
              <w:ind w:right="98"/>
              <w:contextualSpacing/>
              <w:rPr>
                <w:rFonts w:eastAsia="Calibri"/>
                <w:sz w:val="18"/>
                <w:szCs w:val="18"/>
                <w:lang w:val="en-US" w:eastAsia="en-US" w:bidi="he-IL"/>
              </w:rPr>
            </w:pPr>
            <w:r w:rsidRPr="003C0798">
              <w:rPr>
                <w:rFonts w:eastAsia="Calibri"/>
                <w:sz w:val="18"/>
                <w:szCs w:val="18"/>
                <w:lang w:val="en-US" w:eastAsia="en-US" w:bidi="he-IL"/>
              </w:rPr>
              <w:t>2019 Ban</w:t>
            </w:r>
            <w:r>
              <w:rPr>
                <w:rFonts w:eastAsia="Calibri"/>
                <w:sz w:val="18"/>
                <w:szCs w:val="18"/>
                <w:lang w:val="en-US" w:eastAsia="en-US" w:bidi="he-IL"/>
              </w:rPr>
              <w:t>k net interest margin (NIM) of 1.99% decreased by 10</w:t>
            </w:r>
            <w:r w:rsidRPr="003C0798">
              <w:rPr>
                <w:rFonts w:eastAsia="Calibri"/>
                <w:sz w:val="18"/>
                <w:szCs w:val="18"/>
                <w:lang w:val="en-US" w:eastAsia="en-US" w:bidi="he-IL"/>
              </w:rPr>
              <w:t xml:space="preserve"> basis points compared</w:t>
            </w:r>
            <w:r>
              <w:rPr>
                <w:rFonts w:eastAsia="Calibri"/>
                <w:sz w:val="18"/>
                <w:szCs w:val="18"/>
                <w:lang w:val="en-US" w:eastAsia="en-US" w:bidi="he-IL"/>
              </w:rPr>
              <w:t xml:space="preserve"> with 2018. Q4 2019 Bank NIM of 1.93</w:t>
            </w:r>
            <w:r w:rsidRPr="003C0798">
              <w:rPr>
                <w:rFonts w:eastAsia="Calibri"/>
                <w:sz w:val="18"/>
                <w:szCs w:val="18"/>
                <w:lang w:val="en-US" w:eastAsia="en-US" w:bidi="he-IL"/>
              </w:rPr>
              <w:t>%</w:t>
            </w:r>
            <w:r>
              <w:rPr>
                <w:rFonts w:eastAsia="Calibri"/>
                <w:sz w:val="18"/>
                <w:szCs w:val="18"/>
                <w:lang w:val="en-US" w:eastAsia="en-US" w:bidi="he-IL"/>
              </w:rPr>
              <w:t xml:space="preserve"> was 4</w:t>
            </w:r>
            <w:r w:rsidRPr="003C0798">
              <w:rPr>
                <w:rFonts w:eastAsia="Calibri"/>
                <w:sz w:val="18"/>
                <w:szCs w:val="18"/>
                <w:lang w:val="en-US" w:eastAsia="en-US" w:bidi="he-IL"/>
              </w:rPr>
              <w:t xml:space="preserve"> basis points</w:t>
            </w:r>
            <w:r>
              <w:rPr>
                <w:rFonts w:eastAsia="Calibri"/>
                <w:sz w:val="18"/>
                <w:szCs w:val="18"/>
                <w:lang w:val="en-US" w:eastAsia="en-US" w:bidi="he-IL"/>
              </w:rPr>
              <w:t xml:space="preserve"> lower than Q3 2019 </w:t>
            </w:r>
            <w:r w:rsidRPr="003C0798">
              <w:rPr>
                <w:rFonts w:eastAsia="Calibri"/>
                <w:sz w:val="18"/>
                <w:szCs w:val="18"/>
                <w:lang w:val="en-US" w:eastAsia="en-US" w:bidi="he-IL"/>
              </w:rPr>
              <w:t>primarily reflecting competitive pressures in the mortgage business as front book margins remain lower than back book.</w:t>
            </w:r>
          </w:p>
        </w:tc>
      </w:tr>
      <w:tr w:rsidR="0064628A" w:rsidTr="0080270C">
        <w:tc>
          <w:tcPr>
            <w:tcW w:w="314" w:type="dxa"/>
          </w:tcPr>
          <w:p w:rsidR="0080270C" w:rsidRPr="003C0798" w:rsidRDefault="00FC1FDC" w:rsidP="000B5841">
            <w:pPr>
              <w:pStyle w:val="Normal30"/>
              <w:spacing w:line="288" w:lineRule="auto"/>
              <w:ind w:right="98"/>
              <w:jc w:val="both"/>
              <w:rPr>
                <w:rFonts w:eastAsia="SimSun"/>
                <w:color w:val="003366"/>
                <w:sz w:val="18"/>
                <w:szCs w:val="18"/>
                <w:lang w:eastAsia="ja-JP"/>
              </w:rPr>
            </w:pPr>
            <w:r w:rsidRPr="003C0798">
              <w:rPr>
                <w:rFonts w:eastAsia="SimSun"/>
                <w:color w:val="003366"/>
                <w:sz w:val="18"/>
                <w:szCs w:val="18"/>
                <w:lang w:eastAsia="ja-JP"/>
              </w:rPr>
              <w:t>●</w:t>
            </w:r>
          </w:p>
        </w:tc>
        <w:tc>
          <w:tcPr>
            <w:tcW w:w="9892" w:type="dxa"/>
          </w:tcPr>
          <w:p w:rsidR="0080270C" w:rsidRPr="003C0798" w:rsidRDefault="00FC1FDC" w:rsidP="00B917A6">
            <w:pPr>
              <w:pStyle w:val="Normal30"/>
              <w:spacing w:line="288" w:lineRule="auto"/>
              <w:ind w:right="98"/>
              <w:contextualSpacing/>
              <w:rPr>
                <w:rFonts w:eastAsia="Calibri"/>
                <w:sz w:val="18"/>
                <w:szCs w:val="18"/>
                <w:lang w:val="en-US" w:eastAsia="en-US" w:bidi="he-IL"/>
              </w:rPr>
            </w:pPr>
            <w:r w:rsidRPr="003C0798">
              <w:rPr>
                <w:rFonts w:eastAsia="Calibri"/>
                <w:sz w:val="18"/>
                <w:szCs w:val="18"/>
                <w:lang w:val="en-US" w:eastAsia="en-US" w:bidi="he-IL"/>
              </w:rPr>
              <w:t>Natwest Markets</w:t>
            </w:r>
            <w:r>
              <w:rPr>
                <w:rFonts w:eastAsia="Calibri"/>
                <w:sz w:val="18"/>
                <w:szCs w:val="18"/>
                <w:lang w:val="en-US" w:eastAsia="en-US" w:bidi="he-IL"/>
              </w:rPr>
              <w:t xml:space="preserve"> core income of £</w:t>
            </w:r>
            <w:r w:rsidRPr="003C0798">
              <w:rPr>
                <w:rFonts w:eastAsia="Calibri"/>
                <w:sz w:val="18"/>
                <w:szCs w:val="18"/>
                <w:lang w:val="en-US" w:eastAsia="en-US" w:bidi="he-IL"/>
              </w:rPr>
              <w:t>1,0</w:t>
            </w:r>
            <w:r>
              <w:rPr>
                <w:rFonts w:eastAsia="Calibri"/>
                <w:sz w:val="18"/>
                <w:szCs w:val="18"/>
                <w:lang w:val="en-US" w:eastAsia="en-US" w:bidi="he-IL"/>
              </w:rPr>
              <w:t>82 million was £</w:t>
            </w:r>
            <w:r w:rsidRPr="003C0798">
              <w:rPr>
                <w:rFonts w:eastAsia="Calibri"/>
                <w:sz w:val="18"/>
                <w:szCs w:val="18"/>
                <w:lang w:val="en-US" w:eastAsia="en-US" w:bidi="he-IL"/>
              </w:rPr>
              <w:t>1</w:t>
            </w:r>
            <w:r>
              <w:rPr>
                <w:rFonts w:eastAsia="Calibri"/>
                <w:sz w:val="18"/>
                <w:szCs w:val="18"/>
                <w:lang w:val="en-US" w:eastAsia="en-US" w:bidi="he-IL"/>
              </w:rPr>
              <w:t>77 million, or 14.1</w:t>
            </w:r>
            <w:r w:rsidRPr="003C0798">
              <w:rPr>
                <w:rFonts w:eastAsia="Calibri"/>
                <w:sz w:val="18"/>
                <w:szCs w:val="18"/>
                <w:lang w:val="en-US" w:eastAsia="en-US" w:bidi="he-IL"/>
              </w:rPr>
              <w:t>%, lower than 2018 largely reflecting a challenging third quarter</w:t>
            </w:r>
            <w:r>
              <w:rPr>
                <w:rFonts w:eastAsia="Calibri"/>
                <w:sz w:val="18"/>
                <w:szCs w:val="18"/>
                <w:lang w:val="en-US" w:eastAsia="en-US" w:bidi="he-IL"/>
              </w:rPr>
              <w:t xml:space="preserve"> in</w:t>
            </w:r>
            <w:r w:rsidRPr="003C0798">
              <w:rPr>
                <w:rFonts w:eastAsia="Calibri"/>
                <w:sz w:val="18"/>
                <w:szCs w:val="18"/>
                <w:lang w:val="en-US" w:eastAsia="en-US" w:bidi="he-IL"/>
              </w:rPr>
              <w:t xml:space="preserve"> the Rates business.</w:t>
            </w:r>
          </w:p>
        </w:tc>
      </w:tr>
      <w:tr w:rsidR="0064628A" w:rsidTr="0080270C">
        <w:tc>
          <w:tcPr>
            <w:tcW w:w="314" w:type="dxa"/>
          </w:tcPr>
          <w:p w:rsidR="0080270C" w:rsidRPr="003C0798" w:rsidRDefault="00FC1FDC" w:rsidP="000B5841">
            <w:pPr>
              <w:pStyle w:val="Normal30"/>
              <w:spacing w:line="288" w:lineRule="auto"/>
              <w:ind w:right="98"/>
              <w:jc w:val="both"/>
              <w:rPr>
                <w:rFonts w:eastAsia="SimSun"/>
                <w:color w:val="003366"/>
                <w:sz w:val="18"/>
                <w:szCs w:val="18"/>
                <w:lang w:eastAsia="ja-JP"/>
              </w:rPr>
            </w:pPr>
            <w:r w:rsidRPr="003C0798">
              <w:rPr>
                <w:rFonts w:eastAsia="SimSun"/>
                <w:color w:val="003366"/>
                <w:sz w:val="18"/>
                <w:szCs w:val="18"/>
                <w:lang w:eastAsia="ja-JP"/>
              </w:rPr>
              <w:t>●</w:t>
            </w:r>
          </w:p>
        </w:tc>
        <w:tc>
          <w:tcPr>
            <w:tcW w:w="9892" w:type="dxa"/>
          </w:tcPr>
          <w:p w:rsidR="0080270C" w:rsidRPr="003C0798" w:rsidRDefault="00FC1FDC" w:rsidP="00883FE3">
            <w:pPr>
              <w:pStyle w:val="Normal30"/>
              <w:spacing w:line="288" w:lineRule="auto"/>
              <w:ind w:right="98"/>
              <w:contextualSpacing/>
              <w:rPr>
                <w:rFonts w:eastAsia="Calibri"/>
                <w:sz w:val="18"/>
                <w:szCs w:val="18"/>
                <w:lang w:val="en-US" w:eastAsia="en-US" w:bidi="he-IL"/>
              </w:rPr>
            </w:pPr>
            <w:r>
              <w:rPr>
                <w:sz w:val="18"/>
                <w:szCs w:val="18"/>
                <w:lang w:val="en-US" w:bidi="he-IL"/>
              </w:rPr>
              <w:t>A cost reduction of £310</w:t>
            </w:r>
            <w:r w:rsidRPr="003C0798">
              <w:rPr>
                <w:sz w:val="18"/>
                <w:szCs w:val="18"/>
                <w:lang w:val="en-US" w:bidi="he-IL"/>
              </w:rPr>
              <w:t xml:space="preserve"> million was achieved during 2019, </w:t>
            </w:r>
            <w:r>
              <w:rPr>
                <w:sz w:val="18"/>
                <w:szCs w:val="18"/>
                <w:lang w:val="en-US" w:bidi="he-IL"/>
              </w:rPr>
              <w:t>ahead of</w:t>
            </w:r>
            <w:r w:rsidRPr="003C0798">
              <w:rPr>
                <w:sz w:val="18"/>
                <w:szCs w:val="18"/>
                <w:lang w:val="en-US" w:bidi="he-IL"/>
              </w:rPr>
              <w:t xml:space="preserve"> our £300 million target for the year.</w:t>
            </w:r>
          </w:p>
        </w:tc>
      </w:tr>
    </w:tbl>
    <w:p w:rsidR="001B061F" w:rsidRDefault="001B061F" w:rsidP="000B5841">
      <w:pPr>
        <w:pStyle w:val="Normal30"/>
        <w:spacing w:line="288" w:lineRule="auto"/>
        <w:rPr>
          <w:sz w:val="18"/>
          <w:szCs w:val="18"/>
        </w:rPr>
      </w:pPr>
    </w:p>
    <w:p w:rsidR="001A451A" w:rsidRPr="003C0798" w:rsidRDefault="001A451A" w:rsidP="000B5841">
      <w:pPr>
        <w:pStyle w:val="Normal30"/>
        <w:spacing w:line="288" w:lineRule="auto"/>
        <w:rPr>
          <w:sz w:val="18"/>
          <w:szCs w:val="18"/>
        </w:rPr>
      </w:pPr>
    </w:p>
    <w:p w:rsidR="001B061F" w:rsidRPr="00DD3335" w:rsidRDefault="00FC1FDC" w:rsidP="00DD3335">
      <w:pPr>
        <w:pStyle w:val="Normal30"/>
        <w:spacing w:line="288" w:lineRule="auto"/>
        <w:ind w:right="98"/>
        <w:rPr>
          <w:rFonts w:eastAsia="Calibri"/>
          <w:b/>
          <w:color w:val="1F497D"/>
          <w:sz w:val="18"/>
          <w:szCs w:val="18"/>
        </w:rPr>
      </w:pPr>
      <w:r w:rsidRPr="003C0798">
        <w:rPr>
          <w:rFonts w:eastAsia="Calibri"/>
          <w:b/>
          <w:color w:val="1F497D"/>
          <w:sz w:val="18"/>
          <w:szCs w:val="18"/>
        </w:rPr>
        <w:t xml:space="preserve">Capital generation </w:t>
      </w:r>
    </w:p>
    <w:tbl>
      <w:tblPr>
        <w:tblW w:w="10206" w:type="dxa"/>
        <w:tblCellMar>
          <w:left w:w="0" w:type="dxa"/>
          <w:right w:w="0" w:type="dxa"/>
        </w:tblCellMar>
        <w:tblLook w:val="01E0" w:firstRow="1" w:lastRow="1" w:firstColumn="1" w:lastColumn="1" w:noHBand="0" w:noVBand="0"/>
      </w:tblPr>
      <w:tblGrid>
        <w:gridCol w:w="281"/>
        <w:gridCol w:w="9925"/>
      </w:tblGrid>
      <w:tr w:rsidR="0064628A" w:rsidTr="0080270C">
        <w:tc>
          <w:tcPr>
            <w:tcW w:w="281" w:type="dxa"/>
          </w:tcPr>
          <w:p w:rsidR="0080270C" w:rsidRPr="003C0798" w:rsidRDefault="00FC1FDC" w:rsidP="000B5841">
            <w:pPr>
              <w:pStyle w:val="Normal30"/>
              <w:spacing w:line="288" w:lineRule="auto"/>
              <w:ind w:right="98"/>
              <w:jc w:val="both"/>
              <w:rPr>
                <w:rFonts w:eastAsia="SimSun"/>
                <w:color w:val="003366"/>
                <w:sz w:val="18"/>
                <w:szCs w:val="18"/>
                <w:lang w:eastAsia="ja-JP"/>
              </w:rPr>
            </w:pPr>
            <w:r w:rsidRPr="003C0798">
              <w:rPr>
                <w:rFonts w:eastAsia="SimSun"/>
                <w:color w:val="003366"/>
                <w:sz w:val="18"/>
                <w:szCs w:val="18"/>
                <w:lang w:eastAsia="ja-JP"/>
              </w:rPr>
              <w:t>●</w:t>
            </w:r>
          </w:p>
        </w:tc>
        <w:tc>
          <w:tcPr>
            <w:tcW w:w="9925" w:type="dxa"/>
          </w:tcPr>
          <w:p w:rsidR="0080270C" w:rsidRPr="00F17393" w:rsidRDefault="00FC1FDC" w:rsidP="00883FE3">
            <w:pPr>
              <w:rPr>
                <w:rFonts w:eastAsia="Calibri" w:cs="Arial"/>
                <w:sz w:val="18"/>
                <w:szCs w:val="18"/>
                <w:lang w:val="en-US" w:bidi="he-IL"/>
              </w:rPr>
            </w:pPr>
            <w:r w:rsidRPr="00F17393">
              <w:rPr>
                <w:rFonts w:eastAsia="Calibri" w:cs="Arial"/>
                <w:sz w:val="18"/>
                <w:szCs w:val="18"/>
                <w:lang w:val="en-US" w:bidi="he-IL"/>
              </w:rPr>
              <w:t>The Bank main</w:t>
            </w:r>
            <w:r>
              <w:rPr>
                <w:rFonts w:eastAsia="Calibri" w:cs="Arial"/>
                <w:sz w:val="18"/>
                <w:szCs w:val="18"/>
                <w:lang w:val="en-US" w:bidi="he-IL"/>
              </w:rPr>
              <w:t>tained a CET1 ratio of 16.2%</w:t>
            </w:r>
            <w:r w:rsidRPr="00F17393">
              <w:rPr>
                <w:rFonts w:eastAsia="Calibri" w:cs="Arial"/>
                <w:sz w:val="18"/>
                <w:szCs w:val="18"/>
                <w:lang w:val="en-US" w:bidi="he-IL"/>
              </w:rPr>
              <w:t xml:space="preserve"> </w:t>
            </w:r>
            <w:r>
              <w:rPr>
                <w:rFonts w:eastAsia="Calibri" w:cs="Arial"/>
                <w:sz w:val="18"/>
                <w:szCs w:val="18"/>
                <w:lang w:val="en-US" w:bidi="he-IL"/>
              </w:rPr>
              <w:t xml:space="preserve">despite </w:t>
            </w:r>
            <w:r w:rsidRPr="00F17393">
              <w:rPr>
                <w:rFonts w:eastAsia="Calibri" w:cs="Arial"/>
                <w:sz w:val="18"/>
                <w:szCs w:val="18"/>
                <w:lang w:val="en-US" w:bidi="he-IL"/>
              </w:rPr>
              <w:t xml:space="preserve">accruing £2.7 billion of distributions to shareholders and a £0.4 billion </w:t>
            </w:r>
            <w:r>
              <w:rPr>
                <w:rFonts w:eastAsia="Calibri" w:cs="Arial"/>
                <w:sz w:val="18"/>
                <w:szCs w:val="18"/>
                <w:lang w:val="en-US" w:bidi="he-IL"/>
              </w:rPr>
              <w:t xml:space="preserve">post tax </w:t>
            </w:r>
            <w:r w:rsidRPr="00F17393">
              <w:rPr>
                <w:rFonts w:eastAsia="Calibri" w:cs="Arial"/>
                <w:sz w:val="18"/>
                <w:szCs w:val="18"/>
                <w:lang w:val="en-US" w:bidi="he-IL"/>
              </w:rPr>
              <w:t>charge in respect of foreseeable pension contributions. Excluding the impact of the Alawwal bank merger a</w:t>
            </w:r>
            <w:r>
              <w:rPr>
                <w:rFonts w:eastAsia="Calibri" w:cs="Arial"/>
                <w:sz w:val="18"/>
                <w:szCs w:val="18"/>
                <w:lang w:val="en-US" w:bidi="he-IL"/>
              </w:rPr>
              <w:t>nd PPI, the Bank generated c.110</w:t>
            </w:r>
            <w:r w:rsidRPr="00F17393">
              <w:rPr>
                <w:rFonts w:eastAsia="Calibri" w:cs="Arial"/>
                <w:sz w:val="18"/>
                <w:szCs w:val="18"/>
                <w:lang w:val="en-US" w:bidi="he-IL"/>
              </w:rPr>
              <w:t xml:space="preserve"> basis points of capital from attributable profits and c.60 basis points from a reduction in RWAs and other capital movements.</w:t>
            </w:r>
          </w:p>
        </w:tc>
      </w:tr>
      <w:tr w:rsidR="0064628A" w:rsidTr="00106413">
        <w:trPr>
          <w:trHeight w:val="585"/>
        </w:trPr>
        <w:tc>
          <w:tcPr>
            <w:tcW w:w="281" w:type="dxa"/>
          </w:tcPr>
          <w:p w:rsidR="0080270C" w:rsidRPr="003C0798" w:rsidRDefault="00FC1FDC" w:rsidP="000B5841">
            <w:pPr>
              <w:pStyle w:val="Normal30"/>
              <w:spacing w:line="288" w:lineRule="auto"/>
              <w:ind w:right="98"/>
              <w:jc w:val="both"/>
              <w:rPr>
                <w:rFonts w:eastAsia="SimSun"/>
                <w:color w:val="003366"/>
                <w:sz w:val="18"/>
                <w:szCs w:val="18"/>
                <w:lang w:eastAsia="ja-JP"/>
              </w:rPr>
            </w:pPr>
            <w:r w:rsidRPr="003C0798">
              <w:rPr>
                <w:rFonts w:eastAsia="SimSun"/>
                <w:color w:val="003366"/>
                <w:sz w:val="18"/>
                <w:szCs w:val="18"/>
                <w:lang w:eastAsia="ja-JP"/>
              </w:rPr>
              <w:t>●</w:t>
            </w:r>
          </w:p>
        </w:tc>
        <w:tc>
          <w:tcPr>
            <w:tcW w:w="9925" w:type="dxa"/>
          </w:tcPr>
          <w:p w:rsidR="00106413" w:rsidRDefault="00FC1FDC" w:rsidP="00883FE3">
            <w:pPr>
              <w:pStyle w:val="Normal30"/>
              <w:spacing w:line="288" w:lineRule="auto"/>
              <w:ind w:right="98"/>
              <w:contextualSpacing/>
              <w:rPr>
                <w:rFonts w:eastAsia="Calibri"/>
                <w:color w:val="000000"/>
                <w:sz w:val="18"/>
                <w:szCs w:val="18"/>
                <w:lang w:val="en-US" w:eastAsia="en-US" w:bidi="he-IL"/>
              </w:rPr>
            </w:pPr>
            <w:r>
              <w:rPr>
                <w:rFonts w:eastAsia="Calibri"/>
                <w:color w:val="000000"/>
                <w:sz w:val="18"/>
                <w:szCs w:val="18"/>
                <w:lang w:val="en-US" w:eastAsia="en-US" w:bidi="he-IL"/>
              </w:rPr>
              <w:t>RWAs reduced by £9.5 billion during 2019 to £179</w:t>
            </w:r>
            <w:r w:rsidRPr="003C0798">
              <w:rPr>
                <w:rFonts w:eastAsia="Calibri"/>
                <w:color w:val="000000"/>
                <w:sz w:val="18"/>
                <w:szCs w:val="18"/>
                <w:lang w:val="en-US" w:eastAsia="en-US" w:bidi="he-IL"/>
              </w:rPr>
              <w:t>.</w:t>
            </w:r>
            <w:r>
              <w:rPr>
                <w:rFonts w:eastAsia="Calibri"/>
                <w:color w:val="000000"/>
                <w:sz w:val="18"/>
                <w:szCs w:val="18"/>
                <w:lang w:val="en-US" w:eastAsia="en-US" w:bidi="he-IL"/>
              </w:rPr>
              <w:t>2</w:t>
            </w:r>
            <w:r w:rsidRPr="003C0798">
              <w:rPr>
                <w:rFonts w:eastAsia="Calibri"/>
                <w:color w:val="000000"/>
                <w:sz w:val="18"/>
                <w:szCs w:val="18"/>
                <w:lang w:val="en-US" w:eastAsia="en-US" w:bidi="he-IL"/>
              </w:rPr>
              <w:t xml:space="preserve"> billion, below our £185 -190 billion guidance</w:t>
            </w:r>
            <w:r>
              <w:rPr>
                <w:rFonts w:eastAsia="Calibri"/>
                <w:color w:val="000000"/>
                <w:sz w:val="18"/>
                <w:szCs w:val="18"/>
                <w:lang w:val="en-US" w:eastAsia="en-US" w:bidi="he-IL"/>
              </w:rPr>
              <w:t>, in part reflecting a £4.7 billion reduction associated with the Alawwal bank merger</w:t>
            </w:r>
            <w:r w:rsidRPr="003C0798">
              <w:rPr>
                <w:rFonts w:eastAsia="Calibri"/>
                <w:color w:val="000000"/>
                <w:sz w:val="18"/>
                <w:szCs w:val="18"/>
                <w:lang w:val="en-US" w:eastAsia="en-US" w:bidi="he-IL"/>
              </w:rPr>
              <w:t xml:space="preserve">. </w:t>
            </w:r>
          </w:p>
          <w:p w:rsidR="00106413" w:rsidRPr="003C0798" w:rsidRDefault="00106413" w:rsidP="00883FE3">
            <w:pPr>
              <w:pStyle w:val="Normal30"/>
              <w:spacing w:line="288" w:lineRule="auto"/>
              <w:ind w:right="98"/>
              <w:contextualSpacing/>
              <w:rPr>
                <w:rFonts w:eastAsia="Calibri"/>
                <w:color w:val="000000"/>
                <w:sz w:val="18"/>
                <w:szCs w:val="18"/>
                <w:lang w:val="en-US" w:eastAsia="en-US" w:bidi="he-IL"/>
              </w:rPr>
            </w:pPr>
          </w:p>
        </w:tc>
      </w:tr>
    </w:tbl>
    <w:p w:rsidR="00106413" w:rsidRDefault="00FC1FDC" w:rsidP="00106413">
      <w:pPr>
        <w:rPr>
          <w:rFonts w:eastAsia="Calibri" w:cs="Arial"/>
          <w:b/>
          <w:color w:val="1F497D"/>
          <w:sz w:val="18"/>
          <w:szCs w:val="18"/>
          <w:lang w:eastAsia="en-GB"/>
        </w:rPr>
      </w:pPr>
      <w:r>
        <w:rPr>
          <w:rFonts w:eastAsia="Calibri" w:cs="Arial"/>
          <w:b/>
          <w:color w:val="1F497D"/>
          <w:sz w:val="18"/>
          <w:szCs w:val="18"/>
          <w:lang w:eastAsia="en-GB"/>
        </w:rPr>
        <w:t>Parent Company name change</w:t>
      </w:r>
    </w:p>
    <w:p w:rsidR="00106413" w:rsidRDefault="00FC1FDC" w:rsidP="00106413">
      <w:pPr>
        <w:rPr>
          <w:rFonts w:cs="Arial"/>
          <w:sz w:val="18"/>
          <w:szCs w:val="18"/>
        </w:rPr>
      </w:pPr>
      <w:r>
        <w:rPr>
          <w:rFonts w:cs="Arial"/>
          <w:sz w:val="18"/>
          <w:szCs w:val="18"/>
        </w:rPr>
        <w:t>Today, we have announced that we plan to rename our parent company. The Royal Bank of Scotland Group plc is intended to be renamed NatWest Group plc later this year.</w:t>
      </w:r>
    </w:p>
    <w:p w:rsidR="00DD3335" w:rsidRDefault="00DD3335" w:rsidP="000B5841">
      <w:pPr>
        <w:spacing w:line="288" w:lineRule="auto"/>
      </w:pPr>
    </w:p>
    <w:p w:rsidR="001B061F" w:rsidRDefault="00FC1FDC" w:rsidP="000B5841">
      <w:pPr>
        <w:spacing w:line="288" w:lineRule="auto"/>
      </w:pPr>
      <w:r>
        <w:br w:type="page"/>
      </w:r>
    </w:p>
    <w:p w:rsidR="001B061F" w:rsidRPr="00F50F25" w:rsidRDefault="00FC1FDC" w:rsidP="0066629A">
      <w:pPr>
        <w:pStyle w:val="Normal1"/>
        <w:spacing w:line="259" w:lineRule="auto"/>
        <w:jc w:val="both"/>
        <w:rPr>
          <w:rFonts w:ascii="Arial" w:eastAsia="SimSun" w:hAnsi="Arial" w:cs="Arial"/>
          <w:b/>
          <w:color w:val="003366"/>
          <w:sz w:val="18"/>
          <w:szCs w:val="18"/>
          <w:vertAlign w:val="superscript"/>
          <w:lang w:eastAsia="zh-CN"/>
        </w:rPr>
      </w:pPr>
      <w:bookmarkStart w:id="1" w:name="RBSGCA_Outlook"/>
      <w:r w:rsidRPr="004E296B">
        <w:rPr>
          <w:rFonts w:ascii="Arial" w:eastAsia="SimSun" w:hAnsi="Arial" w:cs="Arial"/>
          <w:b/>
          <w:color w:val="003366"/>
          <w:sz w:val="18"/>
          <w:szCs w:val="18"/>
          <w:lang w:eastAsia="zh-CN"/>
        </w:rPr>
        <w:lastRenderedPageBreak/>
        <w:t>Outlook</w:t>
      </w:r>
      <w:bookmarkEnd w:id="1"/>
      <w:r w:rsidRPr="004E296B">
        <w:rPr>
          <w:rFonts w:ascii="Arial" w:eastAsia="SimSun" w:hAnsi="Arial" w:cs="Arial"/>
          <w:b/>
          <w:color w:val="003366"/>
          <w:sz w:val="18"/>
          <w:szCs w:val="18"/>
          <w:vertAlign w:val="superscript"/>
          <w:lang w:eastAsia="zh-CN"/>
        </w:rPr>
        <w:t>(1)</w:t>
      </w:r>
    </w:p>
    <w:p w:rsidR="0066629A" w:rsidRPr="0066629A" w:rsidRDefault="00FC1FDC" w:rsidP="0066629A">
      <w:pPr>
        <w:spacing w:line="259" w:lineRule="auto"/>
        <w:rPr>
          <w:rFonts w:cs="Arial"/>
          <w:sz w:val="18"/>
          <w:szCs w:val="18"/>
        </w:rPr>
      </w:pPr>
      <w:r w:rsidRPr="0066629A">
        <w:rPr>
          <w:rFonts w:cs="Arial"/>
          <w:sz w:val="18"/>
          <w:szCs w:val="18"/>
        </w:rPr>
        <w:t xml:space="preserve">RBS, like all companies, continues to deal with a range of significant risks and uncertainties in the external economic, political and regulatory environment. Our central economic forecast, which supports our corporate plan, is in line with consensus as at the end of December 2019 and shows average UK GDP growth of around 1.6% from 2019 to 2023 and continued low interest rates; we expect a base rate cut in the short term and then flat thereafter. Given the current uncertainties we will continue to actively monitor and react to market conditions. </w:t>
      </w:r>
    </w:p>
    <w:p w:rsidR="0066629A" w:rsidRPr="0066629A" w:rsidRDefault="0066629A" w:rsidP="0066629A">
      <w:pPr>
        <w:spacing w:line="259" w:lineRule="auto"/>
        <w:rPr>
          <w:rFonts w:cs="Arial"/>
          <w:sz w:val="18"/>
          <w:szCs w:val="18"/>
        </w:rPr>
      </w:pPr>
    </w:p>
    <w:p w:rsidR="0066629A" w:rsidRPr="0066629A" w:rsidRDefault="00FC1FDC" w:rsidP="0066629A">
      <w:pPr>
        <w:spacing w:line="259" w:lineRule="auto"/>
        <w:rPr>
          <w:rFonts w:cs="Arial"/>
          <w:color w:val="002060"/>
          <w:sz w:val="18"/>
          <w:szCs w:val="18"/>
        </w:rPr>
      </w:pPr>
      <w:r w:rsidRPr="0066629A">
        <w:rPr>
          <w:rFonts w:cs="Arial"/>
          <w:color w:val="002060"/>
          <w:sz w:val="18"/>
          <w:szCs w:val="18"/>
        </w:rPr>
        <w:t>2020 Outlook</w:t>
      </w:r>
    </w:p>
    <w:p w:rsidR="0066629A" w:rsidRPr="0066629A" w:rsidRDefault="00FC1FDC" w:rsidP="0066629A">
      <w:pPr>
        <w:spacing w:line="259" w:lineRule="auto"/>
        <w:rPr>
          <w:rFonts w:cs="Arial"/>
          <w:sz w:val="18"/>
          <w:szCs w:val="18"/>
        </w:rPr>
      </w:pPr>
      <w:r w:rsidRPr="0066629A">
        <w:rPr>
          <w:rFonts w:cs="Arial"/>
          <w:sz w:val="18"/>
          <w:szCs w:val="18"/>
        </w:rPr>
        <w:t>In the current environment, and recognising ongoing market uncertainty, we continue to expect challenges on income. In addition, we anticipate that regulatory changes will adversely impact income in our personal business by around £200 million.</w:t>
      </w:r>
    </w:p>
    <w:p w:rsidR="0066629A" w:rsidRPr="0066629A" w:rsidRDefault="0066629A" w:rsidP="0066629A">
      <w:pPr>
        <w:spacing w:line="259" w:lineRule="auto"/>
        <w:rPr>
          <w:rFonts w:cs="Arial"/>
          <w:sz w:val="18"/>
          <w:szCs w:val="18"/>
        </w:rPr>
      </w:pPr>
    </w:p>
    <w:p w:rsidR="0066629A" w:rsidRPr="0066629A" w:rsidRDefault="00FC1FDC" w:rsidP="0066629A">
      <w:pPr>
        <w:spacing w:line="259" w:lineRule="auto"/>
        <w:rPr>
          <w:rFonts w:cs="Arial"/>
          <w:sz w:val="18"/>
          <w:szCs w:val="18"/>
        </w:rPr>
      </w:pPr>
      <w:r w:rsidRPr="0066629A">
        <w:rPr>
          <w:rFonts w:cs="Arial"/>
          <w:sz w:val="18"/>
          <w:szCs w:val="18"/>
        </w:rPr>
        <w:t>We plan ongoing operating cost take out by reducing operating expenses excluding strategic costs, litigation and conduct costs and operating lease depreciation costs by £250 million in 2020 compared with 2019. We expect to incur £0.8-1.0 billion of strategic costs during 2020 resulting from a refocussing of NatWest Markets and the continued resizing of the Group’s cost base. We anticipate that NatWest Markets exit, restructuring and disposal costs will be around £0.6 billion in 2020, with around £0.4 billion as disposal losses through income and £0.2 billion through strategic costs.</w:t>
      </w:r>
    </w:p>
    <w:p w:rsidR="0066629A" w:rsidRPr="0066629A" w:rsidRDefault="0066629A" w:rsidP="0066629A">
      <w:pPr>
        <w:spacing w:line="259" w:lineRule="auto"/>
        <w:rPr>
          <w:rFonts w:cs="Arial"/>
          <w:sz w:val="18"/>
          <w:szCs w:val="18"/>
        </w:rPr>
      </w:pPr>
    </w:p>
    <w:p w:rsidR="0066629A" w:rsidRPr="0066629A" w:rsidRDefault="00FC1FDC" w:rsidP="0066629A">
      <w:pPr>
        <w:spacing w:line="259" w:lineRule="auto"/>
        <w:rPr>
          <w:rFonts w:cs="Arial"/>
          <w:sz w:val="18"/>
          <w:szCs w:val="18"/>
        </w:rPr>
      </w:pPr>
      <w:r w:rsidRPr="0066629A">
        <w:rPr>
          <w:rFonts w:cs="Arial"/>
          <w:sz w:val="18"/>
          <w:szCs w:val="18"/>
        </w:rPr>
        <w:t>We expect to remain below our through-the-cycle impairment loss rate assumption of 30-40 basis points, although the potential impact on the real economy of ongoing political uncertainties and geopolitical tensions could affect our credit loss outcome. The threat from single name and sector driven events remains.</w:t>
      </w:r>
    </w:p>
    <w:p w:rsidR="0066629A" w:rsidRPr="0066629A" w:rsidRDefault="0066629A" w:rsidP="0066629A">
      <w:pPr>
        <w:spacing w:line="259" w:lineRule="auto"/>
        <w:rPr>
          <w:rFonts w:cs="Arial"/>
          <w:sz w:val="18"/>
          <w:szCs w:val="18"/>
        </w:rPr>
      </w:pPr>
    </w:p>
    <w:p w:rsidR="0066629A" w:rsidRPr="0066629A" w:rsidRDefault="00FC1FDC" w:rsidP="0066629A">
      <w:pPr>
        <w:spacing w:line="259" w:lineRule="auto"/>
        <w:rPr>
          <w:rFonts w:cs="Arial"/>
          <w:sz w:val="18"/>
          <w:szCs w:val="18"/>
        </w:rPr>
      </w:pPr>
      <w:r w:rsidRPr="0066629A">
        <w:rPr>
          <w:rFonts w:cs="Arial"/>
          <w:sz w:val="18"/>
          <w:szCs w:val="18"/>
        </w:rPr>
        <w:t>We are targeting lending growth of greater than 3% across our retail and commercial franchises.</w:t>
      </w:r>
    </w:p>
    <w:p w:rsidR="0066629A" w:rsidRPr="0066629A" w:rsidRDefault="0066629A" w:rsidP="0066629A">
      <w:pPr>
        <w:spacing w:line="259" w:lineRule="auto"/>
        <w:rPr>
          <w:rFonts w:cs="Arial"/>
          <w:sz w:val="18"/>
          <w:szCs w:val="18"/>
        </w:rPr>
      </w:pPr>
    </w:p>
    <w:p w:rsidR="0066629A" w:rsidRPr="0066629A" w:rsidRDefault="00FC1FDC" w:rsidP="0066629A">
      <w:pPr>
        <w:spacing w:line="259" w:lineRule="auto"/>
        <w:rPr>
          <w:rFonts w:cs="Arial"/>
          <w:sz w:val="18"/>
          <w:szCs w:val="18"/>
        </w:rPr>
      </w:pPr>
      <w:r w:rsidRPr="0066629A">
        <w:rPr>
          <w:rFonts w:cs="Arial"/>
          <w:sz w:val="18"/>
          <w:szCs w:val="18"/>
        </w:rPr>
        <w:t>We expect to end 2020 with risk weighted assets (RWAs) of around £185-190 billion including an estimated £10.5 billion increase associated with the implementation of Bank of England mortgage floors, with NatWest Markets RWAs reducing by around £6-8 billion in the year.</w:t>
      </w:r>
    </w:p>
    <w:p w:rsidR="0066629A" w:rsidRPr="0066629A" w:rsidRDefault="0066629A" w:rsidP="0066629A">
      <w:pPr>
        <w:spacing w:line="259" w:lineRule="auto"/>
        <w:rPr>
          <w:rFonts w:cs="Arial"/>
          <w:sz w:val="18"/>
          <w:szCs w:val="18"/>
        </w:rPr>
      </w:pPr>
      <w:bookmarkStart w:id="2" w:name="_Hlk31037713"/>
    </w:p>
    <w:p w:rsidR="0066629A" w:rsidRPr="0066629A" w:rsidRDefault="00FC1FDC" w:rsidP="0066629A">
      <w:pPr>
        <w:spacing w:line="259" w:lineRule="auto"/>
        <w:rPr>
          <w:rFonts w:cs="Arial"/>
          <w:sz w:val="18"/>
          <w:szCs w:val="18"/>
        </w:rPr>
      </w:pPr>
      <w:r w:rsidRPr="0066629A">
        <w:rPr>
          <w:rFonts w:cs="Arial"/>
          <w:sz w:val="18"/>
          <w:szCs w:val="18"/>
        </w:rPr>
        <w:t>RBS Group (RBSG) capital and funding plans focus on issuing £2-4 billion of MREL-compliant instruments, of which we would expect around £1 billion to be issued under our Green, Social and Sustainable Bond Framework, up to £1.5 billion of AT1 and up to £2.5 billion of Tier 2 instruments. As in prior years, we will continue to target other funding sources to diversify our funding structure, including senior secured from NatWest Bank subject to funding</w:t>
      </w:r>
      <w:r>
        <w:rPr>
          <w:rFonts w:cs="Arial"/>
          <w:sz w:val="18"/>
          <w:szCs w:val="18"/>
        </w:rPr>
        <w:t xml:space="preserve"> and liquidity considerations.</w:t>
      </w:r>
    </w:p>
    <w:bookmarkEnd w:id="2"/>
    <w:p w:rsidR="0066629A" w:rsidRPr="0066629A" w:rsidRDefault="0066629A" w:rsidP="0066629A">
      <w:pPr>
        <w:spacing w:line="259" w:lineRule="auto"/>
        <w:rPr>
          <w:rFonts w:cs="Arial"/>
          <w:sz w:val="18"/>
          <w:szCs w:val="18"/>
        </w:rPr>
      </w:pPr>
    </w:p>
    <w:p w:rsidR="0066629A" w:rsidRPr="0066629A" w:rsidRDefault="00FC1FDC" w:rsidP="0066629A">
      <w:pPr>
        <w:spacing w:line="259" w:lineRule="auto"/>
        <w:rPr>
          <w:rFonts w:cs="Arial"/>
          <w:color w:val="002060"/>
          <w:sz w:val="18"/>
          <w:szCs w:val="18"/>
        </w:rPr>
      </w:pPr>
      <w:r w:rsidRPr="0066629A">
        <w:rPr>
          <w:rFonts w:cs="Arial"/>
          <w:color w:val="002060"/>
          <w:sz w:val="18"/>
          <w:szCs w:val="18"/>
        </w:rPr>
        <w:t xml:space="preserve">Medium term outlook </w:t>
      </w:r>
    </w:p>
    <w:p w:rsidR="0066629A" w:rsidRPr="0066629A" w:rsidRDefault="00FC1FDC" w:rsidP="0066629A">
      <w:pPr>
        <w:spacing w:line="259" w:lineRule="auto"/>
        <w:rPr>
          <w:rFonts w:cs="Arial"/>
          <w:sz w:val="18"/>
          <w:szCs w:val="18"/>
        </w:rPr>
      </w:pPr>
      <w:r w:rsidRPr="0066629A">
        <w:rPr>
          <w:rFonts w:cs="Arial"/>
          <w:sz w:val="18"/>
          <w:szCs w:val="18"/>
        </w:rPr>
        <w:t>We expect to achieve a return on tangible equity of 9-11% in the medium to long term. In additio</w:t>
      </w:r>
      <w:r>
        <w:rPr>
          <w:rFonts w:cs="Arial"/>
          <w:sz w:val="18"/>
          <w:szCs w:val="18"/>
        </w:rPr>
        <w:t>n, we expect ongoing operating cost take-out.</w:t>
      </w:r>
    </w:p>
    <w:p w:rsidR="0066629A" w:rsidRPr="0066629A" w:rsidRDefault="0066629A" w:rsidP="0066629A">
      <w:pPr>
        <w:spacing w:line="259" w:lineRule="auto"/>
        <w:rPr>
          <w:rFonts w:cs="Arial"/>
          <w:sz w:val="18"/>
          <w:szCs w:val="18"/>
        </w:rPr>
      </w:pPr>
    </w:p>
    <w:p w:rsidR="0066629A" w:rsidRPr="0066629A" w:rsidRDefault="00FC1FDC" w:rsidP="0066629A">
      <w:pPr>
        <w:spacing w:line="259" w:lineRule="auto"/>
        <w:rPr>
          <w:rFonts w:cs="Arial"/>
          <w:sz w:val="18"/>
          <w:szCs w:val="18"/>
        </w:rPr>
      </w:pPr>
      <w:r w:rsidRPr="0066629A">
        <w:rPr>
          <w:rFonts w:cs="Arial"/>
          <w:sz w:val="18"/>
          <w:szCs w:val="18"/>
        </w:rPr>
        <w:t>Within NatWest Markets franchise, we anticipate that RWAs will reduce to around £20 billion in the medium term, which, after accounting for strategic costs and disposal losses, is expected to be capital ratio accretive in year one and over the course of the transition plan period.</w:t>
      </w:r>
    </w:p>
    <w:p w:rsidR="0066629A" w:rsidRPr="0066629A" w:rsidRDefault="0066629A" w:rsidP="0066629A">
      <w:pPr>
        <w:spacing w:line="259" w:lineRule="auto"/>
        <w:rPr>
          <w:rFonts w:cs="Arial"/>
          <w:sz w:val="18"/>
          <w:szCs w:val="18"/>
        </w:rPr>
      </w:pPr>
    </w:p>
    <w:p w:rsidR="0066629A" w:rsidRPr="0066629A" w:rsidRDefault="00FC1FDC" w:rsidP="0066629A">
      <w:pPr>
        <w:spacing w:line="259" w:lineRule="auto"/>
        <w:rPr>
          <w:rFonts w:cs="Arial"/>
          <w:sz w:val="18"/>
          <w:szCs w:val="18"/>
        </w:rPr>
      </w:pPr>
      <w:r w:rsidRPr="0066629A">
        <w:rPr>
          <w:rFonts w:cs="Arial"/>
          <w:sz w:val="18"/>
          <w:szCs w:val="18"/>
        </w:rPr>
        <w:t xml:space="preserve">We anticipate that the overall RWA impact of Basel 3 amendments to be around 5-10% and phased across 2021 to 2023, with the details still subject to regulatory uncertainty on both quantum and timing. </w:t>
      </w:r>
    </w:p>
    <w:p w:rsidR="0066629A" w:rsidRPr="0066629A" w:rsidRDefault="0066629A" w:rsidP="0066629A">
      <w:pPr>
        <w:spacing w:line="259" w:lineRule="auto"/>
        <w:rPr>
          <w:rFonts w:cs="Arial"/>
          <w:color w:val="002060"/>
          <w:sz w:val="18"/>
          <w:szCs w:val="18"/>
        </w:rPr>
      </w:pPr>
    </w:p>
    <w:p w:rsidR="0066629A" w:rsidRPr="0066629A" w:rsidRDefault="00FC1FDC" w:rsidP="0066629A">
      <w:pPr>
        <w:spacing w:line="259" w:lineRule="auto"/>
        <w:rPr>
          <w:rFonts w:cs="Arial"/>
          <w:color w:val="002060"/>
          <w:sz w:val="18"/>
          <w:szCs w:val="18"/>
        </w:rPr>
      </w:pPr>
      <w:r w:rsidRPr="0066629A">
        <w:rPr>
          <w:rFonts w:cs="Arial"/>
          <w:color w:val="002060"/>
          <w:sz w:val="18"/>
          <w:szCs w:val="18"/>
        </w:rPr>
        <w:t xml:space="preserve">RBS Group capital distributions </w:t>
      </w:r>
    </w:p>
    <w:p w:rsidR="0066629A" w:rsidRPr="0066629A" w:rsidRDefault="00FC1FDC" w:rsidP="0066629A">
      <w:pPr>
        <w:spacing w:line="259" w:lineRule="auto"/>
        <w:rPr>
          <w:rFonts w:cs="Arial"/>
          <w:sz w:val="18"/>
          <w:szCs w:val="18"/>
        </w:rPr>
      </w:pPr>
      <w:r w:rsidRPr="0066629A">
        <w:rPr>
          <w:rFonts w:cs="Arial"/>
          <w:sz w:val="18"/>
          <w:szCs w:val="18"/>
        </w:rPr>
        <w:t>We expect to maintain ordinary dividends of around 40% of attributable profit. We retain our guidance of CET1 ratio to be approxi</w:t>
      </w:r>
      <w:r>
        <w:rPr>
          <w:rFonts w:cs="Arial"/>
          <w:sz w:val="18"/>
          <w:szCs w:val="18"/>
        </w:rPr>
        <w:t xml:space="preserve">mately 14% at the end of 2021, </w:t>
      </w:r>
      <w:r w:rsidRPr="0066629A">
        <w:rPr>
          <w:rFonts w:cs="Arial"/>
          <w:sz w:val="18"/>
          <w:szCs w:val="18"/>
        </w:rPr>
        <w:t>and we will target a reduction to 13</w:t>
      </w:r>
      <w:r>
        <w:rPr>
          <w:rFonts w:cs="Arial"/>
          <w:sz w:val="18"/>
          <w:szCs w:val="18"/>
        </w:rPr>
        <w:t>-14% in the medium to long term</w:t>
      </w:r>
      <w:r w:rsidRPr="0066629A">
        <w:rPr>
          <w:rFonts w:cs="Arial"/>
          <w:sz w:val="18"/>
          <w:szCs w:val="18"/>
        </w:rPr>
        <w:t xml:space="preserve">. We have shareholder and regulatory approval to carry out directed buybacks of the UK government stake in RBS but recognise that any exercise of this authority would be dependent upon HMT’s intentions and is limited to 4.99% of issued share capital in any 12 month period. As a reminder, we have also committed to make further pre-tax contributions to the pension scheme of up to £1.5 billion in aggregate from 1 January 2020 linked to future distributions to RBS shareholders. </w:t>
      </w:r>
    </w:p>
    <w:p w:rsidR="0066629A" w:rsidRPr="0066629A" w:rsidRDefault="0066629A" w:rsidP="0066629A">
      <w:pPr>
        <w:spacing w:line="259" w:lineRule="auto"/>
        <w:rPr>
          <w:rFonts w:cs="Arial"/>
          <w:sz w:val="18"/>
          <w:szCs w:val="18"/>
        </w:rPr>
      </w:pPr>
    </w:p>
    <w:p w:rsidR="0066629A" w:rsidRPr="0066629A" w:rsidRDefault="00FC1FDC" w:rsidP="0066629A">
      <w:pPr>
        <w:spacing w:line="259" w:lineRule="auto"/>
        <w:rPr>
          <w:rFonts w:cs="Arial"/>
          <w:color w:val="002060"/>
          <w:sz w:val="18"/>
          <w:szCs w:val="18"/>
        </w:rPr>
      </w:pPr>
      <w:r w:rsidRPr="0066629A">
        <w:rPr>
          <w:rFonts w:cs="Arial"/>
          <w:color w:val="002060"/>
          <w:sz w:val="18"/>
          <w:szCs w:val="18"/>
        </w:rPr>
        <w:t>NatWest Markets Plc</w:t>
      </w:r>
    </w:p>
    <w:p w:rsidR="0066629A" w:rsidRPr="0066629A" w:rsidRDefault="00FC1FDC" w:rsidP="0066629A">
      <w:pPr>
        <w:spacing w:line="259" w:lineRule="auto"/>
        <w:rPr>
          <w:rFonts w:cs="Arial"/>
          <w:sz w:val="18"/>
          <w:szCs w:val="18"/>
        </w:rPr>
      </w:pPr>
      <w:bookmarkStart w:id="3" w:name="_Hlk31037744"/>
      <w:r w:rsidRPr="0066629A">
        <w:rPr>
          <w:rFonts w:cs="Arial"/>
          <w:sz w:val="18"/>
          <w:szCs w:val="18"/>
        </w:rPr>
        <w:t>Wh</w:t>
      </w:r>
      <w:r>
        <w:rPr>
          <w:rFonts w:cs="Arial"/>
          <w:sz w:val="18"/>
          <w:szCs w:val="18"/>
        </w:rPr>
        <w:t>ilst we have announced a refocu</w:t>
      </w:r>
      <w:r w:rsidRPr="0066629A">
        <w:rPr>
          <w:rFonts w:cs="Arial"/>
          <w:sz w:val="18"/>
          <w:szCs w:val="18"/>
        </w:rPr>
        <w:t xml:space="preserve">sing of the business, NatWest Markets Plc remains a regulated entity and is targeting to maintain a CET1 ratio above 15%, MREL ratio of at least 30%, leverage ratio of at least 4%, and to reduce RWAs by around £14-18 billion in the medium term. </w:t>
      </w:r>
    </w:p>
    <w:p w:rsidR="0066629A" w:rsidRPr="0066629A" w:rsidRDefault="0066629A" w:rsidP="0066629A">
      <w:pPr>
        <w:spacing w:line="259" w:lineRule="auto"/>
        <w:rPr>
          <w:rFonts w:cs="Arial"/>
          <w:sz w:val="18"/>
          <w:szCs w:val="18"/>
        </w:rPr>
      </w:pPr>
    </w:p>
    <w:p w:rsidR="0066629A" w:rsidRPr="0066629A" w:rsidRDefault="00FC1FDC" w:rsidP="0066629A">
      <w:pPr>
        <w:spacing w:line="259" w:lineRule="auto"/>
        <w:rPr>
          <w:rFonts w:cs="Arial"/>
          <w:sz w:val="18"/>
          <w:szCs w:val="18"/>
        </w:rPr>
      </w:pPr>
      <w:r w:rsidRPr="0066629A">
        <w:rPr>
          <w:rFonts w:cs="Arial"/>
          <w:sz w:val="18"/>
          <w:szCs w:val="18"/>
        </w:rPr>
        <w:t>NatWest Markets Plc, as a standalone bank, plans to issue £3-5 billion of term senior unsecured instruments</w:t>
      </w:r>
      <w:bookmarkEnd w:id="3"/>
      <w:r w:rsidRPr="0066629A">
        <w:rPr>
          <w:rFonts w:cs="Arial"/>
          <w:sz w:val="18"/>
          <w:szCs w:val="18"/>
        </w:rPr>
        <w:t xml:space="preserve"> in 2020.</w:t>
      </w:r>
    </w:p>
    <w:p w:rsidR="00F50F25" w:rsidRPr="0066629A" w:rsidRDefault="00F50F25" w:rsidP="0066629A">
      <w:pPr>
        <w:pStyle w:val="Normal1"/>
        <w:spacing w:line="259" w:lineRule="auto"/>
        <w:jc w:val="both"/>
        <w:rPr>
          <w:rFonts w:ascii="Arial" w:eastAsia="Calibri" w:hAnsi="Arial" w:cs="Arial"/>
          <w:sz w:val="18"/>
          <w:szCs w:val="18"/>
          <w:lang w:eastAsia="en-US"/>
        </w:rPr>
      </w:pPr>
    </w:p>
    <w:tbl>
      <w:tblPr>
        <w:tblW w:w="10206" w:type="dxa"/>
        <w:tblLayout w:type="fixed"/>
        <w:tblCellMar>
          <w:left w:w="0" w:type="dxa"/>
          <w:right w:w="0" w:type="dxa"/>
        </w:tblCellMar>
        <w:tblLook w:val="01E0" w:firstRow="1" w:lastRow="1" w:firstColumn="1" w:lastColumn="1" w:noHBand="0" w:noVBand="0"/>
      </w:tblPr>
      <w:tblGrid>
        <w:gridCol w:w="289"/>
        <w:gridCol w:w="9917"/>
      </w:tblGrid>
      <w:tr w:rsidR="0064628A" w:rsidTr="000B1480">
        <w:trPr>
          <w:trHeight w:val="227"/>
        </w:trPr>
        <w:tc>
          <w:tcPr>
            <w:tcW w:w="284" w:type="dxa"/>
            <w:gridSpan w:val="2"/>
            <w:shd w:val="clear" w:color="auto" w:fill="auto"/>
          </w:tcPr>
          <w:p w:rsidR="001B061F" w:rsidRPr="009901E8" w:rsidRDefault="00FC1FDC" w:rsidP="0066629A">
            <w:pPr>
              <w:pStyle w:val="Normal1"/>
              <w:autoSpaceDE w:val="0"/>
              <w:autoSpaceDN w:val="0"/>
              <w:adjustRightInd w:val="0"/>
              <w:spacing w:line="259" w:lineRule="auto"/>
              <w:jc w:val="both"/>
              <w:rPr>
                <w:rFonts w:ascii="Arial" w:eastAsia="Calibri" w:hAnsi="Arial" w:cs="Arial"/>
                <w:sz w:val="14"/>
                <w:szCs w:val="14"/>
                <w:lang w:eastAsia="en-US"/>
              </w:rPr>
            </w:pPr>
            <w:r w:rsidRPr="009901E8">
              <w:rPr>
                <w:rFonts w:ascii="Arial" w:eastAsia="Calibri" w:hAnsi="Arial" w:cs="Arial"/>
                <w:sz w:val="14"/>
                <w:szCs w:val="14"/>
                <w:lang w:eastAsia="en-US"/>
              </w:rPr>
              <w:t>Note:</w:t>
            </w:r>
          </w:p>
        </w:tc>
      </w:tr>
      <w:tr w:rsidR="0064628A" w:rsidTr="000B1480">
        <w:trPr>
          <w:trHeight w:val="552"/>
        </w:trPr>
        <w:tc>
          <w:tcPr>
            <w:tcW w:w="284" w:type="dxa"/>
            <w:shd w:val="clear" w:color="auto" w:fill="auto"/>
          </w:tcPr>
          <w:p w:rsidR="001B061F" w:rsidRPr="009901E8" w:rsidRDefault="00FC1FDC" w:rsidP="0066629A">
            <w:pPr>
              <w:pStyle w:val="Normal1"/>
              <w:autoSpaceDE w:val="0"/>
              <w:autoSpaceDN w:val="0"/>
              <w:adjustRightInd w:val="0"/>
              <w:spacing w:line="259" w:lineRule="auto"/>
              <w:jc w:val="both"/>
              <w:rPr>
                <w:rFonts w:ascii="Arial" w:eastAsia="Calibri" w:hAnsi="Arial" w:cs="Arial"/>
                <w:sz w:val="14"/>
                <w:szCs w:val="14"/>
                <w:lang w:eastAsia="en-US"/>
              </w:rPr>
            </w:pPr>
            <w:r w:rsidRPr="009901E8">
              <w:rPr>
                <w:rFonts w:ascii="Arial" w:eastAsia="Calibri" w:hAnsi="Arial" w:cs="Arial"/>
                <w:sz w:val="14"/>
                <w:szCs w:val="14"/>
                <w:lang w:eastAsia="en-US"/>
              </w:rPr>
              <w:t xml:space="preserve"> (1)</w:t>
            </w:r>
          </w:p>
        </w:tc>
        <w:tc>
          <w:tcPr>
            <w:tcW w:w="9738" w:type="dxa"/>
            <w:shd w:val="clear" w:color="auto" w:fill="auto"/>
          </w:tcPr>
          <w:p w:rsidR="001B061F" w:rsidRPr="009901E8" w:rsidRDefault="00FC1FDC" w:rsidP="004865CA">
            <w:pPr>
              <w:pStyle w:val="Normal1"/>
              <w:autoSpaceDE w:val="0"/>
              <w:autoSpaceDN w:val="0"/>
              <w:adjustRightInd w:val="0"/>
              <w:spacing w:line="259" w:lineRule="auto"/>
              <w:rPr>
                <w:rFonts w:ascii="Calibri" w:eastAsia="Calibri" w:hAnsi="Calibri"/>
                <w:sz w:val="22"/>
                <w:szCs w:val="22"/>
                <w:lang w:eastAsia="en-US"/>
              </w:rPr>
            </w:pPr>
            <w:r w:rsidRPr="009901E8">
              <w:rPr>
                <w:rFonts w:ascii="Arial" w:eastAsia="Calibri" w:hAnsi="Arial" w:cs="Arial"/>
                <w:color w:val="000000"/>
                <w:sz w:val="14"/>
                <w:szCs w:val="14"/>
                <w:lang w:eastAsia="en-US"/>
              </w:rPr>
              <w:t>The targets, expectations and trends discussed in this section represent RBS</w:t>
            </w:r>
            <w:r>
              <w:rPr>
                <w:rFonts w:ascii="Arial" w:eastAsia="Calibri" w:hAnsi="Arial" w:cs="Arial"/>
                <w:color w:val="000000"/>
                <w:sz w:val="14"/>
                <w:szCs w:val="14"/>
                <w:lang w:eastAsia="en-US"/>
              </w:rPr>
              <w:t xml:space="preserve"> </w:t>
            </w:r>
            <w:r w:rsidRPr="009901E8">
              <w:rPr>
                <w:rFonts w:ascii="Arial" w:eastAsia="Calibri" w:hAnsi="Arial" w:cs="Arial"/>
                <w:color w:val="000000"/>
                <w:sz w:val="14"/>
                <w:szCs w:val="14"/>
                <w:lang w:eastAsia="en-US"/>
              </w:rPr>
              <w:t>G</w:t>
            </w:r>
            <w:r>
              <w:rPr>
                <w:rFonts w:ascii="Arial" w:eastAsia="Calibri" w:hAnsi="Arial" w:cs="Arial"/>
                <w:color w:val="000000"/>
                <w:sz w:val="14"/>
                <w:szCs w:val="14"/>
                <w:lang w:eastAsia="en-US"/>
              </w:rPr>
              <w:t>roup’s</w:t>
            </w:r>
            <w:r w:rsidRPr="009901E8">
              <w:rPr>
                <w:rFonts w:ascii="Arial" w:eastAsia="Calibri" w:hAnsi="Arial" w:cs="Arial"/>
                <w:color w:val="000000"/>
                <w:sz w:val="14"/>
                <w:szCs w:val="14"/>
                <w:lang w:eastAsia="en-US"/>
              </w:rPr>
              <w:t xml:space="preserve"> and N</w:t>
            </w:r>
            <w:r>
              <w:rPr>
                <w:rFonts w:ascii="Arial" w:eastAsia="Calibri" w:hAnsi="Arial" w:cs="Arial"/>
                <w:color w:val="000000"/>
                <w:sz w:val="14"/>
                <w:szCs w:val="14"/>
                <w:lang w:eastAsia="en-US"/>
              </w:rPr>
              <w:t>atWest Markets Plc’s management</w:t>
            </w:r>
            <w:r w:rsidRPr="009901E8">
              <w:rPr>
                <w:rFonts w:ascii="Arial" w:eastAsia="Calibri" w:hAnsi="Arial" w:cs="Arial"/>
                <w:color w:val="000000"/>
                <w:sz w:val="14"/>
                <w:szCs w:val="14"/>
                <w:lang w:eastAsia="en-US"/>
              </w:rPr>
              <w:t xml:space="preserve"> current expectations and are subject to change, including as a result of the factors described in the “Ri</w:t>
            </w:r>
            <w:r>
              <w:rPr>
                <w:rFonts w:ascii="Arial" w:eastAsia="Calibri" w:hAnsi="Arial" w:cs="Arial"/>
                <w:color w:val="000000"/>
                <w:sz w:val="14"/>
                <w:szCs w:val="14"/>
                <w:lang w:eastAsia="en-US"/>
              </w:rPr>
              <w:t>sk Factors” section on pages 281 to 295 of RBS Group’s 2019</w:t>
            </w:r>
            <w:r w:rsidRPr="009901E8">
              <w:rPr>
                <w:rFonts w:ascii="Arial" w:eastAsia="Calibri" w:hAnsi="Arial" w:cs="Arial"/>
                <w:color w:val="000000"/>
                <w:sz w:val="14"/>
                <w:szCs w:val="14"/>
                <w:lang w:eastAsia="en-US"/>
              </w:rPr>
              <w:t xml:space="preserve"> Annual R</w:t>
            </w:r>
            <w:r>
              <w:rPr>
                <w:rFonts w:ascii="Arial" w:eastAsia="Calibri" w:hAnsi="Arial" w:cs="Arial"/>
                <w:color w:val="000000"/>
                <w:sz w:val="14"/>
                <w:szCs w:val="14"/>
                <w:lang w:eastAsia="en-US"/>
              </w:rPr>
              <w:t>eport and Accounts and pages 143 to 156 of NatWest Markets Plc’s 2019</w:t>
            </w:r>
            <w:r w:rsidRPr="009901E8">
              <w:rPr>
                <w:rFonts w:ascii="Arial" w:eastAsia="Calibri" w:hAnsi="Arial" w:cs="Arial"/>
                <w:color w:val="000000"/>
                <w:sz w:val="14"/>
                <w:szCs w:val="14"/>
                <w:lang w:eastAsia="en-US"/>
              </w:rPr>
              <w:t xml:space="preserve"> Annual Report and Accounts. These statements consti</w:t>
            </w:r>
            <w:r>
              <w:rPr>
                <w:rFonts w:ascii="Arial" w:eastAsia="Calibri" w:hAnsi="Arial" w:cs="Arial"/>
                <w:color w:val="000000"/>
                <w:sz w:val="14"/>
                <w:szCs w:val="14"/>
                <w:lang w:eastAsia="en-US"/>
              </w:rPr>
              <w:t>tute forward-looking statements;</w:t>
            </w:r>
            <w:r w:rsidRPr="009901E8">
              <w:rPr>
                <w:rFonts w:ascii="Arial" w:eastAsia="Calibri" w:hAnsi="Arial" w:cs="Arial"/>
                <w:color w:val="000000"/>
                <w:sz w:val="14"/>
                <w:szCs w:val="14"/>
                <w:lang w:eastAsia="en-US"/>
              </w:rPr>
              <w:t xml:space="preserve"> refer to Forward-looking statements in this document.</w:t>
            </w:r>
          </w:p>
        </w:tc>
      </w:tr>
    </w:tbl>
    <w:p w:rsidR="000B1480" w:rsidRDefault="00FC1FDC" w:rsidP="0066629A">
      <w:pPr>
        <w:spacing w:after="200" w:line="259" w:lineRule="auto"/>
      </w:pPr>
      <w:r>
        <w:br w:type="page"/>
      </w:r>
    </w:p>
    <w:p w:rsidR="00C36715" w:rsidRPr="001B061F" w:rsidRDefault="00C36715" w:rsidP="00F50F25">
      <w:pPr>
        <w:spacing w:after="200"/>
        <w:sectPr w:rsidR="00C36715" w:rsidRPr="001B061F" w:rsidSect="00D434F5">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134" w:right="851" w:bottom="680" w:left="851" w:header="708" w:footer="708" w:gutter="0"/>
          <w:pgNumType w:start="1"/>
          <w:cols w:space="708"/>
          <w:docGrid w:linePitch="360"/>
        </w:sectPr>
      </w:pPr>
    </w:p>
    <w:p w:rsidR="00A257F0" w:rsidRPr="003C10D8" w:rsidRDefault="00FC1FDC" w:rsidP="00A257F0">
      <w:pPr>
        <w:pStyle w:val="Heading1"/>
        <w:rPr>
          <w:rFonts w:cs="Arial"/>
          <w:sz w:val="18"/>
          <w:szCs w:val="18"/>
        </w:rPr>
      </w:pPr>
      <w:bookmarkStart w:id="4" w:name="Analysis_of_results"/>
      <w:r w:rsidRPr="003C10D8">
        <w:rPr>
          <w:rFonts w:cs="Arial"/>
          <w:sz w:val="18"/>
          <w:szCs w:val="18"/>
        </w:rPr>
        <w:lastRenderedPageBreak/>
        <w:t>Business performance summary</w:t>
      </w:r>
    </w:p>
    <w:bookmarkEnd w:id="4" w:displacedByCustomXml="next"/>
    <w:sdt>
      <w:sdtPr>
        <w:tag w:val="&lt;ReportPackage&gt;&lt;EmbeddedContent id=&quot;37b076de-32da-4673-b4d0-3b3cbb54d102&quot; lastModified=&quot;1581530603316&quot;/&gt;&lt;/ReportPackage&gt;"/>
        <w:id w:val="1058200847"/>
        <w:lock w:val="contentLocked"/>
        <w:placeholder>
          <w:docPart w:val="397C2A155DEF439891EF1715479D6669"/>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4845"/>
            <w:gridCol w:w="1035"/>
            <w:gridCol w:w="1035"/>
            <w:gridCol w:w="60"/>
            <w:gridCol w:w="1035"/>
            <w:gridCol w:w="1035"/>
            <w:gridCol w:w="1035"/>
          </w:tblGrid>
          <w:tr w:rsidR="0064628A">
            <w:trPr>
              <w:trHeight w:val="210"/>
            </w:trPr>
            <w:tc>
              <w:tcPr>
                <w:tcW w:w="484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2070" w:type="dxa"/>
                <w:gridSpan w:val="2"/>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Year ended</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3105" w:type="dxa"/>
                <w:gridSpan w:val="3"/>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Quarter ended</w:t>
                </w:r>
              </w:p>
            </w:tc>
          </w:tr>
          <w:tr w:rsidR="0064628A">
            <w:trPr>
              <w:trHeight w:val="195"/>
            </w:trPr>
            <w:tc>
              <w:tcPr>
                <w:tcW w:w="484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30 September</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r>
          <w:tr w:rsidR="0064628A">
            <w:trPr>
              <w:trHeight w:val="195"/>
            </w:trPr>
            <w:tc>
              <w:tcPr>
                <w:tcW w:w="484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Performance key metrics and ratios</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2019</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484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profit/(loss) before tax</w:t>
                </w: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£4,232m</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£3,359m</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£1,546m</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(£8m)</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£572m</w:t>
                </w:r>
              </w:p>
            </w:tc>
          </w:tr>
          <w:tr w:rsidR="0064628A">
            <w:trPr>
              <w:trHeight w:val="195"/>
            </w:trPr>
            <w:tc>
              <w:tcPr>
                <w:tcW w:w="484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Profit/(loss) attributable to ordinary shareholders</w:t>
                </w: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£3,133m</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£1,622m</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£1,410m</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(£315m)</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£286m</w:t>
                </w:r>
              </w:p>
            </w:tc>
          </w:tr>
          <w:tr w:rsidR="0064628A">
            <w:trPr>
              <w:trHeight w:val="195"/>
            </w:trPr>
            <w:tc>
              <w:tcPr>
                <w:tcW w:w="484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5"/>
                  </w:rPr>
                  <w:t xml:space="preserve">Bank net interest margin (RBS NIM excluding NWM) </w:t>
                </w:r>
                <w:r>
                  <w:rPr>
                    <w:rStyle w:val="font7"/>
                  </w:rPr>
                  <w:t>(1)</w:t>
                </w: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1.99%</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2.09%</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1.93%</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1.97%</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2.07%</w:t>
                </w:r>
              </w:p>
            </w:tc>
          </w:tr>
          <w:tr w:rsidR="0064628A">
            <w:trPr>
              <w:trHeight w:val="195"/>
            </w:trPr>
            <w:tc>
              <w:tcPr>
                <w:tcW w:w="484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5"/>
                  </w:rPr>
                  <w:t xml:space="preserve">Bank average interest earning assets (RBS excluding NWM) </w:t>
                </w:r>
                <w:r>
                  <w:rPr>
                    <w:rStyle w:val="font7"/>
                  </w:rPr>
                  <w:t>(1)</w:t>
                </w: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£413bn</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£409bn</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£420bn</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£416bn</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£412bn</w:t>
                </w:r>
              </w:p>
            </w:tc>
          </w:tr>
          <w:tr w:rsidR="0064628A">
            <w:trPr>
              <w:trHeight w:val="195"/>
            </w:trPr>
            <w:tc>
              <w:tcPr>
                <w:tcW w:w="484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5"/>
                  </w:rPr>
                  <w:t xml:space="preserve">Cost:income ratio </w:t>
                </w:r>
                <w:r>
                  <w:rPr>
                    <w:rStyle w:val="font7"/>
                  </w:rPr>
                  <w:t>(1)</w:t>
                </w: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65.1%</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71.7%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59.4%</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92.9%</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80.5%</w:t>
                </w:r>
              </w:p>
            </w:tc>
          </w:tr>
          <w:tr w:rsidR="0064628A">
            <w:trPr>
              <w:trHeight w:val="195"/>
            </w:trPr>
            <w:tc>
              <w:tcPr>
                <w:tcW w:w="484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5"/>
                  </w:rPr>
                  <w:t xml:space="preserve">Loan impairment rate </w:t>
                </w:r>
                <w:r>
                  <w:rPr>
                    <w:rStyle w:val="font7"/>
                  </w:rPr>
                  <w:t>(2)</w:t>
                </w: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21bps</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13bps</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19bps</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26bps</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2bps</w:t>
                </w:r>
              </w:p>
            </w:tc>
          </w:tr>
          <w:tr w:rsidR="0064628A">
            <w:trPr>
              <w:trHeight w:val="195"/>
            </w:trPr>
            <w:tc>
              <w:tcPr>
                <w:tcW w:w="484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Earnings per share</w:t>
                </w:r>
              </w:p>
            </w:tc>
            <w:tc>
              <w:tcPr>
                <w:tcW w:w="1035" w:type="dxa"/>
                <w:shd w:val="clear" w:color="auto" w:fill="BFBFB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035" w:type="dxa"/>
                <w:shd w:val="clear" w:color="auto" w:fill="BFBFB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484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 basic</w:t>
                </w: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 xml:space="preserve"> 26.0p </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13.5p</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 xml:space="preserve"> 11.7p </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(2.6p)</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2.4p</w:t>
                </w:r>
              </w:p>
            </w:tc>
          </w:tr>
          <w:tr w:rsidR="0064628A">
            <w:trPr>
              <w:trHeight w:val="195"/>
            </w:trPr>
            <w:tc>
              <w:tcPr>
                <w:tcW w:w="484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 basic fully diluted</w:t>
                </w: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 xml:space="preserve"> 25.9p </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13.4p</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 xml:space="preserve"> 11.6p </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(2.6p)</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2.3p</w:t>
                </w:r>
              </w:p>
            </w:tc>
          </w:tr>
          <w:tr w:rsidR="0064628A">
            <w:trPr>
              <w:trHeight w:val="195"/>
            </w:trPr>
            <w:tc>
              <w:tcPr>
                <w:tcW w:w="484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5"/>
                  </w:rPr>
                  <w:t xml:space="preserve">Return on tangible equity </w:t>
                </w:r>
                <w:r>
                  <w:rPr>
                    <w:rStyle w:val="font7"/>
                  </w:rPr>
                  <w:t>(1)</w:t>
                </w: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9.4%</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17.7%</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w:t>
                </w:r>
              </w:p>
            </w:tc>
          </w:tr>
          <w:tr w:rsidR="0064628A">
            <w:trPr>
              <w:trHeight w:val="195"/>
            </w:trPr>
            <w:tc>
              <w:tcPr>
                <w:tcW w:w="484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Average tangible equity</w:t>
                </w: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£33bn</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£33bn</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£32bn</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£33bn</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£33bn</w:t>
                </w:r>
              </w:p>
            </w:tc>
          </w:tr>
          <w:tr w:rsidR="0064628A">
            <w:trPr>
              <w:trHeight w:val="195"/>
            </w:trPr>
            <w:tc>
              <w:tcPr>
                <w:tcW w:w="484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Average number of ordinary shares </w:t>
                </w:r>
              </w:p>
            </w:tc>
            <w:tc>
              <w:tcPr>
                <w:tcW w:w="1035" w:type="dxa"/>
                <w:shd w:val="clear" w:color="auto" w:fill="BFBFB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035" w:type="dxa"/>
                <w:shd w:val="clear" w:color="auto" w:fill="BFBFB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484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outstanding during the period (millions)</w:t>
                </w:r>
              </w:p>
            </w:tc>
            <w:tc>
              <w:tcPr>
                <w:tcW w:w="1035" w:type="dxa"/>
                <w:shd w:val="clear" w:color="auto" w:fill="BFBFB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 w:val="20"/>
                    <w:szCs w:val="20"/>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 w:val="20"/>
                    <w:szCs w:val="20"/>
                  </w:rPr>
                </w:pPr>
              </w:p>
            </w:tc>
            <w:tc>
              <w:tcPr>
                <w:tcW w:w="1035" w:type="dxa"/>
                <w:shd w:val="clear" w:color="auto" w:fill="BFBFB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 w:val="20"/>
                    <w:szCs w:val="20"/>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r>
          <w:tr w:rsidR="0064628A">
            <w:trPr>
              <w:trHeight w:val="195"/>
            </w:trPr>
            <w:tc>
              <w:tcPr>
                <w:tcW w:w="484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 basic</w:t>
                </w: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12,067</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12,009 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12,078</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12,075</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12,040 </w:t>
                </w:r>
              </w:p>
            </w:tc>
          </w:tr>
          <w:tr w:rsidR="0064628A">
            <w:trPr>
              <w:trHeight w:val="195"/>
            </w:trPr>
            <w:tc>
              <w:tcPr>
                <w:tcW w:w="484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5"/>
                    <w:rFonts w:ascii="Times New Roman" w:eastAsia="Times New Roman" w:hAnsi="Times New Roman" w:cs="Times New Roman"/>
                  </w:rPr>
                  <w:t xml:space="preserve">  </w:t>
                </w:r>
                <w:r>
                  <w:rPr>
                    <w:rStyle w:val="font5"/>
                  </w:rPr>
                  <w:t>-</w:t>
                </w:r>
                <w:r>
                  <w:rPr>
                    <w:rStyle w:val="font5"/>
                    <w:rFonts w:ascii="Times New Roman" w:eastAsia="Times New Roman" w:hAnsi="Times New Roman" w:cs="Times New Roman"/>
                  </w:rPr>
                  <w:t xml:space="preserve">  </w:t>
                </w:r>
                <w:r>
                  <w:rPr>
                    <w:rStyle w:val="font5"/>
                  </w:rPr>
                  <w:t xml:space="preserve">fully diluted </w:t>
                </w:r>
                <w:r>
                  <w:rPr>
                    <w:rStyle w:val="font7"/>
                  </w:rPr>
                  <w:t>(3)</w:t>
                </w:r>
              </w:p>
            </w:tc>
            <w:tc>
              <w:tcPr>
                <w:tcW w:w="1035" w:type="dxa"/>
                <w:tcBorders>
                  <w:bottom w:val="single" w:sz="6" w:space="0" w:color="003366"/>
                </w:tcBorders>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12,102</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12,061 </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tcBorders>
                  <w:bottom w:val="single" w:sz="6" w:space="0" w:color="003366"/>
                </w:tcBorders>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12,114</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12,106</w:t>
                </w:r>
              </w:p>
            </w:tc>
            <w:tc>
              <w:tcPr>
                <w:tcW w:w="103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12,081 </w:t>
                </w:r>
              </w:p>
            </w:tc>
          </w:tr>
        </w:tbl>
      </w:sdtContent>
    </w:sdt>
    <w:p w:rsidR="00A257F0" w:rsidRDefault="00A257F0" w:rsidP="00A257F0"/>
    <w:sdt>
      <w:sdtPr>
        <w:tag w:val="&lt;ReportPackage&gt;&lt;EmbeddedContent id=&quot;ffea4a70-39a0-4068-87b5-5eeb0109ae6c&quot; lastModified=&quot;1580737594203&quot;/&gt;&lt;/ReportPackage&gt;"/>
        <w:id w:val="591544604"/>
        <w:lock w:val="contentLocked"/>
        <w:placeholder>
          <w:docPart w:val="CFD9503D44BA4852B7A1727F41E9ADA8"/>
        </w:placeholder>
      </w:sdtPr>
      <w:sdtEndPr/>
      <w:sdtContent>
        <w:tbl>
          <w:tblPr>
            <w:tblStyle w:val="table"/>
            <w:tblW w:w="10140" w:type="dxa"/>
            <w:tblInd w:w="5" w:type="dxa"/>
            <w:tblCellMar>
              <w:left w:w="0" w:type="dxa"/>
              <w:right w:w="0" w:type="dxa"/>
            </w:tblCellMar>
            <w:tblLook w:val="05E0" w:firstRow="1" w:lastRow="1" w:firstColumn="1" w:lastColumn="1" w:noHBand="0" w:noVBand="1"/>
          </w:tblPr>
          <w:tblGrid>
            <w:gridCol w:w="6810"/>
            <w:gridCol w:w="1110"/>
            <w:gridCol w:w="1110"/>
            <w:gridCol w:w="1110"/>
          </w:tblGrid>
          <w:tr w:rsidR="0064628A">
            <w:trPr>
              <w:trHeight w:val="195"/>
            </w:trPr>
            <w:tc>
              <w:tcPr>
                <w:tcW w:w="6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30 September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 xml:space="preserve">Balance sheet related key metrics and ratios </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68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assets</w:t>
                </w:r>
              </w:p>
            </w:tc>
            <w:tc>
              <w:tcPr>
                <w:tcW w:w="1110" w:type="dxa"/>
                <w:tcBorders>
                  <w:top w:val="single" w:sz="6" w:space="0" w:color="003366"/>
                </w:tcBorders>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£723.0bn</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£776.5bn</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£694.2bn</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Funded assets</w:t>
                </w:r>
                <w:r>
                  <w:rPr>
                    <w:rStyle w:val="font6"/>
                  </w:rPr>
                  <w:t> (1)</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£573.0bn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£600.7bn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£560.9bn</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Loans to customers - amortised cost</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£326.9bn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£319.5bn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£305.1bn</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provisions</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£3.7bn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£3.8bn</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Customer deposits </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£369.2bn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£369.7bn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£360.9bn</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Liquidity coverage ratio (LCR)</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158%</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Liquidity portfolio</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£199bn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£193bn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£198bn</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 xml:space="preserve">Net stable funding ratio (NSFR) </w:t>
                </w:r>
                <w:r>
                  <w:rPr>
                    <w:rStyle w:val="font6"/>
                  </w:rPr>
                  <w:t>(4)</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141%</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 xml:space="preserve">Loan:deposit ratio </w:t>
                </w:r>
                <w:r>
                  <w:rPr>
                    <w:rStyle w:val="font6"/>
                  </w:rPr>
                  <w:t>(1)</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85%</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wholesale funding</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£75bn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£78bn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£74bn</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Short-term wholesale funding</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£15bn</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Common Equity Tier (CET1) ratio</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16.2%</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capital ratio</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21.2%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21.8%</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 xml:space="preserve">Pro forma CET 1 ratio, pre dividend and charges </w:t>
                </w:r>
                <w:r>
                  <w:rPr>
                    <w:rStyle w:val="font6"/>
                  </w:rPr>
                  <w:t>(5)</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16.9%</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Risk-weighted assets (RWAs)</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£179.2bn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£189.5bn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£188.7bn</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CRR leverage ratio</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5.4%</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UK leverage ratio</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6.2%</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Tangible net asset value (TNAV) per ordinary share</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268p</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272p</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287p</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 xml:space="preserve">Tangible net asset value (TNAV) per ordinary share - fully diluted </w:t>
                </w:r>
                <w:r>
                  <w:rPr>
                    <w:rStyle w:val="font6"/>
                  </w:rPr>
                  <w:t>(1,3)</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267p</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272p</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286p</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Tangible equity</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£32,371m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£32,930m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£34,566m</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Number of ordinary shares in issue (millions)</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12,094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12,094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12,049 </w:t>
                </w:r>
              </w:p>
            </w:tc>
          </w:tr>
          <w:tr w:rsidR="0064628A">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 xml:space="preserve">Number of ordinary shares in issue (millions) - fully diluted </w:t>
                </w:r>
                <w:r>
                  <w:rPr>
                    <w:rStyle w:val="font6"/>
                  </w:rPr>
                  <w:t>(3,6)</w:t>
                </w:r>
              </w:p>
            </w:tc>
            <w:tc>
              <w:tcPr>
                <w:tcW w:w="1110" w:type="dxa"/>
                <w:tcBorders>
                  <w:bottom w:val="single" w:sz="6" w:space="0" w:color="003366"/>
                </w:tcBorders>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12,138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12,124</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12,088 </w:t>
                </w:r>
              </w:p>
            </w:tc>
          </w:tr>
        </w:tbl>
      </w:sdtContent>
    </w:sdt>
    <w:p w:rsidR="006471B8" w:rsidRPr="00A37AC7" w:rsidRDefault="006471B8" w:rsidP="00A257F0">
      <w:pPr>
        <w:pStyle w:val="Normal30"/>
        <w:rPr>
          <w:sz w:val="6"/>
        </w:rPr>
      </w:pPr>
    </w:p>
    <w:p w:rsidR="00111892" w:rsidRDefault="00111892" w:rsidP="00362B1B">
      <w:pPr>
        <w:pStyle w:val="Normal30"/>
        <w:rPr>
          <w:rFonts w:eastAsia="SimSun"/>
          <w:noProof/>
          <w:color w:val="000000"/>
          <w:sz w:val="14"/>
          <w:szCs w:val="14"/>
        </w:rPr>
      </w:pPr>
    </w:p>
    <w:p w:rsidR="00A257F0" w:rsidRPr="001A7AD7" w:rsidRDefault="00FC1FDC" w:rsidP="00362B1B">
      <w:pPr>
        <w:pStyle w:val="Normal30"/>
        <w:rPr>
          <w:rFonts w:eastAsia="SimSun"/>
          <w:noProof/>
          <w:color w:val="000000"/>
          <w:sz w:val="14"/>
          <w:szCs w:val="14"/>
        </w:rPr>
      </w:pPr>
      <w:r w:rsidRPr="001A7AD7">
        <w:rPr>
          <w:rFonts w:eastAsia="SimSun"/>
          <w:noProof/>
          <w:color w:val="000000"/>
          <w:sz w:val="14"/>
          <w:szCs w:val="14"/>
        </w:rPr>
        <w:t>Notes:</w:t>
      </w:r>
      <w:r>
        <w:rPr>
          <w:rFonts w:eastAsia="SimSun"/>
          <w:noProof/>
          <w:color w:val="000000"/>
          <w:sz w:val="14"/>
          <w:szCs w:val="14"/>
        </w:rPr>
        <w:t xml:space="preserve"> </w:t>
      </w:r>
    </w:p>
    <w:tbl>
      <w:tblPr>
        <w:tblW w:w="10206" w:type="dxa"/>
        <w:tblCellMar>
          <w:left w:w="0" w:type="dxa"/>
          <w:right w:w="0" w:type="dxa"/>
        </w:tblCellMar>
        <w:tblLook w:val="01E0" w:firstRow="1" w:lastRow="1" w:firstColumn="1" w:lastColumn="1" w:noHBand="0" w:noVBand="0"/>
      </w:tblPr>
      <w:tblGrid>
        <w:gridCol w:w="240"/>
        <w:gridCol w:w="9966"/>
      </w:tblGrid>
      <w:tr w:rsidR="0064628A" w:rsidTr="005F64C9">
        <w:tc>
          <w:tcPr>
            <w:tcW w:w="240" w:type="dxa"/>
          </w:tcPr>
          <w:p w:rsidR="00A257F0" w:rsidRPr="001A7AD7" w:rsidRDefault="00FC1FDC" w:rsidP="00362B1B">
            <w:pPr>
              <w:pStyle w:val="Normal30"/>
              <w:rPr>
                <w:rFonts w:eastAsia="SimSun"/>
                <w:sz w:val="14"/>
                <w:szCs w:val="14"/>
                <w:lang w:eastAsia="ja-JP"/>
              </w:rPr>
            </w:pPr>
            <w:r w:rsidRPr="001A7AD7">
              <w:rPr>
                <w:rFonts w:eastAsia="SimSun"/>
                <w:sz w:val="14"/>
                <w:szCs w:val="14"/>
                <w:lang w:eastAsia="ja-JP"/>
              </w:rPr>
              <w:t>(1)</w:t>
            </w:r>
          </w:p>
        </w:tc>
        <w:tc>
          <w:tcPr>
            <w:tcW w:w="9966" w:type="dxa"/>
          </w:tcPr>
          <w:p w:rsidR="00392710" w:rsidRPr="001A7AD7" w:rsidRDefault="00FC1FDC" w:rsidP="00362B1B">
            <w:pPr>
              <w:pStyle w:val="Normal30"/>
              <w:rPr>
                <w:rFonts w:eastAsia="SimSun"/>
                <w:sz w:val="14"/>
                <w:szCs w:val="14"/>
                <w:lang w:eastAsia="en-US"/>
              </w:rPr>
            </w:pPr>
            <w:r>
              <w:rPr>
                <w:rFonts w:eastAsia="SimSun"/>
                <w:sz w:val="14"/>
                <w:szCs w:val="14"/>
                <w:lang w:eastAsia="en-US"/>
              </w:rPr>
              <w:t xml:space="preserve">Refer to the Appendix for details of the basis of preparation and reconciliation of non-financial and performance measures. </w:t>
            </w:r>
          </w:p>
        </w:tc>
      </w:tr>
      <w:tr w:rsidR="0064628A" w:rsidTr="005F64C9">
        <w:tc>
          <w:tcPr>
            <w:tcW w:w="240" w:type="dxa"/>
          </w:tcPr>
          <w:p w:rsidR="00392710" w:rsidRPr="001A7AD7" w:rsidRDefault="00FC1FDC" w:rsidP="00362B1B">
            <w:pPr>
              <w:pStyle w:val="Normal30"/>
              <w:rPr>
                <w:rFonts w:eastAsia="SimSun"/>
                <w:sz w:val="14"/>
                <w:szCs w:val="14"/>
                <w:lang w:eastAsia="ja-JP"/>
              </w:rPr>
            </w:pPr>
            <w:r w:rsidRPr="001A7AD7">
              <w:rPr>
                <w:rFonts w:eastAsia="SimSun"/>
                <w:sz w:val="14"/>
                <w:szCs w:val="14"/>
              </w:rPr>
              <w:t>(2)</w:t>
            </w:r>
          </w:p>
        </w:tc>
        <w:tc>
          <w:tcPr>
            <w:tcW w:w="9966" w:type="dxa"/>
          </w:tcPr>
          <w:p w:rsidR="00392710" w:rsidRDefault="00FC1FDC" w:rsidP="00616229">
            <w:pPr>
              <w:pStyle w:val="Normal30"/>
              <w:rPr>
                <w:rFonts w:eastAsia="SimSun"/>
                <w:sz w:val="14"/>
                <w:szCs w:val="14"/>
                <w:lang w:eastAsia="en-US"/>
              </w:rPr>
            </w:pPr>
            <w:r>
              <w:rPr>
                <w:rFonts w:eastAsia="SimSun"/>
                <w:sz w:val="14"/>
                <w:szCs w:val="14"/>
                <w:lang w:eastAsia="en-US"/>
              </w:rPr>
              <w:t>Refer to Note 2 for details of the representation of interest in suspense provisions. The loan impairment rates for 2018 were recalculated and there was no impact on the rates.</w:t>
            </w:r>
          </w:p>
        </w:tc>
      </w:tr>
      <w:tr w:rsidR="0064628A" w:rsidTr="00B35720">
        <w:trPr>
          <w:trHeight w:val="80"/>
        </w:trPr>
        <w:tc>
          <w:tcPr>
            <w:tcW w:w="240" w:type="dxa"/>
          </w:tcPr>
          <w:p w:rsidR="00A257F0" w:rsidRPr="001A7AD7" w:rsidRDefault="00FC1FDC" w:rsidP="00362B1B">
            <w:pPr>
              <w:pStyle w:val="Normal30"/>
              <w:rPr>
                <w:rFonts w:eastAsia="SimSun"/>
                <w:sz w:val="14"/>
                <w:szCs w:val="14"/>
              </w:rPr>
            </w:pPr>
            <w:r>
              <w:rPr>
                <w:rFonts w:eastAsia="SimSun"/>
                <w:sz w:val="14"/>
                <w:szCs w:val="14"/>
              </w:rPr>
              <w:t>(3</w:t>
            </w:r>
            <w:r w:rsidR="00250B6C" w:rsidRPr="001A7AD7">
              <w:rPr>
                <w:rFonts w:eastAsia="SimSun"/>
                <w:sz w:val="14"/>
                <w:szCs w:val="14"/>
              </w:rPr>
              <w:t>)</w:t>
            </w:r>
          </w:p>
        </w:tc>
        <w:tc>
          <w:tcPr>
            <w:tcW w:w="9966" w:type="dxa"/>
          </w:tcPr>
          <w:p w:rsidR="00A257F0" w:rsidRPr="001A7AD7" w:rsidRDefault="00FC1FDC" w:rsidP="00F33CFB">
            <w:pPr>
              <w:pStyle w:val="Normal30"/>
              <w:rPr>
                <w:rFonts w:eastAsia="SimSun"/>
                <w:sz w:val="14"/>
                <w:szCs w:val="14"/>
                <w:lang w:eastAsia="zh-CN"/>
              </w:rPr>
            </w:pPr>
            <w:r w:rsidRPr="001A7AD7">
              <w:rPr>
                <w:rFonts w:eastAsia="SimSun"/>
                <w:sz w:val="14"/>
                <w:szCs w:val="14"/>
                <w:lang w:eastAsia="en-US"/>
              </w:rPr>
              <w:t xml:space="preserve">Includes the effect of dilutive share options and convertible securities. Dilutive shares on an average basis for </w:t>
            </w:r>
            <w:r>
              <w:rPr>
                <w:rFonts w:eastAsia="SimSun"/>
                <w:sz w:val="14"/>
                <w:szCs w:val="14"/>
                <w:lang w:eastAsia="en-US"/>
              </w:rPr>
              <w:t xml:space="preserve">Q4 2019 </w:t>
            </w:r>
            <w:r w:rsidRPr="001A7AD7">
              <w:rPr>
                <w:rFonts w:eastAsia="SimSun"/>
                <w:sz w:val="14"/>
                <w:szCs w:val="14"/>
                <w:lang w:eastAsia="en-US"/>
              </w:rPr>
              <w:t xml:space="preserve">were </w:t>
            </w:r>
            <w:r>
              <w:rPr>
                <w:rFonts w:eastAsia="SimSun"/>
                <w:sz w:val="14"/>
                <w:szCs w:val="14"/>
                <w:lang w:eastAsia="en-US"/>
              </w:rPr>
              <w:t>36</w:t>
            </w:r>
            <w:r w:rsidRPr="001A7AD7">
              <w:rPr>
                <w:rFonts w:eastAsia="SimSun"/>
                <w:sz w:val="14"/>
                <w:szCs w:val="14"/>
                <w:lang w:eastAsia="en-US"/>
              </w:rPr>
              <w:t xml:space="preserve"> million shares</w:t>
            </w:r>
            <w:r>
              <w:rPr>
                <w:rFonts w:eastAsia="SimSun"/>
                <w:sz w:val="14"/>
                <w:szCs w:val="14"/>
                <w:lang w:eastAsia="en-US"/>
              </w:rPr>
              <w:t xml:space="preserve"> and for the year ended 31 December</w:t>
            </w:r>
            <w:r w:rsidRPr="001A7AD7">
              <w:rPr>
                <w:rFonts w:eastAsia="SimSun"/>
                <w:sz w:val="14"/>
                <w:szCs w:val="14"/>
                <w:lang w:eastAsia="en-US"/>
              </w:rPr>
              <w:t xml:space="preserve"> 201</w:t>
            </w:r>
            <w:r>
              <w:rPr>
                <w:rFonts w:eastAsia="SimSun"/>
                <w:sz w:val="14"/>
                <w:szCs w:val="14"/>
                <w:lang w:eastAsia="en-US"/>
              </w:rPr>
              <w:t>9 were 35</w:t>
            </w:r>
            <w:r w:rsidRPr="001A7AD7">
              <w:rPr>
                <w:rFonts w:eastAsia="SimSun"/>
                <w:sz w:val="14"/>
                <w:szCs w:val="14"/>
                <w:lang w:eastAsia="en-US"/>
              </w:rPr>
              <w:t xml:space="preserve"> million shares; (</w:t>
            </w:r>
            <w:r>
              <w:rPr>
                <w:rFonts w:eastAsia="SimSun"/>
                <w:sz w:val="14"/>
                <w:szCs w:val="14"/>
                <w:lang w:eastAsia="en-US"/>
              </w:rPr>
              <w:t>year ended 31 December 2018 - 52 million shares, Q3 2019 – 31 million shares, Q4 2018 – 41 million shares), and as at 31 December 2019 were 44 million shares (30 September 2019 - 30 million shares; 31 December 2018 - 39 million shares)</w:t>
            </w:r>
            <w:r w:rsidRPr="001A7AD7">
              <w:rPr>
                <w:rFonts w:eastAsia="SimSun"/>
                <w:sz w:val="14"/>
                <w:szCs w:val="14"/>
                <w:lang w:eastAsia="en-US"/>
              </w:rPr>
              <w:t>.</w:t>
            </w:r>
          </w:p>
        </w:tc>
      </w:tr>
      <w:tr w:rsidR="0064628A" w:rsidTr="005F64C9">
        <w:tc>
          <w:tcPr>
            <w:tcW w:w="240" w:type="dxa"/>
          </w:tcPr>
          <w:p w:rsidR="00A257F0" w:rsidRPr="001A7AD7" w:rsidRDefault="00FC1FDC" w:rsidP="00362B1B">
            <w:pPr>
              <w:pStyle w:val="Normal30"/>
              <w:rPr>
                <w:rFonts w:eastAsia="SimSun"/>
                <w:sz w:val="14"/>
                <w:szCs w:val="14"/>
              </w:rPr>
            </w:pPr>
            <w:r>
              <w:rPr>
                <w:rFonts w:eastAsia="SimSun"/>
                <w:sz w:val="14"/>
                <w:szCs w:val="14"/>
              </w:rPr>
              <w:t>(4</w:t>
            </w:r>
            <w:r w:rsidR="00250B6C" w:rsidRPr="001A7AD7">
              <w:rPr>
                <w:rFonts w:eastAsia="SimSun"/>
                <w:sz w:val="14"/>
                <w:szCs w:val="14"/>
              </w:rPr>
              <w:t>)</w:t>
            </w:r>
          </w:p>
        </w:tc>
        <w:tc>
          <w:tcPr>
            <w:tcW w:w="9966" w:type="dxa"/>
          </w:tcPr>
          <w:p w:rsidR="00A257F0" w:rsidRPr="001A7AD7" w:rsidRDefault="00FC1FDC" w:rsidP="00362B1B">
            <w:pPr>
              <w:pStyle w:val="Normal30"/>
              <w:rPr>
                <w:rFonts w:eastAsia="SimSun"/>
                <w:sz w:val="14"/>
                <w:szCs w:val="14"/>
                <w:lang w:eastAsia="en-US"/>
              </w:rPr>
            </w:pPr>
            <w:r>
              <w:rPr>
                <w:rFonts w:eastAsia="SimSun"/>
                <w:sz w:val="14"/>
                <w:szCs w:val="14"/>
                <w:lang w:eastAsia="en-US"/>
              </w:rPr>
              <w:t>NSFR reported in line with CRR2 regulations finalised in June 2019.</w:t>
            </w:r>
          </w:p>
        </w:tc>
      </w:tr>
      <w:tr w:rsidR="0064628A" w:rsidTr="005F64C9">
        <w:tc>
          <w:tcPr>
            <w:tcW w:w="240" w:type="dxa"/>
          </w:tcPr>
          <w:p w:rsidR="00A257F0" w:rsidRPr="001A7AD7" w:rsidRDefault="00FC1FDC" w:rsidP="00362B1B">
            <w:pPr>
              <w:pStyle w:val="Normal30"/>
              <w:rPr>
                <w:rFonts w:eastAsia="SimSun"/>
                <w:sz w:val="14"/>
                <w:szCs w:val="14"/>
                <w:lang w:eastAsia="en-US"/>
              </w:rPr>
            </w:pPr>
            <w:r>
              <w:rPr>
                <w:rFonts w:eastAsia="SimSun"/>
                <w:sz w:val="14"/>
                <w:szCs w:val="14"/>
                <w:lang w:eastAsia="en-US"/>
              </w:rPr>
              <w:t>(5</w:t>
            </w:r>
            <w:r w:rsidR="00250B6C" w:rsidRPr="001A7AD7">
              <w:rPr>
                <w:rFonts w:eastAsia="SimSun"/>
                <w:sz w:val="14"/>
                <w:szCs w:val="14"/>
                <w:lang w:eastAsia="en-US"/>
              </w:rPr>
              <w:t>)</w:t>
            </w:r>
          </w:p>
        </w:tc>
        <w:tc>
          <w:tcPr>
            <w:tcW w:w="9966" w:type="dxa"/>
          </w:tcPr>
          <w:p w:rsidR="00A257F0" w:rsidRPr="001A7AD7" w:rsidRDefault="00FC1FDC" w:rsidP="008A716C">
            <w:pPr>
              <w:pStyle w:val="Normal30"/>
              <w:rPr>
                <w:rFonts w:eastAsia="SimSun"/>
                <w:sz w:val="14"/>
                <w:szCs w:val="14"/>
                <w:lang w:eastAsia="en-US"/>
              </w:rPr>
            </w:pPr>
            <w:r w:rsidRPr="00B35720">
              <w:rPr>
                <w:rFonts w:eastAsia="SimSun"/>
                <w:sz w:val="14"/>
                <w:szCs w:val="14"/>
                <w:lang w:eastAsia="en-US"/>
              </w:rPr>
              <w:t>The pro forma CET 1 ratio at 31 December 2019 excludes a foreseeable charge of £365 million, £362 million (3p per share) for a final dividend and £606 million (5p per share) for a special dividend</w:t>
            </w:r>
            <w:r>
              <w:rPr>
                <w:rFonts w:eastAsia="SimSun"/>
                <w:sz w:val="14"/>
                <w:szCs w:val="14"/>
                <w:lang w:eastAsia="zh-CN"/>
              </w:rPr>
              <w:t xml:space="preserve"> (30 September 2019 - £362 million (3p per share)). 31 December 2018 excluded a charge of £422 million (3.5p per share) for the final dividend and £904 million (7.5p per share) for the special dividend.</w:t>
            </w:r>
          </w:p>
        </w:tc>
      </w:tr>
      <w:tr w:rsidR="0064628A" w:rsidTr="00E463CE">
        <w:trPr>
          <w:trHeight w:val="95"/>
        </w:trPr>
        <w:tc>
          <w:tcPr>
            <w:tcW w:w="240" w:type="dxa"/>
          </w:tcPr>
          <w:p w:rsidR="00A257F0" w:rsidRPr="00E463CE" w:rsidRDefault="00FC1FDC" w:rsidP="00362B1B">
            <w:pPr>
              <w:pStyle w:val="Normal30"/>
              <w:rPr>
                <w:rFonts w:eastAsia="SimSun"/>
                <w:sz w:val="14"/>
                <w:szCs w:val="14"/>
              </w:rPr>
            </w:pPr>
            <w:r w:rsidRPr="00E463CE">
              <w:rPr>
                <w:rFonts w:eastAsia="SimSun"/>
                <w:sz w:val="14"/>
                <w:szCs w:val="14"/>
              </w:rPr>
              <w:t>(6</w:t>
            </w:r>
            <w:r w:rsidR="00250B6C" w:rsidRPr="00E463CE">
              <w:rPr>
                <w:rFonts w:eastAsia="SimSun"/>
                <w:sz w:val="14"/>
                <w:szCs w:val="14"/>
              </w:rPr>
              <w:t>)</w:t>
            </w:r>
          </w:p>
        </w:tc>
        <w:tc>
          <w:tcPr>
            <w:tcW w:w="9966" w:type="dxa"/>
          </w:tcPr>
          <w:p w:rsidR="00A257F0" w:rsidRPr="00E463CE" w:rsidRDefault="00FC1FDC" w:rsidP="00F33CFB">
            <w:pPr>
              <w:pStyle w:val="Normal30"/>
              <w:rPr>
                <w:rFonts w:eastAsia="SimSun"/>
                <w:sz w:val="14"/>
                <w:szCs w:val="14"/>
                <w:lang w:eastAsia="zh-CN"/>
              </w:rPr>
            </w:pPr>
            <w:r w:rsidRPr="00E463CE">
              <w:rPr>
                <w:sz w:val="14"/>
                <w:szCs w:val="14"/>
                <w:lang w:eastAsia="zh-CN"/>
              </w:rPr>
              <w:t>Includes 15 million shares by the Employee Benefit Trust (30 September 2019 - 16 million shares; 31 December 2018 - 8 million shares).</w:t>
            </w:r>
          </w:p>
        </w:tc>
      </w:tr>
    </w:tbl>
    <w:p w:rsidR="006471B8" w:rsidRDefault="006471B8" w:rsidP="00362B1B"/>
    <w:p w:rsidR="006471B8" w:rsidRDefault="00FC1FDC" w:rsidP="006471B8">
      <w:r>
        <w:br w:type="page"/>
      </w:r>
    </w:p>
    <w:p w:rsidR="00C36715" w:rsidRPr="00A257F0" w:rsidRDefault="00C36715" w:rsidP="00A257F0">
      <w:pPr>
        <w:sectPr w:rsidR="00C36715" w:rsidRPr="00A257F0" w:rsidSect="001B061F">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134" w:right="851" w:bottom="680" w:left="851" w:header="708" w:footer="708" w:gutter="0"/>
          <w:cols w:space="708"/>
          <w:docGrid w:linePitch="360"/>
        </w:sectPr>
      </w:pPr>
    </w:p>
    <w:p w:rsidR="00FC5560" w:rsidRDefault="00FC1FDC" w:rsidP="00FC5560">
      <w:pPr>
        <w:pStyle w:val="Normal00"/>
        <w:keepNext/>
        <w:spacing w:line="259" w:lineRule="auto"/>
        <w:jc w:val="both"/>
        <w:outlineLvl w:val="0"/>
        <w:rPr>
          <w:rFonts w:ascii="Arial" w:eastAsia="Calibri" w:hAnsi="Arial" w:cs="Arial"/>
          <w:b/>
          <w:color w:val="003366"/>
          <w:sz w:val="18"/>
          <w:szCs w:val="18"/>
          <w:lang w:eastAsia="ja-JP"/>
        </w:rPr>
      </w:pPr>
      <w:r>
        <w:rPr>
          <w:rFonts w:ascii="Arial" w:eastAsia="Calibri" w:hAnsi="Arial" w:cs="Arial"/>
          <w:b/>
          <w:color w:val="003366"/>
          <w:sz w:val="18"/>
          <w:szCs w:val="18"/>
          <w:lang w:eastAsia="ja-JP"/>
        </w:rPr>
        <w:lastRenderedPageBreak/>
        <w:t>Chief Executive’s Statement</w:t>
      </w:r>
    </w:p>
    <w:p w:rsidR="00FC5560" w:rsidRPr="00073A00" w:rsidRDefault="00FC5560" w:rsidP="00FC5560">
      <w:pPr>
        <w:pStyle w:val="Normal00"/>
        <w:keepNext/>
        <w:spacing w:line="259" w:lineRule="auto"/>
        <w:jc w:val="both"/>
        <w:outlineLvl w:val="0"/>
        <w:rPr>
          <w:rFonts w:ascii="Arial" w:eastAsia="Calibri" w:hAnsi="Arial" w:cs="Arial"/>
          <w:b/>
          <w:color w:val="003366"/>
          <w:sz w:val="14"/>
          <w:szCs w:val="14"/>
          <w:lang w:eastAsia="ja-JP"/>
        </w:rPr>
      </w:pPr>
    </w:p>
    <w:p w:rsidR="007B7C13" w:rsidRDefault="00FC1FDC" w:rsidP="00FC5560">
      <w:pPr>
        <w:spacing w:line="259" w:lineRule="auto"/>
        <w:rPr>
          <w:rFonts w:cs="Arial"/>
          <w:b/>
          <w:bCs/>
          <w:color w:val="002060"/>
          <w:sz w:val="18"/>
          <w:szCs w:val="18"/>
        </w:rPr>
      </w:pPr>
      <w:r w:rsidRPr="007B7C13">
        <w:rPr>
          <w:rFonts w:cs="Arial"/>
          <w:b/>
          <w:bCs/>
          <w:color w:val="002060"/>
          <w:sz w:val="18"/>
          <w:szCs w:val="18"/>
        </w:rPr>
        <w:t>We champion potential, helping people, families and businesses to thrive.  </w:t>
      </w:r>
    </w:p>
    <w:p w:rsidR="00FC5560" w:rsidRPr="00073A00" w:rsidRDefault="00FC5560" w:rsidP="00FC5560">
      <w:pPr>
        <w:spacing w:line="259" w:lineRule="auto"/>
        <w:rPr>
          <w:rFonts w:cs="Arial"/>
          <w:b/>
          <w:bCs/>
          <w:color w:val="002060"/>
          <w:sz w:val="14"/>
          <w:szCs w:val="14"/>
        </w:rPr>
      </w:pPr>
    </w:p>
    <w:p w:rsidR="007B7C13" w:rsidRPr="007B7C13" w:rsidRDefault="00FC1FDC" w:rsidP="00FC5560">
      <w:pPr>
        <w:pStyle w:val="p1"/>
        <w:spacing w:before="0" w:beforeAutospacing="0" w:after="0" w:afterAutospacing="0" w:line="259" w:lineRule="auto"/>
        <w:rPr>
          <w:rFonts w:ascii="Arial" w:hAnsi="Arial" w:cs="Arial"/>
          <w:sz w:val="18"/>
          <w:szCs w:val="18"/>
        </w:rPr>
      </w:pPr>
      <w:r w:rsidRPr="007B7C13">
        <w:rPr>
          <w:rFonts w:ascii="Arial" w:hAnsi="Arial" w:cs="Arial"/>
          <w:sz w:val="18"/>
          <w:szCs w:val="18"/>
        </w:rPr>
        <w:t xml:space="preserve">Dear shareholders, </w:t>
      </w: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 xml:space="preserve">It is a privilege to be writing to you as CEO of the company that I joined as a graduate more than 25 years ago. I am truly excited by the opportunity to lead the Bank as we set out a new commitment to become a Purpose-led organisation, which will champion the potential of people, families and businesses across the communities we serve. </w:t>
      </w:r>
    </w:p>
    <w:p w:rsidR="00AF282B" w:rsidRPr="00073A00" w:rsidRDefault="00AF282B" w:rsidP="00FC5560">
      <w:pPr>
        <w:pStyle w:val="p1"/>
        <w:spacing w:before="0" w:beforeAutospacing="0" w:after="0" w:afterAutospacing="0" w:line="259" w:lineRule="auto"/>
        <w:rPr>
          <w:rFonts w:ascii="Arial" w:hAnsi="Arial" w:cs="Arial"/>
          <w:b/>
          <w:sz w:val="14"/>
          <w:szCs w:val="14"/>
        </w:rPr>
      </w:pPr>
    </w:p>
    <w:p w:rsidR="00AF282B" w:rsidRPr="00AF282B" w:rsidRDefault="00FC1FDC" w:rsidP="00FC5560">
      <w:pPr>
        <w:pStyle w:val="p1"/>
        <w:spacing w:before="0" w:beforeAutospacing="0" w:after="0" w:afterAutospacing="0" w:line="259" w:lineRule="auto"/>
        <w:rPr>
          <w:rFonts w:ascii="Arial" w:hAnsi="Arial" w:cs="Arial"/>
          <w:color w:val="002060"/>
          <w:sz w:val="18"/>
          <w:szCs w:val="18"/>
        </w:rPr>
      </w:pPr>
      <w:r w:rsidRPr="00AF282B">
        <w:rPr>
          <w:rFonts w:ascii="Arial" w:hAnsi="Arial" w:cs="Arial"/>
          <w:color w:val="002060"/>
          <w:sz w:val="18"/>
          <w:szCs w:val="18"/>
        </w:rPr>
        <w:t>A period of unprecedented disruption</w:t>
      </w:r>
    </w:p>
    <w:p w:rsidR="00AF282B" w:rsidRPr="00AF282B" w:rsidRDefault="00FC1FDC" w:rsidP="00FC5560">
      <w:pPr>
        <w:pStyle w:val="p1"/>
        <w:spacing w:before="0" w:beforeAutospacing="0" w:after="0" w:afterAutospacing="0" w:line="259" w:lineRule="auto"/>
        <w:rPr>
          <w:rFonts w:ascii="Arial" w:hAnsi="Arial" w:cs="Arial"/>
          <w:b/>
          <w:sz w:val="18"/>
          <w:szCs w:val="18"/>
        </w:rPr>
      </w:pPr>
      <w:bookmarkStart w:id="5" w:name="_Hlk32405691"/>
      <w:r w:rsidRPr="00AF282B">
        <w:rPr>
          <w:rFonts w:ascii="Arial" w:hAnsi="Arial" w:cs="Arial"/>
          <w:sz w:val="18"/>
          <w:szCs w:val="18"/>
        </w:rPr>
        <w:t xml:space="preserve">We, like our customers, are living in a period of unprecedented disruption - whether it is the struggle to get on the housing ladder or starting a business, the rapid growth of disruptive technology, an ageing population, the emergence of the gig economy or the existential impact of climate change. The way people live is changing, and their expectations of companies are changing too. I firmly believe in response, we have to adopt a new approach that moves away from a view that is defined by products and transactions, and uses the strength of the relationships we have with all of our stakeholders as the real test of our progress. </w:t>
      </w:r>
    </w:p>
    <w:p w:rsidR="00AF282B" w:rsidRPr="00073A00" w:rsidRDefault="00AF282B" w:rsidP="00FC5560">
      <w:pPr>
        <w:spacing w:line="259" w:lineRule="auto"/>
        <w:rPr>
          <w:rFonts w:cs="Arial"/>
          <w:sz w:val="14"/>
          <w:szCs w:val="14"/>
        </w:rPr>
      </w:pPr>
      <w:bookmarkStart w:id="6" w:name="_Hlk31033931"/>
      <w:bookmarkEnd w:id="5"/>
    </w:p>
    <w:p w:rsidR="00AF282B" w:rsidRPr="00AF282B" w:rsidRDefault="00FC1FDC" w:rsidP="00FC5560">
      <w:pPr>
        <w:spacing w:line="259" w:lineRule="auto"/>
        <w:rPr>
          <w:rFonts w:cs="Arial"/>
          <w:sz w:val="18"/>
          <w:szCs w:val="18"/>
        </w:rPr>
      </w:pPr>
      <w:r w:rsidRPr="00AF282B">
        <w:rPr>
          <w:rFonts w:cs="Arial"/>
          <w:sz w:val="18"/>
          <w:szCs w:val="18"/>
        </w:rPr>
        <w:t xml:space="preserve">This disruption is happening against the backdrop of a highly uncertain economic environment. UK economic growth remains subdued, compared to its historic trend, and interest rates are likely to be lower for longer. This has an impact on our ability to generate net interest income. Business confidence continues to be affected by the UK’s departure from the EU as our customers await certainty over the future terms of trade. Consumer confidence on the other hand continues to be supported by a relatively strong UK employment market and we are seeing good volumes in our mortgage business as a result. We still see opportunities to grow in our key target markets despite some of these challenging trends. </w:t>
      </w:r>
      <w:bookmarkEnd w:id="6"/>
    </w:p>
    <w:p w:rsidR="00AF282B" w:rsidRPr="00073A00" w:rsidRDefault="00AF282B" w:rsidP="00FC5560">
      <w:pPr>
        <w:pStyle w:val="p1"/>
        <w:spacing w:before="0" w:beforeAutospacing="0" w:after="0" w:afterAutospacing="0" w:line="259" w:lineRule="auto"/>
        <w:rPr>
          <w:rFonts w:ascii="Arial" w:hAnsi="Arial" w:cs="Arial"/>
          <w:b/>
          <w:sz w:val="14"/>
          <w:szCs w:val="14"/>
        </w:rPr>
      </w:pPr>
    </w:p>
    <w:p w:rsidR="00AF282B" w:rsidRPr="00AF282B" w:rsidRDefault="00FC1FDC" w:rsidP="00FC5560">
      <w:pPr>
        <w:pStyle w:val="p1"/>
        <w:spacing w:before="0" w:beforeAutospacing="0" w:after="0" w:afterAutospacing="0" w:line="259" w:lineRule="auto"/>
        <w:rPr>
          <w:rFonts w:ascii="Arial" w:hAnsi="Arial" w:cs="Arial"/>
          <w:color w:val="002060"/>
          <w:sz w:val="18"/>
          <w:szCs w:val="18"/>
        </w:rPr>
      </w:pPr>
      <w:r w:rsidRPr="00AF282B">
        <w:rPr>
          <w:rFonts w:ascii="Arial" w:hAnsi="Arial" w:cs="Arial"/>
          <w:color w:val="002060"/>
          <w:sz w:val="18"/>
          <w:szCs w:val="18"/>
        </w:rPr>
        <w:t xml:space="preserve">Purpose-led organisation – Building more sustainable returns </w:t>
      </w:r>
    </w:p>
    <w:p w:rsidR="00AF282B" w:rsidRPr="00AF282B" w:rsidRDefault="00FC1FDC" w:rsidP="00FC5560">
      <w:pPr>
        <w:spacing w:line="259" w:lineRule="auto"/>
        <w:rPr>
          <w:rFonts w:cs="Arial"/>
          <w:sz w:val="18"/>
          <w:szCs w:val="18"/>
        </w:rPr>
      </w:pPr>
      <w:r w:rsidRPr="00AF282B">
        <w:rPr>
          <w:rFonts w:cs="Arial"/>
          <w:sz w:val="18"/>
          <w:szCs w:val="18"/>
        </w:rPr>
        <w:t xml:space="preserve">Today marks a new era, as we provide an update to our plans and a new Purpose for the Bank that will help us become a more sustainable business, delivering better outcomes for our customers and our shareholders. </w:t>
      </w:r>
    </w:p>
    <w:p w:rsidR="00073A00" w:rsidRPr="00073A00" w:rsidRDefault="00073A00" w:rsidP="00FC5560">
      <w:pPr>
        <w:pStyle w:val="p1"/>
        <w:spacing w:before="0" w:beforeAutospacing="0" w:after="0" w:afterAutospacing="0" w:line="259" w:lineRule="auto"/>
        <w:rPr>
          <w:rFonts w:ascii="Arial" w:hAnsi="Arial" w:cs="Arial"/>
          <w:sz w:val="14"/>
          <w:szCs w:val="14"/>
        </w:rPr>
      </w:pP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 xml:space="preserve">We are privileged to play a central role in the UK economy. That brings with it, a deep responsibility to the communities we serve and to wider society. That is why we have a refreshed Purpose: </w:t>
      </w:r>
    </w:p>
    <w:p w:rsidR="00AF282B" w:rsidRPr="00073A00" w:rsidRDefault="00AF282B" w:rsidP="00FC5560">
      <w:pPr>
        <w:pStyle w:val="p1"/>
        <w:spacing w:before="0" w:beforeAutospacing="0" w:after="0" w:afterAutospacing="0" w:line="259" w:lineRule="auto"/>
        <w:rPr>
          <w:rFonts w:ascii="Arial" w:hAnsi="Arial" w:cs="Arial"/>
          <w:sz w:val="14"/>
          <w:szCs w:val="14"/>
        </w:rPr>
      </w:pP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 xml:space="preserve">We champion potential, helping people, families and businesses to thrive. </w:t>
      </w:r>
    </w:p>
    <w:p w:rsidR="00AF282B" w:rsidRPr="00073A00" w:rsidRDefault="00AF282B" w:rsidP="00FC5560">
      <w:pPr>
        <w:pStyle w:val="p1"/>
        <w:spacing w:before="0" w:beforeAutospacing="0" w:after="0" w:afterAutospacing="0" w:line="259" w:lineRule="auto"/>
        <w:rPr>
          <w:rFonts w:ascii="Arial" w:hAnsi="Arial" w:cs="Arial"/>
          <w:sz w:val="14"/>
          <w:szCs w:val="14"/>
        </w:rPr>
      </w:pP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We won’t get everything right every time, but this simple expression will be the standard to which we will hold ourselves.</w:t>
      </w:r>
    </w:p>
    <w:p w:rsidR="00AF282B" w:rsidRPr="00073A00" w:rsidRDefault="00AF282B" w:rsidP="00FC5560">
      <w:pPr>
        <w:pStyle w:val="p1"/>
        <w:spacing w:before="0" w:beforeAutospacing="0" w:after="0" w:afterAutospacing="0" w:line="259" w:lineRule="auto"/>
        <w:rPr>
          <w:rFonts w:ascii="Arial" w:hAnsi="Arial" w:cs="Arial"/>
          <w:sz w:val="14"/>
          <w:szCs w:val="14"/>
        </w:rPr>
      </w:pP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Sustainable returns, however, can only come from a sustainable business model and building a Purpose-led bank must underpin the services we provide. It also means we must play our role in tackling the issues which hold people, families and businesses back.</w:t>
      </w:r>
    </w:p>
    <w:p w:rsidR="00AF282B" w:rsidRPr="00073A00" w:rsidRDefault="00AF282B" w:rsidP="00FC5560">
      <w:pPr>
        <w:spacing w:line="259" w:lineRule="auto"/>
        <w:rPr>
          <w:rFonts w:cs="Arial"/>
          <w:sz w:val="14"/>
          <w:szCs w:val="14"/>
        </w:rPr>
      </w:pPr>
    </w:p>
    <w:p w:rsidR="00AF282B" w:rsidRPr="00AF282B" w:rsidRDefault="00FC1FDC" w:rsidP="00FC5560">
      <w:pPr>
        <w:spacing w:line="259" w:lineRule="auto"/>
        <w:rPr>
          <w:rFonts w:cs="Arial"/>
          <w:sz w:val="18"/>
          <w:szCs w:val="18"/>
        </w:rPr>
      </w:pPr>
      <w:r w:rsidRPr="00AF282B">
        <w:rPr>
          <w:rFonts w:cs="Arial"/>
          <w:sz w:val="18"/>
          <w:szCs w:val="18"/>
        </w:rPr>
        <w:t xml:space="preserve">The Board and management team have worked together to define an approach to becoming a Purpose-led organisation based on balancing the interests of all our stakeholders. As part of this, we have worked with the not-for-profit organisation a Blueprint for Better Business. </w:t>
      </w:r>
    </w:p>
    <w:p w:rsidR="00AF282B" w:rsidRPr="00073A00" w:rsidRDefault="00AF282B" w:rsidP="00FC5560">
      <w:pPr>
        <w:spacing w:line="259" w:lineRule="auto"/>
        <w:rPr>
          <w:rFonts w:cs="Arial"/>
          <w:sz w:val="14"/>
          <w:szCs w:val="14"/>
        </w:rPr>
      </w:pPr>
    </w:p>
    <w:p w:rsidR="00AF282B" w:rsidRPr="00AF282B" w:rsidRDefault="00FC1FDC" w:rsidP="00FC5560">
      <w:pPr>
        <w:spacing w:line="259" w:lineRule="auto"/>
        <w:rPr>
          <w:rFonts w:cs="Arial"/>
          <w:sz w:val="18"/>
          <w:szCs w:val="18"/>
        </w:rPr>
      </w:pPr>
      <w:r w:rsidRPr="00AF282B">
        <w:rPr>
          <w:rFonts w:cs="Arial"/>
          <w:sz w:val="18"/>
          <w:szCs w:val="18"/>
        </w:rPr>
        <w:t xml:space="preserve">We have informed our approach using their framework that identifies the need to be: Honest and Fair with Customers and Suppliers; A Good Citizen; A Guardian for Future Generations; and A Responsible and Responsive Employer as key drivers to becoming a more sustainable business. In addition, we have analysed what is driving the changes in our own customer behaviours and the subsequent trends borne from their experiences. This forms the building blocks for the plans we are setting out today.   </w:t>
      </w:r>
    </w:p>
    <w:p w:rsidR="00AF282B" w:rsidRPr="00073A00" w:rsidRDefault="00AF282B" w:rsidP="00FC5560">
      <w:pPr>
        <w:spacing w:line="259" w:lineRule="auto"/>
        <w:rPr>
          <w:rFonts w:cs="Arial"/>
          <w:sz w:val="14"/>
          <w:szCs w:val="14"/>
        </w:rPr>
      </w:pPr>
    </w:p>
    <w:p w:rsidR="00AF282B" w:rsidRPr="00AF282B" w:rsidRDefault="00FC1FDC" w:rsidP="00FC5560">
      <w:pPr>
        <w:spacing w:line="259" w:lineRule="auto"/>
        <w:rPr>
          <w:rFonts w:cs="Arial"/>
          <w:sz w:val="18"/>
          <w:szCs w:val="18"/>
        </w:rPr>
      </w:pPr>
      <w:r w:rsidRPr="00AF282B">
        <w:rPr>
          <w:rFonts w:cs="Arial"/>
          <w:sz w:val="18"/>
          <w:szCs w:val="18"/>
        </w:rPr>
        <w:t xml:space="preserve">It is essential that our Purpose underpins our strategy and the decisions we make on the future direction of the business. At a practical level, we have been reviewing how to embed Purpose within Board forums and processes to ensure it is a central part of how we work. We are very clear that our Purpose must apply across the whole organisation and to everything we do. We are also clear that getting this right will take time. </w:t>
      </w:r>
    </w:p>
    <w:p w:rsidR="00AF282B" w:rsidRPr="00073A00" w:rsidRDefault="00AF282B" w:rsidP="00FC5560">
      <w:pPr>
        <w:spacing w:line="259" w:lineRule="auto"/>
        <w:rPr>
          <w:rFonts w:cs="Arial"/>
          <w:color w:val="FF0000"/>
          <w:sz w:val="14"/>
          <w:szCs w:val="14"/>
        </w:rPr>
      </w:pPr>
    </w:p>
    <w:p w:rsidR="00AF282B" w:rsidRPr="00AF282B" w:rsidRDefault="00FC1FDC" w:rsidP="00FC5560">
      <w:pPr>
        <w:spacing w:line="259" w:lineRule="auto"/>
        <w:rPr>
          <w:rFonts w:cs="Arial"/>
          <w:color w:val="002060"/>
          <w:sz w:val="18"/>
          <w:szCs w:val="18"/>
        </w:rPr>
      </w:pPr>
      <w:r w:rsidRPr="00AF282B">
        <w:rPr>
          <w:rFonts w:cs="Arial"/>
          <w:color w:val="002060"/>
          <w:sz w:val="18"/>
          <w:szCs w:val="18"/>
        </w:rPr>
        <w:t>Three initial areas of focus where we can make a substantial impact</w:t>
      </w:r>
    </w:p>
    <w:p w:rsidR="00AF282B" w:rsidRPr="00AF282B" w:rsidRDefault="00FC1FDC" w:rsidP="00FC5560">
      <w:pPr>
        <w:spacing w:line="259" w:lineRule="auto"/>
        <w:rPr>
          <w:rFonts w:cs="Arial"/>
          <w:sz w:val="18"/>
          <w:szCs w:val="18"/>
        </w:rPr>
      </w:pPr>
      <w:r w:rsidRPr="00AF282B">
        <w:rPr>
          <w:rFonts w:cs="Arial"/>
          <w:sz w:val="18"/>
          <w:szCs w:val="18"/>
        </w:rPr>
        <w:t xml:space="preserve">We have identified three areas of focus where we can make a substantial impact in addressing challenges that threaten to hold people, families and businesses back: </w:t>
      </w:r>
    </w:p>
    <w:p w:rsidR="00AF282B" w:rsidRPr="00073A00" w:rsidRDefault="00AF282B" w:rsidP="00FC5560">
      <w:pPr>
        <w:spacing w:line="259" w:lineRule="auto"/>
        <w:rPr>
          <w:rFonts w:cs="Arial"/>
          <w:sz w:val="14"/>
          <w:szCs w:val="14"/>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9814"/>
      </w:tblGrid>
      <w:tr w:rsidR="0064628A" w:rsidTr="00AF282B">
        <w:tc>
          <w:tcPr>
            <w:tcW w:w="392" w:type="dxa"/>
          </w:tcPr>
          <w:p w:rsidR="00AF282B" w:rsidRDefault="00FC1FDC" w:rsidP="00FC5560">
            <w:pPr>
              <w:spacing w:line="259" w:lineRule="auto"/>
              <w:rPr>
                <w:rFonts w:cs="Arial"/>
                <w:sz w:val="18"/>
                <w:szCs w:val="18"/>
              </w:rPr>
            </w:pPr>
            <w:r w:rsidRPr="00083324">
              <w:rPr>
                <w:rFonts w:eastAsia="SimSun"/>
                <w:color w:val="003366"/>
                <w:sz w:val="18"/>
                <w:szCs w:val="18"/>
                <w:lang w:eastAsia="ja-JP"/>
              </w:rPr>
              <w:t>●</w:t>
            </w:r>
          </w:p>
        </w:tc>
        <w:tc>
          <w:tcPr>
            <w:tcW w:w="9814" w:type="dxa"/>
          </w:tcPr>
          <w:p w:rsidR="00AF282B" w:rsidRPr="00AF282B" w:rsidRDefault="00FC1FDC" w:rsidP="00FC5560">
            <w:pPr>
              <w:spacing w:line="259" w:lineRule="auto"/>
              <w:rPr>
                <w:rFonts w:cs="Arial"/>
                <w:sz w:val="18"/>
                <w:szCs w:val="18"/>
              </w:rPr>
            </w:pPr>
            <w:r w:rsidRPr="00AF282B">
              <w:rPr>
                <w:rFonts w:cs="Arial"/>
                <w:sz w:val="18"/>
                <w:szCs w:val="18"/>
              </w:rPr>
              <w:t xml:space="preserve">Enterprise, and the barriers that too many face to starting a business; </w:t>
            </w:r>
          </w:p>
        </w:tc>
      </w:tr>
      <w:tr w:rsidR="0064628A" w:rsidTr="00AF282B">
        <w:tc>
          <w:tcPr>
            <w:tcW w:w="392" w:type="dxa"/>
          </w:tcPr>
          <w:p w:rsidR="00AF282B" w:rsidRDefault="00FC1FDC" w:rsidP="00FC5560">
            <w:pPr>
              <w:spacing w:line="259" w:lineRule="auto"/>
              <w:rPr>
                <w:rFonts w:cs="Arial"/>
                <w:sz w:val="18"/>
                <w:szCs w:val="18"/>
              </w:rPr>
            </w:pPr>
            <w:r w:rsidRPr="00083324">
              <w:rPr>
                <w:rFonts w:eastAsia="SimSun"/>
                <w:color w:val="003366"/>
                <w:sz w:val="18"/>
                <w:szCs w:val="18"/>
                <w:lang w:eastAsia="ja-JP"/>
              </w:rPr>
              <w:t>●</w:t>
            </w:r>
          </w:p>
        </w:tc>
        <w:tc>
          <w:tcPr>
            <w:tcW w:w="9814" w:type="dxa"/>
          </w:tcPr>
          <w:p w:rsidR="00AF282B" w:rsidRPr="00AF282B" w:rsidRDefault="00FC1FDC" w:rsidP="00FC5560">
            <w:pPr>
              <w:spacing w:line="259" w:lineRule="auto"/>
              <w:rPr>
                <w:rFonts w:cs="Arial"/>
                <w:sz w:val="18"/>
                <w:szCs w:val="18"/>
              </w:rPr>
            </w:pPr>
            <w:r w:rsidRPr="00AF282B">
              <w:rPr>
                <w:rFonts w:cs="Arial"/>
                <w:sz w:val="18"/>
                <w:szCs w:val="18"/>
              </w:rPr>
              <w:t xml:space="preserve">Learning, and what we can do to improve financial capability and confidence for our customers, as well as establishing a dynamic learning culture for our employees; and </w:t>
            </w:r>
          </w:p>
        </w:tc>
      </w:tr>
      <w:tr w:rsidR="0064628A" w:rsidTr="00AF282B">
        <w:tc>
          <w:tcPr>
            <w:tcW w:w="392" w:type="dxa"/>
          </w:tcPr>
          <w:p w:rsidR="00AF282B" w:rsidRDefault="00FC1FDC" w:rsidP="00FC5560">
            <w:pPr>
              <w:spacing w:line="259" w:lineRule="auto"/>
              <w:rPr>
                <w:rFonts w:cs="Arial"/>
                <w:sz w:val="18"/>
                <w:szCs w:val="18"/>
              </w:rPr>
            </w:pPr>
            <w:r w:rsidRPr="00083324">
              <w:rPr>
                <w:rFonts w:eastAsia="SimSun"/>
                <w:color w:val="003366"/>
                <w:sz w:val="18"/>
                <w:szCs w:val="18"/>
                <w:lang w:eastAsia="ja-JP"/>
              </w:rPr>
              <w:t>●</w:t>
            </w:r>
          </w:p>
        </w:tc>
        <w:tc>
          <w:tcPr>
            <w:tcW w:w="9814" w:type="dxa"/>
          </w:tcPr>
          <w:p w:rsidR="00AF282B" w:rsidRDefault="00FC1FDC" w:rsidP="00FC5560">
            <w:pPr>
              <w:spacing w:line="259" w:lineRule="auto"/>
              <w:rPr>
                <w:rFonts w:cs="Arial"/>
                <w:sz w:val="18"/>
                <w:szCs w:val="18"/>
              </w:rPr>
            </w:pPr>
            <w:r w:rsidRPr="00AF282B">
              <w:rPr>
                <w:rFonts w:cs="Arial"/>
                <w:sz w:val="18"/>
                <w:szCs w:val="18"/>
              </w:rPr>
              <w:t>Climate, and the role we can play in accelerating the transition to a low carbon economy.</w:t>
            </w:r>
          </w:p>
        </w:tc>
      </w:tr>
    </w:tbl>
    <w:p w:rsidR="00AF282B" w:rsidRPr="00073A00" w:rsidRDefault="00AF282B" w:rsidP="00FC5560">
      <w:pPr>
        <w:spacing w:line="259" w:lineRule="auto"/>
        <w:rPr>
          <w:rFonts w:cs="Arial"/>
          <w:sz w:val="14"/>
          <w:szCs w:val="14"/>
        </w:rPr>
      </w:pPr>
    </w:p>
    <w:p w:rsidR="00AF282B" w:rsidRPr="00AF282B" w:rsidRDefault="00FC1FDC" w:rsidP="00FC5560">
      <w:pPr>
        <w:spacing w:line="259" w:lineRule="auto"/>
        <w:rPr>
          <w:rFonts w:cs="Arial"/>
          <w:sz w:val="18"/>
          <w:szCs w:val="18"/>
        </w:rPr>
      </w:pPr>
      <w:r w:rsidRPr="00AF282B">
        <w:rPr>
          <w:rFonts w:cs="Arial"/>
          <w:sz w:val="18"/>
          <w:szCs w:val="18"/>
        </w:rPr>
        <w:t xml:space="preserve">We have set out some significant ambitions across these three areas that will deliver important benefits for our customers and the wider economy.   </w:t>
      </w:r>
    </w:p>
    <w:p w:rsidR="00AF282B" w:rsidRDefault="00FC1FDC" w:rsidP="00FC5560">
      <w:pPr>
        <w:spacing w:after="200" w:line="259" w:lineRule="auto"/>
        <w:rPr>
          <w:rFonts w:cs="Arial"/>
          <w:b/>
          <w:sz w:val="18"/>
          <w:szCs w:val="18"/>
          <w:lang w:eastAsia="en-GB"/>
        </w:rPr>
      </w:pPr>
      <w:bookmarkStart w:id="7" w:name="_Hlk29556555"/>
      <w:r>
        <w:rPr>
          <w:rFonts w:cs="Arial"/>
          <w:b/>
          <w:sz w:val="18"/>
          <w:szCs w:val="18"/>
        </w:rPr>
        <w:br w:type="page"/>
      </w:r>
    </w:p>
    <w:p w:rsidR="00AF282B" w:rsidRPr="00A7164A" w:rsidRDefault="00FC1FDC" w:rsidP="00FC5560">
      <w:pPr>
        <w:pStyle w:val="Normal00"/>
        <w:keepNext/>
        <w:spacing w:line="259" w:lineRule="auto"/>
        <w:outlineLvl w:val="0"/>
        <w:rPr>
          <w:rFonts w:ascii="Arial" w:eastAsia="Calibri" w:hAnsi="Arial" w:cs="Arial"/>
          <w:b/>
          <w:color w:val="003366"/>
          <w:sz w:val="18"/>
          <w:szCs w:val="18"/>
          <w:lang w:eastAsia="ja-JP"/>
        </w:rPr>
      </w:pPr>
      <w:r>
        <w:rPr>
          <w:rFonts w:ascii="Arial" w:eastAsia="Calibri" w:hAnsi="Arial" w:cs="Arial"/>
          <w:b/>
          <w:color w:val="003366"/>
          <w:sz w:val="18"/>
          <w:szCs w:val="18"/>
          <w:lang w:eastAsia="ja-JP"/>
        </w:rPr>
        <w:lastRenderedPageBreak/>
        <w:t xml:space="preserve">Chief Executive’s Statement </w:t>
      </w:r>
      <w:r w:rsidRPr="00FC5560">
        <w:rPr>
          <w:rFonts w:ascii="Arial" w:eastAsia="Calibri" w:hAnsi="Arial" w:cs="Arial"/>
          <w:color w:val="003366"/>
          <w:sz w:val="18"/>
          <w:szCs w:val="18"/>
          <w:lang w:eastAsia="ja-JP"/>
        </w:rPr>
        <w:t>continued</w:t>
      </w:r>
    </w:p>
    <w:p w:rsidR="00073A00" w:rsidRPr="00073A00" w:rsidRDefault="00073A00" w:rsidP="00FC5560">
      <w:pPr>
        <w:pStyle w:val="p1"/>
        <w:spacing w:before="0" w:beforeAutospacing="0" w:after="0" w:afterAutospacing="0" w:line="259" w:lineRule="auto"/>
        <w:rPr>
          <w:rFonts w:ascii="Arial" w:hAnsi="Arial" w:cs="Arial"/>
          <w:color w:val="002060"/>
          <w:sz w:val="14"/>
          <w:szCs w:val="14"/>
        </w:rPr>
      </w:pPr>
    </w:p>
    <w:p w:rsidR="00AF282B" w:rsidRPr="00AF282B" w:rsidRDefault="00FC1FDC" w:rsidP="00FC5560">
      <w:pPr>
        <w:pStyle w:val="p1"/>
        <w:spacing w:before="0" w:beforeAutospacing="0" w:after="0" w:afterAutospacing="0" w:line="259" w:lineRule="auto"/>
        <w:rPr>
          <w:rFonts w:ascii="Arial" w:hAnsi="Arial" w:cs="Arial"/>
          <w:color w:val="002060"/>
          <w:sz w:val="18"/>
          <w:szCs w:val="18"/>
        </w:rPr>
      </w:pPr>
      <w:r w:rsidRPr="00AF282B">
        <w:rPr>
          <w:rFonts w:ascii="Arial" w:hAnsi="Arial" w:cs="Arial"/>
          <w:color w:val="002060"/>
          <w:sz w:val="18"/>
          <w:szCs w:val="18"/>
        </w:rPr>
        <w:t xml:space="preserve">An ambition to take the lead in combating the causes of climate change </w:t>
      </w:r>
    </w:p>
    <w:p w:rsidR="00AF282B" w:rsidRPr="00AF282B" w:rsidRDefault="00FC1FDC" w:rsidP="00FC5560">
      <w:pPr>
        <w:spacing w:line="259" w:lineRule="auto"/>
        <w:rPr>
          <w:rFonts w:cs="Arial"/>
          <w:sz w:val="18"/>
          <w:szCs w:val="18"/>
        </w:rPr>
      </w:pPr>
      <w:bookmarkStart w:id="8" w:name="_Hlk31968013"/>
      <w:r w:rsidRPr="00AF282B">
        <w:rPr>
          <w:rFonts w:cs="Arial"/>
          <w:sz w:val="18"/>
          <w:szCs w:val="18"/>
        </w:rPr>
        <w:t>Today, we are setting a bold new ambition – to be a leading bank in the UK &amp; Republic of Ireland helping to address the climate challenge; by making our own operations net carbon zero in 2020 and climate positive by 2025, and by driving material reductions in the climate impact of our financing activity. We are setting ourselves the challenge to at least halve the climate impact of our financing activity by 2030, and intend to do what is necessary to achieve alignment with the 2015 Paris Agreement.</w:t>
      </w:r>
    </w:p>
    <w:bookmarkEnd w:id="8"/>
    <w:p w:rsidR="00AF282B" w:rsidRPr="00073A00" w:rsidRDefault="00AF282B" w:rsidP="00FC5560">
      <w:pPr>
        <w:spacing w:line="259" w:lineRule="auto"/>
        <w:jc w:val="both"/>
        <w:rPr>
          <w:rFonts w:cs="Arial"/>
          <w:sz w:val="14"/>
          <w:szCs w:val="14"/>
        </w:rPr>
      </w:pPr>
    </w:p>
    <w:p w:rsidR="00AF282B" w:rsidRPr="00AF282B" w:rsidRDefault="00FC1FDC" w:rsidP="00FC5560">
      <w:pPr>
        <w:spacing w:line="259" w:lineRule="auto"/>
        <w:jc w:val="both"/>
        <w:rPr>
          <w:rFonts w:cs="Arial"/>
          <w:sz w:val="18"/>
          <w:szCs w:val="18"/>
        </w:rPr>
      </w:pPr>
      <w:r w:rsidRPr="00AF282B">
        <w:rPr>
          <w:rFonts w:cs="Arial"/>
          <w:sz w:val="18"/>
          <w:szCs w:val="18"/>
        </w:rPr>
        <w:t>This will be a significant challenge as we, like others, do not yet fully understand what this will require and how it will be achieved, not least as there is currently no standard industry methodology or approach. Solving this will require UK and international industry, regulators and experts to come together and find solutions. We are determined to not just play our part, but to lead on the collaboration and co-operation that is so critical to influencing the transition to a low carbon economy.</w:t>
      </w:r>
    </w:p>
    <w:p w:rsidR="00073A00" w:rsidRPr="00073A00" w:rsidRDefault="00073A00" w:rsidP="00FC5560">
      <w:pPr>
        <w:pStyle w:val="p1"/>
        <w:spacing w:before="0" w:beforeAutospacing="0" w:after="0" w:afterAutospacing="0" w:line="259" w:lineRule="auto"/>
        <w:rPr>
          <w:rFonts w:ascii="Arial" w:hAnsi="Arial" w:cs="Arial"/>
          <w:sz w:val="14"/>
          <w:szCs w:val="14"/>
        </w:rPr>
      </w:pPr>
    </w:p>
    <w:p w:rsidR="00AF282B" w:rsidRPr="00AF282B" w:rsidRDefault="00FC1FDC" w:rsidP="00FC5560">
      <w:pPr>
        <w:pStyle w:val="p1"/>
        <w:spacing w:before="0" w:beforeAutospacing="0" w:after="0" w:afterAutospacing="0" w:line="259" w:lineRule="auto"/>
        <w:rPr>
          <w:rFonts w:ascii="Arial" w:eastAsia="Times New Roman" w:hAnsi="Arial" w:cs="Arial"/>
          <w:sz w:val="18"/>
          <w:szCs w:val="18"/>
        </w:rPr>
      </w:pPr>
      <w:r w:rsidRPr="00AF282B">
        <w:rPr>
          <w:rFonts w:ascii="Arial" w:hAnsi="Arial" w:cs="Arial"/>
          <w:sz w:val="18"/>
          <w:szCs w:val="18"/>
        </w:rPr>
        <w:t xml:space="preserve">As a systemic UK bank, we must play an active role and these market leading ambitions underline our position. This is not only the right thing to do, it </w:t>
      </w:r>
      <w:r w:rsidRPr="00AF282B">
        <w:rPr>
          <w:rFonts w:ascii="Arial" w:eastAsia="Times New Roman" w:hAnsi="Arial" w:cs="Arial"/>
          <w:sz w:val="18"/>
          <w:szCs w:val="18"/>
        </w:rPr>
        <w:t>will give us the opportunity to do more business with our customers, as they transition to a low carbon economy.</w:t>
      </w:r>
    </w:p>
    <w:p w:rsidR="00AF282B" w:rsidRPr="00073A00" w:rsidRDefault="00AF282B" w:rsidP="00FC5560">
      <w:pPr>
        <w:pStyle w:val="p1"/>
        <w:spacing w:before="0" w:beforeAutospacing="0" w:after="0" w:afterAutospacing="0" w:line="259" w:lineRule="auto"/>
        <w:rPr>
          <w:rFonts w:ascii="Arial" w:eastAsia="Times New Roman" w:hAnsi="Arial" w:cs="Arial"/>
          <w:sz w:val="14"/>
          <w:szCs w:val="14"/>
        </w:rPr>
      </w:pPr>
    </w:p>
    <w:p w:rsidR="00AF282B" w:rsidRPr="00AF282B" w:rsidRDefault="00FC1FDC" w:rsidP="00FC5560">
      <w:pPr>
        <w:pStyle w:val="p1"/>
        <w:spacing w:before="0" w:beforeAutospacing="0" w:after="0" w:afterAutospacing="0" w:line="259" w:lineRule="auto"/>
        <w:rPr>
          <w:rFonts w:ascii="Arial" w:eastAsia="Times New Roman" w:hAnsi="Arial" w:cs="Arial"/>
          <w:sz w:val="18"/>
          <w:szCs w:val="18"/>
        </w:rPr>
      </w:pPr>
      <w:r w:rsidRPr="00AF282B">
        <w:rPr>
          <w:rFonts w:ascii="Arial" w:eastAsia="Times New Roman" w:hAnsi="Arial" w:cs="Arial"/>
          <w:sz w:val="18"/>
          <w:szCs w:val="18"/>
        </w:rPr>
        <w:t xml:space="preserve">We are already taking positive steps in the right direction. </w:t>
      </w:r>
      <w:r w:rsidRPr="00AF282B">
        <w:rPr>
          <w:rFonts w:ascii="Arial" w:hAnsi="Arial" w:cs="Arial"/>
          <w:sz w:val="18"/>
          <w:szCs w:val="18"/>
        </w:rPr>
        <w:t>This year we became one of the Founding Signatories of the United Nations Environment Programme Finance Initiative (UNEP FI) Principles for Responsible Banking, committing to begin strategically aligning our business with the UN Sustainable Development Goals (SDGs) and the 2015 Paris Agreement. We have been reviewing specific SDGs with relevance to our Purpose focus areas of Climate Change, Enterprise and Learning.</w:t>
      </w:r>
    </w:p>
    <w:p w:rsidR="00073A00" w:rsidRPr="00073A00" w:rsidRDefault="00073A00" w:rsidP="00FC5560">
      <w:pPr>
        <w:autoSpaceDE w:val="0"/>
        <w:autoSpaceDN w:val="0"/>
        <w:spacing w:line="259" w:lineRule="auto"/>
        <w:rPr>
          <w:rFonts w:cs="Arial"/>
          <w:sz w:val="14"/>
          <w:szCs w:val="14"/>
        </w:rPr>
      </w:pPr>
    </w:p>
    <w:p w:rsidR="00AF282B" w:rsidRPr="00AF282B" w:rsidRDefault="00FC1FDC" w:rsidP="00FC5560">
      <w:pPr>
        <w:autoSpaceDE w:val="0"/>
        <w:autoSpaceDN w:val="0"/>
        <w:spacing w:line="259" w:lineRule="auto"/>
        <w:rPr>
          <w:rFonts w:cs="Arial"/>
          <w:sz w:val="18"/>
          <w:szCs w:val="18"/>
        </w:rPr>
      </w:pPr>
      <w:r w:rsidRPr="00AF282B">
        <w:rPr>
          <w:rFonts w:cs="Arial"/>
          <w:sz w:val="18"/>
          <w:szCs w:val="18"/>
        </w:rPr>
        <w:t>The Bank continues to support the Financial Stability Board's Task Force on Climate-related Financial Disclosures (TCFD) - a voluntary set of guidelines encouraging consistent climate-related disclosures in annual reporting. In 2019, we were</w:t>
      </w:r>
      <w:r w:rsidRPr="00AF282B">
        <w:rPr>
          <w:rFonts w:cs="Arial"/>
          <w:color w:val="FF0000"/>
          <w:sz w:val="18"/>
          <w:szCs w:val="18"/>
        </w:rPr>
        <w:t xml:space="preserve"> </w:t>
      </w:r>
      <w:r w:rsidRPr="00AF282B">
        <w:rPr>
          <w:rFonts w:cs="Arial"/>
          <w:sz w:val="18"/>
          <w:szCs w:val="18"/>
        </w:rPr>
        <w:t>one of the first companies worldwide to commit to all the Climate Group initiatives on electric vehicles (EV100), energy productivity (EP100), and renewable power (RE100).</w:t>
      </w:r>
    </w:p>
    <w:p w:rsidR="00AF282B" w:rsidRPr="00073A00" w:rsidRDefault="00AF282B" w:rsidP="00FC5560">
      <w:pPr>
        <w:autoSpaceDE w:val="0"/>
        <w:autoSpaceDN w:val="0"/>
        <w:spacing w:line="259" w:lineRule="auto"/>
        <w:rPr>
          <w:rFonts w:cs="Arial"/>
          <w:sz w:val="14"/>
          <w:szCs w:val="14"/>
        </w:rPr>
      </w:pPr>
    </w:p>
    <w:p w:rsidR="00AF282B" w:rsidRPr="00AF282B" w:rsidRDefault="00FC1FDC" w:rsidP="00FC5560">
      <w:pPr>
        <w:autoSpaceDE w:val="0"/>
        <w:autoSpaceDN w:val="0"/>
        <w:spacing w:line="259" w:lineRule="auto"/>
        <w:rPr>
          <w:rFonts w:cs="Arial"/>
          <w:sz w:val="18"/>
          <w:szCs w:val="18"/>
        </w:rPr>
      </w:pPr>
      <w:r w:rsidRPr="00AF282B">
        <w:rPr>
          <w:rFonts w:cs="Arial"/>
          <w:sz w:val="18"/>
          <w:szCs w:val="18"/>
        </w:rPr>
        <w:t xml:space="preserve">In November 2019 we issued the first exclusively social bond under ICMA's Social Bond Principles in the UK by any financial institution. The impact of the lending funded by this bond will be reported 12 months after issuance, measuring the number of jobs created and retained in some of the UK’s most deprived areas. </w:t>
      </w:r>
    </w:p>
    <w:p w:rsidR="00073A00" w:rsidRPr="00073A00" w:rsidRDefault="00073A00" w:rsidP="00FC5560">
      <w:pPr>
        <w:autoSpaceDE w:val="0"/>
        <w:autoSpaceDN w:val="0"/>
        <w:spacing w:line="259" w:lineRule="auto"/>
        <w:rPr>
          <w:rFonts w:cs="Arial"/>
          <w:sz w:val="14"/>
          <w:szCs w:val="14"/>
        </w:rPr>
      </w:pPr>
    </w:p>
    <w:p w:rsidR="00AF282B" w:rsidRPr="00AF282B" w:rsidRDefault="00FC1FDC" w:rsidP="00FC5560">
      <w:pPr>
        <w:autoSpaceDE w:val="0"/>
        <w:autoSpaceDN w:val="0"/>
        <w:spacing w:line="259" w:lineRule="auto"/>
        <w:rPr>
          <w:rFonts w:cs="Arial"/>
          <w:sz w:val="18"/>
          <w:szCs w:val="18"/>
        </w:rPr>
      </w:pPr>
      <w:r w:rsidRPr="00AF282B">
        <w:rPr>
          <w:rFonts w:cs="Arial"/>
          <w:sz w:val="18"/>
          <w:szCs w:val="18"/>
        </w:rPr>
        <w:t xml:space="preserve">This is good progress, but we can, and will, do more. </w:t>
      </w:r>
    </w:p>
    <w:p w:rsidR="00AF282B" w:rsidRPr="00073A00" w:rsidRDefault="00AF282B" w:rsidP="00FC5560">
      <w:pPr>
        <w:autoSpaceDE w:val="0"/>
        <w:autoSpaceDN w:val="0"/>
        <w:spacing w:line="259" w:lineRule="auto"/>
        <w:rPr>
          <w:rFonts w:cs="Arial"/>
          <w:sz w:val="14"/>
          <w:szCs w:val="14"/>
        </w:rPr>
      </w:pPr>
    </w:p>
    <w:p w:rsidR="00AF282B" w:rsidRPr="00AF282B" w:rsidRDefault="00FC1FDC" w:rsidP="00FC5560">
      <w:pPr>
        <w:pStyle w:val="p1"/>
        <w:spacing w:before="0" w:beforeAutospacing="0" w:after="0" w:afterAutospacing="0" w:line="259" w:lineRule="auto"/>
        <w:rPr>
          <w:rFonts w:ascii="Arial" w:hAnsi="Arial" w:cs="Arial"/>
          <w:color w:val="002060"/>
          <w:sz w:val="18"/>
          <w:szCs w:val="18"/>
        </w:rPr>
      </w:pPr>
      <w:r w:rsidRPr="00AF282B">
        <w:rPr>
          <w:rFonts w:ascii="Arial" w:hAnsi="Arial" w:cs="Arial"/>
          <w:color w:val="002060"/>
          <w:sz w:val="18"/>
          <w:szCs w:val="18"/>
        </w:rPr>
        <w:t>Improving financial confidence and becoming a learning organisation</w:t>
      </w:r>
    </w:p>
    <w:bookmarkEnd w:id="7"/>
    <w:p w:rsidR="00AF282B" w:rsidRPr="00AF282B" w:rsidRDefault="00FC1FDC" w:rsidP="00FC5560">
      <w:pPr>
        <w:spacing w:line="259" w:lineRule="auto"/>
        <w:rPr>
          <w:rFonts w:eastAsia="Times New Roman" w:cs="Arial"/>
          <w:sz w:val="18"/>
          <w:szCs w:val="18"/>
        </w:rPr>
      </w:pPr>
      <w:r w:rsidRPr="00AF282B">
        <w:rPr>
          <w:rFonts w:cs="Arial"/>
          <w:sz w:val="18"/>
          <w:szCs w:val="18"/>
        </w:rPr>
        <w:t xml:space="preserve">We also know that we have a responsibility to help our customers improve their financial confidence. </w:t>
      </w:r>
      <w:bookmarkStart w:id="9" w:name="_Hlk29556480"/>
      <w:r w:rsidRPr="00AF282B">
        <w:rPr>
          <w:rFonts w:cs="Arial"/>
          <w:sz w:val="18"/>
          <w:szCs w:val="18"/>
        </w:rPr>
        <w:t>Our UK-wide financial education programme, MoneySense has now been running for 25 years. We can help children in schools and at home understand the value and importance of finance from an early age. We will target reaching 2.5 million people through financial capability interactions each year</w:t>
      </w:r>
      <w:bookmarkStart w:id="10" w:name="_Hlk29556465"/>
      <w:bookmarkEnd w:id="9"/>
      <w:r w:rsidRPr="00AF282B">
        <w:rPr>
          <w:rFonts w:cs="Arial"/>
          <w:sz w:val="18"/>
          <w:szCs w:val="18"/>
        </w:rPr>
        <w:t xml:space="preserve">. </w:t>
      </w:r>
      <w:r w:rsidRPr="00AF282B">
        <w:rPr>
          <w:rFonts w:eastAsia="Times New Roman" w:cs="Arial"/>
          <w:sz w:val="18"/>
          <w:szCs w:val="18"/>
        </w:rPr>
        <w:t>The more confidence our customers have, the more opportunity we will have to provide services to them.</w:t>
      </w:r>
      <w:bookmarkEnd w:id="10"/>
      <w:r w:rsidRPr="00AF282B">
        <w:rPr>
          <w:rFonts w:eastAsia="Times New Roman" w:cs="Arial"/>
          <w:sz w:val="18"/>
          <w:szCs w:val="18"/>
        </w:rPr>
        <w:t xml:space="preserve"> </w:t>
      </w:r>
    </w:p>
    <w:p w:rsidR="00AF282B" w:rsidRPr="00073A00" w:rsidRDefault="00AF282B" w:rsidP="00FC5560">
      <w:pPr>
        <w:spacing w:line="259" w:lineRule="auto"/>
        <w:rPr>
          <w:rFonts w:eastAsia="Times New Roman" w:cs="Arial"/>
          <w:sz w:val="14"/>
          <w:szCs w:val="14"/>
        </w:rPr>
      </w:pPr>
      <w:bookmarkStart w:id="11" w:name="_Hlk31036103"/>
    </w:p>
    <w:p w:rsidR="00AF282B" w:rsidRPr="00AF282B" w:rsidRDefault="00FC1FDC" w:rsidP="00FC5560">
      <w:pPr>
        <w:spacing w:line="259" w:lineRule="auto"/>
        <w:rPr>
          <w:rFonts w:eastAsia="Times New Roman" w:cs="Arial"/>
          <w:sz w:val="18"/>
          <w:szCs w:val="18"/>
        </w:rPr>
      </w:pPr>
      <w:r w:rsidRPr="00AF282B">
        <w:rPr>
          <w:rFonts w:eastAsia="Times New Roman" w:cs="Arial"/>
          <w:sz w:val="18"/>
          <w:szCs w:val="18"/>
        </w:rPr>
        <w:t xml:space="preserve">I also want to build the confidence and capability of our employees. We already have one of the most qualified workforces in the UK. Today I am setting a target to have all front-line staff professionally accredited within the first twelve months of being in role. </w:t>
      </w:r>
    </w:p>
    <w:p w:rsidR="00AF282B" w:rsidRPr="00073A00" w:rsidRDefault="00AF282B" w:rsidP="00FC5560">
      <w:pPr>
        <w:spacing w:line="259" w:lineRule="auto"/>
        <w:rPr>
          <w:rFonts w:cs="Arial"/>
          <w:b/>
          <w:sz w:val="14"/>
          <w:szCs w:val="14"/>
        </w:rPr>
      </w:pPr>
    </w:p>
    <w:p w:rsidR="00AF282B" w:rsidRPr="00AF282B" w:rsidRDefault="00FC1FDC" w:rsidP="00FC5560">
      <w:pPr>
        <w:spacing w:line="259" w:lineRule="auto"/>
        <w:rPr>
          <w:rFonts w:cs="Arial"/>
          <w:color w:val="002060"/>
          <w:sz w:val="18"/>
          <w:szCs w:val="18"/>
        </w:rPr>
      </w:pPr>
      <w:r w:rsidRPr="00AF282B">
        <w:rPr>
          <w:rFonts w:cs="Arial"/>
          <w:color w:val="002060"/>
          <w:sz w:val="18"/>
          <w:szCs w:val="18"/>
        </w:rPr>
        <w:t xml:space="preserve">Removing barriers to enterprise </w:t>
      </w:r>
      <w:bookmarkEnd w:id="11"/>
    </w:p>
    <w:p w:rsidR="00AF282B" w:rsidRPr="00AF282B" w:rsidRDefault="00FC1FDC" w:rsidP="00FC5560">
      <w:pPr>
        <w:pStyle w:val="p1"/>
        <w:spacing w:before="0" w:beforeAutospacing="0" w:after="0" w:afterAutospacing="0" w:line="259" w:lineRule="auto"/>
        <w:rPr>
          <w:rFonts w:ascii="Arial" w:hAnsi="Arial" w:cs="Arial"/>
          <w:sz w:val="18"/>
          <w:szCs w:val="18"/>
        </w:rPr>
      </w:pPr>
      <w:bookmarkStart w:id="12" w:name="_Hlk29556498"/>
      <w:r w:rsidRPr="00AF282B">
        <w:rPr>
          <w:rFonts w:ascii="Arial" w:hAnsi="Arial" w:cs="Arial"/>
          <w:sz w:val="18"/>
          <w:szCs w:val="18"/>
        </w:rPr>
        <w:t xml:space="preserve">As the largest supporter of UK business, we already offer a wide range of support to those who want to start a new business. But we also know that for many, it remains harder than it should be. We are committed to helping create an additional 50,000 new businesses across the UK by 2023, through inspiring and supporting over 500,000 people to consider enterprise as a career option. </w:t>
      </w:r>
    </w:p>
    <w:p w:rsidR="00AF282B" w:rsidRPr="00073A00" w:rsidRDefault="00AF282B" w:rsidP="00FC5560">
      <w:pPr>
        <w:pStyle w:val="p1"/>
        <w:spacing w:before="0" w:beforeAutospacing="0" w:after="0" w:afterAutospacing="0" w:line="259" w:lineRule="auto"/>
        <w:rPr>
          <w:rFonts w:ascii="Arial" w:hAnsi="Arial" w:cs="Arial"/>
          <w:sz w:val="14"/>
          <w:szCs w:val="14"/>
        </w:rPr>
      </w:pPr>
    </w:p>
    <w:p w:rsidR="00AF282B" w:rsidRPr="00AF282B" w:rsidRDefault="00FC1FDC" w:rsidP="00FC5560">
      <w:pPr>
        <w:pStyle w:val="p1"/>
        <w:spacing w:before="0" w:beforeAutospacing="0" w:after="0" w:afterAutospacing="0" w:line="259" w:lineRule="auto"/>
        <w:rPr>
          <w:rFonts w:ascii="Arial" w:eastAsia="Times New Roman" w:hAnsi="Arial" w:cs="Arial"/>
          <w:sz w:val="18"/>
          <w:szCs w:val="18"/>
        </w:rPr>
      </w:pPr>
      <w:r w:rsidRPr="00AF282B">
        <w:rPr>
          <w:rFonts w:ascii="Arial" w:hAnsi="Arial" w:cs="Arial"/>
          <w:sz w:val="18"/>
          <w:szCs w:val="18"/>
        </w:rPr>
        <w:t xml:space="preserve">Our focus will be on under-represented populations, with women making up at least 60% of those we support and more than 20% being Black, Asian, Minority Ethnic-led businesses. We will also make sure that at least 75% of the people we support are in regions outside of London and the South East. </w:t>
      </w:r>
      <w:r w:rsidRPr="00AF282B">
        <w:rPr>
          <w:rFonts w:ascii="Arial" w:eastAsia="Times New Roman" w:hAnsi="Arial" w:cs="Arial"/>
          <w:sz w:val="18"/>
          <w:szCs w:val="18"/>
        </w:rPr>
        <w:t>By helping to tackle the barriers to starting a business, there will be more opportunities to help companies grow.</w:t>
      </w:r>
      <w:bookmarkEnd w:id="12"/>
    </w:p>
    <w:p w:rsidR="00AF282B" w:rsidRPr="00073A00" w:rsidRDefault="00AF282B" w:rsidP="00FC5560">
      <w:pPr>
        <w:pStyle w:val="p1"/>
        <w:spacing w:before="0" w:beforeAutospacing="0" w:after="0" w:afterAutospacing="0" w:line="259" w:lineRule="auto"/>
        <w:rPr>
          <w:rFonts w:ascii="Arial" w:hAnsi="Arial" w:cs="Arial"/>
          <w:b/>
          <w:sz w:val="14"/>
          <w:szCs w:val="14"/>
        </w:rPr>
      </w:pPr>
    </w:p>
    <w:p w:rsidR="00AF282B" w:rsidRPr="00AF282B" w:rsidRDefault="00FC1FDC" w:rsidP="00FC5560">
      <w:pPr>
        <w:pStyle w:val="p1"/>
        <w:spacing w:before="0" w:beforeAutospacing="0" w:after="0" w:afterAutospacing="0" w:line="259" w:lineRule="auto"/>
        <w:rPr>
          <w:rFonts w:ascii="Arial" w:hAnsi="Arial" w:cs="Arial"/>
          <w:color w:val="002060"/>
          <w:sz w:val="18"/>
          <w:szCs w:val="18"/>
        </w:rPr>
      </w:pPr>
      <w:r w:rsidRPr="00AF282B">
        <w:rPr>
          <w:rFonts w:ascii="Arial" w:hAnsi="Arial" w:cs="Arial"/>
          <w:color w:val="002060"/>
          <w:sz w:val="18"/>
          <w:szCs w:val="18"/>
        </w:rPr>
        <w:t xml:space="preserve">Starting with strong foundations, but with much more to do </w:t>
      </w: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 xml:space="preserve">We have built strong foundations, but our performance doesn’t yet match its full potential and we need to support our customers better at the key moments in their lives. This means running a bank that is safe, simple and smart – supporting our customers with what they need and also making some tough choices in order to deliver for shareholders and colleagues. </w:t>
      </w:r>
    </w:p>
    <w:p w:rsidR="00AF282B" w:rsidRPr="00073A00" w:rsidRDefault="00AF282B" w:rsidP="00FC5560">
      <w:pPr>
        <w:pStyle w:val="p1"/>
        <w:spacing w:before="0" w:beforeAutospacing="0" w:after="0" w:afterAutospacing="0" w:line="259" w:lineRule="auto"/>
        <w:rPr>
          <w:rFonts w:ascii="Arial" w:hAnsi="Arial" w:cs="Arial"/>
          <w:sz w:val="14"/>
          <w:szCs w:val="14"/>
        </w:rPr>
      </w:pPr>
    </w:p>
    <w:p w:rsidR="00AF282B" w:rsidRPr="00AF282B" w:rsidRDefault="00FC1FDC" w:rsidP="00FC5560">
      <w:pPr>
        <w:pStyle w:val="p1"/>
        <w:spacing w:before="0" w:beforeAutospacing="0" w:after="0" w:afterAutospacing="0" w:line="259" w:lineRule="auto"/>
        <w:rPr>
          <w:rFonts w:ascii="Arial" w:hAnsi="Arial" w:cs="Arial"/>
          <w:color w:val="002060"/>
          <w:sz w:val="18"/>
          <w:szCs w:val="18"/>
        </w:rPr>
      </w:pPr>
      <w:bookmarkStart w:id="13" w:name="_Hlk32399169"/>
      <w:r w:rsidRPr="00AF282B">
        <w:rPr>
          <w:rFonts w:ascii="Arial" w:hAnsi="Arial" w:cs="Arial"/>
          <w:color w:val="002060"/>
          <w:sz w:val="18"/>
          <w:szCs w:val="18"/>
        </w:rPr>
        <w:t xml:space="preserve">Safe </w:t>
      </w: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 xml:space="preserve">Safety and soundness must underpin everything we do. Intelligent risk-taking is why banks exist - to find valuable and sustainable uses for the resources in the economy, and to help customers achieve their ambitions. We have strong capital and liquidity positions and are well placed to help our customers succeed. In today’s digital world, our operational resilience and keeping our customers’ data safe are top priorities. We can never lose sight of this, even as we look to grow. We have announced today that we will reduce our Common Equity Tier 1 ratio (CET 1) over the medium to long-term to around 13-14%. This will ensure that the Bank remains safe, and also allow room for further capital distributions.  </w:t>
      </w:r>
    </w:p>
    <w:bookmarkEnd w:id="13"/>
    <w:p w:rsidR="00AF282B" w:rsidRDefault="00FC1FDC" w:rsidP="00FC5560">
      <w:pPr>
        <w:spacing w:after="200" w:line="259" w:lineRule="auto"/>
        <w:rPr>
          <w:rFonts w:cs="Arial"/>
          <w:sz w:val="18"/>
          <w:szCs w:val="18"/>
          <w:lang w:eastAsia="en-GB"/>
        </w:rPr>
      </w:pPr>
      <w:r>
        <w:rPr>
          <w:rFonts w:cs="Arial"/>
          <w:sz w:val="18"/>
          <w:szCs w:val="18"/>
        </w:rPr>
        <w:br w:type="page"/>
      </w:r>
    </w:p>
    <w:p w:rsidR="00AF282B" w:rsidRPr="00A7164A" w:rsidRDefault="00FC1FDC" w:rsidP="00FC5560">
      <w:pPr>
        <w:pStyle w:val="Normal00"/>
        <w:keepNext/>
        <w:spacing w:line="259" w:lineRule="auto"/>
        <w:jc w:val="both"/>
        <w:outlineLvl w:val="0"/>
        <w:rPr>
          <w:rFonts w:ascii="Arial" w:eastAsia="Calibri" w:hAnsi="Arial" w:cs="Arial"/>
          <w:b/>
          <w:color w:val="003366"/>
          <w:sz w:val="18"/>
          <w:szCs w:val="18"/>
          <w:lang w:eastAsia="ja-JP"/>
        </w:rPr>
      </w:pPr>
      <w:r>
        <w:rPr>
          <w:rFonts w:ascii="Arial" w:eastAsia="Calibri" w:hAnsi="Arial" w:cs="Arial"/>
          <w:b/>
          <w:color w:val="003366"/>
          <w:sz w:val="18"/>
          <w:szCs w:val="18"/>
          <w:lang w:eastAsia="ja-JP"/>
        </w:rPr>
        <w:lastRenderedPageBreak/>
        <w:t xml:space="preserve">Chief Executive’s Statement </w:t>
      </w:r>
      <w:r w:rsidRPr="00FC5560">
        <w:rPr>
          <w:rFonts w:ascii="Arial" w:eastAsia="Calibri" w:hAnsi="Arial" w:cs="Arial"/>
          <w:color w:val="003366"/>
          <w:sz w:val="18"/>
          <w:szCs w:val="18"/>
          <w:lang w:eastAsia="ja-JP"/>
        </w:rPr>
        <w:t>continued</w:t>
      </w:r>
    </w:p>
    <w:p w:rsidR="00073A00" w:rsidRPr="00E433C0" w:rsidRDefault="00073A00" w:rsidP="00FC5560">
      <w:pPr>
        <w:pStyle w:val="p1"/>
        <w:spacing w:before="0" w:beforeAutospacing="0" w:after="0" w:afterAutospacing="0" w:line="259" w:lineRule="auto"/>
        <w:rPr>
          <w:rFonts w:ascii="Arial" w:hAnsi="Arial" w:cs="Arial"/>
          <w:color w:val="002060"/>
          <w:sz w:val="14"/>
          <w:szCs w:val="14"/>
        </w:rPr>
      </w:pPr>
    </w:p>
    <w:p w:rsidR="00AF282B" w:rsidRPr="00AF282B" w:rsidRDefault="00FC1FDC" w:rsidP="00FC5560">
      <w:pPr>
        <w:pStyle w:val="p1"/>
        <w:spacing w:before="0" w:beforeAutospacing="0" w:after="0" w:afterAutospacing="0" w:line="259" w:lineRule="auto"/>
        <w:rPr>
          <w:rFonts w:ascii="Arial" w:hAnsi="Arial" w:cs="Arial"/>
          <w:color w:val="002060"/>
          <w:sz w:val="18"/>
          <w:szCs w:val="18"/>
        </w:rPr>
      </w:pPr>
      <w:r w:rsidRPr="00AF282B">
        <w:rPr>
          <w:rFonts w:ascii="Arial" w:hAnsi="Arial" w:cs="Arial"/>
          <w:color w:val="002060"/>
          <w:sz w:val="18"/>
          <w:szCs w:val="18"/>
        </w:rPr>
        <w:t xml:space="preserve">Simple </w:t>
      </w: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 xml:space="preserve">We are still too complicated for our customers. Much of the potential value in this Bank is locked in business lines and business models that are too complex and generating too little return. This complexity also creates ‘bad costs’ – costs that provide no benefit to customers. </w:t>
      </w:r>
    </w:p>
    <w:p w:rsidR="00AF282B" w:rsidRPr="00E433C0" w:rsidRDefault="00AF282B" w:rsidP="00FC5560">
      <w:pPr>
        <w:pStyle w:val="p1"/>
        <w:spacing w:before="0" w:beforeAutospacing="0" w:after="0" w:afterAutospacing="0" w:line="259" w:lineRule="auto"/>
        <w:rPr>
          <w:rFonts w:ascii="Arial" w:hAnsi="Arial" w:cs="Arial"/>
          <w:sz w:val="14"/>
          <w:szCs w:val="14"/>
        </w:rPr>
      </w:pPr>
      <w:bookmarkStart w:id="14" w:name="_Hlk31807217"/>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 xml:space="preserve">This applies to parts of our NatWest Markets business, where we have shrunk over time but we could do more to increase its focus on our corporate and institutional customers and their needs. </w:t>
      </w:r>
    </w:p>
    <w:p w:rsidR="00AF282B" w:rsidRPr="00E433C0" w:rsidRDefault="00AF282B" w:rsidP="00FC5560">
      <w:pPr>
        <w:pStyle w:val="p1"/>
        <w:spacing w:before="0" w:beforeAutospacing="0" w:after="0" w:afterAutospacing="0" w:line="259" w:lineRule="auto"/>
        <w:rPr>
          <w:rFonts w:ascii="Arial" w:hAnsi="Arial" w:cs="Arial"/>
          <w:sz w:val="14"/>
          <w:szCs w:val="14"/>
        </w:rPr>
      </w:pP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 xml:space="preserve">Today we are announcing that we will reduce the size of this business by around half, as measured by Risk Weighted Assets, managing down and optimising low-returning capital and inefficient activities. We will build a much smaller and simpler part of the business which will bring customers closer to the services they need, reduce costs and release capital for shareholders. </w:t>
      </w:r>
    </w:p>
    <w:p w:rsidR="00AF282B" w:rsidRPr="00E433C0" w:rsidRDefault="00AF282B" w:rsidP="00FC5560">
      <w:pPr>
        <w:pStyle w:val="p1"/>
        <w:spacing w:before="0" w:beforeAutospacing="0" w:after="0" w:afterAutospacing="0" w:line="259" w:lineRule="auto"/>
        <w:rPr>
          <w:rFonts w:ascii="Arial" w:hAnsi="Arial" w:cs="Arial"/>
          <w:sz w:val="14"/>
          <w:szCs w:val="14"/>
        </w:rPr>
      </w:pP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This action will refocus our NatWest Markets products and services on our corporate and institutional customers. We estimate that for 2019, our corporate and institutional customers represented around £75 billion of Risk Weighted Asset equivalents but only generated returns of around 2% on an underlying basis and</w:t>
      </w:r>
      <w:r>
        <w:rPr>
          <w:rFonts w:ascii="Arial" w:hAnsi="Arial" w:cs="Arial"/>
          <w:sz w:val="18"/>
          <w:szCs w:val="18"/>
        </w:rPr>
        <w:t xml:space="preserve"> excluding strategic costs and litigation and conduct costs. </w:t>
      </w:r>
      <w:r w:rsidRPr="00AF282B">
        <w:rPr>
          <w:rFonts w:ascii="Arial" w:hAnsi="Arial" w:cs="Arial"/>
          <w:sz w:val="18"/>
          <w:szCs w:val="18"/>
        </w:rPr>
        <w:t xml:space="preserve">We believe that as we refocus NatWest Markets, corporate and institutional customers in the medium to long term will represent around £60 billion of Risk Weighted Asset equivalents and returns will improve to around 8%. </w:t>
      </w:r>
    </w:p>
    <w:bookmarkEnd w:id="14"/>
    <w:p w:rsidR="00073A00" w:rsidRPr="00E433C0" w:rsidRDefault="00073A00" w:rsidP="00FC5560">
      <w:pPr>
        <w:pStyle w:val="p1"/>
        <w:spacing w:before="0" w:beforeAutospacing="0" w:after="0" w:afterAutospacing="0" w:line="259" w:lineRule="auto"/>
        <w:rPr>
          <w:rFonts w:ascii="Arial" w:hAnsi="Arial" w:cs="Arial"/>
          <w:sz w:val="14"/>
          <w:szCs w:val="14"/>
        </w:rPr>
      </w:pP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 xml:space="preserve">Driving out bad costs also means simplifying our core customer journeys, like our account opening and lending application processes. Aligning and accelerating the transformation of these with more automation and less manual processing will save money, deliver better controls and improve service.  </w:t>
      </w:r>
    </w:p>
    <w:p w:rsidR="00AF282B" w:rsidRPr="00E433C0" w:rsidRDefault="00AF282B" w:rsidP="00FC5560">
      <w:pPr>
        <w:pStyle w:val="p1"/>
        <w:spacing w:before="0" w:beforeAutospacing="0" w:after="0" w:afterAutospacing="0" w:line="259" w:lineRule="auto"/>
        <w:rPr>
          <w:rFonts w:ascii="Arial" w:hAnsi="Arial" w:cs="Arial"/>
          <w:sz w:val="14"/>
          <w:szCs w:val="14"/>
        </w:rPr>
      </w:pP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 xml:space="preserve">We are targeting an overall cost reduction this year of £250 million. </w:t>
      </w:r>
    </w:p>
    <w:p w:rsidR="00AF282B" w:rsidRPr="00E433C0" w:rsidRDefault="00AF282B" w:rsidP="00FC5560">
      <w:pPr>
        <w:pStyle w:val="p1"/>
        <w:spacing w:before="0" w:beforeAutospacing="0" w:after="0" w:afterAutospacing="0" w:line="259" w:lineRule="auto"/>
        <w:rPr>
          <w:rFonts w:ascii="Arial" w:hAnsi="Arial" w:cs="Arial"/>
          <w:b/>
          <w:sz w:val="14"/>
          <w:szCs w:val="14"/>
        </w:rPr>
      </w:pPr>
    </w:p>
    <w:p w:rsidR="00AF282B" w:rsidRPr="00AF282B" w:rsidRDefault="00FC1FDC" w:rsidP="00FC5560">
      <w:pPr>
        <w:pStyle w:val="p1"/>
        <w:spacing w:before="0" w:beforeAutospacing="0" w:after="0" w:afterAutospacing="0" w:line="259" w:lineRule="auto"/>
        <w:rPr>
          <w:rFonts w:ascii="Arial" w:hAnsi="Arial" w:cs="Arial"/>
          <w:color w:val="002060"/>
          <w:sz w:val="18"/>
          <w:szCs w:val="18"/>
        </w:rPr>
      </w:pPr>
      <w:r w:rsidRPr="00AF282B">
        <w:rPr>
          <w:rFonts w:ascii="Arial" w:hAnsi="Arial" w:cs="Arial"/>
          <w:color w:val="002060"/>
          <w:sz w:val="18"/>
          <w:szCs w:val="18"/>
        </w:rPr>
        <w:t>Smart</w:t>
      </w: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Taking a disciplined approach to cost means we can make smart investment choices, investing to improve our services across our retail and commercial customer bases. We will continue to explore the potential for partnerships across industries, and within banking, that can help us innovate faster and ensure our investment is wisely spent.</w:t>
      </w:r>
    </w:p>
    <w:p w:rsidR="00073A00" w:rsidRPr="00E433C0" w:rsidRDefault="00073A00" w:rsidP="00FC5560">
      <w:pPr>
        <w:pStyle w:val="p1"/>
        <w:spacing w:before="0" w:beforeAutospacing="0" w:after="0" w:afterAutospacing="0" w:line="259" w:lineRule="auto"/>
        <w:rPr>
          <w:rFonts w:ascii="Arial" w:hAnsi="Arial" w:cs="Arial"/>
          <w:sz w:val="14"/>
          <w:szCs w:val="14"/>
        </w:rPr>
      </w:pP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We already have strong relationships with millions of customers in this country, but we can deepen them even further by building propositions that provide support throughout their financial lives. This may mean looking to increase our presence in certain areas including through partnerships, where relevant, to ensure we are helping our customers meet their needs and ambitions.</w:t>
      </w:r>
    </w:p>
    <w:p w:rsidR="00AF282B" w:rsidRPr="00E433C0" w:rsidRDefault="00AF282B" w:rsidP="00FC5560">
      <w:pPr>
        <w:pStyle w:val="p1"/>
        <w:spacing w:before="0" w:beforeAutospacing="0" w:after="0" w:afterAutospacing="0" w:line="259" w:lineRule="auto"/>
        <w:rPr>
          <w:rFonts w:ascii="Arial" w:hAnsi="Arial" w:cs="Arial"/>
          <w:sz w:val="14"/>
          <w:szCs w:val="14"/>
        </w:rPr>
      </w:pPr>
    </w:p>
    <w:p w:rsidR="00AF282B" w:rsidRPr="00AF282B" w:rsidRDefault="00FC1FDC" w:rsidP="00FC5560">
      <w:pPr>
        <w:pStyle w:val="p1"/>
        <w:spacing w:before="0" w:beforeAutospacing="0" w:after="0" w:afterAutospacing="0" w:line="259" w:lineRule="auto"/>
        <w:rPr>
          <w:rFonts w:ascii="Arial" w:hAnsi="Arial" w:cs="Arial"/>
          <w:color w:val="454545"/>
          <w:sz w:val="18"/>
          <w:szCs w:val="18"/>
        </w:rPr>
      </w:pPr>
      <w:r w:rsidRPr="00AF282B">
        <w:rPr>
          <w:rFonts w:ascii="Arial" w:hAnsi="Arial" w:cs="Arial"/>
          <w:sz w:val="18"/>
          <w:szCs w:val="18"/>
        </w:rPr>
        <w:t>In recent years we have dramatically increased the focus on innovation across the Bank. This has positioned us well with partners, opened up new income lines and helped improve our time-to-market in a number of critical areas. There is an amazing opportunity for NatWest to use its brand and market presence to connect new technology solutions with the problems that hold back potential in the personal, professional and business lives of our customers.</w:t>
      </w:r>
      <w:r w:rsidRPr="00AF282B">
        <w:rPr>
          <w:rFonts w:ascii="Arial" w:hAnsi="Arial" w:cs="Arial"/>
          <w:color w:val="454545"/>
          <w:sz w:val="18"/>
          <w:szCs w:val="18"/>
        </w:rPr>
        <w:t xml:space="preserve"> </w:t>
      </w:r>
    </w:p>
    <w:p w:rsidR="00AF282B" w:rsidRPr="00E433C0" w:rsidRDefault="00AF282B" w:rsidP="00FC5560">
      <w:pPr>
        <w:pStyle w:val="p1"/>
        <w:spacing w:before="0" w:beforeAutospacing="0" w:after="0" w:afterAutospacing="0" w:line="259" w:lineRule="auto"/>
        <w:rPr>
          <w:rFonts w:ascii="Arial" w:hAnsi="Arial" w:cs="Arial"/>
          <w:sz w:val="14"/>
          <w:szCs w:val="14"/>
        </w:rPr>
      </w:pP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This must, however, also be matched by the financial discipline to call time on ventures that don’t deliver and that can’t deliver a big enough impact for our customers and investors.</w:t>
      </w:r>
    </w:p>
    <w:p w:rsidR="00073A00" w:rsidRPr="00E433C0" w:rsidRDefault="00073A00" w:rsidP="00FC5560">
      <w:pPr>
        <w:pStyle w:val="p1"/>
        <w:spacing w:before="0" w:beforeAutospacing="0" w:after="0" w:afterAutospacing="0" w:line="259" w:lineRule="auto"/>
        <w:rPr>
          <w:rFonts w:ascii="Arial" w:hAnsi="Arial" w:cs="Arial"/>
          <w:sz w:val="14"/>
          <w:szCs w:val="14"/>
        </w:rPr>
      </w:pP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By simplifying our innovation focus, and being disciplined on the internal allocation of capital, we will strengthen the core of the Bank. By making smarter investments in services for our customers we will deepen our leading positions in personal, business, commercial and corporate banking. </w:t>
      </w:r>
    </w:p>
    <w:p w:rsidR="00AF282B" w:rsidRPr="00E433C0" w:rsidRDefault="00AF282B" w:rsidP="00FC5560">
      <w:pPr>
        <w:pStyle w:val="p1"/>
        <w:spacing w:before="0" w:beforeAutospacing="0" w:after="0" w:afterAutospacing="0" w:line="259" w:lineRule="auto"/>
        <w:rPr>
          <w:rFonts w:ascii="Arial" w:hAnsi="Arial" w:cs="Arial"/>
          <w:b/>
          <w:sz w:val="14"/>
          <w:szCs w:val="14"/>
        </w:rPr>
      </w:pPr>
    </w:p>
    <w:p w:rsidR="00AF282B" w:rsidRPr="00AF282B" w:rsidRDefault="00FC1FDC" w:rsidP="00FC5560">
      <w:pPr>
        <w:pStyle w:val="p1"/>
        <w:spacing w:before="0" w:beforeAutospacing="0" w:after="0" w:afterAutospacing="0" w:line="259" w:lineRule="auto"/>
        <w:rPr>
          <w:rFonts w:ascii="Arial" w:hAnsi="Arial" w:cs="Arial"/>
          <w:color w:val="002060"/>
          <w:sz w:val="18"/>
          <w:szCs w:val="18"/>
        </w:rPr>
      </w:pPr>
      <w:r w:rsidRPr="00AF282B">
        <w:rPr>
          <w:rFonts w:ascii="Arial" w:hAnsi="Arial" w:cs="Arial"/>
          <w:color w:val="002060"/>
          <w:sz w:val="18"/>
          <w:szCs w:val="18"/>
        </w:rPr>
        <w:t xml:space="preserve">Delivering sustainable returns </w:t>
      </w: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Championing the potential of people, families and businesses is not an add-on to our strategy, it is our strategy. I firmly believe this new Purpose-led approach is what will deliver reliable returns for our shareholders, year in, year out. </w:t>
      </w:r>
    </w:p>
    <w:p w:rsidR="00AF282B" w:rsidRPr="00E433C0" w:rsidRDefault="00AF282B" w:rsidP="00FC5560">
      <w:pPr>
        <w:pStyle w:val="p1"/>
        <w:spacing w:before="0" w:beforeAutospacing="0" w:after="0" w:afterAutospacing="0" w:line="259" w:lineRule="auto"/>
        <w:rPr>
          <w:rFonts w:ascii="Arial" w:hAnsi="Arial" w:cs="Arial"/>
          <w:sz w:val="14"/>
          <w:szCs w:val="14"/>
        </w:rPr>
      </w:pPr>
    </w:p>
    <w:p w:rsidR="00AF282B" w:rsidRPr="00AF282B" w:rsidRDefault="00FC1FDC" w:rsidP="00FC5560">
      <w:pPr>
        <w:pStyle w:val="p1"/>
        <w:spacing w:before="0" w:beforeAutospacing="0" w:after="0" w:afterAutospacing="0" w:line="259" w:lineRule="auto"/>
        <w:rPr>
          <w:rFonts w:ascii="Arial" w:hAnsi="Arial" w:cs="Arial"/>
          <w:sz w:val="18"/>
          <w:szCs w:val="18"/>
        </w:rPr>
      </w:pPr>
      <w:r w:rsidRPr="00AF282B">
        <w:rPr>
          <w:rFonts w:ascii="Arial" w:hAnsi="Arial" w:cs="Arial"/>
          <w:sz w:val="18"/>
          <w:szCs w:val="18"/>
        </w:rPr>
        <w:t>We will target a return on tangible equity of 9%-11% from a CET 1 ratio of 13%-14% in the medium to long-term. Subject to shareholder approval of our 2019 final and special dividends, we will have returned £4.2 billion to shareholders, with £2.6 billion returned to UK taxpayers since 2018. We have a clear plan to continue to return capital to our shareholders over time.</w:t>
      </w:r>
    </w:p>
    <w:p w:rsidR="00AF282B" w:rsidRPr="00E433C0" w:rsidRDefault="00AF282B" w:rsidP="00FC5560">
      <w:pPr>
        <w:spacing w:line="259" w:lineRule="auto"/>
        <w:rPr>
          <w:rFonts w:cs="Arial"/>
          <w:sz w:val="14"/>
          <w:szCs w:val="14"/>
        </w:rPr>
      </w:pPr>
    </w:p>
    <w:p w:rsidR="00AF282B" w:rsidRDefault="00FC1FDC" w:rsidP="00FC5560">
      <w:pPr>
        <w:spacing w:line="259" w:lineRule="auto"/>
        <w:rPr>
          <w:rFonts w:cs="Arial"/>
          <w:sz w:val="18"/>
          <w:szCs w:val="18"/>
        </w:rPr>
      </w:pPr>
      <w:r w:rsidRPr="00AF282B">
        <w:rPr>
          <w:rFonts w:cs="Arial"/>
          <w:sz w:val="18"/>
          <w:szCs w:val="18"/>
        </w:rPr>
        <w:t>I know from experience, that we only succeed when our customers and wider communities succeed. I am confident that the strategy I have outlined will deliver sustainable long-term shareholder returns and will also build a Bank that the UK and Republic of Ireland can be proud of. We will create lasting value when we champion the potential of those we serve. That is our Purpose and our Strategy.</w:t>
      </w:r>
    </w:p>
    <w:p w:rsidR="00B67F8C" w:rsidRDefault="00B67F8C" w:rsidP="00FC5560">
      <w:pPr>
        <w:spacing w:line="259" w:lineRule="auto"/>
        <w:rPr>
          <w:rFonts w:cs="Arial"/>
          <w:sz w:val="18"/>
          <w:szCs w:val="18"/>
        </w:rPr>
      </w:pPr>
    </w:p>
    <w:p w:rsidR="00B67F8C" w:rsidRPr="00AF282B" w:rsidRDefault="00B67F8C" w:rsidP="00FC5560">
      <w:pPr>
        <w:spacing w:line="259" w:lineRule="auto"/>
        <w:rPr>
          <w:rFonts w:cs="Arial"/>
          <w:sz w:val="18"/>
          <w:szCs w:val="18"/>
        </w:rPr>
      </w:pPr>
    </w:p>
    <w:p w:rsidR="00AF282B" w:rsidRPr="00AF282B" w:rsidRDefault="00AF282B" w:rsidP="00FC5560">
      <w:pPr>
        <w:spacing w:line="259" w:lineRule="auto"/>
        <w:rPr>
          <w:rFonts w:cs="Arial"/>
          <w:sz w:val="18"/>
          <w:szCs w:val="18"/>
        </w:rPr>
      </w:pPr>
    </w:p>
    <w:p w:rsidR="00FC5560" w:rsidRDefault="00FC1FDC" w:rsidP="00FC5560">
      <w:pPr>
        <w:pStyle w:val="p1"/>
        <w:spacing w:before="0" w:beforeAutospacing="0" w:after="0" w:afterAutospacing="0" w:line="259" w:lineRule="auto"/>
      </w:pPr>
      <w:r>
        <w:br w:type="page"/>
      </w:r>
    </w:p>
    <w:p w:rsidR="00C36715" w:rsidRPr="004C5805" w:rsidRDefault="00C36715" w:rsidP="00FC5560">
      <w:pPr>
        <w:pStyle w:val="p1"/>
        <w:spacing w:before="0" w:beforeAutospacing="0" w:after="0" w:afterAutospacing="0" w:line="259" w:lineRule="auto"/>
        <w:sectPr w:rsidR="00C36715" w:rsidRPr="004C5805" w:rsidSect="001B061F">
          <w:headerReference w:type="even" r:id="rId28"/>
          <w:headerReference w:type="default" r:id="rId29"/>
          <w:footerReference w:type="even" r:id="rId30"/>
          <w:footerReference w:type="default" r:id="rId31"/>
          <w:headerReference w:type="first" r:id="rId32"/>
          <w:footerReference w:type="first" r:id="rId33"/>
          <w:type w:val="continuous"/>
          <w:pgSz w:w="11906" w:h="16838"/>
          <w:pgMar w:top="1134" w:right="851" w:bottom="680" w:left="851" w:header="708" w:footer="708" w:gutter="0"/>
          <w:cols w:space="708"/>
          <w:docGrid w:linePitch="360"/>
        </w:sectPr>
      </w:pPr>
    </w:p>
    <w:p w:rsidR="00670CD1" w:rsidRDefault="00FC1FDC" w:rsidP="00670CD1">
      <w:pPr>
        <w:pStyle w:val="Normal1"/>
        <w:spacing w:line="264" w:lineRule="auto"/>
        <w:rPr>
          <w:rFonts w:ascii="Arial" w:hAnsi="Arial" w:cs="Arial"/>
          <w:b/>
          <w:color w:val="003366"/>
          <w:sz w:val="18"/>
          <w:szCs w:val="18"/>
        </w:rPr>
      </w:pPr>
      <w:r>
        <w:rPr>
          <w:rFonts w:ascii="Arial" w:hAnsi="Arial" w:cs="Arial"/>
          <w:b/>
          <w:color w:val="003366"/>
          <w:sz w:val="18"/>
          <w:szCs w:val="18"/>
        </w:rPr>
        <w:lastRenderedPageBreak/>
        <w:t>Business performance summary</w:t>
      </w:r>
    </w:p>
    <w:p w:rsidR="00670CD1" w:rsidRDefault="00FC1FDC" w:rsidP="00670CD1">
      <w:pPr>
        <w:pStyle w:val="Normal1"/>
        <w:spacing w:line="264" w:lineRule="auto"/>
        <w:rPr>
          <w:rFonts w:ascii="Arial" w:hAnsi="Arial" w:cs="Arial"/>
          <w:b/>
          <w:color w:val="003366"/>
          <w:sz w:val="18"/>
          <w:szCs w:val="18"/>
        </w:rPr>
      </w:pPr>
      <w:r>
        <w:rPr>
          <w:rFonts w:ascii="Arial" w:hAnsi="Arial" w:cs="Arial"/>
          <w:b/>
          <w:color w:val="003366"/>
          <w:sz w:val="18"/>
          <w:szCs w:val="18"/>
        </w:rPr>
        <w:t>Our ambition is to build</w:t>
      </w:r>
      <w:r w:rsidRPr="00B315FF">
        <w:rPr>
          <w:rFonts w:ascii="Arial" w:hAnsi="Arial" w:cs="Arial"/>
          <w:b/>
          <w:color w:val="003366"/>
          <w:sz w:val="18"/>
          <w:szCs w:val="18"/>
        </w:rPr>
        <w:t xml:space="preserve"> the best bank for customers in the UK and Republic of Ireland</w:t>
      </w:r>
    </w:p>
    <w:p w:rsidR="00670CD1" w:rsidRPr="00F15690" w:rsidRDefault="00670CD1" w:rsidP="00670CD1">
      <w:pPr>
        <w:pStyle w:val="Normal1"/>
        <w:spacing w:line="264" w:lineRule="auto"/>
        <w:rPr>
          <w:rFonts w:ascii="Arial" w:hAnsi="Arial" w:cs="Arial"/>
          <w:color w:val="003366"/>
          <w:sz w:val="10"/>
          <w:szCs w:val="10"/>
        </w:rPr>
      </w:pPr>
    </w:p>
    <w:p w:rsidR="00E47124" w:rsidRPr="00E47124" w:rsidRDefault="00FC1FDC" w:rsidP="00E47124">
      <w:pPr>
        <w:pStyle w:val="Normal1"/>
        <w:spacing w:line="264" w:lineRule="auto"/>
        <w:rPr>
          <w:rFonts w:ascii="Arial" w:hAnsi="Arial" w:cs="Arial"/>
          <w:color w:val="002060"/>
          <w:sz w:val="18"/>
          <w:szCs w:val="18"/>
        </w:rPr>
      </w:pPr>
      <w:r w:rsidRPr="00E47124">
        <w:rPr>
          <w:rFonts w:ascii="Arial" w:hAnsi="Arial" w:cs="Arial"/>
          <w:color w:val="002060"/>
          <w:sz w:val="18"/>
          <w:szCs w:val="18"/>
        </w:rPr>
        <w:t xml:space="preserve">Customer Advocacy and Trust Scores </w:t>
      </w:r>
    </w:p>
    <w:p w:rsidR="00E47124" w:rsidRPr="00A26E97" w:rsidRDefault="00E47124" w:rsidP="00E47124">
      <w:pPr>
        <w:pStyle w:val="Normal1"/>
        <w:spacing w:line="264" w:lineRule="auto"/>
        <w:rPr>
          <w:rFonts w:ascii="Arial" w:hAnsi="Arial" w:cs="Arial"/>
          <w:sz w:val="18"/>
          <w:szCs w:val="18"/>
        </w:rPr>
      </w:pPr>
    </w:p>
    <w:p w:rsidR="00E47124" w:rsidRPr="00A26E97" w:rsidRDefault="00FC1FDC" w:rsidP="00E47124">
      <w:pPr>
        <w:pStyle w:val="Normal1"/>
        <w:spacing w:line="264" w:lineRule="auto"/>
        <w:rPr>
          <w:rFonts w:ascii="Arial" w:eastAsia="Calibri" w:hAnsi="Arial" w:cs="Arial"/>
          <w:sz w:val="18"/>
          <w:szCs w:val="18"/>
          <w:lang w:eastAsia="en-US"/>
        </w:rPr>
      </w:pPr>
      <w:r w:rsidRPr="00A26E97">
        <w:rPr>
          <w:rFonts w:ascii="Arial" w:eastAsia="Calibri" w:hAnsi="Arial" w:cs="Arial"/>
          <w:sz w:val="18"/>
          <w:szCs w:val="18"/>
          <w:lang w:eastAsia="en-US"/>
        </w:rPr>
        <w:t xml:space="preserve">Our brands are our main connection with customers. Each takes a clear and differentiated position with the aim of helping us strengthen our relationship with them. For this reason we track customer advocacy for our key brands using the net promoter score (NPS) – a commonly used metric in banking and other industries across the world. </w:t>
      </w:r>
    </w:p>
    <w:p w:rsidR="00E47124" w:rsidRPr="00A26E97" w:rsidRDefault="00E47124" w:rsidP="00E47124">
      <w:pPr>
        <w:pStyle w:val="Normal1"/>
        <w:spacing w:line="120" w:lineRule="auto"/>
        <w:rPr>
          <w:rFonts w:ascii="Arial" w:eastAsia="Calibri" w:hAnsi="Arial" w:cs="Arial"/>
          <w:sz w:val="10"/>
          <w:szCs w:val="10"/>
          <w:lang w:eastAsia="en-US"/>
        </w:rPr>
      </w:pPr>
    </w:p>
    <w:p w:rsidR="00E47124" w:rsidRPr="00A26E97" w:rsidRDefault="00FC1FDC" w:rsidP="00E47124">
      <w:pPr>
        <w:pStyle w:val="Normal1"/>
        <w:spacing w:line="264" w:lineRule="auto"/>
        <w:rPr>
          <w:rFonts w:ascii="Arial" w:eastAsia="Calibri" w:hAnsi="Arial" w:cs="Arial"/>
          <w:sz w:val="18"/>
          <w:szCs w:val="18"/>
          <w:lang w:eastAsia="en-US"/>
        </w:rPr>
      </w:pPr>
      <w:r>
        <w:rPr>
          <w:rFonts w:ascii="Arial" w:eastAsia="Calibri" w:hAnsi="Arial" w:cs="Arial"/>
          <w:sz w:val="18"/>
          <w:szCs w:val="18"/>
          <w:lang w:eastAsia="en-US"/>
        </w:rPr>
        <w:t>We are seeing early signs of improvement, but w</w:t>
      </w:r>
      <w:r w:rsidRPr="00A26E97">
        <w:rPr>
          <w:rFonts w:ascii="Arial" w:eastAsia="Calibri" w:hAnsi="Arial" w:cs="Arial"/>
          <w:sz w:val="18"/>
          <w:szCs w:val="18"/>
          <w:lang w:eastAsia="en-US"/>
        </w:rPr>
        <w:t>e still have much to do.  We are determined to make a difference with the things that matter most to our customers.  We listen to customer feedback and, via our closed-loop feedback programme, respond to any issues that they identify. Through fixing our core processes we will get our core service right first time more consistently while at the same time innovating to deliver better solutions.</w:t>
      </w:r>
    </w:p>
    <w:p w:rsidR="00E47124" w:rsidRPr="00A26E97" w:rsidRDefault="00E47124" w:rsidP="00E47124">
      <w:pPr>
        <w:pStyle w:val="Normal1"/>
        <w:spacing w:line="264" w:lineRule="auto"/>
        <w:rPr>
          <w:rFonts w:ascii="Arial" w:eastAsia="Calibri" w:hAnsi="Arial" w:cs="Arial"/>
          <w:sz w:val="10"/>
          <w:szCs w:val="10"/>
          <w:lang w:eastAsia="en-US"/>
        </w:rPr>
      </w:pPr>
    </w:p>
    <w:p w:rsidR="00E47124" w:rsidRPr="00A26E97" w:rsidRDefault="00FC1FDC" w:rsidP="00E47124">
      <w:pPr>
        <w:pStyle w:val="Normal1"/>
        <w:spacing w:line="264" w:lineRule="auto"/>
        <w:rPr>
          <w:rFonts w:ascii="Arial" w:eastAsia="Calibri" w:hAnsi="Arial" w:cs="Arial"/>
          <w:sz w:val="18"/>
          <w:szCs w:val="18"/>
          <w:lang w:eastAsia="en-US"/>
        </w:rPr>
      </w:pPr>
      <w:r w:rsidRPr="00A26E97">
        <w:rPr>
          <w:rFonts w:ascii="Arial" w:eastAsia="Calibri" w:hAnsi="Arial" w:cs="Arial"/>
          <w:sz w:val="18"/>
          <w:szCs w:val="18"/>
          <w:lang w:eastAsia="en-US"/>
        </w:rPr>
        <w:t>The tables below show NPS and Trust scores for our key brands.</w:t>
      </w:r>
    </w:p>
    <w:p w:rsidR="00E47124" w:rsidRPr="00A26E97" w:rsidRDefault="00E47124" w:rsidP="00E47124">
      <w:pPr>
        <w:pStyle w:val="Normal1"/>
        <w:spacing w:line="120" w:lineRule="auto"/>
        <w:rPr>
          <w:rFonts w:ascii="Arial" w:eastAsia="Calibri" w:hAnsi="Arial" w:cs="Arial"/>
          <w:b/>
          <w:sz w:val="18"/>
          <w:szCs w:val="18"/>
          <w:lang w:eastAsia="en-US"/>
        </w:rPr>
      </w:pPr>
    </w:p>
    <w:p w:rsidR="00E47124" w:rsidRPr="00E47124" w:rsidRDefault="00FC1FDC" w:rsidP="00E47124">
      <w:pPr>
        <w:pStyle w:val="Normal1"/>
        <w:spacing w:line="264" w:lineRule="auto"/>
        <w:rPr>
          <w:rFonts w:ascii="Arial" w:eastAsia="Calibri" w:hAnsi="Arial" w:cs="Arial"/>
          <w:b/>
          <w:color w:val="002060"/>
          <w:sz w:val="18"/>
          <w:szCs w:val="18"/>
          <w:lang w:eastAsia="en-US"/>
        </w:rPr>
      </w:pPr>
      <w:r w:rsidRPr="00E47124">
        <w:rPr>
          <w:rFonts w:ascii="Arial" w:eastAsia="Calibri" w:hAnsi="Arial" w:cs="Arial"/>
          <w:b/>
          <w:color w:val="002060"/>
          <w:sz w:val="18"/>
          <w:szCs w:val="18"/>
          <w:lang w:eastAsia="en-US"/>
        </w:rPr>
        <w:t>Personal Banking</w:t>
      </w:r>
    </w:p>
    <w:tbl>
      <w:tblPr>
        <w:tblW w:w="10211" w:type="dxa"/>
        <w:tblCellMar>
          <w:left w:w="0" w:type="dxa"/>
          <w:right w:w="0" w:type="dxa"/>
        </w:tblCellMar>
        <w:tblLook w:val="00A0" w:firstRow="1" w:lastRow="0" w:firstColumn="1" w:lastColumn="0" w:noHBand="0" w:noVBand="0"/>
      </w:tblPr>
      <w:tblGrid>
        <w:gridCol w:w="3124"/>
        <w:gridCol w:w="1417"/>
        <w:gridCol w:w="1418"/>
        <w:gridCol w:w="1417"/>
        <w:gridCol w:w="1418"/>
        <w:gridCol w:w="1286"/>
        <w:gridCol w:w="131"/>
      </w:tblGrid>
      <w:tr w:rsidR="0064628A" w:rsidTr="00E73DEB">
        <w:tc>
          <w:tcPr>
            <w:tcW w:w="3124" w:type="dxa"/>
            <w:tcBorders>
              <w:bottom w:val="single" w:sz="4" w:space="0" w:color="003366"/>
            </w:tcBorders>
            <w:shd w:val="clear" w:color="auto" w:fill="auto"/>
          </w:tcPr>
          <w:p w:rsidR="00E47124" w:rsidRPr="00A26E97" w:rsidRDefault="00E47124" w:rsidP="00E00B96">
            <w:pPr>
              <w:pStyle w:val="Normal1"/>
              <w:spacing w:line="264" w:lineRule="auto"/>
              <w:rPr>
                <w:rFonts w:ascii="Arial" w:eastAsia="Calibri" w:hAnsi="Arial" w:cs="Arial"/>
                <w:sz w:val="18"/>
                <w:szCs w:val="18"/>
                <w:lang w:eastAsia="en-US"/>
              </w:rPr>
            </w:pPr>
          </w:p>
        </w:tc>
        <w:tc>
          <w:tcPr>
            <w:tcW w:w="1417" w:type="dxa"/>
            <w:tcBorders>
              <w:bottom w:val="single" w:sz="4" w:space="0" w:color="003366"/>
            </w:tcBorders>
            <w:shd w:val="clear" w:color="auto" w:fill="BFBFBF" w:themeFill="background1" w:themeFillShade="BF"/>
          </w:tcPr>
          <w:p w:rsidR="00E47124" w:rsidRPr="00E73DEB" w:rsidRDefault="00FC1FDC" w:rsidP="00E00B96">
            <w:pPr>
              <w:pStyle w:val="Normal1"/>
              <w:spacing w:line="264" w:lineRule="auto"/>
              <w:jc w:val="right"/>
              <w:rPr>
                <w:rFonts w:ascii="Arial" w:eastAsia="Calibri" w:hAnsi="Arial" w:cs="Arial"/>
                <w:b/>
                <w:sz w:val="16"/>
                <w:szCs w:val="16"/>
                <w:lang w:eastAsia="en-US"/>
              </w:rPr>
            </w:pPr>
            <w:r w:rsidRPr="00E73DEB">
              <w:rPr>
                <w:rFonts w:ascii="Arial" w:eastAsia="Calibri" w:hAnsi="Arial" w:cs="Arial"/>
                <w:b/>
                <w:sz w:val="16"/>
                <w:szCs w:val="16"/>
                <w:lang w:eastAsia="en-US"/>
              </w:rPr>
              <w:t>Q4 2019</w:t>
            </w:r>
          </w:p>
        </w:tc>
        <w:tc>
          <w:tcPr>
            <w:tcW w:w="1418"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Q3 2019</w:t>
            </w:r>
          </w:p>
        </w:tc>
        <w:tc>
          <w:tcPr>
            <w:tcW w:w="1417"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Q2 2019</w:t>
            </w:r>
          </w:p>
        </w:tc>
        <w:tc>
          <w:tcPr>
            <w:tcW w:w="1418"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Q1 2019</w:t>
            </w:r>
          </w:p>
        </w:tc>
        <w:tc>
          <w:tcPr>
            <w:tcW w:w="1417" w:type="dxa"/>
            <w:gridSpan w:val="2"/>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Q4 2018</w:t>
            </w:r>
          </w:p>
        </w:tc>
      </w:tr>
      <w:tr w:rsidR="0064628A" w:rsidTr="00E73DEB">
        <w:tc>
          <w:tcPr>
            <w:tcW w:w="3124" w:type="dxa"/>
            <w:tcBorders>
              <w:top w:val="single" w:sz="4" w:space="0" w:color="003366"/>
            </w:tcBorders>
            <w:shd w:val="clear" w:color="auto" w:fill="auto"/>
          </w:tcPr>
          <w:p w:rsidR="00E47124" w:rsidRPr="00A26E97" w:rsidRDefault="00FC1FDC" w:rsidP="00E00B96">
            <w:pPr>
              <w:pStyle w:val="Normal1"/>
              <w:spacing w:line="264" w:lineRule="auto"/>
              <w:rPr>
                <w:rFonts w:ascii="Arial" w:eastAsia="Calibri" w:hAnsi="Arial" w:cs="Arial"/>
                <w:sz w:val="18"/>
                <w:szCs w:val="18"/>
                <w:lang w:eastAsia="en-US"/>
              </w:rPr>
            </w:pPr>
            <w:r w:rsidRPr="00A26E97">
              <w:rPr>
                <w:rFonts w:ascii="Arial" w:eastAsia="Calibri" w:hAnsi="Arial" w:cs="Arial"/>
                <w:sz w:val="18"/>
                <w:szCs w:val="18"/>
                <w:lang w:eastAsia="en-US"/>
              </w:rPr>
              <w:t>NatWest</w:t>
            </w:r>
          </w:p>
        </w:tc>
        <w:tc>
          <w:tcPr>
            <w:tcW w:w="1417" w:type="dxa"/>
            <w:tcBorders>
              <w:top w:val="single" w:sz="4" w:space="0" w:color="003366"/>
            </w:tcBorders>
            <w:shd w:val="clear" w:color="auto" w:fill="BFBFBF" w:themeFill="background1" w:themeFillShade="BF"/>
          </w:tcPr>
          <w:p w:rsidR="00E47124" w:rsidRPr="00E73DEB" w:rsidRDefault="00FC1FDC" w:rsidP="00E00B96">
            <w:pPr>
              <w:pStyle w:val="Normal1"/>
              <w:spacing w:line="264" w:lineRule="auto"/>
              <w:jc w:val="right"/>
              <w:rPr>
                <w:rFonts w:ascii="Arial" w:eastAsia="Calibri" w:hAnsi="Arial" w:cs="Arial"/>
                <w:b/>
                <w:sz w:val="16"/>
                <w:szCs w:val="16"/>
                <w:lang w:eastAsia="en-US"/>
              </w:rPr>
            </w:pPr>
            <w:r w:rsidRPr="00E73DEB">
              <w:rPr>
                <w:rFonts w:ascii="Arial" w:eastAsia="Calibri" w:hAnsi="Arial" w:cs="Arial"/>
                <w:b/>
                <w:sz w:val="16"/>
                <w:szCs w:val="16"/>
                <w:lang w:eastAsia="en-US"/>
              </w:rPr>
              <w:t>15</w:t>
            </w:r>
          </w:p>
        </w:tc>
        <w:tc>
          <w:tcPr>
            <w:tcW w:w="1418" w:type="dxa"/>
            <w:tcBorders>
              <w:top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13</w:t>
            </w:r>
          </w:p>
        </w:tc>
        <w:tc>
          <w:tcPr>
            <w:tcW w:w="1417" w:type="dxa"/>
            <w:tcBorders>
              <w:top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11</w:t>
            </w:r>
          </w:p>
        </w:tc>
        <w:tc>
          <w:tcPr>
            <w:tcW w:w="1418" w:type="dxa"/>
            <w:tcBorders>
              <w:top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11</w:t>
            </w:r>
          </w:p>
        </w:tc>
        <w:tc>
          <w:tcPr>
            <w:tcW w:w="1417" w:type="dxa"/>
            <w:gridSpan w:val="2"/>
            <w:tcBorders>
              <w:top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11</w:t>
            </w:r>
          </w:p>
        </w:tc>
      </w:tr>
      <w:tr w:rsidR="0064628A" w:rsidTr="00E73DEB">
        <w:tc>
          <w:tcPr>
            <w:tcW w:w="3124" w:type="dxa"/>
            <w:shd w:val="clear" w:color="auto" w:fill="auto"/>
          </w:tcPr>
          <w:p w:rsidR="00E47124" w:rsidRPr="00A26E97" w:rsidRDefault="00FC1FDC" w:rsidP="00E00B96">
            <w:pPr>
              <w:pStyle w:val="Normal1"/>
              <w:spacing w:line="264" w:lineRule="auto"/>
              <w:rPr>
                <w:rFonts w:ascii="Arial" w:eastAsia="Calibri" w:hAnsi="Arial" w:cs="Arial"/>
                <w:sz w:val="18"/>
                <w:szCs w:val="18"/>
                <w:lang w:eastAsia="en-US"/>
              </w:rPr>
            </w:pPr>
            <w:r w:rsidRPr="00A26E97">
              <w:rPr>
                <w:rFonts w:ascii="Arial" w:eastAsia="Calibri" w:hAnsi="Arial" w:cs="Arial"/>
                <w:sz w:val="18"/>
                <w:szCs w:val="18"/>
                <w:lang w:eastAsia="en-US"/>
              </w:rPr>
              <w:t xml:space="preserve">Royal Bank of </w:t>
            </w:r>
            <w:smartTag w:uri="urn:schemas-microsoft-com:office:smarttags" w:element="place">
              <w:smartTag w:uri="urn:schemas-microsoft-com:office:smarttags" w:element="country-region">
                <w:r w:rsidRPr="00A26E97">
                  <w:rPr>
                    <w:rFonts w:ascii="Arial" w:eastAsia="Calibri" w:hAnsi="Arial" w:cs="Arial"/>
                    <w:sz w:val="18"/>
                    <w:szCs w:val="18"/>
                    <w:lang w:eastAsia="en-US"/>
                  </w:rPr>
                  <w:t>Scotland</w:t>
                </w:r>
              </w:smartTag>
            </w:smartTag>
          </w:p>
        </w:tc>
        <w:tc>
          <w:tcPr>
            <w:tcW w:w="1417" w:type="dxa"/>
            <w:shd w:val="clear" w:color="auto" w:fill="BFBFBF" w:themeFill="background1" w:themeFillShade="BF"/>
          </w:tcPr>
          <w:p w:rsidR="00E47124" w:rsidRPr="00E73DEB" w:rsidRDefault="00FC1FDC" w:rsidP="00E00B96">
            <w:pPr>
              <w:pStyle w:val="Normal1"/>
              <w:spacing w:line="264" w:lineRule="auto"/>
              <w:jc w:val="right"/>
              <w:rPr>
                <w:rFonts w:ascii="Arial" w:eastAsia="Calibri" w:hAnsi="Arial" w:cs="Arial"/>
                <w:b/>
                <w:sz w:val="16"/>
                <w:szCs w:val="16"/>
                <w:lang w:eastAsia="en-US"/>
              </w:rPr>
            </w:pPr>
            <w:r w:rsidRPr="00E73DEB">
              <w:rPr>
                <w:rFonts w:ascii="Arial" w:eastAsia="Calibri" w:hAnsi="Arial" w:cs="Arial"/>
                <w:b/>
                <w:sz w:val="16"/>
                <w:szCs w:val="16"/>
                <w:lang w:eastAsia="en-US"/>
              </w:rPr>
              <w:t>(14)</w:t>
            </w:r>
          </w:p>
        </w:tc>
        <w:tc>
          <w:tcPr>
            <w:tcW w:w="1418" w:type="dxa"/>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(9</w:t>
            </w:r>
            <w:r w:rsidRPr="00E73DEB">
              <w:rPr>
                <w:rFonts w:ascii="Arial" w:eastAsia="Calibri" w:hAnsi="Arial" w:cs="Arial"/>
                <w:sz w:val="16"/>
                <w:szCs w:val="16"/>
                <w:lang w:eastAsia="en-US"/>
              </w:rPr>
              <w:t>)</w:t>
            </w:r>
          </w:p>
        </w:tc>
        <w:tc>
          <w:tcPr>
            <w:tcW w:w="1417" w:type="dxa"/>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(10)</w:t>
            </w:r>
          </w:p>
        </w:tc>
        <w:tc>
          <w:tcPr>
            <w:tcW w:w="1418" w:type="dxa"/>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(14</w:t>
            </w:r>
            <w:r w:rsidRPr="00E73DEB">
              <w:rPr>
                <w:rFonts w:ascii="Arial" w:eastAsia="Calibri" w:hAnsi="Arial" w:cs="Arial"/>
                <w:sz w:val="16"/>
                <w:szCs w:val="16"/>
                <w:lang w:eastAsia="en-US"/>
              </w:rPr>
              <w:t>)</w:t>
            </w:r>
          </w:p>
        </w:tc>
        <w:tc>
          <w:tcPr>
            <w:tcW w:w="1417" w:type="dxa"/>
            <w:gridSpan w:val="2"/>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(17</w:t>
            </w:r>
            <w:r w:rsidRPr="00E73DEB">
              <w:rPr>
                <w:rFonts w:ascii="Arial" w:eastAsia="Calibri" w:hAnsi="Arial" w:cs="Arial"/>
                <w:sz w:val="16"/>
                <w:szCs w:val="16"/>
                <w:lang w:eastAsia="en-US"/>
              </w:rPr>
              <w:t>)</w:t>
            </w:r>
          </w:p>
        </w:tc>
      </w:tr>
      <w:tr w:rsidR="0064628A" w:rsidTr="00E73DEB">
        <w:tc>
          <w:tcPr>
            <w:tcW w:w="3124" w:type="dxa"/>
            <w:shd w:val="clear" w:color="auto" w:fill="auto"/>
          </w:tcPr>
          <w:p w:rsidR="00E47124" w:rsidRPr="00A26E97" w:rsidRDefault="00FC1FDC" w:rsidP="00E00B96">
            <w:pPr>
              <w:pStyle w:val="Normal1"/>
              <w:spacing w:line="264" w:lineRule="auto"/>
              <w:rPr>
                <w:rFonts w:ascii="Arial" w:eastAsia="Calibri" w:hAnsi="Arial" w:cs="Arial"/>
                <w:sz w:val="18"/>
                <w:szCs w:val="18"/>
                <w:lang w:eastAsia="en-US"/>
              </w:rPr>
            </w:pPr>
            <w:r w:rsidRPr="00A26E97">
              <w:rPr>
                <w:rFonts w:ascii="Arial" w:eastAsia="Calibri" w:hAnsi="Arial" w:cs="Arial"/>
                <w:sz w:val="18"/>
                <w:szCs w:val="18"/>
                <w:lang w:eastAsia="en-US"/>
              </w:rPr>
              <w:t>Ulster Bank Northern Ireland</w:t>
            </w:r>
          </w:p>
        </w:tc>
        <w:tc>
          <w:tcPr>
            <w:tcW w:w="1417" w:type="dxa"/>
            <w:shd w:val="clear" w:color="auto" w:fill="BFBFBF" w:themeFill="background1" w:themeFillShade="BF"/>
          </w:tcPr>
          <w:p w:rsidR="00E47124" w:rsidRPr="00E73DEB" w:rsidRDefault="00FC1FDC" w:rsidP="00E00B96">
            <w:pPr>
              <w:pStyle w:val="Normal1"/>
              <w:spacing w:line="264" w:lineRule="auto"/>
              <w:jc w:val="right"/>
              <w:rPr>
                <w:rFonts w:ascii="Arial" w:eastAsia="Calibri" w:hAnsi="Arial" w:cs="Arial"/>
                <w:b/>
                <w:sz w:val="16"/>
                <w:szCs w:val="16"/>
                <w:lang w:eastAsia="en-US"/>
              </w:rPr>
            </w:pPr>
            <w:r w:rsidRPr="00E73DEB">
              <w:rPr>
                <w:rFonts w:ascii="Arial" w:eastAsia="Calibri" w:hAnsi="Arial" w:cs="Arial"/>
                <w:b/>
                <w:sz w:val="16"/>
                <w:szCs w:val="16"/>
                <w:lang w:eastAsia="en-US"/>
              </w:rPr>
              <w:t>(10)</w:t>
            </w:r>
          </w:p>
        </w:tc>
        <w:tc>
          <w:tcPr>
            <w:tcW w:w="1418" w:type="dxa"/>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(5</w:t>
            </w:r>
            <w:r w:rsidRPr="00E73DEB">
              <w:rPr>
                <w:rFonts w:ascii="Arial" w:eastAsia="Calibri" w:hAnsi="Arial" w:cs="Arial"/>
                <w:sz w:val="16"/>
                <w:szCs w:val="16"/>
                <w:lang w:eastAsia="en-US"/>
              </w:rPr>
              <w:t>)</w:t>
            </w:r>
          </w:p>
        </w:tc>
        <w:tc>
          <w:tcPr>
            <w:tcW w:w="1417" w:type="dxa"/>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1</w:t>
            </w:r>
          </w:p>
        </w:tc>
        <w:tc>
          <w:tcPr>
            <w:tcW w:w="1418" w:type="dxa"/>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(3)</w:t>
            </w:r>
          </w:p>
        </w:tc>
        <w:tc>
          <w:tcPr>
            <w:tcW w:w="1417" w:type="dxa"/>
            <w:gridSpan w:val="2"/>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w:t>
            </w:r>
            <w:r w:rsidRPr="00E73DEB">
              <w:rPr>
                <w:rFonts w:ascii="Arial" w:eastAsia="Calibri" w:hAnsi="Arial" w:cs="Arial"/>
                <w:sz w:val="16"/>
                <w:szCs w:val="16"/>
                <w:lang w:eastAsia="en-US"/>
              </w:rPr>
              <w:t>10</w:t>
            </w:r>
            <w:r>
              <w:rPr>
                <w:rFonts w:ascii="Arial" w:eastAsia="Calibri" w:hAnsi="Arial" w:cs="Arial"/>
                <w:sz w:val="16"/>
                <w:szCs w:val="16"/>
                <w:lang w:eastAsia="en-US"/>
              </w:rPr>
              <w:t>)</w:t>
            </w:r>
          </w:p>
        </w:tc>
      </w:tr>
      <w:tr w:rsidR="0064628A" w:rsidTr="00E73DEB">
        <w:tc>
          <w:tcPr>
            <w:tcW w:w="3124" w:type="dxa"/>
            <w:tcBorders>
              <w:bottom w:val="single" w:sz="4" w:space="0" w:color="003366"/>
            </w:tcBorders>
            <w:shd w:val="clear" w:color="auto" w:fill="auto"/>
          </w:tcPr>
          <w:p w:rsidR="00E47124" w:rsidRPr="00A26E97" w:rsidRDefault="00FC1FDC" w:rsidP="00E00B96">
            <w:pPr>
              <w:pStyle w:val="Normal1"/>
              <w:spacing w:line="264" w:lineRule="auto"/>
              <w:rPr>
                <w:rFonts w:ascii="Arial" w:eastAsia="Calibri" w:hAnsi="Arial" w:cs="Arial"/>
                <w:sz w:val="18"/>
                <w:szCs w:val="18"/>
                <w:lang w:eastAsia="en-US"/>
              </w:rPr>
            </w:pPr>
            <w:r w:rsidRPr="00A26E97">
              <w:rPr>
                <w:rFonts w:ascii="Arial" w:eastAsia="Calibri" w:hAnsi="Arial" w:cs="Arial"/>
                <w:sz w:val="18"/>
                <w:szCs w:val="18"/>
                <w:lang w:eastAsia="en-US"/>
              </w:rPr>
              <w:t>Ulster Bank Republic of Ireland</w:t>
            </w:r>
          </w:p>
        </w:tc>
        <w:tc>
          <w:tcPr>
            <w:tcW w:w="1417" w:type="dxa"/>
            <w:tcBorders>
              <w:bottom w:val="single" w:sz="4" w:space="0" w:color="003366"/>
            </w:tcBorders>
            <w:shd w:val="clear" w:color="auto" w:fill="BFBFBF" w:themeFill="background1" w:themeFillShade="BF"/>
          </w:tcPr>
          <w:p w:rsidR="00E47124" w:rsidRPr="00E73DEB" w:rsidRDefault="00FC1FDC" w:rsidP="00E00B96">
            <w:pPr>
              <w:pStyle w:val="Normal1"/>
              <w:spacing w:line="264" w:lineRule="auto"/>
              <w:jc w:val="right"/>
              <w:rPr>
                <w:rFonts w:ascii="Arial" w:eastAsia="Calibri" w:hAnsi="Arial" w:cs="Arial"/>
                <w:b/>
                <w:sz w:val="16"/>
                <w:szCs w:val="16"/>
                <w:lang w:eastAsia="en-US"/>
              </w:rPr>
            </w:pPr>
            <w:r w:rsidRPr="00E73DEB">
              <w:rPr>
                <w:rFonts w:ascii="Arial" w:eastAsia="Calibri" w:hAnsi="Arial" w:cs="Arial"/>
                <w:b/>
                <w:sz w:val="16"/>
                <w:szCs w:val="16"/>
                <w:lang w:eastAsia="en-US"/>
              </w:rPr>
              <w:t>(18)</w:t>
            </w:r>
          </w:p>
        </w:tc>
        <w:tc>
          <w:tcPr>
            <w:tcW w:w="1418"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(15</w:t>
            </w:r>
            <w:r w:rsidRPr="00E73DEB">
              <w:rPr>
                <w:rFonts w:ascii="Arial" w:eastAsia="Calibri" w:hAnsi="Arial" w:cs="Arial"/>
                <w:sz w:val="16"/>
                <w:szCs w:val="16"/>
                <w:lang w:eastAsia="en-US"/>
              </w:rPr>
              <w:t>)</w:t>
            </w:r>
          </w:p>
        </w:tc>
        <w:tc>
          <w:tcPr>
            <w:tcW w:w="1417"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(11)</w:t>
            </w:r>
          </w:p>
        </w:tc>
        <w:tc>
          <w:tcPr>
            <w:tcW w:w="1418"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(7</w:t>
            </w:r>
            <w:r w:rsidRPr="00E73DEB">
              <w:rPr>
                <w:rFonts w:ascii="Arial" w:eastAsia="Calibri" w:hAnsi="Arial" w:cs="Arial"/>
                <w:sz w:val="16"/>
                <w:szCs w:val="16"/>
                <w:lang w:eastAsia="en-US"/>
              </w:rPr>
              <w:t>)</w:t>
            </w:r>
          </w:p>
        </w:tc>
        <w:tc>
          <w:tcPr>
            <w:tcW w:w="1417" w:type="dxa"/>
            <w:gridSpan w:val="2"/>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(6</w:t>
            </w:r>
            <w:r w:rsidRPr="00E73DEB">
              <w:rPr>
                <w:rFonts w:ascii="Arial" w:eastAsia="Calibri" w:hAnsi="Arial" w:cs="Arial"/>
                <w:sz w:val="16"/>
                <w:szCs w:val="16"/>
                <w:lang w:eastAsia="en-US"/>
              </w:rPr>
              <w:t>)</w:t>
            </w:r>
          </w:p>
        </w:tc>
      </w:tr>
      <w:tr w:rsidR="0064628A" w:rsidTr="00E47124">
        <w:tblPrEx>
          <w:tblLook w:val="01E0" w:firstRow="1" w:lastRow="1" w:firstColumn="1" w:lastColumn="1" w:noHBand="0" w:noVBand="0"/>
        </w:tblPrEx>
        <w:trPr>
          <w:gridAfter w:val="1"/>
          <w:wAfter w:w="131" w:type="dxa"/>
        </w:trPr>
        <w:tc>
          <w:tcPr>
            <w:tcW w:w="10080" w:type="dxa"/>
            <w:gridSpan w:val="6"/>
          </w:tcPr>
          <w:p w:rsidR="00E47124" w:rsidRPr="00E47124" w:rsidRDefault="00E47124" w:rsidP="00E00B96">
            <w:pPr>
              <w:pStyle w:val="Normal1"/>
              <w:spacing w:line="264" w:lineRule="auto"/>
              <w:rPr>
                <w:rFonts w:ascii="Arial" w:eastAsia="Calibri" w:hAnsi="Arial" w:cs="Arial"/>
                <w:sz w:val="15"/>
                <w:szCs w:val="15"/>
                <w:lang w:eastAsia="en-GB"/>
              </w:rPr>
            </w:pPr>
          </w:p>
          <w:p w:rsidR="00E47124" w:rsidRPr="00E47124" w:rsidRDefault="00FC1FDC" w:rsidP="00E00B96">
            <w:pPr>
              <w:pStyle w:val="Normal1"/>
              <w:spacing w:line="264" w:lineRule="auto"/>
              <w:rPr>
                <w:rFonts w:ascii="Arial" w:eastAsia="Calibri" w:hAnsi="Arial" w:cs="Arial"/>
                <w:sz w:val="15"/>
                <w:szCs w:val="15"/>
                <w:highlight w:val="yellow"/>
                <w:lang w:eastAsia="en-US"/>
              </w:rPr>
            </w:pPr>
            <w:r w:rsidRPr="00E47124">
              <w:rPr>
                <w:rFonts w:ascii="Arial" w:eastAsia="Calibri" w:hAnsi="Arial" w:cs="Arial"/>
                <w:sz w:val="15"/>
                <w:szCs w:val="15"/>
                <w:lang w:eastAsia="en-GB"/>
              </w:rPr>
              <w:t>Source: Ipsos MORI FRS 6 month rolling data. Latest base sizes: 2,829 for NatWest (England &amp; Wales); 451 for Royal Bank of Scotland (Scotland). Based on the question: “How likely is it that you would recommend (brand) to a relative, friend or colleague in the next 12 months for current account banking?” Base: Claimed main banked current account customers.</w:t>
            </w:r>
          </w:p>
        </w:tc>
      </w:tr>
      <w:tr w:rsidR="0064628A" w:rsidTr="00E47124">
        <w:tblPrEx>
          <w:tblLook w:val="01E0" w:firstRow="1" w:lastRow="1" w:firstColumn="1" w:lastColumn="1" w:noHBand="0" w:noVBand="0"/>
        </w:tblPrEx>
        <w:trPr>
          <w:gridAfter w:val="1"/>
          <w:wAfter w:w="131" w:type="dxa"/>
        </w:trPr>
        <w:tc>
          <w:tcPr>
            <w:tcW w:w="10080" w:type="dxa"/>
            <w:gridSpan w:val="6"/>
          </w:tcPr>
          <w:p w:rsidR="00E47124" w:rsidRPr="00E47124" w:rsidRDefault="00FC1FDC" w:rsidP="00E00B96">
            <w:pPr>
              <w:pStyle w:val="Normal1"/>
              <w:spacing w:line="264" w:lineRule="auto"/>
              <w:rPr>
                <w:rFonts w:ascii="Arial" w:eastAsia="Calibri" w:hAnsi="Arial" w:cs="Arial"/>
                <w:sz w:val="15"/>
                <w:szCs w:val="15"/>
                <w:highlight w:val="yellow"/>
                <w:lang w:eastAsia="en-US"/>
              </w:rPr>
            </w:pPr>
            <w:r w:rsidRPr="00E47124">
              <w:rPr>
                <w:rFonts w:ascii="Arial" w:eastAsia="Calibri" w:hAnsi="Arial" w:cs="Arial"/>
                <w:sz w:val="15"/>
                <w:szCs w:val="15"/>
                <w:lang w:eastAsia="en-GB"/>
              </w:rPr>
              <w:t xml:space="preserve">Source: Coyne Research 12 month rolling data. Question: “Please indicate to what extent you would be likely to recommend (brand) to your friends or family using a scale of 0 to 10 where 0 is not at all likely and 10 is extremely likely”.  Latest base sizes: 352 Northern Ireland; 1,424 Republic of Ireland.    </w:t>
            </w:r>
          </w:p>
        </w:tc>
      </w:tr>
    </w:tbl>
    <w:p w:rsidR="00E47124" w:rsidRPr="00A26E97" w:rsidRDefault="00E47124" w:rsidP="00E47124">
      <w:pPr>
        <w:pStyle w:val="Normal1"/>
        <w:spacing w:line="120" w:lineRule="auto"/>
        <w:rPr>
          <w:rFonts w:ascii="Arial" w:eastAsia="Calibri" w:hAnsi="Arial" w:cs="Arial"/>
          <w:b/>
          <w:sz w:val="18"/>
          <w:szCs w:val="18"/>
          <w:lang w:eastAsia="en-US"/>
        </w:rPr>
      </w:pPr>
    </w:p>
    <w:p w:rsidR="00E47124" w:rsidRPr="00E47124" w:rsidRDefault="00FC1FDC" w:rsidP="00E47124">
      <w:pPr>
        <w:pStyle w:val="Normal1"/>
        <w:spacing w:line="264" w:lineRule="auto"/>
        <w:rPr>
          <w:rFonts w:ascii="Arial" w:eastAsia="Calibri" w:hAnsi="Arial" w:cs="Arial"/>
          <w:b/>
          <w:color w:val="002060"/>
          <w:sz w:val="18"/>
          <w:szCs w:val="18"/>
          <w:lang w:eastAsia="en-US"/>
        </w:rPr>
      </w:pPr>
      <w:r w:rsidRPr="00E47124">
        <w:rPr>
          <w:rFonts w:ascii="Arial" w:eastAsia="Calibri" w:hAnsi="Arial" w:cs="Arial"/>
          <w:b/>
          <w:color w:val="002060"/>
          <w:sz w:val="18"/>
          <w:szCs w:val="18"/>
          <w:lang w:eastAsia="en-US"/>
        </w:rPr>
        <w:t>Business Banking</w:t>
      </w:r>
    </w:p>
    <w:tbl>
      <w:tblPr>
        <w:tblW w:w="10211" w:type="dxa"/>
        <w:tblCellMar>
          <w:left w:w="0" w:type="dxa"/>
          <w:right w:w="0" w:type="dxa"/>
        </w:tblCellMar>
        <w:tblLook w:val="00A0" w:firstRow="1" w:lastRow="0" w:firstColumn="1" w:lastColumn="0" w:noHBand="0" w:noVBand="0"/>
      </w:tblPr>
      <w:tblGrid>
        <w:gridCol w:w="3124"/>
        <w:gridCol w:w="1417"/>
        <w:gridCol w:w="1418"/>
        <w:gridCol w:w="1417"/>
        <w:gridCol w:w="1418"/>
        <w:gridCol w:w="1417"/>
      </w:tblGrid>
      <w:tr w:rsidR="0064628A" w:rsidTr="00E73DEB">
        <w:tc>
          <w:tcPr>
            <w:tcW w:w="3124" w:type="dxa"/>
            <w:tcBorders>
              <w:bottom w:val="single" w:sz="4" w:space="0" w:color="003366"/>
            </w:tcBorders>
            <w:shd w:val="clear" w:color="auto" w:fill="auto"/>
          </w:tcPr>
          <w:p w:rsidR="00E47124" w:rsidRPr="00A26E97" w:rsidRDefault="00E47124" w:rsidP="00E00B96">
            <w:pPr>
              <w:pStyle w:val="Normal1"/>
              <w:spacing w:line="264" w:lineRule="auto"/>
              <w:rPr>
                <w:rFonts w:ascii="Arial" w:eastAsia="Calibri" w:hAnsi="Arial" w:cs="Arial"/>
                <w:sz w:val="18"/>
                <w:szCs w:val="18"/>
                <w:lang w:eastAsia="en-US"/>
              </w:rPr>
            </w:pPr>
          </w:p>
        </w:tc>
        <w:tc>
          <w:tcPr>
            <w:tcW w:w="1417" w:type="dxa"/>
            <w:tcBorders>
              <w:bottom w:val="single" w:sz="4" w:space="0" w:color="003366"/>
            </w:tcBorders>
            <w:shd w:val="clear" w:color="auto" w:fill="BFBFBF" w:themeFill="background1" w:themeFillShade="BF"/>
          </w:tcPr>
          <w:p w:rsidR="00E47124" w:rsidRPr="00E73DEB" w:rsidRDefault="00FC1FDC" w:rsidP="00E00B96">
            <w:pPr>
              <w:pStyle w:val="Normal1"/>
              <w:spacing w:line="264" w:lineRule="auto"/>
              <w:jc w:val="right"/>
              <w:rPr>
                <w:rFonts w:ascii="Arial" w:eastAsia="Calibri" w:hAnsi="Arial" w:cs="Arial"/>
                <w:b/>
                <w:sz w:val="16"/>
                <w:szCs w:val="16"/>
                <w:lang w:eastAsia="en-US"/>
              </w:rPr>
            </w:pPr>
            <w:r w:rsidRPr="00E73DEB">
              <w:rPr>
                <w:rFonts w:ascii="Arial" w:eastAsia="Calibri" w:hAnsi="Arial" w:cs="Arial"/>
                <w:b/>
                <w:sz w:val="16"/>
                <w:szCs w:val="16"/>
                <w:lang w:eastAsia="en-US"/>
              </w:rPr>
              <w:t>Q4 2019</w:t>
            </w:r>
          </w:p>
        </w:tc>
        <w:tc>
          <w:tcPr>
            <w:tcW w:w="1418"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Q3 2019</w:t>
            </w:r>
          </w:p>
        </w:tc>
        <w:tc>
          <w:tcPr>
            <w:tcW w:w="1417"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Q2 2019</w:t>
            </w:r>
          </w:p>
        </w:tc>
        <w:tc>
          <w:tcPr>
            <w:tcW w:w="1418"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Q1 2019</w:t>
            </w:r>
          </w:p>
        </w:tc>
        <w:tc>
          <w:tcPr>
            <w:tcW w:w="1417"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Q4 2018</w:t>
            </w:r>
          </w:p>
        </w:tc>
      </w:tr>
      <w:tr w:rsidR="0064628A" w:rsidTr="00E73DEB">
        <w:tc>
          <w:tcPr>
            <w:tcW w:w="3124" w:type="dxa"/>
            <w:tcBorders>
              <w:top w:val="single" w:sz="4" w:space="0" w:color="003366"/>
            </w:tcBorders>
            <w:shd w:val="clear" w:color="auto" w:fill="auto"/>
          </w:tcPr>
          <w:p w:rsidR="00E47124" w:rsidRPr="00A26E97" w:rsidRDefault="00FC1FDC" w:rsidP="00E00B96">
            <w:pPr>
              <w:pStyle w:val="Normal1"/>
              <w:spacing w:line="264" w:lineRule="auto"/>
              <w:rPr>
                <w:rFonts w:ascii="Arial" w:eastAsia="Calibri" w:hAnsi="Arial" w:cs="Arial"/>
                <w:sz w:val="18"/>
                <w:szCs w:val="18"/>
                <w:lang w:eastAsia="en-US"/>
              </w:rPr>
            </w:pPr>
            <w:r w:rsidRPr="00A26E97">
              <w:rPr>
                <w:rFonts w:ascii="Arial" w:eastAsia="Calibri" w:hAnsi="Arial" w:cs="Arial"/>
                <w:sz w:val="18"/>
                <w:szCs w:val="18"/>
                <w:lang w:eastAsia="en-US"/>
              </w:rPr>
              <w:t>NatWest</w:t>
            </w:r>
          </w:p>
        </w:tc>
        <w:tc>
          <w:tcPr>
            <w:tcW w:w="1417" w:type="dxa"/>
            <w:tcBorders>
              <w:top w:val="single" w:sz="4" w:space="0" w:color="003366"/>
            </w:tcBorders>
            <w:shd w:val="clear" w:color="auto" w:fill="BFBFBF" w:themeFill="background1" w:themeFillShade="BF"/>
          </w:tcPr>
          <w:p w:rsidR="00E47124" w:rsidRPr="00E73DEB" w:rsidRDefault="00FC1FDC" w:rsidP="00E00B96">
            <w:pPr>
              <w:pStyle w:val="Normal1"/>
              <w:spacing w:line="264" w:lineRule="auto"/>
              <w:jc w:val="right"/>
              <w:rPr>
                <w:rFonts w:ascii="Arial" w:eastAsia="Calibri" w:hAnsi="Arial" w:cs="Arial"/>
                <w:b/>
                <w:sz w:val="16"/>
                <w:szCs w:val="16"/>
                <w:lang w:eastAsia="en-US"/>
              </w:rPr>
            </w:pPr>
            <w:r w:rsidRPr="00E73DEB">
              <w:rPr>
                <w:rFonts w:ascii="Arial" w:eastAsia="Calibri" w:hAnsi="Arial" w:cs="Arial"/>
                <w:b/>
                <w:sz w:val="16"/>
                <w:szCs w:val="16"/>
                <w:lang w:eastAsia="en-US"/>
              </w:rPr>
              <w:t>(7)</w:t>
            </w:r>
          </w:p>
        </w:tc>
        <w:tc>
          <w:tcPr>
            <w:tcW w:w="1418" w:type="dxa"/>
            <w:tcBorders>
              <w:top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(9)</w:t>
            </w:r>
          </w:p>
        </w:tc>
        <w:tc>
          <w:tcPr>
            <w:tcW w:w="1417" w:type="dxa"/>
            <w:tcBorders>
              <w:top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(9)</w:t>
            </w:r>
          </w:p>
        </w:tc>
        <w:tc>
          <w:tcPr>
            <w:tcW w:w="1418" w:type="dxa"/>
            <w:tcBorders>
              <w:top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(8)</w:t>
            </w:r>
          </w:p>
        </w:tc>
        <w:tc>
          <w:tcPr>
            <w:tcW w:w="1417" w:type="dxa"/>
            <w:tcBorders>
              <w:top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(9)</w:t>
            </w:r>
          </w:p>
        </w:tc>
      </w:tr>
      <w:tr w:rsidR="0064628A" w:rsidTr="00E73DEB">
        <w:tc>
          <w:tcPr>
            <w:tcW w:w="3124" w:type="dxa"/>
            <w:tcBorders>
              <w:bottom w:val="single" w:sz="4" w:space="0" w:color="003366"/>
            </w:tcBorders>
            <w:shd w:val="clear" w:color="auto" w:fill="auto"/>
          </w:tcPr>
          <w:p w:rsidR="00E47124" w:rsidRPr="00A26E97" w:rsidRDefault="00FC1FDC" w:rsidP="00E00B96">
            <w:pPr>
              <w:pStyle w:val="Normal1"/>
              <w:spacing w:line="264" w:lineRule="auto"/>
              <w:rPr>
                <w:rFonts w:ascii="Arial" w:eastAsia="Calibri" w:hAnsi="Arial" w:cs="Arial"/>
                <w:sz w:val="18"/>
                <w:szCs w:val="18"/>
                <w:lang w:eastAsia="en-US"/>
              </w:rPr>
            </w:pPr>
            <w:r w:rsidRPr="00A26E97">
              <w:rPr>
                <w:rFonts w:ascii="Arial" w:eastAsia="Calibri" w:hAnsi="Arial" w:cs="Arial"/>
                <w:sz w:val="18"/>
                <w:szCs w:val="18"/>
                <w:lang w:eastAsia="en-US"/>
              </w:rPr>
              <w:t>Royal Bank of Scotland</w:t>
            </w:r>
          </w:p>
        </w:tc>
        <w:tc>
          <w:tcPr>
            <w:tcW w:w="1417" w:type="dxa"/>
            <w:tcBorders>
              <w:bottom w:val="single" w:sz="4" w:space="0" w:color="003366"/>
            </w:tcBorders>
            <w:shd w:val="clear" w:color="auto" w:fill="BFBFBF" w:themeFill="background1" w:themeFillShade="BF"/>
          </w:tcPr>
          <w:p w:rsidR="00E47124" w:rsidRPr="00E73DEB" w:rsidRDefault="00FC1FDC" w:rsidP="00E00B96">
            <w:pPr>
              <w:pStyle w:val="Normal1"/>
              <w:spacing w:line="264" w:lineRule="auto"/>
              <w:jc w:val="right"/>
              <w:rPr>
                <w:rFonts w:ascii="Arial" w:eastAsia="Calibri" w:hAnsi="Arial" w:cs="Arial"/>
                <w:b/>
                <w:sz w:val="16"/>
                <w:szCs w:val="16"/>
                <w:lang w:eastAsia="en-US"/>
              </w:rPr>
            </w:pPr>
            <w:r w:rsidRPr="00E73DEB">
              <w:rPr>
                <w:rFonts w:ascii="Arial" w:eastAsia="Calibri" w:hAnsi="Arial" w:cs="Arial"/>
                <w:b/>
                <w:sz w:val="16"/>
                <w:szCs w:val="16"/>
                <w:lang w:eastAsia="en-US"/>
              </w:rPr>
              <w:t>(25)</w:t>
            </w:r>
          </w:p>
        </w:tc>
        <w:tc>
          <w:tcPr>
            <w:tcW w:w="1418"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(31)</w:t>
            </w:r>
          </w:p>
        </w:tc>
        <w:tc>
          <w:tcPr>
            <w:tcW w:w="1417"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(36)</w:t>
            </w:r>
          </w:p>
        </w:tc>
        <w:tc>
          <w:tcPr>
            <w:tcW w:w="1418"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(36)</w:t>
            </w:r>
          </w:p>
        </w:tc>
        <w:tc>
          <w:tcPr>
            <w:tcW w:w="1417"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(36)</w:t>
            </w:r>
          </w:p>
        </w:tc>
      </w:tr>
    </w:tbl>
    <w:p w:rsidR="00E47124" w:rsidRPr="00A26E97" w:rsidRDefault="00E47124" w:rsidP="00E47124">
      <w:pPr>
        <w:rPr>
          <w:vanish/>
        </w:rPr>
      </w:pPr>
    </w:p>
    <w:tbl>
      <w:tblPr>
        <w:tblW w:w="10080" w:type="dxa"/>
        <w:tblLayout w:type="fixed"/>
        <w:tblCellMar>
          <w:left w:w="0" w:type="dxa"/>
          <w:right w:w="0" w:type="dxa"/>
        </w:tblCellMar>
        <w:tblLook w:val="01E0" w:firstRow="1" w:lastRow="1" w:firstColumn="1" w:lastColumn="1" w:noHBand="0" w:noVBand="0"/>
      </w:tblPr>
      <w:tblGrid>
        <w:gridCol w:w="10080"/>
      </w:tblGrid>
      <w:tr w:rsidR="0064628A" w:rsidTr="00E00B96">
        <w:tc>
          <w:tcPr>
            <w:tcW w:w="10080" w:type="dxa"/>
          </w:tcPr>
          <w:p w:rsidR="00E47124" w:rsidRPr="00E47124" w:rsidRDefault="00FC1FDC" w:rsidP="00E00B96">
            <w:pPr>
              <w:pStyle w:val="Normal1"/>
              <w:spacing w:line="264" w:lineRule="auto"/>
              <w:rPr>
                <w:rFonts w:ascii="Arial" w:eastAsia="Calibri" w:hAnsi="Arial" w:cs="Arial"/>
                <w:sz w:val="15"/>
                <w:szCs w:val="15"/>
                <w:highlight w:val="yellow"/>
                <w:lang w:eastAsia="en-US"/>
              </w:rPr>
            </w:pPr>
            <w:r w:rsidRPr="00E47124">
              <w:rPr>
                <w:rFonts w:ascii="Arial" w:eastAsia="Calibri" w:hAnsi="Arial" w:cs="Arial"/>
                <w:sz w:val="15"/>
                <w:szCs w:val="15"/>
                <w:lang w:eastAsia="en-GB"/>
              </w:rPr>
              <w:t>Source: Savanta MarketVue Business Banking, YE Q4 2019.  Based on interviews with businesses with an annual turnover up to £2 million. Latest base sizes: 1104 for NatWest (England &amp; Wales), 416 for Royal Bank of Scotland (Scotland). Question: “How likely would you be to recommend (bank)”. Base: Claimed main bank. Data weighted by region and turnover to be representative of businesses in Great Britain.</w:t>
            </w:r>
          </w:p>
        </w:tc>
      </w:tr>
    </w:tbl>
    <w:p w:rsidR="00E47124" w:rsidRPr="00A26E97" w:rsidRDefault="00E47124" w:rsidP="00E47124">
      <w:pPr>
        <w:pStyle w:val="Normal1"/>
        <w:spacing w:line="120" w:lineRule="auto"/>
        <w:rPr>
          <w:rFonts w:ascii="Arial" w:eastAsia="Calibri" w:hAnsi="Arial" w:cs="Arial"/>
          <w:b/>
          <w:sz w:val="18"/>
          <w:szCs w:val="18"/>
          <w:lang w:eastAsia="en-US"/>
        </w:rPr>
      </w:pPr>
    </w:p>
    <w:p w:rsidR="00E47124" w:rsidRPr="00E47124" w:rsidRDefault="00FC1FDC" w:rsidP="00E47124">
      <w:pPr>
        <w:pStyle w:val="Normal1"/>
        <w:spacing w:line="264" w:lineRule="auto"/>
        <w:rPr>
          <w:rFonts w:ascii="Arial" w:eastAsia="Calibri" w:hAnsi="Arial" w:cs="Arial"/>
          <w:b/>
          <w:color w:val="002060"/>
          <w:sz w:val="18"/>
          <w:szCs w:val="18"/>
          <w:lang w:eastAsia="en-US"/>
        </w:rPr>
      </w:pPr>
      <w:r w:rsidRPr="00E47124">
        <w:rPr>
          <w:rFonts w:ascii="Arial" w:eastAsia="Calibri" w:hAnsi="Arial" w:cs="Arial"/>
          <w:b/>
          <w:color w:val="002060"/>
          <w:sz w:val="18"/>
          <w:szCs w:val="18"/>
          <w:lang w:eastAsia="en-US"/>
        </w:rPr>
        <w:t>Commercial Banking</w:t>
      </w:r>
    </w:p>
    <w:tbl>
      <w:tblPr>
        <w:tblW w:w="10211" w:type="dxa"/>
        <w:tblCellMar>
          <w:left w:w="0" w:type="dxa"/>
          <w:right w:w="0" w:type="dxa"/>
        </w:tblCellMar>
        <w:tblLook w:val="00A0" w:firstRow="1" w:lastRow="0" w:firstColumn="1" w:lastColumn="0" w:noHBand="0" w:noVBand="0"/>
      </w:tblPr>
      <w:tblGrid>
        <w:gridCol w:w="3124"/>
        <w:gridCol w:w="1417"/>
        <w:gridCol w:w="1418"/>
        <w:gridCol w:w="1417"/>
        <w:gridCol w:w="1418"/>
        <w:gridCol w:w="1286"/>
        <w:gridCol w:w="131"/>
      </w:tblGrid>
      <w:tr w:rsidR="0064628A" w:rsidTr="00E73DEB">
        <w:tc>
          <w:tcPr>
            <w:tcW w:w="3124" w:type="dxa"/>
            <w:tcBorders>
              <w:bottom w:val="single" w:sz="4" w:space="0" w:color="003366"/>
            </w:tcBorders>
            <w:shd w:val="clear" w:color="auto" w:fill="auto"/>
          </w:tcPr>
          <w:p w:rsidR="00E47124" w:rsidRPr="00A26E97" w:rsidRDefault="00E47124" w:rsidP="00E00B96">
            <w:pPr>
              <w:pStyle w:val="Normal1"/>
              <w:spacing w:line="264" w:lineRule="auto"/>
              <w:rPr>
                <w:rFonts w:ascii="Arial" w:eastAsia="Calibri" w:hAnsi="Arial" w:cs="Arial"/>
                <w:sz w:val="18"/>
                <w:szCs w:val="18"/>
                <w:lang w:eastAsia="en-US"/>
              </w:rPr>
            </w:pPr>
          </w:p>
        </w:tc>
        <w:tc>
          <w:tcPr>
            <w:tcW w:w="1417" w:type="dxa"/>
            <w:tcBorders>
              <w:bottom w:val="single" w:sz="4" w:space="0" w:color="003366"/>
            </w:tcBorders>
            <w:shd w:val="clear" w:color="auto" w:fill="BFBFBF" w:themeFill="background1" w:themeFillShade="BF"/>
          </w:tcPr>
          <w:p w:rsidR="00E47124" w:rsidRPr="00E73DEB" w:rsidRDefault="00FC1FDC" w:rsidP="00E00B96">
            <w:pPr>
              <w:pStyle w:val="Normal1"/>
              <w:spacing w:line="264" w:lineRule="auto"/>
              <w:jc w:val="right"/>
              <w:rPr>
                <w:rFonts w:ascii="Arial" w:eastAsia="Calibri" w:hAnsi="Arial" w:cs="Arial"/>
                <w:b/>
                <w:sz w:val="16"/>
                <w:szCs w:val="16"/>
                <w:lang w:eastAsia="en-US"/>
              </w:rPr>
            </w:pPr>
            <w:r w:rsidRPr="00E73DEB">
              <w:rPr>
                <w:rFonts w:ascii="Arial" w:eastAsia="Calibri" w:hAnsi="Arial" w:cs="Arial"/>
                <w:b/>
                <w:sz w:val="16"/>
                <w:szCs w:val="16"/>
                <w:lang w:eastAsia="en-US"/>
              </w:rPr>
              <w:t>Q4 2019</w:t>
            </w:r>
          </w:p>
        </w:tc>
        <w:tc>
          <w:tcPr>
            <w:tcW w:w="1418"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Q3 2019</w:t>
            </w:r>
          </w:p>
        </w:tc>
        <w:tc>
          <w:tcPr>
            <w:tcW w:w="1417"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Q2 2019</w:t>
            </w:r>
          </w:p>
        </w:tc>
        <w:tc>
          <w:tcPr>
            <w:tcW w:w="1418"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Q1 2019</w:t>
            </w:r>
          </w:p>
        </w:tc>
        <w:tc>
          <w:tcPr>
            <w:tcW w:w="1417" w:type="dxa"/>
            <w:gridSpan w:val="2"/>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Q4 2018</w:t>
            </w:r>
          </w:p>
        </w:tc>
      </w:tr>
      <w:tr w:rsidR="0064628A" w:rsidTr="00E73DEB">
        <w:tc>
          <w:tcPr>
            <w:tcW w:w="3124" w:type="dxa"/>
            <w:tcBorders>
              <w:top w:val="single" w:sz="4" w:space="0" w:color="003366"/>
            </w:tcBorders>
            <w:shd w:val="clear" w:color="auto" w:fill="auto"/>
          </w:tcPr>
          <w:p w:rsidR="00E47124" w:rsidRPr="00A26E97" w:rsidRDefault="00FC1FDC" w:rsidP="00E00B96">
            <w:pPr>
              <w:pStyle w:val="Normal1"/>
              <w:spacing w:line="264" w:lineRule="auto"/>
              <w:rPr>
                <w:rFonts w:ascii="Arial" w:eastAsia="Calibri" w:hAnsi="Arial" w:cs="Arial"/>
                <w:sz w:val="18"/>
                <w:szCs w:val="18"/>
                <w:lang w:eastAsia="en-US"/>
              </w:rPr>
            </w:pPr>
            <w:r w:rsidRPr="00A26E97">
              <w:rPr>
                <w:rFonts w:ascii="Arial" w:eastAsia="Calibri" w:hAnsi="Arial" w:cs="Arial"/>
                <w:sz w:val="18"/>
                <w:szCs w:val="18"/>
                <w:lang w:eastAsia="en-US"/>
              </w:rPr>
              <w:t>NatWest</w:t>
            </w:r>
          </w:p>
        </w:tc>
        <w:tc>
          <w:tcPr>
            <w:tcW w:w="1417" w:type="dxa"/>
            <w:tcBorders>
              <w:top w:val="single" w:sz="4" w:space="0" w:color="003366"/>
            </w:tcBorders>
            <w:shd w:val="clear" w:color="auto" w:fill="BFBFBF" w:themeFill="background1" w:themeFillShade="BF"/>
          </w:tcPr>
          <w:p w:rsidR="00E47124" w:rsidRPr="00E73DEB" w:rsidRDefault="00FC1FDC" w:rsidP="00E00B96">
            <w:pPr>
              <w:pStyle w:val="Normal1"/>
              <w:spacing w:line="264" w:lineRule="auto"/>
              <w:jc w:val="right"/>
              <w:rPr>
                <w:rFonts w:ascii="Arial" w:eastAsia="Calibri" w:hAnsi="Arial" w:cs="Arial"/>
                <w:b/>
                <w:sz w:val="16"/>
                <w:szCs w:val="16"/>
                <w:lang w:eastAsia="en-US"/>
              </w:rPr>
            </w:pPr>
            <w:r>
              <w:rPr>
                <w:rFonts w:ascii="Arial" w:eastAsia="Calibri" w:hAnsi="Arial" w:cs="Arial"/>
                <w:b/>
                <w:sz w:val="16"/>
                <w:szCs w:val="16"/>
                <w:lang w:eastAsia="en-US"/>
              </w:rPr>
              <w:t>23</w:t>
            </w:r>
          </w:p>
        </w:tc>
        <w:tc>
          <w:tcPr>
            <w:tcW w:w="1418" w:type="dxa"/>
            <w:tcBorders>
              <w:top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23</w:t>
            </w:r>
          </w:p>
        </w:tc>
        <w:tc>
          <w:tcPr>
            <w:tcW w:w="1417" w:type="dxa"/>
            <w:tcBorders>
              <w:top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20</w:t>
            </w:r>
          </w:p>
        </w:tc>
        <w:tc>
          <w:tcPr>
            <w:tcW w:w="1418" w:type="dxa"/>
            <w:tcBorders>
              <w:top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20</w:t>
            </w:r>
          </w:p>
        </w:tc>
        <w:tc>
          <w:tcPr>
            <w:tcW w:w="1417" w:type="dxa"/>
            <w:gridSpan w:val="2"/>
            <w:tcBorders>
              <w:top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21</w:t>
            </w:r>
          </w:p>
        </w:tc>
      </w:tr>
      <w:tr w:rsidR="0064628A" w:rsidTr="00E73DEB">
        <w:tc>
          <w:tcPr>
            <w:tcW w:w="3124" w:type="dxa"/>
            <w:tcBorders>
              <w:bottom w:val="single" w:sz="4" w:space="0" w:color="003366"/>
            </w:tcBorders>
            <w:shd w:val="clear" w:color="auto" w:fill="auto"/>
          </w:tcPr>
          <w:p w:rsidR="00E47124" w:rsidRPr="00A26E97" w:rsidRDefault="00FC1FDC" w:rsidP="00E00B96">
            <w:pPr>
              <w:pStyle w:val="Normal1"/>
              <w:spacing w:line="264" w:lineRule="auto"/>
              <w:rPr>
                <w:rFonts w:ascii="Arial" w:eastAsia="Calibri" w:hAnsi="Arial" w:cs="Arial"/>
                <w:sz w:val="18"/>
                <w:szCs w:val="18"/>
                <w:lang w:eastAsia="en-US"/>
              </w:rPr>
            </w:pPr>
            <w:r w:rsidRPr="00A26E97">
              <w:rPr>
                <w:rFonts w:ascii="Arial" w:eastAsia="Calibri" w:hAnsi="Arial" w:cs="Arial"/>
                <w:sz w:val="18"/>
                <w:szCs w:val="18"/>
                <w:lang w:eastAsia="en-US"/>
              </w:rPr>
              <w:t xml:space="preserve">Royal Bank of </w:t>
            </w:r>
            <w:smartTag w:uri="urn:schemas-microsoft-com:office:smarttags" w:element="place">
              <w:smartTag w:uri="urn:schemas-microsoft-com:office:smarttags" w:element="country-region">
                <w:r w:rsidRPr="00A26E97">
                  <w:rPr>
                    <w:rFonts w:ascii="Arial" w:eastAsia="Calibri" w:hAnsi="Arial" w:cs="Arial"/>
                    <w:sz w:val="18"/>
                    <w:szCs w:val="18"/>
                    <w:lang w:eastAsia="en-US"/>
                  </w:rPr>
                  <w:t>Scotland</w:t>
                </w:r>
              </w:smartTag>
            </w:smartTag>
          </w:p>
        </w:tc>
        <w:tc>
          <w:tcPr>
            <w:tcW w:w="1417" w:type="dxa"/>
            <w:tcBorders>
              <w:bottom w:val="single" w:sz="4" w:space="0" w:color="003366"/>
            </w:tcBorders>
            <w:shd w:val="clear" w:color="auto" w:fill="BFBFBF" w:themeFill="background1" w:themeFillShade="BF"/>
          </w:tcPr>
          <w:p w:rsidR="00E47124" w:rsidRPr="00E73DEB" w:rsidRDefault="00FC1FDC" w:rsidP="00E00B96">
            <w:pPr>
              <w:pStyle w:val="Normal1"/>
              <w:spacing w:line="264" w:lineRule="auto"/>
              <w:jc w:val="right"/>
              <w:rPr>
                <w:rFonts w:ascii="Arial" w:eastAsia="Calibri" w:hAnsi="Arial" w:cs="Arial"/>
                <w:b/>
                <w:sz w:val="16"/>
                <w:szCs w:val="16"/>
                <w:lang w:eastAsia="en-US"/>
              </w:rPr>
            </w:pPr>
            <w:r>
              <w:rPr>
                <w:rFonts w:ascii="Arial" w:eastAsia="Calibri" w:hAnsi="Arial" w:cs="Arial"/>
                <w:b/>
                <w:sz w:val="16"/>
                <w:szCs w:val="16"/>
                <w:lang w:eastAsia="en-US"/>
              </w:rPr>
              <w:t>9</w:t>
            </w:r>
          </w:p>
        </w:tc>
        <w:tc>
          <w:tcPr>
            <w:tcW w:w="1418"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16</w:t>
            </w:r>
          </w:p>
        </w:tc>
        <w:tc>
          <w:tcPr>
            <w:tcW w:w="1417"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21</w:t>
            </w:r>
          </w:p>
        </w:tc>
        <w:tc>
          <w:tcPr>
            <w:tcW w:w="1418"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18</w:t>
            </w:r>
          </w:p>
        </w:tc>
        <w:tc>
          <w:tcPr>
            <w:tcW w:w="1417" w:type="dxa"/>
            <w:gridSpan w:val="2"/>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20</w:t>
            </w:r>
          </w:p>
        </w:tc>
      </w:tr>
      <w:tr w:rsidR="0064628A" w:rsidTr="00E47124">
        <w:tblPrEx>
          <w:tblLook w:val="01E0" w:firstRow="1" w:lastRow="1" w:firstColumn="1" w:lastColumn="1" w:noHBand="0" w:noVBand="0"/>
        </w:tblPrEx>
        <w:trPr>
          <w:gridAfter w:val="1"/>
          <w:wAfter w:w="131" w:type="dxa"/>
          <w:trHeight w:val="991"/>
        </w:trPr>
        <w:tc>
          <w:tcPr>
            <w:tcW w:w="10080" w:type="dxa"/>
            <w:gridSpan w:val="6"/>
          </w:tcPr>
          <w:p w:rsidR="00E47124" w:rsidRPr="00E47124" w:rsidRDefault="00E47124" w:rsidP="00E00B96">
            <w:pPr>
              <w:pStyle w:val="Normal1"/>
              <w:spacing w:line="264" w:lineRule="auto"/>
              <w:jc w:val="both"/>
              <w:rPr>
                <w:rFonts w:ascii="Arial" w:eastAsia="Calibri" w:hAnsi="Arial" w:cs="Arial"/>
                <w:sz w:val="15"/>
                <w:szCs w:val="15"/>
                <w:lang w:eastAsia="en-GB"/>
              </w:rPr>
            </w:pPr>
          </w:p>
          <w:p w:rsidR="00E47124" w:rsidRPr="00E47124" w:rsidRDefault="00FC1FDC" w:rsidP="00E00B96">
            <w:pPr>
              <w:pStyle w:val="Normal1"/>
              <w:spacing w:line="264" w:lineRule="auto"/>
              <w:rPr>
                <w:rFonts w:ascii="Arial" w:eastAsia="Calibri" w:hAnsi="Arial" w:cs="Arial"/>
                <w:sz w:val="15"/>
                <w:szCs w:val="15"/>
                <w:lang w:eastAsia="en-GB"/>
              </w:rPr>
            </w:pPr>
            <w:r w:rsidRPr="00E47124">
              <w:rPr>
                <w:rFonts w:ascii="Arial" w:eastAsia="Calibri" w:hAnsi="Arial" w:cs="Arial"/>
                <w:sz w:val="15"/>
                <w:szCs w:val="15"/>
                <w:lang w:eastAsia="en-GB"/>
              </w:rPr>
              <w:t>Source: Savanta MarketVue Business Banking, YE Q4 2019.  Based on interviews with businesses with an annual turnover over £2 million. Latest base sizes: 586 for NatWest (England &amp; Wales), 100 for Royal Bank of Scotland (Scotland). Question: “How likely would you be to recommend (bank)”. Base: Claimed main bank. Data weighted by region and turnover to be representative of businesses in Great Britain.</w:t>
            </w:r>
          </w:p>
        </w:tc>
      </w:tr>
    </w:tbl>
    <w:p w:rsidR="00E47124" w:rsidRPr="00A26E97" w:rsidRDefault="00E47124" w:rsidP="00E47124">
      <w:pPr>
        <w:rPr>
          <w:rFonts w:eastAsia="Calibri" w:cs="Arial"/>
          <w:b/>
          <w:sz w:val="18"/>
          <w:szCs w:val="18"/>
        </w:rPr>
      </w:pPr>
    </w:p>
    <w:tbl>
      <w:tblPr>
        <w:tblW w:w="10211" w:type="dxa"/>
        <w:tblCellMar>
          <w:left w:w="0" w:type="dxa"/>
          <w:right w:w="0" w:type="dxa"/>
        </w:tblCellMar>
        <w:tblLook w:val="00A0" w:firstRow="1" w:lastRow="0" w:firstColumn="1" w:lastColumn="0" w:noHBand="0" w:noVBand="0"/>
      </w:tblPr>
      <w:tblGrid>
        <w:gridCol w:w="3124"/>
        <w:gridCol w:w="1417"/>
        <w:gridCol w:w="1418"/>
        <w:gridCol w:w="1417"/>
        <w:gridCol w:w="1418"/>
        <w:gridCol w:w="1286"/>
        <w:gridCol w:w="131"/>
      </w:tblGrid>
      <w:tr w:rsidR="0064628A" w:rsidTr="00E47124">
        <w:tc>
          <w:tcPr>
            <w:tcW w:w="10211" w:type="dxa"/>
            <w:gridSpan w:val="7"/>
            <w:shd w:val="clear" w:color="auto" w:fill="auto"/>
          </w:tcPr>
          <w:p w:rsidR="00E47124" w:rsidRPr="00E47124" w:rsidRDefault="00FC1FDC" w:rsidP="00E00B96">
            <w:pPr>
              <w:pStyle w:val="Normal1"/>
              <w:spacing w:line="264" w:lineRule="auto"/>
              <w:jc w:val="both"/>
              <w:rPr>
                <w:rFonts w:ascii="Arial" w:eastAsia="Calibri" w:hAnsi="Arial" w:cs="Arial"/>
                <w:b/>
                <w:color w:val="002060"/>
                <w:sz w:val="18"/>
                <w:szCs w:val="18"/>
                <w:lang w:eastAsia="en-US"/>
              </w:rPr>
            </w:pPr>
            <w:r w:rsidRPr="00E47124">
              <w:rPr>
                <w:rFonts w:ascii="Arial" w:eastAsia="Calibri" w:hAnsi="Arial" w:cs="Arial"/>
                <w:b/>
                <w:color w:val="002060"/>
                <w:sz w:val="18"/>
                <w:szCs w:val="18"/>
                <w:lang w:eastAsia="en-US"/>
              </w:rPr>
              <w:t>Trust</w:t>
            </w:r>
          </w:p>
          <w:p w:rsidR="00E47124" w:rsidRPr="00A26E97" w:rsidRDefault="00FC1FDC" w:rsidP="00E00B96">
            <w:pPr>
              <w:pStyle w:val="Normal1"/>
              <w:spacing w:line="264" w:lineRule="auto"/>
              <w:rPr>
                <w:rFonts w:ascii="Arial" w:eastAsia="Calibri" w:hAnsi="Arial" w:cs="Arial"/>
                <w:sz w:val="18"/>
                <w:szCs w:val="18"/>
                <w:lang w:eastAsia="en-US"/>
              </w:rPr>
            </w:pPr>
            <w:r w:rsidRPr="00A26E97">
              <w:rPr>
                <w:rFonts w:ascii="Arial" w:eastAsia="Calibri" w:hAnsi="Arial" w:cs="Arial"/>
                <w:sz w:val="18"/>
                <w:szCs w:val="18"/>
                <w:lang w:eastAsia="en-US"/>
              </w:rPr>
              <w:t>We also use independent experts to measure our customers’ trust in the bank. Each quarter we ask customers to what extent they trust or distrust their bank to do the right thing. The score is a net measure of those customers that trust their bank (a lot or somewhat) minus those that distrust their bank (a lot or somewhat).</w:t>
            </w:r>
          </w:p>
          <w:p w:rsidR="00E47124" w:rsidRPr="00A26E97" w:rsidRDefault="00E47124" w:rsidP="00E00B96">
            <w:pPr>
              <w:pStyle w:val="Normal1"/>
              <w:spacing w:line="264" w:lineRule="auto"/>
              <w:jc w:val="right"/>
              <w:rPr>
                <w:rFonts w:ascii="Arial" w:eastAsia="Calibri" w:hAnsi="Arial" w:cs="Arial"/>
                <w:b/>
                <w:sz w:val="16"/>
                <w:szCs w:val="16"/>
                <w:lang w:eastAsia="en-US"/>
              </w:rPr>
            </w:pPr>
          </w:p>
        </w:tc>
      </w:tr>
      <w:tr w:rsidR="0064628A" w:rsidTr="00E73DEB">
        <w:trPr>
          <w:trHeight w:val="183"/>
        </w:trPr>
        <w:tc>
          <w:tcPr>
            <w:tcW w:w="3124" w:type="dxa"/>
            <w:tcBorders>
              <w:bottom w:val="single" w:sz="4" w:space="0" w:color="003366"/>
            </w:tcBorders>
            <w:shd w:val="clear" w:color="auto" w:fill="auto"/>
          </w:tcPr>
          <w:p w:rsidR="00E47124" w:rsidRPr="00A26E97" w:rsidRDefault="00E47124" w:rsidP="00E00B96">
            <w:pPr>
              <w:pStyle w:val="Normal1"/>
              <w:spacing w:line="264" w:lineRule="auto"/>
              <w:rPr>
                <w:rFonts w:ascii="Arial" w:eastAsia="Calibri" w:hAnsi="Arial" w:cs="Arial"/>
                <w:sz w:val="18"/>
                <w:szCs w:val="18"/>
                <w:lang w:eastAsia="en-US"/>
              </w:rPr>
            </w:pPr>
          </w:p>
        </w:tc>
        <w:tc>
          <w:tcPr>
            <w:tcW w:w="1417" w:type="dxa"/>
            <w:tcBorders>
              <w:bottom w:val="single" w:sz="4" w:space="0" w:color="003366"/>
            </w:tcBorders>
            <w:shd w:val="clear" w:color="auto" w:fill="BFBFBF" w:themeFill="background1" w:themeFillShade="BF"/>
          </w:tcPr>
          <w:p w:rsidR="00E47124" w:rsidRPr="00E73DEB" w:rsidRDefault="00FC1FDC" w:rsidP="00E00B96">
            <w:pPr>
              <w:pStyle w:val="Normal1"/>
              <w:spacing w:line="264" w:lineRule="auto"/>
              <w:jc w:val="right"/>
              <w:rPr>
                <w:rFonts w:ascii="Arial" w:eastAsia="Calibri" w:hAnsi="Arial" w:cs="Arial"/>
                <w:b/>
                <w:sz w:val="16"/>
                <w:szCs w:val="16"/>
                <w:lang w:eastAsia="en-US"/>
              </w:rPr>
            </w:pPr>
            <w:r>
              <w:rPr>
                <w:rFonts w:ascii="Arial" w:eastAsia="Calibri" w:hAnsi="Arial" w:cs="Arial"/>
                <w:b/>
                <w:sz w:val="16"/>
                <w:szCs w:val="16"/>
                <w:lang w:eastAsia="en-US"/>
              </w:rPr>
              <w:t>Q4 2019</w:t>
            </w:r>
          </w:p>
        </w:tc>
        <w:tc>
          <w:tcPr>
            <w:tcW w:w="1418"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Q3</w:t>
            </w:r>
            <w:r w:rsidRPr="00E73DEB">
              <w:rPr>
                <w:rFonts w:ascii="Arial" w:eastAsia="Calibri" w:hAnsi="Arial" w:cs="Arial"/>
                <w:sz w:val="16"/>
                <w:szCs w:val="16"/>
                <w:lang w:eastAsia="en-US"/>
              </w:rPr>
              <w:t xml:space="preserve"> 2019</w:t>
            </w:r>
          </w:p>
        </w:tc>
        <w:tc>
          <w:tcPr>
            <w:tcW w:w="1417"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Q2 2019</w:t>
            </w:r>
          </w:p>
        </w:tc>
        <w:tc>
          <w:tcPr>
            <w:tcW w:w="1418"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Q1</w:t>
            </w:r>
            <w:r w:rsidRPr="00E73DEB">
              <w:rPr>
                <w:rFonts w:ascii="Arial" w:eastAsia="Calibri" w:hAnsi="Arial" w:cs="Arial"/>
                <w:sz w:val="16"/>
                <w:szCs w:val="16"/>
                <w:lang w:eastAsia="en-US"/>
              </w:rPr>
              <w:t xml:space="preserve"> 2019</w:t>
            </w:r>
          </w:p>
        </w:tc>
        <w:tc>
          <w:tcPr>
            <w:tcW w:w="1417" w:type="dxa"/>
            <w:gridSpan w:val="2"/>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Q4 2018</w:t>
            </w:r>
          </w:p>
        </w:tc>
      </w:tr>
      <w:tr w:rsidR="0064628A" w:rsidTr="00E73DEB">
        <w:tc>
          <w:tcPr>
            <w:tcW w:w="3124" w:type="dxa"/>
            <w:tcBorders>
              <w:top w:val="single" w:sz="4" w:space="0" w:color="003366"/>
            </w:tcBorders>
            <w:shd w:val="clear" w:color="auto" w:fill="auto"/>
          </w:tcPr>
          <w:p w:rsidR="00E47124" w:rsidRPr="00A26E97" w:rsidRDefault="00FC1FDC" w:rsidP="00E00B96">
            <w:pPr>
              <w:pStyle w:val="Normal1"/>
              <w:spacing w:line="264" w:lineRule="auto"/>
              <w:rPr>
                <w:rFonts w:ascii="Arial" w:eastAsia="Calibri" w:hAnsi="Arial" w:cs="Arial"/>
                <w:sz w:val="18"/>
                <w:szCs w:val="18"/>
                <w:lang w:eastAsia="en-US"/>
              </w:rPr>
            </w:pPr>
            <w:r w:rsidRPr="00A26E97">
              <w:rPr>
                <w:rFonts w:ascii="Arial" w:eastAsia="Calibri" w:hAnsi="Arial" w:cs="Arial"/>
                <w:sz w:val="18"/>
                <w:szCs w:val="18"/>
                <w:lang w:eastAsia="en-US"/>
              </w:rPr>
              <w:t>NatWest</w:t>
            </w:r>
          </w:p>
        </w:tc>
        <w:tc>
          <w:tcPr>
            <w:tcW w:w="1417" w:type="dxa"/>
            <w:tcBorders>
              <w:top w:val="single" w:sz="4" w:space="0" w:color="003366"/>
            </w:tcBorders>
            <w:shd w:val="clear" w:color="auto" w:fill="BFBFBF" w:themeFill="background1" w:themeFillShade="BF"/>
          </w:tcPr>
          <w:p w:rsidR="00E47124" w:rsidRPr="00E73DEB" w:rsidRDefault="00FC1FDC" w:rsidP="00E00B96">
            <w:pPr>
              <w:pStyle w:val="Normal1"/>
              <w:spacing w:line="264" w:lineRule="auto"/>
              <w:jc w:val="right"/>
              <w:rPr>
                <w:rFonts w:ascii="Arial" w:eastAsia="Calibri" w:hAnsi="Arial" w:cs="Arial"/>
                <w:b/>
                <w:sz w:val="16"/>
                <w:szCs w:val="16"/>
                <w:lang w:eastAsia="en-US"/>
              </w:rPr>
            </w:pPr>
            <w:r>
              <w:rPr>
                <w:rFonts w:ascii="Arial" w:eastAsia="Calibri" w:hAnsi="Arial" w:cs="Arial"/>
                <w:b/>
                <w:sz w:val="16"/>
                <w:szCs w:val="16"/>
                <w:lang w:eastAsia="en-US"/>
              </w:rPr>
              <w:t>62</w:t>
            </w:r>
          </w:p>
        </w:tc>
        <w:tc>
          <w:tcPr>
            <w:tcW w:w="1418" w:type="dxa"/>
            <w:tcBorders>
              <w:top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62</w:t>
            </w:r>
          </w:p>
        </w:tc>
        <w:tc>
          <w:tcPr>
            <w:tcW w:w="1417" w:type="dxa"/>
            <w:tcBorders>
              <w:top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61</w:t>
            </w:r>
          </w:p>
        </w:tc>
        <w:tc>
          <w:tcPr>
            <w:tcW w:w="1418" w:type="dxa"/>
            <w:tcBorders>
              <w:top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60</w:t>
            </w:r>
          </w:p>
        </w:tc>
        <w:tc>
          <w:tcPr>
            <w:tcW w:w="1417" w:type="dxa"/>
            <w:gridSpan w:val="2"/>
            <w:tcBorders>
              <w:top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56</w:t>
            </w:r>
          </w:p>
        </w:tc>
      </w:tr>
      <w:tr w:rsidR="0064628A" w:rsidTr="00E73DEB">
        <w:tc>
          <w:tcPr>
            <w:tcW w:w="3124" w:type="dxa"/>
            <w:tcBorders>
              <w:bottom w:val="single" w:sz="4" w:space="0" w:color="003366"/>
            </w:tcBorders>
            <w:shd w:val="clear" w:color="auto" w:fill="auto"/>
          </w:tcPr>
          <w:p w:rsidR="00E47124" w:rsidRPr="00A26E97" w:rsidRDefault="00FC1FDC" w:rsidP="00E00B96">
            <w:pPr>
              <w:pStyle w:val="Normal1"/>
              <w:spacing w:line="264" w:lineRule="auto"/>
              <w:rPr>
                <w:rFonts w:ascii="Arial" w:eastAsia="Calibri" w:hAnsi="Arial" w:cs="Arial"/>
                <w:sz w:val="18"/>
                <w:szCs w:val="18"/>
                <w:lang w:eastAsia="en-US"/>
              </w:rPr>
            </w:pPr>
            <w:r w:rsidRPr="00A26E97">
              <w:rPr>
                <w:rFonts w:ascii="Arial" w:eastAsia="Calibri" w:hAnsi="Arial" w:cs="Arial"/>
                <w:sz w:val="18"/>
                <w:szCs w:val="18"/>
                <w:lang w:eastAsia="en-US"/>
              </w:rPr>
              <w:t>Royal Bank of Scotland</w:t>
            </w:r>
          </w:p>
        </w:tc>
        <w:tc>
          <w:tcPr>
            <w:tcW w:w="1417" w:type="dxa"/>
            <w:tcBorders>
              <w:bottom w:val="single" w:sz="4" w:space="0" w:color="003366"/>
            </w:tcBorders>
            <w:shd w:val="clear" w:color="auto" w:fill="BFBFBF" w:themeFill="background1" w:themeFillShade="BF"/>
          </w:tcPr>
          <w:p w:rsidR="00E47124" w:rsidRPr="00E73DEB" w:rsidRDefault="00FC1FDC" w:rsidP="00E00B96">
            <w:pPr>
              <w:pStyle w:val="Normal1"/>
              <w:spacing w:line="264" w:lineRule="auto"/>
              <w:jc w:val="right"/>
              <w:rPr>
                <w:rFonts w:ascii="Arial" w:eastAsia="Calibri" w:hAnsi="Arial" w:cs="Arial"/>
                <w:b/>
                <w:sz w:val="16"/>
                <w:szCs w:val="16"/>
                <w:lang w:eastAsia="en-US"/>
              </w:rPr>
            </w:pPr>
            <w:r>
              <w:rPr>
                <w:rFonts w:ascii="Arial" w:eastAsia="Calibri" w:hAnsi="Arial" w:cs="Arial"/>
                <w:b/>
                <w:sz w:val="16"/>
                <w:szCs w:val="16"/>
                <w:lang w:eastAsia="en-US"/>
              </w:rPr>
              <w:t>39</w:t>
            </w:r>
          </w:p>
        </w:tc>
        <w:tc>
          <w:tcPr>
            <w:tcW w:w="1418"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47</w:t>
            </w:r>
          </w:p>
        </w:tc>
        <w:tc>
          <w:tcPr>
            <w:tcW w:w="1417"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sidRPr="00E73DEB">
              <w:rPr>
                <w:rFonts w:ascii="Arial" w:eastAsia="Calibri" w:hAnsi="Arial" w:cs="Arial"/>
                <w:sz w:val="16"/>
                <w:szCs w:val="16"/>
                <w:lang w:eastAsia="en-US"/>
              </w:rPr>
              <w:t>38</w:t>
            </w:r>
          </w:p>
        </w:tc>
        <w:tc>
          <w:tcPr>
            <w:tcW w:w="1418" w:type="dxa"/>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28</w:t>
            </w:r>
          </w:p>
        </w:tc>
        <w:tc>
          <w:tcPr>
            <w:tcW w:w="1417" w:type="dxa"/>
            <w:gridSpan w:val="2"/>
            <w:tcBorders>
              <w:bottom w:val="single" w:sz="4" w:space="0" w:color="003366"/>
            </w:tcBorders>
            <w:shd w:val="clear" w:color="auto" w:fill="auto"/>
          </w:tcPr>
          <w:p w:rsidR="00E47124" w:rsidRPr="00E73DEB" w:rsidRDefault="00FC1FDC" w:rsidP="00E00B96">
            <w:pPr>
              <w:pStyle w:val="Normal1"/>
              <w:spacing w:line="264" w:lineRule="auto"/>
              <w:jc w:val="right"/>
              <w:rPr>
                <w:rFonts w:ascii="Arial" w:eastAsia="Calibri" w:hAnsi="Arial" w:cs="Arial"/>
                <w:sz w:val="16"/>
                <w:szCs w:val="16"/>
                <w:lang w:eastAsia="en-US"/>
              </w:rPr>
            </w:pPr>
            <w:r>
              <w:rPr>
                <w:rFonts w:ascii="Arial" w:eastAsia="Calibri" w:hAnsi="Arial" w:cs="Arial"/>
                <w:sz w:val="16"/>
                <w:szCs w:val="16"/>
                <w:lang w:eastAsia="en-US"/>
              </w:rPr>
              <w:t>27</w:t>
            </w:r>
          </w:p>
        </w:tc>
      </w:tr>
      <w:tr w:rsidR="0064628A" w:rsidTr="00E47124">
        <w:tblPrEx>
          <w:tblLook w:val="01E0" w:firstRow="1" w:lastRow="1" w:firstColumn="1" w:lastColumn="1" w:noHBand="0" w:noVBand="0"/>
        </w:tblPrEx>
        <w:trPr>
          <w:gridAfter w:val="1"/>
          <w:wAfter w:w="131" w:type="dxa"/>
        </w:trPr>
        <w:tc>
          <w:tcPr>
            <w:tcW w:w="10080" w:type="dxa"/>
            <w:gridSpan w:val="6"/>
          </w:tcPr>
          <w:p w:rsidR="00E47124" w:rsidRPr="00E47124" w:rsidRDefault="00E47124" w:rsidP="00E00B96">
            <w:pPr>
              <w:pStyle w:val="Normal1"/>
              <w:spacing w:line="264" w:lineRule="auto"/>
              <w:jc w:val="both"/>
              <w:rPr>
                <w:rFonts w:ascii="Arial" w:eastAsia="Calibri" w:hAnsi="Arial" w:cs="Arial"/>
                <w:sz w:val="15"/>
                <w:szCs w:val="15"/>
                <w:lang w:eastAsia="en-GB"/>
              </w:rPr>
            </w:pPr>
          </w:p>
          <w:p w:rsidR="00E47124" w:rsidRPr="00E47124" w:rsidRDefault="00FC1FDC" w:rsidP="00E00B96">
            <w:pPr>
              <w:pStyle w:val="Normal1"/>
              <w:spacing w:line="264" w:lineRule="auto"/>
              <w:rPr>
                <w:rFonts w:ascii="Arial" w:eastAsia="Calibri" w:hAnsi="Arial" w:cs="Arial"/>
                <w:sz w:val="15"/>
                <w:szCs w:val="15"/>
                <w:lang w:eastAsia="en-GB"/>
              </w:rPr>
            </w:pPr>
            <w:r w:rsidRPr="00E47124">
              <w:rPr>
                <w:rFonts w:ascii="Arial" w:eastAsia="Calibri" w:hAnsi="Arial" w:cs="Arial"/>
                <w:sz w:val="15"/>
                <w:szCs w:val="15"/>
                <w:lang w:eastAsia="en-GB"/>
              </w:rPr>
              <w:t>Source: Populus. Latest quarter’s data. Measured as a net % of those that trust Royal Bank of Scotland/NatWest to do the right thing, less those that do not. Latest base sizes: 531 for NatWest (England &amp; Wales), 214 for Royal Bank of Scotland (Scotland).</w:t>
            </w:r>
          </w:p>
        </w:tc>
      </w:tr>
    </w:tbl>
    <w:p w:rsidR="00C06C6D" w:rsidRDefault="00C06C6D" w:rsidP="00C728A4"/>
    <w:p w:rsidR="00C06C6D" w:rsidRDefault="00FC1FDC">
      <w:pPr>
        <w:spacing w:after="200"/>
      </w:pPr>
      <w:r>
        <w:br w:type="page"/>
      </w:r>
    </w:p>
    <w:p w:rsidR="00C36715" w:rsidRPr="00C728A4" w:rsidRDefault="00C36715" w:rsidP="00C728A4">
      <w:pPr>
        <w:sectPr w:rsidR="00C36715" w:rsidRPr="00C728A4" w:rsidSect="001B061F">
          <w:headerReference w:type="even" r:id="rId34"/>
          <w:headerReference w:type="default" r:id="rId35"/>
          <w:footerReference w:type="even" r:id="rId36"/>
          <w:footerReference w:type="default" r:id="rId37"/>
          <w:headerReference w:type="first" r:id="rId38"/>
          <w:footerReference w:type="first" r:id="rId39"/>
          <w:type w:val="continuous"/>
          <w:pgSz w:w="11906" w:h="16838"/>
          <w:pgMar w:top="1134" w:right="851" w:bottom="680" w:left="851" w:header="708" w:footer="708" w:gutter="0"/>
          <w:cols w:space="708"/>
          <w:docGrid w:linePitch="360"/>
        </w:sectPr>
      </w:pPr>
    </w:p>
    <w:p w:rsidR="00C36715" w:rsidRDefault="00FC1FDC" w:rsidP="00921D7D">
      <w:pPr>
        <w:rPr>
          <w:rFonts w:eastAsia="Arial" w:cs="Arial"/>
          <w:b/>
          <w:color w:val="003366"/>
          <w:sz w:val="18"/>
        </w:rPr>
      </w:pPr>
      <w:bookmarkStart w:id="15" w:name="RBSGCA_notableitems"/>
      <w:r>
        <w:rPr>
          <w:rFonts w:eastAsia="Arial" w:cs="Arial"/>
          <w:b/>
          <w:color w:val="003366"/>
          <w:sz w:val="18"/>
        </w:rPr>
        <w:lastRenderedPageBreak/>
        <w:t>Summary consolidated income statement for the period ended 31 December 2019</w:t>
      </w:r>
    </w:p>
    <w:bookmarkEnd w:id="15"/>
    <w:p w:rsidR="00921D7D" w:rsidRDefault="00921D7D" w:rsidP="00921D7D">
      <w:pPr>
        <w:rPr>
          <w:rFonts w:eastAsia="Arial" w:cs="Arial"/>
          <w:b/>
          <w:color w:val="003366"/>
          <w:sz w:val="18"/>
        </w:rPr>
      </w:pPr>
    </w:p>
    <w:sdt>
      <w:sdtPr>
        <w:tag w:val="&lt;ReportPackage&gt;&lt;EmbeddedContent id=&quot;37b497cd-779d-4670-b8ca-d5ebd3d5ed5d&quot; lastModified=&quot;1580223994051&quot;/&gt;&lt;/ReportPackage&gt;"/>
        <w:id w:val="897491975"/>
        <w:lock w:val="contentLocked"/>
        <w:placeholder>
          <w:docPart w:val="1F871772C67A426FAFFCA875C74426A2"/>
        </w:placeholder>
      </w:sdtPr>
      <w:sdtEndPr/>
      <w:sdtContent>
        <w:tbl>
          <w:tblPr>
            <w:tblStyle w:val="table"/>
            <w:tblW w:w="10100" w:type="dxa"/>
            <w:tblInd w:w="5" w:type="dxa"/>
            <w:tblCellMar>
              <w:left w:w="0" w:type="dxa"/>
              <w:right w:w="0" w:type="dxa"/>
            </w:tblCellMar>
            <w:tblLook w:val="05E0" w:firstRow="1" w:lastRow="1" w:firstColumn="1" w:lastColumn="1" w:noHBand="0" w:noVBand="1"/>
          </w:tblPr>
          <w:tblGrid>
            <w:gridCol w:w="4479"/>
            <w:gridCol w:w="1110"/>
            <w:gridCol w:w="1109"/>
            <w:gridCol w:w="60"/>
            <w:gridCol w:w="1124"/>
            <w:gridCol w:w="1109"/>
            <w:gridCol w:w="1109"/>
          </w:tblGrid>
          <w:tr w:rsidR="0064628A">
            <w:trPr>
              <w:trHeight w:val="210"/>
            </w:trPr>
            <w:tc>
              <w:tcPr>
                <w:tcW w:w="4485" w:type="dxa"/>
                <w:shd w:val="clear" w:color="auto" w:fill="FFFFFF"/>
                <w:tcMar>
                  <w:top w:w="0" w:type="dxa"/>
                  <w:left w:w="5" w:type="dxa"/>
                  <w:bottom w:w="0" w:type="dxa"/>
                  <w:right w:w="5" w:type="dxa"/>
                </w:tcMar>
                <w:vAlign w:val="center"/>
                <w:hideMark/>
              </w:tcPr>
              <w:p w:rsidR="007B3E82" w:rsidRDefault="007B3E82">
                <w:pPr>
                  <w:spacing w:line="240" w:lineRule="auto"/>
                  <w:contextualSpacing/>
                  <w:rPr>
                    <w:rFonts w:eastAsia="Arial" w:cs="Arial"/>
                    <w:color w:val="003366"/>
                    <w:szCs w:val="16"/>
                  </w:rPr>
                </w:pPr>
              </w:p>
            </w:tc>
            <w:tc>
              <w:tcPr>
                <w:tcW w:w="2220" w:type="dxa"/>
                <w:gridSpan w:val="2"/>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center"/>
                  <w:rPr>
                    <w:rFonts w:eastAsia="Arial" w:cs="Arial"/>
                    <w:b/>
                    <w:bCs/>
                    <w:color w:val="003366"/>
                    <w:szCs w:val="16"/>
                  </w:rPr>
                </w:pPr>
                <w:r>
                  <w:rPr>
                    <w:rFonts w:eastAsia="Arial" w:cs="Arial"/>
                    <w:b/>
                    <w:bCs/>
                    <w:color w:val="003366"/>
                    <w:szCs w:val="16"/>
                  </w:rPr>
                  <w:t>Year ended</w:t>
                </w: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center"/>
                  <w:rPr>
                    <w:rFonts w:eastAsia="Arial" w:cs="Arial"/>
                    <w:color w:val="003366"/>
                    <w:szCs w:val="16"/>
                  </w:rPr>
                </w:pPr>
              </w:p>
            </w:tc>
            <w:tc>
              <w:tcPr>
                <w:tcW w:w="3345" w:type="dxa"/>
                <w:gridSpan w:val="3"/>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center"/>
                  <w:rPr>
                    <w:rFonts w:eastAsia="Arial" w:cs="Arial"/>
                    <w:b/>
                    <w:bCs/>
                    <w:color w:val="003366"/>
                    <w:szCs w:val="16"/>
                  </w:rPr>
                </w:pPr>
                <w:r>
                  <w:rPr>
                    <w:rFonts w:eastAsia="Arial" w:cs="Arial"/>
                    <w:b/>
                    <w:bCs/>
                    <w:color w:val="003366"/>
                    <w:szCs w:val="16"/>
                  </w:rPr>
                  <w:t>Quarter ended</w:t>
                </w:r>
              </w:p>
            </w:tc>
          </w:tr>
          <w:tr w:rsidR="0064628A">
            <w:trPr>
              <w:trHeight w:val="195"/>
            </w:trPr>
            <w:tc>
              <w:tcPr>
                <w:tcW w:w="4485" w:type="dxa"/>
                <w:shd w:val="clear" w:color="auto" w:fill="FFFFFF"/>
                <w:tcMar>
                  <w:top w:w="0" w:type="dxa"/>
                  <w:left w:w="5" w:type="dxa"/>
                  <w:bottom w:w="0" w:type="dxa"/>
                  <w:right w:w="5" w:type="dxa"/>
                </w:tcMar>
                <w:vAlign w:val="center"/>
                <w:hideMark/>
              </w:tcPr>
              <w:p w:rsidR="007B3E82" w:rsidRDefault="007B3E82">
                <w:pPr>
                  <w:spacing w:line="240" w:lineRule="auto"/>
                  <w:contextualSpacing/>
                  <w:rPr>
                    <w:rFonts w:eastAsia="Arial" w:cs="Arial"/>
                    <w:color w:val="000000"/>
                    <w:sz w:val="20"/>
                    <w:szCs w:val="20"/>
                  </w:rPr>
                </w:pP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3366"/>
                    <w:szCs w:val="16"/>
                  </w:rPr>
                </w:pPr>
                <w:r>
                  <w:rPr>
                    <w:rFonts w:eastAsia="Arial" w:cs="Arial"/>
                    <w:color w:val="003366"/>
                    <w:szCs w:val="16"/>
                  </w:rPr>
                  <w:t>31 December</w:t>
                </w: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3366"/>
                    <w:szCs w:val="16"/>
                  </w:rPr>
                </w:pPr>
              </w:p>
            </w:tc>
            <w:tc>
              <w:tcPr>
                <w:tcW w:w="1125"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3366"/>
                    <w:szCs w:val="16"/>
                  </w:rPr>
                </w:pPr>
                <w:r>
                  <w:rPr>
                    <w:rFonts w:eastAsia="Arial" w:cs="Arial"/>
                    <w:color w:val="003366"/>
                    <w:szCs w:val="16"/>
                  </w:rPr>
                  <w:t>30 September</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3366"/>
                    <w:szCs w:val="16"/>
                  </w:rPr>
                </w:pPr>
                <w:r>
                  <w:rPr>
                    <w:rFonts w:eastAsia="Arial" w:cs="Arial"/>
                    <w:color w:val="003366"/>
                    <w:szCs w:val="16"/>
                  </w:rPr>
                  <w:t>31 December</w:t>
                </w:r>
              </w:p>
            </w:tc>
          </w:tr>
          <w:tr w:rsidR="0064628A">
            <w:trPr>
              <w:trHeight w:val="195"/>
            </w:trPr>
            <w:tc>
              <w:tcPr>
                <w:tcW w:w="4485" w:type="dxa"/>
                <w:shd w:val="clear" w:color="auto" w:fill="FFFFFF"/>
                <w:tcMar>
                  <w:top w:w="0" w:type="dxa"/>
                  <w:left w:w="5" w:type="dxa"/>
                  <w:bottom w:w="0" w:type="dxa"/>
                  <w:right w:w="5" w:type="dxa"/>
                </w:tcMar>
                <w:vAlign w:val="center"/>
                <w:hideMark/>
              </w:tcPr>
              <w:p w:rsidR="007B3E82" w:rsidRDefault="007B3E82">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3366"/>
                    <w:szCs w:val="16"/>
                  </w:rPr>
                </w:pPr>
                <w:r>
                  <w:rPr>
                    <w:rFonts w:eastAsia="Arial" w:cs="Arial"/>
                    <w:color w:val="003366"/>
                    <w:szCs w:val="16"/>
                  </w:rPr>
                  <w:t>2018*</w:t>
                </w: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3366"/>
                    <w:szCs w:val="16"/>
                  </w:rPr>
                </w:pPr>
              </w:p>
            </w:tc>
            <w:tc>
              <w:tcPr>
                <w:tcW w:w="1125"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3366"/>
                    <w:szCs w:val="16"/>
                  </w:rPr>
                </w:pPr>
                <w:r>
                  <w:rPr>
                    <w:rFonts w:eastAsia="Arial" w:cs="Arial"/>
                    <w:color w:val="003366"/>
                    <w:szCs w:val="16"/>
                  </w:rPr>
                  <w:t>2019</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4485" w:type="dxa"/>
                <w:shd w:val="clear" w:color="auto" w:fill="FFFFFF"/>
                <w:tcMar>
                  <w:top w:w="0" w:type="dxa"/>
                  <w:left w:w="5" w:type="dxa"/>
                  <w:bottom w:w="0" w:type="dxa"/>
                  <w:right w:w="5" w:type="dxa"/>
                </w:tcMar>
                <w:vAlign w:val="center"/>
                <w:hideMark/>
              </w:tcPr>
              <w:p w:rsidR="007B3E82" w:rsidRDefault="007B3E82">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3366"/>
                    <w:szCs w:val="16"/>
                  </w:rPr>
                </w:pPr>
              </w:p>
            </w:tc>
            <w:tc>
              <w:tcPr>
                <w:tcW w:w="1125"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4485"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3366"/>
                    <w:szCs w:val="16"/>
                  </w:rPr>
                </w:pPr>
                <w:r>
                  <w:rPr>
                    <w:rFonts w:eastAsia="Arial" w:cs="Arial"/>
                    <w:color w:val="003366"/>
                    <w:szCs w:val="16"/>
                  </w:rPr>
                  <w:t>Net interest income</w:t>
                </w:r>
              </w:p>
            </w:tc>
            <w:tc>
              <w:tcPr>
                <w:tcW w:w="1110" w:type="dxa"/>
                <w:tcBorders>
                  <w:top w:val="single" w:sz="6" w:space="0" w:color="003366"/>
                  <w:bottom w:val="single" w:sz="6" w:space="0" w:color="003366"/>
                </w:tcBorders>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8,047</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8,656 </w:t>
                </w:r>
              </w:p>
            </w:tc>
            <w:tc>
              <w:tcPr>
                <w:tcW w:w="6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tcBorders>
                  <w:top w:val="single" w:sz="6" w:space="0" w:color="003366"/>
                  <w:bottom w:val="single" w:sz="6" w:space="0" w:color="003366"/>
                </w:tcBorders>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2,037</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2,006</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2,176 </w:t>
                </w:r>
              </w:p>
            </w:tc>
          </w:tr>
          <w:tr w:rsidR="0064628A">
            <w:trPr>
              <w:trHeight w:val="105"/>
            </w:trPr>
            <w:tc>
              <w:tcPr>
                <w:tcW w:w="4485"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rPr>
                    <w:rFonts w:eastAsia="Arial" w:cs="Arial"/>
                    <w:color w:val="000000"/>
                    <w:szCs w:val="16"/>
                  </w:rPr>
                </w:pPr>
              </w:p>
            </w:tc>
            <w:tc>
              <w:tcPr>
                <w:tcW w:w="1110" w:type="dxa"/>
                <w:tcBorders>
                  <w:top w:val="single" w:sz="6" w:space="0" w:color="003366"/>
                </w:tcBorders>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tcBorders>
                  <w:top w:val="single" w:sz="6" w:space="0" w:color="003366"/>
                </w:tcBorders>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0000"/>
                    <w:szCs w:val="16"/>
                  </w:rPr>
                </w:pPr>
                <w:r>
                  <w:rPr>
                    <w:rFonts w:eastAsia="Arial" w:cs="Arial"/>
                    <w:color w:val="000000"/>
                    <w:szCs w:val="16"/>
                  </w:rPr>
                  <w:t>Own credit adjustments</w:t>
                </w:r>
              </w:p>
            </w:tc>
            <w:tc>
              <w:tcPr>
                <w:tcW w:w="1110"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(80)</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92 </w:t>
                </w: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(22)</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(12)</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33 </w:t>
                </w:r>
              </w:p>
            </w:tc>
          </w:tr>
          <w:tr w:rsidR="0064628A">
            <w:trPr>
              <w:trHeight w:val="195"/>
            </w:trPr>
            <w:tc>
              <w:tcPr>
                <w:tcW w:w="4485" w:type="dxa"/>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0000"/>
                    <w:szCs w:val="16"/>
                  </w:rPr>
                </w:pPr>
                <w:r>
                  <w:rPr>
                    <w:rFonts w:eastAsia="Arial" w:cs="Arial"/>
                    <w:color w:val="000000"/>
                    <w:szCs w:val="16"/>
                  </w:rPr>
                  <w:t>Strategic disposals</w:t>
                </w:r>
              </w:p>
            </w:tc>
            <w:tc>
              <w:tcPr>
                <w:tcW w:w="1110"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1,035</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 </w:t>
                </w: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 </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0000"/>
                    <w:szCs w:val="16"/>
                  </w:rPr>
                </w:pPr>
                <w:r>
                  <w:rPr>
                    <w:rFonts w:eastAsia="Arial" w:cs="Arial"/>
                    <w:color w:val="000000"/>
                    <w:szCs w:val="16"/>
                  </w:rPr>
                  <w:t>Other non-interest income</w:t>
                </w:r>
              </w:p>
            </w:tc>
            <w:tc>
              <w:tcPr>
                <w:tcW w:w="1110" w:type="dxa"/>
                <w:tcBorders>
                  <w:bottom w:val="single" w:sz="6" w:space="0" w:color="003366"/>
                </w:tcBorders>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5,251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4,654 </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tcBorders>
                  <w:bottom w:val="single" w:sz="6" w:space="0" w:color="003366"/>
                </w:tcBorders>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2,218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909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849 </w:t>
                </w:r>
              </w:p>
            </w:tc>
          </w:tr>
          <w:tr w:rsidR="0064628A">
            <w:trPr>
              <w:trHeight w:val="105"/>
            </w:trPr>
            <w:tc>
              <w:tcPr>
                <w:tcW w:w="4485" w:type="dxa"/>
                <w:shd w:val="clear" w:color="auto" w:fill="FFFFFF"/>
                <w:tcMar>
                  <w:top w:w="0" w:type="dxa"/>
                  <w:left w:w="5" w:type="dxa"/>
                  <w:bottom w:w="0" w:type="dxa"/>
                  <w:right w:w="5" w:type="dxa"/>
                </w:tcMar>
                <w:vAlign w:val="center"/>
                <w:hideMark/>
              </w:tcPr>
              <w:p w:rsidR="007B3E82" w:rsidRDefault="007B3E82">
                <w:pPr>
                  <w:spacing w:line="240" w:lineRule="auto"/>
                  <w:contextualSpacing/>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3366"/>
                    <w:szCs w:val="16"/>
                  </w:rPr>
                </w:pPr>
                <w:r>
                  <w:rPr>
                    <w:rFonts w:eastAsia="Arial" w:cs="Arial"/>
                    <w:color w:val="003366"/>
                    <w:szCs w:val="16"/>
                  </w:rPr>
                  <w:t>Non-interest income</w:t>
                </w:r>
              </w:p>
            </w:tc>
            <w:tc>
              <w:tcPr>
                <w:tcW w:w="1110"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6,206</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4,746 </w:t>
                </w: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2,196</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897</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882 </w:t>
                </w:r>
              </w:p>
            </w:tc>
          </w:tr>
          <w:tr w:rsidR="0064628A">
            <w:trPr>
              <w:trHeight w:val="105"/>
            </w:trPr>
            <w:tc>
              <w:tcPr>
                <w:tcW w:w="4485"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rPr>
                    <w:rFonts w:eastAsia="Arial" w:cs="Arial"/>
                    <w:color w:val="000000"/>
                    <w:szCs w:val="16"/>
                  </w:rPr>
                </w:pPr>
              </w:p>
            </w:tc>
            <w:tc>
              <w:tcPr>
                <w:tcW w:w="1110" w:type="dxa"/>
                <w:tcBorders>
                  <w:top w:val="single" w:sz="6" w:space="0" w:color="003366"/>
                </w:tcBorders>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tcBorders>
                  <w:top w:val="single" w:sz="6" w:space="0" w:color="003366"/>
                </w:tcBorders>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3366"/>
                    <w:szCs w:val="16"/>
                  </w:rPr>
                </w:pPr>
                <w:r>
                  <w:rPr>
                    <w:rFonts w:eastAsia="Arial" w:cs="Arial"/>
                    <w:color w:val="003366"/>
                    <w:szCs w:val="16"/>
                  </w:rPr>
                  <w:t>Total income</w:t>
                </w:r>
              </w:p>
            </w:tc>
            <w:tc>
              <w:tcPr>
                <w:tcW w:w="1110" w:type="dxa"/>
                <w:tcBorders>
                  <w:bottom w:val="single" w:sz="6" w:space="0" w:color="003366"/>
                </w:tcBorders>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14,253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13,402 </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tcBorders>
                  <w:bottom w:val="single" w:sz="6" w:space="0" w:color="003366"/>
                </w:tcBorders>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4,233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2,903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3,058 </w:t>
                </w:r>
              </w:p>
            </w:tc>
          </w:tr>
          <w:tr w:rsidR="0064628A">
            <w:trPr>
              <w:trHeight w:val="105"/>
            </w:trPr>
            <w:tc>
              <w:tcPr>
                <w:tcW w:w="4485" w:type="dxa"/>
                <w:shd w:val="clear" w:color="auto" w:fill="FFFFFF"/>
                <w:tcMar>
                  <w:top w:w="0" w:type="dxa"/>
                  <w:left w:w="5" w:type="dxa"/>
                  <w:bottom w:w="0" w:type="dxa"/>
                  <w:right w:w="5" w:type="dxa"/>
                </w:tcMar>
                <w:vAlign w:val="center"/>
                <w:hideMark/>
              </w:tcPr>
              <w:p w:rsidR="007B3E82" w:rsidRDefault="007B3E82">
                <w:pPr>
                  <w:spacing w:line="240" w:lineRule="auto"/>
                  <w:contextualSpacing/>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0000"/>
                    <w:szCs w:val="16"/>
                  </w:rPr>
                </w:pPr>
                <w:r>
                  <w:rPr>
                    <w:rFonts w:eastAsia="Arial" w:cs="Arial"/>
                    <w:color w:val="000000"/>
                    <w:szCs w:val="16"/>
                  </w:rPr>
                  <w:t>Litigation and conduct costs</w:t>
                </w:r>
              </w:p>
            </w:tc>
            <w:tc>
              <w:tcPr>
                <w:tcW w:w="1110"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(895)</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(1,282)</w:t>
                </w: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(85)</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(750)</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(92)</w:t>
                </w:r>
              </w:p>
            </w:tc>
          </w:tr>
          <w:tr w:rsidR="0064628A">
            <w:trPr>
              <w:trHeight w:val="195"/>
            </w:trPr>
            <w:tc>
              <w:tcPr>
                <w:tcW w:w="4485" w:type="dxa"/>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0000"/>
                    <w:szCs w:val="16"/>
                  </w:rPr>
                </w:pPr>
                <w:r>
                  <w:rPr>
                    <w:rFonts w:eastAsia="Arial" w:cs="Arial"/>
                    <w:color w:val="000000"/>
                    <w:szCs w:val="16"/>
                  </w:rPr>
                  <w:t>Strategic costs</w:t>
                </w:r>
              </w:p>
            </w:tc>
            <w:tc>
              <w:tcPr>
                <w:tcW w:w="1110"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(1,381)</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(1,004)</w:t>
                </w: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(537)</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(215)</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(355)</w:t>
                </w:r>
              </w:p>
            </w:tc>
          </w:tr>
          <w:tr w:rsidR="0064628A">
            <w:trPr>
              <w:trHeight w:val="195"/>
            </w:trPr>
            <w:tc>
              <w:tcPr>
                <w:tcW w:w="4485" w:type="dxa"/>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0000"/>
                    <w:szCs w:val="16"/>
                  </w:rPr>
                </w:pPr>
                <w:r>
                  <w:rPr>
                    <w:rFonts w:eastAsia="Arial" w:cs="Arial"/>
                    <w:color w:val="000000"/>
                    <w:szCs w:val="16"/>
                  </w:rPr>
                  <w:t>Other expenses</w:t>
                </w:r>
              </w:p>
            </w:tc>
            <w:tc>
              <w:tcPr>
                <w:tcW w:w="1110"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(7,049)</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(7,359)</w:t>
                </w: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(1,905)</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(1,733)</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(2,022)</w:t>
                </w:r>
              </w:p>
            </w:tc>
          </w:tr>
          <w:tr w:rsidR="0064628A">
            <w:trPr>
              <w:trHeight w:val="195"/>
            </w:trPr>
            <w:tc>
              <w:tcPr>
                <w:tcW w:w="4485"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3366"/>
                    <w:szCs w:val="16"/>
                  </w:rPr>
                </w:pPr>
                <w:r>
                  <w:rPr>
                    <w:rFonts w:eastAsia="Arial" w:cs="Arial"/>
                    <w:color w:val="003366"/>
                    <w:szCs w:val="16"/>
                  </w:rPr>
                  <w:t>Operating expenses</w:t>
                </w:r>
              </w:p>
            </w:tc>
            <w:tc>
              <w:tcPr>
                <w:tcW w:w="1110" w:type="dxa"/>
                <w:tcBorders>
                  <w:top w:val="single" w:sz="6" w:space="0" w:color="003366"/>
                  <w:bottom w:val="single" w:sz="6" w:space="0" w:color="003366"/>
                </w:tcBorders>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(9,325)</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(9,645)</w:t>
                </w:r>
              </w:p>
            </w:tc>
            <w:tc>
              <w:tcPr>
                <w:tcW w:w="6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tcBorders>
                  <w:top w:val="single" w:sz="6" w:space="0" w:color="003366"/>
                  <w:bottom w:val="single" w:sz="6" w:space="0" w:color="003366"/>
                </w:tcBorders>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(2,527)</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(2,698)</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(2,469)</w:t>
                </w:r>
              </w:p>
            </w:tc>
          </w:tr>
          <w:tr w:rsidR="0064628A">
            <w:trPr>
              <w:trHeight w:val="105"/>
            </w:trPr>
            <w:tc>
              <w:tcPr>
                <w:tcW w:w="4485" w:type="dxa"/>
                <w:shd w:val="clear" w:color="auto" w:fill="FFFFFF"/>
                <w:tcMar>
                  <w:top w:w="0" w:type="dxa"/>
                  <w:left w:w="5" w:type="dxa"/>
                  <w:bottom w:w="0" w:type="dxa"/>
                  <w:right w:w="5" w:type="dxa"/>
                </w:tcMar>
                <w:vAlign w:val="center"/>
                <w:hideMark/>
              </w:tcPr>
              <w:p w:rsidR="007B3E82" w:rsidRDefault="007B3E82">
                <w:pPr>
                  <w:spacing w:line="240" w:lineRule="auto"/>
                  <w:contextualSpacing/>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3366"/>
                    <w:szCs w:val="16"/>
                  </w:rPr>
                </w:pPr>
                <w:r>
                  <w:rPr>
                    <w:rFonts w:eastAsia="Arial" w:cs="Arial"/>
                    <w:color w:val="003366"/>
                    <w:szCs w:val="16"/>
                  </w:rPr>
                  <w:t>Profit before impairment losses</w:t>
                </w:r>
              </w:p>
            </w:tc>
            <w:tc>
              <w:tcPr>
                <w:tcW w:w="1110"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4,928</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3,757 </w:t>
                </w: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1,706</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205</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589 </w:t>
                </w:r>
              </w:p>
            </w:tc>
          </w:tr>
          <w:tr w:rsidR="0064628A">
            <w:trPr>
              <w:trHeight w:val="195"/>
            </w:trPr>
            <w:tc>
              <w:tcPr>
                <w:tcW w:w="4485" w:type="dxa"/>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0000"/>
                    <w:szCs w:val="16"/>
                  </w:rPr>
                </w:pPr>
                <w:r>
                  <w:rPr>
                    <w:rFonts w:eastAsia="Arial" w:cs="Arial"/>
                    <w:color w:val="000000"/>
                    <w:szCs w:val="16"/>
                  </w:rPr>
                  <w:t>Impairment losses</w:t>
                </w:r>
              </w:p>
            </w:tc>
            <w:tc>
              <w:tcPr>
                <w:tcW w:w="1110"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(696)</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(398)</w:t>
                </w: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(160)</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(213)</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(17)</w:t>
                </w:r>
              </w:p>
            </w:tc>
          </w:tr>
          <w:tr w:rsidR="0064628A">
            <w:trPr>
              <w:trHeight w:val="105"/>
            </w:trPr>
            <w:tc>
              <w:tcPr>
                <w:tcW w:w="4485"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rPr>
                    <w:rFonts w:eastAsia="Arial" w:cs="Arial"/>
                    <w:color w:val="000000"/>
                    <w:szCs w:val="16"/>
                  </w:rPr>
                </w:pPr>
              </w:p>
            </w:tc>
            <w:tc>
              <w:tcPr>
                <w:tcW w:w="1110" w:type="dxa"/>
                <w:tcBorders>
                  <w:top w:val="single" w:sz="6" w:space="0" w:color="003366"/>
                </w:tcBorders>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tcBorders>
                  <w:top w:val="single" w:sz="6" w:space="0" w:color="003366"/>
                </w:tcBorders>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3366"/>
                    <w:szCs w:val="16"/>
                  </w:rPr>
                </w:pPr>
                <w:r>
                  <w:rPr>
                    <w:rFonts w:eastAsia="Arial" w:cs="Arial"/>
                    <w:color w:val="003366"/>
                    <w:szCs w:val="16"/>
                  </w:rPr>
                  <w:t>Operating profit/(loss) before tax</w:t>
                </w:r>
              </w:p>
            </w:tc>
            <w:tc>
              <w:tcPr>
                <w:tcW w:w="1110"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4,232</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3,359 </w:t>
                </w: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1,546</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(8)</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572 </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0000"/>
                    <w:szCs w:val="16"/>
                  </w:rPr>
                </w:pPr>
                <w:r>
                  <w:rPr>
                    <w:rFonts w:eastAsia="Arial" w:cs="Arial"/>
                    <w:color w:val="000000"/>
                    <w:szCs w:val="16"/>
                  </w:rPr>
                  <w:t>Tax charge</w:t>
                </w:r>
              </w:p>
            </w:tc>
            <w:tc>
              <w:tcPr>
                <w:tcW w:w="1110" w:type="dxa"/>
                <w:tcBorders>
                  <w:bottom w:val="single" w:sz="6" w:space="0" w:color="003366"/>
                </w:tcBorders>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(432)</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(1,208)</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tcBorders>
                  <w:bottom w:val="single" w:sz="6" w:space="0" w:color="003366"/>
                </w:tcBorders>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(37)</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(201)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(118)</w:t>
                </w:r>
              </w:p>
            </w:tc>
          </w:tr>
          <w:tr w:rsidR="0064628A">
            <w:trPr>
              <w:trHeight w:val="105"/>
            </w:trPr>
            <w:tc>
              <w:tcPr>
                <w:tcW w:w="4485" w:type="dxa"/>
                <w:shd w:val="clear" w:color="auto" w:fill="FFFFFF"/>
                <w:tcMar>
                  <w:top w:w="0" w:type="dxa"/>
                  <w:left w:w="5" w:type="dxa"/>
                  <w:bottom w:w="0" w:type="dxa"/>
                  <w:right w:w="5" w:type="dxa"/>
                </w:tcMar>
                <w:vAlign w:val="center"/>
                <w:hideMark/>
              </w:tcPr>
              <w:p w:rsidR="007B3E82" w:rsidRDefault="007B3E82">
                <w:pPr>
                  <w:spacing w:line="240" w:lineRule="auto"/>
                  <w:contextualSpacing/>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3366"/>
                    <w:szCs w:val="16"/>
                  </w:rPr>
                </w:pPr>
                <w:r>
                  <w:rPr>
                    <w:rFonts w:eastAsia="Arial" w:cs="Arial"/>
                    <w:color w:val="003366"/>
                    <w:szCs w:val="16"/>
                  </w:rPr>
                  <w:t>Profit/(loss) for the period</w:t>
                </w:r>
              </w:p>
            </w:tc>
            <w:tc>
              <w:tcPr>
                <w:tcW w:w="1110"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3,800</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2,151</w:t>
                </w: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1,509</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(209)</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454</w:t>
                </w:r>
              </w:p>
            </w:tc>
          </w:tr>
          <w:tr w:rsidR="0064628A">
            <w:trPr>
              <w:trHeight w:val="105"/>
            </w:trPr>
            <w:tc>
              <w:tcPr>
                <w:tcW w:w="4485"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rPr>
                    <w:rFonts w:eastAsia="Arial" w:cs="Arial"/>
                    <w:color w:val="000000"/>
                    <w:szCs w:val="16"/>
                  </w:rPr>
                </w:pPr>
              </w:p>
            </w:tc>
            <w:tc>
              <w:tcPr>
                <w:tcW w:w="1110" w:type="dxa"/>
                <w:tcBorders>
                  <w:top w:val="single" w:sz="6" w:space="0" w:color="003366"/>
                </w:tcBorders>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tcBorders>
                  <w:top w:val="single" w:sz="6" w:space="0" w:color="003366"/>
                </w:tcBorders>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3366"/>
                    <w:szCs w:val="16"/>
                  </w:rPr>
                </w:pPr>
                <w:r>
                  <w:rPr>
                    <w:rFonts w:eastAsia="Arial" w:cs="Arial"/>
                    <w:color w:val="003366"/>
                    <w:szCs w:val="16"/>
                  </w:rPr>
                  <w:t>Attributable to:</w:t>
                </w:r>
              </w:p>
            </w:tc>
            <w:tc>
              <w:tcPr>
                <w:tcW w:w="1110" w:type="dxa"/>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7B3E82">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0000"/>
                    <w:szCs w:val="16"/>
                  </w:rPr>
                </w:pPr>
                <w:r>
                  <w:rPr>
                    <w:rFonts w:eastAsia="Arial" w:cs="Arial"/>
                    <w:color w:val="000000"/>
                    <w:szCs w:val="16"/>
                  </w:rPr>
                  <w:t>Ordinary shareholders</w:t>
                </w:r>
              </w:p>
            </w:tc>
            <w:tc>
              <w:tcPr>
                <w:tcW w:w="1110"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3,133</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1,622 </w:t>
                </w: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1,410</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(315)</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286 </w:t>
                </w:r>
              </w:p>
            </w:tc>
          </w:tr>
          <w:tr w:rsidR="0064628A">
            <w:trPr>
              <w:trHeight w:val="195"/>
            </w:trPr>
            <w:tc>
              <w:tcPr>
                <w:tcW w:w="4485" w:type="dxa"/>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0000"/>
                    <w:szCs w:val="16"/>
                  </w:rPr>
                </w:pPr>
                <w:r>
                  <w:rPr>
                    <w:rFonts w:eastAsia="Arial" w:cs="Arial"/>
                    <w:color w:val="000000"/>
                    <w:szCs w:val="16"/>
                  </w:rPr>
                  <w:t>Other owners</w:t>
                </w:r>
              </w:p>
            </w:tc>
            <w:tc>
              <w:tcPr>
                <w:tcW w:w="1110"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406</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537</w:t>
                </w:r>
              </w:p>
            </w:tc>
            <w:tc>
              <w:tcPr>
                <w:tcW w:w="60" w:type="dxa"/>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99</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105</w:t>
                </w:r>
              </w:p>
            </w:tc>
            <w:tc>
              <w:tcPr>
                <w:tcW w:w="1110" w:type="dxa"/>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182</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rPr>
                    <w:rFonts w:eastAsia="Arial" w:cs="Arial"/>
                    <w:color w:val="000000"/>
                    <w:szCs w:val="16"/>
                  </w:rPr>
                </w:pPr>
                <w:r>
                  <w:rPr>
                    <w:rFonts w:eastAsia="Arial" w:cs="Arial"/>
                    <w:color w:val="000000"/>
                    <w:szCs w:val="16"/>
                  </w:rPr>
                  <w:t>Non-controlling interests</w:t>
                </w:r>
              </w:p>
            </w:tc>
            <w:tc>
              <w:tcPr>
                <w:tcW w:w="1110" w:type="dxa"/>
                <w:tcBorders>
                  <w:bottom w:val="single" w:sz="6" w:space="0" w:color="003366"/>
                </w:tcBorders>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261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(8)</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7B3E82" w:rsidRDefault="007B3E82">
                <w:pPr>
                  <w:spacing w:line="240" w:lineRule="auto"/>
                  <w:contextualSpacing/>
                  <w:jc w:val="right"/>
                  <w:rPr>
                    <w:rFonts w:eastAsia="Arial" w:cs="Arial"/>
                    <w:color w:val="000000"/>
                    <w:szCs w:val="16"/>
                  </w:rPr>
                </w:pPr>
              </w:p>
            </w:tc>
            <w:tc>
              <w:tcPr>
                <w:tcW w:w="1125" w:type="dxa"/>
                <w:tcBorders>
                  <w:bottom w:val="single" w:sz="6" w:space="0" w:color="003366"/>
                </w:tcBorders>
                <w:shd w:val="clear" w:color="auto" w:fill="BFBFBF"/>
                <w:tcMar>
                  <w:top w:w="0" w:type="dxa"/>
                  <w:left w:w="5" w:type="dxa"/>
                  <w:bottom w:w="0" w:type="dxa"/>
                  <w:right w:w="5" w:type="dxa"/>
                </w:tcMar>
                <w:vAlign w:val="center"/>
                <w:hideMark/>
              </w:tcPr>
              <w:p w:rsidR="007B3E82"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7B3E82" w:rsidRDefault="00FC1FDC">
                <w:pPr>
                  <w:spacing w:line="240" w:lineRule="auto"/>
                  <w:contextualSpacing/>
                  <w:jc w:val="right"/>
                  <w:rPr>
                    <w:rFonts w:eastAsia="Arial" w:cs="Arial"/>
                    <w:color w:val="000000"/>
                    <w:szCs w:val="16"/>
                  </w:rPr>
                </w:pPr>
                <w:r>
                  <w:rPr>
                    <w:rFonts w:eastAsia="Arial" w:cs="Arial"/>
                    <w:color w:val="000000"/>
                    <w:szCs w:val="16"/>
                  </w:rPr>
                  <w:t>(14)</w:t>
                </w:r>
              </w:p>
            </w:tc>
          </w:tr>
        </w:tbl>
      </w:sdtContent>
    </w:sdt>
    <w:p w:rsidR="00921D7D" w:rsidRDefault="00921D7D" w:rsidP="00921D7D">
      <w:pPr>
        <w:rPr>
          <w:rFonts w:eastAsia="Arial" w:cs="Arial"/>
          <w:b/>
          <w:color w:val="003366"/>
          <w:sz w:val="18"/>
        </w:rPr>
      </w:pPr>
    </w:p>
    <w:sdt>
      <w:sdtPr>
        <w:tag w:val="&lt;ReportPackage&gt;&lt;EmbeddedContent id=&quot;03b76c37-0bf4-4a2b-b942-9d7d96db77de&quot; lastModified=&quot;1580726495232&quot;/&gt;&lt;/ReportPackage&gt;"/>
        <w:id w:val="348877957"/>
        <w:lock w:val="contentLocked"/>
        <w:placeholder>
          <w:docPart w:val="6415E50FD1D245FE8B872D34C6A958B8"/>
        </w:placeholder>
      </w:sdtPr>
      <w:sdtEndPr/>
      <w:sdtContent>
        <w:tbl>
          <w:tblPr>
            <w:tblStyle w:val="table"/>
            <w:tblW w:w="10100" w:type="dxa"/>
            <w:tblInd w:w="5" w:type="dxa"/>
            <w:tblCellMar>
              <w:left w:w="0" w:type="dxa"/>
              <w:right w:w="0" w:type="dxa"/>
            </w:tblCellMar>
            <w:tblLook w:val="05E0" w:firstRow="1" w:lastRow="1" w:firstColumn="1" w:lastColumn="1" w:noHBand="0" w:noVBand="1"/>
          </w:tblPr>
          <w:tblGrid>
            <w:gridCol w:w="4480"/>
            <w:gridCol w:w="1109"/>
            <w:gridCol w:w="1109"/>
            <w:gridCol w:w="60"/>
            <w:gridCol w:w="1124"/>
            <w:gridCol w:w="1109"/>
            <w:gridCol w:w="1109"/>
          </w:tblGrid>
          <w:tr w:rsidR="0064628A">
            <w:trPr>
              <w:trHeight w:val="195"/>
            </w:trPr>
            <w:tc>
              <w:tcPr>
                <w:tcW w:w="4485" w:type="dxa"/>
                <w:tcBorders>
                  <w:top w:val="single" w:sz="6" w:space="0" w:color="003366"/>
                </w:tcBorders>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2060"/>
                    <w:szCs w:val="16"/>
                  </w:rPr>
                </w:pPr>
                <w:r>
                  <w:rPr>
                    <w:rFonts w:eastAsia="Arial" w:cs="Arial"/>
                    <w:color w:val="002060"/>
                    <w:szCs w:val="16"/>
                  </w:rPr>
                  <w:t>Notable items within total income</w:t>
                </w:r>
              </w:p>
            </w:tc>
            <w:tc>
              <w:tcPr>
                <w:tcW w:w="1110" w:type="dxa"/>
                <w:tcBorders>
                  <w:top w:val="single" w:sz="6" w:space="0" w:color="003366"/>
                </w:tcBorders>
                <w:shd w:val="clear" w:color="auto" w:fill="BFBFBF"/>
                <w:tcMar>
                  <w:top w:w="0" w:type="dxa"/>
                  <w:left w:w="5" w:type="dxa"/>
                  <w:bottom w:w="0" w:type="dxa"/>
                  <w:right w:w="5" w:type="dxa"/>
                </w:tcMar>
                <w:vAlign w:val="center"/>
                <w:hideMark/>
              </w:tcPr>
              <w:p w:rsidR="005D0EF9" w:rsidRDefault="005D0EF9">
                <w:pPr>
                  <w:spacing w:line="240" w:lineRule="auto"/>
                  <w:contextualSpacing/>
                  <w:rPr>
                    <w:rFonts w:eastAsia="Arial" w:cs="Arial"/>
                    <w:b/>
                    <w:bCs/>
                    <w:color w:val="003366"/>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3366"/>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3366"/>
                    <w:szCs w:val="16"/>
                  </w:rPr>
                </w:pPr>
              </w:p>
            </w:tc>
            <w:tc>
              <w:tcPr>
                <w:tcW w:w="1125" w:type="dxa"/>
                <w:tcBorders>
                  <w:top w:val="single" w:sz="6" w:space="0" w:color="003366"/>
                </w:tcBorders>
                <w:shd w:val="clear" w:color="auto" w:fill="BFBFBF"/>
                <w:tcMar>
                  <w:top w:w="0" w:type="dxa"/>
                  <w:left w:w="5" w:type="dxa"/>
                  <w:bottom w:w="0" w:type="dxa"/>
                  <w:right w:w="5" w:type="dxa"/>
                </w:tcMar>
                <w:vAlign w:val="center"/>
                <w:hideMark/>
              </w:tcPr>
              <w:p w:rsidR="005D0EF9" w:rsidRDefault="005D0EF9">
                <w:pPr>
                  <w:spacing w:line="240" w:lineRule="auto"/>
                  <w:contextualSpacing/>
                  <w:rPr>
                    <w:rFonts w:eastAsia="Arial" w:cs="Arial"/>
                    <w:b/>
                    <w:bCs/>
                    <w:color w:val="003366"/>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3366"/>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0000"/>
                    <w:szCs w:val="16"/>
                  </w:rPr>
                </w:pPr>
                <w:r>
                  <w:rPr>
                    <w:rFonts w:eastAsia="Arial" w:cs="Arial"/>
                    <w:color w:val="000000"/>
                    <w:szCs w:val="16"/>
                  </w:rPr>
                  <w:t>Alawwal bank merger gain in NatWest Markets</w:t>
                </w:r>
              </w:p>
            </w:tc>
            <w:tc>
              <w:tcPr>
                <w:tcW w:w="1110"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444</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0000"/>
                    <w:szCs w:val="16"/>
                  </w:rPr>
                </w:pPr>
                <w:r>
                  <w:rPr>
                    <w:rStyle w:val="font5"/>
                  </w:rPr>
                  <w:t xml:space="preserve">FX recycling gain in Central items &amp; other </w:t>
                </w:r>
                <w:r>
                  <w:rPr>
                    <w:rStyle w:val="font6"/>
                  </w:rPr>
                  <w:t>(1)</w:t>
                </w:r>
              </w:p>
            </w:tc>
            <w:tc>
              <w:tcPr>
                <w:tcW w:w="1110"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1,459</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1,169</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0000"/>
                    <w:szCs w:val="16"/>
                  </w:rPr>
                </w:pPr>
                <w:r>
                  <w:rPr>
                    <w:rFonts w:eastAsia="Arial" w:cs="Arial"/>
                    <w:color w:val="000000"/>
                    <w:szCs w:val="16"/>
                  </w:rPr>
                  <w:t xml:space="preserve">Legacy liability release in Central items &amp; other </w:t>
                </w:r>
              </w:p>
            </w:tc>
            <w:tc>
              <w:tcPr>
                <w:tcW w:w="1110"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256</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0000"/>
                    <w:szCs w:val="16"/>
                  </w:rPr>
                </w:pPr>
                <w:r>
                  <w:rPr>
                    <w:rFonts w:eastAsia="Arial" w:cs="Arial"/>
                    <w:color w:val="000000"/>
                    <w:szCs w:val="16"/>
                  </w:rPr>
                  <w:t>Insurance indemnity</w:t>
                </w:r>
              </w:p>
            </w:tc>
            <w:tc>
              <w:tcPr>
                <w:tcW w:w="1110"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357</w:t>
                </w: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85</w:t>
                </w: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i/>
                    <w:iCs/>
                    <w:color w:val="000000"/>
                    <w:szCs w:val="16"/>
                  </w:rPr>
                </w:pPr>
                <w:r>
                  <w:rPr>
                    <w:rFonts w:eastAsia="Arial" w:cs="Arial"/>
                    <w:i/>
                    <w:iCs/>
                    <w:color w:val="000000"/>
                    <w:szCs w:val="16"/>
                  </w:rPr>
                  <w:t>of which:</w:t>
                </w:r>
              </w:p>
            </w:tc>
            <w:tc>
              <w:tcPr>
                <w:tcW w:w="1110" w:type="dxa"/>
                <w:shd w:val="clear" w:color="auto" w:fill="BFBFBF"/>
                <w:tcMar>
                  <w:top w:w="0" w:type="dxa"/>
                  <w:left w:w="5" w:type="dxa"/>
                  <w:bottom w:w="0" w:type="dxa"/>
                  <w:right w:w="5" w:type="dxa"/>
                </w:tcMar>
                <w:vAlign w:val="center"/>
                <w:hideMark/>
              </w:tcPr>
              <w:p w:rsidR="005D0EF9" w:rsidRDefault="005D0EF9">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5D0EF9">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NatWest Markets</w:t>
                </w:r>
              </w:p>
            </w:tc>
            <w:tc>
              <w:tcPr>
                <w:tcW w:w="1110"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165</w:t>
                </w: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Central items &amp; other</w:t>
                </w:r>
              </w:p>
            </w:tc>
            <w:tc>
              <w:tcPr>
                <w:tcW w:w="1110"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192</w:t>
                </w: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85</w:t>
                </w: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0000"/>
                    <w:szCs w:val="16"/>
                  </w:rPr>
                </w:pPr>
                <w:r>
                  <w:rPr>
                    <w:rStyle w:val="font5"/>
                  </w:rPr>
                  <w:t xml:space="preserve">IFRS volatility in Central items &amp; other </w:t>
                </w:r>
                <w:r>
                  <w:rPr>
                    <w:rStyle w:val="font6"/>
                  </w:rPr>
                  <w:t>(2)</w:t>
                </w:r>
              </w:p>
            </w:tc>
            <w:tc>
              <w:tcPr>
                <w:tcW w:w="1110"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9</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(59)</w:t>
                </w: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43</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(51)</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(25)</w:t>
                </w: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0000"/>
                    <w:szCs w:val="16"/>
                  </w:rPr>
                </w:pPr>
                <w:r>
                  <w:rPr>
                    <w:rFonts w:eastAsia="Arial" w:cs="Arial"/>
                    <w:color w:val="000000"/>
                    <w:szCs w:val="16"/>
                  </w:rPr>
                  <w:t>UK Personal Banking debt sale gain</w:t>
                </w:r>
              </w:p>
            </w:tc>
            <w:tc>
              <w:tcPr>
                <w:tcW w:w="1110"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49</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61</w:t>
                </w: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31</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16</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35</w:t>
                </w: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0000"/>
                    <w:szCs w:val="16"/>
                  </w:rPr>
                </w:pPr>
                <w:r>
                  <w:rPr>
                    <w:rFonts w:eastAsia="Arial" w:cs="Arial"/>
                    <w:color w:val="000000"/>
                    <w:szCs w:val="16"/>
                  </w:rPr>
                  <w:t>FX gains/(losses) in Central items &amp; other</w:t>
                </w:r>
              </w:p>
            </w:tc>
            <w:tc>
              <w:tcPr>
                <w:tcW w:w="1110"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21</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(46)</w:t>
                </w: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(1)</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(39)</w:t>
                </w: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0000"/>
                    <w:szCs w:val="16"/>
                  </w:rPr>
                </w:pPr>
                <w:r>
                  <w:rPr>
                    <w:rFonts w:eastAsia="Arial" w:cs="Arial"/>
                    <w:color w:val="000000"/>
                    <w:szCs w:val="16"/>
                  </w:rPr>
                  <w:t>Commercial Banking fair value and disposal (loss)/gain</w:t>
                </w:r>
              </w:p>
            </w:tc>
            <w:tc>
              <w:tcPr>
                <w:tcW w:w="1110"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(16)</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169</w:t>
                </w: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1</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(10)</w:t>
                </w: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0000"/>
                    <w:szCs w:val="16"/>
                  </w:rPr>
                </w:pPr>
                <w:r>
                  <w:rPr>
                    <w:rFonts w:eastAsia="Arial" w:cs="Arial"/>
                    <w:color w:val="000000"/>
                    <w:szCs w:val="16"/>
                  </w:rPr>
                  <w:t>NatWest Markets legacy business disposal (loss)/gain</w:t>
                </w:r>
              </w:p>
            </w:tc>
            <w:tc>
              <w:tcPr>
                <w:tcW w:w="1110"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(35)</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(86)</w:t>
                </w: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(8)</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(43)</w:t>
                </w: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5D0EF9" w:rsidRDefault="005D0EF9">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5D0EF9">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2060"/>
                    <w:szCs w:val="16"/>
                  </w:rPr>
                </w:pPr>
                <w:r>
                  <w:rPr>
                    <w:rFonts w:eastAsia="Arial" w:cs="Arial"/>
                    <w:color w:val="002060"/>
                    <w:szCs w:val="16"/>
                  </w:rPr>
                  <w:t>Notable items within operating expenses</w:t>
                </w:r>
              </w:p>
            </w:tc>
            <w:tc>
              <w:tcPr>
                <w:tcW w:w="1110" w:type="dxa"/>
                <w:shd w:val="clear" w:color="auto" w:fill="BFBFBF"/>
                <w:tcMar>
                  <w:top w:w="0" w:type="dxa"/>
                  <w:left w:w="5" w:type="dxa"/>
                  <w:bottom w:w="0" w:type="dxa"/>
                  <w:right w:w="5" w:type="dxa"/>
                </w:tcMar>
                <w:vAlign w:val="center"/>
                <w:hideMark/>
              </w:tcPr>
              <w:p w:rsidR="005D0EF9" w:rsidRDefault="005D0EF9">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5D0EF9">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0000"/>
                    <w:szCs w:val="16"/>
                  </w:rPr>
                </w:pPr>
                <w:r>
                  <w:rPr>
                    <w:rFonts w:eastAsia="Arial" w:cs="Arial"/>
                    <w:color w:val="000000"/>
                    <w:szCs w:val="16"/>
                  </w:rPr>
                  <w:t>Push payment fraud costs</w:t>
                </w:r>
              </w:p>
            </w:tc>
            <w:tc>
              <w:tcPr>
                <w:tcW w:w="1110"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(38)</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(13)</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(7)</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0000"/>
                    <w:szCs w:val="16"/>
                  </w:rPr>
                </w:pPr>
                <w:r>
                  <w:rPr>
                    <w:rFonts w:eastAsia="Arial" w:cs="Arial"/>
                    <w:color w:val="000000"/>
                    <w:szCs w:val="16"/>
                  </w:rPr>
                  <w:t>Litigation and conduct costs</w:t>
                </w:r>
              </w:p>
            </w:tc>
            <w:tc>
              <w:tcPr>
                <w:tcW w:w="1110"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(895)</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(1,282)</w:t>
                </w: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(85)</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(750)</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(92)</w:t>
                </w: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i/>
                    <w:iCs/>
                    <w:color w:val="000000"/>
                    <w:szCs w:val="16"/>
                  </w:rPr>
                </w:pPr>
                <w:r>
                  <w:rPr>
                    <w:rFonts w:eastAsia="Arial" w:cs="Arial"/>
                    <w:i/>
                    <w:iCs/>
                    <w:color w:val="000000"/>
                    <w:szCs w:val="16"/>
                  </w:rPr>
                  <w:t>of which:</w:t>
                </w:r>
              </w:p>
            </w:tc>
            <w:tc>
              <w:tcPr>
                <w:tcW w:w="1110" w:type="dxa"/>
                <w:shd w:val="clear" w:color="auto" w:fill="BFBFBF"/>
                <w:tcMar>
                  <w:top w:w="0" w:type="dxa"/>
                  <w:left w:w="5" w:type="dxa"/>
                  <w:bottom w:w="0" w:type="dxa"/>
                  <w:right w:w="5" w:type="dxa"/>
                </w:tcMar>
                <w:vAlign w:val="center"/>
                <w:hideMark/>
              </w:tcPr>
              <w:p w:rsidR="005D0EF9" w:rsidRDefault="005D0EF9">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5D0EF9" w:rsidRDefault="005D0EF9">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5D0EF9">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5D0EF9" w:rsidRDefault="005D0EF9">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US RMBS</w:t>
                </w:r>
              </w:p>
            </w:tc>
            <w:tc>
              <w:tcPr>
                <w:tcW w:w="1110"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169</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(823)</w:t>
                </w:r>
              </w:p>
            </w:tc>
            <w:tc>
              <w:tcPr>
                <w:tcW w:w="60" w:type="dxa"/>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162</w:t>
                </w:r>
              </w:p>
            </w:tc>
            <w:tc>
              <w:tcPr>
                <w:tcW w:w="1110" w:type="dxa"/>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5D0EF9"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PPI</w:t>
                </w:r>
              </w:p>
            </w:tc>
            <w:tc>
              <w:tcPr>
                <w:tcW w:w="1110" w:type="dxa"/>
                <w:tcBorders>
                  <w:bottom w:val="single" w:sz="6" w:space="0" w:color="003366"/>
                </w:tcBorders>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(900)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(200)</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5D0EF9" w:rsidRDefault="005D0EF9">
                <w:pPr>
                  <w:spacing w:line="240" w:lineRule="auto"/>
                  <w:contextualSpacing/>
                  <w:rPr>
                    <w:rFonts w:eastAsia="Arial" w:cs="Arial"/>
                    <w:color w:val="000000"/>
                    <w:szCs w:val="16"/>
                  </w:rPr>
                </w:pPr>
              </w:p>
            </w:tc>
            <w:tc>
              <w:tcPr>
                <w:tcW w:w="1125" w:type="dxa"/>
                <w:tcBorders>
                  <w:bottom w:val="single" w:sz="6" w:space="0" w:color="003366"/>
                </w:tcBorders>
                <w:shd w:val="clear" w:color="auto" w:fill="BFBFBF"/>
                <w:tcMar>
                  <w:top w:w="0" w:type="dxa"/>
                  <w:left w:w="5" w:type="dxa"/>
                  <w:bottom w:w="0" w:type="dxa"/>
                  <w:right w:w="5" w:type="dxa"/>
                </w:tcMar>
                <w:vAlign w:val="center"/>
                <w:hideMark/>
              </w:tcPr>
              <w:p w:rsidR="005D0EF9"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(900)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5D0EF9" w:rsidRDefault="00FC1FDC">
                <w:pPr>
                  <w:spacing w:line="240" w:lineRule="auto"/>
                  <w:contextualSpacing/>
                  <w:jc w:val="right"/>
                  <w:rPr>
                    <w:rFonts w:eastAsia="Arial" w:cs="Arial"/>
                    <w:color w:val="000000"/>
                    <w:szCs w:val="16"/>
                  </w:rPr>
                </w:pPr>
                <w:r>
                  <w:rPr>
                    <w:rFonts w:eastAsia="Arial" w:cs="Arial"/>
                    <w:color w:val="000000"/>
                    <w:szCs w:val="16"/>
                  </w:rPr>
                  <w:t>-</w:t>
                </w:r>
              </w:p>
            </w:tc>
          </w:tr>
        </w:tbl>
      </w:sdtContent>
    </w:sdt>
    <w:p w:rsidR="00607B26" w:rsidRDefault="00607B26" w:rsidP="00921D7D">
      <w:pPr>
        <w:pStyle w:val="Normal30"/>
        <w:rPr>
          <w:rFonts w:eastAsia="SimSun"/>
          <w:noProof/>
          <w:color w:val="000000"/>
          <w:sz w:val="14"/>
          <w:szCs w:val="14"/>
        </w:rPr>
      </w:pPr>
    </w:p>
    <w:p w:rsidR="00311C50" w:rsidRDefault="00FC1FDC" w:rsidP="00921D7D">
      <w:pPr>
        <w:pStyle w:val="Normal30"/>
        <w:rPr>
          <w:rFonts w:eastAsia="SimSun"/>
          <w:noProof/>
          <w:color w:val="000000"/>
          <w:sz w:val="14"/>
          <w:szCs w:val="14"/>
        </w:rPr>
      </w:pPr>
      <w:r>
        <w:rPr>
          <w:rFonts w:eastAsia="SimSun"/>
          <w:noProof/>
          <w:color w:val="000000"/>
          <w:sz w:val="14"/>
          <w:szCs w:val="14"/>
        </w:rPr>
        <w:t xml:space="preserve">*Restated for IAS 12 ‘Income taxes’, refer to Note 2 for further details. </w:t>
      </w:r>
    </w:p>
    <w:p w:rsidR="007D36B6" w:rsidRDefault="007D36B6" w:rsidP="00921D7D">
      <w:pPr>
        <w:pStyle w:val="Normal30"/>
        <w:rPr>
          <w:rFonts w:eastAsia="SimSun"/>
          <w:noProof/>
          <w:color w:val="000000"/>
          <w:sz w:val="14"/>
          <w:szCs w:val="14"/>
        </w:rPr>
      </w:pPr>
    </w:p>
    <w:p w:rsidR="00430023" w:rsidRDefault="00FC1FDC" w:rsidP="00921D7D">
      <w:pPr>
        <w:pStyle w:val="Normal30"/>
        <w:rPr>
          <w:rFonts w:eastAsia="SimSun"/>
          <w:noProof/>
          <w:color w:val="000000"/>
          <w:sz w:val="14"/>
          <w:szCs w:val="14"/>
        </w:rPr>
      </w:pPr>
      <w:r>
        <w:rPr>
          <w:rFonts w:eastAsia="SimSun"/>
          <w:noProof/>
          <w:color w:val="000000"/>
          <w:sz w:val="14"/>
          <w:szCs w:val="14"/>
        </w:rPr>
        <w:t>Notes</w:t>
      </w:r>
      <w:r w:rsidR="00311C50" w:rsidRPr="00B2654E">
        <w:rPr>
          <w:rFonts w:eastAsia="SimSun"/>
          <w:noProof/>
          <w:color w:val="000000"/>
          <w:sz w:val="14"/>
          <w:szCs w:val="14"/>
        </w:rPr>
        <w:t>:</w:t>
      </w:r>
    </w:p>
    <w:tbl>
      <w:tblPr>
        <w:tblW w:w="10206" w:type="dxa"/>
        <w:tblCellMar>
          <w:left w:w="0" w:type="dxa"/>
          <w:right w:w="0" w:type="dxa"/>
        </w:tblCellMar>
        <w:tblLook w:val="01E0" w:firstRow="1" w:lastRow="1" w:firstColumn="1" w:lastColumn="1" w:noHBand="0" w:noVBand="0"/>
      </w:tblPr>
      <w:tblGrid>
        <w:gridCol w:w="332"/>
        <w:gridCol w:w="9874"/>
      </w:tblGrid>
      <w:tr w:rsidR="0064628A" w:rsidTr="004F2627">
        <w:tc>
          <w:tcPr>
            <w:tcW w:w="332" w:type="dxa"/>
          </w:tcPr>
          <w:p w:rsidR="004F2627" w:rsidRPr="00B2654E" w:rsidRDefault="00FC1FDC" w:rsidP="00950261">
            <w:pPr>
              <w:pStyle w:val="Normal30"/>
              <w:rPr>
                <w:rFonts w:eastAsia="SimSun"/>
                <w:sz w:val="14"/>
                <w:szCs w:val="14"/>
              </w:rPr>
            </w:pPr>
            <w:r w:rsidRPr="00B2654E">
              <w:rPr>
                <w:rFonts w:eastAsia="SimSun"/>
                <w:sz w:val="14"/>
                <w:szCs w:val="14"/>
              </w:rPr>
              <w:t>(</w:t>
            </w:r>
            <w:r>
              <w:rPr>
                <w:rFonts w:eastAsia="SimSun"/>
                <w:sz w:val="14"/>
                <w:szCs w:val="14"/>
              </w:rPr>
              <w:t>1</w:t>
            </w:r>
            <w:r w:rsidRPr="00B2654E">
              <w:rPr>
                <w:rFonts w:eastAsia="SimSun"/>
                <w:sz w:val="14"/>
                <w:szCs w:val="14"/>
              </w:rPr>
              <w:t>)</w:t>
            </w:r>
          </w:p>
        </w:tc>
        <w:tc>
          <w:tcPr>
            <w:tcW w:w="9874" w:type="dxa"/>
          </w:tcPr>
          <w:p w:rsidR="004F2627" w:rsidRPr="00B2654E" w:rsidRDefault="00FC1FDC" w:rsidP="00950261">
            <w:pPr>
              <w:pStyle w:val="Normal30"/>
              <w:spacing w:line="247" w:lineRule="auto"/>
              <w:jc w:val="both"/>
              <w:rPr>
                <w:rFonts w:eastAsia="SimSun"/>
                <w:sz w:val="14"/>
                <w:szCs w:val="14"/>
                <w:lang w:eastAsia="zh-CN"/>
              </w:rPr>
            </w:pPr>
            <w:r>
              <w:rPr>
                <w:rFonts w:eastAsia="SimSun"/>
                <w:sz w:val="14"/>
                <w:szCs w:val="14"/>
                <w:lang w:eastAsia="zh-CN"/>
              </w:rPr>
              <w:t>Includes £290 million arising on the completion of the Alawwal bank merger in June 2019, £1,102 million arising on the liquidation of RFS Holdings and £67 million in relation to dividends in UBI DAC</w:t>
            </w:r>
            <w:r w:rsidRPr="00B2654E">
              <w:rPr>
                <w:rFonts w:eastAsia="SimSun"/>
                <w:sz w:val="14"/>
                <w:szCs w:val="14"/>
                <w:lang w:eastAsia="zh-CN"/>
              </w:rPr>
              <w:t>.</w:t>
            </w:r>
          </w:p>
        </w:tc>
      </w:tr>
      <w:tr w:rsidR="0064628A" w:rsidTr="00B61331">
        <w:tc>
          <w:tcPr>
            <w:tcW w:w="332" w:type="dxa"/>
          </w:tcPr>
          <w:p w:rsidR="00921D7D" w:rsidRPr="00B2654E" w:rsidRDefault="00FC1FDC" w:rsidP="00B61331">
            <w:pPr>
              <w:pStyle w:val="Normal30"/>
              <w:rPr>
                <w:rFonts w:eastAsia="SimSun"/>
                <w:sz w:val="14"/>
                <w:szCs w:val="14"/>
              </w:rPr>
            </w:pPr>
            <w:r w:rsidRPr="00B2654E">
              <w:rPr>
                <w:rFonts w:eastAsia="SimSun"/>
                <w:sz w:val="14"/>
                <w:szCs w:val="14"/>
              </w:rPr>
              <w:t>(</w:t>
            </w:r>
            <w:r>
              <w:rPr>
                <w:rFonts w:eastAsia="SimSun"/>
                <w:sz w:val="14"/>
                <w:szCs w:val="14"/>
              </w:rPr>
              <w:t>2</w:t>
            </w:r>
            <w:r w:rsidRPr="00B2654E">
              <w:rPr>
                <w:rFonts w:eastAsia="SimSun"/>
                <w:sz w:val="14"/>
                <w:szCs w:val="14"/>
              </w:rPr>
              <w:t>)</w:t>
            </w:r>
          </w:p>
        </w:tc>
        <w:tc>
          <w:tcPr>
            <w:tcW w:w="9874" w:type="dxa"/>
          </w:tcPr>
          <w:p w:rsidR="00921D7D" w:rsidRPr="00B2654E" w:rsidRDefault="00FC1FDC" w:rsidP="005F64C9">
            <w:pPr>
              <w:pStyle w:val="Normal30"/>
              <w:spacing w:line="247" w:lineRule="auto"/>
              <w:jc w:val="both"/>
              <w:rPr>
                <w:rFonts w:eastAsia="SimSun"/>
                <w:sz w:val="14"/>
                <w:szCs w:val="14"/>
                <w:lang w:eastAsia="zh-CN"/>
              </w:rPr>
            </w:pPr>
            <w:r w:rsidRPr="00B2654E">
              <w:rPr>
                <w:rFonts w:eastAsia="SimSun"/>
                <w:sz w:val="14"/>
                <w:szCs w:val="14"/>
                <w:lang w:eastAsia="zh-CN"/>
              </w:rPr>
              <w:t>IFRS volatility relates to loans which are economically hedged but for which hedge accounting is not permitted under IFRS.</w:t>
            </w:r>
          </w:p>
        </w:tc>
      </w:tr>
    </w:tbl>
    <w:p w:rsidR="00B56259" w:rsidRDefault="00B56259" w:rsidP="00921D7D"/>
    <w:p w:rsidR="00B56259" w:rsidRDefault="00FC1FDC">
      <w:pPr>
        <w:spacing w:after="200"/>
      </w:pPr>
      <w:r>
        <w:br w:type="page"/>
      </w:r>
    </w:p>
    <w:p w:rsidR="00B56259" w:rsidRPr="00A93087" w:rsidRDefault="00FC1FDC" w:rsidP="00B56259">
      <w:pPr>
        <w:pStyle w:val="Normal1"/>
        <w:keepNext/>
        <w:spacing w:line="259" w:lineRule="auto"/>
        <w:jc w:val="both"/>
        <w:outlineLvl w:val="0"/>
        <w:rPr>
          <w:rFonts w:ascii="Arial" w:hAnsi="Arial" w:cs="Arial"/>
          <w:color w:val="003366"/>
          <w:sz w:val="18"/>
          <w:szCs w:val="18"/>
          <w:lang w:eastAsia="en-US"/>
        </w:rPr>
      </w:pPr>
      <w:r w:rsidRPr="00A93087">
        <w:rPr>
          <w:rFonts w:ascii="Arial" w:eastAsia="SimSun" w:hAnsi="Arial" w:cs="Arial"/>
          <w:b/>
          <w:color w:val="003366"/>
          <w:sz w:val="18"/>
          <w:szCs w:val="18"/>
          <w:lang w:eastAsia="zh-CN"/>
        </w:rPr>
        <w:lastRenderedPageBreak/>
        <w:t>Business performance summary</w:t>
      </w:r>
    </w:p>
    <w:p w:rsidR="00B56259" w:rsidRDefault="00FC1FDC" w:rsidP="00B56259">
      <w:pPr>
        <w:pStyle w:val="Normal1"/>
        <w:spacing w:line="259" w:lineRule="auto"/>
        <w:jc w:val="both"/>
        <w:rPr>
          <w:rFonts w:ascii="Arial" w:eastAsia="SimSun" w:hAnsi="Arial" w:cs="Arial"/>
          <w:b/>
          <w:color w:val="003366"/>
          <w:sz w:val="18"/>
          <w:szCs w:val="18"/>
          <w:lang w:eastAsia="zh-CN"/>
        </w:rPr>
      </w:pPr>
      <w:r w:rsidRPr="00A93087">
        <w:rPr>
          <w:rFonts w:ascii="Arial" w:eastAsia="SimSun" w:hAnsi="Arial" w:cs="Arial"/>
          <w:b/>
          <w:color w:val="003366"/>
          <w:sz w:val="18"/>
          <w:szCs w:val="18"/>
          <w:lang w:eastAsia="zh-CN"/>
        </w:rPr>
        <w:t>Income statement overview</w:t>
      </w:r>
    </w:p>
    <w:p w:rsidR="00914D0B" w:rsidRPr="00A93087" w:rsidRDefault="00914D0B" w:rsidP="00B56259">
      <w:pPr>
        <w:pStyle w:val="Normal1"/>
        <w:spacing w:line="259" w:lineRule="auto"/>
        <w:jc w:val="both"/>
        <w:rPr>
          <w:rFonts w:ascii="Arial" w:eastAsia="SimSun" w:hAnsi="Arial" w:cs="Arial"/>
          <w:b/>
          <w:color w:val="003366"/>
          <w:sz w:val="18"/>
          <w:szCs w:val="18"/>
          <w:lang w:eastAsia="zh-CN"/>
        </w:rPr>
      </w:pPr>
    </w:p>
    <w:p w:rsidR="00B56259" w:rsidRPr="00914D0B" w:rsidRDefault="00FC1FDC" w:rsidP="00914D0B">
      <w:pPr>
        <w:pStyle w:val="Normal1"/>
        <w:spacing w:line="259" w:lineRule="auto"/>
        <w:jc w:val="both"/>
        <w:rPr>
          <w:rFonts w:ascii="Arial" w:eastAsia="SimSun" w:hAnsi="Arial" w:cs="Arial"/>
          <w:b/>
          <w:color w:val="003366"/>
          <w:sz w:val="18"/>
          <w:szCs w:val="18"/>
          <w:lang w:eastAsia="zh-CN"/>
        </w:rPr>
      </w:pPr>
      <w:r w:rsidRPr="00083324">
        <w:rPr>
          <w:rFonts w:ascii="Arial" w:hAnsi="Arial" w:cs="Arial"/>
          <w:color w:val="003366"/>
          <w:sz w:val="18"/>
          <w:szCs w:val="18"/>
        </w:rPr>
        <w:t>2</w:t>
      </w:r>
      <w:r>
        <w:rPr>
          <w:rFonts w:ascii="Arial" w:hAnsi="Arial" w:cs="Arial"/>
          <w:color w:val="003366"/>
          <w:sz w:val="18"/>
          <w:szCs w:val="18"/>
        </w:rPr>
        <w:t>019</w:t>
      </w:r>
      <w:r w:rsidRPr="00083324">
        <w:rPr>
          <w:rFonts w:ascii="Arial" w:hAnsi="Arial" w:cs="Arial"/>
          <w:color w:val="003366"/>
          <w:sz w:val="18"/>
          <w:szCs w:val="18"/>
        </w:rPr>
        <w:t xml:space="preserve"> compared with 201</w:t>
      </w:r>
      <w:r>
        <w:rPr>
          <w:rFonts w:ascii="Arial" w:hAnsi="Arial" w:cs="Arial"/>
          <w:color w:val="003366"/>
          <w:sz w:val="18"/>
          <w:szCs w:val="18"/>
        </w:rPr>
        <w:t>8</w:t>
      </w:r>
    </w:p>
    <w:tbl>
      <w:tblPr>
        <w:tblW w:w="10226" w:type="dxa"/>
        <w:tblCellMar>
          <w:left w:w="0" w:type="dxa"/>
          <w:right w:w="0" w:type="dxa"/>
        </w:tblCellMar>
        <w:tblLook w:val="01E0" w:firstRow="1" w:lastRow="1" w:firstColumn="1" w:lastColumn="1" w:noHBand="0" w:noVBand="0"/>
      </w:tblPr>
      <w:tblGrid>
        <w:gridCol w:w="261"/>
        <w:gridCol w:w="9965"/>
      </w:tblGrid>
      <w:tr w:rsidR="0064628A" w:rsidTr="00CC1D6A">
        <w:trPr>
          <w:trHeight w:val="136"/>
        </w:trPr>
        <w:tc>
          <w:tcPr>
            <w:tcW w:w="261" w:type="dxa"/>
          </w:tcPr>
          <w:p w:rsidR="0080268A" w:rsidRPr="0034305B" w:rsidRDefault="00FC1FDC" w:rsidP="005F64C9">
            <w:pPr>
              <w:pStyle w:val="Normal1"/>
              <w:spacing w:line="264" w:lineRule="auto"/>
              <w:ind w:right="98"/>
              <w:jc w:val="both"/>
              <w:rPr>
                <w:rFonts w:ascii="Arial" w:eastAsia="SimSun" w:hAnsi="Arial" w:cs="Arial"/>
                <w:color w:val="33CCCC"/>
                <w:sz w:val="18"/>
                <w:szCs w:val="18"/>
              </w:rPr>
            </w:pPr>
            <w:r w:rsidRPr="0034305B">
              <w:rPr>
                <w:rFonts w:ascii="Arial" w:eastAsia="SimSun" w:hAnsi="Arial" w:cs="Arial"/>
                <w:color w:val="003366"/>
                <w:sz w:val="18"/>
                <w:szCs w:val="18"/>
              </w:rPr>
              <w:t>●</w:t>
            </w:r>
          </w:p>
        </w:tc>
        <w:tc>
          <w:tcPr>
            <w:tcW w:w="9965" w:type="dxa"/>
          </w:tcPr>
          <w:p w:rsidR="0080268A" w:rsidRPr="0080268A" w:rsidRDefault="00FC1FDC" w:rsidP="0080268A">
            <w:pPr>
              <w:pStyle w:val="Normal30"/>
              <w:ind w:right="98"/>
              <w:contextualSpacing/>
              <w:rPr>
                <w:sz w:val="18"/>
                <w:szCs w:val="18"/>
                <w:lang w:val="en-US" w:bidi="he-IL"/>
              </w:rPr>
            </w:pPr>
            <w:r>
              <w:rPr>
                <w:sz w:val="18"/>
                <w:szCs w:val="18"/>
                <w:lang w:val="en-US" w:bidi="he-IL"/>
              </w:rPr>
              <w:t>Total income increased by £851 million, or 6.3</w:t>
            </w:r>
            <w:r w:rsidRPr="0034305B">
              <w:rPr>
                <w:sz w:val="18"/>
                <w:szCs w:val="18"/>
                <w:lang w:val="en-US" w:bidi="he-IL"/>
              </w:rPr>
              <w:t xml:space="preserve">%. </w:t>
            </w:r>
            <w:r w:rsidRPr="0053629E">
              <w:rPr>
                <w:sz w:val="18"/>
                <w:szCs w:val="18"/>
                <w:lang w:val="en-US" w:bidi="he-IL"/>
              </w:rPr>
              <w:t>Excluding notable items, income decreased by £813 million, or 6.3%, due to a reduction in retail and commercial income, lower</w:t>
            </w:r>
            <w:r w:rsidRPr="00DD1A53">
              <w:rPr>
                <w:sz w:val="18"/>
                <w:szCs w:val="18"/>
                <w:lang w:val="en-US" w:bidi="he-IL"/>
              </w:rPr>
              <w:t xml:space="preserve"> NatWest Markets income and increased Treasury funding costs, reflecting increased MREL costs and lower structural hedge income. Across the retail and commercial busin</w:t>
            </w:r>
            <w:r>
              <w:rPr>
                <w:sz w:val="18"/>
                <w:szCs w:val="18"/>
                <w:lang w:val="en-US" w:bidi="he-IL"/>
              </w:rPr>
              <w:t>esses, income decreased by £301</w:t>
            </w:r>
            <w:r w:rsidRPr="00DD1A53">
              <w:rPr>
                <w:sz w:val="18"/>
                <w:szCs w:val="18"/>
                <w:lang w:val="en-US" w:bidi="he-IL"/>
              </w:rPr>
              <w:t xml:space="preserve"> million, or 2.6%, excluding notable items, principally reflecting margin</w:t>
            </w:r>
            <w:r>
              <w:rPr>
                <w:sz w:val="18"/>
                <w:szCs w:val="18"/>
                <w:lang w:val="en-US" w:bidi="he-IL"/>
              </w:rPr>
              <w:t xml:space="preserve"> pressure in a challenging market.</w:t>
            </w:r>
          </w:p>
        </w:tc>
      </w:tr>
      <w:tr w:rsidR="0064628A" w:rsidTr="00CC1D6A">
        <w:trPr>
          <w:trHeight w:val="136"/>
        </w:trPr>
        <w:tc>
          <w:tcPr>
            <w:tcW w:w="261" w:type="dxa"/>
          </w:tcPr>
          <w:p w:rsidR="0080268A" w:rsidRPr="0034305B" w:rsidRDefault="00FC1FDC" w:rsidP="005F64C9">
            <w:pPr>
              <w:pStyle w:val="Normal1"/>
              <w:spacing w:line="264" w:lineRule="auto"/>
              <w:ind w:right="98"/>
              <w:jc w:val="both"/>
              <w:rPr>
                <w:rFonts w:ascii="Arial" w:eastAsia="SimSun" w:hAnsi="Arial" w:cs="Arial"/>
                <w:color w:val="33CCCC"/>
                <w:sz w:val="18"/>
                <w:szCs w:val="18"/>
              </w:rPr>
            </w:pPr>
            <w:r w:rsidRPr="0034305B">
              <w:rPr>
                <w:rFonts w:ascii="Arial" w:eastAsia="SimSun" w:hAnsi="Arial" w:cs="Arial"/>
                <w:color w:val="003366"/>
                <w:sz w:val="18"/>
                <w:szCs w:val="18"/>
              </w:rPr>
              <w:t>●</w:t>
            </w:r>
          </w:p>
        </w:tc>
        <w:tc>
          <w:tcPr>
            <w:tcW w:w="9965" w:type="dxa"/>
          </w:tcPr>
          <w:p w:rsidR="0080268A" w:rsidRPr="0034305B" w:rsidRDefault="00FC1FDC" w:rsidP="00883FE3">
            <w:pPr>
              <w:pStyle w:val="Normal30"/>
              <w:spacing w:line="259" w:lineRule="auto"/>
              <w:ind w:right="98"/>
              <w:contextualSpacing/>
              <w:rPr>
                <w:sz w:val="18"/>
                <w:szCs w:val="18"/>
                <w:lang w:val="en-US" w:bidi="he-IL"/>
              </w:rPr>
            </w:pPr>
            <w:r>
              <w:rPr>
                <w:sz w:val="18"/>
                <w:szCs w:val="18"/>
                <w:lang w:val="en-US" w:bidi="he-IL"/>
              </w:rPr>
              <w:t>Bank NIM of 1.99% was 10</w:t>
            </w:r>
            <w:r w:rsidRPr="0034305B">
              <w:rPr>
                <w:sz w:val="18"/>
                <w:szCs w:val="18"/>
                <w:lang w:val="en-US" w:bidi="he-IL"/>
              </w:rPr>
              <w:t xml:space="preserve"> basis points lower than 2018</w:t>
            </w:r>
            <w:r>
              <w:rPr>
                <w:sz w:val="18"/>
                <w:szCs w:val="18"/>
                <w:lang w:val="en-US" w:bidi="he-IL"/>
              </w:rPr>
              <w:t xml:space="preserve">, </w:t>
            </w:r>
            <w:r w:rsidRPr="0034305B">
              <w:rPr>
                <w:sz w:val="18"/>
                <w:szCs w:val="18"/>
                <w:lang w:val="en-US" w:bidi="he-IL"/>
              </w:rPr>
              <w:t>principally reflecting competitive pressures within the personal business</w:t>
            </w:r>
            <w:r>
              <w:rPr>
                <w:sz w:val="18"/>
                <w:szCs w:val="18"/>
                <w:lang w:val="en-US" w:bidi="he-IL"/>
              </w:rPr>
              <w:t xml:space="preserve"> and a flattening yield curve.</w:t>
            </w:r>
          </w:p>
        </w:tc>
      </w:tr>
      <w:tr w:rsidR="0064628A" w:rsidTr="00CC1D6A">
        <w:trPr>
          <w:trHeight w:val="136"/>
        </w:trPr>
        <w:tc>
          <w:tcPr>
            <w:tcW w:w="261" w:type="dxa"/>
          </w:tcPr>
          <w:p w:rsidR="0080268A" w:rsidRPr="0034305B" w:rsidRDefault="00FC1FDC" w:rsidP="005F64C9">
            <w:pPr>
              <w:pStyle w:val="Normal1"/>
              <w:spacing w:line="264" w:lineRule="auto"/>
              <w:ind w:right="98"/>
              <w:jc w:val="both"/>
              <w:rPr>
                <w:rFonts w:ascii="Arial" w:hAnsi="Arial" w:cs="Arial"/>
                <w:color w:val="33CCCC"/>
                <w:sz w:val="18"/>
                <w:szCs w:val="18"/>
                <w:lang w:eastAsia="en-GB"/>
              </w:rPr>
            </w:pPr>
            <w:r w:rsidRPr="0034305B">
              <w:rPr>
                <w:rFonts w:ascii="Arial" w:eastAsia="SimSun" w:hAnsi="Arial" w:cs="Arial"/>
                <w:color w:val="003366"/>
                <w:sz w:val="18"/>
                <w:szCs w:val="18"/>
              </w:rPr>
              <w:t>●</w:t>
            </w:r>
          </w:p>
        </w:tc>
        <w:tc>
          <w:tcPr>
            <w:tcW w:w="9965" w:type="dxa"/>
          </w:tcPr>
          <w:p w:rsidR="0080268A" w:rsidRPr="0034305B" w:rsidRDefault="00FC1FDC" w:rsidP="00883FE3">
            <w:pPr>
              <w:pStyle w:val="Normal30"/>
              <w:spacing w:line="259" w:lineRule="auto"/>
              <w:ind w:right="98"/>
              <w:contextualSpacing/>
              <w:rPr>
                <w:sz w:val="18"/>
                <w:szCs w:val="18"/>
                <w:lang w:val="en-US" w:bidi="he-IL"/>
              </w:rPr>
            </w:pPr>
            <w:r>
              <w:rPr>
                <w:sz w:val="18"/>
                <w:szCs w:val="18"/>
                <w:lang w:val="en-US" w:bidi="he-IL"/>
              </w:rPr>
              <w:t xml:space="preserve">Excluding strategic, litigation and conduct costs, operating expenses reduced by £310 million, ahead of target, despite incurring an additional £38 million of authorised push payment fraud costs in line with new industry practice. In line with the reduction in costs, headcount was c.3,100, or 4.6%, lower than 2018.  </w:t>
            </w:r>
          </w:p>
        </w:tc>
      </w:tr>
      <w:tr w:rsidR="0064628A" w:rsidTr="00CC1D6A">
        <w:trPr>
          <w:trHeight w:val="136"/>
        </w:trPr>
        <w:tc>
          <w:tcPr>
            <w:tcW w:w="261" w:type="dxa"/>
          </w:tcPr>
          <w:p w:rsidR="0080268A" w:rsidRPr="0034305B" w:rsidRDefault="00FC1FDC" w:rsidP="005F64C9">
            <w:pPr>
              <w:pStyle w:val="Normal1"/>
              <w:spacing w:line="264" w:lineRule="auto"/>
              <w:ind w:right="98"/>
              <w:jc w:val="both"/>
              <w:rPr>
                <w:rFonts w:ascii="Arial" w:eastAsia="SimSun" w:hAnsi="Arial" w:cs="Arial"/>
                <w:color w:val="003366"/>
                <w:sz w:val="18"/>
                <w:szCs w:val="18"/>
              </w:rPr>
            </w:pPr>
            <w:r w:rsidRPr="0034305B">
              <w:rPr>
                <w:rFonts w:ascii="Arial" w:eastAsia="SimSun" w:hAnsi="Arial" w:cs="Arial"/>
                <w:color w:val="003366"/>
                <w:sz w:val="18"/>
                <w:szCs w:val="18"/>
              </w:rPr>
              <w:t>●</w:t>
            </w:r>
          </w:p>
        </w:tc>
        <w:tc>
          <w:tcPr>
            <w:tcW w:w="9965" w:type="dxa"/>
          </w:tcPr>
          <w:p w:rsidR="0080268A" w:rsidRPr="0034305B" w:rsidRDefault="00FC1FDC" w:rsidP="00883FE3">
            <w:pPr>
              <w:pStyle w:val="Normal30"/>
              <w:spacing w:line="259" w:lineRule="auto"/>
              <w:ind w:right="98"/>
              <w:contextualSpacing/>
              <w:rPr>
                <w:sz w:val="18"/>
                <w:szCs w:val="18"/>
                <w:lang w:val="en-US" w:bidi="he-IL"/>
              </w:rPr>
            </w:pPr>
            <w:r>
              <w:rPr>
                <w:sz w:val="18"/>
                <w:szCs w:val="18"/>
                <w:lang w:val="en-US" w:bidi="he-IL"/>
              </w:rPr>
              <w:t>Strategic costs of £1,381</w:t>
            </w:r>
            <w:r w:rsidRPr="0034305B">
              <w:rPr>
                <w:sz w:val="18"/>
                <w:szCs w:val="18"/>
                <w:lang w:val="en-US" w:bidi="he-IL"/>
              </w:rPr>
              <w:t xml:space="preserve"> </w:t>
            </w:r>
            <w:r w:rsidRPr="00F36259">
              <w:rPr>
                <w:sz w:val="18"/>
                <w:szCs w:val="18"/>
                <w:lang w:val="en-US" w:bidi="he-IL"/>
              </w:rPr>
              <w:t xml:space="preserve">million included: a </w:t>
            </w:r>
            <w:r>
              <w:rPr>
                <w:sz w:val="18"/>
                <w:szCs w:val="18"/>
                <w:lang w:val="en-US" w:bidi="he-IL"/>
              </w:rPr>
              <w:t>£470</w:t>
            </w:r>
            <w:r w:rsidRPr="0053629E">
              <w:rPr>
                <w:sz w:val="18"/>
                <w:szCs w:val="18"/>
                <w:lang w:val="en-US" w:bidi="he-IL"/>
              </w:rPr>
              <w:t xml:space="preserve"> million charge relating to the reducti</w:t>
            </w:r>
            <w:r>
              <w:rPr>
                <w:sz w:val="18"/>
                <w:szCs w:val="18"/>
                <w:lang w:val="en-US" w:bidi="he-IL"/>
              </w:rPr>
              <w:t>on in our property portfolio; £299 million of technology costs; a £178</w:t>
            </w:r>
            <w:r w:rsidRPr="0053629E">
              <w:rPr>
                <w:sz w:val="18"/>
                <w:szCs w:val="18"/>
                <w:lang w:val="en-US" w:bidi="he-IL"/>
              </w:rPr>
              <w:t xml:space="preserve"> million charge in NatWest Markets relating to both the wind-down of the legacy business and ongoing development of the core business infrastructure; with the remaining charge largely relating to restructuring costs to achieve cost efficiencies across front and back book operations.</w:t>
            </w:r>
          </w:p>
        </w:tc>
      </w:tr>
      <w:tr w:rsidR="0064628A" w:rsidTr="00CC1D6A">
        <w:trPr>
          <w:trHeight w:val="136"/>
        </w:trPr>
        <w:tc>
          <w:tcPr>
            <w:tcW w:w="261" w:type="dxa"/>
          </w:tcPr>
          <w:p w:rsidR="0080268A" w:rsidRPr="0034305B" w:rsidRDefault="00FC1FDC" w:rsidP="005F64C9">
            <w:pPr>
              <w:pStyle w:val="Normal1"/>
              <w:spacing w:line="264" w:lineRule="auto"/>
              <w:ind w:right="98"/>
              <w:jc w:val="both"/>
              <w:rPr>
                <w:rFonts w:ascii="Arial" w:eastAsia="SimSun" w:hAnsi="Arial" w:cs="Arial"/>
                <w:color w:val="003366"/>
                <w:sz w:val="18"/>
                <w:szCs w:val="18"/>
              </w:rPr>
            </w:pPr>
            <w:r w:rsidRPr="0034305B">
              <w:rPr>
                <w:rFonts w:ascii="Arial" w:eastAsia="SimSun" w:hAnsi="Arial" w:cs="Arial"/>
                <w:color w:val="003366"/>
                <w:sz w:val="18"/>
                <w:szCs w:val="18"/>
              </w:rPr>
              <w:t>●</w:t>
            </w:r>
          </w:p>
        </w:tc>
        <w:tc>
          <w:tcPr>
            <w:tcW w:w="9965" w:type="dxa"/>
          </w:tcPr>
          <w:p w:rsidR="0080268A" w:rsidRPr="0034305B" w:rsidRDefault="00FC1FDC" w:rsidP="00883FE3">
            <w:pPr>
              <w:pStyle w:val="Normal30"/>
              <w:spacing w:line="259" w:lineRule="auto"/>
              <w:ind w:right="98"/>
              <w:contextualSpacing/>
              <w:rPr>
                <w:sz w:val="18"/>
                <w:szCs w:val="18"/>
              </w:rPr>
            </w:pPr>
            <w:r w:rsidRPr="0034305B">
              <w:rPr>
                <w:sz w:val="18"/>
                <w:szCs w:val="18"/>
                <w:lang w:val="en-US" w:bidi="he-IL"/>
              </w:rPr>
              <w:t>Litigation and conduct cost</w:t>
            </w:r>
            <w:r>
              <w:rPr>
                <w:sz w:val="18"/>
                <w:szCs w:val="18"/>
                <w:lang w:val="en-US" w:bidi="he-IL"/>
              </w:rPr>
              <w:t>s</w:t>
            </w:r>
            <w:r w:rsidRPr="0034305B">
              <w:rPr>
                <w:sz w:val="18"/>
                <w:szCs w:val="18"/>
                <w:lang w:val="en-US" w:bidi="he-IL"/>
              </w:rPr>
              <w:t xml:space="preserve"> included a £900 million PPI charge and</w:t>
            </w:r>
            <w:r>
              <w:rPr>
                <w:sz w:val="18"/>
                <w:szCs w:val="18"/>
                <w:lang w:val="en-US" w:bidi="he-IL"/>
              </w:rPr>
              <w:t xml:space="preserve"> a £169</w:t>
            </w:r>
            <w:r w:rsidRPr="0034305B">
              <w:rPr>
                <w:sz w:val="18"/>
                <w:szCs w:val="18"/>
                <w:lang w:val="en-US" w:bidi="he-IL"/>
              </w:rPr>
              <w:t xml:space="preserve"> million reimbursement under indemnification agreements relating to </w:t>
            </w:r>
            <w:r>
              <w:rPr>
                <w:sz w:val="18"/>
                <w:szCs w:val="18"/>
                <w:lang w:val="en-US" w:bidi="he-IL"/>
              </w:rPr>
              <w:t xml:space="preserve">US </w:t>
            </w:r>
            <w:r w:rsidRPr="0034305B">
              <w:rPr>
                <w:sz w:val="18"/>
                <w:szCs w:val="18"/>
                <w:lang w:val="en-US" w:bidi="he-IL"/>
              </w:rPr>
              <w:t xml:space="preserve">residential mortgage-backed securities (RMBS). </w:t>
            </w:r>
          </w:p>
        </w:tc>
      </w:tr>
      <w:tr w:rsidR="0064628A" w:rsidTr="00CC1D6A">
        <w:trPr>
          <w:trHeight w:val="136"/>
        </w:trPr>
        <w:tc>
          <w:tcPr>
            <w:tcW w:w="261" w:type="dxa"/>
          </w:tcPr>
          <w:p w:rsidR="0080268A" w:rsidRPr="0034305B" w:rsidRDefault="00FC1FDC" w:rsidP="005F64C9">
            <w:pPr>
              <w:pStyle w:val="Normal1"/>
              <w:spacing w:line="264" w:lineRule="auto"/>
              <w:ind w:right="98"/>
              <w:jc w:val="both"/>
              <w:rPr>
                <w:rFonts w:ascii="Arial" w:eastAsia="SimSun" w:hAnsi="Arial" w:cs="Arial"/>
                <w:color w:val="003366"/>
                <w:sz w:val="18"/>
                <w:szCs w:val="18"/>
              </w:rPr>
            </w:pPr>
            <w:r w:rsidRPr="0034305B">
              <w:rPr>
                <w:rFonts w:ascii="Arial" w:eastAsia="SimSun" w:hAnsi="Arial" w:cs="Arial"/>
                <w:color w:val="003366"/>
                <w:sz w:val="18"/>
                <w:szCs w:val="18"/>
              </w:rPr>
              <w:t>●</w:t>
            </w:r>
          </w:p>
        </w:tc>
        <w:tc>
          <w:tcPr>
            <w:tcW w:w="9965" w:type="dxa"/>
          </w:tcPr>
          <w:p w:rsidR="0080268A" w:rsidRPr="0034305B" w:rsidRDefault="00FC1FDC" w:rsidP="00883FE3">
            <w:pPr>
              <w:pStyle w:val="Normal30"/>
              <w:spacing w:line="259" w:lineRule="auto"/>
              <w:ind w:right="98"/>
              <w:contextualSpacing/>
              <w:rPr>
                <w:sz w:val="18"/>
                <w:szCs w:val="18"/>
                <w:lang w:val="en-US" w:bidi="he-IL"/>
              </w:rPr>
            </w:pPr>
            <w:r>
              <w:rPr>
                <w:sz w:val="18"/>
                <w:szCs w:val="18"/>
                <w:lang w:val="en-US" w:bidi="he-IL"/>
              </w:rPr>
              <w:t>The net impairment loss of £696 million, 21</w:t>
            </w:r>
            <w:r w:rsidRPr="0034305B">
              <w:rPr>
                <w:sz w:val="18"/>
                <w:szCs w:val="18"/>
                <w:lang w:val="en-US" w:bidi="he-IL"/>
              </w:rPr>
              <w:t xml:space="preserve"> basis points of gross cu</w:t>
            </w:r>
            <w:r>
              <w:rPr>
                <w:sz w:val="18"/>
                <w:szCs w:val="18"/>
                <w:lang w:val="en-US" w:bidi="he-IL"/>
              </w:rPr>
              <w:t>stomer loans, increased by £298</w:t>
            </w:r>
            <w:r w:rsidRPr="0034305B">
              <w:rPr>
                <w:sz w:val="18"/>
                <w:szCs w:val="18"/>
                <w:lang w:val="en-US" w:bidi="he-IL"/>
              </w:rPr>
              <w:t xml:space="preserve"> million compared with 2018</w:t>
            </w:r>
            <w:r>
              <w:rPr>
                <w:sz w:val="18"/>
                <w:szCs w:val="18"/>
                <w:lang w:val="en-US" w:bidi="he-IL"/>
              </w:rPr>
              <w:t>,</w:t>
            </w:r>
            <w:r w:rsidRPr="0034305B">
              <w:rPr>
                <w:sz w:val="18"/>
                <w:szCs w:val="18"/>
                <w:lang w:val="en-US" w:bidi="he-IL"/>
              </w:rPr>
              <w:t xml:space="preserve"> </w:t>
            </w:r>
            <w:r w:rsidRPr="00D1266C">
              <w:rPr>
                <w:sz w:val="18"/>
                <w:szCs w:val="18"/>
                <w:lang w:val="en-US" w:bidi="he-IL"/>
              </w:rPr>
              <w:t>transition</w:t>
            </w:r>
            <w:r>
              <w:rPr>
                <w:sz w:val="18"/>
                <w:szCs w:val="18"/>
                <w:lang w:val="en-US" w:bidi="he-IL"/>
              </w:rPr>
              <w:t>ing</w:t>
            </w:r>
            <w:r w:rsidRPr="00D1266C">
              <w:rPr>
                <w:sz w:val="18"/>
                <w:szCs w:val="18"/>
                <w:lang w:val="en-US" w:bidi="he-IL"/>
              </w:rPr>
              <w:t xml:space="preserve"> from a very benign period towards a more normalised external credit environment</w:t>
            </w:r>
            <w:r>
              <w:rPr>
                <w:sz w:val="18"/>
                <w:szCs w:val="18"/>
                <w:lang w:val="en-US" w:bidi="he-IL"/>
              </w:rPr>
              <w:t>,</w:t>
            </w:r>
            <w:r w:rsidRPr="00D1266C">
              <w:rPr>
                <w:sz w:val="18"/>
                <w:szCs w:val="18"/>
                <w:lang w:val="en-US" w:bidi="he-IL"/>
              </w:rPr>
              <w:t xml:space="preserve"> as well as the impact of a small number of large individual commercia</w:t>
            </w:r>
            <w:r>
              <w:rPr>
                <w:sz w:val="18"/>
                <w:szCs w:val="18"/>
                <w:lang w:val="en-US" w:bidi="he-IL"/>
              </w:rPr>
              <w:t>l charges. The cost of risk</w:t>
            </w:r>
            <w:r w:rsidRPr="00D1266C">
              <w:rPr>
                <w:sz w:val="18"/>
                <w:szCs w:val="18"/>
                <w:lang w:val="en-US" w:bidi="he-IL"/>
              </w:rPr>
              <w:t xml:space="preserve"> remained below the view of our normalised blended long term loss rate of 30 to 40 basis points.</w:t>
            </w:r>
          </w:p>
        </w:tc>
      </w:tr>
      <w:tr w:rsidR="0064628A" w:rsidTr="00CC1D6A">
        <w:trPr>
          <w:trHeight w:val="136"/>
        </w:trPr>
        <w:tc>
          <w:tcPr>
            <w:tcW w:w="261" w:type="dxa"/>
          </w:tcPr>
          <w:p w:rsidR="0080268A" w:rsidRPr="0034305B" w:rsidRDefault="00FC1FDC" w:rsidP="005F64C9">
            <w:pPr>
              <w:pStyle w:val="Normal1"/>
              <w:spacing w:line="264" w:lineRule="auto"/>
              <w:ind w:right="98"/>
              <w:jc w:val="both"/>
              <w:rPr>
                <w:rFonts w:ascii="Arial" w:eastAsia="SimSun" w:hAnsi="Arial" w:cs="Arial"/>
                <w:color w:val="003366"/>
                <w:sz w:val="18"/>
                <w:szCs w:val="18"/>
              </w:rPr>
            </w:pPr>
            <w:r w:rsidRPr="0034305B">
              <w:rPr>
                <w:rFonts w:ascii="Arial" w:eastAsia="SimSun" w:hAnsi="Arial" w:cs="Arial"/>
                <w:color w:val="003366"/>
                <w:sz w:val="18"/>
                <w:szCs w:val="18"/>
              </w:rPr>
              <w:t>●</w:t>
            </w:r>
          </w:p>
        </w:tc>
        <w:tc>
          <w:tcPr>
            <w:tcW w:w="9965" w:type="dxa"/>
          </w:tcPr>
          <w:p w:rsidR="0080268A" w:rsidRPr="0034305B" w:rsidRDefault="00FC1FDC" w:rsidP="00883FE3">
            <w:pPr>
              <w:pStyle w:val="Normal30"/>
              <w:spacing w:line="259" w:lineRule="auto"/>
              <w:ind w:right="98"/>
              <w:contextualSpacing/>
              <w:rPr>
                <w:sz w:val="18"/>
                <w:szCs w:val="18"/>
                <w:lang w:val="en-US" w:bidi="he-IL"/>
              </w:rPr>
            </w:pPr>
            <w:r w:rsidRPr="0049242C">
              <w:rPr>
                <w:sz w:val="18"/>
                <w:szCs w:val="18"/>
                <w:lang w:val="en-US" w:bidi="he-IL"/>
              </w:rPr>
              <w:t>The tax charge for 2019 is lower than the UK statutory rate reflecting the impact of the Alawwal bank merger gain on disposal, the FX recycling gain on th</w:t>
            </w:r>
            <w:r>
              <w:rPr>
                <w:sz w:val="18"/>
                <w:szCs w:val="18"/>
                <w:lang w:val="en-US" w:bidi="he-IL"/>
              </w:rPr>
              <w:t xml:space="preserve">e liquidation of RFS Holdings, </w:t>
            </w:r>
            <w:r w:rsidRPr="0049242C">
              <w:rPr>
                <w:sz w:val="18"/>
                <w:szCs w:val="18"/>
                <w:lang w:val="en-US" w:bidi="he-IL"/>
              </w:rPr>
              <w:t>a £206 million deferred tax credit on the recognition of tax losses following the transfer of business under the ring-fencing regulations and adjustments in respect of prior periods. These factors have been partially offset by the impact of conduct charges, the banking surcharge and a £144 million reduction in the carrying value of deferred tax assets in respect of losses in the UK and Ireland</w:t>
            </w:r>
            <w:r>
              <w:rPr>
                <w:sz w:val="18"/>
                <w:szCs w:val="18"/>
                <w:lang w:val="en-US" w:bidi="he-IL"/>
              </w:rPr>
              <w:t>.</w:t>
            </w:r>
          </w:p>
        </w:tc>
      </w:tr>
      <w:tr w:rsidR="0064628A" w:rsidTr="00CC1D6A">
        <w:trPr>
          <w:trHeight w:val="136"/>
        </w:trPr>
        <w:tc>
          <w:tcPr>
            <w:tcW w:w="261" w:type="dxa"/>
          </w:tcPr>
          <w:p w:rsidR="0080268A" w:rsidRPr="0034305B" w:rsidRDefault="00FC1FDC" w:rsidP="005F64C9">
            <w:pPr>
              <w:pStyle w:val="Normal1"/>
              <w:spacing w:line="264" w:lineRule="auto"/>
              <w:ind w:right="98"/>
              <w:jc w:val="both"/>
              <w:rPr>
                <w:rFonts w:ascii="Arial" w:eastAsia="SimSun" w:hAnsi="Arial" w:cs="Arial"/>
                <w:color w:val="003366"/>
                <w:sz w:val="18"/>
                <w:szCs w:val="18"/>
              </w:rPr>
            </w:pPr>
            <w:r w:rsidRPr="0034305B">
              <w:rPr>
                <w:rFonts w:ascii="Arial" w:eastAsia="SimSun" w:hAnsi="Arial" w:cs="Arial"/>
                <w:color w:val="003366"/>
                <w:sz w:val="18"/>
                <w:szCs w:val="18"/>
              </w:rPr>
              <w:t>●</w:t>
            </w:r>
          </w:p>
        </w:tc>
        <w:tc>
          <w:tcPr>
            <w:tcW w:w="9965" w:type="dxa"/>
          </w:tcPr>
          <w:p w:rsidR="0080268A" w:rsidRPr="0034305B" w:rsidRDefault="00FC1FDC" w:rsidP="00883FE3">
            <w:pPr>
              <w:pStyle w:val="Normal30"/>
              <w:spacing w:line="252" w:lineRule="auto"/>
              <w:ind w:right="98"/>
              <w:contextualSpacing/>
              <w:rPr>
                <w:sz w:val="18"/>
                <w:szCs w:val="18"/>
                <w:lang w:val="en-US" w:bidi="he-IL"/>
              </w:rPr>
            </w:pPr>
            <w:r>
              <w:rPr>
                <w:sz w:val="18"/>
                <w:szCs w:val="18"/>
                <w:lang w:val="en-US"/>
              </w:rPr>
              <w:t>Non-controlling interests includes a charge of £274 million in relation to the minority share of the gain recognised on completion of the Alawwal bank merger.</w:t>
            </w:r>
          </w:p>
        </w:tc>
      </w:tr>
    </w:tbl>
    <w:p w:rsidR="00B56259" w:rsidRPr="0034305B" w:rsidRDefault="00B56259" w:rsidP="00B56259">
      <w:pPr>
        <w:pStyle w:val="Normal1"/>
        <w:spacing w:line="264" w:lineRule="auto"/>
        <w:jc w:val="both"/>
        <w:rPr>
          <w:rFonts w:ascii="Arial" w:eastAsia="SimSun" w:hAnsi="Arial" w:cs="Arial"/>
          <w:b/>
          <w:color w:val="003366"/>
          <w:sz w:val="18"/>
          <w:szCs w:val="18"/>
          <w:lang w:eastAsia="zh-CN"/>
        </w:rPr>
      </w:pPr>
    </w:p>
    <w:p w:rsidR="00914D0B" w:rsidRPr="0034305B" w:rsidRDefault="00FC1FDC" w:rsidP="00914D0B">
      <w:pPr>
        <w:pStyle w:val="Normal1"/>
        <w:spacing w:line="264" w:lineRule="auto"/>
        <w:ind w:right="126"/>
        <w:jc w:val="both"/>
        <w:rPr>
          <w:rFonts w:ascii="Arial" w:hAnsi="Arial" w:cs="Arial"/>
          <w:color w:val="1F497D"/>
          <w:sz w:val="18"/>
          <w:szCs w:val="18"/>
          <w:lang w:eastAsia="en-GB"/>
        </w:rPr>
      </w:pPr>
      <w:r>
        <w:rPr>
          <w:rFonts w:ascii="Arial" w:hAnsi="Arial" w:cs="Arial"/>
          <w:color w:val="1F497D"/>
          <w:sz w:val="18"/>
          <w:szCs w:val="18"/>
          <w:lang w:eastAsia="en-GB"/>
        </w:rPr>
        <w:t>Q4 2019 compared with Q3 2019</w:t>
      </w:r>
    </w:p>
    <w:tbl>
      <w:tblPr>
        <w:tblW w:w="10206" w:type="dxa"/>
        <w:tblCellMar>
          <w:left w:w="0" w:type="dxa"/>
          <w:right w:w="0" w:type="dxa"/>
        </w:tblCellMar>
        <w:tblLook w:val="01E0" w:firstRow="1" w:lastRow="1" w:firstColumn="1" w:lastColumn="1" w:noHBand="0" w:noVBand="0"/>
      </w:tblPr>
      <w:tblGrid>
        <w:gridCol w:w="241"/>
        <w:gridCol w:w="9965"/>
      </w:tblGrid>
      <w:tr w:rsidR="0064628A" w:rsidTr="00CC1D6A">
        <w:trPr>
          <w:trHeight w:val="136"/>
        </w:trPr>
        <w:tc>
          <w:tcPr>
            <w:tcW w:w="241" w:type="dxa"/>
          </w:tcPr>
          <w:p w:rsidR="0080268A" w:rsidRPr="0034305B" w:rsidRDefault="00FC1FDC" w:rsidP="005F64C9">
            <w:pPr>
              <w:pStyle w:val="Normal1"/>
              <w:spacing w:line="264" w:lineRule="auto"/>
              <w:ind w:right="98"/>
              <w:jc w:val="both"/>
              <w:rPr>
                <w:rFonts w:ascii="Arial" w:eastAsia="SimSun" w:hAnsi="Arial" w:cs="Arial"/>
                <w:color w:val="33CCCC"/>
                <w:sz w:val="18"/>
                <w:szCs w:val="18"/>
              </w:rPr>
            </w:pPr>
            <w:r w:rsidRPr="0034305B">
              <w:rPr>
                <w:rFonts w:ascii="Arial" w:eastAsia="SimSun" w:hAnsi="Arial" w:cs="Arial"/>
                <w:color w:val="003366"/>
                <w:sz w:val="18"/>
                <w:szCs w:val="18"/>
              </w:rPr>
              <w:t>●</w:t>
            </w:r>
          </w:p>
        </w:tc>
        <w:tc>
          <w:tcPr>
            <w:tcW w:w="9965" w:type="dxa"/>
          </w:tcPr>
          <w:p w:rsidR="0080268A" w:rsidRPr="00CC1D6A" w:rsidRDefault="00FC1FDC" w:rsidP="00883FE3">
            <w:pPr>
              <w:pStyle w:val="Normal30"/>
              <w:spacing w:line="259" w:lineRule="auto"/>
              <w:ind w:right="98"/>
              <w:contextualSpacing/>
              <w:rPr>
                <w:sz w:val="18"/>
                <w:szCs w:val="18"/>
                <w:lang w:bidi="he-IL"/>
              </w:rPr>
            </w:pPr>
            <w:r w:rsidRPr="00395B92">
              <w:rPr>
                <w:sz w:val="18"/>
                <w:szCs w:val="18"/>
                <w:lang w:bidi="he-IL"/>
              </w:rPr>
              <w:t>Q4 2019 income includes £1,169 million of FX recycling gains largely associated with the transfer of N</w:t>
            </w:r>
            <w:r>
              <w:rPr>
                <w:sz w:val="18"/>
                <w:szCs w:val="18"/>
                <w:lang w:bidi="he-IL"/>
              </w:rPr>
              <w:t xml:space="preserve">atWest </w:t>
            </w:r>
            <w:r w:rsidRPr="00395B92">
              <w:rPr>
                <w:sz w:val="18"/>
                <w:szCs w:val="18"/>
                <w:lang w:bidi="he-IL"/>
              </w:rPr>
              <w:t>M</w:t>
            </w:r>
            <w:r>
              <w:rPr>
                <w:sz w:val="18"/>
                <w:szCs w:val="18"/>
                <w:lang w:bidi="he-IL"/>
              </w:rPr>
              <w:t>arkets</w:t>
            </w:r>
            <w:r w:rsidRPr="00395B92">
              <w:rPr>
                <w:sz w:val="18"/>
                <w:szCs w:val="18"/>
                <w:lang w:bidi="he-IL"/>
              </w:rPr>
              <w:t xml:space="preserve"> N</w:t>
            </w:r>
            <w:r>
              <w:rPr>
                <w:sz w:val="18"/>
                <w:szCs w:val="18"/>
                <w:lang w:bidi="he-IL"/>
              </w:rPr>
              <w:t>.</w:t>
            </w:r>
            <w:r w:rsidRPr="00395B92">
              <w:rPr>
                <w:sz w:val="18"/>
                <w:szCs w:val="18"/>
                <w:lang w:bidi="he-IL"/>
              </w:rPr>
              <w:t>V</w:t>
            </w:r>
            <w:r>
              <w:rPr>
                <w:sz w:val="18"/>
                <w:szCs w:val="18"/>
                <w:lang w:bidi="he-IL"/>
              </w:rPr>
              <w:t>.</w:t>
            </w:r>
            <w:r w:rsidRPr="00395B92">
              <w:rPr>
                <w:sz w:val="18"/>
                <w:szCs w:val="18"/>
                <w:lang w:bidi="he-IL"/>
              </w:rPr>
              <w:t xml:space="preserve"> ownership to N</w:t>
            </w:r>
            <w:r>
              <w:rPr>
                <w:sz w:val="18"/>
                <w:szCs w:val="18"/>
                <w:lang w:bidi="he-IL"/>
              </w:rPr>
              <w:t>at</w:t>
            </w:r>
            <w:r w:rsidRPr="00395B92">
              <w:rPr>
                <w:sz w:val="18"/>
                <w:szCs w:val="18"/>
                <w:lang w:bidi="he-IL"/>
              </w:rPr>
              <w:t>W</w:t>
            </w:r>
            <w:r>
              <w:rPr>
                <w:sz w:val="18"/>
                <w:szCs w:val="18"/>
                <w:lang w:bidi="he-IL"/>
              </w:rPr>
              <w:t xml:space="preserve">est </w:t>
            </w:r>
            <w:r w:rsidRPr="00395B92">
              <w:rPr>
                <w:sz w:val="18"/>
                <w:szCs w:val="18"/>
                <w:lang w:bidi="he-IL"/>
              </w:rPr>
              <w:t>M</w:t>
            </w:r>
            <w:r>
              <w:rPr>
                <w:sz w:val="18"/>
                <w:szCs w:val="18"/>
                <w:lang w:bidi="he-IL"/>
              </w:rPr>
              <w:t>arkets</w:t>
            </w:r>
            <w:r w:rsidRPr="00395B92">
              <w:rPr>
                <w:sz w:val="18"/>
                <w:szCs w:val="18"/>
                <w:lang w:bidi="he-IL"/>
              </w:rPr>
              <w:t xml:space="preserve"> Plc.</w:t>
            </w:r>
            <w:r>
              <w:rPr>
                <w:sz w:val="18"/>
                <w:szCs w:val="18"/>
                <w:lang w:bidi="he-IL"/>
              </w:rPr>
              <w:t xml:space="preserve"> Excluding notable items, retail and </w:t>
            </w:r>
            <w:r w:rsidRPr="00091EE3">
              <w:rPr>
                <w:sz w:val="18"/>
                <w:szCs w:val="18"/>
                <w:lang w:bidi="he-IL"/>
              </w:rPr>
              <w:t>commercial income was £55 million lower</w:t>
            </w:r>
            <w:r>
              <w:rPr>
                <w:sz w:val="18"/>
                <w:szCs w:val="18"/>
                <w:lang w:bidi="he-IL"/>
              </w:rPr>
              <w:t xml:space="preserve"> whilst NatWest Markets core income increased by £12 million to £196 million.   </w:t>
            </w:r>
          </w:p>
        </w:tc>
      </w:tr>
      <w:tr w:rsidR="0064628A" w:rsidTr="00CC1D6A">
        <w:trPr>
          <w:trHeight w:val="136"/>
        </w:trPr>
        <w:tc>
          <w:tcPr>
            <w:tcW w:w="241" w:type="dxa"/>
          </w:tcPr>
          <w:p w:rsidR="0080268A" w:rsidRPr="0034305B" w:rsidRDefault="00FC1FDC" w:rsidP="005F64C9">
            <w:pPr>
              <w:pStyle w:val="Normal1"/>
              <w:spacing w:line="264" w:lineRule="auto"/>
              <w:ind w:right="98"/>
              <w:jc w:val="both"/>
              <w:rPr>
                <w:rFonts w:ascii="Arial" w:eastAsia="SimSun" w:hAnsi="Arial" w:cs="Arial"/>
                <w:color w:val="33CCCC"/>
                <w:sz w:val="18"/>
                <w:szCs w:val="18"/>
              </w:rPr>
            </w:pPr>
            <w:r w:rsidRPr="0034305B">
              <w:rPr>
                <w:rFonts w:ascii="Arial" w:eastAsia="SimSun" w:hAnsi="Arial" w:cs="Arial"/>
                <w:color w:val="003366"/>
                <w:sz w:val="18"/>
                <w:szCs w:val="18"/>
              </w:rPr>
              <w:t>●</w:t>
            </w:r>
          </w:p>
        </w:tc>
        <w:tc>
          <w:tcPr>
            <w:tcW w:w="9965" w:type="dxa"/>
          </w:tcPr>
          <w:p w:rsidR="0080268A" w:rsidRPr="0034305B" w:rsidRDefault="00FC1FDC" w:rsidP="00883FE3">
            <w:pPr>
              <w:pStyle w:val="Normal30"/>
              <w:spacing w:line="259" w:lineRule="auto"/>
              <w:ind w:right="98"/>
              <w:contextualSpacing/>
              <w:rPr>
                <w:sz w:val="18"/>
                <w:szCs w:val="18"/>
                <w:lang w:val="en-US" w:bidi="he-IL"/>
              </w:rPr>
            </w:pPr>
            <w:r>
              <w:rPr>
                <w:sz w:val="18"/>
                <w:szCs w:val="18"/>
                <w:lang w:val="en-US" w:bidi="he-IL"/>
              </w:rPr>
              <w:t>Bank NIM of 1.93</w:t>
            </w:r>
            <w:r w:rsidRPr="00E701BA">
              <w:rPr>
                <w:sz w:val="18"/>
                <w:szCs w:val="18"/>
                <w:lang w:val="en-US" w:bidi="he-IL"/>
              </w:rPr>
              <w:t>%</w:t>
            </w:r>
            <w:r>
              <w:rPr>
                <w:sz w:val="18"/>
                <w:szCs w:val="18"/>
                <w:lang w:val="en-US" w:bidi="he-IL"/>
              </w:rPr>
              <w:t xml:space="preserve"> was 4 basis points lower than Q3 2019 </w:t>
            </w:r>
            <w:r w:rsidRPr="00E701BA">
              <w:rPr>
                <w:sz w:val="18"/>
                <w:szCs w:val="18"/>
                <w:lang w:val="en-US" w:bidi="he-IL"/>
              </w:rPr>
              <w:t>primarily reflecting competitive pressures in the mortgage business as front book margins remain lower than back book.</w:t>
            </w:r>
          </w:p>
        </w:tc>
      </w:tr>
      <w:tr w:rsidR="0064628A" w:rsidTr="00CC1D6A">
        <w:trPr>
          <w:trHeight w:val="136"/>
        </w:trPr>
        <w:tc>
          <w:tcPr>
            <w:tcW w:w="241" w:type="dxa"/>
          </w:tcPr>
          <w:p w:rsidR="0080268A" w:rsidRPr="0034305B" w:rsidRDefault="00FC1FDC" w:rsidP="005F64C9">
            <w:pPr>
              <w:pStyle w:val="Normal1"/>
              <w:spacing w:line="264" w:lineRule="auto"/>
              <w:ind w:right="98"/>
              <w:jc w:val="both"/>
              <w:rPr>
                <w:rFonts w:ascii="Arial" w:eastAsia="SimSun" w:hAnsi="Arial" w:cs="Arial"/>
                <w:color w:val="33CCCC"/>
                <w:sz w:val="18"/>
                <w:szCs w:val="18"/>
              </w:rPr>
            </w:pPr>
            <w:r w:rsidRPr="0034305B">
              <w:rPr>
                <w:rFonts w:ascii="Arial" w:eastAsia="SimSun" w:hAnsi="Arial" w:cs="Arial"/>
                <w:color w:val="003366"/>
                <w:sz w:val="18"/>
                <w:szCs w:val="18"/>
              </w:rPr>
              <w:t>●</w:t>
            </w:r>
          </w:p>
        </w:tc>
        <w:tc>
          <w:tcPr>
            <w:tcW w:w="9965" w:type="dxa"/>
          </w:tcPr>
          <w:p w:rsidR="0080268A" w:rsidRPr="0034305B" w:rsidRDefault="00FC1FDC" w:rsidP="00915679">
            <w:pPr>
              <w:pStyle w:val="Normal30"/>
              <w:spacing w:line="259" w:lineRule="auto"/>
              <w:ind w:right="98"/>
              <w:contextualSpacing/>
              <w:rPr>
                <w:sz w:val="18"/>
                <w:szCs w:val="18"/>
                <w:lang w:val="en-US" w:bidi="he-IL"/>
              </w:rPr>
            </w:pPr>
            <w:r>
              <w:rPr>
                <w:sz w:val="18"/>
                <w:szCs w:val="18"/>
                <w:lang w:val="en-US" w:bidi="he-IL"/>
              </w:rPr>
              <w:t>Excluding strategic, litigation and conduct costs, operating expenses increased by £172 million primarily reflecting the annual UK bank levy charge. Headcount reduced by c.1,700, or 2.6%.</w:t>
            </w:r>
          </w:p>
        </w:tc>
      </w:tr>
      <w:tr w:rsidR="0064628A" w:rsidTr="00CC1D6A">
        <w:trPr>
          <w:trHeight w:val="136"/>
        </w:trPr>
        <w:tc>
          <w:tcPr>
            <w:tcW w:w="241" w:type="dxa"/>
          </w:tcPr>
          <w:p w:rsidR="0080268A" w:rsidRPr="0034305B" w:rsidRDefault="00FC1FDC" w:rsidP="005F64C9">
            <w:pPr>
              <w:pStyle w:val="Normal1"/>
              <w:spacing w:line="264" w:lineRule="auto"/>
              <w:ind w:right="98"/>
              <w:jc w:val="both"/>
              <w:rPr>
                <w:rFonts w:ascii="Arial" w:eastAsia="SimSun" w:hAnsi="Arial" w:cs="Arial"/>
                <w:color w:val="33CCCC"/>
                <w:sz w:val="18"/>
                <w:szCs w:val="18"/>
              </w:rPr>
            </w:pPr>
            <w:r w:rsidRPr="0034305B">
              <w:rPr>
                <w:rFonts w:ascii="Arial" w:eastAsia="SimSun" w:hAnsi="Arial" w:cs="Arial"/>
                <w:color w:val="003366"/>
                <w:sz w:val="18"/>
                <w:szCs w:val="18"/>
              </w:rPr>
              <w:t>●</w:t>
            </w:r>
          </w:p>
        </w:tc>
        <w:tc>
          <w:tcPr>
            <w:tcW w:w="9965" w:type="dxa"/>
          </w:tcPr>
          <w:p w:rsidR="0080268A" w:rsidRPr="0049242C" w:rsidRDefault="00FC1FDC" w:rsidP="00883FE3">
            <w:pPr>
              <w:spacing w:line="240" w:lineRule="auto"/>
              <w:rPr>
                <w:rFonts w:eastAsia="Arial" w:cs="Arial"/>
                <w:sz w:val="18"/>
                <w:szCs w:val="18"/>
                <w:lang w:val="en-US" w:eastAsia="en-GB" w:bidi="he-IL"/>
              </w:rPr>
            </w:pPr>
            <w:r w:rsidRPr="0049242C">
              <w:rPr>
                <w:rFonts w:eastAsia="Arial" w:cs="Arial"/>
                <w:sz w:val="18"/>
                <w:szCs w:val="18"/>
                <w:lang w:val="en-US" w:eastAsia="en-GB" w:bidi="he-IL"/>
              </w:rPr>
              <w:t>The Q4 2019 tax charge includes an £86 million charge relating to reducing the carrying value of the deferred tax asset in respect of losses in the UK and a £65 million credit associated with FX recycling gains.</w:t>
            </w:r>
          </w:p>
          <w:p w:rsidR="0080268A" w:rsidRPr="00091EE3" w:rsidRDefault="00FC1FDC" w:rsidP="00883FE3">
            <w:r>
              <w:rPr>
                <w:sz w:val="18"/>
                <w:szCs w:val="18"/>
                <w:lang w:val="en-US"/>
              </w:rPr>
              <w:t>.</w:t>
            </w:r>
          </w:p>
        </w:tc>
      </w:tr>
    </w:tbl>
    <w:p w:rsidR="00B56259" w:rsidRPr="0034305B" w:rsidRDefault="00FC1FDC" w:rsidP="00B56259">
      <w:pPr>
        <w:pStyle w:val="Normal1"/>
        <w:spacing w:line="264" w:lineRule="auto"/>
        <w:ind w:right="126"/>
        <w:jc w:val="both"/>
        <w:rPr>
          <w:rFonts w:ascii="Arial" w:hAnsi="Arial" w:cs="Arial"/>
          <w:color w:val="1F497D"/>
          <w:sz w:val="18"/>
          <w:szCs w:val="18"/>
          <w:lang w:eastAsia="en-GB"/>
        </w:rPr>
      </w:pPr>
      <w:r>
        <w:rPr>
          <w:rFonts w:ascii="Arial" w:hAnsi="Arial" w:cs="Arial"/>
          <w:color w:val="1F497D"/>
          <w:sz w:val="18"/>
          <w:szCs w:val="18"/>
          <w:lang w:eastAsia="en-GB"/>
        </w:rPr>
        <w:t>Q4 2019 compared with Q4 2018</w:t>
      </w:r>
    </w:p>
    <w:tbl>
      <w:tblPr>
        <w:tblW w:w="10206" w:type="dxa"/>
        <w:tblCellMar>
          <w:left w:w="0" w:type="dxa"/>
          <w:right w:w="0" w:type="dxa"/>
        </w:tblCellMar>
        <w:tblLook w:val="01E0" w:firstRow="1" w:lastRow="1" w:firstColumn="1" w:lastColumn="1" w:noHBand="0" w:noVBand="0"/>
      </w:tblPr>
      <w:tblGrid>
        <w:gridCol w:w="241"/>
        <w:gridCol w:w="9965"/>
      </w:tblGrid>
      <w:tr w:rsidR="0064628A" w:rsidTr="00CC1D6A">
        <w:trPr>
          <w:trHeight w:val="136"/>
        </w:trPr>
        <w:tc>
          <w:tcPr>
            <w:tcW w:w="241" w:type="dxa"/>
          </w:tcPr>
          <w:p w:rsidR="0080268A" w:rsidRPr="0034305B" w:rsidRDefault="00FC1FDC" w:rsidP="005F64C9">
            <w:pPr>
              <w:pStyle w:val="Normal1"/>
              <w:spacing w:line="264" w:lineRule="auto"/>
              <w:ind w:right="98"/>
              <w:jc w:val="both"/>
              <w:rPr>
                <w:rFonts w:ascii="Arial" w:eastAsia="SimSun" w:hAnsi="Arial" w:cs="Arial"/>
                <w:color w:val="33CCCC"/>
                <w:sz w:val="18"/>
                <w:szCs w:val="18"/>
              </w:rPr>
            </w:pPr>
            <w:r w:rsidRPr="0034305B">
              <w:rPr>
                <w:rFonts w:ascii="Arial" w:eastAsia="SimSun" w:hAnsi="Arial" w:cs="Arial"/>
                <w:color w:val="003366"/>
                <w:sz w:val="18"/>
                <w:szCs w:val="18"/>
              </w:rPr>
              <w:t>●</w:t>
            </w:r>
          </w:p>
        </w:tc>
        <w:tc>
          <w:tcPr>
            <w:tcW w:w="9965" w:type="dxa"/>
          </w:tcPr>
          <w:p w:rsidR="0080268A" w:rsidRPr="0034305B" w:rsidRDefault="00FC1FDC" w:rsidP="00883FE3">
            <w:pPr>
              <w:pStyle w:val="Normal30"/>
              <w:spacing w:line="259" w:lineRule="auto"/>
              <w:ind w:right="98"/>
              <w:contextualSpacing/>
              <w:rPr>
                <w:sz w:val="18"/>
                <w:szCs w:val="18"/>
                <w:lang w:val="en-US" w:bidi="he-IL"/>
              </w:rPr>
            </w:pPr>
            <w:r>
              <w:rPr>
                <w:sz w:val="18"/>
                <w:szCs w:val="18"/>
                <w:lang w:val="en-US" w:bidi="he-IL"/>
              </w:rPr>
              <w:t>Across the retail and commercial businesses, income decreased by £</w:t>
            </w:r>
            <w:r w:rsidRPr="00227437">
              <w:rPr>
                <w:sz w:val="18"/>
                <w:szCs w:val="18"/>
                <w:lang w:val="en-US" w:bidi="he-IL"/>
              </w:rPr>
              <w:t>11</w:t>
            </w:r>
            <w:r>
              <w:rPr>
                <w:sz w:val="18"/>
                <w:szCs w:val="18"/>
                <w:lang w:val="en-US" w:bidi="he-IL"/>
              </w:rPr>
              <w:t>4</w:t>
            </w:r>
            <w:r w:rsidRPr="00227437">
              <w:rPr>
                <w:sz w:val="18"/>
                <w:szCs w:val="18"/>
                <w:lang w:val="en-US" w:bidi="he-IL"/>
              </w:rPr>
              <w:t xml:space="preserve"> mill</w:t>
            </w:r>
            <w:r>
              <w:rPr>
                <w:sz w:val="18"/>
                <w:szCs w:val="18"/>
                <w:lang w:val="en-US" w:bidi="he-IL"/>
              </w:rPr>
              <w:t>ion, or 4</w:t>
            </w:r>
            <w:r w:rsidRPr="00227437">
              <w:rPr>
                <w:sz w:val="18"/>
                <w:szCs w:val="18"/>
                <w:lang w:val="en-US" w:bidi="he-IL"/>
              </w:rPr>
              <w:t>.</w:t>
            </w:r>
            <w:r>
              <w:rPr>
                <w:sz w:val="18"/>
                <w:szCs w:val="18"/>
                <w:lang w:val="en-US" w:bidi="he-IL"/>
              </w:rPr>
              <w:t>0</w:t>
            </w:r>
            <w:r w:rsidRPr="00227437">
              <w:rPr>
                <w:sz w:val="18"/>
                <w:szCs w:val="18"/>
                <w:lang w:val="en-US" w:bidi="he-IL"/>
              </w:rPr>
              <w:t>%,</w:t>
            </w:r>
            <w:r>
              <w:rPr>
                <w:sz w:val="18"/>
                <w:szCs w:val="18"/>
                <w:lang w:val="en-US" w:bidi="he-IL"/>
              </w:rPr>
              <w:t xml:space="preserve"> excluding notable items, principally reflecting margin pressure in a challenging market. NatWest Markets core income was 2.0% lower at £196 million.</w:t>
            </w:r>
          </w:p>
        </w:tc>
      </w:tr>
      <w:tr w:rsidR="0064628A" w:rsidTr="00DA1E11">
        <w:trPr>
          <w:trHeight w:hRule="exact" w:val="680"/>
        </w:trPr>
        <w:tc>
          <w:tcPr>
            <w:tcW w:w="241" w:type="dxa"/>
          </w:tcPr>
          <w:p w:rsidR="0080268A" w:rsidRPr="0034305B" w:rsidRDefault="00FC1FDC" w:rsidP="00A71AC0">
            <w:pPr>
              <w:pStyle w:val="Normal1"/>
              <w:spacing w:line="264" w:lineRule="auto"/>
              <w:ind w:right="98"/>
              <w:jc w:val="both"/>
              <w:rPr>
                <w:rFonts w:ascii="Arial" w:eastAsia="SimSun" w:hAnsi="Arial" w:cs="Arial"/>
                <w:color w:val="33CCCC"/>
                <w:sz w:val="18"/>
                <w:szCs w:val="18"/>
              </w:rPr>
            </w:pPr>
            <w:r w:rsidRPr="0034305B">
              <w:rPr>
                <w:rFonts w:ascii="Arial" w:eastAsia="SimSun" w:hAnsi="Arial" w:cs="Arial"/>
                <w:color w:val="003366"/>
                <w:sz w:val="18"/>
                <w:szCs w:val="18"/>
              </w:rPr>
              <w:t>●</w:t>
            </w:r>
          </w:p>
        </w:tc>
        <w:tc>
          <w:tcPr>
            <w:tcW w:w="9965" w:type="dxa"/>
          </w:tcPr>
          <w:p w:rsidR="0080268A" w:rsidRPr="0034305B" w:rsidRDefault="00FC1FDC" w:rsidP="00883FE3">
            <w:pPr>
              <w:pStyle w:val="Normal30"/>
              <w:spacing w:line="259" w:lineRule="auto"/>
              <w:ind w:right="98"/>
              <w:contextualSpacing/>
              <w:rPr>
                <w:sz w:val="18"/>
                <w:szCs w:val="18"/>
                <w:lang w:val="en-US" w:bidi="he-IL"/>
              </w:rPr>
            </w:pPr>
            <w:r>
              <w:rPr>
                <w:sz w:val="18"/>
                <w:szCs w:val="18"/>
                <w:lang w:val="en-US" w:bidi="he-IL"/>
              </w:rPr>
              <w:t>Excluding strategic, litigation and conduct costs, operating expenses reduced by £117 million, or 5.8%.</w:t>
            </w:r>
          </w:p>
        </w:tc>
      </w:tr>
    </w:tbl>
    <w:p w:rsidR="00E40FC7" w:rsidRPr="0034305B" w:rsidRDefault="00E40FC7">
      <w:pPr>
        <w:spacing w:after="200"/>
        <w:rPr>
          <w:sz w:val="18"/>
          <w:szCs w:val="18"/>
        </w:rPr>
      </w:pPr>
    </w:p>
    <w:p w:rsidR="00BA74BA" w:rsidRPr="0034305B" w:rsidRDefault="00FC1FDC">
      <w:pPr>
        <w:spacing w:after="200"/>
        <w:rPr>
          <w:sz w:val="18"/>
          <w:szCs w:val="18"/>
        </w:rPr>
      </w:pPr>
      <w:r w:rsidRPr="0034305B">
        <w:rPr>
          <w:sz w:val="18"/>
          <w:szCs w:val="18"/>
        </w:rPr>
        <w:br w:type="page"/>
      </w:r>
    </w:p>
    <w:p w:rsidR="00921D7D" w:rsidRPr="0034305B" w:rsidRDefault="00921D7D" w:rsidP="00921D7D">
      <w:pPr>
        <w:rPr>
          <w:sz w:val="18"/>
          <w:szCs w:val="18"/>
        </w:rPr>
        <w:sectPr w:rsidR="00921D7D" w:rsidRPr="0034305B" w:rsidSect="001B061F">
          <w:headerReference w:type="even" r:id="rId40"/>
          <w:headerReference w:type="default" r:id="rId41"/>
          <w:footerReference w:type="even" r:id="rId42"/>
          <w:footerReference w:type="default" r:id="rId43"/>
          <w:headerReference w:type="first" r:id="rId44"/>
          <w:footerReference w:type="first" r:id="rId45"/>
          <w:type w:val="continuous"/>
          <w:pgSz w:w="11906" w:h="16838"/>
          <w:pgMar w:top="1134" w:right="851" w:bottom="680" w:left="851" w:header="708" w:footer="708" w:gutter="0"/>
          <w:cols w:space="708"/>
          <w:docGrid w:linePitch="360"/>
        </w:sectPr>
      </w:pPr>
    </w:p>
    <w:p w:rsidR="004F5E62" w:rsidRDefault="00FC1FDC" w:rsidP="004F5E62">
      <w:pPr>
        <w:pStyle w:val="Heading100"/>
        <w:pBdr>
          <w:bottom w:val="none" w:sz="0" w:space="0" w:color="auto"/>
        </w:pBdr>
        <w:rPr>
          <w:rFonts w:cs="Arial"/>
          <w:b/>
          <w:color w:val="0A2F64"/>
          <w:sz w:val="18"/>
          <w:szCs w:val="18"/>
        </w:rPr>
      </w:pPr>
      <w:r w:rsidRPr="003C10D8">
        <w:rPr>
          <w:rFonts w:cs="Arial"/>
          <w:b/>
          <w:color w:val="0A2F64"/>
          <w:sz w:val="18"/>
          <w:szCs w:val="18"/>
        </w:rPr>
        <w:lastRenderedPageBreak/>
        <w:t>Business performance summary</w:t>
      </w:r>
    </w:p>
    <w:p w:rsidR="004F5E62" w:rsidRPr="00A16788" w:rsidRDefault="00FC1FDC" w:rsidP="004F5E62">
      <w:pPr>
        <w:pStyle w:val="Normal00"/>
        <w:rPr>
          <w:rFonts w:ascii="Arial" w:hAnsi="Arial" w:cs="Arial"/>
          <w:b/>
          <w:color w:val="003366"/>
          <w:sz w:val="18"/>
          <w:szCs w:val="18"/>
          <w:lang w:eastAsia="ja-JP"/>
        </w:rPr>
      </w:pPr>
      <w:r w:rsidRPr="00A16788">
        <w:rPr>
          <w:rFonts w:ascii="Arial" w:hAnsi="Arial" w:cs="Arial"/>
          <w:b/>
          <w:color w:val="003366"/>
          <w:sz w:val="18"/>
          <w:szCs w:val="18"/>
          <w:lang w:eastAsia="ja-JP"/>
        </w:rPr>
        <w:t>UK Personal Banking</w:t>
      </w:r>
    </w:p>
    <w:sdt>
      <w:sdtPr>
        <w:tag w:val="&lt;ReportPackage&gt;&lt;EmbeddedContent id=&quot;e72bd29a-0698-4991-8f6a-cbfb80eac381&quot; lastModified=&quot;1581639490587&quot;/&gt;&lt;/ReportPackage&gt;"/>
        <w:id w:val="648736943"/>
        <w:lock w:val="contentLocked"/>
        <w:placeholder>
          <w:docPart w:val="41939CE744E5448CBD8042D3B3809977"/>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4475"/>
            <w:gridCol w:w="1109"/>
            <w:gridCol w:w="1109"/>
            <w:gridCol w:w="60"/>
            <w:gridCol w:w="1109"/>
            <w:gridCol w:w="1109"/>
            <w:gridCol w:w="1109"/>
          </w:tblGrid>
          <w:tr w:rsidR="0064628A">
            <w:trPr>
              <w:trHeight w:val="210"/>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2220" w:type="dxa"/>
                <w:gridSpan w:val="2"/>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Year ended and as at</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3330" w:type="dxa"/>
                <w:gridSpan w:val="3"/>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Quarter ended and as at</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30 September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income</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4,866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5,054</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1,195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1,224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1,246</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expenses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(3,618)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(2,867)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(788)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(1,601)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(757)</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losses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(393)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(339)</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(142)</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profit/(loss)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855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1,848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(508)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347</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Return on equity</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17.2%</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margin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2.47%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2.60%</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Cost:income ratio</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74.4%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56.7%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65.9%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130.8%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60.8%</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Loan impairment rate</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25bps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23bps</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20bps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34bps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38bps</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£bn</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£bn</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£bn</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loans to customers (amortised cost)</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158.9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154.6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148.9</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Customer deposits</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150.3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147.9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145.3</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RWAs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37.8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37.5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34.3</w:t>
                </w:r>
              </w:p>
            </w:tc>
          </w:tr>
        </w:tbl>
      </w:sdtContent>
    </w:sdt>
    <w:tbl>
      <w:tblPr>
        <w:tblW w:w="10206" w:type="dxa"/>
        <w:tblLook w:val="01E0" w:firstRow="1" w:lastRow="1" w:firstColumn="1" w:lastColumn="1" w:noHBand="0" w:noVBand="0"/>
      </w:tblPr>
      <w:tblGrid>
        <w:gridCol w:w="326"/>
        <w:gridCol w:w="9880"/>
      </w:tblGrid>
      <w:tr w:rsidR="0064628A" w:rsidTr="005F64C9">
        <w:trPr>
          <w:trHeight w:val="180"/>
        </w:trPr>
        <w:tc>
          <w:tcPr>
            <w:tcW w:w="10206" w:type="dxa"/>
            <w:gridSpan w:val="2"/>
          </w:tcPr>
          <w:p w:rsidR="0084657D" w:rsidRDefault="0084657D" w:rsidP="005F64C9">
            <w:pPr>
              <w:pStyle w:val="Normal00"/>
              <w:spacing w:line="264" w:lineRule="auto"/>
              <w:jc w:val="both"/>
              <w:rPr>
                <w:rFonts w:ascii="Arial" w:hAnsi="Arial" w:cs="Arial"/>
                <w:color w:val="003366"/>
                <w:sz w:val="18"/>
                <w:szCs w:val="18"/>
                <w:lang w:eastAsia="ja-JP"/>
              </w:rPr>
            </w:pPr>
          </w:p>
        </w:tc>
      </w:tr>
      <w:tr w:rsidR="0064628A" w:rsidTr="005F64C9">
        <w:trPr>
          <w:trHeight w:val="180"/>
        </w:trPr>
        <w:tc>
          <w:tcPr>
            <w:tcW w:w="10206" w:type="dxa"/>
            <w:gridSpan w:val="2"/>
          </w:tcPr>
          <w:p w:rsidR="0084657D" w:rsidRPr="0084657D" w:rsidRDefault="00FC1FDC" w:rsidP="00B80BFC">
            <w:pPr>
              <w:pStyle w:val="Normal00"/>
              <w:spacing w:line="264" w:lineRule="auto"/>
              <w:rPr>
                <w:rFonts w:ascii="Arial" w:hAnsi="Arial" w:cs="Arial"/>
                <w:sz w:val="18"/>
                <w:szCs w:val="18"/>
                <w:lang w:val="en-US" w:eastAsia="ja-JP" w:bidi="he-IL"/>
              </w:rPr>
            </w:pPr>
            <w:r w:rsidRPr="00AD6B52">
              <w:rPr>
                <w:rFonts w:ascii="Arial" w:hAnsi="Arial" w:cs="Arial"/>
                <w:sz w:val="18"/>
                <w:szCs w:val="18"/>
                <w:lang w:val="en-US" w:eastAsia="ja-JP" w:bidi="he-IL"/>
              </w:rPr>
              <w:t>Almost three quarters of our current account customers are now digitally active, with growing engagement and continued improvements to their digital experience making it easier for our customers everyday. Total digital</w:t>
            </w:r>
            <w:r>
              <w:rPr>
                <w:rFonts w:ascii="Arial" w:hAnsi="Arial" w:cs="Arial"/>
                <w:sz w:val="18"/>
                <w:szCs w:val="18"/>
                <w:lang w:val="en-US" w:eastAsia="ja-JP" w:bidi="he-IL"/>
              </w:rPr>
              <w:t xml:space="preserve"> sales volumes increased by 30</w:t>
            </w:r>
            <w:r w:rsidRPr="00AD6B52">
              <w:rPr>
                <w:rFonts w:ascii="Arial" w:hAnsi="Arial" w:cs="Arial"/>
                <w:sz w:val="18"/>
                <w:szCs w:val="18"/>
                <w:lang w:val="en-US" w:eastAsia="ja-JP" w:bidi="he-IL"/>
              </w:rPr>
              <w:t>% comp</w:t>
            </w:r>
            <w:r>
              <w:rPr>
                <w:rFonts w:ascii="Arial" w:hAnsi="Arial" w:cs="Arial"/>
                <w:sz w:val="18"/>
                <w:szCs w:val="18"/>
                <w:lang w:val="en-US" w:eastAsia="ja-JP" w:bidi="he-IL"/>
              </w:rPr>
              <w:t>ared with 2018, representing 53% of all sales. 63</w:t>
            </w:r>
            <w:r w:rsidRPr="00AD6B52">
              <w:rPr>
                <w:rFonts w:ascii="Arial" w:hAnsi="Arial" w:cs="Arial"/>
                <w:sz w:val="18"/>
                <w:szCs w:val="18"/>
                <w:lang w:val="en-US" w:eastAsia="ja-JP" w:bidi="he-IL"/>
              </w:rPr>
              <w:t xml:space="preserve">% of </w:t>
            </w:r>
            <w:r>
              <w:rPr>
                <w:rFonts w:ascii="Arial" w:hAnsi="Arial" w:cs="Arial"/>
                <w:sz w:val="18"/>
                <w:szCs w:val="18"/>
                <w:lang w:val="en-US" w:eastAsia="ja-JP" w:bidi="he-IL"/>
              </w:rPr>
              <w:t>personal unsecured loan sales, 66% of credit card accounts and 56</w:t>
            </w:r>
            <w:r w:rsidRPr="00AD6B52">
              <w:rPr>
                <w:rFonts w:ascii="Arial" w:hAnsi="Arial" w:cs="Arial"/>
                <w:sz w:val="18"/>
                <w:szCs w:val="18"/>
                <w:lang w:val="en-US" w:eastAsia="ja-JP" w:bidi="he-IL"/>
              </w:rPr>
              <w:t>% of current accounts opened were via the digital channel.</w:t>
            </w:r>
          </w:p>
        </w:tc>
      </w:tr>
      <w:tr w:rsidR="0064628A" w:rsidTr="005F64C9">
        <w:trPr>
          <w:trHeight w:val="180"/>
        </w:trPr>
        <w:tc>
          <w:tcPr>
            <w:tcW w:w="10206" w:type="dxa"/>
            <w:gridSpan w:val="2"/>
          </w:tcPr>
          <w:p w:rsidR="004F5E62" w:rsidRDefault="004F5E62" w:rsidP="005F64C9">
            <w:pPr>
              <w:pStyle w:val="Normal00"/>
              <w:spacing w:line="264" w:lineRule="auto"/>
              <w:jc w:val="both"/>
              <w:rPr>
                <w:rFonts w:ascii="Arial" w:hAnsi="Arial" w:cs="Arial"/>
                <w:color w:val="003366"/>
                <w:sz w:val="18"/>
                <w:szCs w:val="18"/>
                <w:lang w:eastAsia="ja-JP"/>
              </w:rPr>
            </w:pPr>
          </w:p>
          <w:p w:rsidR="004F5E62" w:rsidRPr="005C471B" w:rsidRDefault="00FC1FDC" w:rsidP="005F64C9">
            <w:pPr>
              <w:pStyle w:val="Normal00"/>
              <w:spacing w:line="264" w:lineRule="auto"/>
              <w:jc w:val="both"/>
              <w:rPr>
                <w:rFonts w:ascii="Arial" w:hAnsi="Arial" w:cs="Arial"/>
                <w:color w:val="003366"/>
                <w:sz w:val="18"/>
                <w:szCs w:val="18"/>
                <w:lang w:eastAsia="ja-JP"/>
              </w:rPr>
            </w:pPr>
            <w:r>
              <w:rPr>
                <w:rFonts w:ascii="Arial" w:hAnsi="Arial" w:cs="Arial"/>
                <w:color w:val="003366"/>
                <w:sz w:val="18"/>
                <w:szCs w:val="18"/>
                <w:lang w:eastAsia="ja-JP"/>
              </w:rPr>
              <w:t>2019 compared with 2018</w:t>
            </w:r>
          </w:p>
        </w:tc>
      </w:tr>
      <w:tr w:rsidR="0064628A" w:rsidTr="0084657D">
        <w:trPr>
          <w:trHeight w:val="683"/>
        </w:trPr>
        <w:tc>
          <w:tcPr>
            <w:tcW w:w="326" w:type="dxa"/>
          </w:tcPr>
          <w:p w:rsidR="00F07BE6" w:rsidRPr="00083324" w:rsidRDefault="00FC1FDC" w:rsidP="005F64C9">
            <w:pPr>
              <w:pStyle w:val="Normal00"/>
              <w:spacing w:line="264" w:lineRule="auto"/>
              <w:jc w:val="both"/>
              <w:rPr>
                <w:rFonts w:ascii="Arial" w:hAnsi="Arial" w:cs="Arial"/>
              </w:rPr>
            </w:pPr>
            <w:r w:rsidRPr="00083324">
              <w:rPr>
                <w:rFonts w:eastAsia="SimSun"/>
                <w:color w:val="003366"/>
                <w:sz w:val="18"/>
                <w:szCs w:val="18"/>
                <w:lang w:eastAsia="ja-JP"/>
              </w:rPr>
              <w:t>●</w:t>
            </w:r>
          </w:p>
        </w:tc>
        <w:tc>
          <w:tcPr>
            <w:tcW w:w="9880" w:type="dxa"/>
          </w:tcPr>
          <w:p w:rsidR="00F07BE6" w:rsidRPr="00087389" w:rsidRDefault="00FC1FDC" w:rsidP="00F07BE6">
            <w:pPr>
              <w:pStyle w:val="Normal30"/>
              <w:spacing w:line="259" w:lineRule="auto"/>
              <w:rPr>
                <w:rFonts w:eastAsia="Times New Roman"/>
                <w:sz w:val="18"/>
                <w:szCs w:val="18"/>
                <w:lang w:val="en-US" w:eastAsia="ja-JP" w:bidi="he-IL"/>
              </w:rPr>
            </w:pPr>
            <w:r w:rsidRPr="00F550DD">
              <w:rPr>
                <w:rFonts w:eastAsia="Times New Roman"/>
                <w:sz w:val="18"/>
                <w:szCs w:val="18"/>
                <w:lang w:val="en-US" w:eastAsia="ja-JP" w:bidi="he-IL"/>
              </w:rPr>
              <w:t>Total income was £188 million, or</w:t>
            </w:r>
            <w:r>
              <w:rPr>
                <w:rFonts w:eastAsia="Times New Roman"/>
                <w:sz w:val="18"/>
                <w:szCs w:val="18"/>
                <w:lang w:val="en-US" w:eastAsia="ja-JP" w:bidi="he-IL"/>
              </w:rPr>
              <w:t xml:space="preserve"> </w:t>
            </w:r>
            <w:r w:rsidRPr="00F550DD">
              <w:rPr>
                <w:rFonts w:eastAsia="Times New Roman"/>
                <w:sz w:val="18"/>
                <w:szCs w:val="18"/>
                <w:lang w:val="en-US" w:eastAsia="ja-JP" w:bidi="he-IL"/>
              </w:rPr>
              <w:t>3.7%, lower than 2018, impacted by lower overall mortgage margins, an IFRS 9 accounting change for interest in suspense recoveries of £29 million and a £12 million decrease in debt sale gains, partially offset by strong lending growth</w:t>
            </w:r>
            <w:r>
              <w:rPr>
                <w:rFonts w:eastAsia="Times New Roman"/>
                <w:sz w:val="18"/>
                <w:szCs w:val="18"/>
                <w:lang w:val="en-US" w:eastAsia="ja-JP" w:bidi="he-IL"/>
              </w:rPr>
              <w:t>.</w:t>
            </w:r>
          </w:p>
        </w:tc>
      </w:tr>
      <w:tr w:rsidR="0064628A" w:rsidTr="005F64C9">
        <w:tc>
          <w:tcPr>
            <w:tcW w:w="326" w:type="dxa"/>
          </w:tcPr>
          <w:p w:rsidR="00F07BE6" w:rsidRPr="00083324" w:rsidRDefault="00FC1FDC" w:rsidP="005F64C9">
            <w:pPr>
              <w:pStyle w:val="Normal00"/>
              <w:spacing w:line="264" w:lineRule="auto"/>
              <w:jc w:val="both"/>
              <w:rPr>
                <w:rFonts w:ascii="Arial" w:hAnsi="Arial" w:cs="Arial"/>
              </w:rPr>
            </w:pPr>
            <w:r w:rsidRPr="00083324">
              <w:rPr>
                <w:rFonts w:eastAsia="SimSun"/>
                <w:color w:val="003366"/>
                <w:sz w:val="18"/>
                <w:szCs w:val="18"/>
                <w:lang w:eastAsia="ja-JP"/>
              </w:rPr>
              <w:t>●</w:t>
            </w:r>
          </w:p>
        </w:tc>
        <w:tc>
          <w:tcPr>
            <w:tcW w:w="9880" w:type="dxa"/>
          </w:tcPr>
          <w:p w:rsidR="00F07BE6" w:rsidRPr="00087389" w:rsidRDefault="00FC1FDC" w:rsidP="00F07BE6">
            <w:pPr>
              <w:pStyle w:val="Normal30"/>
              <w:spacing w:line="259" w:lineRule="auto"/>
              <w:rPr>
                <w:rFonts w:eastAsia="Times New Roman"/>
                <w:sz w:val="18"/>
                <w:szCs w:val="18"/>
                <w:lang w:val="en-US" w:eastAsia="ja-JP" w:bidi="he-IL"/>
              </w:rPr>
            </w:pPr>
            <w:r w:rsidRPr="00087389">
              <w:rPr>
                <w:rFonts w:eastAsia="Times New Roman"/>
                <w:sz w:val="18"/>
                <w:szCs w:val="18"/>
                <w:lang w:val="en-US" w:eastAsia="ja-JP" w:bidi="he-IL"/>
              </w:rPr>
              <w:t>Net interest margin decreased by 2</w:t>
            </w:r>
            <w:r>
              <w:rPr>
                <w:rFonts w:eastAsia="Times New Roman"/>
                <w:sz w:val="18"/>
                <w:szCs w:val="18"/>
                <w:lang w:val="en-US" w:eastAsia="ja-JP" w:bidi="he-IL"/>
              </w:rPr>
              <w:t>0</w:t>
            </w:r>
            <w:r w:rsidRPr="00087389">
              <w:rPr>
                <w:rFonts w:eastAsia="Times New Roman"/>
                <w:sz w:val="18"/>
                <w:szCs w:val="18"/>
                <w:lang w:val="en-US" w:eastAsia="ja-JP" w:bidi="he-IL"/>
              </w:rPr>
              <w:t xml:space="preserve"> basis points reflecting mortgage margin pressure, as front book margins rem</w:t>
            </w:r>
            <w:r>
              <w:rPr>
                <w:rFonts w:eastAsia="Times New Roman"/>
                <w:sz w:val="18"/>
                <w:szCs w:val="18"/>
                <w:lang w:val="en-US" w:eastAsia="ja-JP" w:bidi="he-IL"/>
              </w:rPr>
              <w:t xml:space="preserve">ain lower than back book margin </w:t>
            </w:r>
            <w:r w:rsidRPr="008A0B96">
              <w:rPr>
                <w:rFonts w:eastAsia="Times New Roman"/>
                <w:sz w:val="18"/>
                <w:szCs w:val="18"/>
                <w:lang w:val="en-US" w:eastAsia="ja-JP" w:bidi="he-IL"/>
              </w:rPr>
              <w:t>and the book re-prices to the current</w:t>
            </w:r>
            <w:r>
              <w:rPr>
                <w:rFonts w:eastAsia="Times New Roman"/>
                <w:sz w:val="18"/>
                <w:szCs w:val="18"/>
                <w:lang w:val="en-US" w:eastAsia="ja-JP" w:bidi="he-IL"/>
              </w:rPr>
              <w:t xml:space="preserve"> rate.</w:t>
            </w:r>
          </w:p>
        </w:tc>
      </w:tr>
      <w:tr w:rsidR="0064628A" w:rsidTr="005F64C9">
        <w:tc>
          <w:tcPr>
            <w:tcW w:w="326" w:type="dxa"/>
          </w:tcPr>
          <w:p w:rsidR="00F07BE6" w:rsidRPr="00083324" w:rsidRDefault="00FC1FDC" w:rsidP="005F64C9">
            <w:pPr>
              <w:pStyle w:val="Normal00"/>
              <w:spacing w:line="264" w:lineRule="auto"/>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880" w:type="dxa"/>
          </w:tcPr>
          <w:p w:rsidR="00F07BE6" w:rsidRPr="00087389" w:rsidRDefault="00FC1FDC" w:rsidP="00F07BE6">
            <w:pPr>
              <w:pStyle w:val="Normal30"/>
              <w:spacing w:line="259" w:lineRule="auto"/>
              <w:rPr>
                <w:rFonts w:eastAsia="Times New Roman"/>
                <w:sz w:val="18"/>
                <w:szCs w:val="18"/>
                <w:lang w:val="en-US" w:eastAsia="ja-JP" w:bidi="he-IL"/>
              </w:rPr>
            </w:pPr>
            <w:r w:rsidRPr="00087389">
              <w:rPr>
                <w:rFonts w:eastAsia="Times New Roman"/>
                <w:sz w:val="18"/>
                <w:szCs w:val="18"/>
                <w:lang w:val="en-US" w:eastAsia="ja-JP" w:bidi="he-IL"/>
              </w:rPr>
              <w:t>Excluding strategic, litigation and conduct costs, operating expenses decreased by £</w:t>
            </w:r>
            <w:r>
              <w:rPr>
                <w:rFonts w:eastAsia="Times New Roman"/>
                <w:sz w:val="18"/>
                <w:szCs w:val="18"/>
                <w:lang w:val="en-US" w:eastAsia="ja-JP" w:bidi="he-IL"/>
              </w:rPr>
              <w:t>25</w:t>
            </w:r>
            <w:r w:rsidRPr="00087389">
              <w:rPr>
                <w:rFonts w:eastAsia="Times New Roman"/>
                <w:sz w:val="18"/>
                <w:szCs w:val="18"/>
                <w:lang w:val="en-US" w:eastAsia="ja-JP" w:bidi="he-IL"/>
              </w:rPr>
              <w:t xml:space="preserve"> million, or </w:t>
            </w:r>
            <w:r>
              <w:rPr>
                <w:rFonts w:eastAsia="Times New Roman"/>
                <w:sz w:val="18"/>
                <w:szCs w:val="18"/>
                <w:lang w:val="en-US" w:eastAsia="ja-JP" w:bidi="he-IL"/>
              </w:rPr>
              <w:t>1.0</w:t>
            </w:r>
            <w:r w:rsidRPr="00087389">
              <w:rPr>
                <w:rFonts w:eastAsia="Times New Roman"/>
                <w:sz w:val="18"/>
                <w:szCs w:val="18"/>
                <w:lang w:val="en-US" w:eastAsia="ja-JP" w:bidi="he-IL"/>
              </w:rPr>
              <w:t>%,</w:t>
            </w:r>
            <w:r w:rsidR="00BD3107">
              <w:rPr>
                <w:rFonts w:eastAsia="Times New Roman"/>
                <w:sz w:val="18"/>
                <w:szCs w:val="18"/>
                <w:lang w:val="en-US" w:eastAsia="ja-JP" w:bidi="he-IL"/>
              </w:rPr>
              <w:t xml:space="preserve"> </w:t>
            </w:r>
            <w:r w:rsidRPr="00087389">
              <w:rPr>
                <w:rFonts w:eastAsia="Times New Roman"/>
                <w:sz w:val="18"/>
                <w:szCs w:val="18"/>
                <w:lang w:val="en-US" w:eastAsia="ja-JP" w:bidi="he-IL"/>
              </w:rPr>
              <w:t>reflecting a 6.</w:t>
            </w:r>
            <w:r>
              <w:rPr>
                <w:rFonts w:eastAsia="Times New Roman"/>
                <w:sz w:val="18"/>
                <w:szCs w:val="18"/>
                <w:lang w:val="en-US" w:eastAsia="ja-JP" w:bidi="he-IL"/>
              </w:rPr>
              <w:t>5</w:t>
            </w:r>
            <w:r w:rsidRPr="00087389">
              <w:rPr>
                <w:rFonts w:eastAsia="Times New Roman"/>
                <w:sz w:val="18"/>
                <w:szCs w:val="18"/>
                <w:lang w:val="en-US" w:eastAsia="ja-JP" w:bidi="he-IL"/>
              </w:rPr>
              <w:t xml:space="preserve">% reduction in headcount </w:t>
            </w:r>
            <w:r>
              <w:rPr>
                <w:rFonts w:eastAsia="Times New Roman"/>
                <w:sz w:val="18"/>
                <w:szCs w:val="18"/>
                <w:lang w:val="en-US" w:eastAsia="ja-JP" w:bidi="he-IL"/>
              </w:rPr>
              <w:t xml:space="preserve">from digital process simplification and back office rationalisation and lower property costs, </w:t>
            </w:r>
            <w:r w:rsidRPr="00087389">
              <w:rPr>
                <w:rFonts w:eastAsia="Times New Roman"/>
                <w:sz w:val="18"/>
                <w:szCs w:val="18"/>
                <w:lang w:val="en-US" w:eastAsia="ja-JP" w:bidi="he-IL"/>
              </w:rPr>
              <w:t>partially offset by increased fraud costs due to a revised customer refund approach for authorised push payment scams</w:t>
            </w:r>
            <w:r>
              <w:rPr>
                <w:rFonts w:eastAsia="Times New Roman"/>
                <w:sz w:val="18"/>
                <w:szCs w:val="18"/>
                <w:lang w:val="en-US" w:eastAsia="ja-JP" w:bidi="he-IL"/>
              </w:rPr>
              <w:t xml:space="preserve">, </w:t>
            </w:r>
            <w:r w:rsidRPr="007342BF">
              <w:rPr>
                <w:rFonts w:eastAsia="Times New Roman"/>
                <w:sz w:val="18"/>
                <w:szCs w:val="18"/>
                <w:lang w:val="en-US" w:eastAsia="ja-JP" w:bidi="he-IL"/>
              </w:rPr>
              <w:t>annual pay award</w:t>
            </w:r>
            <w:r>
              <w:rPr>
                <w:rFonts w:eastAsia="Times New Roman"/>
                <w:sz w:val="18"/>
                <w:szCs w:val="18"/>
                <w:lang w:val="en-US" w:eastAsia="ja-JP" w:bidi="he-IL"/>
              </w:rPr>
              <w:t>, and increased investment and technology costs</w:t>
            </w:r>
            <w:r w:rsidRPr="007342BF">
              <w:rPr>
                <w:rFonts w:eastAsia="Times New Roman"/>
                <w:sz w:val="18"/>
                <w:szCs w:val="18"/>
                <w:lang w:val="en-US" w:eastAsia="ja-JP" w:bidi="he-IL"/>
              </w:rPr>
              <w:t xml:space="preserve">. </w:t>
            </w:r>
          </w:p>
        </w:tc>
      </w:tr>
      <w:tr w:rsidR="0064628A" w:rsidTr="005F64C9">
        <w:tc>
          <w:tcPr>
            <w:tcW w:w="326" w:type="dxa"/>
          </w:tcPr>
          <w:p w:rsidR="00F07BE6" w:rsidRPr="00083324" w:rsidRDefault="00FC1FDC" w:rsidP="005F64C9">
            <w:pPr>
              <w:pStyle w:val="Normal00"/>
              <w:spacing w:line="264" w:lineRule="auto"/>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880" w:type="dxa"/>
          </w:tcPr>
          <w:p w:rsidR="00F07BE6" w:rsidRPr="00087389" w:rsidRDefault="00FC1FDC" w:rsidP="00F07BE6">
            <w:pPr>
              <w:pStyle w:val="Normal30"/>
              <w:spacing w:line="259" w:lineRule="auto"/>
              <w:rPr>
                <w:rFonts w:eastAsia="Times New Roman"/>
                <w:sz w:val="18"/>
                <w:szCs w:val="18"/>
                <w:lang w:val="en-US" w:eastAsia="ja-JP" w:bidi="he-IL"/>
              </w:rPr>
            </w:pPr>
            <w:r w:rsidRPr="00087389">
              <w:rPr>
                <w:rFonts w:eastAsia="Times New Roman"/>
                <w:sz w:val="18"/>
                <w:szCs w:val="18"/>
                <w:lang w:val="en-US" w:eastAsia="ja-JP" w:bidi="he-IL"/>
              </w:rPr>
              <w:t>Litigation and conduct costs include a £900 million charge in respect of PPI claims following greater than predicted complaints volumes in the lead up to the 29 August 2019 deadline.</w:t>
            </w:r>
          </w:p>
        </w:tc>
      </w:tr>
      <w:tr w:rsidR="0064628A" w:rsidTr="005F64C9">
        <w:tc>
          <w:tcPr>
            <w:tcW w:w="326" w:type="dxa"/>
          </w:tcPr>
          <w:p w:rsidR="00F07BE6" w:rsidRPr="00083324" w:rsidRDefault="00FC1FDC" w:rsidP="005F64C9">
            <w:pPr>
              <w:pStyle w:val="Normal00"/>
              <w:spacing w:line="264" w:lineRule="auto"/>
              <w:jc w:val="both"/>
              <w:rPr>
                <w:rFonts w:eastAsia="SimSun"/>
                <w:color w:val="003366"/>
                <w:sz w:val="18"/>
                <w:szCs w:val="18"/>
                <w:lang w:eastAsia="ja-JP"/>
              </w:rPr>
            </w:pPr>
            <w:r w:rsidRPr="00083324">
              <w:rPr>
                <w:rFonts w:eastAsia="SimSun"/>
                <w:color w:val="003366"/>
                <w:sz w:val="18"/>
                <w:szCs w:val="18"/>
                <w:lang w:eastAsia="ja-JP"/>
              </w:rPr>
              <w:t>●</w:t>
            </w:r>
          </w:p>
        </w:tc>
        <w:tc>
          <w:tcPr>
            <w:tcW w:w="9880" w:type="dxa"/>
          </w:tcPr>
          <w:p w:rsidR="00F07BE6" w:rsidRPr="00087389" w:rsidRDefault="00FC1FDC" w:rsidP="00F07BE6">
            <w:pPr>
              <w:pStyle w:val="Normal30"/>
              <w:spacing w:line="259" w:lineRule="auto"/>
              <w:rPr>
                <w:rFonts w:eastAsia="Times New Roman"/>
                <w:sz w:val="18"/>
                <w:szCs w:val="18"/>
                <w:lang w:val="en-US" w:eastAsia="ja-JP" w:bidi="he-IL"/>
              </w:rPr>
            </w:pPr>
            <w:r w:rsidRPr="00087389">
              <w:rPr>
                <w:rFonts w:eastAsia="Times New Roman"/>
                <w:sz w:val="18"/>
                <w:szCs w:val="18"/>
                <w:lang w:val="en-US" w:eastAsia="ja-JP" w:bidi="he-IL"/>
              </w:rPr>
              <w:t>Impairment losses were £</w:t>
            </w:r>
            <w:r>
              <w:rPr>
                <w:rFonts w:eastAsia="Times New Roman"/>
                <w:sz w:val="18"/>
                <w:szCs w:val="18"/>
                <w:lang w:val="en-US" w:eastAsia="ja-JP" w:bidi="he-IL"/>
              </w:rPr>
              <w:t>54</w:t>
            </w:r>
            <w:r w:rsidRPr="00087389">
              <w:rPr>
                <w:rFonts w:eastAsia="Times New Roman"/>
                <w:sz w:val="18"/>
                <w:szCs w:val="18"/>
                <w:lang w:val="en-US" w:eastAsia="ja-JP" w:bidi="he-IL"/>
              </w:rPr>
              <w:t xml:space="preserve"> million higher than 2018 reflecting lending growth</w:t>
            </w:r>
            <w:r>
              <w:rPr>
                <w:rFonts w:eastAsia="Times New Roman"/>
                <w:sz w:val="18"/>
                <w:szCs w:val="18"/>
                <w:lang w:val="en-US" w:eastAsia="ja-JP" w:bidi="he-IL"/>
              </w:rPr>
              <w:t xml:space="preserve"> and</w:t>
            </w:r>
            <w:r w:rsidRPr="00087389">
              <w:rPr>
                <w:rFonts w:eastAsia="Times New Roman"/>
                <w:sz w:val="18"/>
                <w:szCs w:val="18"/>
                <w:lang w:val="en-US" w:eastAsia="ja-JP" w:bidi="he-IL"/>
              </w:rPr>
              <w:t xml:space="preserve"> lower debt sale recoveries, partially offset by interest in </w:t>
            </w:r>
            <w:r>
              <w:rPr>
                <w:rFonts w:eastAsia="Times New Roman"/>
                <w:sz w:val="18"/>
                <w:szCs w:val="18"/>
                <w:lang w:val="en-US" w:eastAsia="ja-JP" w:bidi="he-IL"/>
              </w:rPr>
              <w:t>suspense recoveries following an IFRS 9 accounting change and a £25 million</w:t>
            </w:r>
            <w:r w:rsidRPr="00087389">
              <w:rPr>
                <w:rFonts w:eastAsia="Times New Roman"/>
                <w:sz w:val="18"/>
                <w:szCs w:val="18"/>
                <w:lang w:val="en-US" w:eastAsia="ja-JP" w:bidi="he-IL"/>
              </w:rPr>
              <w:t xml:space="preserve"> lower charge for economic uncertainty</w:t>
            </w:r>
            <w:r>
              <w:rPr>
                <w:rFonts w:eastAsia="Times New Roman"/>
                <w:sz w:val="18"/>
                <w:szCs w:val="18"/>
                <w:lang w:val="en-US" w:eastAsia="ja-JP" w:bidi="he-IL"/>
              </w:rPr>
              <w:t xml:space="preserve"> than in 2018</w:t>
            </w:r>
            <w:r w:rsidRPr="00087389">
              <w:rPr>
                <w:rFonts w:eastAsia="Times New Roman"/>
                <w:sz w:val="18"/>
                <w:szCs w:val="18"/>
                <w:lang w:val="en-US" w:eastAsia="ja-JP" w:bidi="he-IL"/>
              </w:rPr>
              <w:t>.</w:t>
            </w:r>
            <w:r>
              <w:rPr>
                <w:rFonts w:eastAsia="Times New Roman"/>
                <w:sz w:val="18"/>
                <w:szCs w:val="18"/>
                <w:lang w:val="en-US" w:eastAsia="ja-JP" w:bidi="he-IL"/>
              </w:rPr>
              <w:t xml:space="preserve"> </w:t>
            </w:r>
            <w:r w:rsidRPr="00A26103">
              <w:rPr>
                <w:rFonts w:eastAsia="Times New Roman"/>
                <w:sz w:val="18"/>
                <w:szCs w:val="18"/>
                <w:lang w:val="en-US" w:eastAsia="ja-JP" w:bidi="he-IL"/>
              </w:rPr>
              <w:t xml:space="preserve">Default rates increased slightly since 2018, </w:t>
            </w:r>
            <w:r>
              <w:rPr>
                <w:rFonts w:eastAsia="Times New Roman"/>
                <w:sz w:val="18"/>
                <w:szCs w:val="18"/>
                <w:lang w:val="en-US" w:eastAsia="ja-JP" w:bidi="he-IL"/>
              </w:rPr>
              <w:t>but</w:t>
            </w:r>
            <w:r w:rsidRPr="00A26103">
              <w:rPr>
                <w:rFonts w:eastAsia="Times New Roman"/>
                <w:sz w:val="18"/>
                <w:szCs w:val="18"/>
                <w:lang w:val="en-US" w:eastAsia="ja-JP" w:bidi="he-IL"/>
              </w:rPr>
              <w:t xml:space="preserve">, </w:t>
            </w:r>
            <w:r>
              <w:rPr>
                <w:rFonts w:eastAsia="Times New Roman"/>
                <w:sz w:val="18"/>
                <w:szCs w:val="18"/>
                <w:lang w:val="en-US" w:eastAsia="ja-JP" w:bidi="he-IL"/>
              </w:rPr>
              <w:t xml:space="preserve">the overall </w:t>
            </w:r>
            <w:r w:rsidRPr="00A26103">
              <w:rPr>
                <w:rFonts w:eastAsia="Times New Roman"/>
                <w:sz w:val="18"/>
                <w:szCs w:val="18"/>
                <w:lang w:val="en-US" w:eastAsia="ja-JP" w:bidi="he-IL"/>
              </w:rPr>
              <w:t xml:space="preserve">trend flattened in the second half of the year as a result of </w:t>
            </w:r>
            <w:r>
              <w:rPr>
                <w:rFonts w:eastAsia="Times New Roman"/>
                <w:sz w:val="18"/>
                <w:szCs w:val="18"/>
                <w:lang w:val="en-US" w:eastAsia="ja-JP" w:bidi="he-IL"/>
              </w:rPr>
              <w:t xml:space="preserve">unsecured </w:t>
            </w:r>
            <w:r w:rsidRPr="00A26103">
              <w:rPr>
                <w:rFonts w:eastAsia="Times New Roman"/>
                <w:sz w:val="18"/>
                <w:szCs w:val="18"/>
                <w:lang w:val="en-US" w:eastAsia="ja-JP" w:bidi="he-IL"/>
              </w:rPr>
              <w:t>risk appetite tightening</w:t>
            </w:r>
            <w:r w:rsidRPr="00087389">
              <w:rPr>
                <w:rFonts w:eastAsia="Times New Roman"/>
                <w:sz w:val="18"/>
                <w:szCs w:val="18"/>
                <w:lang w:val="en-US" w:eastAsia="ja-JP" w:bidi="he-IL"/>
              </w:rPr>
              <w:t xml:space="preserve">. </w:t>
            </w:r>
          </w:p>
        </w:tc>
      </w:tr>
      <w:tr w:rsidR="0064628A" w:rsidTr="005F64C9">
        <w:tc>
          <w:tcPr>
            <w:tcW w:w="326" w:type="dxa"/>
          </w:tcPr>
          <w:p w:rsidR="00F07BE6" w:rsidRPr="00083324" w:rsidRDefault="00FC1FDC" w:rsidP="005F64C9">
            <w:pPr>
              <w:pStyle w:val="Normal00"/>
              <w:spacing w:line="264" w:lineRule="auto"/>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880" w:type="dxa"/>
          </w:tcPr>
          <w:p w:rsidR="00F07BE6" w:rsidRPr="00087389" w:rsidRDefault="00FC1FDC" w:rsidP="00F07BE6">
            <w:pPr>
              <w:pStyle w:val="Normal30"/>
              <w:spacing w:line="259" w:lineRule="auto"/>
              <w:rPr>
                <w:rFonts w:eastAsia="Times New Roman"/>
                <w:sz w:val="18"/>
                <w:szCs w:val="18"/>
                <w:lang w:val="en-US" w:eastAsia="ja-JP" w:bidi="he-IL"/>
              </w:rPr>
            </w:pPr>
            <w:r w:rsidRPr="00087389">
              <w:rPr>
                <w:rFonts w:eastAsia="Times New Roman"/>
                <w:sz w:val="18"/>
                <w:szCs w:val="18"/>
                <w:lang w:val="en-US" w:eastAsia="ja-JP" w:bidi="he-IL"/>
              </w:rPr>
              <w:t>Net loans to customers increased by £</w:t>
            </w:r>
            <w:r>
              <w:rPr>
                <w:rFonts w:eastAsia="Times New Roman"/>
                <w:sz w:val="18"/>
                <w:szCs w:val="18"/>
                <w:lang w:val="en-US" w:eastAsia="ja-JP" w:bidi="he-IL"/>
              </w:rPr>
              <w:t>10.0</w:t>
            </w:r>
            <w:r w:rsidRPr="00087389">
              <w:rPr>
                <w:rFonts w:eastAsia="Times New Roman"/>
                <w:sz w:val="18"/>
                <w:szCs w:val="18"/>
                <w:lang w:val="en-US" w:eastAsia="ja-JP" w:bidi="he-IL"/>
              </w:rPr>
              <w:t xml:space="preserve"> billion, or 6.</w:t>
            </w:r>
            <w:r>
              <w:rPr>
                <w:rFonts w:eastAsia="Times New Roman"/>
                <w:sz w:val="18"/>
                <w:szCs w:val="18"/>
                <w:lang w:val="en-US" w:eastAsia="ja-JP" w:bidi="he-IL"/>
              </w:rPr>
              <w:t>7</w:t>
            </w:r>
            <w:r w:rsidRPr="00087389">
              <w:rPr>
                <w:rFonts w:eastAsia="Times New Roman"/>
                <w:sz w:val="18"/>
                <w:szCs w:val="18"/>
                <w:lang w:val="en-US" w:eastAsia="ja-JP" w:bidi="he-IL"/>
              </w:rPr>
              <w:t>%, to £15</w:t>
            </w:r>
            <w:r>
              <w:rPr>
                <w:rFonts w:eastAsia="Times New Roman"/>
                <w:sz w:val="18"/>
                <w:szCs w:val="18"/>
                <w:lang w:val="en-US" w:eastAsia="ja-JP" w:bidi="he-IL"/>
              </w:rPr>
              <w:t>8.9</w:t>
            </w:r>
            <w:r w:rsidRPr="00087389">
              <w:rPr>
                <w:rFonts w:eastAsia="Times New Roman"/>
                <w:sz w:val="18"/>
                <w:szCs w:val="18"/>
                <w:lang w:val="en-US" w:eastAsia="ja-JP" w:bidi="he-IL"/>
              </w:rPr>
              <w:t xml:space="preserve"> billion. The business has maintained a prudent approach to risk and pricing in a very competitive market, with gross new mortgage lending in 2019 </w:t>
            </w:r>
            <w:r>
              <w:rPr>
                <w:rFonts w:eastAsia="Times New Roman"/>
                <w:sz w:val="18"/>
                <w:szCs w:val="18"/>
                <w:lang w:val="en-US" w:eastAsia="ja-JP" w:bidi="he-IL"/>
              </w:rPr>
              <w:t>of</w:t>
            </w:r>
            <w:r w:rsidRPr="00087389">
              <w:rPr>
                <w:rFonts w:eastAsia="Times New Roman"/>
                <w:sz w:val="18"/>
                <w:szCs w:val="18"/>
                <w:lang w:val="en-US" w:eastAsia="ja-JP" w:bidi="he-IL"/>
              </w:rPr>
              <w:t xml:space="preserve"> £3</w:t>
            </w:r>
            <w:r>
              <w:rPr>
                <w:rFonts w:eastAsia="Times New Roman"/>
                <w:sz w:val="18"/>
                <w:szCs w:val="18"/>
                <w:lang w:val="en-US" w:eastAsia="ja-JP" w:bidi="he-IL"/>
              </w:rPr>
              <w:t>3</w:t>
            </w:r>
            <w:r w:rsidRPr="00087389">
              <w:rPr>
                <w:rFonts w:eastAsia="Times New Roman"/>
                <w:sz w:val="18"/>
                <w:szCs w:val="18"/>
                <w:lang w:val="en-US" w:eastAsia="ja-JP" w:bidi="he-IL"/>
              </w:rPr>
              <w:t>.</w:t>
            </w:r>
            <w:r>
              <w:rPr>
                <w:rFonts w:eastAsia="Times New Roman"/>
                <w:sz w:val="18"/>
                <w:szCs w:val="18"/>
                <w:lang w:val="en-US" w:eastAsia="ja-JP" w:bidi="he-IL"/>
              </w:rPr>
              <w:t>3</w:t>
            </w:r>
            <w:r w:rsidRPr="00087389">
              <w:rPr>
                <w:rFonts w:eastAsia="Times New Roman"/>
                <w:sz w:val="18"/>
                <w:szCs w:val="18"/>
                <w:lang w:val="en-US" w:eastAsia="ja-JP" w:bidi="he-IL"/>
              </w:rPr>
              <w:t xml:space="preserve"> billion, </w:t>
            </w:r>
            <w:r>
              <w:rPr>
                <w:rFonts w:eastAsia="Times New Roman"/>
                <w:sz w:val="18"/>
                <w:szCs w:val="18"/>
                <w:lang w:val="en-US" w:eastAsia="ja-JP" w:bidi="he-IL"/>
              </w:rPr>
              <w:t>9.6</w:t>
            </w:r>
            <w:r w:rsidRPr="00087389">
              <w:rPr>
                <w:rFonts w:eastAsia="Times New Roman"/>
                <w:sz w:val="18"/>
                <w:szCs w:val="18"/>
                <w:lang w:val="en-US" w:eastAsia="ja-JP" w:bidi="he-IL"/>
              </w:rPr>
              <w:t>% higher than 2018. Mortgage</w:t>
            </w:r>
            <w:r>
              <w:rPr>
                <w:rFonts w:eastAsia="Times New Roman"/>
                <w:sz w:val="18"/>
                <w:szCs w:val="18"/>
                <w:lang w:val="en-US" w:eastAsia="ja-JP" w:bidi="he-IL"/>
              </w:rPr>
              <w:t xml:space="preserve"> new business</w:t>
            </w:r>
            <w:r w:rsidRPr="00087389">
              <w:rPr>
                <w:rFonts w:eastAsia="Times New Roman"/>
                <w:sz w:val="18"/>
                <w:szCs w:val="18"/>
                <w:lang w:val="en-US" w:eastAsia="ja-JP" w:bidi="he-IL"/>
              </w:rPr>
              <w:t xml:space="preserve"> market share </w:t>
            </w:r>
            <w:r>
              <w:rPr>
                <w:rFonts w:eastAsia="Times New Roman"/>
                <w:sz w:val="18"/>
                <w:szCs w:val="18"/>
                <w:lang w:val="en-US" w:eastAsia="ja-JP" w:bidi="he-IL"/>
              </w:rPr>
              <w:t>increased to</w:t>
            </w:r>
            <w:r w:rsidRPr="00087389">
              <w:rPr>
                <w:rFonts w:eastAsia="Times New Roman"/>
                <w:sz w:val="18"/>
                <w:szCs w:val="18"/>
                <w:lang w:val="en-US" w:eastAsia="ja-JP" w:bidi="he-IL"/>
              </w:rPr>
              <w:t xml:space="preserve"> </w:t>
            </w:r>
            <w:r>
              <w:rPr>
                <w:rFonts w:eastAsia="Times New Roman"/>
                <w:sz w:val="18"/>
                <w:szCs w:val="18"/>
                <w:lang w:val="en-US" w:eastAsia="ja-JP" w:bidi="he-IL"/>
              </w:rPr>
              <w:t xml:space="preserve">approximately </w:t>
            </w:r>
            <w:r w:rsidRPr="00087389">
              <w:rPr>
                <w:rFonts w:eastAsia="Times New Roman"/>
                <w:sz w:val="18"/>
                <w:szCs w:val="18"/>
                <w:lang w:val="en-US" w:eastAsia="ja-JP" w:bidi="he-IL"/>
              </w:rPr>
              <w:t>12</w:t>
            </w:r>
            <w:r>
              <w:rPr>
                <w:rFonts w:eastAsia="Times New Roman"/>
                <w:sz w:val="18"/>
                <w:szCs w:val="18"/>
                <w:lang w:val="en-US" w:eastAsia="ja-JP" w:bidi="he-IL"/>
              </w:rPr>
              <w:t>.5</w:t>
            </w:r>
            <w:r w:rsidRPr="00087389">
              <w:rPr>
                <w:rFonts w:eastAsia="Times New Roman"/>
                <w:sz w:val="18"/>
                <w:szCs w:val="18"/>
                <w:lang w:val="en-US" w:eastAsia="ja-JP" w:bidi="he-IL"/>
              </w:rPr>
              <w:t>%</w:t>
            </w:r>
            <w:r>
              <w:rPr>
                <w:rFonts w:eastAsia="Times New Roman"/>
                <w:sz w:val="18"/>
                <w:szCs w:val="18"/>
                <w:lang w:val="en-US" w:eastAsia="ja-JP" w:bidi="he-IL"/>
              </w:rPr>
              <w:t>,</w:t>
            </w:r>
            <w:r w:rsidRPr="00087389">
              <w:rPr>
                <w:rFonts w:eastAsia="Times New Roman"/>
                <w:sz w:val="18"/>
                <w:szCs w:val="18"/>
                <w:lang w:val="en-US" w:eastAsia="ja-JP" w:bidi="he-IL"/>
              </w:rPr>
              <w:t xml:space="preserve"> supporting a stock share of around 10</w:t>
            </w:r>
            <w:r>
              <w:rPr>
                <w:rFonts w:eastAsia="Times New Roman"/>
                <w:sz w:val="18"/>
                <w:szCs w:val="18"/>
                <w:lang w:val="en-US" w:eastAsia="ja-JP" w:bidi="he-IL"/>
              </w:rPr>
              <w:t>.2</w:t>
            </w:r>
            <w:r w:rsidRPr="00087389">
              <w:rPr>
                <w:rFonts w:eastAsia="Times New Roman"/>
                <w:sz w:val="18"/>
                <w:szCs w:val="18"/>
                <w:lang w:val="en-US" w:eastAsia="ja-JP" w:bidi="he-IL"/>
              </w:rPr>
              <w:t>%</w:t>
            </w:r>
            <w:r>
              <w:rPr>
                <w:rFonts w:eastAsia="Times New Roman"/>
                <w:sz w:val="18"/>
                <w:szCs w:val="18"/>
                <w:lang w:val="en-US" w:eastAsia="ja-JP" w:bidi="he-IL"/>
              </w:rPr>
              <w:t xml:space="preserve"> up from 9.8% in 2018. </w:t>
            </w:r>
            <w:r w:rsidRPr="00087389">
              <w:rPr>
                <w:rFonts w:eastAsia="Times New Roman"/>
                <w:sz w:val="18"/>
                <w:szCs w:val="18"/>
                <w:lang w:val="en-US" w:eastAsia="ja-JP" w:bidi="he-IL"/>
              </w:rPr>
              <w:t>Momentum also continued in personal advances an</w:t>
            </w:r>
            <w:r>
              <w:rPr>
                <w:rFonts w:eastAsia="Times New Roman"/>
                <w:sz w:val="18"/>
                <w:szCs w:val="18"/>
                <w:lang w:val="en-US" w:eastAsia="ja-JP" w:bidi="he-IL"/>
              </w:rPr>
              <w:t>d credit cards, increasing by 11.8% and 7.5</w:t>
            </w:r>
            <w:r w:rsidRPr="00087389">
              <w:rPr>
                <w:rFonts w:eastAsia="Times New Roman"/>
                <w:sz w:val="18"/>
                <w:szCs w:val="18"/>
                <w:lang w:val="en-US" w:eastAsia="ja-JP" w:bidi="he-IL"/>
              </w:rPr>
              <w:t>% respectively.</w:t>
            </w:r>
          </w:p>
        </w:tc>
      </w:tr>
      <w:tr w:rsidR="0064628A" w:rsidTr="005F64C9">
        <w:tc>
          <w:tcPr>
            <w:tcW w:w="326" w:type="dxa"/>
          </w:tcPr>
          <w:p w:rsidR="00F07BE6" w:rsidRPr="00083324" w:rsidRDefault="00FC1FDC" w:rsidP="005F64C9">
            <w:pPr>
              <w:pStyle w:val="Normal00"/>
              <w:spacing w:line="264" w:lineRule="auto"/>
              <w:jc w:val="both"/>
              <w:rPr>
                <w:rFonts w:eastAsia="SimSun"/>
                <w:color w:val="003366"/>
                <w:sz w:val="18"/>
                <w:szCs w:val="18"/>
                <w:lang w:eastAsia="ja-JP"/>
              </w:rPr>
            </w:pPr>
            <w:r w:rsidRPr="00083324">
              <w:rPr>
                <w:rFonts w:eastAsia="SimSun"/>
                <w:color w:val="003366"/>
                <w:sz w:val="18"/>
                <w:szCs w:val="18"/>
                <w:lang w:eastAsia="ja-JP"/>
              </w:rPr>
              <w:t>●</w:t>
            </w:r>
          </w:p>
        </w:tc>
        <w:tc>
          <w:tcPr>
            <w:tcW w:w="9880" w:type="dxa"/>
          </w:tcPr>
          <w:p w:rsidR="00F07BE6" w:rsidRPr="00087389" w:rsidRDefault="00FC1FDC" w:rsidP="00F07BE6">
            <w:pPr>
              <w:pStyle w:val="Normal30"/>
              <w:spacing w:line="259" w:lineRule="auto"/>
              <w:rPr>
                <w:rFonts w:eastAsia="Times New Roman"/>
                <w:sz w:val="18"/>
                <w:szCs w:val="18"/>
                <w:lang w:val="en-US" w:eastAsia="ja-JP" w:bidi="he-IL"/>
              </w:rPr>
            </w:pPr>
            <w:r w:rsidRPr="00087389">
              <w:rPr>
                <w:rFonts w:eastAsia="Times New Roman"/>
                <w:sz w:val="18"/>
                <w:szCs w:val="18"/>
                <w:lang w:val="en-US" w:eastAsia="ja-JP" w:bidi="he-IL"/>
              </w:rPr>
              <w:t>Customer deposits increased by £</w:t>
            </w:r>
            <w:r>
              <w:rPr>
                <w:rFonts w:eastAsia="Times New Roman"/>
                <w:sz w:val="18"/>
                <w:szCs w:val="18"/>
                <w:lang w:val="en-US" w:eastAsia="ja-JP" w:bidi="he-IL"/>
              </w:rPr>
              <w:t>5</w:t>
            </w:r>
            <w:r w:rsidRPr="00087389">
              <w:rPr>
                <w:rFonts w:eastAsia="Times New Roman"/>
                <w:sz w:val="18"/>
                <w:szCs w:val="18"/>
                <w:lang w:val="en-US" w:eastAsia="ja-JP" w:bidi="he-IL"/>
              </w:rPr>
              <w:t>.</w:t>
            </w:r>
            <w:r>
              <w:rPr>
                <w:rFonts w:eastAsia="Times New Roman"/>
                <w:sz w:val="18"/>
                <w:szCs w:val="18"/>
                <w:lang w:val="en-US" w:eastAsia="ja-JP" w:bidi="he-IL"/>
              </w:rPr>
              <w:t>0</w:t>
            </w:r>
            <w:r w:rsidRPr="00087389">
              <w:rPr>
                <w:rFonts w:eastAsia="Times New Roman"/>
                <w:sz w:val="18"/>
                <w:szCs w:val="18"/>
                <w:lang w:val="en-US" w:eastAsia="ja-JP" w:bidi="he-IL"/>
              </w:rPr>
              <w:t xml:space="preserve"> billion, or</w:t>
            </w:r>
            <w:r>
              <w:rPr>
                <w:rFonts w:eastAsia="Times New Roman"/>
                <w:sz w:val="18"/>
                <w:szCs w:val="18"/>
                <w:lang w:val="en-US" w:eastAsia="ja-JP" w:bidi="he-IL"/>
              </w:rPr>
              <w:t xml:space="preserve"> 3.4</w:t>
            </w:r>
            <w:r w:rsidRPr="00087389">
              <w:rPr>
                <w:rFonts w:eastAsia="Times New Roman"/>
                <w:sz w:val="18"/>
                <w:szCs w:val="18"/>
                <w:lang w:val="en-US" w:eastAsia="ja-JP" w:bidi="he-IL"/>
              </w:rPr>
              <w:t>%, as growth continued across current accounts and savings</w:t>
            </w:r>
            <w:r>
              <w:rPr>
                <w:rFonts w:eastAsia="Times New Roman"/>
                <w:sz w:val="18"/>
                <w:szCs w:val="18"/>
                <w:lang w:val="en-US" w:eastAsia="ja-JP" w:bidi="he-IL"/>
              </w:rPr>
              <w:t>.</w:t>
            </w:r>
          </w:p>
        </w:tc>
      </w:tr>
      <w:tr w:rsidR="0064628A" w:rsidTr="005F64C9">
        <w:tc>
          <w:tcPr>
            <w:tcW w:w="326" w:type="dxa"/>
          </w:tcPr>
          <w:p w:rsidR="00F07BE6" w:rsidRPr="00083324" w:rsidRDefault="00FC1FDC" w:rsidP="005F64C9">
            <w:pPr>
              <w:pStyle w:val="Normal00"/>
              <w:spacing w:line="264" w:lineRule="auto"/>
              <w:jc w:val="both"/>
              <w:rPr>
                <w:rFonts w:eastAsia="SimSun"/>
                <w:color w:val="003366"/>
                <w:sz w:val="18"/>
                <w:szCs w:val="18"/>
                <w:lang w:eastAsia="ja-JP"/>
              </w:rPr>
            </w:pPr>
            <w:r w:rsidRPr="00083324">
              <w:rPr>
                <w:rFonts w:eastAsia="SimSun"/>
                <w:color w:val="003366"/>
                <w:sz w:val="18"/>
                <w:szCs w:val="18"/>
                <w:lang w:eastAsia="ja-JP"/>
              </w:rPr>
              <w:t>●</w:t>
            </w:r>
          </w:p>
        </w:tc>
        <w:tc>
          <w:tcPr>
            <w:tcW w:w="9880" w:type="dxa"/>
          </w:tcPr>
          <w:p w:rsidR="00F07BE6" w:rsidRPr="00087389" w:rsidRDefault="00FC1FDC" w:rsidP="00F07BE6">
            <w:pPr>
              <w:pStyle w:val="Normal30"/>
              <w:spacing w:line="259" w:lineRule="auto"/>
              <w:jc w:val="both"/>
              <w:rPr>
                <w:rFonts w:eastAsia="Times New Roman"/>
                <w:sz w:val="18"/>
                <w:szCs w:val="18"/>
                <w:lang w:val="en-US" w:eastAsia="ja-JP" w:bidi="he-IL"/>
              </w:rPr>
            </w:pPr>
            <w:r w:rsidRPr="00087389">
              <w:rPr>
                <w:rFonts w:eastAsia="Times New Roman"/>
                <w:sz w:val="18"/>
                <w:szCs w:val="18"/>
                <w:lang w:val="en-US" w:eastAsia="ja-JP" w:bidi="he-IL"/>
              </w:rPr>
              <w:t>RWAs increased by £</w:t>
            </w:r>
            <w:r>
              <w:rPr>
                <w:rFonts w:eastAsia="Times New Roman"/>
                <w:sz w:val="18"/>
                <w:szCs w:val="18"/>
                <w:lang w:val="en-US" w:eastAsia="ja-JP" w:bidi="he-IL"/>
              </w:rPr>
              <w:t xml:space="preserve">3.5 </w:t>
            </w:r>
            <w:r w:rsidRPr="00087389">
              <w:rPr>
                <w:rFonts w:eastAsia="Times New Roman"/>
                <w:sz w:val="18"/>
                <w:szCs w:val="18"/>
                <w:lang w:val="en-US" w:eastAsia="ja-JP" w:bidi="he-IL"/>
              </w:rPr>
              <w:t xml:space="preserve">billion, or </w:t>
            </w:r>
            <w:r>
              <w:rPr>
                <w:rFonts w:eastAsia="Times New Roman"/>
                <w:sz w:val="18"/>
                <w:szCs w:val="18"/>
                <w:lang w:val="en-US" w:eastAsia="ja-JP" w:bidi="he-IL"/>
              </w:rPr>
              <w:t>10.2</w:t>
            </w:r>
            <w:r w:rsidRPr="00087389">
              <w:rPr>
                <w:rFonts w:eastAsia="Times New Roman"/>
                <w:sz w:val="18"/>
                <w:szCs w:val="18"/>
                <w:lang w:val="en-US" w:eastAsia="ja-JP" w:bidi="he-IL"/>
              </w:rPr>
              <w:t>%, principally due to strong lending</w:t>
            </w:r>
            <w:r>
              <w:rPr>
                <w:rFonts w:eastAsia="Times New Roman"/>
                <w:sz w:val="18"/>
                <w:szCs w:val="18"/>
                <w:lang w:val="en-US" w:eastAsia="ja-JP" w:bidi="he-IL"/>
              </w:rPr>
              <w:t xml:space="preserve">, £2.2 billion, mortgage predictive loss adjustments, £0.6 billion, </w:t>
            </w:r>
            <w:r w:rsidRPr="00087389">
              <w:rPr>
                <w:rFonts w:eastAsia="Times New Roman"/>
                <w:sz w:val="18"/>
                <w:szCs w:val="18"/>
                <w:lang w:val="en-US" w:eastAsia="ja-JP" w:bidi="he-IL"/>
              </w:rPr>
              <w:t xml:space="preserve">and </w:t>
            </w:r>
            <w:r>
              <w:rPr>
                <w:rFonts w:eastAsia="Times New Roman"/>
                <w:sz w:val="18"/>
                <w:szCs w:val="18"/>
                <w:lang w:val="en-US" w:eastAsia="ja-JP" w:bidi="he-IL"/>
              </w:rPr>
              <w:t xml:space="preserve">an increase </w:t>
            </w:r>
            <w:r w:rsidRPr="001F5FC7">
              <w:rPr>
                <w:rFonts w:eastAsia="Times New Roman"/>
                <w:sz w:val="18"/>
                <w:szCs w:val="18"/>
                <w:lang w:val="en-US" w:eastAsia="ja-JP" w:bidi="he-IL"/>
              </w:rPr>
              <w:t>linked to IFRS</w:t>
            </w:r>
            <w:r>
              <w:rPr>
                <w:rFonts w:eastAsia="Times New Roman"/>
                <w:sz w:val="18"/>
                <w:szCs w:val="18"/>
                <w:lang w:val="en-US" w:eastAsia="ja-JP" w:bidi="he-IL"/>
              </w:rPr>
              <w:t xml:space="preserve"> </w:t>
            </w:r>
            <w:r w:rsidRPr="001F5FC7">
              <w:rPr>
                <w:rFonts w:eastAsia="Times New Roman"/>
                <w:sz w:val="18"/>
                <w:szCs w:val="18"/>
                <w:lang w:val="en-US" w:eastAsia="ja-JP" w:bidi="he-IL"/>
              </w:rPr>
              <w:t>16 changes, £</w:t>
            </w:r>
            <w:r>
              <w:rPr>
                <w:rFonts w:eastAsia="Times New Roman"/>
                <w:sz w:val="18"/>
                <w:szCs w:val="18"/>
                <w:lang w:val="en-US" w:eastAsia="ja-JP" w:bidi="he-IL"/>
              </w:rPr>
              <w:t>0.7</w:t>
            </w:r>
            <w:r w:rsidRPr="001F5FC7">
              <w:rPr>
                <w:rFonts w:eastAsia="Times New Roman"/>
                <w:sz w:val="18"/>
                <w:szCs w:val="18"/>
                <w:lang w:val="en-US" w:eastAsia="ja-JP" w:bidi="he-IL"/>
              </w:rPr>
              <w:t xml:space="preserve"> billion.</w:t>
            </w:r>
          </w:p>
        </w:tc>
      </w:tr>
      <w:tr w:rsidR="0064628A" w:rsidTr="005F64C9">
        <w:tc>
          <w:tcPr>
            <w:tcW w:w="10206" w:type="dxa"/>
            <w:gridSpan w:val="2"/>
          </w:tcPr>
          <w:p w:rsidR="00087389" w:rsidRDefault="00087389" w:rsidP="005F64C9">
            <w:pPr>
              <w:pStyle w:val="Normal00"/>
              <w:spacing w:line="264" w:lineRule="auto"/>
              <w:jc w:val="both"/>
              <w:rPr>
                <w:rFonts w:ascii="Arial" w:hAnsi="Arial" w:cs="Arial"/>
                <w:color w:val="003366"/>
                <w:sz w:val="18"/>
                <w:szCs w:val="18"/>
                <w:lang w:eastAsia="ja-JP"/>
              </w:rPr>
            </w:pPr>
          </w:p>
          <w:p w:rsidR="00087389" w:rsidRPr="00083324" w:rsidRDefault="00FC1FDC" w:rsidP="004F5E62">
            <w:pPr>
              <w:pStyle w:val="Normal00"/>
              <w:spacing w:line="264" w:lineRule="auto"/>
              <w:jc w:val="both"/>
              <w:rPr>
                <w:rFonts w:ascii="Arial" w:hAnsi="Arial" w:cs="Arial"/>
                <w:sz w:val="18"/>
                <w:szCs w:val="18"/>
                <w:lang w:eastAsia="ja-JP"/>
              </w:rPr>
            </w:pPr>
            <w:r w:rsidRPr="00083324">
              <w:rPr>
                <w:rFonts w:ascii="Arial" w:hAnsi="Arial" w:cs="Arial"/>
                <w:color w:val="003366"/>
                <w:sz w:val="18"/>
                <w:szCs w:val="18"/>
                <w:lang w:eastAsia="ja-JP"/>
              </w:rPr>
              <w:t>Q</w:t>
            </w:r>
            <w:r>
              <w:rPr>
                <w:rFonts w:ascii="Arial" w:hAnsi="Arial" w:cs="Arial"/>
                <w:color w:val="003366"/>
                <w:sz w:val="18"/>
                <w:szCs w:val="18"/>
                <w:lang w:eastAsia="ja-JP"/>
              </w:rPr>
              <w:t>4</w:t>
            </w:r>
            <w:r w:rsidRPr="00083324">
              <w:rPr>
                <w:rFonts w:ascii="Arial" w:hAnsi="Arial" w:cs="Arial"/>
                <w:color w:val="003366"/>
                <w:sz w:val="18"/>
                <w:szCs w:val="18"/>
                <w:lang w:eastAsia="ja-JP"/>
              </w:rPr>
              <w:t xml:space="preserve"> 201</w:t>
            </w:r>
            <w:r>
              <w:rPr>
                <w:rFonts w:ascii="Arial" w:hAnsi="Arial" w:cs="Arial"/>
                <w:color w:val="003366"/>
                <w:sz w:val="18"/>
                <w:szCs w:val="18"/>
                <w:lang w:eastAsia="ja-JP"/>
              </w:rPr>
              <w:t>9</w:t>
            </w:r>
            <w:r w:rsidRPr="00083324">
              <w:rPr>
                <w:rFonts w:ascii="Arial" w:hAnsi="Arial" w:cs="Arial"/>
                <w:color w:val="003366"/>
                <w:sz w:val="18"/>
                <w:szCs w:val="18"/>
                <w:lang w:eastAsia="ja-JP"/>
              </w:rPr>
              <w:t xml:space="preserve"> compared with Q</w:t>
            </w:r>
            <w:r>
              <w:rPr>
                <w:rFonts w:ascii="Arial" w:hAnsi="Arial" w:cs="Arial"/>
                <w:color w:val="003366"/>
                <w:sz w:val="18"/>
                <w:szCs w:val="18"/>
                <w:lang w:eastAsia="ja-JP"/>
              </w:rPr>
              <w:t>3</w:t>
            </w:r>
            <w:r w:rsidRPr="00083324">
              <w:rPr>
                <w:rFonts w:ascii="Arial" w:hAnsi="Arial" w:cs="Arial"/>
                <w:color w:val="003366"/>
                <w:sz w:val="18"/>
                <w:szCs w:val="18"/>
                <w:lang w:eastAsia="ja-JP"/>
              </w:rPr>
              <w:t xml:space="preserve"> </w:t>
            </w:r>
            <w:r>
              <w:rPr>
                <w:rFonts w:ascii="Arial" w:hAnsi="Arial" w:cs="Arial"/>
                <w:color w:val="003366"/>
                <w:sz w:val="18"/>
                <w:szCs w:val="18"/>
                <w:lang w:eastAsia="ja-JP"/>
              </w:rPr>
              <w:t>2019</w:t>
            </w:r>
          </w:p>
        </w:tc>
      </w:tr>
      <w:tr w:rsidR="0064628A" w:rsidTr="005F64C9">
        <w:tc>
          <w:tcPr>
            <w:tcW w:w="326" w:type="dxa"/>
          </w:tcPr>
          <w:p w:rsidR="00F07BE6" w:rsidRPr="00083324" w:rsidRDefault="00FC1FDC" w:rsidP="005F64C9">
            <w:pPr>
              <w:pStyle w:val="Normal00"/>
              <w:spacing w:line="264" w:lineRule="auto"/>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880" w:type="dxa"/>
          </w:tcPr>
          <w:p w:rsidR="00F07BE6" w:rsidRPr="00087389" w:rsidRDefault="00FC1FDC" w:rsidP="00F07BE6">
            <w:pPr>
              <w:pStyle w:val="Normal30"/>
              <w:spacing w:line="259" w:lineRule="auto"/>
              <w:rPr>
                <w:rFonts w:eastAsia="Times New Roman"/>
                <w:sz w:val="18"/>
                <w:szCs w:val="18"/>
                <w:lang w:val="en-US" w:eastAsia="ja-JP" w:bidi="he-IL"/>
              </w:rPr>
            </w:pPr>
            <w:r w:rsidRPr="00087389">
              <w:rPr>
                <w:rFonts w:eastAsia="Times New Roman"/>
                <w:sz w:val="18"/>
                <w:szCs w:val="18"/>
                <w:lang w:val="en-US" w:eastAsia="ja-JP" w:bidi="he-IL"/>
              </w:rPr>
              <w:t>Total income was £</w:t>
            </w:r>
            <w:r>
              <w:rPr>
                <w:rFonts w:eastAsia="Times New Roman"/>
                <w:sz w:val="18"/>
                <w:szCs w:val="18"/>
                <w:lang w:val="en-US" w:eastAsia="ja-JP" w:bidi="he-IL"/>
              </w:rPr>
              <w:t>29</w:t>
            </w:r>
            <w:r w:rsidRPr="00087389">
              <w:rPr>
                <w:rFonts w:eastAsia="Times New Roman"/>
                <w:sz w:val="18"/>
                <w:szCs w:val="18"/>
                <w:lang w:val="en-US" w:eastAsia="ja-JP" w:bidi="he-IL"/>
              </w:rPr>
              <w:t xml:space="preserve"> million lower</w:t>
            </w:r>
            <w:r>
              <w:rPr>
                <w:rFonts w:eastAsia="Times New Roman"/>
                <w:sz w:val="18"/>
                <w:szCs w:val="18"/>
                <w:lang w:val="en-US" w:eastAsia="ja-JP" w:bidi="he-IL"/>
              </w:rPr>
              <w:t xml:space="preserve"> than Q3 2019 reflecting a £19 million</w:t>
            </w:r>
            <w:r w:rsidRPr="00087389">
              <w:rPr>
                <w:rFonts w:eastAsia="Times New Roman"/>
                <w:sz w:val="18"/>
                <w:szCs w:val="18"/>
                <w:lang w:val="en-US" w:eastAsia="ja-JP" w:bidi="he-IL"/>
              </w:rPr>
              <w:t xml:space="preserve"> </w:t>
            </w:r>
            <w:r>
              <w:rPr>
                <w:rFonts w:eastAsia="Times New Roman"/>
                <w:sz w:val="18"/>
                <w:szCs w:val="18"/>
                <w:lang w:val="en-US" w:eastAsia="ja-JP" w:bidi="he-IL"/>
              </w:rPr>
              <w:t xml:space="preserve">charge following an annual review of </w:t>
            </w:r>
            <w:r w:rsidRPr="00087389">
              <w:rPr>
                <w:rFonts w:eastAsia="Times New Roman"/>
                <w:sz w:val="18"/>
                <w:szCs w:val="18"/>
                <w:lang w:val="en-US" w:eastAsia="ja-JP" w:bidi="he-IL"/>
              </w:rPr>
              <w:t xml:space="preserve">mortgage customer repayment </w:t>
            </w:r>
            <w:r>
              <w:rPr>
                <w:rFonts w:eastAsia="Times New Roman"/>
                <w:sz w:val="18"/>
                <w:szCs w:val="18"/>
                <w:lang w:val="en-US" w:eastAsia="ja-JP" w:bidi="he-IL"/>
              </w:rPr>
              <w:t>behaviour,</w:t>
            </w:r>
            <w:r w:rsidRPr="00087389">
              <w:rPr>
                <w:rFonts w:eastAsia="Times New Roman"/>
                <w:sz w:val="18"/>
                <w:szCs w:val="18"/>
                <w:lang w:val="en-US" w:eastAsia="ja-JP" w:bidi="he-IL"/>
              </w:rPr>
              <w:t xml:space="preserve"> lower </w:t>
            </w:r>
            <w:r>
              <w:rPr>
                <w:rFonts w:eastAsia="Times New Roman"/>
                <w:sz w:val="18"/>
                <w:szCs w:val="18"/>
                <w:lang w:val="en-US" w:eastAsia="ja-JP" w:bidi="he-IL"/>
              </w:rPr>
              <w:t xml:space="preserve">seasonal debit and credit card </w:t>
            </w:r>
            <w:r w:rsidRPr="00087389">
              <w:rPr>
                <w:rFonts w:eastAsia="Times New Roman"/>
                <w:sz w:val="18"/>
                <w:szCs w:val="18"/>
                <w:lang w:val="en-US" w:eastAsia="ja-JP" w:bidi="he-IL"/>
              </w:rPr>
              <w:t>fee</w:t>
            </w:r>
            <w:r>
              <w:rPr>
                <w:rFonts w:eastAsia="Times New Roman"/>
                <w:sz w:val="18"/>
                <w:szCs w:val="18"/>
                <w:lang w:val="en-US" w:eastAsia="ja-JP" w:bidi="he-IL"/>
              </w:rPr>
              <w:t xml:space="preserve"> income and the implementation of certain overdraft fee changes, partly offset by £15 million higher debt sale gains.</w:t>
            </w:r>
            <w:r w:rsidRPr="00087389">
              <w:rPr>
                <w:rFonts w:eastAsia="Times New Roman"/>
                <w:sz w:val="18"/>
                <w:szCs w:val="18"/>
                <w:lang w:val="en-US" w:eastAsia="ja-JP" w:bidi="he-IL"/>
              </w:rPr>
              <w:t xml:space="preserve"> </w:t>
            </w:r>
            <w:r w:rsidRPr="0007743C">
              <w:rPr>
                <w:rFonts w:eastAsia="Times New Roman"/>
                <w:sz w:val="18"/>
                <w:szCs w:val="18"/>
                <w:lang w:val="en-US" w:eastAsia="ja-JP" w:bidi="he-IL"/>
              </w:rPr>
              <w:t>Strong volume</w:t>
            </w:r>
            <w:r>
              <w:rPr>
                <w:rFonts w:eastAsia="Times New Roman"/>
                <w:sz w:val="18"/>
                <w:szCs w:val="18"/>
                <w:lang w:val="en-US" w:eastAsia="ja-JP" w:bidi="he-IL"/>
              </w:rPr>
              <w:t xml:space="preserve"> growth</w:t>
            </w:r>
            <w:r w:rsidRPr="0007743C">
              <w:rPr>
                <w:rFonts w:eastAsia="Times New Roman"/>
                <w:sz w:val="18"/>
                <w:szCs w:val="18"/>
                <w:lang w:val="en-US" w:eastAsia="ja-JP" w:bidi="he-IL"/>
              </w:rPr>
              <w:t xml:space="preserve"> in Q4 </w:t>
            </w:r>
            <w:r>
              <w:rPr>
                <w:rFonts w:eastAsia="Times New Roman"/>
                <w:sz w:val="18"/>
                <w:szCs w:val="18"/>
                <w:lang w:val="en-US" w:eastAsia="ja-JP" w:bidi="he-IL"/>
              </w:rPr>
              <w:t xml:space="preserve">2019 </w:t>
            </w:r>
            <w:r w:rsidRPr="0007743C">
              <w:rPr>
                <w:rFonts w:eastAsia="Times New Roman"/>
                <w:sz w:val="18"/>
                <w:szCs w:val="18"/>
                <w:lang w:val="en-US" w:eastAsia="ja-JP" w:bidi="he-IL"/>
              </w:rPr>
              <w:t>largely offset product margin dilution</w:t>
            </w:r>
            <w:r>
              <w:rPr>
                <w:rFonts w:eastAsia="Times New Roman"/>
                <w:sz w:val="18"/>
                <w:szCs w:val="18"/>
                <w:lang w:val="en-US" w:eastAsia="ja-JP" w:bidi="he-IL"/>
              </w:rPr>
              <w:t xml:space="preserve">. </w:t>
            </w:r>
            <w:r w:rsidRPr="00087389">
              <w:rPr>
                <w:rFonts w:eastAsia="Times New Roman"/>
                <w:sz w:val="18"/>
                <w:szCs w:val="18"/>
                <w:lang w:val="en-US" w:eastAsia="ja-JP" w:bidi="he-IL"/>
              </w:rPr>
              <w:t>Net interest margin decreased by 1</w:t>
            </w:r>
            <w:r>
              <w:rPr>
                <w:rFonts w:eastAsia="Times New Roman"/>
                <w:sz w:val="18"/>
                <w:szCs w:val="18"/>
                <w:lang w:val="en-US" w:eastAsia="ja-JP" w:bidi="he-IL"/>
              </w:rPr>
              <w:t>2</w:t>
            </w:r>
            <w:r w:rsidRPr="00087389">
              <w:rPr>
                <w:rFonts w:eastAsia="Times New Roman"/>
                <w:sz w:val="18"/>
                <w:szCs w:val="18"/>
                <w:lang w:val="en-US" w:eastAsia="ja-JP" w:bidi="he-IL"/>
              </w:rPr>
              <w:t xml:space="preserve"> basis points reflecting mortgage margin pressure and the mortgage customer repayment behaviour charge.</w:t>
            </w:r>
          </w:p>
        </w:tc>
      </w:tr>
      <w:tr w:rsidR="0064628A" w:rsidTr="005F64C9">
        <w:tc>
          <w:tcPr>
            <w:tcW w:w="326" w:type="dxa"/>
          </w:tcPr>
          <w:p w:rsidR="00F07BE6" w:rsidRPr="000519C6" w:rsidRDefault="00FC1FDC" w:rsidP="00087389">
            <w:pPr>
              <w:pStyle w:val="Normal00"/>
              <w:spacing w:line="288" w:lineRule="auto"/>
              <w:jc w:val="both"/>
              <w:rPr>
                <w:rFonts w:eastAsia="SimSun"/>
                <w:color w:val="003366"/>
                <w:sz w:val="18"/>
                <w:szCs w:val="18"/>
                <w:lang w:eastAsia="ja-JP"/>
              </w:rPr>
            </w:pPr>
            <w:r w:rsidRPr="000519C6">
              <w:rPr>
                <w:rFonts w:eastAsia="SimSun"/>
                <w:color w:val="003366"/>
                <w:sz w:val="18"/>
                <w:szCs w:val="18"/>
                <w:lang w:eastAsia="ja-JP"/>
              </w:rPr>
              <w:t>●</w:t>
            </w:r>
          </w:p>
        </w:tc>
        <w:tc>
          <w:tcPr>
            <w:tcW w:w="9880" w:type="dxa"/>
          </w:tcPr>
          <w:p w:rsidR="00F07BE6" w:rsidRPr="00087389" w:rsidRDefault="00FC1FDC" w:rsidP="00F07BE6">
            <w:pPr>
              <w:pStyle w:val="Normal30"/>
              <w:spacing w:line="259" w:lineRule="auto"/>
              <w:rPr>
                <w:rFonts w:eastAsia="Times New Roman"/>
                <w:sz w:val="18"/>
                <w:szCs w:val="18"/>
                <w:lang w:val="en-US" w:eastAsia="ja-JP" w:bidi="he-IL"/>
              </w:rPr>
            </w:pPr>
            <w:r w:rsidRPr="00087389">
              <w:rPr>
                <w:rFonts w:eastAsia="Times New Roman"/>
                <w:sz w:val="18"/>
                <w:szCs w:val="18"/>
                <w:lang w:val="en-US" w:eastAsia="ja-JP" w:bidi="he-IL"/>
              </w:rPr>
              <w:t>Excluding strategic, litigation and conduct costs, operating expenses were £</w:t>
            </w:r>
            <w:r>
              <w:rPr>
                <w:rFonts w:eastAsia="Times New Roman"/>
                <w:sz w:val="18"/>
                <w:szCs w:val="18"/>
                <w:lang w:val="en-US" w:eastAsia="ja-JP" w:bidi="he-IL"/>
              </w:rPr>
              <w:t>33</w:t>
            </w:r>
            <w:r w:rsidRPr="00087389">
              <w:rPr>
                <w:rFonts w:eastAsia="Times New Roman"/>
                <w:sz w:val="18"/>
                <w:szCs w:val="18"/>
                <w:lang w:val="en-US" w:eastAsia="ja-JP" w:bidi="he-IL"/>
              </w:rPr>
              <w:t xml:space="preserve"> million higher than Q3 2019</w:t>
            </w:r>
            <w:r>
              <w:rPr>
                <w:rFonts w:eastAsia="Times New Roman"/>
                <w:sz w:val="18"/>
                <w:szCs w:val="18"/>
                <w:lang w:val="en-US" w:eastAsia="ja-JP" w:bidi="he-IL"/>
              </w:rPr>
              <w:t>,</w:t>
            </w:r>
            <w:r w:rsidRPr="00087389">
              <w:rPr>
                <w:rFonts w:eastAsia="Times New Roman"/>
                <w:sz w:val="18"/>
                <w:szCs w:val="18"/>
                <w:lang w:val="en-US" w:eastAsia="ja-JP" w:bidi="he-IL"/>
              </w:rPr>
              <w:t xml:space="preserve"> largely reflecting the </w:t>
            </w:r>
            <w:r>
              <w:rPr>
                <w:rFonts w:eastAsia="Times New Roman"/>
                <w:sz w:val="18"/>
                <w:szCs w:val="18"/>
                <w:lang w:val="en-US" w:eastAsia="ja-JP" w:bidi="he-IL"/>
              </w:rPr>
              <w:t xml:space="preserve">inclusion of the annual </w:t>
            </w:r>
            <w:r w:rsidRPr="00087389">
              <w:rPr>
                <w:rFonts w:eastAsia="Times New Roman"/>
                <w:sz w:val="18"/>
                <w:szCs w:val="18"/>
                <w:lang w:val="en-US" w:eastAsia="ja-JP" w:bidi="he-IL"/>
              </w:rPr>
              <w:t>bank levy charge.</w:t>
            </w:r>
          </w:p>
        </w:tc>
      </w:tr>
      <w:tr w:rsidR="0064628A" w:rsidTr="005F64C9">
        <w:tc>
          <w:tcPr>
            <w:tcW w:w="326" w:type="dxa"/>
          </w:tcPr>
          <w:p w:rsidR="00F07BE6" w:rsidRPr="000519C6" w:rsidRDefault="00FC1FDC" w:rsidP="00087389">
            <w:pPr>
              <w:pStyle w:val="Normal00"/>
              <w:spacing w:line="288" w:lineRule="auto"/>
              <w:jc w:val="both"/>
              <w:rPr>
                <w:rFonts w:eastAsia="SimSun"/>
                <w:color w:val="003366"/>
                <w:sz w:val="18"/>
                <w:szCs w:val="18"/>
                <w:lang w:eastAsia="ja-JP"/>
              </w:rPr>
            </w:pPr>
            <w:r w:rsidRPr="000519C6">
              <w:rPr>
                <w:rFonts w:eastAsia="SimSun"/>
                <w:color w:val="003366"/>
                <w:sz w:val="18"/>
                <w:szCs w:val="18"/>
                <w:lang w:eastAsia="ja-JP"/>
              </w:rPr>
              <w:t>●</w:t>
            </w:r>
          </w:p>
        </w:tc>
        <w:tc>
          <w:tcPr>
            <w:tcW w:w="9880" w:type="dxa"/>
          </w:tcPr>
          <w:p w:rsidR="00F07BE6" w:rsidRPr="00087389" w:rsidRDefault="00FC1FDC" w:rsidP="001A765E">
            <w:pPr>
              <w:pStyle w:val="Normal30"/>
              <w:spacing w:line="259" w:lineRule="auto"/>
              <w:rPr>
                <w:rFonts w:eastAsia="Times New Roman"/>
                <w:sz w:val="18"/>
                <w:szCs w:val="18"/>
                <w:lang w:val="en-US" w:eastAsia="ja-JP" w:bidi="he-IL"/>
              </w:rPr>
            </w:pPr>
            <w:r w:rsidRPr="00087389">
              <w:rPr>
                <w:rFonts w:eastAsia="Times New Roman"/>
                <w:sz w:val="18"/>
                <w:szCs w:val="18"/>
                <w:lang w:val="en-US" w:eastAsia="ja-JP" w:bidi="he-IL"/>
              </w:rPr>
              <w:t xml:space="preserve">Gross new mortgage lending was </w:t>
            </w:r>
            <w:r>
              <w:rPr>
                <w:rFonts w:eastAsia="Times New Roman"/>
                <w:sz w:val="18"/>
                <w:szCs w:val="18"/>
                <w:lang w:val="en-US" w:eastAsia="ja-JP" w:bidi="he-IL"/>
              </w:rPr>
              <w:t>£10.4</w:t>
            </w:r>
            <w:r w:rsidRPr="00087389">
              <w:rPr>
                <w:rFonts w:eastAsia="Times New Roman"/>
                <w:sz w:val="18"/>
                <w:szCs w:val="18"/>
                <w:lang w:val="en-US" w:eastAsia="ja-JP" w:bidi="he-IL"/>
              </w:rPr>
              <w:t xml:space="preserve"> billion, the highest quarter of new mortgage lendi</w:t>
            </w:r>
            <w:r>
              <w:rPr>
                <w:rFonts w:eastAsia="Times New Roman"/>
                <w:sz w:val="18"/>
                <w:szCs w:val="18"/>
                <w:lang w:val="en-US" w:eastAsia="ja-JP" w:bidi="he-IL"/>
              </w:rPr>
              <w:t>ng in 2019, representing approximately 15% new business market share.</w:t>
            </w:r>
          </w:p>
        </w:tc>
      </w:tr>
      <w:tr w:rsidR="0064628A" w:rsidTr="005F64C9">
        <w:tc>
          <w:tcPr>
            <w:tcW w:w="10206" w:type="dxa"/>
            <w:gridSpan w:val="2"/>
          </w:tcPr>
          <w:p w:rsidR="00087389" w:rsidRDefault="00087389" w:rsidP="005F64C9">
            <w:pPr>
              <w:pStyle w:val="Normal00"/>
              <w:spacing w:line="264" w:lineRule="auto"/>
              <w:jc w:val="both"/>
              <w:rPr>
                <w:rFonts w:ascii="Arial" w:hAnsi="Arial" w:cs="Arial"/>
                <w:color w:val="003366"/>
                <w:sz w:val="18"/>
                <w:szCs w:val="18"/>
                <w:lang w:eastAsia="ja-JP"/>
              </w:rPr>
            </w:pPr>
          </w:p>
          <w:p w:rsidR="00087389" w:rsidRPr="00083324" w:rsidRDefault="00FC1FDC" w:rsidP="004F5E62">
            <w:pPr>
              <w:pStyle w:val="Normal00"/>
              <w:spacing w:line="264" w:lineRule="auto"/>
              <w:jc w:val="both"/>
              <w:rPr>
                <w:rFonts w:ascii="Arial" w:hAnsi="Arial" w:cs="Arial"/>
                <w:color w:val="003366"/>
                <w:sz w:val="18"/>
                <w:szCs w:val="18"/>
                <w:lang w:eastAsia="ja-JP"/>
              </w:rPr>
            </w:pPr>
            <w:r w:rsidRPr="00083324">
              <w:rPr>
                <w:rFonts w:ascii="Arial" w:hAnsi="Arial" w:cs="Arial"/>
                <w:color w:val="003366"/>
                <w:sz w:val="18"/>
                <w:szCs w:val="18"/>
                <w:lang w:eastAsia="ja-JP"/>
              </w:rPr>
              <w:t>Q</w:t>
            </w:r>
            <w:r>
              <w:rPr>
                <w:rFonts w:ascii="Arial" w:hAnsi="Arial" w:cs="Arial"/>
                <w:color w:val="003366"/>
                <w:sz w:val="18"/>
                <w:szCs w:val="18"/>
                <w:lang w:eastAsia="ja-JP"/>
              </w:rPr>
              <w:t>4 2019</w:t>
            </w:r>
            <w:r w:rsidRPr="00083324">
              <w:rPr>
                <w:rFonts w:ascii="Arial" w:hAnsi="Arial" w:cs="Arial"/>
                <w:color w:val="003366"/>
                <w:sz w:val="18"/>
                <w:szCs w:val="18"/>
                <w:lang w:eastAsia="ja-JP"/>
              </w:rPr>
              <w:t xml:space="preserve"> compared with Q</w:t>
            </w:r>
            <w:r>
              <w:rPr>
                <w:rFonts w:ascii="Arial" w:hAnsi="Arial" w:cs="Arial"/>
                <w:color w:val="003366"/>
                <w:sz w:val="18"/>
                <w:szCs w:val="18"/>
                <w:lang w:eastAsia="ja-JP"/>
              </w:rPr>
              <w:t>4</w:t>
            </w:r>
            <w:r w:rsidRPr="00083324">
              <w:rPr>
                <w:rFonts w:ascii="Arial" w:hAnsi="Arial" w:cs="Arial"/>
                <w:color w:val="003366"/>
                <w:sz w:val="18"/>
                <w:szCs w:val="18"/>
                <w:lang w:eastAsia="ja-JP"/>
              </w:rPr>
              <w:t xml:space="preserve"> 201</w:t>
            </w:r>
            <w:r>
              <w:rPr>
                <w:rFonts w:ascii="Arial" w:hAnsi="Arial" w:cs="Arial"/>
                <w:color w:val="003366"/>
                <w:sz w:val="18"/>
                <w:szCs w:val="18"/>
                <w:lang w:eastAsia="ja-JP"/>
              </w:rPr>
              <w:t>8</w:t>
            </w:r>
          </w:p>
        </w:tc>
      </w:tr>
      <w:tr w:rsidR="0064628A" w:rsidTr="005F64C9">
        <w:trPr>
          <w:trHeight w:val="371"/>
        </w:trPr>
        <w:tc>
          <w:tcPr>
            <w:tcW w:w="326" w:type="dxa"/>
          </w:tcPr>
          <w:p w:rsidR="00F07BE6" w:rsidRPr="00083324" w:rsidRDefault="00FC1FDC" w:rsidP="005F64C9">
            <w:pPr>
              <w:pStyle w:val="Normal00"/>
              <w:spacing w:line="264" w:lineRule="auto"/>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880" w:type="dxa"/>
          </w:tcPr>
          <w:p w:rsidR="00F07BE6" w:rsidRPr="00087389" w:rsidRDefault="00FC1FDC" w:rsidP="00F07BE6">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Total income was £51</w:t>
            </w:r>
            <w:r w:rsidRPr="00F550DD">
              <w:rPr>
                <w:rFonts w:eastAsia="Times New Roman"/>
                <w:sz w:val="18"/>
                <w:szCs w:val="18"/>
                <w:lang w:val="en-US" w:eastAsia="ja-JP" w:bidi="he-IL"/>
              </w:rPr>
              <w:t xml:space="preserve"> million lower than Q4 2018, primarily driven</w:t>
            </w:r>
            <w:r>
              <w:rPr>
                <w:rFonts w:eastAsia="Times New Roman"/>
                <w:sz w:val="18"/>
                <w:szCs w:val="18"/>
                <w:lang w:val="en-US" w:eastAsia="ja-JP" w:bidi="he-IL"/>
              </w:rPr>
              <w:t xml:space="preserve"> by mortgage margin pressure,</w:t>
            </w:r>
            <w:r w:rsidRPr="00F550DD">
              <w:rPr>
                <w:rFonts w:eastAsia="Times New Roman"/>
                <w:sz w:val="18"/>
                <w:szCs w:val="18"/>
                <w:lang w:val="en-US" w:eastAsia="ja-JP" w:bidi="he-IL"/>
              </w:rPr>
              <w:t xml:space="preserve"> interest in suspense recoveries</w:t>
            </w:r>
            <w:r>
              <w:rPr>
                <w:rFonts w:eastAsia="Times New Roman"/>
                <w:sz w:val="18"/>
                <w:szCs w:val="18"/>
                <w:lang w:val="en-US" w:eastAsia="ja-JP" w:bidi="he-IL"/>
              </w:rPr>
              <w:t xml:space="preserve"> and lower debt sale gains.</w:t>
            </w:r>
          </w:p>
        </w:tc>
      </w:tr>
      <w:tr w:rsidR="0064628A" w:rsidTr="005F64C9">
        <w:tc>
          <w:tcPr>
            <w:tcW w:w="326" w:type="dxa"/>
          </w:tcPr>
          <w:p w:rsidR="00F07BE6" w:rsidRPr="00083324" w:rsidRDefault="00FC1FDC" w:rsidP="005F64C9">
            <w:pPr>
              <w:pStyle w:val="Normal00"/>
              <w:spacing w:line="264" w:lineRule="auto"/>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880" w:type="dxa"/>
          </w:tcPr>
          <w:p w:rsidR="00F07BE6" w:rsidRPr="00087389" w:rsidRDefault="00FC1FDC" w:rsidP="00F07BE6">
            <w:pPr>
              <w:pStyle w:val="Normal30"/>
              <w:spacing w:line="259" w:lineRule="auto"/>
              <w:rPr>
                <w:rFonts w:eastAsia="Times New Roman"/>
                <w:sz w:val="18"/>
                <w:szCs w:val="18"/>
                <w:lang w:val="en-US" w:eastAsia="ja-JP" w:bidi="he-IL"/>
              </w:rPr>
            </w:pPr>
            <w:r w:rsidRPr="00087389">
              <w:rPr>
                <w:rFonts w:eastAsia="Times New Roman"/>
                <w:sz w:val="18"/>
                <w:szCs w:val="18"/>
                <w:lang w:val="en-US" w:eastAsia="ja-JP" w:bidi="he-IL"/>
              </w:rPr>
              <w:t>Excluding strategic, litigation and conduct costs, operating expenses were £</w:t>
            </w:r>
            <w:r>
              <w:rPr>
                <w:rFonts w:eastAsia="Times New Roman"/>
                <w:sz w:val="18"/>
                <w:szCs w:val="18"/>
                <w:lang w:val="en-US" w:eastAsia="ja-JP" w:bidi="he-IL"/>
              </w:rPr>
              <w:t xml:space="preserve">18 </w:t>
            </w:r>
            <w:r w:rsidRPr="00087389">
              <w:rPr>
                <w:rFonts w:eastAsia="Times New Roman"/>
                <w:sz w:val="18"/>
                <w:szCs w:val="18"/>
                <w:lang w:val="en-US" w:eastAsia="ja-JP" w:bidi="he-IL"/>
              </w:rPr>
              <w:t>m</w:t>
            </w:r>
            <w:r>
              <w:rPr>
                <w:rFonts w:eastAsia="Times New Roman"/>
                <w:sz w:val="18"/>
                <w:szCs w:val="18"/>
                <w:lang w:val="en-US" w:eastAsia="ja-JP" w:bidi="he-IL"/>
              </w:rPr>
              <w:t>illion lower than Q4</w:t>
            </w:r>
            <w:r w:rsidRPr="00087389">
              <w:rPr>
                <w:rFonts w:eastAsia="Times New Roman"/>
                <w:sz w:val="18"/>
                <w:szCs w:val="18"/>
                <w:lang w:val="en-US" w:eastAsia="ja-JP" w:bidi="he-IL"/>
              </w:rPr>
              <w:t xml:space="preserve"> 2018 due to headcount reductions</w:t>
            </w:r>
            <w:r>
              <w:rPr>
                <w:rFonts w:eastAsia="Times New Roman"/>
                <w:sz w:val="18"/>
                <w:szCs w:val="18"/>
                <w:lang w:val="en-US" w:eastAsia="ja-JP" w:bidi="he-IL"/>
              </w:rPr>
              <w:t>,</w:t>
            </w:r>
            <w:r w:rsidRPr="00087389">
              <w:rPr>
                <w:rFonts w:eastAsia="Times New Roman"/>
                <w:sz w:val="18"/>
                <w:szCs w:val="18"/>
                <w:lang w:val="en-US" w:eastAsia="ja-JP" w:bidi="he-IL"/>
              </w:rPr>
              <w:t xml:space="preserve"> partially offset by increased fraud costs. </w:t>
            </w:r>
          </w:p>
        </w:tc>
      </w:tr>
    </w:tbl>
    <w:p w:rsidR="004F5E62" w:rsidRPr="00572AEE" w:rsidRDefault="00FC1FDC" w:rsidP="004F5E62">
      <w:pPr>
        <w:pStyle w:val="Normal00"/>
        <w:spacing w:line="259" w:lineRule="auto"/>
        <w:jc w:val="both"/>
        <w:rPr>
          <w:rFonts w:ascii="Arial" w:hAnsi="Arial" w:cs="Arial"/>
          <w:b/>
          <w:color w:val="003366"/>
          <w:sz w:val="18"/>
          <w:szCs w:val="18"/>
          <w:lang w:eastAsia="ja-JP"/>
        </w:rPr>
      </w:pPr>
      <w:r>
        <w:rPr>
          <w:rFonts w:ascii="Arial" w:hAnsi="Arial" w:cs="Arial"/>
          <w:b/>
          <w:color w:val="003366"/>
          <w:sz w:val="20"/>
          <w:szCs w:val="20"/>
          <w:lang w:eastAsia="ja-JP"/>
        </w:rPr>
        <w:br w:type="page"/>
      </w:r>
      <w:r w:rsidRPr="00572AEE">
        <w:rPr>
          <w:rFonts w:ascii="Arial" w:hAnsi="Arial" w:cs="Arial"/>
          <w:b/>
          <w:color w:val="003366"/>
          <w:sz w:val="18"/>
          <w:szCs w:val="18"/>
          <w:lang w:eastAsia="ja-JP"/>
        </w:rPr>
        <w:lastRenderedPageBreak/>
        <w:t>Business performance summary</w:t>
      </w:r>
    </w:p>
    <w:p w:rsidR="004F5E62" w:rsidRPr="00A16788" w:rsidRDefault="00FC1FDC" w:rsidP="004F5E62">
      <w:pPr>
        <w:pStyle w:val="Normal00"/>
        <w:spacing w:line="259" w:lineRule="auto"/>
        <w:rPr>
          <w:rFonts w:ascii="Arial" w:hAnsi="Arial" w:cs="Arial"/>
          <w:b/>
          <w:color w:val="003366"/>
          <w:sz w:val="18"/>
          <w:szCs w:val="18"/>
          <w:lang w:eastAsia="ja-JP"/>
        </w:rPr>
      </w:pPr>
      <w:r w:rsidRPr="00A16788">
        <w:rPr>
          <w:rFonts w:ascii="Arial" w:hAnsi="Arial" w:cs="Arial"/>
          <w:b/>
          <w:color w:val="0A2F64"/>
          <w:sz w:val="18"/>
          <w:szCs w:val="18"/>
          <w:lang w:eastAsia="ja-JP"/>
        </w:rPr>
        <w:t>Ulster Bank RoI</w:t>
      </w:r>
    </w:p>
    <w:sdt>
      <w:sdtPr>
        <w:tag w:val="&lt;ReportPackage&gt;&lt;EmbeddedContent id=&quot;00a98673-0834-4acf-a7b3-dc8d97b65e0a&quot; lastModified=&quot;1581639490587&quot;/&gt;&lt;/ReportPackage&gt;"/>
        <w:id w:val="1716923816"/>
        <w:lock w:val="contentLocked"/>
        <w:placeholder>
          <w:docPart w:val="5D6C305170CF45B7AB3C218063E2CACF"/>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4475"/>
            <w:gridCol w:w="1109"/>
            <w:gridCol w:w="1109"/>
            <w:gridCol w:w="60"/>
            <w:gridCol w:w="1109"/>
            <w:gridCol w:w="1109"/>
            <w:gridCol w:w="1109"/>
          </w:tblGrid>
          <w:tr w:rsidR="0064628A">
            <w:trPr>
              <w:trHeight w:val="210"/>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2220" w:type="dxa"/>
                <w:gridSpan w:val="2"/>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Year ended and as at</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3330" w:type="dxa"/>
                <w:gridSpan w:val="3"/>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Quarter ended and as at</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30 September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income</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647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689</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165</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expenses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(630)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(657)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(184)</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releases/(losses)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profit/(loss)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Return on equity</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0.5%</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0.4%</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margin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1.79%</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1.73%</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Cost:income ratio</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97.4%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95.6%</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100.7%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90.3%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111.6%</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Loan impairment rate</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(17)bps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8bps</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9bps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(34)bps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(38)bps</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2060"/>
                    <w:szCs w:val="16"/>
                  </w:rPr>
                </w:pP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€bn</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€bn</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€bn</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loans to customers (amortised cost)</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21.4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21.0</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Customer deposits</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21.7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20.1</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RWAs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16.4</w:t>
                </w:r>
              </w:p>
            </w:tc>
          </w:tr>
        </w:tbl>
      </w:sdtContent>
    </w:sdt>
    <w:p w:rsidR="00EB3C2A" w:rsidRPr="00A645AC" w:rsidRDefault="00EB3C2A" w:rsidP="004F5E62">
      <w:pPr>
        <w:rPr>
          <w:color w:val="003366"/>
          <w:szCs w:val="18"/>
          <w:lang w:eastAsia="ja-JP"/>
        </w:rPr>
      </w:pPr>
    </w:p>
    <w:tbl>
      <w:tblPr>
        <w:tblW w:w="10206" w:type="dxa"/>
        <w:tblLook w:val="01E0" w:firstRow="1" w:lastRow="1" w:firstColumn="1" w:lastColumn="1" w:noHBand="0" w:noVBand="0"/>
      </w:tblPr>
      <w:tblGrid>
        <w:gridCol w:w="326"/>
        <w:gridCol w:w="9880"/>
      </w:tblGrid>
      <w:tr w:rsidR="0064628A" w:rsidTr="00087389">
        <w:trPr>
          <w:trHeight w:val="220"/>
        </w:trPr>
        <w:tc>
          <w:tcPr>
            <w:tcW w:w="10206" w:type="dxa"/>
            <w:gridSpan w:val="2"/>
          </w:tcPr>
          <w:p w:rsidR="0084657D" w:rsidRDefault="00FC1FDC" w:rsidP="00FB2D2F">
            <w:pPr>
              <w:pStyle w:val="Normal00"/>
              <w:spacing w:line="264" w:lineRule="auto"/>
              <w:rPr>
                <w:rFonts w:ascii="Arial" w:hAnsi="Arial" w:cs="Arial"/>
                <w:color w:val="003366"/>
                <w:sz w:val="18"/>
                <w:szCs w:val="18"/>
                <w:lang w:eastAsia="ja-JP"/>
              </w:rPr>
            </w:pPr>
            <w:r w:rsidRPr="0049242C">
              <w:rPr>
                <w:rFonts w:ascii="Arial" w:hAnsi="Arial" w:cs="Arial"/>
                <w:sz w:val="18"/>
                <w:szCs w:val="18"/>
                <w:lang w:val="en-US" w:eastAsia="ja-JP" w:bidi="he-IL"/>
              </w:rPr>
              <w:t xml:space="preserve">Ulster </w:t>
            </w:r>
            <w:r w:rsidRPr="00EA4079">
              <w:rPr>
                <w:rFonts w:ascii="Arial" w:hAnsi="Arial" w:cs="Arial"/>
                <w:sz w:val="18"/>
                <w:szCs w:val="18"/>
                <w:lang w:val="en-US" w:eastAsia="ja-JP" w:bidi="he-IL"/>
              </w:rPr>
              <w:t xml:space="preserve">Bank RoI continued to strengthen its digital proposition in 2019 through enhancements to digital and mobile customer offerings. </w:t>
            </w:r>
            <w:r w:rsidRPr="00EA4079">
              <w:rPr>
                <w:rFonts w:ascii="Arial" w:hAnsi="Arial" w:cs="Arial"/>
                <w:sz w:val="18"/>
                <w:szCs w:val="18"/>
              </w:rPr>
              <w:t>70% of active current account customers are now on digital channels, with 48% using the mobile app which now includes new app services to enable customers to lock and unlock their debit cards, create savings goals and explore how they are spending their money.</w:t>
            </w:r>
          </w:p>
        </w:tc>
      </w:tr>
      <w:tr w:rsidR="0064628A" w:rsidTr="00087389">
        <w:trPr>
          <w:trHeight w:val="220"/>
        </w:trPr>
        <w:tc>
          <w:tcPr>
            <w:tcW w:w="10206" w:type="dxa"/>
            <w:gridSpan w:val="2"/>
          </w:tcPr>
          <w:p w:rsidR="0084657D" w:rsidRDefault="0084657D" w:rsidP="004F5E62">
            <w:pPr>
              <w:pStyle w:val="Normal00"/>
              <w:spacing w:line="264" w:lineRule="auto"/>
              <w:rPr>
                <w:rFonts w:ascii="Arial" w:hAnsi="Arial" w:cs="Arial"/>
                <w:color w:val="003366"/>
                <w:sz w:val="18"/>
                <w:szCs w:val="18"/>
                <w:lang w:eastAsia="ja-JP"/>
              </w:rPr>
            </w:pPr>
          </w:p>
        </w:tc>
      </w:tr>
      <w:tr w:rsidR="0064628A" w:rsidTr="00087389">
        <w:trPr>
          <w:trHeight w:val="220"/>
        </w:trPr>
        <w:tc>
          <w:tcPr>
            <w:tcW w:w="10206" w:type="dxa"/>
            <w:gridSpan w:val="2"/>
          </w:tcPr>
          <w:p w:rsidR="004F5E62" w:rsidRPr="00083324" w:rsidRDefault="00FC1FDC" w:rsidP="004F5E62">
            <w:pPr>
              <w:pStyle w:val="Normal00"/>
              <w:spacing w:line="264" w:lineRule="auto"/>
              <w:rPr>
                <w:rFonts w:ascii="Arial" w:hAnsi="Arial" w:cs="Arial"/>
                <w:color w:val="003366"/>
                <w:sz w:val="18"/>
                <w:szCs w:val="18"/>
                <w:lang w:eastAsia="ja-JP"/>
              </w:rPr>
            </w:pPr>
            <w:r>
              <w:rPr>
                <w:rFonts w:ascii="Arial" w:hAnsi="Arial" w:cs="Arial"/>
                <w:color w:val="003366"/>
                <w:sz w:val="18"/>
                <w:szCs w:val="18"/>
                <w:lang w:eastAsia="ja-JP"/>
              </w:rPr>
              <w:t>2019</w:t>
            </w:r>
            <w:r w:rsidRPr="00083324">
              <w:rPr>
                <w:rFonts w:ascii="Arial" w:hAnsi="Arial" w:cs="Arial"/>
                <w:color w:val="003366"/>
                <w:sz w:val="18"/>
                <w:szCs w:val="18"/>
                <w:lang w:eastAsia="ja-JP"/>
              </w:rPr>
              <w:t xml:space="preserve"> compared with 201</w:t>
            </w:r>
            <w:r>
              <w:rPr>
                <w:rFonts w:ascii="Arial" w:hAnsi="Arial" w:cs="Arial"/>
                <w:color w:val="003366"/>
                <w:sz w:val="18"/>
                <w:szCs w:val="18"/>
                <w:lang w:eastAsia="ja-JP"/>
              </w:rPr>
              <w:t>8</w:t>
            </w:r>
          </w:p>
        </w:tc>
      </w:tr>
      <w:tr w:rsidR="0064628A" w:rsidTr="00087389">
        <w:trPr>
          <w:trHeight w:val="858"/>
        </w:trPr>
        <w:tc>
          <w:tcPr>
            <w:tcW w:w="326" w:type="dxa"/>
          </w:tcPr>
          <w:p w:rsidR="00F07BE6" w:rsidRPr="00083324" w:rsidRDefault="00FC1FDC" w:rsidP="005F64C9">
            <w:pPr>
              <w:pStyle w:val="Normal00"/>
              <w:spacing w:line="264" w:lineRule="auto"/>
              <w:rPr>
                <w:rFonts w:ascii="Arial" w:hAnsi="Arial" w:cs="Arial"/>
              </w:rPr>
            </w:pPr>
            <w:r w:rsidRPr="00083324">
              <w:rPr>
                <w:rFonts w:eastAsia="SimSun"/>
                <w:color w:val="003366"/>
                <w:sz w:val="18"/>
                <w:szCs w:val="18"/>
                <w:lang w:eastAsia="ja-JP"/>
              </w:rPr>
              <w:t>●</w:t>
            </w:r>
          </w:p>
        </w:tc>
        <w:tc>
          <w:tcPr>
            <w:tcW w:w="9880" w:type="dxa"/>
          </w:tcPr>
          <w:p w:rsidR="00F07BE6" w:rsidRPr="00BC678E" w:rsidRDefault="00FC1FDC" w:rsidP="00F07BE6">
            <w:pPr>
              <w:pStyle w:val="Normal30"/>
              <w:spacing w:line="259" w:lineRule="auto"/>
              <w:rPr>
                <w:rFonts w:eastAsia="Times New Roman"/>
                <w:sz w:val="18"/>
                <w:szCs w:val="18"/>
                <w:lang w:val="en-US" w:eastAsia="ja-JP" w:bidi="he-IL"/>
              </w:rPr>
            </w:pPr>
            <w:r w:rsidRPr="00BC678E">
              <w:rPr>
                <w:rFonts w:eastAsia="Times New Roman"/>
                <w:sz w:val="18"/>
                <w:szCs w:val="18"/>
                <w:lang w:val="en-US" w:eastAsia="ja-JP" w:bidi="he-IL"/>
              </w:rPr>
              <w:t>Total income was €</w:t>
            </w:r>
            <w:r>
              <w:rPr>
                <w:rFonts w:eastAsia="Times New Roman"/>
                <w:sz w:val="18"/>
                <w:szCs w:val="18"/>
                <w:lang w:val="en-US" w:eastAsia="ja-JP" w:bidi="he-IL"/>
              </w:rPr>
              <w:t>42</w:t>
            </w:r>
            <w:r w:rsidRPr="00BC678E">
              <w:rPr>
                <w:rFonts w:eastAsia="Times New Roman"/>
                <w:sz w:val="18"/>
                <w:szCs w:val="18"/>
                <w:lang w:val="en-US" w:eastAsia="ja-JP" w:bidi="he-IL"/>
              </w:rPr>
              <w:t xml:space="preserve"> million, or </w:t>
            </w:r>
            <w:r>
              <w:rPr>
                <w:rFonts w:eastAsia="Times New Roman"/>
                <w:sz w:val="18"/>
                <w:szCs w:val="18"/>
                <w:lang w:val="en-US" w:eastAsia="ja-JP" w:bidi="he-IL"/>
              </w:rPr>
              <w:t>6.1</w:t>
            </w:r>
            <w:r w:rsidRPr="00BC678E">
              <w:rPr>
                <w:rFonts w:eastAsia="Times New Roman"/>
                <w:sz w:val="18"/>
                <w:szCs w:val="18"/>
                <w:lang w:val="en-US" w:eastAsia="ja-JP" w:bidi="he-IL"/>
              </w:rPr>
              <w:t>% lower than</w:t>
            </w:r>
            <w:r>
              <w:rPr>
                <w:rFonts w:eastAsia="Times New Roman"/>
                <w:sz w:val="18"/>
                <w:szCs w:val="18"/>
                <w:lang w:val="en-US" w:eastAsia="ja-JP" w:bidi="he-IL"/>
              </w:rPr>
              <w:t xml:space="preserve"> 2018 primarily reflecting reduced</w:t>
            </w:r>
            <w:r w:rsidRPr="00BC678E">
              <w:rPr>
                <w:rFonts w:eastAsia="Times New Roman"/>
                <w:sz w:val="18"/>
                <w:szCs w:val="18"/>
                <w:lang w:val="en-US" w:eastAsia="ja-JP" w:bidi="he-IL"/>
              </w:rPr>
              <w:t xml:space="preserve"> income from non-performing loans (NPLs)</w:t>
            </w:r>
            <w:r>
              <w:rPr>
                <w:rFonts w:eastAsia="Times New Roman"/>
                <w:sz w:val="18"/>
                <w:szCs w:val="18"/>
                <w:lang w:val="en-US" w:eastAsia="ja-JP" w:bidi="he-IL"/>
              </w:rPr>
              <w:t xml:space="preserve"> following the sale of a portfolio of assets, largely completed in 2018, and </w:t>
            </w:r>
            <w:r w:rsidRPr="00BC678E">
              <w:rPr>
                <w:rFonts w:eastAsia="Times New Roman"/>
                <w:sz w:val="18"/>
                <w:szCs w:val="18"/>
                <w:lang w:val="en-US" w:eastAsia="ja-JP" w:bidi="he-IL"/>
              </w:rPr>
              <w:t>an</w:t>
            </w:r>
            <w:r>
              <w:rPr>
                <w:rFonts w:eastAsia="Times New Roman"/>
                <w:sz w:val="18"/>
                <w:szCs w:val="18"/>
                <w:lang w:val="en-US" w:eastAsia="ja-JP" w:bidi="he-IL"/>
              </w:rPr>
              <w:t xml:space="preserve"> income reduction from an</w:t>
            </w:r>
            <w:r w:rsidRPr="00BC678E">
              <w:rPr>
                <w:rFonts w:eastAsia="Times New Roman"/>
                <w:sz w:val="18"/>
                <w:szCs w:val="18"/>
                <w:lang w:val="en-US" w:eastAsia="ja-JP" w:bidi="he-IL"/>
              </w:rPr>
              <w:t xml:space="preserve"> IFRS 9 accounting change </w:t>
            </w:r>
            <w:r>
              <w:rPr>
                <w:rFonts w:eastAsia="Times New Roman"/>
                <w:sz w:val="18"/>
                <w:szCs w:val="18"/>
                <w:lang w:val="en-US" w:eastAsia="ja-JP" w:bidi="he-IL"/>
              </w:rPr>
              <w:t xml:space="preserve">in 2019 </w:t>
            </w:r>
            <w:r w:rsidRPr="00BC678E">
              <w:rPr>
                <w:rFonts w:eastAsia="Times New Roman"/>
                <w:sz w:val="18"/>
                <w:szCs w:val="18"/>
                <w:lang w:val="en-US" w:eastAsia="ja-JP" w:bidi="he-IL"/>
              </w:rPr>
              <w:t>for interest in suspense recoveries of €2</w:t>
            </w:r>
            <w:r>
              <w:rPr>
                <w:rFonts w:eastAsia="Times New Roman"/>
                <w:sz w:val="18"/>
                <w:szCs w:val="18"/>
                <w:lang w:val="en-US" w:eastAsia="ja-JP" w:bidi="he-IL"/>
              </w:rPr>
              <w:t>3</w:t>
            </w:r>
            <w:r w:rsidRPr="00BC678E">
              <w:rPr>
                <w:rFonts w:eastAsia="Times New Roman"/>
                <w:sz w:val="18"/>
                <w:szCs w:val="18"/>
                <w:lang w:val="en-US" w:eastAsia="ja-JP" w:bidi="he-IL"/>
              </w:rPr>
              <w:t xml:space="preserve"> million</w:t>
            </w:r>
            <w:r>
              <w:rPr>
                <w:rFonts w:eastAsia="Times New Roman"/>
                <w:sz w:val="18"/>
                <w:szCs w:val="18"/>
                <w:lang w:val="en-US" w:eastAsia="ja-JP" w:bidi="he-IL"/>
              </w:rPr>
              <w:t>, with an offsetting impact in impairments</w:t>
            </w:r>
            <w:r w:rsidRPr="00BC678E">
              <w:rPr>
                <w:rFonts w:eastAsia="Times New Roman"/>
                <w:sz w:val="18"/>
                <w:szCs w:val="18"/>
                <w:lang w:val="en-US" w:eastAsia="ja-JP" w:bidi="he-IL"/>
              </w:rPr>
              <w:t xml:space="preserve">. </w:t>
            </w:r>
            <w:r>
              <w:rPr>
                <w:rFonts w:eastAsia="Times New Roman"/>
                <w:sz w:val="18"/>
                <w:szCs w:val="18"/>
                <w:lang w:val="en-US" w:eastAsia="ja-JP" w:bidi="he-IL"/>
              </w:rPr>
              <w:t>These movements contributed to</w:t>
            </w:r>
            <w:r w:rsidRPr="00747767">
              <w:rPr>
                <w:rFonts w:eastAsia="Times New Roman"/>
                <w:sz w:val="18"/>
                <w:szCs w:val="18"/>
                <w:lang w:val="en-US" w:eastAsia="ja-JP" w:bidi="he-IL"/>
              </w:rPr>
              <w:t xml:space="preserve"> a</w:t>
            </w:r>
            <w:r w:rsidRPr="000D5304">
              <w:rPr>
                <w:rFonts w:eastAsia="Times New Roman"/>
                <w:sz w:val="18"/>
                <w:szCs w:val="18"/>
                <w:lang w:val="en-US" w:eastAsia="ja-JP" w:bidi="he-IL"/>
              </w:rPr>
              <w:t xml:space="preserve"> 20 basis points decrease in net interest margin</w:t>
            </w:r>
            <w:r>
              <w:rPr>
                <w:rFonts w:eastAsia="Times New Roman"/>
                <w:sz w:val="18"/>
                <w:szCs w:val="18"/>
                <w:lang w:val="en-US" w:eastAsia="ja-JP" w:bidi="he-IL"/>
              </w:rPr>
              <w:t xml:space="preserve"> compared with 2018.</w:t>
            </w:r>
          </w:p>
        </w:tc>
      </w:tr>
      <w:tr w:rsidR="0064628A" w:rsidTr="00087389">
        <w:trPr>
          <w:trHeight w:val="466"/>
        </w:trPr>
        <w:tc>
          <w:tcPr>
            <w:tcW w:w="326" w:type="dxa"/>
          </w:tcPr>
          <w:p w:rsidR="00F07BE6" w:rsidRPr="00083324" w:rsidRDefault="00FC1FDC" w:rsidP="005F64C9">
            <w:pPr>
              <w:pStyle w:val="Normal00"/>
              <w:spacing w:line="264" w:lineRule="auto"/>
              <w:rPr>
                <w:rFonts w:ascii="Arial" w:hAnsi="Arial" w:cs="Arial"/>
              </w:rPr>
            </w:pPr>
            <w:r w:rsidRPr="00083324">
              <w:rPr>
                <w:rFonts w:eastAsia="SimSun"/>
                <w:color w:val="003366"/>
                <w:sz w:val="18"/>
                <w:szCs w:val="18"/>
                <w:lang w:eastAsia="ja-JP"/>
              </w:rPr>
              <w:t>●</w:t>
            </w:r>
          </w:p>
        </w:tc>
        <w:tc>
          <w:tcPr>
            <w:tcW w:w="9880" w:type="dxa"/>
          </w:tcPr>
          <w:p w:rsidR="00F07BE6" w:rsidRPr="00BC678E" w:rsidRDefault="00FC1FDC" w:rsidP="00F07BE6">
            <w:pPr>
              <w:pStyle w:val="Normal30"/>
              <w:spacing w:line="259" w:lineRule="auto"/>
              <w:rPr>
                <w:rFonts w:eastAsia="Times New Roman"/>
                <w:sz w:val="18"/>
                <w:szCs w:val="18"/>
                <w:lang w:val="en-US" w:eastAsia="ja-JP" w:bidi="he-IL"/>
              </w:rPr>
            </w:pPr>
            <w:r w:rsidRPr="00BC678E">
              <w:rPr>
                <w:rFonts w:eastAsia="Times New Roman"/>
                <w:sz w:val="18"/>
                <w:szCs w:val="18"/>
                <w:lang w:val="en-US" w:eastAsia="ja-JP" w:bidi="he-IL"/>
              </w:rPr>
              <w:t>Excluding strategic, conduct and litigation costs, operating expenses decre</w:t>
            </w:r>
            <w:r>
              <w:rPr>
                <w:rFonts w:eastAsia="Times New Roman"/>
                <w:sz w:val="18"/>
                <w:szCs w:val="18"/>
                <w:lang w:val="en-US" w:eastAsia="ja-JP" w:bidi="he-IL"/>
              </w:rPr>
              <w:t>ased by €16 million, or 2.9%,</w:t>
            </w:r>
            <w:r w:rsidRPr="00BC678E">
              <w:rPr>
                <w:rFonts w:eastAsia="Times New Roman"/>
                <w:sz w:val="18"/>
                <w:szCs w:val="18"/>
                <w:lang w:val="en-US" w:eastAsia="ja-JP" w:bidi="he-IL"/>
              </w:rPr>
              <w:t xml:space="preserve"> due to reduced project and pension costs and </w:t>
            </w:r>
            <w:r>
              <w:rPr>
                <w:rFonts w:eastAsia="Times New Roman"/>
                <w:sz w:val="18"/>
                <w:szCs w:val="18"/>
                <w:lang w:val="en-US" w:eastAsia="ja-JP" w:bidi="he-IL"/>
              </w:rPr>
              <w:t xml:space="preserve">other efficiencies </w:t>
            </w:r>
            <w:r w:rsidRPr="00BC678E">
              <w:rPr>
                <w:rFonts w:eastAsia="Times New Roman"/>
                <w:sz w:val="18"/>
                <w:szCs w:val="18"/>
                <w:lang w:val="en-US" w:eastAsia="ja-JP" w:bidi="he-IL"/>
              </w:rPr>
              <w:t xml:space="preserve">which resulted in a headcount reduction of </w:t>
            </w:r>
            <w:r>
              <w:rPr>
                <w:rFonts w:eastAsia="Times New Roman"/>
                <w:sz w:val="18"/>
                <w:szCs w:val="18"/>
                <w:lang w:val="en-US" w:eastAsia="ja-JP" w:bidi="he-IL"/>
              </w:rPr>
              <w:t>6.5</w:t>
            </w:r>
            <w:r w:rsidRPr="00BC678E">
              <w:rPr>
                <w:rFonts w:eastAsia="Times New Roman"/>
                <w:sz w:val="18"/>
                <w:szCs w:val="18"/>
                <w:lang w:val="en-US" w:eastAsia="ja-JP" w:bidi="he-IL"/>
              </w:rPr>
              <w:t>%, partially offset by higher levies and increased risk and compliance costs.</w:t>
            </w:r>
          </w:p>
        </w:tc>
      </w:tr>
      <w:tr w:rsidR="0064628A" w:rsidTr="00087389">
        <w:tc>
          <w:tcPr>
            <w:tcW w:w="326" w:type="dxa"/>
          </w:tcPr>
          <w:p w:rsidR="00F07BE6" w:rsidRPr="00083324" w:rsidRDefault="00FC1FDC" w:rsidP="005F64C9">
            <w:pPr>
              <w:pStyle w:val="Normal00"/>
              <w:spacing w:line="264" w:lineRule="auto"/>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880" w:type="dxa"/>
          </w:tcPr>
          <w:p w:rsidR="00F07BE6" w:rsidRPr="00BC678E" w:rsidRDefault="00FC1FDC" w:rsidP="00F07BE6">
            <w:pPr>
              <w:pStyle w:val="Normal30"/>
              <w:spacing w:line="259" w:lineRule="auto"/>
              <w:rPr>
                <w:rFonts w:eastAsia="Times New Roman"/>
                <w:sz w:val="18"/>
                <w:szCs w:val="18"/>
                <w:lang w:val="en-US" w:eastAsia="ja-JP" w:bidi="he-IL"/>
              </w:rPr>
            </w:pPr>
            <w:r w:rsidRPr="00BC678E">
              <w:rPr>
                <w:rFonts w:eastAsia="Times New Roman"/>
                <w:sz w:val="18"/>
                <w:szCs w:val="18"/>
                <w:lang w:val="en-US" w:eastAsia="ja-JP" w:bidi="he-IL"/>
              </w:rPr>
              <w:t>A net impairment release of €</w:t>
            </w:r>
            <w:r>
              <w:rPr>
                <w:rFonts w:eastAsia="Times New Roman"/>
                <w:sz w:val="18"/>
                <w:szCs w:val="18"/>
                <w:lang w:val="en-US" w:eastAsia="ja-JP" w:bidi="he-IL"/>
              </w:rPr>
              <w:t>38</w:t>
            </w:r>
            <w:r w:rsidRPr="00BC678E">
              <w:rPr>
                <w:rFonts w:eastAsia="Times New Roman"/>
                <w:sz w:val="18"/>
                <w:szCs w:val="18"/>
                <w:lang w:val="en-US" w:eastAsia="ja-JP" w:bidi="he-IL"/>
              </w:rPr>
              <w:t xml:space="preserve"> million reflects improvements in the performance of the loan portfolio</w:t>
            </w:r>
            <w:r>
              <w:rPr>
                <w:rFonts w:eastAsia="Times New Roman"/>
                <w:sz w:val="18"/>
                <w:szCs w:val="18"/>
                <w:lang w:val="en-US" w:eastAsia="ja-JP" w:bidi="he-IL"/>
              </w:rPr>
              <w:t xml:space="preserve"> and the accounting change for interest in suspense recoveries</w:t>
            </w:r>
            <w:r w:rsidRPr="00BC678E">
              <w:rPr>
                <w:rFonts w:eastAsia="Times New Roman"/>
                <w:sz w:val="18"/>
                <w:szCs w:val="18"/>
                <w:lang w:val="en-US" w:eastAsia="ja-JP" w:bidi="he-IL"/>
              </w:rPr>
              <w:t>, part</w:t>
            </w:r>
            <w:r>
              <w:rPr>
                <w:rFonts w:eastAsia="Times New Roman"/>
                <w:sz w:val="18"/>
                <w:szCs w:val="18"/>
                <w:lang w:val="en-US" w:eastAsia="ja-JP" w:bidi="he-IL"/>
              </w:rPr>
              <w:t>ia</w:t>
            </w:r>
            <w:r w:rsidRPr="00BC678E">
              <w:rPr>
                <w:rFonts w:eastAsia="Times New Roman"/>
                <w:sz w:val="18"/>
                <w:szCs w:val="18"/>
                <w:lang w:val="en-US" w:eastAsia="ja-JP" w:bidi="he-IL"/>
              </w:rPr>
              <w:t>l</w:t>
            </w:r>
            <w:r>
              <w:rPr>
                <w:rFonts w:eastAsia="Times New Roman"/>
                <w:sz w:val="18"/>
                <w:szCs w:val="18"/>
                <w:lang w:val="en-US" w:eastAsia="ja-JP" w:bidi="he-IL"/>
              </w:rPr>
              <w:t>l</w:t>
            </w:r>
            <w:r w:rsidRPr="00BC678E">
              <w:rPr>
                <w:rFonts w:eastAsia="Times New Roman"/>
                <w:sz w:val="18"/>
                <w:szCs w:val="18"/>
                <w:lang w:val="en-US" w:eastAsia="ja-JP" w:bidi="he-IL"/>
              </w:rPr>
              <w:t>y offset by a charge for economic uncertainty.</w:t>
            </w:r>
          </w:p>
        </w:tc>
      </w:tr>
      <w:tr w:rsidR="0064628A" w:rsidTr="00087389">
        <w:tc>
          <w:tcPr>
            <w:tcW w:w="326" w:type="dxa"/>
          </w:tcPr>
          <w:p w:rsidR="00F07BE6" w:rsidRPr="00083324" w:rsidRDefault="00FC1FDC" w:rsidP="005F64C9">
            <w:pPr>
              <w:pStyle w:val="Normal00"/>
              <w:spacing w:line="264" w:lineRule="auto"/>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880" w:type="dxa"/>
          </w:tcPr>
          <w:p w:rsidR="00F07BE6" w:rsidRPr="00BC678E" w:rsidRDefault="00FC1FDC" w:rsidP="00F07BE6">
            <w:pPr>
              <w:pStyle w:val="Normal30"/>
              <w:spacing w:line="259" w:lineRule="auto"/>
              <w:rPr>
                <w:rFonts w:eastAsia="Times New Roman"/>
                <w:sz w:val="18"/>
                <w:szCs w:val="18"/>
                <w:lang w:val="en-US" w:eastAsia="ja-JP" w:bidi="he-IL"/>
              </w:rPr>
            </w:pPr>
            <w:r w:rsidRPr="009D2355">
              <w:rPr>
                <w:rFonts w:eastAsia="Times New Roman"/>
                <w:sz w:val="18"/>
                <w:szCs w:val="18"/>
                <w:lang w:val="en-US" w:eastAsia="ja-JP" w:bidi="he-IL"/>
              </w:rPr>
              <w:t>Net loans to customers increased by €0.4 billion, or 1.9%, reflecting s</w:t>
            </w:r>
            <w:r>
              <w:rPr>
                <w:rFonts w:eastAsia="Times New Roman"/>
                <w:sz w:val="18"/>
                <w:szCs w:val="18"/>
                <w:lang w:val="en-US" w:eastAsia="ja-JP" w:bidi="he-IL"/>
              </w:rPr>
              <w:t>trong lending in both the personal</w:t>
            </w:r>
            <w:r w:rsidRPr="009D2355">
              <w:rPr>
                <w:rFonts w:eastAsia="Times New Roman"/>
                <w:sz w:val="18"/>
                <w:szCs w:val="18"/>
                <w:lang w:val="en-US" w:eastAsia="ja-JP" w:bidi="he-IL"/>
              </w:rPr>
              <w:t xml:space="preserve"> and commercial sectors, partially offset by concluding the sale of a portfolio of NPLs</w:t>
            </w:r>
            <w:r>
              <w:rPr>
                <w:rFonts w:eastAsia="Times New Roman"/>
                <w:sz w:val="18"/>
                <w:szCs w:val="18"/>
                <w:lang w:val="en-US" w:eastAsia="ja-JP" w:bidi="he-IL"/>
              </w:rPr>
              <w:t xml:space="preserve">, €0.1 billion, </w:t>
            </w:r>
            <w:r w:rsidRPr="009D2355">
              <w:rPr>
                <w:rFonts w:eastAsia="Times New Roman"/>
                <w:sz w:val="18"/>
                <w:szCs w:val="18"/>
                <w:lang w:val="en-US" w:eastAsia="ja-JP" w:bidi="he-IL"/>
              </w:rPr>
              <w:t xml:space="preserve">and a continued reduction in the tracker mortgage book. </w:t>
            </w:r>
            <w:r w:rsidRPr="007F3568">
              <w:rPr>
                <w:sz w:val="18"/>
                <w:szCs w:val="18"/>
              </w:rPr>
              <w:t>Tracker mortgage balances reduced by €0.7 billion, or 8.4% compared with 2018, with Tracker balances accounting for 38.2% of total net loans at the end of 2019</w:t>
            </w:r>
            <w:r w:rsidRPr="007F3568">
              <w:rPr>
                <w:rFonts w:eastAsia="Times New Roman"/>
                <w:sz w:val="18"/>
                <w:szCs w:val="18"/>
                <w:lang w:val="en-US" w:eastAsia="ja-JP" w:bidi="he-IL"/>
              </w:rPr>
              <w:t>. The business</w:t>
            </w:r>
            <w:r w:rsidRPr="009D2355">
              <w:rPr>
                <w:rFonts w:eastAsia="Times New Roman"/>
                <w:sz w:val="18"/>
                <w:szCs w:val="18"/>
                <w:lang w:val="en-US" w:eastAsia="ja-JP" w:bidi="he-IL"/>
              </w:rPr>
              <w:t xml:space="preserve"> maintained a prudent approach to risk and pricing in a competitive market, with gross new lending of €3.0 billion in 2019, 13</w:t>
            </w:r>
            <w:r>
              <w:rPr>
                <w:rFonts w:eastAsia="Times New Roman"/>
                <w:sz w:val="18"/>
                <w:szCs w:val="18"/>
                <w:lang w:val="en-US" w:eastAsia="ja-JP" w:bidi="he-IL"/>
              </w:rPr>
              <w:t>.0</w:t>
            </w:r>
            <w:r w:rsidRPr="009D2355">
              <w:rPr>
                <w:rFonts w:eastAsia="Times New Roman"/>
                <w:sz w:val="18"/>
                <w:szCs w:val="18"/>
                <w:lang w:val="en-US" w:eastAsia="ja-JP" w:bidi="he-IL"/>
              </w:rPr>
              <w:t>% higher than 2018</w:t>
            </w:r>
            <w:r>
              <w:rPr>
                <w:rFonts w:eastAsia="Times New Roman"/>
                <w:sz w:val="18"/>
                <w:szCs w:val="18"/>
                <w:lang w:val="en-US" w:eastAsia="ja-JP" w:bidi="he-IL"/>
              </w:rPr>
              <w:t>.</w:t>
            </w:r>
          </w:p>
        </w:tc>
      </w:tr>
      <w:tr w:rsidR="0064628A" w:rsidTr="00087389">
        <w:tc>
          <w:tcPr>
            <w:tcW w:w="326" w:type="dxa"/>
          </w:tcPr>
          <w:p w:rsidR="00F07BE6" w:rsidRPr="00083324" w:rsidRDefault="00FC1FDC" w:rsidP="005F64C9">
            <w:pPr>
              <w:pStyle w:val="Normal00"/>
              <w:spacing w:line="264" w:lineRule="auto"/>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880" w:type="dxa"/>
          </w:tcPr>
          <w:p w:rsidR="00F07BE6" w:rsidRPr="00BC678E" w:rsidRDefault="00FC1FDC" w:rsidP="00F07BE6">
            <w:pPr>
              <w:pStyle w:val="Normal30"/>
              <w:spacing w:line="259" w:lineRule="auto"/>
              <w:rPr>
                <w:rFonts w:eastAsia="Times New Roman"/>
                <w:sz w:val="18"/>
                <w:szCs w:val="18"/>
                <w:lang w:val="en-US" w:eastAsia="ja-JP" w:bidi="he-IL"/>
              </w:rPr>
            </w:pPr>
            <w:r w:rsidRPr="00BC678E">
              <w:rPr>
                <w:rFonts w:eastAsia="Times New Roman"/>
                <w:sz w:val="18"/>
                <w:szCs w:val="18"/>
                <w:lang w:val="en-US" w:eastAsia="ja-JP" w:bidi="he-IL"/>
              </w:rPr>
              <w:t>Customer deposits increased by €</w:t>
            </w:r>
            <w:r>
              <w:rPr>
                <w:rFonts w:eastAsia="Times New Roman"/>
                <w:sz w:val="18"/>
                <w:szCs w:val="18"/>
                <w:lang w:val="en-US" w:eastAsia="ja-JP" w:bidi="he-IL"/>
              </w:rPr>
              <w:t>1.6</w:t>
            </w:r>
            <w:r w:rsidRPr="00BC678E">
              <w:rPr>
                <w:rFonts w:eastAsia="Times New Roman"/>
                <w:sz w:val="18"/>
                <w:szCs w:val="18"/>
                <w:lang w:val="en-US" w:eastAsia="ja-JP" w:bidi="he-IL"/>
              </w:rPr>
              <w:t xml:space="preserve"> billion, or </w:t>
            </w:r>
            <w:r>
              <w:rPr>
                <w:rFonts w:eastAsia="Times New Roman"/>
                <w:sz w:val="18"/>
                <w:szCs w:val="18"/>
                <w:lang w:val="en-US" w:eastAsia="ja-JP" w:bidi="he-IL"/>
              </w:rPr>
              <w:t>8.0</w:t>
            </w:r>
            <w:r w:rsidRPr="00BC678E">
              <w:rPr>
                <w:rFonts w:eastAsia="Times New Roman"/>
                <w:sz w:val="18"/>
                <w:szCs w:val="18"/>
                <w:lang w:val="en-US" w:eastAsia="ja-JP" w:bidi="he-IL"/>
              </w:rPr>
              <w:t xml:space="preserve">%, supporting a reduction in the loan:deposit ratio to </w:t>
            </w:r>
            <w:r>
              <w:rPr>
                <w:rFonts w:eastAsia="Times New Roman"/>
                <w:sz w:val="18"/>
                <w:szCs w:val="18"/>
                <w:lang w:val="en-US" w:eastAsia="ja-JP" w:bidi="he-IL"/>
              </w:rPr>
              <w:t>98</w:t>
            </w:r>
            <w:r w:rsidRPr="00BC678E">
              <w:rPr>
                <w:rFonts w:eastAsia="Times New Roman"/>
                <w:sz w:val="18"/>
                <w:szCs w:val="18"/>
                <w:lang w:val="en-US" w:eastAsia="ja-JP" w:bidi="he-IL"/>
              </w:rPr>
              <w:t xml:space="preserve">% from </w:t>
            </w:r>
            <w:r>
              <w:rPr>
                <w:rFonts w:eastAsia="Times New Roman"/>
                <w:sz w:val="18"/>
                <w:szCs w:val="18"/>
                <w:lang w:val="en-US" w:eastAsia="ja-JP" w:bidi="he-IL"/>
              </w:rPr>
              <w:t>105</w:t>
            </w:r>
            <w:r w:rsidRPr="00165ACB">
              <w:rPr>
                <w:rFonts w:eastAsia="Times New Roman"/>
                <w:sz w:val="18"/>
                <w:szCs w:val="18"/>
                <w:lang w:val="en-US" w:eastAsia="ja-JP" w:bidi="he-IL"/>
              </w:rPr>
              <w:t>%.</w:t>
            </w:r>
          </w:p>
        </w:tc>
      </w:tr>
      <w:tr w:rsidR="0064628A" w:rsidTr="00087389">
        <w:tc>
          <w:tcPr>
            <w:tcW w:w="326" w:type="dxa"/>
          </w:tcPr>
          <w:p w:rsidR="00F07BE6" w:rsidRPr="00083324" w:rsidRDefault="00FC1FDC" w:rsidP="005F64C9">
            <w:pPr>
              <w:pStyle w:val="Normal00"/>
              <w:spacing w:line="264" w:lineRule="auto"/>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880" w:type="dxa"/>
          </w:tcPr>
          <w:p w:rsidR="00F07BE6" w:rsidRPr="007E5A60" w:rsidRDefault="00FC1FDC" w:rsidP="00F07BE6">
            <w:pPr>
              <w:pStyle w:val="Normal30"/>
              <w:spacing w:line="259" w:lineRule="auto"/>
              <w:rPr>
                <w:rFonts w:eastAsia="Times New Roman"/>
                <w:sz w:val="18"/>
                <w:szCs w:val="18"/>
                <w:lang w:val="en-US" w:eastAsia="ja-JP" w:bidi="he-IL"/>
              </w:rPr>
            </w:pPr>
            <w:r w:rsidRPr="007E5A60">
              <w:rPr>
                <w:iCs/>
                <w:sz w:val="18"/>
                <w:szCs w:val="18"/>
              </w:rPr>
              <w:t>RWAs reduced by €1.1 billion, or 6.7%, principally reflecting an improvement in credit metrics and the impact of the NPL sale.</w:t>
            </w:r>
          </w:p>
        </w:tc>
      </w:tr>
      <w:tr w:rsidR="0064628A" w:rsidTr="00087389">
        <w:tc>
          <w:tcPr>
            <w:tcW w:w="10206" w:type="dxa"/>
            <w:gridSpan w:val="2"/>
          </w:tcPr>
          <w:p w:rsidR="00087389" w:rsidRDefault="00087389" w:rsidP="005F64C9">
            <w:pPr>
              <w:pStyle w:val="Normal00"/>
              <w:spacing w:line="264" w:lineRule="auto"/>
              <w:jc w:val="both"/>
              <w:rPr>
                <w:rFonts w:ascii="Arial" w:hAnsi="Arial" w:cs="Arial"/>
                <w:color w:val="003366"/>
                <w:sz w:val="18"/>
                <w:szCs w:val="18"/>
                <w:lang w:eastAsia="ja-JP"/>
              </w:rPr>
            </w:pPr>
          </w:p>
          <w:p w:rsidR="00087389" w:rsidRPr="00083324" w:rsidRDefault="00FC1FDC" w:rsidP="004F5E62">
            <w:pPr>
              <w:pStyle w:val="Normal00"/>
              <w:spacing w:line="264" w:lineRule="auto"/>
              <w:jc w:val="both"/>
              <w:rPr>
                <w:rFonts w:ascii="Arial" w:hAnsi="Arial" w:cs="Arial"/>
                <w:color w:val="003366"/>
                <w:sz w:val="18"/>
                <w:szCs w:val="18"/>
                <w:lang w:eastAsia="ja-JP"/>
              </w:rPr>
            </w:pPr>
            <w:r w:rsidRPr="00083324">
              <w:rPr>
                <w:rFonts w:ascii="Arial" w:hAnsi="Arial" w:cs="Arial"/>
                <w:color w:val="003366"/>
                <w:sz w:val="18"/>
                <w:szCs w:val="18"/>
                <w:lang w:eastAsia="ja-JP"/>
              </w:rPr>
              <w:t>Q</w:t>
            </w:r>
            <w:r>
              <w:rPr>
                <w:rFonts w:ascii="Arial" w:hAnsi="Arial" w:cs="Arial"/>
                <w:color w:val="003366"/>
                <w:sz w:val="18"/>
                <w:szCs w:val="18"/>
                <w:lang w:eastAsia="ja-JP"/>
              </w:rPr>
              <w:t>4 2019</w:t>
            </w:r>
            <w:r w:rsidRPr="00083324">
              <w:rPr>
                <w:rFonts w:ascii="Arial" w:hAnsi="Arial" w:cs="Arial"/>
                <w:color w:val="003366"/>
                <w:sz w:val="18"/>
                <w:szCs w:val="18"/>
                <w:lang w:eastAsia="ja-JP"/>
              </w:rPr>
              <w:t xml:space="preserve"> compared with Q</w:t>
            </w:r>
            <w:r>
              <w:rPr>
                <w:rFonts w:ascii="Arial" w:hAnsi="Arial" w:cs="Arial"/>
                <w:color w:val="003366"/>
                <w:sz w:val="18"/>
                <w:szCs w:val="18"/>
                <w:lang w:eastAsia="ja-JP"/>
              </w:rPr>
              <w:t>3</w:t>
            </w:r>
            <w:r w:rsidRPr="00083324">
              <w:rPr>
                <w:rFonts w:ascii="Arial" w:hAnsi="Arial" w:cs="Arial"/>
                <w:color w:val="003366"/>
                <w:sz w:val="18"/>
                <w:szCs w:val="18"/>
                <w:lang w:eastAsia="ja-JP"/>
              </w:rPr>
              <w:t xml:space="preserve"> 201</w:t>
            </w:r>
            <w:r>
              <w:rPr>
                <w:rFonts w:ascii="Arial" w:hAnsi="Arial" w:cs="Arial"/>
                <w:color w:val="003366"/>
                <w:sz w:val="18"/>
                <w:szCs w:val="18"/>
                <w:lang w:eastAsia="ja-JP"/>
              </w:rPr>
              <w:t>9</w:t>
            </w:r>
          </w:p>
        </w:tc>
      </w:tr>
      <w:tr w:rsidR="0064628A" w:rsidTr="00087389">
        <w:tc>
          <w:tcPr>
            <w:tcW w:w="326" w:type="dxa"/>
          </w:tcPr>
          <w:p w:rsidR="00F07BE6" w:rsidRPr="00083324" w:rsidRDefault="00FC1FDC" w:rsidP="005F64C9">
            <w:pPr>
              <w:pStyle w:val="Normal00"/>
              <w:spacing w:line="264" w:lineRule="auto"/>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880" w:type="dxa"/>
          </w:tcPr>
          <w:p w:rsidR="00F07BE6" w:rsidRPr="00BC678E" w:rsidRDefault="00FC1FDC" w:rsidP="00F07BE6">
            <w:pPr>
              <w:pStyle w:val="Normal30"/>
              <w:spacing w:line="259" w:lineRule="auto"/>
              <w:rPr>
                <w:rFonts w:eastAsia="Times New Roman"/>
                <w:sz w:val="18"/>
                <w:szCs w:val="18"/>
                <w:lang w:val="en-US" w:eastAsia="ja-JP" w:bidi="he-IL"/>
              </w:rPr>
            </w:pPr>
            <w:r w:rsidRPr="00BC678E">
              <w:rPr>
                <w:rFonts w:eastAsia="Times New Roman"/>
                <w:sz w:val="18"/>
                <w:szCs w:val="18"/>
                <w:lang w:val="en-US" w:eastAsia="ja-JP" w:bidi="he-IL"/>
              </w:rPr>
              <w:t xml:space="preserve">Total income </w:t>
            </w:r>
            <w:r>
              <w:rPr>
                <w:rFonts w:eastAsia="Times New Roman"/>
                <w:sz w:val="18"/>
                <w:szCs w:val="18"/>
                <w:lang w:val="en-US" w:eastAsia="ja-JP" w:bidi="he-IL"/>
              </w:rPr>
              <w:t>remained broadly stable at €162 million and net interest margin increased two basis points to 1.57% compared with</w:t>
            </w:r>
            <w:r w:rsidRPr="00BC678E">
              <w:rPr>
                <w:rFonts w:eastAsia="Times New Roman"/>
                <w:sz w:val="18"/>
                <w:szCs w:val="18"/>
                <w:lang w:val="en-US" w:eastAsia="ja-JP" w:bidi="he-IL"/>
              </w:rPr>
              <w:t xml:space="preserve"> Q3 2019</w:t>
            </w:r>
            <w:r>
              <w:rPr>
                <w:rFonts w:eastAsia="Times New Roman"/>
                <w:sz w:val="18"/>
                <w:szCs w:val="18"/>
                <w:lang w:val="en-US" w:eastAsia="ja-JP" w:bidi="he-IL"/>
              </w:rPr>
              <w:t>.</w:t>
            </w:r>
          </w:p>
        </w:tc>
      </w:tr>
      <w:tr w:rsidR="0064628A" w:rsidTr="00087389">
        <w:tc>
          <w:tcPr>
            <w:tcW w:w="326" w:type="dxa"/>
          </w:tcPr>
          <w:p w:rsidR="00F07BE6" w:rsidRPr="00083324" w:rsidRDefault="00FC1FDC" w:rsidP="005F64C9">
            <w:pPr>
              <w:pStyle w:val="Normal00"/>
              <w:spacing w:line="264" w:lineRule="auto"/>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880" w:type="dxa"/>
          </w:tcPr>
          <w:p w:rsidR="00F07BE6" w:rsidRPr="00BC678E" w:rsidRDefault="00FC1FDC" w:rsidP="00F07BE6">
            <w:pPr>
              <w:pStyle w:val="Normal30"/>
              <w:spacing w:line="259" w:lineRule="auto"/>
              <w:rPr>
                <w:rFonts w:eastAsia="Times New Roman"/>
                <w:sz w:val="18"/>
                <w:szCs w:val="18"/>
                <w:lang w:val="en-US" w:eastAsia="ja-JP" w:bidi="he-IL"/>
              </w:rPr>
            </w:pPr>
            <w:r w:rsidRPr="00BC678E">
              <w:rPr>
                <w:rFonts w:eastAsia="Times New Roman"/>
                <w:sz w:val="18"/>
                <w:szCs w:val="18"/>
                <w:lang w:val="en-US" w:eastAsia="ja-JP" w:bidi="he-IL"/>
              </w:rPr>
              <w:t>Total operating expenses increased by €</w:t>
            </w:r>
            <w:r>
              <w:rPr>
                <w:rFonts w:eastAsia="Times New Roman"/>
                <w:sz w:val="18"/>
                <w:szCs w:val="18"/>
                <w:lang w:val="en-US" w:eastAsia="ja-JP" w:bidi="he-IL"/>
              </w:rPr>
              <w:t>16 million</w:t>
            </w:r>
            <w:r w:rsidRPr="00BC678E">
              <w:rPr>
                <w:rFonts w:eastAsia="Times New Roman"/>
                <w:sz w:val="18"/>
                <w:szCs w:val="18"/>
                <w:lang w:val="en-US" w:eastAsia="ja-JP" w:bidi="he-IL"/>
              </w:rPr>
              <w:t xml:space="preserve">, or </w:t>
            </w:r>
            <w:r>
              <w:rPr>
                <w:rFonts w:eastAsia="Times New Roman"/>
                <w:sz w:val="18"/>
                <w:szCs w:val="18"/>
                <w:lang w:val="en-US" w:eastAsia="ja-JP" w:bidi="he-IL"/>
              </w:rPr>
              <w:t>11.0</w:t>
            </w:r>
            <w:r w:rsidRPr="00BC678E">
              <w:rPr>
                <w:rFonts w:eastAsia="Times New Roman"/>
                <w:sz w:val="18"/>
                <w:szCs w:val="18"/>
                <w:lang w:val="en-US" w:eastAsia="ja-JP" w:bidi="he-IL"/>
              </w:rPr>
              <w:t>%, primarily reflecting an increase in strategic costs</w:t>
            </w:r>
            <w:r>
              <w:rPr>
                <w:rFonts w:eastAsia="Times New Roman"/>
                <w:sz w:val="18"/>
                <w:szCs w:val="18"/>
                <w:lang w:val="en-US" w:eastAsia="ja-JP" w:bidi="he-IL"/>
              </w:rPr>
              <w:t xml:space="preserve"> relating to a restructuring programme, partly offset by one-off credits to the pension charge</w:t>
            </w:r>
            <w:r w:rsidRPr="00BC678E">
              <w:rPr>
                <w:rFonts w:eastAsia="Times New Roman"/>
                <w:sz w:val="18"/>
                <w:szCs w:val="18"/>
                <w:lang w:val="en-US" w:eastAsia="ja-JP" w:bidi="he-IL"/>
              </w:rPr>
              <w:t>.</w:t>
            </w:r>
          </w:p>
        </w:tc>
      </w:tr>
      <w:tr w:rsidR="0064628A" w:rsidTr="00087389">
        <w:tc>
          <w:tcPr>
            <w:tcW w:w="326" w:type="dxa"/>
          </w:tcPr>
          <w:p w:rsidR="00F07BE6" w:rsidRPr="00083324" w:rsidRDefault="00FC1FDC" w:rsidP="005F64C9">
            <w:pPr>
              <w:pStyle w:val="Normal00"/>
              <w:spacing w:line="264" w:lineRule="auto"/>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880" w:type="dxa"/>
          </w:tcPr>
          <w:p w:rsidR="00F07BE6" w:rsidRPr="00BC678E" w:rsidRDefault="00FC1FDC" w:rsidP="00F07BE6">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 xml:space="preserve">Impairment losses of €5 million </w:t>
            </w:r>
            <w:r w:rsidRPr="00BC678E">
              <w:rPr>
                <w:rFonts w:eastAsia="Times New Roman"/>
                <w:sz w:val="18"/>
                <w:szCs w:val="18"/>
                <w:lang w:val="en-US" w:eastAsia="ja-JP" w:bidi="he-IL"/>
              </w:rPr>
              <w:t>reflect the impact of mortgage model recalibration</w:t>
            </w:r>
            <w:r w:rsidR="00AB4D14">
              <w:rPr>
                <w:rFonts w:eastAsia="Times New Roman"/>
                <w:sz w:val="18"/>
                <w:szCs w:val="18"/>
                <w:lang w:val="en-US" w:eastAsia="ja-JP" w:bidi="he-IL"/>
              </w:rPr>
              <w:t>,</w:t>
            </w:r>
            <w:r w:rsidRPr="00BC678E">
              <w:rPr>
                <w:rFonts w:eastAsia="Times New Roman"/>
                <w:sz w:val="18"/>
                <w:szCs w:val="18"/>
                <w:lang w:val="en-US" w:eastAsia="ja-JP" w:bidi="he-IL"/>
              </w:rPr>
              <w:t xml:space="preserve"> </w:t>
            </w:r>
            <w:r>
              <w:rPr>
                <w:rFonts w:eastAsia="Times New Roman"/>
                <w:sz w:val="18"/>
                <w:szCs w:val="18"/>
                <w:lang w:val="en-US" w:eastAsia="ja-JP" w:bidi="he-IL"/>
              </w:rPr>
              <w:t xml:space="preserve">partially </w:t>
            </w:r>
            <w:r w:rsidRPr="00BC678E">
              <w:rPr>
                <w:rFonts w:eastAsia="Times New Roman"/>
                <w:sz w:val="18"/>
                <w:szCs w:val="18"/>
                <w:lang w:val="en-US" w:eastAsia="ja-JP" w:bidi="he-IL"/>
              </w:rPr>
              <w:t xml:space="preserve">offset by the net impact of an improvement in the performance of the </w:t>
            </w:r>
            <w:r>
              <w:rPr>
                <w:rFonts w:eastAsia="Times New Roman"/>
                <w:sz w:val="18"/>
                <w:szCs w:val="18"/>
                <w:lang w:val="en-US" w:eastAsia="ja-JP" w:bidi="he-IL"/>
              </w:rPr>
              <w:t>NPL</w:t>
            </w:r>
            <w:r w:rsidRPr="00BC678E">
              <w:rPr>
                <w:rFonts w:eastAsia="Times New Roman"/>
                <w:sz w:val="18"/>
                <w:szCs w:val="18"/>
                <w:lang w:val="en-US" w:eastAsia="ja-JP" w:bidi="he-IL"/>
              </w:rPr>
              <w:t xml:space="preserve"> portfolio.</w:t>
            </w:r>
          </w:p>
        </w:tc>
      </w:tr>
      <w:tr w:rsidR="0064628A" w:rsidTr="00087389">
        <w:tc>
          <w:tcPr>
            <w:tcW w:w="326" w:type="dxa"/>
          </w:tcPr>
          <w:p w:rsidR="00F07BE6" w:rsidRPr="00083324" w:rsidRDefault="00FC1FDC" w:rsidP="005F64C9">
            <w:pPr>
              <w:pStyle w:val="Normal00"/>
              <w:spacing w:line="264" w:lineRule="auto"/>
              <w:rPr>
                <w:rFonts w:eastAsia="SimSun"/>
                <w:color w:val="003366"/>
                <w:sz w:val="18"/>
                <w:szCs w:val="18"/>
                <w:lang w:eastAsia="ja-JP"/>
              </w:rPr>
            </w:pPr>
            <w:r w:rsidRPr="00083324">
              <w:rPr>
                <w:rFonts w:eastAsia="SimSun"/>
                <w:color w:val="003366"/>
                <w:sz w:val="18"/>
                <w:szCs w:val="18"/>
                <w:lang w:eastAsia="ja-JP"/>
              </w:rPr>
              <w:t>●</w:t>
            </w:r>
          </w:p>
        </w:tc>
        <w:tc>
          <w:tcPr>
            <w:tcW w:w="9880" w:type="dxa"/>
          </w:tcPr>
          <w:p w:rsidR="00F07BE6" w:rsidRPr="00BC678E" w:rsidRDefault="00FC1FDC" w:rsidP="00F07BE6">
            <w:pPr>
              <w:pStyle w:val="Normal30"/>
              <w:spacing w:line="259" w:lineRule="auto"/>
              <w:rPr>
                <w:rFonts w:eastAsia="Times New Roman"/>
                <w:sz w:val="18"/>
                <w:szCs w:val="18"/>
                <w:lang w:val="en-US" w:eastAsia="ja-JP" w:bidi="he-IL"/>
              </w:rPr>
            </w:pPr>
            <w:r w:rsidRPr="00BC678E">
              <w:rPr>
                <w:rFonts w:eastAsia="Times New Roman"/>
                <w:sz w:val="18"/>
                <w:szCs w:val="18"/>
                <w:lang w:val="en-US" w:eastAsia="ja-JP" w:bidi="he-IL"/>
              </w:rPr>
              <w:t>RWAs increased by €</w:t>
            </w:r>
            <w:r>
              <w:rPr>
                <w:rFonts w:eastAsia="Times New Roman"/>
                <w:sz w:val="18"/>
                <w:szCs w:val="18"/>
                <w:lang w:val="en-US" w:eastAsia="ja-JP" w:bidi="he-IL"/>
              </w:rPr>
              <w:t>0.3</w:t>
            </w:r>
            <w:r w:rsidRPr="00BC678E">
              <w:rPr>
                <w:rFonts w:eastAsia="Times New Roman"/>
                <w:sz w:val="18"/>
                <w:szCs w:val="18"/>
                <w:lang w:val="en-US" w:eastAsia="ja-JP" w:bidi="he-IL"/>
              </w:rPr>
              <w:t xml:space="preserve"> billion </w:t>
            </w:r>
            <w:r w:rsidRPr="0098367D">
              <w:rPr>
                <w:rFonts w:eastAsia="Times New Roman"/>
                <w:sz w:val="18"/>
                <w:szCs w:val="18"/>
                <w:lang w:val="en-US" w:eastAsia="ja-JP" w:bidi="he-IL"/>
              </w:rPr>
              <w:t>largely due to model recalibrations</w:t>
            </w:r>
            <w:r>
              <w:rPr>
                <w:rFonts w:eastAsia="Times New Roman"/>
                <w:sz w:val="18"/>
                <w:szCs w:val="18"/>
                <w:lang w:val="en-US" w:eastAsia="ja-JP" w:bidi="he-IL"/>
              </w:rPr>
              <w:t>.</w:t>
            </w:r>
          </w:p>
        </w:tc>
      </w:tr>
      <w:tr w:rsidR="0064628A" w:rsidTr="00087389">
        <w:tc>
          <w:tcPr>
            <w:tcW w:w="10206" w:type="dxa"/>
            <w:gridSpan w:val="2"/>
          </w:tcPr>
          <w:p w:rsidR="00087389" w:rsidRDefault="00087389" w:rsidP="005F64C9">
            <w:pPr>
              <w:pStyle w:val="Normal00"/>
              <w:spacing w:line="264" w:lineRule="auto"/>
              <w:jc w:val="both"/>
              <w:rPr>
                <w:rFonts w:ascii="Arial" w:hAnsi="Arial" w:cs="Arial"/>
                <w:color w:val="003366"/>
                <w:sz w:val="18"/>
                <w:szCs w:val="18"/>
                <w:lang w:eastAsia="ja-JP"/>
              </w:rPr>
            </w:pPr>
          </w:p>
          <w:p w:rsidR="00087389" w:rsidRPr="00083324" w:rsidRDefault="00FC1FDC" w:rsidP="005F64C9">
            <w:pPr>
              <w:pStyle w:val="Normal00"/>
              <w:spacing w:line="264" w:lineRule="auto"/>
              <w:jc w:val="both"/>
              <w:rPr>
                <w:rFonts w:ascii="Arial" w:hAnsi="Arial" w:cs="Arial"/>
                <w:color w:val="003366"/>
                <w:sz w:val="18"/>
                <w:szCs w:val="18"/>
                <w:lang w:eastAsia="ja-JP"/>
              </w:rPr>
            </w:pPr>
            <w:r w:rsidRPr="00083324">
              <w:rPr>
                <w:rFonts w:ascii="Arial" w:hAnsi="Arial" w:cs="Arial"/>
                <w:color w:val="003366"/>
                <w:sz w:val="18"/>
                <w:szCs w:val="18"/>
                <w:lang w:eastAsia="ja-JP"/>
              </w:rPr>
              <w:t>Q</w:t>
            </w:r>
            <w:r>
              <w:rPr>
                <w:rFonts w:ascii="Arial" w:hAnsi="Arial" w:cs="Arial"/>
                <w:color w:val="003366"/>
                <w:sz w:val="18"/>
                <w:szCs w:val="18"/>
                <w:lang w:eastAsia="ja-JP"/>
              </w:rPr>
              <w:t>4 2019</w:t>
            </w:r>
            <w:r w:rsidRPr="00083324">
              <w:rPr>
                <w:rFonts w:ascii="Arial" w:hAnsi="Arial" w:cs="Arial"/>
                <w:color w:val="003366"/>
                <w:sz w:val="18"/>
                <w:szCs w:val="18"/>
                <w:lang w:eastAsia="ja-JP"/>
              </w:rPr>
              <w:t xml:space="preserve"> compared with Q</w:t>
            </w:r>
            <w:r>
              <w:rPr>
                <w:rFonts w:ascii="Arial" w:hAnsi="Arial" w:cs="Arial"/>
                <w:color w:val="003366"/>
                <w:sz w:val="18"/>
                <w:szCs w:val="18"/>
                <w:lang w:eastAsia="ja-JP"/>
              </w:rPr>
              <w:t>4</w:t>
            </w:r>
            <w:r w:rsidRPr="00083324">
              <w:rPr>
                <w:rFonts w:ascii="Arial" w:hAnsi="Arial" w:cs="Arial"/>
                <w:color w:val="003366"/>
                <w:sz w:val="18"/>
                <w:szCs w:val="18"/>
                <w:lang w:eastAsia="ja-JP"/>
              </w:rPr>
              <w:t xml:space="preserve"> 201</w:t>
            </w:r>
            <w:r>
              <w:rPr>
                <w:rFonts w:ascii="Arial" w:hAnsi="Arial" w:cs="Arial"/>
                <w:color w:val="003366"/>
                <w:sz w:val="18"/>
                <w:szCs w:val="18"/>
                <w:lang w:eastAsia="ja-JP"/>
              </w:rPr>
              <w:t>8</w:t>
            </w:r>
          </w:p>
        </w:tc>
      </w:tr>
      <w:tr w:rsidR="0064628A" w:rsidTr="00087389">
        <w:tc>
          <w:tcPr>
            <w:tcW w:w="326" w:type="dxa"/>
          </w:tcPr>
          <w:p w:rsidR="00F07BE6" w:rsidRPr="00083324" w:rsidRDefault="00FC1FDC" w:rsidP="005F64C9">
            <w:pPr>
              <w:pStyle w:val="Normal00"/>
              <w:spacing w:line="264" w:lineRule="auto"/>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880" w:type="dxa"/>
          </w:tcPr>
          <w:p w:rsidR="00F07BE6" w:rsidRPr="00BC678E" w:rsidRDefault="00FC1FDC" w:rsidP="00F07BE6">
            <w:pPr>
              <w:pStyle w:val="Normal30"/>
              <w:spacing w:line="259" w:lineRule="auto"/>
              <w:rPr>
                <w:rFonts w:eastAsia="Times New Roman"/>
                <w:sz w:val="18"/>
                <w:szCs w:val="18"/>
                <w:lang w:val="en-US" w:eastAsia="ja-JP" w:bidi="he-IL"/>
              </w:rPr>
            </w:pPr>
            <w:r w:rsidRPr="00BC678E">
              <w:rPr>
                <w:rFonts w:eastAsia="Times New Roman"/>
                <w:sz w:val="18"/>
                <w:szCs w:val="18"/>
                <w:lang w:val="en-US" w:eastAsia="ja-JP" w:bidi="he-IL"/>
              </w:rPr>
              <w:t>Total income decreased by €</w:t>
            </w:r>
            <w:r>
              <w:rPr>
                <w:rFonts w:eastAsia="Times New Roman"/>
                <w:sz w:val="18"/>
                <w:szCs w:val="18"/>
                <w:lang w:val="en-US" w:eastAsia="ja-JP" w:bidi="he-IL"/>
              </w:rPr>
              <w:t>3</w:t>
            </w:r>
            <w:r w:rsidRPr="00BC678E">
              <w:rPr>
                <w:rFonts w:eastAsia="Times New Roman"/>
                <w:sz w:val="18"/>
                <w:szCs w:val="18"/>
                <w:lang w:val="en-US" w:eastAsia="ja-JP" w:bidi="he-IL"/>
              </w:rPr>
              <w:t xml:space="preserve"> million, or </w:t>
            </w:r>
            <w:r>
              <w:rPr>
                <w:rFonts w:eastAsia="Times New Roman"/>
                <w:sz w:val="18"/>
                <w:szCs w:val="18"/>
                <w:lang w:val="en-US" w:eastAsia="ja-JP" w:bidi="he-IL"/>
              </w:rPr>
              <w:t>1.8</w:t>
            </w:r>
            <w:r w:rsidRPr="00BC678E">
              <w:rPr>
                <w:rFonts w:eastAsia="Times New Roman"/>
                <w:sz w:val="18"/>
                <w:szCs w:val="18"/>
                <w:lang w:val="en-US" w:eastAsia="ja-JP" w:bidi="he-IL"/>
              </w:rPr>
              <w:t>%,</w:t>
            </w:r>
            <w:r w:rsidRPr="00BC678E">
              <w:rPr>
                <w:sz w:val="18"/>
                <w:szCs w:val="18"/>
              </w:rPr>
              <w:t xml:space="preserve"> </w:t>
            </w:r>
            <w:r w:rsidRPr="00BC678E">
              <w:rPr>
                <w:rFonts w:eastAsia="Times New Roman"/>
                <w:sz w:val="18"/>
                <w:szCs w:val="18"/>
                <w:lang w:val="en-US" w:eastAsia="ja-JP" w:bidi="he-IL"/>
              </w:rPr>
              <w:t xml:space="preserve">reflecting lower income </w:t>
            </w:r>
            <w:r>
              <w:rPr>
                <w:rFonts w:eastAsia="Times New Roman"/>
                <w:sz w:val="18"/>
                <w:szCs w:val="18"/>
                <w:lang w:val="en-US" w:eastAsia="ja-JP" w:bidi="he-IL"/>
              </w:rPr>
              <w:t>on</w:t>
            </w:r>
            <w:r w:rsidRPr="00BC678E">
              <w:rPr>
                <w:rFonts w:eastAsia="Times New Roman"/>
                <w:sz w:val="18"/>
                <w:szCs w:val="18"/>
                <w:lang w:val="en-US" w:eastAsia="ja-JP" w:bidi="he-IL"/>
              </w:rPr>
              <w:t xml:space="preserve"> </w:t>
            </w:r>
            <w:r>
              <w:rPr>
                <w:rFonts w:eastAsia="Times New Roman"/>
                <w:sz w:val="18"/>
                <w:szCs w:val="18"/>
                <w:lang w:val="en-US" w:eastAsia="ja-JP" w:bidi="he-IL"/>
              </w:rPr>
              <w:t>NPLs and the</w:t>
            </w:r>
            <w:r w:rsidRPr="00BC678E">
              <w:rPr>
                <w:rFonts w:eastAsia="Times New Roman"/>
                <w:sz w:val="18"/>
                <w:szCs w:val="18"/>
                <w:lang w:val="en-US" w:eastAsia="ja-JP" w:bidi="he-IL"/>
              </w:rPr>
              <w:t xml:space="preserve"> IFRS 9 accounting change, </w:t>
            </w:r>
            <w:r>
              <w:rPr>
                <w:rFonts w:eastAsia="Times New Roman"/>
                <w:sz w:val="18"/>
                <w:szCs w:val="18"/>
                <w:lang w:val="en-US" w:eastAsia="ja-JP" w:bidi="he-IL"/>
              </w:rPr>
              <w:t xml:space="preserve">partially </w:t>
            </w:r>
            <w:r w:rsidRPr="00BC678E">
              <w:rPr>
                <w:rFonts w:eastAsia="Times New Roman"/>
                <w:sz w:val="18"/>
                <w:szCs w:val="18"/>
                <w:lang w:val="en-US" w:eastAsia="ja-JP" w:bidi="he-IL"/>
              </w:rPr>
              <w:t xml:space="preserve">offset by higher </w:t>
            </w:r>
            <w:r>
              <w:rPr>
                <w:rFonts w:eastAsia="Times New Roman"/>
                <w:sz w:val="18"/>
                <w:szCs w:val="18"/>
                <w:lang w:val="en-US" w:eastAsia="ja-JP" w:bidi="he-IL"/>
              </w:rPr>
              <w:t>other</w:t>
            </w:r>
            <w:r w:rsidRPr="00BC678E">
              <w:rPr>
                <w:rFonts w:eastAsia="Times New Roman"/>
                <w:sz w:val="18"/>
                <w:szCs w:val="18"/>
                <w:lang w:val="en-US" w:eastAsia="ja-JP" w:bidi="he-IL"/>
              </w:rPr>
              <w:t xml:space="preserve"> income.</w:t>
            </w:r>
          </w:p>
        </w:tc>
      </w:tr>
      <w:tr w:rsidR="0064628A" w:rsidTr="00087389">
        <w:tc>
          <w:tcPr>
            <w:tcW w:w="326" w:type="dxa"/>
          </w:tcPr>
          <w:p w:rsidR="00F07BE6" w:rsidRPr="00083324" w:rsidRDefault="00FC1FDC" w:rsidP="005F64C9">
            <w:pPr>
              <w:pStyle w:val="Normal00"/>
              <w:spacing w:line="264" w:lineRule="auto"/>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880" w:type="dxa"/>
          </w:tcPr>
          <w:p w:rsidR="00F07BE6" w:rsidRPr="00BC678E" w:rsidRDefault="00FC1FDC" w:rsidP="00F07BE6">
            <w:pPr>
              <w:pStyle w:val="Normal30"/>
              <w:spacing w:line="259" w:lineRule="auto"/>
              <w:rPr>
                <w:rFonts w:eastAsia="Times New Roman"/>
                <w:sz w:val="18"/>
                <w:szCs w:val="18"/>
                <w:lang w:val="en-US" w:eastAsia="ja-JP" w:bidi="he-IL"/>
              </w:rPr>
            </w:pPr>
            <w:r w:rsidRPr="00BC678E">
              <w:rPr>
                <w:rFonts w:eastAsia="Times New Roman"/>
                <w:sz w:val="18"/>
                <w:szCs w:val="18"/>
                <w:lang w:val="en-US" w:eastAsia="ja-JP" w:bidi="he-IL"/>
              </w:rPr>
              <w:t>Total operating expenses decreased by €</w:t>
            </w:r>
            <w:r>
              <w:rPr>
                <w:rFonts w:eastAsia="Times New Roman"/>
                <w:sz w:val="18"/>
                <w:szCs w:val="18"/>
                <w:lang w:val="en-US" w:eastAsia="ja-JP" w:bidi="he-IL"/>
              </w:rPr>
              <w:t>22 million</w:t>
            </w:r>
            <w:r w:rsidRPr="00BC678E">
              <w:rPr>
                <w:rFonts w:eastAsia="Times New Roman"/>
                <w:sz w:val="18"/>
                <w:szCs w:val="18"/>
                <w:lang w:val="en-US" w:eastAsia="ja-JP" w:bidi="he-IL"/>
              </w:rPr>
              <w:t xml:space="preserve">, or </w:t>
            </w:r>
            <w:r>
              <w:rPr>
                <w:rFonts w:eastAsia="Times New Roman"/>
                <w:sz w:val="18"/>
                <w:szCs w:val="18"/>
                <w:lang w:val="en-US" w:eastAsia="ja-JP" w:bidi="he-IL"/>
              </w:rPr>
              <w:t>12.0</w:t>
            </w:r>
            <w:r w:rsidRPr="00BC678E">
              <w:rPr>
                <w:rFonts w:eastAsia="Times New Roman"/>
                <w:sz w:val="18"/>
                <w:szCs w:val="18"/>
                <w:lang w:val="en-US" w:eastAsia="ja-JP" w:bidi="he-IL"/>
              </w:rPr>
              <w:t xml:space="preserve">%, primarily reflecting lower conduct </w:t>
            </w:r>
            <w:r>
              <w:rPr>
                <w:rFonts w:eastAsia="Times New Roman"/>
                <w:sz w:val="18"/>
                <w:szCs w:val="18"/>
                <w:lang w:val="en-US" w:eastAsia="ja-JP" w:bidi="he-IL"/>
              </w:rPr>
              <w:t xml:space="preserve">and </w:t>
            </w:r>
            <w:r w:rsidRPr="00BC678E">
              <w:rPr>
                <w:rFonts w:eastAsia="Times New Roman"/>
                <w:sz w:val="18"/>
                <w:szCs w:val="18"/>
                <w:lang w:val="en-US" w:eastAsia="ja-JP" w:bidi="he-IL"/>
              </w:rPr>
              <w:t>pension costs and the benefits from cost saving initiatives.</w:t>
            </w:r>
          </w:p>
        </w:tc>
      </w:tr>
    </w:tbl>
    <w:p w:rsidR="004F5E62" w:rsidRDefault="00FC1FDC" w:rsidP="004F5E62">
      <w:pPr>
        <w:spacing w:line="4" w:lineRule="exact"/>
      </w:pPr>
      <w:r>
        <w:br w:type="page"/>
      </w:r>
    </w:p>
    <w:p w:rsidR="004F5E62" w:rsidRPr="00F377A3" w:rsidRDefault="00FC1FDC" w:rsidP="004F5E62">
      <w:pPr>
        <w:pStyle w:val="Normal00"/>
        <w:spacing w:line="288" w:lineRule="auto"/>
        <w:jc w:val="both"/>
        <w:rPr>
          <w:rFonts w:ascii="Arial" w:hAnsi="Arial" w:cs="Arial"/>
          <w:b/>
          <w:color w:val="0A2F64"/>
          <w:sz w:val="18"/>
          <w:szCs w:val="18"/>
          <w:lang w:eastAsia="ja-JP"/>
        </w:rPr>
      </w:pPr>
      <w:r w:rsidRPr="00F377A3">
        <w:rPr>
          <w:rFonts w:ascii="Arial" w:hAnsi="Arial" w:cs="Arial"/>
          <w:b/>
          <w:color w:val="0A2F64"/>
          <w:sz w:val="18"/>
          <w:szCs w:val="18"/>
          <w:lang w:eastAsia="ja-JP"/>
        </w:rPr>
        <w:lastRenderedPageBreak/>
        <w:t>Business performance summary</w:t>
      </w:r>
    </w:p>
    <w:p w:rsidR="004F5E62" w:rsidRPr="00A16788" w:rsidRDefault="00FC1FDC" w:rsidP="004F5E62">
      <w:pPr>
        <w:pStyle w:val="Normal00"/>
        <w:spacing w:line="288" w:lineRule="auto"/>
        <w:rPr>
          <w:rFonts w:ascii="Arial" w:hAnsi="Arial" w:cs="Arial"/>
          <w:b/>
          <w:color w:val="0A2F64"/>
          <w:sz w:val="18"/>
          <w:szCs w:val="18"/>
          <w:lang w:eastAsia="ja-JP"/>
        </w:rPr>
      </w:pPr>
      <w:r w:rsidRPr="00A16788">
        <w:rPr>
          <w:rFonts w:ascii="Arial" w:hAnsi="Arial" w:cs="Arial"/>
          <w:b/>
          <w:color w:val="0A2F64"/>
          <w:sz w:val="18"/>
          <w:szCs w:val="18"/>
          <w:lang w:eastAsia="ja-JP"/>
        </w:rPr>
        <w:t>Commercial Banking</w:t>
      </w:r>
    </w:p>
    <w:sdt>
      <w:sdtPr>
        <w:tag w:val="&lt;ReportPackage&gt;&lt;EmbeddedContent id=&quot;33e6ac04-30f9-459d-afa2-b498cbbe0fa7&quot; lastModified=&quot;1581639490587&quot;/&gt;&lt;/ReportPackage&gt;"/>
        <w:id w:val="703065682"/>
        <w:lock w:val="contentLocked"/>
        <w:placeholder>
          <w:docPart w:val="9ED86DB124994E6A9755100B8E7A38BE"/>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4475"/>
            <w:gridCol w:w="1109"/>
            <w:gridCol w:w="1109"/>
            <w:gridCol w:w="60"/>
            <w:gridCol w:w="1109"/>
            <w:gridCol w:w="1109"/>
            <w:gridCol w:w="1109"/>
          </w:tblGrid>
          <w:tr w:rsidR="0064628A">
            <w:trPr>
              <w:trHeight w:val="210"/>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2220" w:type="dxa"/>
                <w:gridSpan w:val="2"/>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Year ended and as at</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3330" w:type="dxa"/>
                <w:gridSpan w:val="3"/>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Quarter ended and as at</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30 September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4485"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income</w:t>
                </w: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4,318</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4,602</w:t>
                </w:r>
              </w:p>
            </w:tc>
            <w:tc>
              <w:tcPr>
                <w:tcW w:w="6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1,076</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1,077</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1,116</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expenses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(2,600)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(2,487)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(638)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(764)</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losses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(391)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profit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1,327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1,968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295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347</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Return on equity</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8.3%</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margin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1.96%</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1.96%</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Cost:income ratio</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58.9%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52.8%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63.9%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57.9%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67.5%</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Loan impairment rate</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38bps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14bps</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32bps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42bps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2bps</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£bn</w:t>
                </w:r>
              </w:p>
            </w:tc>
          </w:tr>
          <w:tr w:rsidR="0064628A">
            <w:trPr>
              <w:trHeight w:val="195"/>
            </w:trPr>
            <w:tc>
              <w:tcPr>
                <w:tcW w:w="4485"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loans to customers (amortised cost)</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101.2</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101.5</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101.4</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Customer deposits</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135.0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135.7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134.4</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RWAs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72.5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77.0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78.4</w:t>
                </w:r>
              </w:p>
            </w:tc>
          </w:tr>
        </w:tbl>
      </w:sdtContent>
    </w:sdt>
    <w:p w:rsidR="00EB3C2A" w:rsidRPr="00F377A3" w:rsidRDefault="00EB3C2A" w:rsidP="004F5E62">
      <w:pPr>
        <w:rPr>
          <w:color w:val="0A2F64"/>
          <w:szCs w:val="18"/>
          <w:lang w:eastAsia="ja-JP"/>
        </w:rPr>
      </w:pPr>
    </w:p>
    <w:tbl>
      <w:tblPr>
        <w:tblW w:w="10420" w:type="dxa"/>
        <w:tblLook w:val="01E0" w:firstRow="1" w:lastRow="1" w:firstColumn="1" w:lastColumn="1" w:noHBand="0" w:noVBand="0"/>
      </w:tblPr>
      <w:tblGrid>
        <w:gridCol w:w="325"/>
        <w:gridCol w:w="67"/>
        <w:gridCol w:w="10028"/>
      </w:tblGrid>
      <w:tr w:rsidR="0064628A" w:rsidTr="00AB4D14">
        <w:trPr>
          <w:trHeight w:val="620"/>
        </w:trPr>
        <w:tc>
          <w:tcPr>
            <w:tcW w:w="10420" w:type="dxa"/>
            <w:gridSpan w:val="3"/>
          </w:tcPr>
          <w:p w:rsidR="00AB4D14" w:rsidRPr="0037594E" w:rsidRDefault="00FC1FDC" w:rsidP="00AB4D14">
            <w:pPr>
              <w:rPr>
                <w:sz w:val="14"/>
                <w:szCs w:val="14"/>
              </w:rPr>
            </w:pPr>
            <w:r w:rsidRPr="0037594E">
              <w:rPr>
                <w:sz w:val="14"/>
                <w:szCs w:val="14"/>
              </w:rPr>
              <w:t>Note</w:t>
            </w:r>
            <w:r>
              <w:rPr>
                <w:sz w:val="14"/>
                <w:szCs w:val="14"/>
              </w:rPr>
              <w:t>s</w:t>
            </w:r>
            <w:r w:rsidRPr="0037594E">
              <w:rPr>
                <w:sz w:val="14"/>
                <w:szCs w:val="14"/>
              </w:rPr>
              <w:t>:</w:t>
            </w:r>
          </w:p>
          <w:tbl>
            <w:tblPr>
              <w:tblW w:w="10206" w:type="dxa"/>
              <w:tblLook w:val="01E0" w:firstRow="1" w:lastRow="1" w:firstColumn="1" w:lastColumn="1" w:noHBand="0" w:noVBand="0"/>
            </w:tblPr>
            <w:tblGrid>
              <w:gridCol w:w="10206"/>
            </w:tblGrid>
            <w:tr w:rsidR="0064628A" w:rsidTr="00A61503">
              <w:trPr>
                <w:trHeight w:val="119"/>
              </w:trPr>
              <w:tc>
                <w:tcPr>
                  <w:tcW w:w="10206" w:type="dxa"/>
                </w:tcPr>
                <w:p w:rsidR="00AB4D14" w:rsidRDefault="00FC1FDC" w:rsidP="00A61503">
                  <w:pPr>
                    <w:pStyle w:val="ListParagraph"/>
                    <w:numPr>
                      <w:ilvl w:val="0"/>
                      <w:numId w:val="1"/>
                    </w:numPr>
                    <w:autoSpaceDE w:val="0"/>
                    <w:autoSpaceDN w:val="0"/>
                    <w:adjustRightInd w:val="0"/>
                    <w:spacing w:line="240" w:lineRule="auto"/>
                    <w:rPr>
                      <w:rFonts w:cs="Arial"/>
                      <w:sz w:val="14"/>
                      <w:szCs w:val="14"/>
                      <w:lang w:eastAsia="ja-JP"/>
                    </w:rPr>
                  </w:pPr>
                  <w:r>
                    <w:rPr>
                      <w:rFonts w:cs="Arial"/>
                      <w:sz w:val="14"/>
                      <w:szCs w:val="14"/>
                      <w:lang w:eastAsia="ja-JP"/>
                    </w:rPr>
                    <w:t>New drawn lending and any re-financing resulting in a new facility or the opening of a new account, excluding Overdrafts and Supplier Finance.</w:t>
                  </w:r>
                </w:p>
                <w:p w:rsidR="00AB4D14" w:rsidRPr="0037594E" w:rsidRDefault="00FC1FDC" w:rsidP="00A61503">
                  <w:pPr>
                    <w:pStyle w:val="ListParagraph"/>
                    <w:numPr>
                      <w:ilvl w:val="0"/>
                      <w:numId w:val="1"/>
                    </w:numPr>
                    <w:autoSpaceDE w:val="0"/>
                    <w:autoSpaceDN w:val="0"/>
                    <w:adjustRightInd w:val="0"/>
                    <w:spacing w:line="240" w:lineRule="auto"/>
                    <w:rPr>
                      <w:rFonts w:cs="Arial"/>
                      <w:sz w:val="14"/>
                      <w:szCs w:val="14"/>
                      <w:lang w:eastAsia="ja-JP"/>
                    </w:rPr>
                  </w:pPr>
                  <w:r>
                    <w:rPr>
                      <w:rFonts w:cs="Arial"/>
                      <w:sz w:val="14"/>
                      <w:szCs w:val="14"/>
                      <w:lang w:eastAsia="ja-JP"/>
                    </w:rPr>
                    <w:t>RWA intensity is defined as total risk weighted assets divided by total loans to customers (amortised cost).</w:t>
                  </w:r>
                </w:p>
              </w:tc>
            </w:tr>
          </w:tbl>
          <w:p w:rsidR="00AB4D14" w:rsidRPr="00AD6B52" w:rsidRDefault="00AB4D14" w:rsidP="004F5E62">
            <w:pPr>
              <w:pStyle w:val="Normal00"/>
              <w:spacing w:line="264" w:lineRule="auto"/>
              <w:jc w:val="both"/>
              <w:rPr>
                <w:rFonts w:ascii="Arial" w:hAnsi="Arial" w:cs="Arial"/>
                <w:sz w:val="18"/>
                <w:szCs w:val="18"/>
                <w:lang w:val="en-US" w:eastAsia="ja-JP" w:bidi="he-IL"/>
              </w:rPr>
            </w:pPr>
          </w:p>
        </w:tc>
      </w:tr>
      <w:tr w:rsidR="0064628A" w:rsidTr="00AB4D14">
        <w:trPr>
          <w:trHeight w:val="180"/>
        </w:trPr>
        <w:tc>
          <w:tcPr>
            <w:tcW w:w="10420" w:type="dxa"/>
            <w:gridSpan w:val="3"/>
          </w:tcPr>
          <w:p w:rsidR="0084657D" w:rsidRPr="00BC678E" w:rsidRDefault="00FC1FDC" w:rsidP="004619AB">
            <w:pPr>
              <w:pStyle w:val="Normal00"/>
              <w:spacing w:line="264" w:lineRule="auto"/>
              <w:rPr>
                <w:rFonts w:ascii="Arial" w:hAnsi="Arial" w:cs="Arial"/>
                <w:color w:val="003366"/>
                <w:sz w:val="18"/>
                <w:szCs w:val="18"/>
                <w:lang w:eastAsia="ja-JP"/>
              </w:rPr>
            </w:pPr>
            <w:r w:rsidRPr="00AD6B52">
              <w:rPr>
                <w:rFonts w:ascii="Arial" w:hAnsi="Arial" w:cs="Arial"/>
                <w:sz w:val="18"/>
                <w:szCs w:val="18"/>
                <w:lang w:val="en-US" w:eastAsia="ja-JP" w:bidi="he-IL"/>
              </w:rPr>
              <w:t>Commercial Banking continues to focus on increasing customer interactions through digital</w:t>
            </w:r>
            <w:r>
              <w:rPr>
                <w:rFonts w:ascii="Arial" w:hAnsi="Arial" w:cs="Arial"/>
                <w:sz w:val="18"/>
                <w:szCs w:val="18"/>
                <w:lang w:val="en-US" w:eastAsia="ja-JP" w:bidi="he-IL"/>
              </w:rPr>
              <w:t xml:space="preserve"> channels</w:t>
            </w:r>
            <w:r w:rsidRPr="00AD6B52">
              <w:rPr>
                <w:rFonts w:ascii="Arial" w:hAnsi="Arial" w:cs="Arial"/>
                <w:sz w:val="18"/>
                <w:szCs w:val="18"/>
                <w:lang w:val="en-US" w:eastAsia="ja-JP" w:bidi="he-IL"/>
              </w:rPr>
              <w:t xml:space="preserve">. In 2019, </w:t>
            </w:r>
            <w:r>
              <w:rPr>
                <w:rFonts w:ascii="Arial" w:hAnsi="Arial" w:cs="Arial"/>
                <w:sz w:val="18"/>
                <w:szCs w:val="18"/>
                <w:lang w:val="en-US" w:eastAsia="ja-JP" w:bidi="he-IL"/>
              </w:rPr>
              <w:t>NatWest</w:t>
            </w:r>
            <w:r w:rsidRPr="00AD6B52">
              <w:rPr>
                <w:rFonts w:ascii="Arial" w:hAnsi="Arial" w:cs="Arial"/>
                <w:sz w:val="18"/>
                <w:szCs w:val="18"/>
                <w:lang w:val="en-US" w:eastAsia="ja-JP" w:bidi="he-IL"/>
              </w:rPr>
              <w:t xml:space="preserve"> became the first UK bank to launch biometric secure authentication for all business payments via Bankline mobile. Conversation volumes with our chat </w:t>
            </w:r>
            <w:r>
              <w:rPr>
                <w:rFonts w:ascii="Arial" w:hAnsi="Arial" w:cs="Arial"/>
                <w:sz w:val="18"/>
                <w:szCs w:val="18"/>
                <w:lang w:val="en-US" w:eastAsia="ja-JP" w:bidi="he-IL"/>
              </w:rPr>
              <w:t>bot Cora have increased to c.16,5</w:t>
            </w:r>
            <w:r w:rsidRPr="00AD6B52">
              <w:rPr>
                <w:rFonts w:ascii="Arial" w:hAnsi="Arial" w:cs="Arial"/>
                <w:sz w:val="18"/>
                <w:szCs w:val="18"/>
                <w:lang w:val="en-US" w:eastAsia="ja-JP" w:bidi="he-IL"/>
              </w:rPr>
              <w:t>00 per month since inception in December 2018.</w:t>
            </w:r>
          </w:p>
        </w:tc>
      </w:tr>
      <w:tr w:rsidR="0064628A" w:rsidTr="00AB4D14">
        <w:trPr>
          <w:trHeight w:val="180"/>
        </w:trPr>
        <w:tc>
          <w:tcPr>
            <w:tcW w:w="10420" w:type="dxa"/>
            <w:gridSpan w:val="3"/>
          </w:tcPr>
          <w:p w:rsidR="0084657D" w:rsidRPr="00BC678E" w:rsidRDefault="0084657D" w:rsidP="004F5E62">
            <w:pPr>
              <w:pStyle w:val="Normal00"/>
              <w:spacing w:line="264" w:lineRule="auto"/>
              <w:jc w:val="both"/>
              <w:rPr>
                <w:rFonts w:ascii="Arial" w:hAnsi="Arial" w:cs="Arial"/>
                <w:color w:val="003366"/>
                <w:sz w:val="18"/>
                <w:szCs w:val="18"/>
                <w:lang w:eastAsia="ja-JP"/>
              </w:rPr>
            </w:pPr>
          </w:p>
        </w:tc>
      </w:tr>
      <w:tr w:rsidR="0064628A" w:rsidTr="00AB4D14">
        <w:trPr>
          <w:trHeight w:val="180"/>
        </w:trPr>
        <w:tc>
          <w:tcPr>
            <w:tcW w:w="10420" w:type="dxa"/>
            <w:gridSpan w:val="3"/>
          </w:tcPr>
          <w:p w:rsidR="004F5E62" w:rsidRPr="00BC678E" w:rsidRDefault="00FC1FDC" w:rsidP="004F5E62">
            <w:pPr>
              <w:pStyle w:val="Normal00"/>
              <w:spacing w:line="264" w:lineRule="auto"/>
              <w:jc w:val="both"/>
              <w:rPr>
                <w:rFonts w:ascii="Arial" w:hAnsi="Arial" w:cs="Arial"/>
                <w:sz w:val="18"/>
                <w:szCs w:val="18"/>
                <w:lang w:val="en-US" w:eastAsia="en-US" w:bidi="he-IL"/>
              </w:rPr>
            </w:pPr>
            <w:r w:rsidRPr="00BC678E">
              <w:rPr>
                <w:rFonts w:ascii="Arial" w:hAnsi="Arial" w:cs="Arial"/>
                <w:color w:val="003366"/>
                <w:sz w:val="18"/>
                <w:szCs w:val="18"/>
                <w:lang w:eastAsia="ja-JP"/>
              </w:rPr>
              <w:t xml:space="preserve">2019 compared with 2018 </w:t>
            </w:r>
          </w:p>
        </w:tc>
      </w:tr>
      <w:tr w:rsidR="0064628A" w:rsidTr="000D748E">
        <w:trPr>
          <w:trHeight w:val="476"/>
        </w:trPr>
        <w:tc>
          <w:tcPr>
            <w:tcW w:w="325" w:type="dxa"/>
          </w:tcPr>
          <w:p w:rsidR="00F07BE6" w:rsidRPr="00A86857" w:rsidRDefault="00FC1FDC" w:rsidP="005F64C9">
            <w:pPr>
              <w:pStyle w:val="Normal00"/>
              <w:spacing w:line="264" w:lineRule="auto"/>
              <w:jc w:val="both"/>
              <w:rPr>
                <w:rFonts w:ascii="Arial" w:eastAsia="MS Mincho" w:hAnsi="Arial" w:cs="Arial"/>
                <w:color w:val="002060"/>
                <w:sz w:val="20"/>
                <w:szCs w:val="20"/>
                <w:lang w:eastAsia="ja-JP"/>
              </w:rPr>
            </w:pPr>
            <w:r w:rsidRPr="00A86857">
              <w:rPr>
                <w:rFonts w:eastAsia="SimSun"/>
                <w:color w:val="002060"/>
                <w:sz w:val="18"/>
                <w:szCs w:val="18"/>
                <w:lang w:eastAsia="ja-JP"/>
              </w:rPr>
              <w:t>●</w:t>
            </w:r>
          </w:p>
        </w:tc>
        <w:tc>
          <w:tcPr>
            <w:tcW w:w="10095" w:type="dxa"/>
            <w:gridSpan w:val="2"/>
          </w:tcPr>
          <w:p w:rsidR="00F07BE6" w:rsidRPr="009B0F49" w:rsidRDefault="00FC1FDC" w:rsidP="00F07BE6">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Total income decreased by £284 million, or 6.2</w:t>
            </w:r>
            <w:r w:rsidRPr="009B0F49">
              <w:rPr>
                <w:rFonts w:eastAsia="Times New Roman"/>
                <w:sz w:val="18"/>
                <w:szCs w:val="18"/>
                <w:lang w:val="en-US" w:eastAsia="ja-JP" w:bidi="he-IL"/>
              </w:rPr>
              <w:t>%, reflecting asset disposal and fair value gains of £169 m</w:t>
            </w:r>
            <w:r>
              <w:rPr>
                <w:rFonts w:eastAsia="Times New Roman"/>
                <w:sz w:val="18"/>
                <w:szCs w:val="18"/>
                <w:lang w:val="en-US" w:eastAsia="ja-JP" w:bidi="he-IL"/>
              </w:rPr>
              <w:t>illion in 2018, compared with a</w:t>
            </w:r>
            <w:r w:rsidRPr="00961D1B">
              <w:rPr>
                <w:rFonts w:eastAsia="Times New Roman"/>
                <w:sz w:val="18"/>
                <w:szCs w:val="18"/>
                <w:lang w:val="en-US" w:eastAsia="ja-JP" w:bidi="he-IL"/>
              </w:rPr>
              <w:t xml:space="preserve"> £16 million loss in 2019, combined with lower deposit income and lower non-interest income. Net interest margin decreased by 1 basis point in comparison to 2018 as a result of lower deposit income, with lending margins broadly stable. </w:t>
            </w:r>
          </w:p>
        </w:tc>
      </w:tr>
      <w:tr w:rsidR="0064628A" w:rsidTr="000D748E">
        <w:trPr>
          <w:trHeight w:val="670"/>
        </w:trPr>
        <w:tc>
          <w:tcPr>
            <w:tcW w:w="325" w:type="dxa"/>
          </w:tcPr>
          <w:p w:rsidR="00F07BE6" w:rsidRPr="00A86857" w:rsidRDefault="00FC1FDC" w:rsidP="005F64C9">
            <w:pPr>
              <w:pStyle w:val="Normal00"/>
              <w:spacing w:line="264" w:lineRule="auto"/>
              <w:jc w:val="both"/>
              <w:rPr>
                <w:rFonts w:ascii="Arial" w:hAnsi="Arial" w:cs="Arial"/>
                <w:color w:val="002060"/>
              </w:rPr>
            </w:pPr>
            <w:r w:rsidRPr="00A86857">
              <w:rPr>
                <w:rFonts w:eastAsia="SimSun"/>
                <w:color w:val="002060"/>
                <w:sz w:val="18"/>
                <w:szCs w:val="18"/>
                <w:lang w:eastAsia="ja-JP"/>
              </w:rPr>
              <w:t>●</w:t>
            </w:r>
          </w:p>
        </w:tc>
        <w:tc>
          <w:tcPr>
            <w:tcW w:w="10095" w:type="dxa"/>
            <w:gridSpan w:val="2"/>
          </w:tcPr>
          <w:p w:rsidR="00F07BE6" w:rsidRPr="009B0F49" w:rsidRDefault="00FC1FDC" w:rsidP="00F07BE6">
            <w:pPr>
              <w:pStyle w:val="Normal30"/>
              <w:spacing w:line="259" w:lineRule="auto"/>
              <w:rPr>
                <w:rFonts w:eastAsia="Times New Roman"/>
                <w:sz w:val="18"/>
                <w:szCs w:val="18"/>
                <w:lang w:val="en-US" w:eastAsia="ja-JP" w:bidi="he-IL"/>
              </w:rPr>
            </w:pPr>
            <w:r w:rsidRPr="009B0F49">
              <w:rPr>
                <w:rFonts w:eastAsia="Times New Roman"/>
                <w:sz w:val="18"/>
                <w:szCs w:val="18"/>
                <w:lang w:val="en-US" w:eastAsia="ja-JP" w:bidi="he-IL"/>
              </w:rPr>
              <w:t>Excluding strategic, litigation and conduct costs, operating expenses decreased by £51 million, or 2.2%, reflecting lower back office operations cos</w:t>
            </w:r>
            <w:r>
              <w:rPr>
                <w:rFonts w:eastAsia="Times New Roman"/>
                <w:sz w:val="18"/>
                <w:szCs w:val="18"/>
                <w:lang w:val="en-US" w:eastAsia="ja-JP" w:bidi="he-IL"/>
              </w:rPr>
              <w:t xml:space="preserve">ts </w:t>
            </w:r>
            <w:r w:rsidRPr="005623BB">
              <w:rPr>
                <w:rFonts w:eastAsia="Times New Roman"/>
                <w:sz w:val="18"/>
                <w:szCs w:val="18"/>
                <w:lang w:val="en-US" w:eastAsia="ja-JP" w:bidi="he-IL"/>
              </w:rPr>
              <w:t>and VAT recoveries, partially offset by £17 million higher operating lease depreciation, £9 million authorised push payment</w:t>
            </w:r>
            <w:r w:rsidRPr="001D154B">
              <w:rPr>
                <w:rFonts w:eastAsia="Times New Roman"/>
                <w:sz w:val="18"/>
                <w:szCs w:val="18"/>
                <w:lang w:val="en-US" w:eastAsia="ja-JP" w:bidi="he-IL"/>
              </w:rPr>
              <w:t xml:space="preserve"> fraud costs in line with new industry practice, and higher remediation, innovation and t</w:t>
            </w:r>
            <w:r w:rsidRPr="009B0F49">
              <w:rPr>
                <w:rFonts w:eastAsia="Times New Roman"/>
                <w:sz w:val="18"/>
                <w:szCs w:val="18"/>
                <w:lang w:val="en-US" w:eastAsia="ja-JP" w:bidi="he-IL"/>
              </w:rPr>
              <w:t>echnology spend.</w:t>
            </w:r>
          </w:p>
        </w:tc>
      </w:tr>
      <w:tr w:rsidR="0064628A" w:rsidTr="000D748E">
        <w:tc>
          <w:tcPr>
            <w:tcW w:w="325" w:type="dxa"/>
          </w:tcPr>
          <w:p w:rsidR="00F07BE6" w:rsidRPr="00A86857" w:rsidRDefault="00FC1FDC" w:rsidP="005F64C9">
            <w:pPr>
              <w:pStyle w:val="Normal00"/>
              <w:spacing w:line="264" w:lineRule="auto"/>
              <w:jc w:val="both"/>
              <w:rPr>
                <w:rFonts w:ascii="Arial" w:hAnsi="Arial" w:cs="Arial"/>
                <w:color w:val="002060"/>
              </w:rPr>
            </w:pPr>
            <w:r w:rsidRPr="00A86857">
              <w:rPr>
                <w:rFonts w:eastAsia="SimSun"/>
                <w:color w:val="002060"/>
                <w:sz w:val="18"/>
                <w:szCs w:val="18"/>
                <w:lang w:eastAsia="ja-JP"/>
              </w:rPr>
              <w:t>●</w:t>
            </w:r>
          </w:p>
        </w:tc>
        <w:tc>
          <w:tcPr>
            <w:tcW w:w="10095" w:type="dxa"/>
            <w:gridSpan w:val="2"/>
          </w:tcPr>
          <w:p w:rsidR="00F07BE6" w:rsidRPr="009B0F49" w:rsidRDefault="00FC1FDC" w:rsidP="00F07BE6">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Impairment losses of £391</w:t>
            </w:r>
            <w:r w:rsidRPr="009B0F49">
              <w:rPr>
                <w:rFonts w:eastAsia="Times New Roman"/>
                <w:sz w:val="18"/>
                <w:szCs w:val="18"/>
                <w:lang w:val="en-US" w:eastAsia="ja-JP" w:bidi="he-IL"/>
              </w:rPr>
              <w:t xml:space="preserve"> million </w:t>
            </w:r>
            <w:r>
              <w:rPr>
                <w:rFonts w:eastAsia="Times New Roman"/>
                <w:sz w:val="18"/>
                <w:szCs w:val="18"/>
                <w:lang w:val="en-US" w:eastAsia="ja-JP" w:bidi="he-IL"/>
              </w:rPr>
              <w:t xml:space="preserve">include a small </w:t>
            </w:r>
            <w:r w:rsidRPr="005623BB">
              <w:rPr>
                <w:rFonts w:eastAsia="Times New Roman"/>
                <w:sz w:val="18"/>
                <w:szCs w:val="18"/>
                <w:lang w:val="en-US" w:eastAsia="ja-JP" w:bidi="he-IL"/>
              </w:rPr>
              <w:t>number</w:t>
            </w:r>
            <w:r w:rsidRPr="009B0F49">
              <w:rPr>
                <w:rFonts w:eastAsia="Times New Roman"/>
                <w:sz w:val="18"/>
                <w:szCs w:val="18"/>
                <w:lang w:val="en-US" w:eastAsia="ja-JP" w:bidi="he-IL"/>
              </w:rPr>
              <w:t xml:space="preserve"> of single name charges, IFRS 9 modelling adjustments and charges in respect of i</w:t>
            </w:r>
            <w:r>
              <w:rPr>
                <w:rFonts w:eastAsia="Times New Roman"/>
                <w:sz w:val="18"/>
                <w:szCs w:val="18"/>
                <w:lang w:val="en-US" w:eastAsia="ja-JP" w:bidi="he-IL"/>
              </w:rPr>
              <w:t>ncreased economic uncertainty.</w:t>
            </w:r>
          </w:p>
        </w:tc>
      </w:tr>
      <w:tr w:rsidR="0064628A" w:rsidTr="000D748E">
        <w:tc>
          <w:tcPr>
            <w:tcW w:w="325" w:type="dxa"/>
          </w:tcPr>
          <w:p w:rsidR="00F07BE6" w:rsidRPr="00A86857" w:rsidRDefault="00FC1FDC" w:rsidP="005F64C9">
            <w:pPr>
              <w:pStyle w:val="Normal00"/>
              <w:spacing w:line="264" w:lineRule="auto"/>
              <w:contextualSpacing/>
              <w:jc w:val="both"/>
              <w:rPr>
                <w:rFonts w:ascii="Arial" w:hAnsi="Arial" w:cs="Arial"/>
                <w:color w:val="002060"/>
                <w:sz w:val="18"/>
                <w:szCs w:val="18"/>
                <w:lang w:val="en-US" w:eastAsia="ja-JP" w:bidi="he-IL"/>
              </w:rPr>
            </w:pPr>
            <w:r w:rsidRPr="00A86857">
              <w:rPr>
                <w:rFonts w:ascii="Arial" w:hAnsi="Arial" w:cs="Arial"/>
                <w:color w:val="002060"/>
                <w:sz w:val="18"/>
                <w:szCs w:val="18"/>
                <w:lang w:val="en-US" w:eastAsia="ja-JP" w:bidi="he-IL"/>
              </w:rPr>
              <w:t>●</w:t>
            </w:r>
          </w:p>
        </w:tc>
        <w:tc>
          <w:tcPr>
            <w:tcW w:w="10095" w:type="dxa"/>
            <w:gridSpan w:val="2"/>
          </w:tcPr>
          <w:p w:rsidR="00F07BE6" w:rsidRPr="00124B8F" w:rsidRDefault="00FC1FDC" w:rsidP="00AB4D14">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Commercial Banking gross new lending</w:t>
            </w:r>
            <w:r w:rsidRPr="00AB4D14">
              <w:rPr>
                <w:rFonts w:eastAsia="Times New Roman"/>
                <w:sz w:val="18"/>
                <w:szCs w:val="18"/>
                <w:vertAlign w:val="superscript"/>
                <w:lang w:val="en-US" w:eastAsia="ja-JP" w:bidi="he-IL"/>
              </w:rPr>
              <w:t>(1)</w:t>
            </w:r>
            <w:r>
              <w:rPr>
                <w:rFonts w:eastAsia="Times New Roman"/>
                <w:sz w:val="18"/>
                <w:szCs w:val="18"/>
                <w:lang w:val="en-US" w:eastAsia="ja-JP" w:bidi="he-IL"/>
              </w:rPr>
              <w:t xml:space="preserve"> was £19.5 billion in 2019. </w:t>
            </w:r>
            <w:r w:rsidR="00866D46" w:rsidRPr="009B0F49">
              <w:rPr>
                <w:rFonts w:eastAsia="Times New Roman"/>
                <w:sz w:val="18"/>
                <w:szCs w:val="18"/>
                <w:lang w:val="en-US" w:eastAsia="ja-JP" w:bidi="he-IL"/>
              </w:rPr>
              <w:t>Net loans</w:t>
            </w:r>
            <w:r w:rsidR="00866D46">
              <w:rPr>
                <w:rFonts w:eastAsia="Times New Roman"/>
                <w:sz w:val="18"/>
                <w:szCs w:val="18"/>
                <w:lang w:val="en-US" w:eastAsia="ja-JP" w:bidi="he-IL"/>
              </w:rPr>
              <w:t xml:space="preserve"> to customers decreased by £0.2 </w:t>
            </w:r>
            <w:r w:rsidR="00866D46" w:rsidRPr="005623BB">
              <w:rPr>
                <w:rFonts w:eastAsia="Times New Roman"/>
                <w:sz w:val="18"/>
                <w:szCs w:val="18"/>
                <w:lang w:eastAsia="ja-JP" w:bidi="he-IL"/>
              </w:rPr>
              <w:t>billion as planned reductions in EU divestment and Large Corporates &amp; Institutions Western European transfers to NatWest Markets of £0.6 bi</w:t>
            </w:r>
            <w:r w:rsidR="00866D46">
              <w:rPr>
                <w:rFonts w:eastAsia="Times New Roman"/>
                <w:sz w:val="18"/>
                <w:szCs w:val="18"/>
                <w:lang w:eastAsia="ja-JP" w:bidi="he-IL"/>
              </w:rPr>
              <w:t>llion were partially offset by growth across the business</w:t>
            </w:r>
            <w:r w:rsidR="00866D46" w:rsidRPr="005623BB">
              <w:rPr>
                <w:rFonts w:eastAsia="Times New Roman"/>
                <w:sz w:val="18"/>
                <w:szCs w:val="18"/>
                <w:lang w:val="en-US" w:eastAsia="ja-JP" w:bidi="he-IL"/>
              </w:rPr>
              <w:t>.</w:t>
            </w:r>
            <w:r w:rsidR="00866D46" w:rsidRPr="009B0F49">
              <w:rPr>
                <w:rFonts w:eastAsia="Times New Roman"/>
                <w:sz w:val="18"/>
                <w:szCs w:val="18"/>
                <w:lang w:val="en-US" w:eastAsia="ja-JP" w:bidi="he-IL"/>
              </w:rPr>
              <w:t xml:space="preserve"> Lending </w:t>
            </w:r>
            <w:r w:rsidR="00866D46" w:rsidRPr="00124B8F">
              <w:rPr>
                <w:rFonts w:eastAsia="Times New Roman"/>
                <w:sz w:val="18"/>
                <w:szCs w:val="18"/>
                <w:lang w:val="en-US" w:eastAsia="ja-JP" w:bidi="he-IL"/>
              </w:rPr>
              <w:t>across Business Banking, SME &amp; Mid-Corporate and Specialised busi</w:t>
            </w:r>
            <w:r w:rsidR="00866D46">
              <w:rPr>
                <w:rFonts w:eastAsia="Times New Roman"/>
                <w:sz w:val="18"/>
                <w:szCs w:val="18"/>
                <w:lang w:val="en-US" w:eastAsia="ja-JP" w:bidi="he-IL"/>
              </w:rPr>
              <w:t>ness increased by £1.1</w:t>
            </w:r>
            <w:r w:rsidR="00866D46" w:rsidRPr="00124B8F">
              <w:rPr>
                <w:rFonts w:eastAsia="Times New Roman"/>
                <w:sz w:val="18"/>
                <w:szCs w:val="18"/>
                <w:lang w:val="en-US" w:eastAsia="ja-JP" w:bidi="he-IL"/>
              </w:rPr>
              <w:t xml:space="preserve"> billion</w:t>
            </w:r>
            <w:r w:rsidR="00866D46">
              <w:rPr>
                <w:rFonts w:eastAsia="Times New Roman"/>
                <w:sz w:val="18"/>
                <w:szCs w:val="18"/>
                <w:lang w:val="en-US" w:eastAsia="ja-JP" w:bidi="he-IL"/>
              </w:rPr>
              <w:t>, or 2.1%</w:t>
            </w:r>
            <w:r>
              <w:rPr>
                <w:rFonts w:eastAsia="Times New Roman"/>
                <w:sz w:val="18"/>
                <w:szCs w:val="18"/>
                <w:lang w:val="en-US" w:eastAsia="ja-JP" w:bidi="he-IL"/>
              </w:rPr>
              <w:t>.</w:t>
            </w:r>
          </w:p>
        </w:tc>
      </w:tr>
      <w:tr w:rsidR="0064628A" w:rsidTr="000D748E">
        <w:tc>
          <w:tcPr>
            <w:tcW w:w="325" w:type="dxa"/>
          </w:tcPr>
          <w:p w:rsidR="00F07BE6" w:rsidRPr="00A86857" w:rsidRDefault="00FC1FDC" w:rsidP="005F64C9">
            <w:pPr>
              <w:pStyle w:val="Normal00"/>
              <w:spacing w:line="264" w:lineRule="auto"/>
              <w:jc w:val="both"/>
              <w:rPr>
                <w:rFonts w:ascii="Arial" w:eastAsia="MS Mincho" w:hAnsi="Arial" w:cs="Arial"/>
                <w:color w:val="002060"/>
                <w:sz w:val="20"/>
                <w:szCs w:val="20"/>
                <w:lang w:eastAsia="ja-JP"/>
              </w:rPr>
            </w:pPr>
            <w:r w:rsidRPr="00A86857">
              <w:rPr>
                <w:rFonts w:eastAsia="SimSun"/>
                <w:color w:val="002060"/>
                <w:sz w:val="18"/>
                <w:szCs w:val="18"/>
                <w:lang w:eastAsia="ja-JP"/>
              </w:rPr>
              <w:t>●</w:t>
            </w:r>
          </w:p>
        </w:tc>
        <w:tc>
          <w:tcPr>
            <w:tcW w:w="10095" w:type="dxa"/>
            <w:gridSpan w:val="2"/>
          </w:tcPr>
          <w:p w:rsidR="00F07BE6" w:rsidRPr="009B0F49" w:rsidRDefault="00FC1FDC" w:rsidP="00F07BE6">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RWAs decreased by £5.9</w:t>
            </w:r>
            <w:r w:rsidRPr="009B0F49">
              <w:rPr>
                <w:rFonts w:eastAsia="Times New Roman"/>
                <w:sz w:val="18"/>
                <w:szCs w:val="18"/>
                <w:lang w:val="en-US" w:eastAsia="ja-JP" w:bidi="he-IL"/>
              </w:rPr>
              <w:t xml:space="preserve"> billion due to model improvements, active capital management and business transfers of £</w:t>
            </w:r>
            <w:r>
              <w:rPr>
                <w:rFonts w:eastAsia="Times New Roman"/>
                <w:sz w:val="18"/>
                <w:szCs w:val="18"/>
                <w:lang w:val="en-US" w:eastAsia="ja-JP" w:bidi="he-IL"/>
              </w:rPr>
              <w:t>2.4</w:t>
            </w:r>
            <w:r w:rsidRPr="009B0F49">
              <w:rPr>
                <w:rFonts w:eastAsia="Times New Roman"/>
                <w:sz w:val="18"/>
                <w:szCs w:val="18"/>
                <w:lang w:val="en-US" w:eastAsia="ja-JP" w:bidi="he-IL"/>
              </w:rPr>
              <w:t xml:space="preserve"> billion</w:t>
            </w:r>
            <w:r w:rsidR="00AB4D14">
              <w:rPr>
                <w:rFonts w:eastAsia="Times New Roman"/>
                <w:sz w:val="18"/>
                <w:szCs w:val="18"/>
                <w:lang w:val="en-US" w:eastAsia="ja-JP" w:bidi="he-IL"/>
              </w:rPr>
              <w:t>, resulting in a</w:t>
            </w:r>
            <w:r w:rsidRPr="00912FEA">
              <w:rPr>
                <w:rFonts w:eastAsia="Times New Roman"/>
                <w:sz w:val="18"/>
                <w:szCs w:val="18"/>
                <w:lang w:val="en-US" w:eastAsia="ja-JP" w:bidi="he-IL"/>
              </w:rPr>
              <w:t xml:space="preserve"> RWA intensity</w:t>
            </w:r>
            <w:r w:rsidR="00AB4D14" w:rsidRPr="00AB4D14">
              <w:rPr>
                <w:rFonts w:eastAsia="Times New Roman"/>
                <w:sz w:val="18"/>
                <w:szCs w:val="18"/>
                <w:vertAlign w:val="superscript"/>
                <w:lang w:val="en-US" w:eastAsia="ja-JP" w:bidi="he-IL"/>
              </w:rPr>
              <w:t>(2)</w:t>
            </w:r>
            <w:r w:rsidR="00AB4D14">
              <w:rPr>
                <w:rFonts w:eastAsia="Times New Roman"/>
                <w:sz w:val="18"/>
                <w:szCs w:val="18"/>
                <w:lang w:val="en-US" w:eastAsia="ja-JP" w:bidi="he-IL"/>
              </w:rPr>
              <w:t xml:space="preserve"> of 70.7</w:t>
            </w:r>
            <w:r w:rsidRPr="00912FEA">
              <w:rPr>
                <w:rFonts w:eastAsia="Times New Roman"/>
                <w:sz w:val="18"/>
                <w:szCs w:val="18"/>
                <w:lang w:val="en-US" w:eastAsia="ja-JP" w:bidi="he-IL"/>
              </w:rPr>
              <w:t>%</w:t>
            </w:r>
            <w:r w:rsidR="00AB4D14">
              <w:rPr>
                <w:rFonts w:eastAsia="Times New Roman"/>
                <w:sz w:val="18"/>
                <w:szCs w:val="18"/>
                <w:lang w:val="en-US" w:eastAsia="ja-JP" w:bidi="he-IL"/>
              </w:rPr>
              <w:t xml:space="preserve"> in comparison to 76.3</w:t>
            </w:r>
            <w:r>
              <w:rPr>
                <w:rFonts w:eastAsia="Times New Roman"/>
                <w:sz w:val="18"/>
                <w:szCs w:val="18"/>
                <w:lang w:val="en-US" w:eastAsia="ja-JP" w:bidi="he-IL"/>
              </w:rPr>
              <w:t>% in 2018.</w:t>
            </w:r>
          </w:p>
        </w:tc>
      </w:tr>
      <w:tr w:rsidR="0064628A" w:rsidTr="00AB4D14">
        <w:tc>
          <w:tcPr>
            <w:tcW w:w="10420" w:type="dxa"/>
            <w:gridSpan w:val="3"/>
          </w:tcPr>
          <w:p w:rsidR="004F5E62" w:rsidRPr="00572AEE" w:rsidRDefault="004F5E62" w:rsidP="005F64C9">
            <w:pPr>
              <w:pStyle w:val="Normal00"/>
              <w:spacing w:line="264" w:lineRule="auto"/>
              <w:jc w:val="both"/>
              <w:rPr>
                <w:rFonts w:ascii="Arial" w:hAnsi="Arial" w:cs="Arial"/>
                <w:color w:val="003366"/>
                <w:sz w:val="18"/>
                <w:szCs w:val="18"/>
                <w:lang w:eastAsia="ja-JP"/>
              </w:rPr>
            </w:pPr>
          </w:p>
          <w:p w:rsidR="004F5E62" w:rsidRPr="00572AEE" w:rsidRDefault="00FC1FDC" w:rsidP="004F5E62">
            <w:pPr>
              <w:pStyle w:val="Normal00"/>
              <w:spacing w:line="264" w:lineRule="auto"/>
              <w:jc w:val="both"/>
              <w:rPr>
                <w:rFonts w:ascii="Arial" w:hAnsi="Arial" w:cs="Arial"/>
                <w:sz w:val="18"/>
                <w:szCs w:val="18"/>
                <w:lang w:eastAsia="ja-JP"/>
              </w:rPr>
            </w:pPr>
            <w:r w:rsidRPr="00572AEE">
              <w:rPr>
                <w:rFonts w:ascii="Arial" w:hAnsi="Arial" w:cs="Arial"/>
                <w:color w:val="003366"/>
                <w:sz w:val="18"/>
                <w:szCs w:val="18"/>
                <w:lang w:eastAsia="ja-JP"/>
              </w:rPr>
              <w:t>Q4 2019 compared with Q3 2019</w:t>
            </w:r>
          </w:p>
        </w:tc>
      </w:tr>
      <w:tr w:rsidR="0064628A" w:rsidTr="000D748E">
        <w:trPr>
          <w:trHeight w:val="423"/>
        </w:trPr>
        <w:tc>
          <w:tcPr>
            <w:tcW w:w="392" w:type="dxa"/>
            <w:gridSpan w:val="2"/>
          </w:tcPr>
          <w:p w:rsidR="00F07BE6" w:rsidRPr="00A86857" w:rsidRDefault="00FC1FDC" w:rsidP="005F64C9">
            <w:pPr>
              <w:pStyle w:val="Normal00"/>
              <w:spacing w:line="264" w:lineRule="auto"/>
              <w:jc w:val="both"/>
              <w:rPr>
                <w:rFonts w:ascii="Arial" w:eastAsia="MS Mincho" w:hAnsi="Arial" w:cs="Arial"/>
                <w:color w:val="002060"/>
                <w:sz w:val="20"/>
                <w:szCs w:val="20"/>
                <w:lang w:eastAsia="ja-JP"/>
              </w:rPr>
            </w:pPr>
            <w:r w:rsidRPr="00A86857">
              <w:rPr>
                <w:rFonts w:eastAsia="SimSun"/>
                <w:color w:val="002060"/>
                <w:sz w:val="18"/>
                <w:szCs w:val="18"/>
                <w:lang w:eastAsia="ja-JP"/>
              </w:rPr>
              <w:t>●</w:t>
            </w:r>
          </w:p>
        </w:tc>
        <w:tc>
          <w:tcPr>
            <w:tcW w:w="10028" w:type="dxa"/>
          </w:tcPr>
          <w:p w:rsidR="00F07BE6" w:rsidRPr="009B0F49" w:rsidRDefault="00FC1FDC" w:rsidP="00F07BE6">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Total income remained stable, whilst n</w:t>
            </w:r>
            <w:r w:rsidRPr="00B51C65">
              <w:rPr>
                <w:rFonts w:eastAsia="Times New Roman"/>
                <w:sz w:val="18"/>
                <w:szCs w:val="18"/>
                <w:lang w:val="en-US" w:eastAsia="ja-JP" w:bidi="he-IL"/>
              </w:rPr>
              <w:t>et interest</w:t>
            </w:r>
            <w:r>
              <w:rPr>
                <w:rFonts w:eastAsia="Times New Roman"/>
                <w:sz w:val="18"/>
                <w:szCs w:val="18"/>
                <w:lang w:val="en-US" w:eastAsia="ja-JP" w:bidi="he-IL"/>
              </w:rPr>
              <w:t xml:space="preserve"> margin increased by 4 basis points in comparison to Q3 2019, mainly due to </w:t>
            </w:r>
            <w:r w:rsidRPr="00B51C65">
              <w:rPr>
                <w:rFonts w:eastAsia="Times New Roman"/>
                <w:sz w:val="18"/>
                <w:szCs w:val="18"/>
                <w:lang w:val="en-US" w:eastAsia="ja-JP" w:bidi="he-IL"/>
              </w:rPr>
              <w:t>an annual</w:t>
            </w:r>
            <w:r>
              <w:rPr>
                <w:rFonts w:eastAsia="Times New Roman"/>
                <w:sz w:val="18"/>
                <w:szCs w:val="18"/>
                <w:lang w:val="en-US" w:eastAsia="ja-JP" w:bidi="he-IL"/>
              </w:rPr>
              <w:t xml:space="preserve"> review</w:t>
            </w:r>
            <w:r w:rsidRPr="00B51C65">
              <w:rPr>
                <w:rFonts w:eastAsia="Times New Roman"/>
                <w:sz w:val="18"/>
                <w:szCs w:val="18"/>
                <w:lang w:val="en-US" w:eastAsia="ja-JP" w:bidi="he-IL"/>
              </w:rPr>
              <w:t xml:space="preserve"> related to customer repayment behavio</w:t>
            </w:r>
            <w:r>
              <w:rPr>
                <w:rFonts w:eastAsia="Times New Roman"/>
                <w:sz w:val="18"/>
                <w:szCs w:val="18"/>
                <w:lang w:val="en-US" w:eastAsia="ja-JP" w:bidi="he-IL"/>
              </w:rPr>
              <w:t>ur changes, partially offset by lower deposit income.</w:t>
            </w:r>
            <w:r w:rsidRPr="009B0F49">
              <w:rPr>
                <w:rFonts w:eastAsia="Times New Roman"/>
                <w:sz w:val="18"/>
                <w:szCs w:val="18"/>
                <w:lang w:val="en-US" w:eastAsia="ja-JP" w:bidi="he-IL"/>
              </w:rPr>
              <w:t xml:space="preserve"> </w:t>
            </w:r>
          </w:p>
        </w:tc>
      </w:tr>
      <w:tr w:rsidR="0064628A" w:rsidTr="000D748E">
        <w:trPr>
          <w:trHeight w:val="363"/>
        </w:trPr>
        <w:tc>
          <w:tcPr>
            <w:tcW w:w="392" w:type="dxa"/>
            <w:gridSpan w:val="2"/>
          </w:tcPr>
          <w:p w:rsidR="00F07BE6" w:rsidRPr="00A86857" w:rsidRDefault="00FC1FDC" w:rsidP="005F64C9">
            <w:pPr>
              <w:pStyle w:val="Normal00"/>
              <w:spacing w:line="264" w:lineRule="auto"/>
              <w:jc w:val="both"/>
              <w:rPr>
                <w:rFonts w:ascii="Arial" w:eastAsia="MS Mincho" w:hAnsi="Arial" w:cs="Arial"/>
                <w:color w:val="002060"/>
                <w:sz w:val="20"/>
                <w:szCs w:val="20"/>
                <w:lang w:eastAsia="ja-JP"/>
              </w:rPr>
            </w:pPr>
            <w:r w:rsidRPr="00A86857">
              <w:rPr>
                <w:rFonts w:eastAsia="SimSun"/>
                <w:color w:val="002060"/>
                <w:sz w:val="18"/>
                <w:szCs w:val="18"/>
                <w:lang w:eastAsia="ja-JP"/>
              </w:rPr>
              <w:t>●</w:t>
            </w:r>
          </w:p>
        </w:tc>
        <w:tc>
          <w:tcPr>
            <w:tcW w:w="10028" w:type="dxa"/>
          </w:tcPr>
          <w:p w:rsidR="00F07BE6" w:rsidRPr="00B51C65" w:rsidRDefault="00FC1FDC" w:rsidP="009C77F3">
            <w:pPr>
              <w:pStyle w:val="Normal30"/>
              <w:spacing w:line="259" w:lineRule="auto"/>
              <w:rPr>
                <w:rFonts w:eastAsia="Times New Roman"/>
                <w:sz w:val="18"/>
                <w:szCs w:val="18"/>
                <w:lang w:val="en-US" w:eastAsia="ja-JP" w:bidi="he-IL"/>
              </w:rPr>
            </w:pPr>
            <w:r w:rsidRPr="00B51C65">
              <w:rPr>
                <w:rFonts w:eastAsia="Times New Roman"/>
                <w:sz w:val="18"/>
                <w:szCs w:val="18"/>
                <w:lang w:val="en-US" w:eastAsia="ja-JP" w:bidi="he-IL"/>
              </w:rPr>
              <w:t>Excluding strategic, litigation and conduct costs, operating expenses increased by £15 million, or</w:t>
            </w:r>
            <w:r>
              <w:rPr>
                <w:rFonts w:eastAsia="Times New Roman"/>
                <w:sz w:val="18"/>
                <w:szCs w:val="18"/>
                <w:lang w:val="en-US" w:eastAsia="ja-JP" w:bidi="he-IL"/>
              </w:rPr>
              <w:t xml:space="preserve"> </w:t>
            </w:r>
            <w:r w:rsidRPr="00B51C65">
              <w:rPr>
                <w:rFonts w:eastAsia="Times New Roman"/>
                <w:sz w:val="18"/>
                <w:szCs w:val="18"/>
                <w:lang w:val="en-US" w:eastAsia="ja-JP" w:bidi="he-IL"/>
              </w:rPr>
              <w:t>2.7%, as the annual UK bank levy charge was partially offset by VAT recoveries.</w:t>
            </w:r>
          </w:p>
        </w:tc>
      </w:tr>
      <w:tr w:rsidR="0064628A" w:rsidTr="000D748E">
        <w:trPr>
          <w:trHeight w:val="226"/>
        </w:trPr>
        <w:tc>
          <w:tcPr>
            <w:tcW w:w="392" w:type="dxa"/>
            <w:gridSpan w:val="2"/>
          </w:tcPr>
          <w:p w:rsidR="00F07BE6" w:rsidRPr="00A86857" w:rsidRDefault="00FC1FDC" w:rsidP="005F64C9">
            <w:pPr>
              <w:pStyle w:val="Normal00"/>
              <w:spacing w:line="264" w:lineRule="auto"/>
              <w:jc w:val="both"/>
              <w:rPr>
                <w:rFonts w:ascii="Arial" w:eastAsia="MS Mincho" w:hAnsi="Arial" w:cs="Arial"/>
                <w:color w:val="002060"/>
                <w:sz w:val="20"/>
                <w:szCs w:val="20"/>
                <w:lang w:eastAsia="ja-JP"/>
              </w:rPr>
            </w:pPr>
            <w:r w:rsidRPr="00A86857">
              <w:rPr>
                <w:rFonts w:eastAsia="SimSun"/>
                <w:color w:val="002060"/>
                <w:sz w:val="18"/>
                <w:szCs w:val="18"/>
                <w:lang w:eastAsia="ja-JP"/>
              </w:rPr>
              <w:t>●</w:t>
            </w:r>
          </w:p>
        </w:tc>
        <w:tc>
          <w:tcPr>
            <w:tcW w:w="10028" w:type="dxa"/>
          </w:tcPr>
          <w:p w:rsidR="00F07BE6" w:rsidRPr="00B51C65" w:rsidRDefault="00FC1FDC" w:rsidP="00F07BE6">
            <w:pPr>
              <w:pStyle w:val="Normal30"/>
              <w:spacing w:line="259" w:lineRule="auto"/>
              <w:rPr>
                <w:rFonts w:eastAsia="Times New Roman"/>
                <w:sz w:val="18"/>
                <w:szCs w:val="18"/>
                <w:lang w:val="en-US" w:eastAsia="ja-JP" w:bidi="he-IL"/>
              </w:rPr>
            </w:pPr>
            <w:r w:rsidRPr="00B51C65">
              <w:rPr>
                <w:rFonts w:eastAsia="Times New Roman"/>
                <w:sz w:val="18"/>
                <w:szCs w:val="18"/>
                <w:lang w:val="en-US" w:eastAsia="ja-JP" w:bidi="he-IL"/>
              </w:rPr>
              <w:t>Imp</w:t>
            </w:r>
            <w:r>
              <w:rPr>
                <w:rFonts w:eastAsia="Times New Roman"/>
                <w:sz w:val="18"/>
                <w:szCs w:val="18"/>
                <w:lang w:val="en-US" w:eastAsia="ja-JP" w:bidi="he-IL"/>
              </w:rPr>
              <w:t>airment losses decreased by £27</w:t>
            </w:r>
            <w:r w:rsidRPr="00B51C65">
              <w:rPr>
                <w:rFonts w:eastAsia="Times New Roman"/>
                <w:sz w:val="18"/>
                <w:szCs w:val="18"/>
                <w:lang w:val="en-US" w:eastAsia="ja-JP" w:bidi="he-IL"/>
              </w:rPr>
              <w:t xml:space="preserve"> million reflecting charges in respect of increased economic uncertainty in Q3 2019.</w:t>
            </w:r>
          </w:p>
        </w:tc>
      </w:tr>
      <w:tr w:rsidR="0064628A" w:rsidTr="000D748E">
        <w:trPr>
          <w:trHeight w:val="149"/>
        </w:trPr>
        <w:tc>
          <w:tcPr>
            <w:tcW w:w="392" w:type="dxa"/>
            <w:gridSpan w:val="2"/>
          </w:tcPr>
          <w:p w:rsidR="00F07BE6" w:rsidRPr="00A86857" w:rsidRDefault="00FC1FDC" w:rsidP="005F64C9">
            <w:pPr>
              <w:pStyle w:val="Normal00"/>
              <w:spacing w:line="264" w:lineRule="auto"/>
              <w:jc w:val="both"/>
              <w:rPr>
                <w:rFonts w:eastAsia="SimSun"/>
                <w:color w:val="002060"/>
                <w:sz w:val="18"/>
                <w:szCs w:val="18"/>
                <w:lang w:eastAsia="ja-JP"/>
              </w:rPr>
            </w:pPr>
            <w:r w:rsidRPr="00A86857">
              <w:rPr>
                <w:rFonts w:eastAsia="SimSun"/>
                <w:color w:val="002060"/>
                <w:sz w:val="18"/>
                <w:szCs w:val="18"/>
                <w:lang w:eastAsia="ja-JP"/>
              </w:rPr>
              <w:t>●</w:t>
            </w:r>
          </w:p>
        </w:tc>
        <w:tc>
          <w:tcPr>
            <w:tcW w:w="10028" w:type="dxa"/>
          </w:tcPr>
          <w:p w:rsidR="00F07BE6" w:rsidRPr="009B0F49" w:rsidRDefault="00FC1FDC" w:rsidP="00F07BE6">
            <w:pPr>
              <w:pStyle w:val="Normal30"/>
              <w:spacing w:line="259" w:lineRule="auto"/>
              <w:rPr>
                <w:rFonts w:eastAsia="Times New Roman"/>
                <w:sz w:val="18"/>
                <w:szCs w:val="18"/>
                <w:lang w:val="en-US" w:eastAsia="ja-JP" w:bidi="he-IL"/>
              </w:rPr>
            </w:pPr>
            <w:r w:rsidRPr="009B0F49">
              <w:rPr>
                <w:rFonts w:eastAsia="Times New Roman"/>
                <w:sz w:val="18"/>
                <w:szCs w:val="18"/>
                <w:lang w:val="en-US" w:eastAsia="ja-JP" w:bidi="he-IL"/>
              </w:rPr>
              <w:t>Net loans</w:t>
            </w:r>
            <w:r>
              <w:rPr>
                <w:rFonts w:eastAsia="Times New Roman"/>
                <w:sz w:val="18"/>
                <w:szCs w:val="18"/>
                <w:lang w:val="en-US" w:eastAsia="ja-JP" w:bidi="he-IL"/>
              </w:rPr>
              <w:t xml:space="preserve"> to customers decreased by £0.3</w:t>
            </w:r>
            <w:r w:rsidRPr="009B0F49">
              <w:rPr>
                <w:rFonts w:eastAsia="Times New Roman"/>
                <w:sz w:val="18"/>
                <w:szCs w:val="18"/>
                <w:lang w:val="en-US" w:eastAsia="ja-JP" w:bidi="he-IL"/>
              </w:rPr>
              <w:t xml:space="preserve"> bill</w:t>
            </w:r>
            <w:r>
              <w:rPr>
                <w:rFonts w:eastAsia="Times New Roman"/>
                <w:sz w:val="18"/>
                <w:szCs w:val="18"/>
                <w:lang w:val="en-US" w:eastAsia="ja-JP" w:bidi="he-IL"/>
              </w:rPr>
              <w:t>ion mainly due to reductions in</w:t>
            </w:r>
            <w:r w:rsidRPr="009B0F49">
              <w:rPr>
                <w:rFonts w:eastAsia="Times New Roman"/>
                <w:sz w:val="18"/>
                <w:szCs w:val="18"/>
                <w:lang w:val="en-US" w:eastAsia="ja-JP" w:bidi="he-IL"/>
              </w:rPr>
              <w:t xml:space="preserve"> EU Divestment</w:t>
            </w:r>
            <w:r>
              <w:rPr>
                <w:rFonts w:eastAsia="Times New Roman"/>
                <w:sz w:val="18"/>
                <w:szCs w:val="18"/>
                <w:lang w:val="en-US" w:eastAsia="ja-JP" w:bidi="he-IL"/>
              </w:rPr>
              <w:t xml:space="preserve">. </w:t>
            </w:r>
          </w:p>
        </w:tc>
      </w:tr>
      <w:tr w:rsidR="0064628A" w:rsidTr="000D748E">
        <w:trPr>
          <w:trHeight w:val="363"/>
        </w:trPr>
        <w:tc>
          <w:tcPr>
            <w:tcW w:w="392" w:type="dxa"/>
            <w:gridSpan w:val="2"/>
          </w:tcPr>
          <w:p w:rsidR="00F07BE6" w:rsidRPr="00A86857" w:rsidRDefault="00FC1FDC" w:rsidP="005F64C9">
            <w:pPr>
              <w:pStyle w:val="Normal00"/>
              <w:spacing w:line="264" w:lineRule="auto"/>
              <w:jc w:val="both"/>
              <w:rPr>
                <w:rFonts w:eastAsia="SimSun"/>
                <w:color w:val="002060"/>
                <w:sz w:val="18"/>
                <w:szCs w:val="18"/>
                <w:lang w:eastAsia="ja-JP"/>
              </w:rPr>
            </w:pPr>
            <w:r w:rsidRPr="00A86857">
              <w:rPr>
                <w:rFonts w:eastAsia="SimSun"/>
                <w:color w:val="002060"/>
                <w:sz w:val="18"/>
                <w:szCs w:val="18"/>
                <w:lang w:eastAsia="ja-JP"/>
              </w:rPr>
              <w:t>●</w:t>
            </w:r>
          </w:p>
        </w:tc>
        <w:tc>
          <w:tcPr>
            <w:tcW w:w="10028" w:type="dxa"/>
          </w:tcPr>
          <w:p w:rsidR="00F07BE6" w:rsidRPr="009B0F49" w:rsidRDefault="00FC1FDC" w:rsidP="00F07BE6">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RWAs decreased by £4.5</w:t>
            </w:r>
            <w:r w:rsidRPr="009B0F49">
              <w:rPr>
                <w:rFonts w:eastAsia="Times New Roman"/>
                <w:sz w:val="18"/>
                <w:szCs w:val="18"/>
                <w:lang w:val="en-US" w:eastAsia="ja-JP" w:bidi="he-IL"/>
              </w:rPr>
              <w:t xml:space="preserve"> billion due to model improvements, active capital management and business transfers of </w:t>
            </w:r>
            <w:r>
              <w:rPr>
                <w:rFonts w:eastAsia="Times New Roman"/>
                <w:sz w:val="18"/>
                <w:szCs w:val="18"/>
                <w:lang w:val="en-US" w:eastAsia="ja-JP" w:bidi="he-IL"/>
              </w:rPr>
              <w:t>£</w:t>
            </w:r>
            <w:r w:rsidRPr="00961D1B">
              <w:rPr>
                <w:rFonts w:eastAsia="Times New Roman"/>
                <w:sz w:val="18"/>
                <w:szCs w:val="18"/>
                <w:lang w:val="en-US" w:eastAsia="ja-JP" w:bidi="he-IL"/>
              </w:rPr>
              <w:t>0.3 billion.</w:t>
            </w:r>
          </w:p>
          <w:p w:rsidR="00F07BE6" w:rsidRPr="009B0F49" w:rsidRDefault="00F07BE6" w:rsidP="00F07BE6">
            <w:pPr>
              <w:pStyle w:val="Normal30"/>
              <w:spacing w:line="259" w:lineRule="auto"/>
              <w:rPr>
                <w:rFonts w:eastAsia="Times New Roman"/>
                <w:sz w:val="18"/>
                <w:szCs w:val="18"/>
                <w:lang w:val="en-US" w:eastAsia="ja-JP" w:bidi="he-IL"/>
              </w:rPr>
            </w:pPr>
          </w:p>
        </w:tc>
      </w:tr>
      <w:tr w:rsidR="0064628A" w:rsidTr="00AB4D14">
        <w:tc>
          <w:tcPr>
            <w:tcW w:w="10420" w:type="dxa"/>
            <w:gridSpan w:val="3"/>
          </w:tcPr>
          <w:p w:rsidR="004F5E62" w:rsidRPr="00572AEE" w:rsidRDefault="00FC1FDC" w:rsidP="004F5E62">
            <w:pPr>
              <w:pStyle w:val="Normal00"/>
              <w:spacing w:line="264" w:lineRule="auto"/>
              <w:jc w:val="both"/>
              <w:rPr>
                <w:rFonts w:ascii="Arial" w:hAnsi="Arial" w:cs="Arial"/>
                <w:color w:val="003366"/>
                <w:sz w:val="18"/>
                <w:szCs w:val="18"/>
                <w:lang w:eastAsia="ja-JP"/>
              </w:rPr>
            </w:pPr>
            <w:r w:rsidRPr="00572AEE">
              <w:rPr>
                <w:rFonts w:ascii="Arial" w:hAnsi="Arial" w:cs="Arial"/>
                <w:color w:val="003366"/>
                <w:sz w:val="18"/>
                <w:szCs w:val="18"/>
                <w:lang w:eastAsia="ja-JP"/>
              </w:rPr>
              <w:t xml:space="preserve">Q4 2019 compared with Q4 2018 </w:t>
            </w:r>
          </w:p>
        </w:tc>
      </w:tr>
      <w:tr w:rsidR="0064628A" w:rsidTr="000D748E">
        <w:trPr>
          <w:trHeight w:val="195"/>
        </w:trPr>
        <w:tc>
          <w:tcPr>
            <w:tcW w:w="392" w:type="dxa"/>
            <w:gridSpan w:val="2"/>
          </w:tcPr>
          <w:p w:rsidR="00F07BE6" w:rsidRPr="00A86857" w:rsidRDefault="00FC1FDC" w:rsidP="005F64C9">
            <w:pPr>
              <w:pStyle w:val="Normal00"/>
              <w:spacing w:line="264" w:lineRule="auto"/>
              <w:jc w:val="both"/>
              <w:rPr>
                <w:rFonts w:ascii="Arial" w:eastAsia="MS Mincho" w:hAnsi="Arial" w:cs="Arial"/>
                <w:color w:val="002060"/>
                <w:sz w:val="20"/>
                <w:szCs w:val="20"/>
                <w:lang w:eastAsia="ja-JP"/>
              </w:rPr>
            </w:pPr>
            <w:r w:rsidRPr="00A86857">
              <w:rPr>
                <w:rFonts w:eastAsia="SimSun"/>
                <w:color w:val="002060"/>
                <w:sz w:val="18"/>
                <w:szCs w:val="18"/>
                <w:lang w:eastAsia="ja-JP"/>
              </w:rPr>
              <w:t>●</w:t>
            </w:r>
          </w:p>
        </w:tc>
        <w:tc>
          <w:tcPr>
            <w:tcW w:w="10028" w:type="dxa"/>
          </w:tcPr>
          <w:p w:rsidR="00F07BE6" w:rsidRPr="009B0F49" w:rsidRDefault="00FC1FDC" w:rsidP="00F07BE6">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Total income decreased by £40 million, or 3.6</w:t>
            </w:r>
            <w:r w:rsidRPr="009B0F49">
              <w:rPr>
                <w:rFonts w:eastAsia="Times New Roman"/>
                <w:sz w:val="18"/>
                <w:szCs w:val="18"/>
                <w:lang w:val="en-US" w:eastAsia="ja-JP" w:bidi="he-IL"/>
              </w:rPr>
              <w:t xml:space="preserve">%, </w:t>
            </w:r>
            <w:r>
              <w:rPr>
                <w:rFonts w:eastAsia="Times New Roman"/>
                <w:sz w:val="18"/>
                <w:szCs w:val="18"/>
                <w:lang w:val="en-US" w:eastAsia="ja-JP" w:bidi="he-IL"/>
              </w:rPr>
              <w:t xml:space="preserve">mainly due to </w:t>
            </w:r>
            <w:r w:rsidRPr="009B0F49">
              <w:rPr>
                <w:rFonts w:eastAsia="Times New Roman"/>
                <w:sz w:val="18"/>
                <w:szCs w:val="18"/>
                <w:lang w:val="en-US" w:eastAsia="ja-JP" w:bidi="he-IL"/>
              </w:rPr>
              <w:t>lower deposit income and lower non-interest income</w:t>
            </w:r>
            <w:r>
              <w:rPr>
                <w:rFonts w:eastAsia="Times New Roman"/>
                <w:sz w:val="18"/>
                <w:szCs w:val="18"/>
                <w:lang w:val="en-US" w:eastAsia="ja-JP" w:bidi="he-IL"/>
              </w:rPr>
              <w:t>.</w:t>
            </w:r>
          </w:p>
        </w:tc>
      </w:tr>
      <w:tr w:rsidR="0064628A" w:rsidTr="000D748E">
        <w:trPr>
          <w:trHeight w:val="371"/>
        </w:trPr>
        <w:tc>
          <w:tcPr>
            <w:tcW w:w="392" w:type="dxa"/>
            <w:gridSpan w:val="2"/>
          </w:tcPr>
          <w:p w:rsidR="00F07BE6" w:rsidRPr="00A86857" w:rsidRDefault="00FC1FDC" w:rsidP="005F64C9">
            <w:pPr>
              <w:pStyle w:val="Normal00"/>
              <w:spacing w:line="264" w:lineRule="auto"/>
              <w:jc w:val="both"/>
              <w:rPr>
                <w:rFonts w:ascii="Arial" w:eastAsia="MS Mincho" w:hAnsi="Arial" w:cs="Arial"/>
                <w:color w:val="002060"/>
                <w:sz w:val="20"/>
                <w:szCs w:val="20"/>
                <w:lang w:eastAsia="ja-JP"/>
              </w:rPr>
            </w:pPr>
            <w:r w:rsidRPr="00A86857">
              <w:rPr>
                <w:rFonts w:eastAsia="SimSun"/>
                <w:color w:val="002060"/>
                <w:sz w:val="18"/>
                <w:szCs w:val="18"/>
                <w:lang w:eastAsia="ja-JP"/>
              </w:rPr>
              <w:t>●</w:t>
            </w:r>
          </w:p>
        </w:tc>
        <w:tc>
          <w:tcPr>
            <w:tcW w:w="10028" w:type="dxa"/>
          </w:tcPr>
          <w:p w:rsidR="00F07BE6" w:rsidRPr="009B0F49" w:rsidRDefault="00FC1FDC" w:rsidP="00F07BE6">
            <w:pPr>
              <w:pStyle w:val="Normal30"/>
              <w:spacing w:line="259" w:lineRule="auto"/>
              <w:rPr>
                <w:rFonts w:eastAsia="Times New Roman"/>
                <w:sz w:val="18"/>
                <w:szCs w:val="18"/>
                <w:lang w:val="en-US" w:eastAsia="ja-JP" w:bidi="he-IL"/>
              </w:rPr>
            </w:pPr>
            <w:r w:rsidRPr="009B0F49">
              <w:rPr>
                <w:rFonts w:eastAsia="Times New Roman"/>
                <w:sz w:val="18"/>
                <w:szCs w:val="18"/>
                <w:lang w:val="en-US" w:eastAsia="ja-JP" w:bidi="he-IL"/>
              </w:rPr>
              <w:t>Excluding strategic, litigation and conduct costs, operating expenses decr</w:t>
            </w:r>
            <w:r>
              <w:rPr>
                <w:rFonts w:eastAsia="Times New Roman"/>
                <w:sz w:val="18"/>
                <w:szCs w:val="18"/>
                <w:lang w:val="en-US" w:eastAsia="ja-JP" w:bidi="he-IL"/>
              </w:rPr>
              <w:t>eased by £88 million, or 13.2%, due to VAT recoveries</w:t>
            </w:r>
            <w:r w:rsidRPr="009B0F49">
              <w:rPr>
                <w:rFonts w:eastAsia="Times New Roman"/>
                <w:sz w:val="18"/>
                <w:szCs w:val="18"/>
                <w:lang w:val="en-US" w:eastAsia="ja-JP" w:bidi="he-IL"/>
              </w:rPr>
              <w:t xml:space="preserve"> and lower back office operations costs.</w:t>
            </w:r>
          </w:p>
        </w:tc>
      </w:tr>
      <w:tr w:rsidR="0064628A" w:rsidTr="000D748E">
        <w:trPr>
          <w:trHeight w:val="371"/>
        </w:trPr>
        <w:tc>
          <w:tcPr>
            <w:tcW w:w="392" w:type="dxa"/>
            <w:gridSpan w:val="2"/>
          </w:tcPr>
          <w:p w:rsidR="00F07BE6" w:rsidRPr="00A86857" w:rsidRDefault="00FC1FDC" w:rsidP="005F64C9">
            <w:pPr>
              <w:pStyle w:val="Normal00"/>
              <w:spacing w:line="264" w:lineRule="auto"/>
              <w:jc w:val="both"/>
              <w:rPr>
                <w:rFonts w:eastAsia="SimSun"/>
                <w:color w:val="002060"/>
                <w:sz w:val="18"/>
                <w:szCs w:val="18"/>
                <w:lang w:eastAsia="ja-JP"/>
              </w:rPr>
            </w:pPr>
            <w:r w:rsidRPr="00A86857">
              <w:rPr>
                <w:rFonts w:eastAsia="SimSun"/>
                <w:color w:val="002060"/>
                <w:sz w:val="18"/>
                <w:szCs w:val="18"/>
                <w:lang w:eastAsia="ja-JP"/>
              </w:rPr>
              <w:t>●</w:t>
            </w:r>
          </w:p>
        </w:tc>
        <w:tc>
          <w:tcPr>
            <w:tcW w:w="10028" w:type="dxa"/>
          </w:tcPr>
          <w:p w:rsidR="00F07BE6" w:rsidRPr="009B0F49" w:rsidRDefault="00FC1FDC" w:rsidP="00F07BE6">
            <w:pPr>
              <w:pStyle w:val="Normal30"/>
              <w:spacing w:line="259" w:lineRule="auto"/>
              <w:rPr>
                <w:rFonts w:eastAsia="Times New Roman"/>
                <w:sz w:val="18"/>
                <w:szCs w:val="18"/>
                <w:lang w:val="en-US" w:eastAsia="ja-JP" w:bidi="he-IL"/>
              </w:rPr>
            </w:pPr>
            <w:r w:rsidRPr="009B0F49">
              <w:rPr>
                <w:rFonts w:eastAsia="Times New Roman"/>
                <w:sz w:val="18"/>
                <w:szCs w:val="18"/>
                <w:lang w:val="en-US" w:eastAsia="ja-JP" w:bidi="he-IL"/>
              </w:rPr>
              <w:t>Imp</w:t>
            </w:r>
            <w:r>
              <w:rPr>
                <w:rFonts w:eastAsia="Times New Roman"/>
                <w:sz w:val="18"/>
                <w:szCs w:val="18"/>
                <w:lang w:val="en-US" w:eastAsia="ja-JP" w:bidi="he-IL"/>
              </w:rPr>
              <w:t xml:space="preserve">airment losses increased by £76 million, principally due to </w:t>
            </w:r>
            <w:r w:rsidRPr="009B0F49">
              <w:rPr>
                <w:rFonts w:eastAsia="Times New Roman"/>
                <w:sz w:val="18"/>
                <w:szCs w:val="18"/>
                <w:lang w:val="en-US" w:eastAsia="ja-JP" w:bidi="he-IL"/>
              </w:rPr>
              <w:t>higher single name charges a</w:t>
            </w:r>
            <w:r>
              <w:rPr>
                <w:rFonts w:eastAsia="Times New Roman"/>
                <w:sz w:val="18"/>
                <w:szCs w:val="18"/>
                <w:lang w:val="en-US" w:eastAsia="ja-JP" w:bidi="he-IL"/>
              </w:rPr>
              <w:t>nd IFRS 9 modelling adjustments</w:t>
            </w:r>
            <w:r w:rsidRPr="009B0F49">
              <w:rPr>
                <w:rFonts w:eastAsia="Times New Roman"/>
                <w:sz w:val="18"/>
                <w:szCs w:val="18"/>
                <w:lang w:val="en-US" w:eastAsia="ja-JP" w:bidi="he-IL"/>
              </w:rPr>
              <w:t>.</w:t>
            </w:r>
          </w:p>
        </w:tc>
      </w:tr>
    </w:tbl>
    <w:p w:rsidR="004F5E62" w:rsidRPr="002D4175" w:rsidRDefault="00FC1FDC" w:rsidP="004F5E62">
      <w:pPr>
        <w:pStyle w:val="Normal00"/>
        <w:spacing w:line="288" w:lineRule="auto"/>
        <w:jc w:val="both"/>
        <w:rPr>
          <w:rFonts w:ascii="Arial" w:hAnsi="Arial" w:cs="Arial"/>
          <w:b/>
          <w:color w:val="0A2F64"/>
          <w:sz w:val="18"/>
          <w:szCs w:val="18"/>
          <w:lang w:eastAsia="ja-JP"/>
        </w:rPr>
      </w:pPr>
      <w:r w:rsidRPr="002D4175">
        <w:rPr>
          <w:rFonts w:ascii="Arial" w:hAnsi="Arial" w:cs="Arial"/>
          <w:sz w:val="14"/>
          <w:szCs w:val="14"/>
        </w:rPr>
        <w:br w:type="page"/>
      </w:r>
      <w:r w:rsidRPr="002D4175">
        <w:rPr>
          <w:rFonts w:ascii="Arial" w:hAnsi="Arial" w:cs="Arial"/>
          <w:b/>
          <w:color w:val="0A2F64"/>
          <w:sz w:val="18"/>
          <w:szCs w:val="18"/>
          <w:lang w:eastAsia="ja-JP"/>
        </w:rPr>
        <w:lastRenderedPageBreak/>
        <w:t>Business performance summary</w:t>
      </w:r>
    </w:p>
    <w:p w:rsidR="004F5E62" w:rsidRPr="00A16788" w:rsidRDefault="00FC1FDC" w:rsidP="004F5E62">
      <w:pPr>
        <w:pStyle w:val="Normal00"/>
        <w:spacing w:line="288" w:lineRule="auto"/>
        <w:rPr>
          <w:rFonts w:ascii="Arial" w:hAnsi="Arial" w:cs="Arial"/>
          <w:b/>
          <w:sz w:val="16"/>
          <w:szCs w:val="16"/>
        </w:rPr>
      </w:pPr>
      <w:r w:rsidRPr="00A16788">
        <w:rPr>
          <w:rFonts w:ascii="Arial" w:hAnsi="Arial" w:cs="Arial"/>
          <w:b/>
          <w:color w:val="0A2F64"/>
          <w:sz w:val="18"/>
          <w:szCs w:val="18"/>
          <w:lang w:eastAsia="ja-JP"/>
        </w:rPr>
        <w:t>Private Banking</w:t>
      </w:r>
    </w:p>
    <w:sdt>
      <w:sdtPr>
        <w:tag w:val="&lt;ReportPackage&gt;&lt;EmbeddedContent id=&quot;f424725c-e0a8-44fb-9cb3-e162503ca037&quot; lastModified=&quot;1581639490587&quot;/&gt;&lt;/ReportPackage&gt;"/>
        <w:id w:val="1606218780"/>
        <w:lock w:val="contentLocked"/>
        <w:placeholder>
          <w:docPart w:val="563A2FF3168F48439331E7B2196DECA4"/>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4475"/>
            <w:gridCol w:w="1109"/>
            <w:gridCol w:w="1109"/>
            <w:gridCol w:w="60"/>
            <w:gridCol w:w="1109"/>
            <w:gridCol w:w="1109"/>
            <w:gridCol w:w="1109"/>
          </w:tblGrid>
          <w:tr w:rsidR="0064628A">
            <w:trPr>
              <w:trHeight w:val="210"/>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2220" w:type="dxa"/>
                <w:gridSpan w:val="2"/>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Year ended and as at</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3330" w:type="dxa"/>
                <w:gridSpan w:val="3"/>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Quarter ended and as at</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30 September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4485"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income</w:t>
                </w: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777</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775</w:t>
                </w:r>
              </w:p>
            </w:tc>
            <w:tc>
              <w:tcPr>
                <w:tcW w:w="6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195</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198</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198</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expenses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(486)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(478)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(143)</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releases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profit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297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63</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Return on equity</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15.4%</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12.3%</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margin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2.40%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2.52%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2.49%</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Cost:income ratio</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62.5%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61.7%</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69.2%</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60.1%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72.2%</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£bn</w:t>
                </w:r>
              </w:p>
            </w:tc>
          </w:tr>
          <w:tr w:rsidR="0064628A">
            <w:trPr>
              <w:trHeight w:val="195"/>
            </w:trPr>
            <w:tc>
              <w:tcPr>
                <w:tcW w:w="4485"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loans to customers (amortised cost)</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15.5</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15.2</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14.3</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Customer deposits</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28.4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28.4</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RWAs</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9.4</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Assets Under Management (AUMs)</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19.8</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 xml:space="preserve">Assets Under Administration (AUAs) </w:t>
                </w:r>
                <w:r>
                  <w:rPr>
                    <w:rStyle w:val="font175"/>
                  </w:rPr>
                  <w:t>(1)</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6.6</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Assets Under Management and Administration (AUMA)</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30.4</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26.4</w:t>
                </w:r>
              </w:p>
            </w:tc>
          </w:tr>
        </w:tbl>
      </w:sdtContent>
    </w:sdt>
    <w:p w:rsidR="00686A16" w:rsidRDefault="00686A16" w:rsidP="004F5E62">
      <w:pPr>
        <w:rPr>
          <w:szCs w:val="16"/>
        </w:rPr>
      </w:pPr>
    </w:p>
    <w:p w:rsidR="004F5E62" w:rsidRPr="0037594E" w:rsidRDefault="00FC1FDC" w:rsidP="004F5E62">
      <w:pPr>
        <w:rPr>
          <w:sz w:val="14"/>
          <w:szCs w:val="14"/>
        </w:rPr>
      </w:pPr>
      <w:r w:rsidRPr="0037594E">
        <w:rPr>
          <w:sz w:val="14"/>
          <w:szCs w:val="14"/>
        </w:rPr>
        <w:t>Note:</w:t>
      </w:r>
    </w:p>
    <w:tbl>
      <w:tblPr>
        <w:tblW w:w="10206" w:type="dxa"/>
        <w:tblLook w:val="01E0" w:firstRow="1" w:lastRow="1" w:firstColumn="1" w:lastColumn="1" w:noHBand="0" w:noVBand="0"/>
      </w:tblPr>
      <w:tblGrid>
        <w:gridCol w:w="249"/>
        <w:gridCol w:w="9957"/>
      </w:tblGrid>
      <w:tr w:rsidR="0064628A" w:rsidTr="0046702D">
        <w:trPr>
          <w:trHeight w:val="119"/>
        </w:trPr>
        <w:tc>
          <w:tcPr>
            <w:tcW w:w="10206" w:type="dxa"/>
            <w:gridSpan w:val="2"/>
          </w:tcPr>
          <w:p w:rsidR="00B719FE" w:rsidRPr="0037594E" w:rsidRDefault="00FC1FDC" w:rsidP="00AB4D14">
            <w:pPr>
              <w:pStyle w:val="ListParagraph"/>
              <w:numPr>
                <w:ilvl w:val="0"/>
                <w:numId w:val="2"/>
              </w:numPr>
              <w:autoSpaceDE w:val="0"/>
              <w:autoSpaceDN w:val="0"/>
              <w:adjustRightInd w:val="0"/>
              <w:spacing w:line="240" w:lineRule="auto"/>
              <w:rPr>
                <w:rFonts w:cs="Arial"/>
                <w:sz w:val="14"/>
                <w:szCs w:val="14"/>
                <w:lang w:eastAsia="ja-JP"/>
              </w:rPr>
            </w:pPr>
            <w:r w:rsidRPr="0059488A">
              <w:rPr>
                <w:rFonts w:cs="Arial"/>
                <w:sz w:val="14"/>
                <w:szCs w:val="14"/>
                <w:lang w:eastAsia="ja-JP"/>
              </w:rPr>
              <w:t>Private Banking manages assets under management portfolios on behalf of UK P</w:t>
            </w:r>
            <w:r>
              <w:rPr>
                <w:rFonts w:cs="Arial"/>
                <w:sz w:val="14"/>
                <w:szCs w:val="14"/>
                <w:lang w:eastAsia="ja-JP"/>
              </w:rPr>
              <w:t xml:space="preserve">ersonal </w:t>
            </w:r>
            <w:r w:rsidRPr="0059488A">
              <w:rPr>
                <w:rFonts w:cs="Arial"/>
                <w:sz w:val="14"/>
                <w:szCs w:val="14"/>
                <w:lang w:eastAsia="ja-JP"/>
              </w:rPr>
              <w:t>B</w:t>
            </w:r>
            <w:r>
              <w:rPr>
                <w:rFonts w:cs="Arial"/>
                <w:sz w:val="14"/>
                <w:szCs w:val="14"/>
                <w:lang w:eastAsia="ja-JP"/>
              </w:rPr>
              <w:t>anking</w:t>
            </w:r>
            <w:r w:rsidRPr="0059488A">
              <w:rPr>
                <w:rFonts w:cs="Arial"/>
                <w:sz w:val="14"/>
                <w:szCs w:val="14"/>
                <w:lang w:eastAsia="ja-JP"/>
              </w:rPr>
              <w:t xml:space="preserve"> and RBSI. </w:t>
            </w:r>
            <w:r w:rsidRPr="0059488A">
              <w:rPr>
                <w:rFonts w:cs="Arial"/>
                <w:sz w:val="14"/>
                <w:szCs w:val="14"/>
              </w:rPr>
              <w:t>Prior to Q4 2018, the assets under management portfolios of</w:t>
            </w:r>
            <w:r>
              <w:rPr>
                <w:rFonts w:cs="Arial"/>
                <w:sz w:val="14"/>
                <w:szCs w:val="14"/>
              </w:rPr>
              <w:t xml:space="preserve"> UK Personal Banking and RBSI were not included.</w:t>
            </w:r>
            <w:r w:rsidR="0092582A">
              <w:rPr>
                <w:rFonts w:cs="Arial"/>
                <w:sz w:val="14"/>
                <w:szCs w:val="14"/>
              </w:rPr>
              <w:t xml:space="preserve"> </w:t>
            </w:r>
            <w:r w:rsidR="0092582A" w:rsidRPr="0037594E">
              <w:rPr>
                <w:rFonts w:cs="Arial"/>
                <w:sz w:val="14"/>
                <w:szCs w:val="14"/>
                <w:lang w:eastAsia="ja-JP"/>
              </w:rPr>
              <w:t>Private Banking receives a management fee from UK P</w:t>
            </w:r>
            <w:r>
              <w:rPr>
                <w:rFonts w:cs="Arial"/>
                <w:sz w:val="14"/>
                <w:szCs w:val="14"/>
                <w:lang w:eastAsia="ja-JP"/>
              </w:rPr>
              <w:t xml:space="preserve">ersonal </w:t>
            </w:r>
            <w:r w:rsidR="0092582A" w:rsidRPr="0037594E">
              <w:rPr>
                <w:rFonts w:cs="Arial"/>
                <w:sz w:val="14"/>
                <w:szCs w:val="14"/>
                <w:lang w:eastAsia="ja-JP"/>
              </w:rPr>
              <w:t>B</w:t>
            </w:r>
            <w:r>
              <w:rPr>
                <w:rFonts w:cs="Arial"/>
                <w:sz w:val="14"/>
                <w:szCs w:val="14"/>
                <w:lang w:eastAsia="ja-JP"/>
              </w:rPr>
              <w:t>anking</w:t>
            </w:r>
            <w:r w:rsidR="0092582A" w:rsidRPr="0037594E">
              <w:rPr>
                <w:rFonts w:cs="Arial"/>
                <w:sz w:val="14"/>
                <w:szCs w:val="14"/>
                <w:lang w:eastAsia="ja-JP"/>
              </w:rPr>
              <w:t xml:space="preserve"> and clients of RBSI in respect of providing this service.</w:t>
            </w:r>
          </w:p>
        </w:tc>
      </w:tr>
      <w:tr w:rsidR="0064628A" w:rsidTr="0046702D">
        <w:trPr>
          <w:trHeight w:val="119"/>
        </w:trPr>
        <w:tc>
          <w:tcPr>
            <w:tcW w:w="10206" w:type="dxa"/>
            <w:gridSpan w:val="2"/>
          </w:tcPr>
          <w:p w:rsidR="004F5E62" w:rsidRPr="00083324" w:rsidRDefault="004F5E62" w:rsidP="00B719FE">
            <w:pPr>
              <w:pStyle w:val="Normal00"/>
              <w:ind w:right="-82" w:firstLine="720"/>
              <w:jc w:val="both"/>
              <w:rPr>
                <w:rFonts w:ascii="Arial" w:hAnsi="Arial" w:cs="Arial"/>
                <w:color w:val="003366"/>
                <w:sz w:val="14"/>
                <w:szCs w:val="14"/>
                <w:lang w:eastAsia="ja-JP"/>
              </w:rPr>
            </w:pPr>
          </w:p>
        </w:tc>
      </w:tr>
      <w:tr w:rsidR="0064628A" w:rsidTr="0046702D">
        <w:trPr>
          <w:trHeight w:val="119"/>
        </w:trPr>
        <w:tc>
          <w:tcPr>
            <w:tcW w:w="10206" w:type="dxa"/>
            <w:gridSpan w:val="2"/>
          </w:tcPr>
          <w:p w:rsidR="00CD5271" w:rsidRPr="00083324" w:rsidRDefault="00FC1FDC" w:rsidP="00B80BFC">
            <w:pPr>
              <w:pStyle w:val="Normal00"/>
              <w:spacing w:line="264" w:lineRule="auto"/>
              <w:ind w:right="-79"/>
              <w:rPr>
                <w:rFonts w:ascii="Arial" w:hAnsi="Arial" w:cs="Arial"/>
                <w:color w:val="003366"/>
                <w:sz w:val="18"/>
                <w:szCs w:val="18"/>
                <w:lang w:eastAsia="ja-JP"/>
              </w:rPr>
            </w:pPr>
            <w:r>
              <w:rPr>
                <w:rFonts w:ascii="Arial" w:hAnsi="Arial" w:cs="Arial"/>
                <w:sz w:val="18"/>
                <w:szCs w:val="18"/>
                <w:lang w:val="en-US" w:eastAsia="ja-JP" w:bidi="he-IL"/>
              </w:rPr>
              <w:t>Private banking offers a service-led, digitally enabled experience for its clients, with a</w:t>
            </w:r>
            <w:r w:rsidRPr="00C91843">
              <w:rPr>
                <w:rFonts w:ascii="Arial" w:hAnsi="Arial" w:cs="Arial"/>
                <w:sz w:val="18"/>
                <w:szCs w:val="18"/>
                <w:lang w:val="en-US" w:eastAsia="ja-JP" w:bidi="he-IL"/>
              </w:rPr>
              <w:t>pproximately 75% of eligible clients bank</w:t>
            </w:r>
            <w:r>
              <w:rPr>
                <w:rFonts w:ascii="Arial" w:hAnsi="Arial" w:cs="Arial"/>
                <w:sz w:val="18"/>
                <w:szCs w:val="18"/>
                <w:lang w:val="en-US" w:eastAsia="ja-JP" w:bidi="he-IL"/>
              </w:rPr>
              <w:t>ing</w:t>
            </w:r>
            <w:r w:rsidRPr="00C91843">
              <w:rPr>
                <w:rFonts w:ascii="Arial" w:hAnsi="Arial" w:cs="Arial"/>
                <w:sz w:val="18"/>
                <w:szCs w:val="18"/>
                <w:lang w:val="en-US" w:eastAsia="ja-JP" w:bidi="he-IL"/>
              </w:rPr>
              <w:t xml:space="preserve"> with us digitally. Our client servicing model utilises both digital and telephony through Coutts24 and Adam24, which</w:t>
            </w:r>
            <w:r>
              <w:rPr>
                <w:rFonts w:ascii="Arial" w:hAnsi="Arial" w:cs="Arial"/>
                <w:sz w:val="18"/>
                <w:szCs w:val="18"/>
                <w:lang w:val="en-US" w:eastAsia="ja-JP" w:bidi="he-IL"/>
              </w:rPr>
              <w:t xml:space="preserve"> have client </w:t>
            </w:r>
            <w:r w:rsidRPr="00C91843">
              <w:rPr>
                <w:rFonts w:ascii="Arial" w:hAnsi="Arial" w:cs="Arial"/>
                <w:sz w:val="18"/>
                <w:szCs w:val="18"/>
                <w:lang w:val="en-US" w:eastAsia="ja-JP" w:bidi="he-IL"/>
              </w:rPr>
              <w:t>satisfaction rating</w:t>
            </w:r>
            <w:r>
              <w:rPr>
                <w:rFonts w:ascii="Arial" w:hAnsi="Arial" w:cs="Arial"/>
                <w:sz w:val="18"/>
                <w:szCs w:val="18"/>
                <w:lang w:val="en-US" w:eastAsia="ja-JP" w:bidi="he-IL"/>
              </w:rPr>
              <w:t>s</w:t>
            </w:r>
            <w:r w:rsidRPr="00C91843">
              <w:rPr>
                <w:rFonts w:ascii="Arial" w:hAnsi="Arial" w:cs="Arial"/>
                <w:sz w:val="18"/>
                <w:szCs w:val="18"/>
                <w:lang w:val="en-US" w:eastAsia="ja-JP" w:bidi="he-IL"/>
              </w:rPr>
              <w:t xml:space="preserve"> of 96%</w:t>
            </w:r>
            <w:r>
              <w:rPr>
                <w:rFonts w:ascii="Arial" w:hAnsi="Arial" w:cs="Arial"/>
                <w:sz w:val="18"/>
                <w:szCs w:val="18"/>
                <w:lang w:val="en-US" w:eastAsia="ja-JP" w:bidi="he-IL"/>
              </w:rPr>
              <w:t xml:space="preserve"> and 92% respectively</w:t>
            </w:r>
            <w:r w:rsidRPr="00C91843">
              <w:rPr>
                <w:rFonts w:ascii="Arial" w:hAnsi="Arial" w:cs="Arial"/>
                <w:sz w:val="18"/>
                <w:szCs w:val="18"/>
                <w:lang w:val="en-US" w:eastAsia="ja-JP" w:bidi="he-IL"/>
              </w:rPr>
              <w:t>. Coutts Connect, our social platform which allows clients to network and build working relationships with one another, now has over 1,700 active users since launching in 2018.</w:t>
            </w:r>
          </w:p>
        </w:tc>
      </w:tr>
      <w:tr w:rsidR="0064628A" w:rsidTr="0046702D">
        <w:trPr>
          <w:trHeight w:val="119"/>
        </w:trPr>
        <w:tc>
          <w:tcPr>
            <w:tcW w:w="10206" w:type="dxa"/>
            <w:gridSpan w:val="2"/>
          </w:tcPr>
          <w:p w:rsidR="00CD5271" w:rsidRPr="00083324" w:rsidRDefault="00CD5271" w:rsidP="004F5E62">
            <w:pPr>
              <w:pStyle w:val="Normal00"/>
              <w:spacing w:line="264" w:lineRule="auto"/>
              <w:ind w:right="-79"/>
              <w:jc w:val="both"/>
              <w:rPr>
                <w:rFonts w:ascii="Arial" w:hAnsi="Arial" w:cs="Arial"/>
                <w:color w:val="003366"/>
                <w:sz w:val="18"/>
                <w:szCs w:val="18"/>
                <w:lang w:eastAsia="ja-JP"/>
              </w:rPr>
            </w:pPr>
          </w:p>
        </w:tc>
      </w:tr>
      <w:tr w:rsidR="0064628A" w:rsidTr="0046702D">
        <w:trPr>
          <w:trHeight w:val="119"/>
        </w:trPr>
        <w:tc>
          <w:tcPr>
            <w:tcW w:w="10206" w:type="dxa"/>
            <w:gridSpan w:val="2"/>
          </w:tcPr>
          <w:p w:rsidR="004F5E62" w:rsidRPr="00083324" w:rsidRDefault="00FC1FDC" w:rsidP="004F5E62">
            <w:pPr>
              <w:pStyle w:val="Normal00"/>
              <w:spacing w:line="264" w:lineRule="auto"/>
              <w:ind w:right="-79"/>
              <w:jc w:val="both"/>
              <w:rPr>
                <w:rFonts w:ascii="Arial" w:hAnsi="Arial" w:cs="Arial"/>
                <w:color w:val="003366"/>
                <w:sz w:val="18"/>
                <w:szCs w:val="18"/>
                <w:lang w:eastAsia="ja-JP"/>
              </w:rPr>
            </w:pPr>
            <w:r w:rsidRPr="00083324">
              <w:rPr>
                <w:rFonts w:ascii="Arial" w:hAnsi="Arial" w:cs="Arial"/>
                <w:color w:val="003366"/>
                <w:sz w:val="18"/>
                <w:szCs w:val="18"/>
                <w:lang w:eastAsia="ja-JP"/>
              </w:rPr>
              <w:t>201</w:t>
            </w:r>
            <w:r>
              <w:rPr>
                <w:rFonts w:ascii="Arial" w:hAnsi="Arial" w:cs="Arial"/>
                <w:color w:val="003366"/>
                <w:sz w:val="18"/>
                <w:szCs w:val="18"/>
                <w:lang w:eastAsia="ja-JP"/>
              </w:rPr>
              <w:t>9 compared with 2018</w:t>
            </w:r>
          </w:p>
        </w:tc>
      </w:tr>
      <w:tr w:rsidR="0064628A" w:rsidTr="0046702D">
        <w:tc>
          <w:tcPr>
            <w:tcW w:w="249" w:type="dxa"/>
          </w:tcPr>
          <w:p w:rsidR="00F07BE6" w:rsidRPr="00083324" w:rsidRDefault="00FC1FDC" w:rsidP="005F64C9">
            <w:pPr>
              <w:pStyle w:val="Normal00"/>
              <w:spacing w:line="264" w:lineRule="auto"/>
              <w:ind w:right="-79"/>
              <w:jc w:val="both"/>
              <w:rPr>
                <w:rFonts w:ascii="Arial" w:hAnsi="Arial" w:cs="Arial"/>
              </w:rPr>
            </w:pPr>
            <w:r w:rsidRPr="00083324">
              <w:rPr>
                <w:rFonts w:eastAsia="SimSun"/>
                <w:color w:val="003366"/>
                <w:sz w:val="18"/>
                <w:szCs w:val="18"/>
                <w:lang w:eastAsia="ja-JP"/>
              </w:rPr>
              <w:t>●</w:t>
            </w:r>
          </w:p>
        </w:tc>
        <w:tc>
          <w:tcPr>
            <w:tcW w:w="9957" w:type="dxa"/>
          </w:tcPr>
          <w:p w:rsidR="00F07BE6" w:rsidRPr="00087389" w:rsidRDefault="00FC1FDC" w:rsidP="00F42252">
            <w:pPr>
              <w:pStyle w:val="Normal30"/>
              <w:spacing w:line="259" w:lineRule="auto"/>
              <w:rPr>
                <w:rFonts w:eastAsia="Times New Roman"/>
                <w:sz w:val="18"/>
                <w:szCs w:val="18"/>
                <w:lang w:val="en-US" w:eastAsia="ja-JP" w:bidi="he-IL"/>
              </w:rPr>
            </w:pPr>
            <w:r w:rsidRPr="0064620D">
              <w:rPr>
                <w:rFonts w:eastAsia="Times New Roman"/>
                <w:sz w:val="18"/>
                <w:szCs w:val="18"/>
                <w:lang w:val="en-US" w:eastAsia="ja-JP" w:bidi="he-IL"/>
              </w:rPr>
              <w:t>Total income increased by £2 million, or 0.</w:t>
            </w:r>
            <w:r>
              <w:rPr>
                <w:rFonts w:eastAsia="Times New Roman"/>
                <w:sz w:val="18"/>
                <w:szCs w:val="18"/>
                <w:lang w:val="en-US" w:eastAsia="ja-JP" w:bidi="he-IL"/>
              </w:rPr>
              <w:t>3</w:t>
            </w:r>
            <w:r w:rsidRPr="0064620D">
              <w:rPr>
                <w:rFonts w:eastAsia="Times New Roman"/>
                <w:sz w:val="18"/>
                <w:szCs w:val="18"/>
                <w:lang w:val="en-US" w:eastAsia="ja-JP" w:bidi="he-IL"/>
              </w:rPr>
              <w:t xml:space="preserve">%, as volume growth and one-off benefits were partially offset by lower deposit income. Net interest margin decreased by 12 basis points compared with 2018 primarily due to deposit </w:t>
            </w:r>
            <w:r>
              <w:rPr>
                <w:rFonts w:eastAsia="Times New Roman"/>
                <w:sz w:val="18"/>
                <w:szCs w:val="18"/>
                <w:lang w:val="en-US" w:eastAsia="ja-JP" w:bidi="he-IL"/>
              </w:rPr>
              <w:t>margin pressure</w:t>
            </w:r>
            <w:r w:rsidRPr="0064620D">
              <w:rPr>
                <w:rFonts w:eastAsia="Times New Roman"/>
                <w:sz w:val="18"/>
                <w:szCs w:val="18"/>
                <w:lang w:val="en-US" w:eastAsia="ja-JP" w:bidi="he-IL"/>
              </w:rPr>
              <w:t>.</w:t>
            </w:r>
          </w:p>
        </w:tc>
      </w:tr>
      <w:tr w:rsidR="0064628A" w:rsidTr="0046702D">
        <w:tc>
          <w:tcPr>
            <w:tcW w:w="249" w:type="dxa"/>
          </w:tcPr>
          <w:p w:rsidR="00F07BE6" w:rsidRPr="00083324" w:rsidRDefault="00FC1FDC" w:rsidP="005F64C9">
            <w:pPr>
              <w:pStyle w:val="Normal00"/>
              <w:spacing w:line="264" w:lineRule="auto"/>
              <w:ind w:right="-79"/>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957" w:type="dxa"/>
          </w:tcPr>
          <w:p w:rsidR="00F07BE6" w:rsidRPr="0064620D" w:rsidRDefault="00FC1FDC" w:rsidP="00F07BE6">
            <w:pPr>
              <w:pStyle w:val="Normal30"/>
              <w:spacing w:line="259" w:lineRule="auto"/>
              <w:rPr>
                <w:rFonts w:eastAsia="Times New Roman"/>
                <w:sz w:val="18"/>
                <w:szCs w:val="18"/>
                <w:lang w:val="en-US" w:eastAsia="ja-JP" w:bidi="he-IL"/>
              </w:rPr>
            </w:pPr>
            <w:r w:rsidRPr="0064620D">
              <w:rPr>
                <w:rFonts w:eastAsia="Times New Roman"/>
                <w:sz w:val="18"/>
                <w:szCs w:val="18"/>
                <w:lang w:val="en-US" w:eastAsia="ja-JP" w:bidi="he-IL"/>
              </w:rPr>
              <w:t>Excluding strategic, litigation and conduct costs, operating expenses decreased by £17 million, or 3.7%, primarily reflecting lower back office operations costs.</w:t>
            </w:r>
            <w:r w:rsidRPr="0064620D">
              <w:rPr>
                <w:rFonts w:eastAsia="Times New Roman"/>
                <w:i/>
                <w:color w:val="FF0000"/>
                <w:sz w:val="18"/>
                <w:szCs w:val="18"/>
                <w:lang w:val="en-US" w:eastAsia="ja-JP" w:bidi="he-IL"/>
              </w:rPr>
              <w:t xml:space="preserve"> </w:t>
            </w:r>
          </w:p>
        </w:tc>
      </w:tr>
      <w:tr w:rsidR="0064628A" w:rsidTr="0046702D">
        <w:tc>
          <w:tcPr>
            <w:tcW w:w="249" w:type="dxa"/>
          </w:tcPr>
          <w:p w:rsidR="00F07BE6" w:rsidRPr="00083324" w:rsidRDefault="00FC1FDC" w:rsidP="005F64C9">
            <w:pPr>
              <w:pStyle w:val="Normal00"/>
              <w:spacing w:line="264" w:lineRule="auto"/>
              <w:ind w:right="-79"/>
              <w:jc w:val="both"/>
              <w:rPr>
                <w:rFonts w:eastAsia="SimSun"/>
                <w:color w:val="003366"/>
                <w:sz w:val="18"/>
                <w:szCs w:val="18"/>
                <w:lang w:eastAsia="ja-JP"/>
              </w:rPr>
            </w:pPr>
            <w:r w:rsidRPr="00083324">
              <w:rPr>
                <w:rFonts w:eastAsia="SimSun"/>
                <w:color w:val="003366"/>
                <w:sz w:val="18"/>
                <w:szCs w:val="18"/>
                <w:lang w:eastAsia="ja-JP"/>
              </w:rPr>
              <w:t>●</w:t>
            </w:r>
          </w:p>
        </w:tc>
        <w:tc>
          <w:tcPr>
            <w:tcW w:w="9957" w:type="dxa"/>
          </w:tcPr>
          <w:p w:rsidR="00F07BE6" w:rsidRPr="0064620D" w:rsidRDefault="00FC1FDC" w:rsidP="00F07BE6">
            <w:pPr>
              <w:pStyle w:val="Normal30"/>
              <w:spacing w:line="259" w:lineRule="auto"/>
              <w:rPr>
                <w:rFonts w:eastAsia="Times New Roman"/>
                <w:sz w:val="18"/>
                <w:szCs w:val="18"/>
                <w:lang w:val="en-US" w:eastAsia="ja-JP" w:bidi="he-IL"/>
              </w:rPr>
            </w:pPr>
            <w:r w:rsidRPr="0064620D">
              <w:rPr>
                <w:rFonts w:eastAsia="Times New Roman"/>
                <w:sz w:val="18"/>
                <w:szCs w:val="18"/>
                <w:lang w:val="en-US" w:eastAsia="ja-JP" w:bidi="he-IL"/>
              </w:rPr>
              <w:t>A net impairment release of £6 million reflected a number of one-off releases.</w:t>
            </w:r>
          </w:p>
        </w:tc>
      </w:tr>
      <w:tr w:rsidR="0064628A" w:rsidTr="0046702D">
        <w:tc>
          <w:tcPr>
            <w:tcW w:w="249" w:type="dxa"/>
          </w:tcPr>
          <w:p w:rsidR="00F07BE6" w:rsidRPr="00083324" w:rsidRDefault="00FC1FDC" w:rsidP="005F64C9">
            <w:pPr>
              <w:pStyle w:val="Normal00"/>
              <w:spacing w:line="264" w:lineRule="auto"/>
              <w:ind w:right="-79"/>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957" w:type="dxa"/>
          </w:tcPr>
          <w:p w:rsidR="00F07BE6" w:rsidRPr="0064620D" w:rsidRDefault="00FC1FDC" w:rsidP="00F07BE6">
            <w:pPr>
              <w:pStyle w:val="Normal30"/>
              <w:spacing w:line="259" w:lineRule="auto"/>
              <w:rPr>
                <w:rFonts w:eastAsia="Times New Roman"/>
                <w:sz w:val="18"/>
                <w:szCs w:val="18"/>
                <w:lang w:val="en-US" w:eastAsia="ja-JP" w:bidi="he-IL"/>
              </w:rPr>
            </w:pPr>
            <w:r w:rsidRPr="0064620D">
              <w:rPr>
                <w:rFonts w:eastAsia="Times New Roman"/>
                <w:sz w:val="18"/>
                <w:szCs w:val="18"/>
                <w:lang w:val="en-US" w:eastAsia="ja-JP" w:bidi="he-IL"/>
              </w:rPr>
              <w:t>Net loans to customers increased by £1.2 billion, or 8.4%, mainly due to mortgage lending,</w:t>
            </w:r>
            <w:r>
              <w:rPr>
                <w:rFonts w:eastAsia="Times New Roman"/>
                <w:sz w:val="18"/>
                <w:szCs w:val="18"/>
                <w:lang w:val="en-US" w:eastAsia="ja-JP" w:bidi="he-IL"/>
              </w:rPr>
              <w:t xml:space="preserve"> relative to an increase in RWA</w:t>
            </w:r>
            <w:r w:rsidRPr="0064620D">
              <w:rPr>
                <w:rFonts w:eastAsia="Times New Roman"/>
                <w:sz w:val="18"/>
                <w:szCs w:val="18"/>
                <w:lang w:val="en-US" w:eastAsia="ja-JP" w:bidi="he-IL"/>
              </w:rPr>
              <w:t>s of £0.7 billion, or 7.4%.</w:t>
            </w:r>
          </w:p>
        </w:tc>
      </w:tr>
      <w:tr w:rsidR="0064628A" w:rsidTr="0046702D">
        <w:tc>
          <w:tcPr>
            <w:tcW w:w="249" w:type="dxa"/>
          </w:tcPr>
          <w:p w:rsidR="00F07BE6" w:rsidRPr="00083324" w:rsidRDefault="00FC1FDC" w:rsidP="005F64C9">
            <w:pPr>
              <w:pStyle w:val="Normal00"/>
              <w:spacing w:line="264" w:lineRule="auto"/>
              <w:ind w:right="-79"/>
              <w:jc w:val="both"/>
              <w:rPr>
                <w:rFonts w:eastAsia="SimSun"/>
                <w:color w:val="003366"/>
                <w:sz w:val="18"/>
                <w:szCs w:val="18"/>
                <w:lang w:eastAsia="ja-JP"/>
              </w:rPr>
            </w:pPr>
            <w:r w:rsidRPr="00083324">
              <w:rPr>
                <w:rFonts w:eastAsia="SimSun"/>
                <w:color w:val="003366"/>
                <w:sz w:val="18"/>
                <w:szCs w:val="18"/>
                <w:lang w:eastAsia="ja-JP"/>
              </w:rPr>
              <w:t>●</w:t>
            </w:r>
          </w:p>
        </w:tc>
        <w:tc>
          <w:tcPr>
            <w:tcW w:w="9957" w:type="dxa"/>
          </w:tcPr>
          <w:p w:rsidR="00F07BE6" w:rsidRPr="0064620D" w:rsidRDefault="00FC1FDC" w:rsidP="00F07BE6">
            <w:pPr>
              <w:pStyle w:val="Normal30"/>
              <w:spacing w:line="259" w:lineRule="auto"/>
              <w:rPr>
                <w:rFonts w:eastAsia="Times New Roman"/>
                <w:sz w:val="18"/>
                <w:szCs w:val="18"/>
                <w:lang w:val="en-US" w:eastAsia="ja-JP" w:bidi="he-IL"/>
              </w:rPr>
            </w:pPr>
            <w:r w:rsidRPr="0064620D">
              <w:rPr>
                <w:rFonts w:eastAsia="Times New Roman"/>
                <w:sz w:val="18"/>
                <w:szCs w:val="18"/>
                <w:lang w:val="en-US" w:eastAsia="ja-JP" w:bidi="he-IL"/>
              </w:rPr>
              <w:t>Total assets under management in Private Banking increased by £3.4 billion, or 17.2%, reflecting positive investment performance of £2.7 billion and net new business inflows of £0.7 billion.</w:t>
            </w:r>
          </w:p>
        </w:tc>
      </w:tr>
      <w:tr w:rsidR="0064628A" w:rsidTr="0046702D">
        <w:tc>
          <w:tcPr>
            <w:tcW w:w="249" w:type="dxa"/>
          </w:tcPr>
          <w:p w:rsidR="00F07BE6" w:rsidRPr="00083324" w:rsidRDefault="00FC1FDC" w:rsidP="005F64C9">
            <w:pPr>
              <w:pStyle w:val="Normal00"/>
              <w:spacing w:line="264" w:lineRule="auto"/>
              <w:ind w:right="-79"/>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957" w:type="dxa"/>
          </w:tcPr>
          <w:p w:rsidR="00F07BE6" w:rsidRPr="0064620D" w:rsidRDefault="00FC1FDC" w:rsidP="00F07BE6">
            <w:pPr>
              <w:pStyle w:val="Normal30"/>
              <w:spacing w:line="259" w:lineRule="auto"/>
              <w:rPr>
                <w:rFonts w:eastAsia="Times New Roman"/>
                <w:sz w:val="18"/>
                <w:szCs w:val="18"/>
                <w:lang w:val="en-US" w:eastAsia="ja-JP" w:bidi="he-IL"/>
              </w:rPr>
            </w:pPr>
            <w:r w:rsidRPr="0064620D">
              <w:rPr>
                <w:rFonts w:eastAsia="Times New Roman"/>
                <w:sz w:val="18"/>
                <w:szCs w:val="18"/>
                <w:lang w:val="en-US" w:eastAsia="ja-JP" w:bidi="he-IL"/>
              </w:rPr>
              <w:t xml:space="preserve">Total assets under management and </w:t>
            </w:r>
            <w:r w:rsidRPr="00082466">
              <w:rPr>
                <w:rFonts w:eastAsia="Times New Roman"/>
                <w:sz w:val="18"/>
                <w:szCs w:val="18"/>
                <w:lang w:val="en-US" w:eastAsia="ja-JP" w:bidi="he-IL"/>
              </w:rPr>
              <w:t>administration overseen by Private Banking increased by £4.0 billion, or 15.2%, reflecting positive investment performance of £3.2 billion and net new business inflows of £0.8 billion.</w:t>
            </w:r>
          </w:p>
        </w:tc>
      </w:tr>
      <w:tr w:rsidR="0064628A" w:rsidTr="0046702D">
        <w:tc>
          <w:tcPr>
            <w:tcW w:w="10206" w:type="dxa"/>
            <w:gridSpan w:val="2"/>
          </w:tcPr>
          <w:p w:rsidR="0046702D" w:rsidRDefault="0046702D" w:rsidP="005F64C9">
            <w:pPr>
              <w:pStyle w:val="Normal00"/>
              <w:spacing w:line="264" w:lineRule="auto"/>
              <w:ind w:right="-79"/>
              <w:jc w:val="both"/>
              <w:rPr>
                <w:rFonts w:ascii="Arial" w:hAnsi="Arial" w:cs="Arial"/>
                <w:color w:val="003366"/>
                <w:sz w:val="18"/>
                <w:szCs w:val="18"/>
                <w:lang w:eastAsia="ja-JP"/>
              </w:rPr>
            </w:pPr>
          </w:p>
          <w:p w:rsidR="0046702D" w:rsidRPr="00083324" w:rsidRDefault="00FC1FDC" w:rsidP="005F64C9">
            <w:pPr>
              <w:pStyle w:val="Normal00"/>
              <w:spacing w:line="264" w:lineRule="auto"/>
              <w:ind w:right="-79"/>
              <w:jc w:val="both"/>
              <w:rPr>
                <w:rFonts w:ascii="Arial" w:hAnsi="Arial" w:cs="Arial"/>
                <w:color w:val="003366"/>
                <w:sz w:val="18"/>
                <w:szCs w:val="18"/>
                <w:lang w:eastAsia="ja-JP"/>
              </w:rPr>
            </w:pPr>
            <w:r w:rsidRPr="00083324">
              <w:rPr>
                <w:rFonts w:ascii="Arial" w:hAnsi="Arial" w:cs="Arial"/>
                <w:color w:val="003366"/>
                <w:sz w:val="18"/>
                <w:szCs w:val="18"/>
                <w:lang w:eastAsia="ja-JP"/>
              </w:rPr>
              <w:t>Q</w:t>
            </w:r>
            <w:r>
              <w:rPr>
                <w:rFonts w:ascii="Arial" w:hAnsi="Arial" w:cs="Arial"/>
                <w:color w:val="003366"/>
                <w:sz w:val="18"/>
                <w:szCs w:val="18"/>
                <w:lang w:eastAsia="ja-JP"/>
              </w:rPr>
              <w:t>4 2019</w:t>
            </w:r>
            <w:r w:rsidRPr="00083324">
              <w:rPr>
                <w:rFonts w:ascii="Arial" w:hAnsi="Arial" w:cs="Arial"/>
                <w:color w:val="003366"/>
                <w:sz w:val="18"/>
                <w:szCs w:val="18"/>
                <w:lang w:eastAsia="ja-JP"/>
              </w:rPr>
              <w:t xml:space="preserve"> compared with Q</w:t>
            </w:r>
            <w:r>
              <w:rPr>
                <w:rFonts w:ascii="Arial" w:hAnsi="Arial" w:cs="Arial"/>
                <w:color w:val="003366"/>
                <w:sz w:val="18"/>
                <w:szCs w:val="18"/>
                <w:lang w:eastAsia="ja-JP"/>
              </w:rPr>
              <w:t>3 2019</w:t>
            </w:r>
          </w:p>
        </w:tc>
      </w:tr>
      <w:tr w:rsidR="0064628A" w:rsidTr="0046702D">
        <w:tc>
          <w:tcPr>
            <w:tcW w:w="249" w:type="dxa"/>
          </w:tcPr>
          <w:p w:rsidR="00F07BE6" w:rsidRPr="00083324" w:rsidRDefault="00FC1FDC" w:rsidP="005F64C9">
            <w:pPr>
              <w:pStyle w:val="Normal00"/>
              <w:spacing w:line="264" w:lineRule="auto"/>
              <w:ind w:right="-79"/>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957" w:type="dxa"/>
          </w:tcPr>
          <w:p w:rsidR="00F07BE6" w:rsidRPr="00087389" w:rsidRDefault="00FC1FDC" w:rsidP="00F07BE6">
            <w:pPr>
              <w:pStyle w:val="Normal30"/>
              <w:spacing w:line="259" w:lineRule="auto"/>
              <w:rPr>
                <w:rFonts w:eastAsia="Times New Roman"/>
                <w:sz w:val="18"/>
                <w:szCs w:val="18"/>
                <w:lang w:val="en-US" w:eastAsia="ja-JP" w:bidi="he-IL"/>
              </w:rPr>
            </w:pPr>
            <w:r w:rsidRPr="0064620D">
              <w:rPr>
                <w:rFonts w:eastAsia="Times New Roman"/>
                <w:sz w:val="18"/>
                <w:szCs w:val="18"/>
                <w:lang w:val="en-US" w:eastAsia="ja-JP" w:bidi="he-IL"/>
              </w:rPr>
              <w:t>Total income decreased by £3 million, or 1.5%, as one-off benefits related to hedging income gains recognised in Q3 2019 were partially offset by volume growth in Q4 2019. Net interest margin decreased by 5 basis points compared to Q3 2019 primarily due to lower deposit funding benefits.</w:t>
            </w:r>
          </w:p>
        </w:tc>
      </w:tr>
      <w:tr w:rsidR="0064628A" w:rsidTr="0046702D">
        <w:tc>
          <w:tcPr>
            <w:tcW w:w="249" w:type="dxa"/>
          </w:tcPr>
          <w:p w:rsidR="00F07BE6" w:rsidRPr="00083324" w:rsidRDefault="00FC1FDC" w:rsidP="005F64C9">
            <w:pPr>
              <w:pStyle w:val="Normal00"/>
              <w:spacing w:line="264" w:lineRule="auto"/>
              <w:ind w:right="-79"/>
              <w:jc w:val="both"/>
              <w:rPr>
                <w:rFonts w:eastAsia="SimSun"/>
                <w:color w:val="003366"/>
                <w:sz w:val="18"/>
                <w:szCs w:val="18"/>
                <w:lang w:eastAsia="ja-JP"/>
              </w:rPr>
            </w:pPr>
            <w:r w:rsidRPr="00083324">
              <w:rPr>
                <w:rFonts w:eastAsia="SimSun"/>
                <w:color w:val="003366"/>
                <w:sz w:val="18"/>
                <w:szCs w:val="18"/>
                <w:lang w:eastAsia="ja-JP"/>
              </w:rPr>
              <w:t>●</w:t>
            </w:r>
          </w:p>
        </w:tc>
        <w:tc>
          <w:tcPr>
            <w:tcW w:w="9957" w:type="dxa"/>
          </w:tcPr>
          <w:p w:rsidR="00F07BE6" w:rsidRPr="00C51D36" w:rsidRDefault="00FC1FDC" w:rsidP="009C77F3">
            <w:pPr>
              <w:pStyle w:val="Normal30"/>
              <w:spacing w:line="259" w:lineRule="auto"/>
              <w:rPr>
                <w:rFonts w:eastAsia="Times New Roman"/>
                <w:sz w:val="18"/>
                <w:szCs w:val="18"/>
                <w:lang w:val="en-US" w:eastAsia="ja-JP" w:bidi="he-IL"/>
              </w:rPr>
            </w:pPr>
            <w:r w:rsidRPr="00C51D36">
              <w:rPr>
                <w:rFonts w:eastAsia="Times New Roman"/>
                <w:sz w:val="18"/>
                <w:szCs w:val="18"/>
                <w:lang w:val="en-US" w:eastAsia="ja-JP" w:bidi="he-IL"/>
              </w:rPr>
              <w:t>Excluding strategic, litigation and conduct costs, operating expenses increased by £1</w:t>
            </w:r>
            <w:r>
              <w:rPr>
                <w:rFonts w:eastAsia="Times New Roman"/>
                <w:sz w:val="18"/>
                <w:szCs w:val="18"/>
                <w:lang w:val="en-US" w:eastAsia="ja-JP" w:bidi="he-IL"/>
              </w:rPr>
              <w:t>4</w:t>
            </w:r>
            <w:r w:rsidRPr="00C51D36">
              <w:rPr>
                <w:rFonts w:eastAsia="Times New Roman"/>
                <w:sz w:val="18"/>
                <w:szCs w:val="18"/>
                <w:lang w:val="en-US" w:eastAsia="ja-JP" w:bidi="he-IL"/>
              </w:rPr>
              <w:t xml:space="preserve"> million,</w:t>
            </w:r>
            <w:r>
              <w:rPr>
                <w:rFonts w:eastAsia="Times New Roman"/>
                <w:sz w:val="18"/>
                <w:szCs w:val="18"/>
                <w:lang w:val="en-US" w:eastAsia="ja-JP" w:bidi="he-IL"/>
              </w:rPr>
              <w:t xml:space="preserve"> or 13.2%, primarily</w:t>
            </w:r>
            <w:r w:rsidRPr="00C51D36">
              <w:rPr>
                <w:rFonts w:eastAsia="Times New Roman"/>
                <w:sz w:val="18"/>
                <w:szCs w:val="18"/>
                <w:lang w:val="en-US" w:eastAsia="ja-JP" w:bidi="he-IL"/>
              </w:rPr>
              <w:t xml:space="preserve"> due to the annual UK bank levy charge</w:t>
            </w:r>
            <w:r>
              <w:rPr>
                <w:rFonts w:eastAsia="Times New Roman"/>
                <w:sz w:val="18"/>
                <w:szCs w:val="18"/>
                <w:lang w:val="en-US" w:eastAsia="ja-JP" w:bidi="he-IL"/>
              </w:rPr>
              <w:t>.</w:t>
            </w:r>
          </w:p>
        </w:tc>
      </w:tr>
      <w:tr w:rsidR="0064628A" w:rsidTr="0046702D">
        <w:tc>
          <w:tcPr>
            <w:tcW w:w="249" w:type="dxa"/>
          </w:tcPr>
          <w:p w:rsidR="00F07BE6" w:rsidRPr="00083324" w:rsidRDefault="00FC1FDC" w:rsidP="005F64C9">
            <w:pPr>
              <w:pStyle w:val="Normal00"/>
              <w:spacing w:line="264" w:lineRule="auto"/>
              <w:ind w:right="-79"/>
              <w:jc w:val="both"/>
              <w:rPr>
                <w:rFonts w:eastAsia="SimSun"/>
                <w:color w:val="003366"/>
                <w:sz w:val="18"/>
                <w:szCs w:val="18"/>
                <w:lang w:eastAsia="ja-JP"/>
              </w:rPr>
            </w:pPr>
            <w:r w:rsidRPr="00083324">
              <w:rPr>
                <w:rFonts w:eastAsia="SimSun"/>
                <w:color w:val="003366"/>
                <w:sz w:val="18"/>
                <w:szCs w:val="18"/>
                <w:lang w:eastAsia="ja-JP"/>
              </w:rPr>
              <w:t>●</w:t>
            </w:r>
          </w:p>
        </w:tc>
        <w:tc>
          <w:tcPr>
            <w:tcW w:w="9957" w:type="dxa"/>
          </w:tcPr>
          <w:p w:rsidR="00F07BE6" w:rsidRPr="00C51D36" w:rsidRDefault="00FC1FDC" w:rsidP="00F07BE6">
            <w:pPr>
              <w:pStyle w:val="Normal30"/>
              <w:spacing w:line="259" w:lineRule="auto"/>
              <w:rPr>
                <w:rFonts w:eastAsia="Times New Roman"/>
                <w:sz w:val="18"/>
                <w:szCs w:val="18"/>
                <w:lang w:val="en-US" w:eastAsia="ja-JP" w:bidi="he-IL"/>
              </w:rPr>
            </w:pPr>
            <w:r w:rsidRPr="00C51D36">
              <w:rPr>
                <w:rFonts w:eastAsia="Times New Roman"/>
                <w:sz w:val="18"/>
                <w:szCs w:val="18"/>
                <w:lang w:val="en-US" w:eastAsia="ja-JP" w:bidi="he-IL"/>
              </w:rPr>
              <w:t>Net loans to customers increased by £0.3 billion</w:t>
            </w:r>
            <w:r>
              <w:rPr>
                <w:rFonts w:eastAsia="Times New Roman"/>
                <w:sz w:val="18"/>
                <w:szCs w:val="18"/>
                <w:lang w:val="en-US" w:eastAsia="ja-JP" w:bidi="he-IL"/>
              </w:rPr>
              <w:t>, or 2%,</w:t>
            </w:r>
            <w:r w:rsidRPr="00C51D36">
              <w:rPr>
                <w:rFonts w:eastAsia="Times New Roman"/>
                <w:sz w:val="18"/>
                <w:szCs w:val="18"/>
                <w:lang w:val="en-US" w:eastAsia="ja-JP" w:bidi="he-IL"/>
              </w:rPr>
              <w:t xml:space="preserve"> reflecting mortgage lending. </w:t>
            </w:r>
          </w:p>
        </w:tc>
      </w:tr>
      <w:tr w:rsidR="0064628A" w:rsidTr="0046702D">
        <w:tc>
          <w:tcPr>
            <w:tcW w:w="249" w:type="dxa"/>
          </w:tcPr>
          <w:p w:rsidR="00F07BE6" w:rsidRPr="00083324" w:rsidRDefault="00FC1FDC" w:rsidP="005F64C9">
            <w:pPr>
              <w:pStyle w:val="Normal00"/>
              <w:spacing w:line="264" w:lineRule="auto"/>
              <w:ind w:right="-79"/>
              <w:jc w:val="both"/>
              <w:rPr>
                <w:rFonts w:eastAsia="SimSun"/>
                <w:color w:val="003366"/>
                <w:sz w:val="18"/>
                <w:szCs w:val="18"/>
                <w:lang w:eastAsia="ja-JP"/>
              </w:rPr>
            </w:pPr>
            <w:r w:rsidRPr="00083324">
              <w:rPr>
                <w:rFonts w:eastAsia="SimSun"/>
                <w:color w:val="003366"/>
                <w:sz w:val="18"/>
                <w:szCs w:val="18"/>
                <w:lang w:eastAsia="ja-JP"/>
              </w:rPr>
              <w:t>●</w:t>
            </w:r>
          </w:p>
        </w:tc>
        <w:tc>
          <w:tcPr>
            <w:tcW w:w="9957" w:type="dxa"/>
          </w:tcPr>
          <w:p w:rsidR="00F07BE6" w:rsidRPr="00B72FF6" w:rsidRDefault="00FC1FDC" w:rsidP="00F07BE6">
            <w:pPr>
              <w:pStyle w:val="Normal30"/>
              <w:spacing w:line="259" w:lineRule="auto"/>
              <w:rPr>
                <w:rFonts w:eastAsia="Times New Roman"/>
                <w:sz w:val="18"/>
                <w:szCs w:val="18"/>
                <w:lang w:val="en-US" w:eastAsia="ja-JP" w:bidi="he-IL"/>
              </w:rPr>
            </w:pPr>
            <w:r w:rsidRPr="00B72FF6">
              <w:rPr>
                <w:rFonts w:eastAsia="Times New Roman"/>
                <w:sz w:val="18"/>
                <w:szCs w:val="18"/>
                <w:lang w:val="en-US" w:eastAsia="ja-JP" w:bidi="he-IL"/>
              </w:rPr>
              <w:t>Total assets under management in Pr</w:t>
            </w:r>
            <w:r>
              <w:rPr>
                <w:rFonts w:eastAsia="Times New Roman"/>
                <w:sz w:val="18"/>
                <w:szCs w:val="18"/>
                <w:lang w:val="en-US" w:eastAsia="ja-JP" w:bidi="he-IL"/>
              </w:rPr>
              <w:t>ivate Banking increased by £0.7</w:t>
            </w:r>
            <w:r w:rsidRPr="00B72FF6">
              <w:rPr>
                <w:rFonts w:eastAsia="Times New Roman"/>
                <w:sz w:val="18"/>
                <w:szCs w:val="18"/>
                <w:lang w:val="en-US" w:eastAsia="ja-JP" w:bidi="he-IL"/>
              </w:rPr>
              <w:t xml:space="preserve"> billion</w:t>
            </w:r>
            <w:r>
              <w:rPr>
                <w:rFonts w:eastAsia="Times New Roman"/>
                <w:sz w:val="18"/>
                <w:szCs w:val="18"/>
                <w:lang w:val="en-US" w:eastAsia="ja-JP" w:bidi="he-IL"/>
              </w:rPr>
              <w:t>, or 3.1%,</w:t>
            </w:r>
            <w:r w:rsidRPr="00B72FF6">
              <w:rPr>
                <w:rFonts w:eastAsia="Times New Roman"/>
                <w:sz w:val="18"/>
                <w:szCs w:val="18"/>
                <w:lang w:val="en-US" w:eastAsia="ja-JP" w:bidi="he-IL"/>
              </w:rPr>
              <w:t xml:space="preserve"> reflecting positive investment performance of £0.</w:t>
            </w:r>
            <w:r>
              <w:rPr>
                <w:rFonts w:eastAsia="Times New Roman"/>
                <w:sz w:val="18"/>
                <w:szCs w:val="18"/>
                <w:lang w:val="en-US" w:eastAsia="ja-JP" w:bidi="he-IL"/>
              </w:rPr>
              <w:t>4 billion and</w:t>
            </w:r>
            <w:r w:rsidRPr="00B72FF6">
              <w:rPr>
                <w:rFonts w:eastAsia="Times New Roman"/>
                <w:sz w:val="18"/>
                <w:szCs w:val="18"/>
                <w:lang w:val="en-US" w:eastAsia="ja-JP" w:bidi="he-IL"/>
              </w:rPr>
              <w:t xml:space="preserve"> net new business </w:t>
            </w:r>
            <w:r>
              <w:rPr>
                <w:rFonts w:eastAsia="Times New Roman"/>
                <w:sz w:val="18"/>
                <w:szCs w:val="18"/>
                <w:lang w:val="en-US" w:eastAsia="ja-JP" w:bidi="he-IL"/>
              </w:rPr>
              <w:t xml:space="preserve">inflows </w:t>
            </w:r>
            <w:r w:rsidRPr="00B72FF6">
              <w:rPr>
                <w:rFonts w:eastAsia="Times New Roman"/>
                <w:sz w:val="18"/>
                <w:szCs w:val="18"/>
                <w:lang w:val="en-US" w:eastAsia="ja-JP" w:bidi="he-IL"/>
              </w:rPr>
              <w:t>of £0.</w:t>
            </w:r>
            <w:r w:rsidRPr="00D6578C">
              <w:rPr>
                <w:rFonts w:eastAsia="Times New Roman"/>
                <w:sz w:val="18"/>
                <w:szCs w:val="18"/>
                <w:lang w:val="en-US" w:eastAsia="ja-JP" w:bidi="he-IL"/>
              </w:rPr>
              <w:t>3</w:t>
            </w:r>
            <w:r w:rsidRPr="00B72FF6">
              <w:rPr>
                <w:rFonts w:eastAsia="Times New Roman"/>
                <w:sz w:val="18"/>
                <w:szCs w:val="18"/>
                <w:lang w:val="en-US" w:eastAsia="ja-JP" w:bidi="he-IL"/>
              </w:rPr>
              <w:t xml:space="preserve"> billion.</w:t>
            </w:r>
          </w:p>
        </w:tc>
      </w:tr>
      <w:tr w:rsidR="0064628A" w:rsidTr="0046702D">
        <w:tc>
          <w:tcPr>
            <w:tcW w:w="249" w:type="dxa"/>
          </w:tcPr>
          <w:p w:rsidR="00F07BE6" w:rsidRPr="00083324" w:rsidRDefault="00FC1FDC" w:rsidP="005F64C9">
            <w:pPr>
              <w:pStyle w:val="Normal00"/>
              <w:spacing w:line="264" w:lineRule="auto"/>
              <w:ind w:right="-79"/>
              <w:jc w:val="both"/>
              <w:rPr>
                <w:rFonts w:eastAsia="SimSun"/>
                <w:color w:val="003366"/>
                <w:sz w:val="18"/>
                <w:szCs w:val="18"/>
                <w:lang w:eastAsia="ja-JP"/>
              </w:rPr>
            </w:pPr>
            <w:r w:rsidRPr="00083324">
              <w:rPr>
                <w:rFonts w:eastAsia="SimSun"/>
                <w:color w:val="003366"/>
                <w:sz w:val="18"/>
                <w:szCs w:val="18"/>
                <w:lang w:eastAsia="ja-JP"/>
              </w:rPr>
              <w:t>●</w:t>
            </w:r>
          </w:p>
        </w:tc>
        <w:tc>
          <w:tcPr>
            <w:tcW w:w="9957" w:type="dxa"/>
          </w:tcPr>
          <w:p w:rsidR="00F07BE6" w:rsidRPr="00B72FF6" w:rsidRDefault="00FC1FDC" w:rsidP="00F07BE6">
            <w:pPr>
              <w:pStyle w:val="Normal30"/>
              <w:spacing w:line="259" w:lineRule="auto"/>
              <w:rPr>
                <w:rFonts w:eastAsia="Times New Roman"/>
                <w:sz w:val="18"/>
                <w:szCs w:val="18"/>
                <w:lang w:val="en-US" w:eastAsia="ja-JP" w:bidi="he-IL"/>
              </w:rPr>
            </w:pPr>
            <w:r w:rsidRPr="00B72FF6">
              <w:rPr>
                <w:rFonts w:eastAsia="Times New Roman"/>
                <w:sz w:val="18"/>
                <w:szCs w:val="18"/>
                <w:lang w:val="en-US" w:eastAsia="ja-JP" w:bidi="he-IL"/>
              </w:rPr>
              <w:t xml:space="preserve">Total assets under management and administration overseen by Private Banking </w:t>
            </w:r>
            <w:r>
              <w:rPr>
                <w:rFonts w:eastAsia="Times New Roman"/>
                <w:sz w:val="18"/>
                <w:szCs w:val="18"/>
                <w:lang w:val="en-US" w:eastAsia="ja-JP" w:bidi="he-IL"/>
              </w:rPr>
              <w:t>increased by £0.8</w:t>
            </w:r>
            <w:r w:rsidRPr="00B72FF6">
              <w:rPr>
                <w:rFonts w:eastAsia="Times New Roman"/>
                <w:sz w:val="18"/>
                <w:szCs w:val="18"/>
                <w:lang w:val="en-US" w:eastAsia="ja-JP" w:bidi="he-IL"/>
              </w:rPr>
              <w:t xml:space="preserve"> billion</w:t>
            </w:r>
            <w:r>
              <w:rPr>
                <w:rFonts w:eastAsia="Times New Roman"/>
                <w:sz w:val="18"/>
                <w:szCs w:val="18"/>
                <w:lang w:val="en-US" w:eastAsia="ja-JP" w:bidi="he-IL"/>
              </w:rPr>
              <w:t>, or 2.7%, reflecting positive</w:t>
            </w:r>
            <w:r w:rsidRPr="00B72FF6">
              <w:rPr>
                <w:rFonts w:eastAsia="Times New Roman"/>
                <w:sz w:val="18"/>
                <w:szCs w:val="18"/>
                <w:lang w:val="en-US" w:eastAsia="ja-JP" w:bidi="he-IL"/>
              </w:rPr>
              <w:t xml:space="preserve"> investment performance of £0.</w:t>
            </w:r>
            <w:r>
              <w:rPr>
                <w:rFonts w:eastAsia="Times New Roman"/>
                <w:sz w:val="18"/>
                <w:szCs w:val="18"/>
                <w:lang w:val="en-US" w:eastAsia="ja-JP" w:bidi="he-IL"/>
              </w:rPr>
              <w:t>4 billion and</w:t>
            </w:r>
            <w:r w:rsidRPr="00B72FF6">
              <w:rPr>
                <w:rFonts w:eastAsia="Times New Roman"/>
                <w:sz w:val="18"/>
                <w:szCs w:val="18"/>
                <w:lang w:val="en-US" w:eastAsia="ja-JP" w:bidi="he-IL"/>
              </w:rPr>
              <w:t xml:space="preserve"> net new business inflows of £0.</w:t>
            </w:r>
            <w:r>
              <w:rPr>
                <w:rFonts w:eastAsia="Times New Roman"/>
                <w:sz w:val="18"/>
                <w:szCs w:val="18"/>
                <w:lang w:val="en-US" w:eastAsia="ja-JP" w:bidi="he-IL"/>
              </w:rPr>
              <w:t>4</w:t>
            </w:r>
            <w:r w:rsidRPr="00B72FF6">
              <w:rPr>
                <w:rFonts w:eastAsia="Times New Roman"/>
                <w:sz w:val="18"/>
                <w:szCs w:val="18"/>
                <w:lang w:val="en-US" w:eastAsia="ja-JP" w:bidi="he-IL"/>
              </w:rPr>
              <w:t xml:space="preserve"> billion.</w:t>
            </w:r>
          </w:p>
        </w:tc>
      </w:tr>
      <w:tr w:rsidR="0064628A" w:rsidTr="0046702D">
        <w:tc>
          <w:tcPr>
            <w:tcW w:w="10206" w:type="dxa"/>
            <w:gridSpan w:val="2"/>
          </w:tcPr>
          <w:p w:rsidR="0046702D" w:rsidRDefault="0046702D" w:rsidP="005F64C9">
            <w:pPr>
              <w:pStyle w:val="Normal00"/>
              <w:spacing w:line="264" w:lineRule="auto"/>
              <w:ind w:right="-79"/>
              <w:jc w:val="both"/>
              <w:rPr>
                <w:rFonts w:ascii="Arial" w:hAnsi="Arial" w:cs="Arial"/>
                <w:color w:val="003366"/>
                <w:sz w:val="18"/>
                <w:szCs w:val="18"/>
                <w:lang w:eastAsia="ja-JP"/>
              </w:rPr>
            </w:pPr>
          </w:p>
          <w:p w:rsidR="0046702D" w:rsidRPr="00083324" w:rsidRDefault="00FC1FDC" w:rsidP="004F5E62">
            <w:pPr>
              <w:pStyle w:val="Normal00"/>
              <w:spacing w:line="264" w:lineRule="auto"/>
              <w:ind w:right="-79"/>
              <w:jc w:val="both"/>
              <w:rPr>
                <w:rFonts w:ascii="Arial" w:hAnsi="Arial" w:cs="Arial"/>
                <w:color w:val="003366"/>
                <w:sz w:val="18"/>
                <w:szCs w:val="18"/>
                <w:lang w:eastAsia="ja-JP"/>
              </w:rPr>
            </w:pPr>
            <w:r w:rsidRPr="00083324">
              <w:rPr>
                <w:rFonts w:ascii="Arial" w:hAnsi="Arial" w:cs="Arial"/>
                <w:color w:val="003366"/>
                <w:sz w:val="18"/>
                <w:szCs w:val="18"/>
                <w:lang w:eastAsia="ja-JP"/>
              </w:rPr>
              <w:t>Q</w:t>
            </w:r>
            <w:r>
              <w:rPr>
                <w:rFonts w:ascii="Arial" w:hAnsi="Arial" w:cs="Arial"/>
                <w:color w:val="003366"/>
                <w:sz w:val="18"/>
                <w:szCs w:val="18"/>
                <w:lang w:eastAsia="ja-JP"/>
              </w:rPr>
              <w:t>4</w:t>
            </w:r>
            <w:r w:rsidRPr="00083324">
              <w:rPr>
                <w:rFonts w:ascii="Arial" w:hAnsi="Arial" w:cs="Arial"/>
                <w:color w:val="003366"/>
                <w:sz w:val="18"/>
                <w:szCs w:val="18"/>
                <w:lang w:eastAsia="ja-JP"/>
              </w:rPr>
              <w:t xml:space="preserve"> 201</w:t>
            </w:r>
            <w:r>
              <w:rPr>
                <w:rFonts w:ascii="Arial" w:hAnsi="Arial" w:cs="Arial"/>
                <w:color w:val="003366"/>
                <w:sz w:val="18"/>
                <w:szCs w:val="18"/>
                <w:lang w:eastAsia="ja-JP"/>
              </w:rPr>
              <w:t>9</w:t>
            </w:r>
            <w:r w:rsidRPr="00083324">
              <w:rPr>
                <w:rFonts w:ascii="Arial" w:hAnsi="Arial" w:cs="Arial"/>
                <w:color w:val="003366"/>
                <w:sz w:val="18"/>
                <w:szCs w:val="18"/>
                <w:lang w:eastAsia="ja-JP"/>
              </w:rPr>
              <w:t xml:space="preserve"> compared with Q</w:t>
            </w:r>
            <w:r>
              <w:rPr>
                <w:rFonts w:ascii="Arial" w:hAnsi="Arial" w:cs="Arial"/>
                <w:color w:val="003366"/>
                <w:sz w:val="18"/>
                <w:szCs w:val="18"/>
                <w:lang w:eastAsia="ja-JP"/>
              </w:rPr>
              <w:t>4 2018</w:t>
            </w:r>
          </w:p>
        </w:tc>
      </w:tr>
      <w:tr w:rsidR="0064628A" w:rsidTr="0046702D">
        <w:tc>
          <w:tcPr>
            <w:tcW w:w="249" w:type="dxa"/>
          </w:tcPr>
          <w:p w:rsidR="00F07BE6" w:rsidRPr="00083324" w:rsidRDefault="00FC1FDC" w:rsidP="005F64C9">
            <w:pPr>
              <w:pStyle w:val="Normal00"/>
              <w:spacing w:line="264" w:lineRule="auto"/>
              <w:ind w:right="-79"/>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957" w:type="dxa"/>
          </w:tcPr>
          <w:p w:rsidR="00F07BE6" w:rsidRPr="00512E6B" w:rsidRDefault="00FC1FDC" w:rsidP="00F07BE6">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Total income</w:t>
            </w:r>
            <w:r w:rsidRPr="00D6578C">
              <w:rPr>
                <w:rFonts w:eastAsia="Times New Roman"/>
                <w:sz w:val="18"/>
                <w:szCs w:val="18"/>
                <w:lang w:val="en-US" w:eastAsia="ja-JP" w:bidi="he-IL"/>
              </w:rPr>
              <w:t xml:space="preserve"> </w:t>
            </w:r>
            <w:r>
              <w:rPr>
                <w:rFonts w:eastAsia="Times New Roman"/>
                <w:sz w:val="18"/>
                <w:szCs w:val="18"/>
                <w:lang w:val="en-US" w:eastAsia="ja-JP" w:bidi="he-IL"/>
              </w:rPr>
              <w:t xml:space="preserve">decreased by £3 million, or 1.5%, </w:t>
            </w:r>
            <w:r w:rsidRPr="00D6578C">
              <w:rPr>
                <w:rFonts w:eastAsia="Times New Roman"/>
                <w:sz w:val="18"/>
                <w:szCs w:val="18"/>
                <w:lang w:val="en-US" w:eastAsia="ja-JP" w:bidi="he-IL"/>
              </w:rPr>
              <w:t xml:space="preserve">as </w:t>
            </w:r>
            <w:r w:rsidRPr="00512E6B">
              <w:rPr>
                <w:rFonts w:eastAsia="Times New Roman"/>
                <w:sz w:val="18"/>
                <w:szCs w:val="18"/>
                <w:lang w:val="en-US" w:eastAsia="ja-JP" w:bidi="he-IL"/>
              </w:rPr>
              <w:t xml:space="preserve">lower deposit income </w:t>
            </w:r>
            <w:r w:rsidRPr="00D6578C">
              <w:rPr>
                <w:rFonts w:eastAsia="Times New Roman"/>
                <w:sz w:val="18"/>
                <w:szCs w:val="18"/>
                <w:lang w:val="en-US" w:eastAsia="ja-JP" w:bidi="he-IL"/>
              </w:rPr>
              <w:t xml:space="preserve">was </w:t>
            </w:r>
            <w:r>
              <w:rPr>
                <w:rFonts w:eastAsia="Times New Roman"/>
                <w:sz w:val="18"/>
                <w:szCs w:val="18"/>
                <w:lang w:val="en-US" w:eastAsia="ja-JP" w:bidi="he-IL"/>
              </w:rPr>
              <w:t xml:space="preserve">partially </w:t>
            </w:r>
            <w:r w:rsidRPr="00512E6B">
              <w:rPr>
                <w:rFonts w:eastAsia="Times New Roman"/>
                <w:sz w:val="18"/>
                <w:szCs w:val="18"/>
                <w:lang w:val="en-US" w:eastAsia="ja-JP" w:bidi="he-IL"/>
              </w:rPr>
              <w:t>offset by volume growth.</w:t>
            </w:r>
          </w:p>
        </w:tc>
      </w:tr>
      <w:tr w:rsidR="0064628A" w:rsidTr="0046702D">
        <w:tc>
          <w:tcPr>
            <w:tcW w:w="249" w:type="dxa"/>
          </w:tcPr>
          <w:p w:rsidR="00F07BE6" w:rsidRPr="00083324" w:rsidRDefault="00FC1FDC" w:rsidP="005F64C9">
            <w:pPr>
              <w:pStyle w:val="Normal00"/>
              <w:spacing w:line="264" w:lineRule="auto"/>
              <w:ind w:right="-79"/>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957" w:type="dxa"/>
          </w:tcPr>
          <w:p w:rsidR="00F07BE6" w:rsidRPr="00821034" w:rsidRDefault="00FC1FDC" w:rsidP="00F07BE6">
            <w:pPr>
              <w:pStyle w:val="Normal30"/>
              <w:spacing w:line="259" w:lineRule="auto"/>
              <w:rPr>
                <w:rFonts w:eastAsia="Times New Roman"/>
                <w:sz w:val="18"/>
                <w:szCs w:val="18"/>
                <w:lang w:val="en-US" w:eastAsia="ja-JP" w:bidi="he-IL"/>
              </w:rPr>
            </w:pPr>
            <w:r w:rsidRPr="00821034">
              <w:rPr>
                <w:rFonts w:eastAsia="Times New Roman"/>
                <w:sz w:val="18"/>
                <w:szCs w:val="18"/>
                <w:lang w:val="en-US" w:eastAsia="ja-JP" w:bidi="he-IL"/>
              </w:rPr>
              <w:t>Excluding strategic, litigation and conduct costs, operating expenses decreased by £13 million, or 9.8%, reflecting lower back office operations costs and a number of one-off items.</w:t>
            </w:r>
          </w:p>
        </w:tc>
      </w:tr>
    </w:tbl>
    <w:p w:rsidR="004F5E62" w:rsidRDefault="00FC1FDC" w:rsidP="004F5E62">
      <w:pPr>
        <w:spacing w:line="4" w:lineRule="exact"/>
      </w:pPr>
      <w:r>
        <w:br w:type="page"/>
      </w:r>
    </w:p>
    <w:p w:rsidR="004F5E62" w:rsidRPr="00252B5F" w:rsidRDefault="00FC1FDC" w:rsidP="004F5E62">
      <w:pPr>
        <w:pStyle w:val="Normal30"/>
        <w:spacing w:line="288" w:lineRule="auto"/>
        <w:jc w:val="both"/>
        <w:rPr>
          <w:b/>
          <w:color w:val="003366"/>
          <w:sz w:val="18"/>
          <w:szCs w:val="18"/>
          <w:lang w:eastAsia="ja-JP"/>
        </w:rPr>
      </w:pPr>
      <w:r w:rsidRPr="00252B5F">
        <w:rPr>
          <w:b/>
          <w:color w:val="003366"/>
          <w:sz w:val="18"/>
          <w:szCs w:val="18"/>
          <w:lang w:eastAsia="ja-JP"/>
        </w:rPr>
        <w:lastRenderedPageBreak/>
        <w:t>Business performance summary</w:t>
      </w:r>
    </w:p>
    <w:p w:rsidR="004F5E62" w:rsidRPr="00A16788" w:rsidRDefault="00FC1FDC" w:rsidP="004F5E62">
      <w:pPr>
        <w:pStyle w:val="Normal30"/>
        <w:spacing w:line="288" w:lineRule="auto"/>
        <w:jc w:val="both"/>
        <w:rPr>
          <w:b/>
          <w:szCs w:val="18"/>
        </w:rPr>
      </w:pPr>
      <w:r w:rsidRPr="00A16788">
        <w:rPr>
          <w:b/>
          <w:color w:val="003366"/>
          <w:sz w:val="18"/>
          <w:szCs w:val="18"/>
          <w:lang w:eastAsia="ja-JP"/>
        </w:rPr>
        <w:t>RBS International</w:t>
      </w:r>
    </w:p>
    <w:sdt>
      <w:sdtPr>
        <w:tag w:val="&lt;ReportPackage&gt;&lt;EmbeddedContent id=&quot;3b39239d-433d-4110-8320-7374d4be344a&quot; lastModified=&quot;1581639490587&quot;/&gt;&lt;/ReportPackage&gt;"/>
        <w:id w:val="569403250"/>
        <w:lock w:val="contentLocked"/>
        <w:placeholder>
          <w:docPart w:val="B98EF2B558D042DBB52476FF2EA46D9A"/>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4475"/>
            <w:gridCol w:w="1109"/>
            <w:gridCol w:w="1109"/>
            <w:gridCol w:w="60"/>
            <w:gridCol w:w="1109"/>
            <w:gridCol w:w="1109"/>
            <w:gridCol w:w="1109"/>
          </w:tblGrid>
          <w:tr w:rsidR="0064628A">
            <w:trPr>
              <w:trHeight w:val="210"/>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2220" w:type="dxa"/>
                <w:gridSpan w:val="2"/>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Year ended and as at</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3330" w:type="dxa"/>
                <w:gridSpan w:val="3"/>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Quarter ended and as at</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30 September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4485"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income</w:t>
                </w: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610</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594</w:t>
                </w:r>
              </w:p>
            </w:tc>
            <w:tc>
              <w:tcPr>
                <w:tcW w:w="6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150</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155</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expenses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(264)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(260)</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(86)</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(losses)/releases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profit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344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336</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71</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Return on equity</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24.4%</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20.0%</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margin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1.81%</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Cost:income ratio</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43.8%</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55.3%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55.5%</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£bn</w:t>
                </w:r>
              </w:p>
            </w:tc>
          </w:tr>
          <w:tr w:rsidR="0064628A">
            <w:trPr>
              <w:trHeight w:val="195"/>
            </w:trPr>
            <w:tc>
              <w:tcPr>
                <w:tcW w:w="4485"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loans to customers (amortised cost)</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14.1</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13.8</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13.3</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Customer deposits</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30.1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27.5</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RWAs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6.9</w:t>
                </w:r>
              </w:p>
            </w:tc>
          </w:tr>
        </w:tbl>
      </w:sdtContent>
    </w:sdt>
    <w:p w:rsidR="00EB3C2A" w:rsidRDefault="00EB3C2A" w:rsidP="004F5E62">
      <w:pPr>
        <w:pStyle w:val="Normal00"/>
        <w:jc w:val="both"/>
        <w:rPr>
          <w:rFonts w:ascii="Arial" w:hAnsi="Arial" w:cs="Arial"/>
          <w:sz w:val="14"/>
          <w:szCs w:val="14"/>
          <w:lang w:val="en-US" w:eastAsia="ja-JP" w:bidi="he-IL"/>
        </w:rPr>
      </w:pPr>
    </w:p>
    <w:tbl>
      <w:tblPr>
        <w:tblW w:w="10206" w:type="dxa"/>
        <w:tblLook w:val="01E0" w:firstRow="1" w:lastRow="1" w:firstColumn="1" w:lastColumn="1" w:noHBand="0" w:noVBand="0"/>
      </w:tblPr>
      <w:tblGrid>
        <w:gridCol w:w="246"/>
        <w:gridCol w:w="9960"/>
      </w:tblGrid>
      <w:tr w:rsidR="0064628A" w:rsidTr="00B719FE">
        <w:trPr>
          <w:trHeight w:val="74"/>
        </w:trPr>
        <w:tc>
          <w:tcPr>
            <w:tcW w:w="10206" w:type="dxa"/>
            <w:gridSpan w:val="2"/>
          </w:tcPr>
          <w:p w:rsidR="00CD5271" w:rsidRDefault="00FC1FDC" w:rsidP="00B80BFC">
            <w:pPr>
              <w:pStyle w:val="Normal00"/>
              <w:spacing w:line="264" w:lineRule="auto"/>
              <w:ind w:right="-82"/>
              <w:rPr>
                <w:rFonts w:ascii="Arial" w:hAnsi="Arial" w:cs="Arial"/>
                <w:color w:val="003366"/>
                <w:sz w:val="18"/>
                <w:szCs w:val="18"/>
                <w:lang w:eastAsia="ja-JP"/>
              </w:rPr>
            </w:pPr>
            <w:r w:rsidRPr="00AD6B52">
              <w:rPr>
                <w:rFonts w:ascii="Arial" w:hAnsi="Arial" w:cs="Arial"/>
                <w:sz w:val="18"/>
                <w:szCs w:val="18"/>
                <w:lang w:val="en-US" w:eastAsia="ja-JP" w:bidi="he-IL"/>
              </w:rPr>
              <w:t>RBS International’s</w:t>
            </w:r>
            <w:r>
              <w:rPr>
                <w:rFonts w:ascii="Arial" w:hAnsi="Arial" w:cs="Arial"/>
                <w:sz w:val="18"/>
                <w:szCs w:val="18"/>
                <w:lang w:val="en-US" w:eastAsia="ja-JP" w:bidi="he-IL"/>
              </w:rPr>
              <w:t xml:space="preserve"> </w:t>
            </w:r>
            <w:r w:rsidRPr="005323F1">
              <w:rPr>
                <w:rFonts w:ascii="Arial" w:hAnsi="Arial" w:cs="Arial"/>
                <w:sz w:val="18"/>
                <w:szCs w:val="18"/>
                <w:lang w:val="en-US" w:eastAsia="ja-JP" w:bidi="he-IL"/>
              </w:rPr>
              <w:t>existing</w:t>
            </w:r>
            <w:r>
              <w:rPr>
                <w:rFonts w:ascii="Arial" w:hAnsi="Arial" w:cs="Arial"/>
                <w:sz w:val="18"/>
                <w:szCs w:val="18"/>
                <w:lang w:val="en-US" w:eastAsia="ja-JP" w:bidi="he-IL"/>
              </w:rPr>
              <w:t xml:space="preserve"> </w:t>
            </w:r>
            <w:r w:rsidRPr="00AD6B52">
              <w:rPr>
                <w:rFonts w:ascii="Arial" w:hAnsi="Arial" w:cs="Arial"/>
                <w:sz w:val="18"/>
                <w:szCs w:val="18"/>
                <w:lang w:val="en-US" w:eastAsia="ja-JP" w:bidi="he-IL"/>
              </w:rPr>
              <w:t xml:space="preserve">personal customers can now open </w:t>
            </w:r>
            <w:r>
              <w:rPr>
                <w:rFonts w:ascii="Arial" w:hAnsi="Arial" w:cs="Arial"/>
                <w:sz w:val="18"/>
                <w:szCs w:val="18"/>
                <w:lang w:val="en-US" w:eastAsia="ja-JP" w:bidi="he-IL"/>
              </w:rPr>
              <w:t xml:space="preserve">individual </w:t>
            </w:r>
            <w:r w:rsidRPr="00AD6B52">
              <w:rPr>
                <w:rFonts w:ascii="Arial" w:hAnsi="Arial" w:cs="Arial"/>
                <w:sz w:val="18"/>
                <w:szCs w:val="18"/>
                <w:lang w:val="en-US" w:eastAsia="ja-JP" w:bidi="he-IL"/>
              </w:rPr>
              <w:t xml:space="preserve">savings </w:t>
            </w:r>
            <w:r>
              <w:rPr>
                <w:rFonts w:ascii="Arial" w:hAnsi="Arial" w:cs="Arial"/>
                <w:sz w:val="18"/>
                <w:szCs w:val="18"/>
                <w:lang w:val="en-US" w:eastAsia="ja-JP" w:bidi="he-IL"/>
              </w:rPr>
              <w:t xml:space="preserve">accounts in an average time of 8 minutes rather than </w:t>
            </w:r>
            <w:r w:rsidRPr="005323F1">
              <w:rPr>
                <w:rFonts w:ascii="Arial" w:hAnsi="Arial" w:cs="Arial"/>
                <w:sz w:val="18"/>
                <w:szCs w:val="18"/>
                <w:lang w:val="en-US" w:eastAsia="ja-JP" w:bidi="he-IL"/>
              </w:rPr>
              <w:t>14</w:t>
            </w:r>
            <w:r>
              <w:rPr>
                <w:rFonts w:ascii="Arial" w:hAnsi="Arial" w:cs="Arial"/>
                <w:sz w:val="18"/>
                <w:szCs w:val="18"/>
                <w:lang w:val="en-US" w:eastAsia="ja-JP" w:bidi="he-IL"/>
              </w:rPr>
              <w:t xml:space="preserve"> days, with over </w:t>
            </w:r>
            <w:r w:rsidRPr="00AD6B52">
              <w:rPr>
                <w:rFonts w:ascii="Arial" w:hAnsi="Arial" w:cs="Arial"/>
                <w:sz w:val="18"/>
                <w:szCs w:val="18"/>
                <w:lang w:val="en-US" w:eastAsia="ja-JP" w:bidi="he-IL"/>
              </w:rPr>
              <w:t>3</w:t>
            </w:r>
            <w:r>
              <w:rPr>
                <w:rFonts w:ascii="Arial" w:hAnsi="Arial" w:cs="Arial"/>
                <w:sz w:val="18"/>
                <w:szCs w:val="18"/>
                <w:lang w:val="en-US" w:eastAsia="ja-JP" w:bidi="he-IL"/>
              </w:rPr>
              <w:t>,000</w:t>
            </w:r>
            <w:r w:rsidRPr="00AD6B52">
              <w:rPr>
                <w:rFonts w:ascii="Arial" w:hAnsi="Arial" w:cs="Arial"/>
                <w:sz w:val="18"/>
                <w:szCs w:val="18"/>
                <w:lang w:val="en-US" w:eastAsia="ja-JP" w:bidi="he-IL"/>
              </w:rPr>
              <w:t xml:space="preserve"> new accounts opened this year</w:t>
            </w:r>
            <w:r>
              <w:rPr>
                <w:rFonts w:ascii="Arial" w:hAnsi="Arial" w:cs="Arial"/>
                <w:sz w:val="18"/>
                <w:szCs w:val="18"/>
                <w:lang w:val="en-US" w:eastAsia="ja-JP" w:bidi="he-IL"/>
              </w:rPr>
              <w:t xml:space="preserve"> using the automated process</w:t>
            </w:r>
            <w:r w:rsidRPr="00AD6B52">
              <w:rPr>
                <w:rFonts w:ascii="Arial" w:hAnsi="Arial" w:cs="Arial"/>
                <w:sz w:val="18"/>
                <w:szCs w:val="18"/>
                <w:lang w:val="en-US" w:eastAsia="ja-JP" w:bidi="he-IL"/>
              </w:rPr>
              <w:t>. Digital adoption in personal bank</w:t>
            </w:r>
            <w:r>
              <w:rPr>
                <w:rFonts w:ascii="Arial" w:hAnsi="Arial" w:cs="Arial"/>
                <w:sz w:val="18"/>
                <w:szCs w:val="18"/>
                <w:lang w:val="en-US" w:eastAsia="ja-JP" w:bidi="he-IL"/>
              </w:rPr>
              <w:t xml:space="preserve">ing has increased by more than </w:t>
            </w:r>
            <w:r w:rsidRPr="00AD6B52">
              <w:rPr>
                <w:rFonts w:ascii="Arial" w:hAnsi="Arial" w:cs="Arial"/>
                <w:sz w:val="18"/>
                <w:szCs w:val="18"/>
                <w:lang w:val="en-US" w:eastAsia="ja-JP" w:bidi="he-IL"/>
              </w:rPr>
              <w:t>1</w:t>
            </w:r>
            <w:r>
              <w:rPr>
                <w:rFonts w:ascii="Arial" w:hAnsi="Arial" w:cs="Arial"/>
                <w:sz w:val="18"/>
                <w:szCs w:val="18"/>
                <w:lang w:val="en-US" w:eastAsia="ja-JP" w:bidi="he-IL"/>
              </w:rPr>
              <w:t>7%. Over 90</w:t>
            </w:r>
            <w:r w:rsidRPr="00AD6B52">
              <w:rPr>
                <w:rFonts w:ascii="Arial" w:hAnsi="Arial" w:cs="Arial"/>
                <w:sz w:val="18"/>
                <w:szCs w:val="18"/>
                <w:lang w:val="en-US" w:eastAsia="ja-JP" w:bidi="he-IL"/>
              </w:rPr>
              <w:t>% of non-personal customers who provided feedback find our electronic banking platform, eQ easy or extremely easy to use, with 18 new features introduced into eQ through 2019 as part of our ongoing investment in the platform.</w:t>
            </w:r>
          </w:p>
        </w:tc>
      </w:tr>
      <w:tr w:rsidR="0064628A" w:rsidTr="00B719FE">
        <w:trPr>
          <w:trHeight w:val="74"/>
        </w:trPr>
        <w:tc>
          <w:tcPr>
            <w:tcW w:w="10206" w:type="dxa"/>
            <w:gridSpan w:val="2"/>
          </w:tcPr>
          <w:p w:rsidR="00CD5271" w:rsidRDefault="00CD5271" w:rsidP="005B011C">
            <w:pPr>
              <w:pStyle w:val="Normal00"/>
              <w:spacing w:line="264" w:lineRule="auto"/>
              <w:ind w:right="-82"/>
              <w:jc w:val="both"/>
              <w:rPr>
                <w:rFonts w:ascii="Arial" w:hAnsi="Arial" w:cs="Arial"/>
                <w:color w:val="003366"/>
                <w:sz w:val="18"/>
                <w:szCs w:val="18"/>
                <w:lang w:eastAsia="ja-JP"/>
              </w:rPr>
            </w:pPr>
          </w:p>
        </w:tc>
      </w:tr>
      <w:tr w:rsidR="0064628A" w:rsidTr="00B719FE">
        <w:trPr>
          <w:trHeight w:val="74"/>
        </w:trPr>
        <w:tc>
          <w:tcPr>
            <w:tcW w:w="10206" w:type="dxa"/>
            <w:gridSpan w:val="2"/>
          </w:tcPr>
          <w:p w:rsidR="004F5E62" w:rsidRPr="00083324" w:rsidRDefault="00FC1FDC" w:rsidP="005B011C">
            <w:pPr>
              <w:pStyle w:val="Normal00"/>
              <w:spacing w:line="264" w:lineRule="auto"/>
              <w:ind w:right="-82"/>
              <w:jc w:val="both"/>
              <w:rPr>
                <w:rFonts w:ascii="Arial" w:hAnsi="Arial" w:cs="Arial"/>
                <w:color w:val="003366"/>
                <w:sz w:val="18"/>
                <w:szCs w:val="18"/>
                <w:lang w:eastAsia="ja-JP"/>
              </w:rPr>
            </w:pPr>
            <w:r>
              <w:rPr>
                <w:rFonts w:ascii="Arial" w:hAnsi="Arial" w:cs="Arial"/>
                <w:color w:val="003366"/>
                <w:sz w:val="18"/>
                <w:szCs w:val="18"/>
                <w:lang w:eastAsia="ja-JP"/>
              </w:rPr>
              <w:t>2019</w:t>
            </w:r>
            <w:r w:rsidRPr="00083324">
              <w:rPr>
                <w:rFonts w:ascii="Arial" w:hAnsi="Arial" w:cs="Arial"/>
                <w:color w:val="003366"/>
                <w:sz w:val="18"/>
                <w:szCs w:val="18"/>
                <w:lang w:eastAsia="ja-JP"/>
              </w:rPr>
              <w:t xml:space="preserve"> compared with 201</w:t>
            </w:r>
            <w:r>
              <w:rPr>
                <w:rFonts w:ascii="Arial" w:hAnsi="Arial" w:cs="Arial"/>
                <w:color w:val="003366"/>
                <w:sz w:val="18"/>
                <w:szCs w:val="18"/>
                <w:lang w:eastAsia="ja-JP"/>
              </w:rPr>
              <w:t>8</w:t>
            </w:r>
            <w:r w:rsidRPr="00083324">
              <w:rPr>
                <w:rFonts w:ascii="Arial" w:hAnsi="Arial" w:cs="Arial"/>
                <w:color w:val="003366"/>
                <w:sz w:val="18"/>
                <w:szCs w:val="18"/>
                <w:lang w:eastAsia="ja-JP"/>
              </w:rPr>
              <w:t xml:space="preserve"> </w:t>
            </w:r>
          </w:p>
        </w:tc>
      </w:tr>
      <w:tr w:rsidR="0064628A" w:rsidTr="00B719FE">
        <w:tc>
          <w:tcPr>
            <w:tcW w:w="246" w:type="dxa"/>
          </w:tcPr>
          <w:p w:rsidR="00F07BE6" w:rsidRPr="00083324" w:rsidRDefault="00FC1FDC" w:rsidP="005F64C9">
            <w:pPr>
              <w:pStyle w:val="Normal00"/>
              <w:spacing w:line="264" w:lineRule="auto"/>
              <w:ind w:right="-82"/>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960" w:type="dxa"/>
          </w:tcPr>
          <w:p w:rsidR="00F07BE6" w:rsidRPr="00087389" w:rsidRDefault="00FC1FDC" w:rsidP="00F07BE6">
            <w:pPr>
              <w:pStyle w:val="Normal30"/>
              <w:spacing w:line="259" w:lineRule="auto"/>
              <w:rPr>
                <w:rFonts w:eastAsia="Times New Roman"/>
                <w:sz w:val="18"/>
                <w:szCs w:val="18"/>
                <w:lang w:val="en-US" w:eastAsia="ja-JP" w:bidi="he-IL"/>
              </w:rPr>
            </w:pPr>
            <w:r w:rsidRPr="00087389">
              <w:rPr>
                <w:rFonts w:eastAsia="Times New Roman"/>
                <w:sz w:val="18"/>
                <w:szCs w:val="18"/>
                <w:lang w:val="en-US" w:eastAsia="ja-JP" w:bidi="he-IL"/>
              </w:rPr>
              <w:t xml:space="preserve">Total income </w:t>
            </w:r>
            <w:r>
              <w:rPr>
                <w:rFonts w:eastAsia="Times New Roman"/>
                <w:sz w:val="18"/>
                <w:szCs w:val="18"/>
                <w:lang w:val="en-US" w:eastAsia="ja-JP" w:bidi="he-IL"/>
              </w:rPr>
              <w:t xml:space="preserve">increased by </w:t>
            </w:r>
            <w:r w:rsidRPr="00087389">
              <w:rPr>
                <w:rFonts w:eastAsia="Times New Roman"/>
                <w:sz w:val="18"/>
                <w:szCs w:val="18"/>
                <w:lang w:val="en-US" w:eastAsia="ja-JP" w:bidi="he-IL"/>
              </w:rPr>
              <w:t>£</w:t>
            </w:r>
            <w:r>
              <w:rPr>
                <w:rFonts w:eastAsia="Times New Roman"/>
                <w:sz w:val="18"/>
                <w:szCs w:val="18"/>
                <w:lang w:val="en-US" w:eastAsia="ja-JP" w:bidi="he-IL"/>
              </w:rPr>
              <w:t>16</w:t>
            </w:r>
            <w:r w:rsidRPr="00087389">
              <w:rPr>
                <w:rFonts w:eastAsia="Times New Roman"/>
                <w:sz w:val="18"/>
                <w:szCs w:val="18"/>
                <w:lang w:val="en-US" w:eastAsia="ja-JP" w:bidi="he-IL"/>
              </w:rPr>
              <w:t xml:space="preserve"> million, or </w:t>
            </w:r>
            <w:r>
              <w:rPr>
                <w:rFonts w:eastAsia="Times New Roman"/>
                <w:sz w:val="18"/>
                <w:szCs w:val="18"/>
                <w:lang w:val="en-US" w:eastAsia="ja-JP" w:bidi="he-IL"/>
              </w:rPr>
              <w:t>2.7</w:t>
            </w:r>
            <w:r w:rsidRPr="00087389">
              <w:rPr>
                <w:rFonts w:eastAsia="Times New Roman"/>
                <w:sz w:val="18"/>
                <w:szCs w:val="18"/>
                <w:lang w:val="en-US" w:eastAsia="ja-JP" w:bidi="he-IL"/>
              </w:rPr>
              <w:t>%, due to increas</w:t>
            </w:r>
            <w:r w:rsidRPr="004926E7">
              <w:rPr>
                <w:rFonts w:eastAsia="Times New Roman"/>
                <w:sz w:val="18"/>
                <w:szCs w:val="18"/>
                <w:lang w:val="en-US" w:eastAsia="ja-JP" w:bidi="he-IL"/>
              </w:rPr>
              <w:t>ed customer lending and deposits in Institutional and Local Banking.</w:t>
            </w:r>
            <w:r>
              <w:rPr>
                <w:rFonts w:eastAsia="Times New Roman"/>
                <w:sz w:val="18"/>
                <w:szCs w:val="18"/>
                <w:lang w:val="en-US" w:eastAsia="ja-JP" w:bidi="he-IL"/>
              </w:rPr>
              <w:t xml:space="preserve"> Institutional Banking contributed 63% to income in 2019, with Local Banking 31% and Depositary Services 6%. Net interest margin decreased by 11</w:t>
            </w:r>
            <w:r w:rsidRPr="00087389">
              <w:rPr>
                <w:rFonts w:eastAsia="Times New Roman"/>
                <w:sz w:val="18"/>
                <w:szCs w:val="18"/>
                <w:lang w:val="en-US" w:eastAsia="ja-JP" w:bidi="he-IL"/>
              </w:rPr>
              <w:t xml:space="preserve"> </w:t>
            </w:r>
            <w:r w:rsidRPr="000230E5">
              <w:rPr>
                <w:rFonts w:eastAsia="Times New Roman"/>
                <w:sz w:val="18"/>
                <w:szCs w:val="18"/>
                <w:lang w:val="en-US" w:eastAsia="ja-JP" w:bidi="he-IL"/>
              </w:rPr>
              <w:t>basis points compared with 2018 as deposit margins reduced due to falling interest rates in the second half of the year along with mortgage margin pressure.</w:t>
            </w:r>
            <w:r>
              <w:rPr>
                <w:rFonts w:eastAsia="Times New Roman"/>
                <w:sz w:val="18"/>
                <w:szCs w:val="18"/>
                <w:lang w:val="en-US" w:eastAsia="ja-JP" w:bidi="he-IL"/>
              </w:rPr>
              <w:t xml:space="preserve"> </w:t>
            </w:r>
          </w:p>
        </w:tc>
      </w:tr>
      <w:tr w:rsidR="0064628A" w:rsidTr="00B719FE">
        <w:tc>
          <w:tcPr>
            <w:tcW w:w="246" w:type="dxa"/>
          </w:tcPr>
          <w:p w:rsidR="00F07BE6" w:rsidRPr="00083324" w:rsidRDefault="00FC1FDC" w:rsidP="005F64C9">
            <w:pPr>
              <w:pStyle w:val="Normal00"/>
              <w:spacing w:line="264" w:lineRule="auto"/>
              <w:ind w:right="-82"/>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960" w:type="dxa"/>
          </w:tcPr>
          <w:p w:rsidR="00F07BE6" w:rsidRPr="00087389" w:rsidRDefault="00FC1FDC" w:rsidP="00F07BE6">
            <w:pPr>
              <w:pStyle w:val="Normal30"/>
              <w:spacing w:line="259" w:lineRule="auto"/>
              <w:rPr>
                <w:rFonts w:eastAsia="Times New Roman"/>
                <w:sz w:val="18"/>
                <w:szCs w:val="18"/>
                <w:lang w:val="en-US" w:eastAsia="ja-JP" w:bidi="he-IL"/>
              </w:rPr>
            </w:pPr>
            <w:r w:rsidRPr="00087389">
              <w:rPr>
                <w:rFonts w:eastAsia="Times New Roman"/>
                <w:sz w:val="18"/>
                <w:szCs w:val="18"/>
                <w:lang w:val="en-US" w:eastAsia="ja-JP" w:bidi="he-IL"/>
              </w:rPr>
              <w:t xml:space="preserve">Excluding strategic, litigation and conduct costs, operating expenses </w:t>
            </w:r>
            <w:r>
              <w:rPr>
                <w:rFonts w:eastAsia="Times New Roman"/>
                <w:sz w:val="18"/>
                <w:szCs w:val="18"/>
                <w:lang w:val="en-US" w:eastAsia="ja-JP" w:bidi="he-IL"/>
              </w:rPr>
              <w:t>decreased £</w:t>
            </w:r>
            <w:r w:rsidRPr="00087389">
              <w:rPr>
                <w:rFonts w:eastAsia="Times New Roman"/>
                <w:sz w:val="18"/>
                <w:szCs w:val="18"/>
                <w:lang w:val="en-US" w:eastAsia="ja-JP" w:bidi="he-IL"/>
              </w:rPr>
              <w:t>1</w:t>
            </w:r>
            <w:r>
              <w:rPr>
                <w:rFonts w:eastAsia="Times New Roman"/>
                <w:sz w:val="18"/>
                <w:szCs w:val="18"/>
                <w:lang w:val="en-US" w:eastAsia="ja-JP" w:bidi="he-IL"/>
              </w:rPr>
              <w:t>6 million, or 6.2</w:t>
            </w:r>
            <w:r w:rsidRPr="00087389">
              <w:rPr>
                <w:rFonts w:eastAsia="Times New Roman"/>
                <w:sz w:val="18"/>
                <w:szCs w:val="18"/>
                <w:lang w:val="en-US" w:eastAsia="ja-JP" w:bidi="he-IL"/>
              </w:rPr>
              <w:t xml:space="preserve">%, </w:t>
            </w:r>
            <w:r>
              <w:rPr>
                <w:rFonts w:eastAsia="Times New Roman"/>
                <w:sz w:val="18"/>
                <w:szCs w:val="18"/>
                <w:lang w:val="en-US" w:eastAsia="ja-JP" w:bidi="he-IL"/>
              </w:rPr>
              <w:t xml:space="preserve">reflecting a £24 million reduction in </w:t>
            </w:r>
            <w:r w:rsidRPr="00087389">
              <w:rPr>
                <w:rFonts w:eastAsia="Times New Roman"/>
                <w:sz w:val="18"/>
                <w:szCs w:val="18"/>
                <w:lang w:val="en-US" w:eastAsia="ja-JP" w:bidi="he-IL"/>
              </w:rPr>
              <w:t xml:space="preserve">back office </w:t>
            </w:r>
            <w:r>
              <w:rPr>
                <w:rFonts w:eastAsia="Times New Roman"/>
                <w:sz w:val="18"/>
                <w:szCs w:val="18"/>
                <w:lang w:val="en-US" w:eastAsia="ja-JP" w:bidi="he-IL"/>
              </w:rPr>
              <w:t xml:space="preserve">operations costs, partially offset by </w:t>
            </w:r>
            <w:r w:rsidRPr="00087389">
              <w:rPr>
                <w:rFonts w:eastAsia="Times New Roman"/>
                <w:sz w:val="18"/>
                <w:szCs w:val="18"/>
                <w:lang w:val="en-US" w:eastAsia="ja-JP" w:bidi="he-IL"/>
              </w:rPr>
              <w:t xml:space="preserve">higher investment spend </w:t>
            </w:r>
            <w:r>
              <w:rPr>
                <w:rFonts w:eastAsia="Times New Roman"/>
                <w:sz w:val="18"/>
                <w:szCs w:val="18"/>
                <w:lang w:val="en-US" w:eastAsia="ja-JP" w:bidi="he-IL"/>
              </w:rPr>
              <w:t>relating to</w:t>
            </w:r>
            <w:r w:rsidRPr="00087389">
              <w:rPr>
                <w:rFonts w:eastAsia="Times New Roman"/>
                <w:sz w:val="18"/>
                <w:szCs w:val="18"/>
                <w:lang w:val="en-US" w:eastAsia="ja-JP" w:bidi="he-IL"/>
              </w:rPr>
              <w:t xml:space="preserve"> the digital proposition. </w:t>
            </w:r>
          </w:p>
        </w:tc>
      </w:tr>
      <w:tr w:rsidR="0064628A" w:rsidTr="00B719FE">
        <w:tc>
          <w:tcPr>
            <w:tcW w:w="246" w:type="dxa"/>
          </w:tcPr>
          <w:p w:rsidR="00F07BE6" w:rsidRPr="00083324" w:rsidRDefault="00FC1FDC" w:rsidP="005F64C9">
            <w:pPr>
              <w:pStyle w:val="Normal00"/>
              <w:spacing w:line="264" w:lineRule="auto"/>
              <w:ind w:right="-82"/>
              <w:jc w:val="both"/>
              <w:rPr>
                <w:rFonts w:eastAsia="SimSun"/>
                <w:color w:val="003366"/>
                <w:sz w:val="18"/>
                <w:szCs w:val="18"/>
                <w:lang w:eastAsia="ja-JP"/>
              </w:rPr>
            </w:pPr>
            <w:r w:rsidRPr="00083324">
              <w:rPr>
                <w:rFonts w:eastAsia="SimSun"/>
                <w:color w:val="003366"/>
                <w:sz w:val="18"/>
                <w:szCs w:val="18"/>
                <w:lang w:eastAsia="ja-JP"/>
              </w:rPr>
              <w:t>●</w:t>
            </w:r>
          </w:p>
        </w:tc>
        <w:tc>
          <w:tcPr>
            <w:tcW w:w="9960" w:type="dxa"/>
          </w:tcPr>
          <w:p w:rsidR="00F07BE6" w:rsidRPr="00087389" w:rsidRDefault="00FC1FDC" w:rsidP="00F07BE6">
            <w:pPr>
              <w:pStyle w:val="Normal30"/>
              <w:spacing w:line="259" w:lineRule="auto"/>
              <w:rPr>
                <w:rFonts w:eastAsia="Times New Roman"/>
                <w:sz w:val="18"/>
                <w:szCs w:val="18"/>
                <w:lang w:val="en-US" w:eastAsia="ja-JP" w:bidi="he-IL"/>
              </w:rPr>
            </w:pPr>
            <w:r w:rsidRPr="00087389">
              <w:rPr>
                <w:rFonts w:eastAsia="Times New Roman"/>
                <w:sz w:val="18"/>
                <w:szCs w:val="18"/>
                <w:lang w:val="en-US" w:eastAsia="ja-JP" w:bidi="he-IL"/>
              </w:rPr>
              <w:t xml:space="preserve">Net loans to customers </w:t>
            </w:r>
            <w:r>
              <w:rPr>
                <w:rFonts w:eastAsia="Times New Roman"/>
                <w:sz w:val="18"/>
                <w:szCs w:val="18"/>
                <w:lang w:val="en-US" w:eastAsia="ja-JP" w:bidi="he-IL"/>
              </w:rPr>
              <w:t>increased by £</w:t>
            </w:r>
            <w:r w:rsidRPr="00087389">
              <w:rPr>
                <w:rFonts w:eastAsia="Times New Roman"/>
                <w:sz w:val="18"/>
                <w:szCs w:val="18"/>
                <w:lang w:val="en-US" w:eastAsia="ja-JP" w:bidi="he-IL"/>
              </w:rPr>
              <w:t>0.</w:t>
            </w:r>
            <w:r>
              <w:rPr>
                <w:rFonts w:eastAsia="Times New Roman"/>
                <w:sz w:val="18"/>
                <w:szCs w:val="18"/>
                <w:lang w:val="en-US" w:eastAsia="ja-JP" w:bidi="he-IL"/>
              </w:rPr>
              <w:t xml:space="preserve">8 billion, or 6.0%, reflecting a Funds business transfer of £0.5 </w:t>
            </w:r>
            <w:r w:rsidRPr="000230E5">
              <w:rPr>
                <w:rFonts w:eastAsia="Times New Roman"/>
                <w:sz w:val="18"/>
                <w:szCs w:val="18"/>
                <w:lang w:val="en-US" w:eastAsia="ja-JP" w:bidi="he-IL"/>
              </w:rPr>
              <w:t>billion from NatWest Markets and higher volumes in Institutional and Local Banking.</w:t>
            </w:r>
          </w:p>
        </w:tc>
      </w:tr>
      <w:tr w:rsidR="0064628A" w:rsidTr="00B719FE">
        <w:tc>
          <w:tcPr>
            <w:tcW w:w="246" w:type="dxa"/>
          </w:tcPr>
          <w:p w:rsidR="00F07BE6" w:rsidRPr="00083324" w:rsidRDefault="00FC1FDC" w:rsidP="005F64C9">
            <w:pPr>
              <w:pStyle w:val="Normal00"/>
              <w:spacing w:line="264" w:lineRule="auto"/>
              <w:ind w:right="-82"/>
              <w:jc w:val="both"/>
              <w:rPr>
                <w:rFonts w:eastAsia="SimSun"/>
                <w:color w:val="003366"/>
                <w:sz w:val="18"/>
                <w:szCs w:val="18"/>
                <w:lang w:eastAsia="ja-JP"/>
              </w:rPr>
            </w:pPr>
            <w:r w:rsidRPr="00083324">
              <w:rPr>
                <w:rFonts w:eastAsia="SimSun"/>
                <w:color w:val="003366"/>
                <w:sz w:val="18"/>
                <w:szCs w:val="18"/>
                <w:lang w:eastAsia="ja-JP"/>
              </w:rPr>
              <w:t>●</w:t>
            </w:r>
          </w:p>
        </w:tc>
        <w:tc>
          <w:tcPr>
            <w:tcW w:w="9960" w:type="dxa"/>
          </w:tcPr>
          <w:p w:rsidR="00F07BE6" w:rsidRPr="00087389" w:rsidRDefault="00FC1FDC" w:rsidP="00F07BE6">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Customer deposits increased by</w:t>
            </w:r>
            <w:r w:rsidRPr="00087389">
              <w:rPr>
                <w:rFonts w:eastAsia="Times New Roman"/>
                <w:sz w:val="18"/>
                <w:szCs w:val="18"/>
                <w:lang w:val="en-US" w:eastAsia="ja-JP" w:bidi="he-IL"/>
              </w:rPr>
              <w:t xml:space="preserve"> </w:t>
            </w:r>
            <w:r>
              <w:rPr>
                <w:rFonts w:eastAsia="Times New Roman"/>
                <w:sz w:val="18"/>
                <w:szCs w:val="18"/>
                <w:lang w:val="en-US" w:eastAsia="ja-JP" w:bidi="he-IL"/>
              </w:rPr>
              <w:t xml:space="preserve">£2.6 billion primarily reflecting activity </w:t>
            </w:r>
            <w:r w:rsidRPr="00087389">
              <w:rPr>
                <w:rFonts w:eastAsia="Times New Roman"/>
                <w:sz w:val="18"/>
                <w:szCs w:val="18"/>
                <w:lang w:val="en-US" w:eastAsia="ja-JP" w:bidi="he-IL"/>
              </w:rPr>
              <w:t>in the Funds sector</w:t>
            </w:r>
            <w:r>
              <w:rPr>
                <w:rFonts w:eastAsia="Times New Roman"/>
                <w:sz w:val="18"/>
                <w:szCs w:val="18"/>
                <w:lang w:val="en-US" w:eastAsia="ja-JP" w:bidi="he-IL"/>
              </w:rPr>
              <w:t xml:space="preserve"> </w:t>
            </w:r>
            <w:r w:rsidR="00AB4D14">
              <w:rPr>
                <w:rFonts w:eastAsia="Times New Roman"/>
                <w:sz w:val="18"/>
                <w:szCs w:val="18"/>
                <w:lang w:val="en-US" w:eastAsia="ja-JP" w:bidi="he-IL"/>
              </w:rPr>
              <w:t>and £1.1</w:t>
            </w:r>
            <w:r w:rsidRPr="00FA3150">
              <w:rPr>
                <w:rFonts w:eastAsia="Times New Roman"/>
                <w:sz w:val="18"/>
                <w:szCs w:val="18"/>
                <w:lang w:val="en-US" w:eastAsia="ja-JP" w:bidi="he-IL"/>
              </w:rPr>
              <w:t xml:space="preserve"> billion growth in term and notice deposits.</w:t>
            </w:r>
          </w:p>
        </w:tc>
      </w:tr>
      <w:tr w:rsidR="0064628A" w:rsidTr="00B719FE">
        <w:tc>
          <w:tcPr>
            <w:tcW w:w="246" w:type="dxa"/>
          </w:tcPr>
          <w:p w:rsidR="00F07BE6" w:rsidRPr="00083324" w:rsidRDefault="00FC1FDC" w:rsidP="005F64C9">
            <w:pPr>
              <w:pStyle w:val="Normal00"/>
              <w:spacing w:line="264" w:lineRule="auto"/>
              <w:ind w:right="-82"/>
              <w:jc w:val="both"/>
              <w:rPr>
                <w:rFonts w:eastAsia="SimSun"/>
                <w:color w:val="003366"/>
                <w:sz w:val="18"/>
                <w:szCs w:val="18"/>
                <w:lang w:eastAsia="ja-JP"/>
              </w:rPr>
            </w:pPr>
            <w:r w:rsidRPr="00083324">
              <w:rPr>
                <w:rFonts w:eastAsia="SimSun"/>
                <w:color w:val="003366"/>
                <w:sz w:val="18"/>
                <w:szCs w:val="18"/>
                <w:lang w:eastAsia="ja-JP"/>
              </w:rPr>
              <w:t>●</w:t>
            </w:r>
          </w:p>
        </w:tc>
        <w:tc>
          <w:tcPr>
            <w:tcW w:w="9960" w:type="dxa"/>
          </w:tcPr>
          <w:p w:rsidR="00F07BE6" w:rsidRPr="00087389" w:rsidRDefault="00FC1FDC" w:rsidP="00F07BE6">
            <w:pPr>
              <w:pStyle w:val="Normal30"/>
              <w:spacing w:line="259" w:lineRule="auto"/>
              <w:rPr>
                <w:rFonts w:eastAsia="Times New Roman"/>
                <w:sz w:val="18"/>
                <w:szCs w:val="18"/>
                <w:lang w:val="en-US" w:eastAsia="ja-JP" w:bidi="he-IL"/>
              </w:rPr>
            </w:pPr>
            <w:r w:rsidRPr="00087389">
              <w:rPr>
                <w:rFonts w:eastAsia="Times New Roman"/>
                <w:sz w:val="18"/>
                <w:szCs w:val="18"/>
                <w:lang w:val="en-US" w:eastAsia="ja-JP" w:bidi="he-IL"/>
              </w:rPr>
              <w:t xml:space="preserve">RWAs </w:t>
            </w:r>
            <w:r>
              <w:rPr>
                <w:rFonts w:eastAsia="Times New Roman"/>
                <w:sz w:val="18"/>
                <w:szCs w:val="18"/>
                <w:lang w:val="en-US" w:eastAsia="ja-JP" w:bidi="he-IL"/>
              </w:rPr>
              <w:t>decreased by £</w:t>
            </w:r>
            <w:r w:rsidRPr="00087389">
              <w:rPr>
                <w:rFonts w:eastAsia="Times New Roman"/>
                <w:sz w:val="18"/>
                <w:szCs w:val="18"/>
                <w:lang w:val="en-US" w:eastAsia="ja-JP" w:bidi="he-IL"/>
              </w:rPr>
              <w:t>0.</w:t>
            </w:r>
            <w:r>
              <w:rPr>
                <w:rFonts w:eastAsia="Times New Roman"/>
                <w:sz w:val="18"/>
                <w:szCs w:val="18"/>
                <w:lang w:val="en-US" w:eastAsia="ja-JP" w:bidi="he-IL"/>
              </w:rPr>
              <w:t xml:space="preserve">4 </w:t>
            </w:r>
            <w:r w:rsidRPr="00087389">
              <w:rPr>
                <w:rFonts w:eastAsia="Times New Roman"/>
                <w:sz w:val="18"/>
                <w:szCs w:val="18"/>
                <w:lang w:val="en-US" w:eastAsia="ja-JP" w:bidi="he-IL"/>
              </w:rPr>
              <w:t>b</w:t>
            </w:r>
            <w:r>
              <w:rPr>
                <w:rFonts w:eastAsia="Times New Roman"/>
                <w:sz w:val="18"/>
                <w:szCs w:val="18"/>
                <w:lang w:val="en-US" w:eastAsia="ja-JP" w:bidi="he-IL"/>
              </w:rPr>
              <w:t>illion as the impact of model updates was partially offset by increased lending and business transfers.</w:t>
            </w:r>
          </w:p>
        </w:tc>
      </w:tr>
      <w:tr w:rsidR="0064628A" w:rsidTr="00B719FE">
        <w:tc>
          <w:tcPr>
            <w:tcW w:w="10206" w:type="dxa"/>
            <w:gridSpan w:val="2"/>
          </w:tcPr>
          <w:p w:rsidR="00087389" w:rsidRDefault="00087389" w:rsidP="005F64C9">
            <w:pPr>
              <w:pStyle w:val="Normal00"/>
              <w:spacing w:line="264" w:lineRule="auto"/>
              <w:ind w:right="-82"/>
              <w:jc w:val="both"/>
              <w:rPr>
                <w:rFonts w:ascii="Arial" w:hAnsi="Arial" w:cs="Arial"/>
                <w:color w:val="003366"/>
                <w:sz w:val="18"/>
                <w:szCs w:val="18"/>
                <w:lang w:eastAsia="ja-JP"/>
              </w:rPr>
            </w:pPr>
          </w:p>
          <w:p w:rsidR="00087389" w:rsidRPr="00083324" w:rsidRDefault="00FC1FDC" w:rsidP="005B011C">
            <w:pPr>
              <w:pStyle w:val="Normal00"/>
              <w:spacing w:line="264" w:lineRule="auto"/>
              <w:ind w:right="-82"/>
              <w:jc w:val="both"/>
              <w:rPr>
                <w:rFonts w:ascii="Arial" w:hAnsi="Arial" w:cs="Arial"/>
                <w:color w:val="003366"/>
                <w:sz w:val="18"/>
                <w:szCs w:val="18"/>
                <w:lang w:eastAsia="ja-JP"/>
              </w:rPr>
            </w:pPr>
            <w:r w:rsidRPr="00083324">
              <w:rPr>
                <w:rFonts w:ascii="Arial" w:hAnsi="Arial" w:cs="Arial"/>
                <w:color w:val="003366"/>
                <w:sz w:val="18"/>
                <w:szCs w:val="18"/>
                <w:lang w:eastAsia="ja-JP"/>
              </w:rPr>
              <w:t>Q</w:t>
            </w:r>
            <w:r>
              <w:rPr>
                <w:rFonts w:ascii="Arial" w:hAnsi="Arial" w:cs="Arial"/>
                <w:color w:val="003366"/>
                <w:sz w:val="18"/>
                <w:szCs w:val="18"/>
                <w:lang w:eastAsia="ja-JP"/>
              </w:rPr>
              <w:t>4</w:t>
            </w:r>
            <w:r w:rsidRPr="00083324">
              <w:rPr>
                <w:rFonts w:ascii="Arial" w:hAnsi="Arial" w:cs="Arial"/>
                <w:color w:val="003366"/>
                <w:sz w:val="18"/>
                <w:szCs w:val="18"/>
                <w:lang w:eastAsia="ja-JP"/>
              </w:rPr>
              <w:t xml:space="preserve"> 201</w:t>
            </w:r>
            <w:r>
              <w:rPr>
                <w:rFonts w:ascii="Arial" w:hAnsi="Arial" w:cs="Arial"/>
                <w:color w:val="003366"/>
                <w:sz w:val="18"/>
                <w:szCs w:val="18"/>
                <w:lang w:eastAsia="ja-JP"/>
              </w:rPr>
              <w:t>9</w:t>
            </w:r>
            <w:r w:rsidRPr="00083324">
              <w:rPr>
                <w:rFonts w:ascii="Arial" w:hAnsi="Arial" w:cs="Arial"/>
                <w:color w:val="003366"/>
                <w:sz w:val="18"/>
                <w:szCs w:val="18"/>
                <w:lang w:eastAsia="ja-JP"/>
              </w:rPr>
              <w:t xml:space="preserve"> compared with Q</w:t>
            </w:r>
            <w:r>
              <w:rPr>
                <w:rFonts w:ascii="Arial" w:hAnsi="Arial" w:cs="Arial"/>
                <w:color w:val="003366"/>
                <w:sz w:val="18"/>
                <w:szCs w:val="18"/>
                <w:lang w:eastAsia="ja-JP"/>
              </w:rPr>
              <w:t>3</w:t>
            </w:r>
            <w:r w:rsidRPr="00083324">
              <w:rPr>
                <w:rFonts w:ascii="Arial" w:hAnsi="Arial" w:cs="Arial"/>
                <w:color w:val="003366"/>
                <w:sz w:val="18"/>
                <w:szCs w:val="18"/>
                <w:lang w:eastAsia="ja-JP"/>
              </w:rPr>
              <w:t xml:space="preserve"> </w:t>
            </w:r>
            <w:r>
              <w:rPr>
                <w:rFonts w:ascii="Arial" w:hAnsi="Arial" w:cs="Arial"/>
                <w:color w:val="003366"/>
                <w:sz w:val="18"/>
                <w:szCs w:val="18"/>
                <w:lang w:eastAsia="ja-JP"/>
              </w:rPr>
              <w:t>2019</w:t>
            </w:r>
          </w:p>
        </w:tc>
      </w:tr>
      <w:tr w:rsidR="0064628A" w:rsidTr="00B719FE">
        <w:tc>
          <w:tcPr>
            <w:tcW w:w="246" w:type="dxa"/>
          </w:tcPr>
          <w:p w:rsidR="00F07BE6" w:rsidRPr="00083324" w:rsidRDefault="00FC1FDC" w:rsidP="005F64C9">
            <w:pPr>
              <w:pStyle w:val="Normal00"/>
              <w:spacing w:line="264" w:lineRule="auto"/>
              <w:ind w:right="-82"/>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960" w:type="dxa"/>
          </w:tcPr>
          <w:p w:rsidR="00F07BE6" w:rsidRPr="003D04E0" w:rsidRDefault="00FC1FDC" w:rsidP="009E0322">
            <w:pPr>
              <w:rPr>
                <w:rFonts w:eastAsia="Times New Roman" w:cs="Arial"/>
                <w:sz w:val="18"/>
                <w:szCs w:val="18"/>
                <w:lang w:val="en-US" w:eastAsia="ja-JP" w:bidi="he-IL"/>
              </w:rPr>
            </w:pPr>
            <w:r w:rsidRPr="003D04E0">
              <w:rPr>
                <w:rFonts w:eastAsia="Times New Roman" w:cs="Arial"/>
                <w:sz w:val="18"/>
                <w:szCs w:val="18"/>
                <w:lang w:val="en-US" w:eastAsia="ja-JP" w:bidi="he-IL"/>
              </w:rPr>
              <w:t>Total income w</w:t>
            </w:r>
            <w:r w:rsidR="00420AC8">
              <w:rPr>
                <w:rFonts w:eastAsia="Times New Roman" w:cs="Arial"/>
                <w:sz w:val="18"/>
                <w:szCs w:val="18"/>
                <w:lang w:val="en-US" w:eastAsia="ja-JP" w:bidi="he-IL"/>
              </w:rPr>
              <w:t>as stable at £</w:t>
            </w:r>
            <w:r>
              <w:rPr>
                <w:rFonts w:eastAsia="Times New Roman" w:cs="Arial"/>
                <w:sz w:val="18"/>
                <w:szCs w:val="18"/>
                <w:lang w:val="en-US" w:eastAsia="ja-JP" w:bidi="he-IL"/>
              </w:rPr>
              <w:t>150 million as higher non utilisation fees were offset by lower deposit funding margins</w:t>
            </w:r>
            <w:r w:rsidRPr="003D04E0">
              <w:rPr>
                <w:rFonts w:eastAsia="Times New Roman" w:cs="Arial"/>
                <w:sz w:val="18"/>
                <w:szCs w:val="18"/>
                <w:lang w:val="en-US" w:eastAsia="ja-JP" w:bidi="he-IL"/>
              </w:rPr>
              <w:t xml:space="preserve">. Net </w:t>
            </w:r>
            <w:r>
              <w:rPr>
                <w:rFonts w:eastAsia="Times New Roman" w:cs="Arial"/>
                <w:sz w:val="18"/>
                <w:szCs w:val="18"/>
                <w:lang w:val="en-US" w:eastAsia="ja-JP" w:bidi="he-IL"/>
              </w:rPr>
              <w:t>interest margin decreased by 8</w:t>
            </w:r>
            <w:r w:rsidRPr="003D04E0">
              <w:rPr>
                <w:rFonts w:eastAsia="Times New Roman" w:cs="Arial"/>
                <w:sz w:val="18"/>
                <w:szCs w:val="18"/>
                <w:lang w:val="en-US" w:eastAsia="ja-JP" w:bidi="he-IL"/>
              </w:rPr>
              <w:t xml:space="preserve"> basis points compared with Q3 2019 </w:t>
            </w:r>
            <w:r>
              <w:rPr>
                <w:rFonts w:eastAsia="Times New Roman" w:cs="Arial"/>
                <w:sz w:val="18"/>
                <w:szCs w:val="18"/>
                <w:lang w:val="en-US" w:eastAsia="ja-JP" w:bidi="he-IL"/>
              </w:rPr>
              <w:t xml:space="preserve">primarily due </w:t>
            </w:r>
            <w:r w:rsidRPr="005323F1">
              <w:rPr>
                <w:rFonts w:eastAsia="Times New Roman" w:cs="Arial"/>
                <w:sz w:val="18"/>
                <w:szCs w:val="18"/>
                <w:lang w:val="en-US" w:eastAsia="ja-JP" w:bidi="he-IL"/>
              </w:rPr>
              <w:t>to lower interest rates in the US and Europe reducing deposit margins.</w:t>
            </w:r>
            <w:r w:rsidRPr="003D04E0">
              <w:rPr>
                <w:rFonts w:eastAsia="Times New Roman" w:cs="Arial"/>
                <w:sz w:val="18"/>
                <w:szCs w:val="18"/>
                <w:lang w:val="en-US" w:eastAsia="ja-JP" w:bidi="he-IL"/>
              </w:rPr>
              <w:t xml:space="preserve"> </w:t>
            </w:r>
          </w:p>
        </w:tc>
      </w:tr>
      <w:tr w:rsidR="0064628A" w:rsidTr="00B719FE">
        <w:tc>
          <w:tcPr>
            <w:tcW w:w="246" w:type="dxa"/>
          </w:tcPr>
          <w:p w:rsidR="00F07BE6" w:rsidRPr="00083324" w:rsidRDefault="00FC1FDC" w:rsidP="005F64C9">
            <w:pPr>
              <w:pStyle w:val="Normal00"/>
              <w:spacing w:line="264" w:lineRule="auto"/>
              <w:ind w:right="-82"/>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960" w:type="dxa"/>
          </w:tcPr>
          <w:p w:rsidR="00F07BE6" w:rsidRPr="003D04E0" w:rsidRDefault="00FC1FDC" w:rsidP="009C77F3">
            <w:pPr>
              <w:rPr>
                <w:rFonts w:eastAsia="Times New Roman" w:cs="Arial"/>
                <w:sz w:val="18"/>
                <w:szCs w:val="18"/>
                <w:lang w:val="en-US" w:eastAsia="ja-JP" w:bidi="he-IL"/>
              </w:rPr>
            </w:pPr>
            <w:r w:rsidRPr="003D04E0">
              <w:rPr>
                <w:rFonts w:eastAsia="Times New Roman" w:cs="Arial"/>
                <w:sz w:val="18"/>
                <w:szCs w:val="18"/>
                <w:lang w:val="en-US" w:eastAsia="ja-JP" w:bidi="he-IL"/>
              </w:rPr>
              <w:t>Excluding strategic, litigation and conduct costs, operating expenses in</w:t>
            </w:r>
            <w:r w:rsidR="00420AC8">
              <w:rPr>
                <w:rFonts w:eastAsia="Times New Roman" w:cs="Arial"/>
                <w:sz w:val="18"/>
                <w:szCs w:val="18"/>
                <w:lang w:val="en-US" w:eastAsia="ja-JP" w:bidi="he-IL"/>
              </w:rPr>
              <w:t xml:space="preserve">creased by £21 million, or </w:t>
            </w:r>
            <w:r>
              <w:rPr>
                <w:rFonts w:eastAsia="Times New Roman" w:cs="Arial"/>
                <w:sz w:val="18"/>
                <w:szCs w:val="18"/>
                <w:lang w:val="en-US" w:eastAsia="ja-JP" w:bidi="he-IL"/>
              </w:rPr>
              <w:t>36.8</w:t>
            </w:r>
            <w:r w:rsidR="00420AC8">
              <w:rPr>
                <w:rFonts w:eastAsia="Times New Roman" w:cs="Arial"/>
                <w:sz w:val="18"/>
                <w:szCs w:val="18"/>
                <w:lang w:val="en-US" w:eastAsia="ja-JP" w:bidi="he-IL"/>
              </w:rPr>
              <w:t xml:space="preserve">%, primarily due to </w:t>
            </w:r>
            <w:r>
              <w:rPr>
                <w:rFonts w:eastAsia="Times New Roman" w:cs="Arial"/>
                <w:sz w:val="18"/>
                <w:szCs w:val="18"/>
                <w:lang w:val="en-US" w:eastAsia="ja-JP" w:bidi="he-IL"/>
              </w:rPr>
              <w:t>the</w:t>
            </w:r>
            <w:r w:rsidRPr="003D04E0">
              <w:rPr>
                <w:rFonts w:eastAsia="Times New Roman" w:cs="Arial"/>
                <w:sz w:val="18"/>
                <w:szCs w:val="18"/>
                <w:lang w:val="en-US" w:eastAsia="ja-JP" w:bidi="he-IL"/>
              </w:rPr>
              <w:t xml:space="preserve"> </w:t>
            </w:r>
            <w:r>
              <w:rPr>
                <w:rFonts w:eastAsia="Times New Roman" w:cs="Arial"/>
                <w:sz w:val="18"/>
                <w:szCs w:val="18"/>
                <w:lang w:val="en-US" w:eastAsia="ja-JP" w:bidi="he-IL"/>
              </w:rPr>
              <w:t xml:space="preserve">bank levy charge and increased project costs </w:t>
            </w:r>
            <w:r w:rsidRPr="003D04E0">
              <w:rPr>
                <w:rFonts w:eastAsia="Times New Roman" w:cs="Arial"/>
                <w:sz w:val="18"/>
                <w:szCs w:val="18"/>
                <w:lang w:val="en-US" w:eastAsia="ja-JP" w:bidi="he-IL"/>
              </w:rPr>
              <w:t>relating to building the business’ digital proposition.</w:t>
            </w:r>
          </w:p>
        </w:tc>
      </w:tr>
      <w:tr w:rsidR="0064628A" w:rsidTr="00B719FE">
        <w:tc>
          <w:tcPr>
            <w:tcW w:w="246" w:type="dxa"/>
          </w:tcPr>
          <w:p w:rsidR="00F07BE6" w:rsidRPr="00083324" w:rsidRDefault="00FC1FDC" w:rsidP="005F64C9">
            <w:pPr>
              <w:pStyle w:val="Normal00"/>
              <w:spacing w:line="264" w:lineRule="auto"/>
              <w:ind w:right="-82"/>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960" w:type="dxa"/>
          </w:tcPr>
          <w:p w:rsidR="00F07BE6" w:rsidRPr="003D04E0" w:rsidRDefault="00FC1FDC" w:rsidP="00F07BE6">
            <w:pPr>
              <w:rPr>
                <w:rFonts w:eastAsia="Times New Roman" w:cs="Arial"/>
                <w:sz w:val="18"/>
                <w:szCs w:val="18"/>
                <w:lang w:val="en-US" w:eastAsia="ja-JP" w:bidi="he-IL"/>
              </w:rPr>
            </w:pPr>
            <w:r w:rsidRPr="003D04E0">
              <w:rPr>
                <w:rFonts w:eastAsia="Times New Roman" w:cs="Arial"/>
                <w:sz w:val="18"/>
                <w:szCs w:val="18"/>
                <w:lang w:val="en-US" w:eastAsia="ja-JP" w:bidi="he-IL"/>
              </w:rPr>
              <w:t>Net loans to customers increased</w:t>
            </w:r>
            <w:r>
              <w:rPr>
                <w:rFonts w:eastAsia="Times New Roman" w:cs="Arial"/>
                <w:sz w:val="18"/>
                <w:szCs w:val="18"/>
                <w:lang w:val="en-US" w:eastAsia="ja-JP" w:bidi="he-IL"/>
              </w:rPr>
              <w:t xml:space="preserve"> by</w:t>
            </w:r>
            <w:r w:rsidR="00420AC8">
              <w:rPr>
                <w:rFonts w:eastAsia="Times New Roman" w:cs="Arial"/>
                <w:sz w:val="18"/>
                <w:szCs w:val="18"/>
                <w:lang w:val="en-US" w:eastAsia="ja-JP" w:bidi="he-IL"/>
              </w:rPr>
              <w:t xml:space="preserve"> £0.3</w:t>
            </w:r>
            <w:r w:rsidRPr="003D04E0">
              <w:rPr>
                <w:rFonts w:eastAsia="Times New Roman" w:cs="Arial"/>
                <w:sz w:val="18"/>
                <w:szCs w:val="18"/>
                <w:lang w:val="en-US" w:eastAsia="ja-JP" w:bidi="he-IL"/>
              </w:rPr>
              <w:t xml:space="preserve"> billion </w:t>
            </w:r>
            <w:r>
              <w:rPr>
                <w:rFonts w:eastAsia="Times New Roman"/>
                <w:sz w:val="18"/>
                <w:szCs w:val="18"/>
                <w:lang w:val="en-US" w:eastAsia="ja-JP" w:bidi="he-IL"/>
              </w:rPr>
              <w:t>reflecting</w:t>
            </w:r>
            <w:r w:rsidR="00420AC8">
              <w:rPr>
                <w:rFonts w:eastAsia="Times New Roman"/>
                <w:sz w:val="18"/>
                <w:szCs w:val="18"/>
                <w:lang w:val="en-US" w:eastAsia="ja-JP" w:bidi="he-IL"/>
              </w:rPr>
              <w:t xml:space="preserve"> a Funds business transfer of £0.5</w:t>
            </w:r>
            <w:r>
              <w:rPr>
                <w:rFonts w:eastAsia="Times New Roman"/>
                <w:sz w:val="18"/>
                <w:szCs w:val="18"/>
                <w:lang w:val="en-US" w:eastAsia="ja-JP" w:bidi="he-IL"/>
              </w:rPr>
              <w:t xml:space="preserve"> billion from NatWest Markets, partially offset by </w:t>
            </w:r>
            <w:r w:rsidRPr="00FA3150">
              <w:rPr>
                <w:rFonts w:eastAsia="Times New Roman" w:cs="Arial"/>
                <w:sz w:val="18"/>
                <w:szCs w:val="18"/>
                <w:lang w:val="en-US" w:eastAsia="ja-JP" w:bidi="he-IL"/>
              </w:rPr>
              <w:t>short term customer activity</w:t>
            </w:r>
            <w:r>
              <w:rPr>
                <w:rFonts w:eastAsia="Times New Roman" w:cs="Arial"/>
                <w:sz w:val="18"/>
                <w:szCs w:val="18"/>
                <w:lang w:val="en-US" w:eastAsia="ja-JP" w:bidi="he-IL"/>
              </w:rPr>
              <w:t xml:space="preserve"> </w:t>
            </w:r>
            <w:r w:rsidRPr="003D04E0">
              <w:rPr>
                <w:rFonts w:eastAsia="Times New Roman" w:cs="Arial"/>
                <w:sz w:val="18"/>
                <w:szCs w:val="18"/>
                <w:lang w:val="en-US" w:eastAsia="ja-JP" w:bidi="he-IL"/>
              </w:rPr>
              <w:t xml:space="preserve">in the Funds Sector. </w:t>
            </w:r>
          </w:p>
        </w:tc>
      </w:tr>
      <w:tr w:rsidR="0064628A" w:rsidTr="00B719FE">
        <w:tc>
          <w:tcPr>
            <w:tcW w:w="246" w:type="dxa"/>
          </w:tcPr>
          <w:p w:rsidR="00F07BE6" w:rsidRPr="00083324" w:rsidRDefault="00FC1FDC" w:rsidP="005F64C9">
            <w:pPr>
              <w:pStyle w:val="Normal00"/>
              <w:spacing w:line="264" w:lineRule="auto"/>
              <w:ind w:right="-82"/>
              <w:jc w:val="both"/>
              <w:rPr>
                <w:rFonts w:eastAsia="SimSun"/>
                <w:color w:val="003366"/>
                <w:sz w:val="18"/>
                <w:szCs w:val="18"/>
                <w:lang w:eastAsia="ja-JP"/>
              </w:rPr>
            </w:pPr>
            <w:r w:rsidRPr="00083324">
              <w:rPr>
                <w:rFonts w:eastAsia="SimSun"/>
                <w:color w:val="003366"/>
                <w:sz w:val="18"/>
                <w:szCs w:val="18"/>
                <w:lang w:eastAsia="ja-JP"/>
              </w:rPr>
              <w:t>●</w:t>
            </w:r>
          </w:p>
        </w:tc>
        <w:tc>
          <w:tcPr>
            <w:tcW w:w="9960" w:type="dxa"/>
          </w:tcPr>
          <w:p w:rsidR="00F07BE6" w:rsidRPr="003D04E0" w:rsidRDefault="00FC1FDC" w:rsidP="00F07BE6">
            <w:pPr>
              <w:rPr>
                <w:rFonts w:eastAsia="Times New Roman" w:cs="Arial"/>
                <w:sz w:val="18"/>
                <w:szCs w:val="18"/>
                <w:lang w:val="en-US" w:eastAsia="ja-JP" w:bidi="he-IL"/>
              </w:rPr>
            </w:pPr>
            <w:r w:rsidRPr="003D04E0">
              <w:rPr>
                <w:rFonts w:eastAsia="Times New Roman" w:cs="Arial"/>
                <w:sz w:val="18"/>
                <w:szCs w:val="18"/>
                <w:lang w:val="en-US" w:eastAsia="ja-JP" w:bidi="he-IL"/>
              </w:rPr>
              <w:t>Customer deposits increased</w:t>
            </w:r>
            <w:r w:rsidR="00420AC8">
              <w:rPr>
                <w:rFonts w:eastAsia="Times New Roman" w:cs="Arial"/>
                <w:sz w:val="18"/>
                <w:szCs w:val="18"/>
                <w:lang w:val="en-US" w:eastAsia="ja-JP" w:bidi="he-IL"/>
              </w:rPr>
              <w:t xml:space="preserve"> by £</w:t>
            </w:r>
            <w:r>
              <w:rPr>
                <w:rFonts w:eastAsia="Times New Roman" w:cs="Arial"/>
                <w:sz w:val="18"/>
                <w:szCs w:val="18"/>
                <w:lang w:val="en-US" w:eastAsia="ja-JP" w:bidi="he-IL"/>
              </w:rPr>
              <w:t>1.0</w:t>
            </w:r>
            <w:r w:rsidRPr="003D04E0">
              <w:rPr>
                <w:rFonts w:eastAsia="Times New Roman" w:cs="Arial"/>
                <w:sz w:val="18"/>
                <w:szCs w:val="18"/>
                <w:lang w:val="en-US" w:eastAsia="ja-JP" w:bidi="he-IL"/>
              </w:rPr>
              <w:t xml:space="preserve"> billion </w:t>
            </w:r>
            <w:r>
              <w:rPr>
                <w:rFonts w:eastAsia="Times New Roman" w:cs="Arial"/>
                <w:sz w:val="18"/>
                <w:szCs w:val="18"/>
                <w:lang w:val="en-US" w:eastAsia="ja-JP" w:bidi="he-IL"/>
              </w:rPr>
              <w:t xml:space="preserve">primarily </w:t>
            </w:r>
            <w:r w:rsidRPr="003D04E0">
              <w:rPr>
                <w:rFonts w:eastAsia="Times New Roman" w:cs="Arial"/>
                <w:sz w:val="18"/>
                <w:szCs w:val="18"/>
                <w:lang w:val="en-US" w:eastAsia="ja-JP" w:bidi="he-IL"/>
              </w:rPr>
              <w:t xml:space="preserve">due to activity in the Funds Sector. </w:t>
            </w:r>
          </w:p>
        </w:tc>
      </w:tr>
      <w:tr w:rsidR="0064628A" w:rsidTr="00B719FE">
        <w:tc>
          <w:tcPr>
            <w:tcW w:w="10206" w:type="dxa"/>
            <w:gridSpan w:val="2"/>
          </w:tcPr>
          <w:p w:rsidR="00087389" w:rsidRDefault="00087389" w:rsidP="005F64C9">
            <w:pPr>
              <w:pStyle w:val="Normal00"/>
              <w:spacing w:line="264" w:lineRule="auto"/>
              <w:ind w:right="-82"/>
              <w:jc w:val="both"/>
              <w:rPr>
                <w:rFonts w:ascii="Arial" w:hAnsi="Arial" w:cs="Arial"/>
                <w:color w:val="003366"/>
                <w:sz w:val="18"/>
                <w:szCs w:val="18"/>
                <w:lang w:eastAsia="ja-JP"/>
              </w:rPr>
            </w:pPr>
          </w:p>
          <w:p w:rsidR="00087389" w:rsidRPr="00083324" w:rsidRDefault="00FC1FDC" w:rsidP="005B011C">
            <w:pPr>
              <w:pStyle w:val="Normal00"/>
              <w:spacing w:line="264" w:lineRule="auto"/>
              <w:ind w:right="-82"/>
              <w:jc w:val="both"/>
              <w:rPr>
                <w:rFonts w:ascii="Arial" w:hAnsi="Arial" w:cs="Arial"/>
                <w:color w:val="003366"/>
                <w:sz w:val="18"/>
                <w:szCs w:val="18"/>
                <w:lang w:eastAsia="ja-JP"/>
              </w:rPr>
            </w:pPr>
            <w:r w:rsidRPr="00083324">
              <w:rPr>
                <w:rFonts w:ascii="Arial" w:hAnsi="Arial" w:cs="Arial"/>
                <w:color w:val="003366"/>
                <w:sz w:val="18"/>
                <w:szCs w:val="18"/>
                <w:lang w:eastAsia="ja-JP"/>
              </w:rPr>
              <w:t>Q</w:t>
            </w:r>
            <w:r>
              <w:rPr>
                <w:rFonts w:ascii="Arial" w:hAnsi="Arial" w:cs="Arial"/>
                <w:color w:val="003366"/>
                <w:sz w:val="18"/>
                <w:szCs w:val="18"/>
                <w:lang w:eastAsia="ja-JP"/>
              </w:rPr>
              <w:t>4</w:t>
            </w:r>
            <w:r w:rsidRPr="00083324">
              <w:rPr>
                <w:rFonts w:ascii="Arial" w:hAnsi="Arial" w:cs="Arial"/>
                <w:color w:val="003366"/>
                <w:sz w:val="18"/>
                <w:szCs w:val="18"/>
                <w:lang w:eastAsia="ja-JP"/>
              </w:rPr>
              <w:t xml:space="preserve"> 201</w:t>
            </w:r>
            <w:r>
              <w:rPr>
                <w:rFonts w:ascii="Arial" w:hAnsi="Arial" w:cs="Arial"/>
                <w:color w:val="003366"/>
                <w:sz w:val="18"/>
                <w:szCs w:val="18"/>
                <w:lang w:eastAsia="ja-JP"/>
              </w:rPr>
              <w:t>9</w:t>
            </w:r>
            <w:r w:rsidRPr="00083324">
              <w:rPr>
                <w:rFonts w:ascii="Arial" w:hAnsi="Arial" w:cs="Arial"/>
                <w:color w:val="003366"/>
                <w:sz w:val="18"/>
                <w:szCs w:val="18"/>
                <w:lang w:eastAsia="ja-JP"/>
              </w:rPr>
              <w:t xml:space="preserve"> compared with Q</w:t>
            </w:r>
            <w:r>
              <w:rPr>
                <w:rFonts w:ascii="Arial" w:hAnsi="Arial" w:cs="Arial"/>
                <w:color w:val="003366"/>
                <w:sz w:val="18"/>
                <w:szCs w:val="18"/>
                <w:lang w:eastAsia="ja-JP"/>
              </w:rPr>
              <w:t>4</w:t>
            </w:r>
            <w:r w:rsidRPr="00083324">
              <w:rPr>
                <w:rFonts w:ascii="Arial" w:hAnsi="Arial" w:cs="Arial"/>
                <w:color w:val="003366"/>
                <w:sz w:val="18"/>
                <w:szCs w:val="18"/>
                <w:lang w:eastAsia="ja-JP"/>
              </w:rPr>
              <w:t xml:space="preserve"> 201</w:t>
            </w:r>
            <w:r>
              <w:rPr>
                <w:rFonts w:ascii="Arial" w:hAnsi="Arial" w:cs="Arial"/>
                <w:color w:val="003366"/>
                <w:sz w:val="18"/>
                <w:szCs w:val="18"/>
                <w:lang w:eastAsia="ja-JP"/>
              </w:rPr>
              <w:t>8</w:t>
            </w:r>
            <w:r w:rsidRPr="00083324">
              <w:rPr>
                <w:rFonts w:ascii="Arial" w:hAnsi="Arial" w:cs="Arial"/>
                <w:color w:val="003366"/>
                <w:sz w:val="18"/>
                <w:szCs w:val="18"/>
                <w:lang w:eastAsia="ja-JP"/>
              </w:rPr>
              <w:t xml:space="preserve"> </w:t>
            </w:r>
          </w:p>
        </w:tc>
      </w:tr>
      <w:tr w:rsidR="0064628A" w:rsidTr="00B719FE">
        <w:tc>
          <w:tcPr>
            <w:tcW w:w="246" w:type="dxa"/>
          </w:tcPr>
          <w:p w:rsidR="00F07BE6" w:rsidRPr="00083324" w:rsidRDefault="00FC1FDC" w:rsidP="005F64C9">
            <w:pPr>
              <w:pStyle w:val="Normal00"/>
              <w:spacing w:line="264" w:lineRule="auto"/>
              <w:ind w:right="-82"/>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960" w:type="dxa"/>
          </w:tcPr>
          <w:p w:rsidR="00F07BE6" w:rsidRPr="00087389" w:rsidRDefault="00FC1FDC" w:rsidP="00F07BE6">
            <w:pPr>
              <w:pStyle w:val="Normal30"/>
              <w:spacing w:line="259" w:lineRule="auto"/>
              <w:rPr>
                <w:rFonts w:eastAsia="Times New Roman"/>
                <w:sz w:val="18"/>
                <w:szCs w:val="18"/>
                <w:lang w:val="en-US" w:eastAsia="ja-JP" w:bidi="he-IL"/>
              </w:rPr>
            </w:pPr>
            <w:r w:rsidRPr="00087389">
              <w:rPr>
                <w:rFonts w:eastAsia="Times New Roman"/>
                <w:sz w:val="18"/>
                <w:szCs w:val="18"/>
                <w:lang w:val="en-US" w:eastAsia="ja-JP" w:bidi="he-IL"/>
              </w:rPr>
              <w:t xml:space="preserve">Total income </w:t>
            </w:r>
            <w:r>
              <w:rPr>
                <w:rFonts w:eastAsia="Times New Roman"/>
                <w:sz w:val="18"/>
                <w:szCs w:val="18"/>
                <w:lang w:val="en-US" w:eastAsia="ja-JP" w:bidi="he-IL"/>
              </w:rPr>
              <w:t xml:space="preserve">decreased by </w:t>
            </w:r>
            <w:r w:rsidR="00420AC8">
              <w:rPr>
                <w:rFonts w:eastAsia="Times New Roman"/>
                <w:sz w:val="18"/>
                <w:szCs w:val="18"/>
                <w:lang w:val="en-US" w:eastAsia="ja-JP" w:bidi="he-IL"/>
              </w:rPr>
              <w:t>£</w:t>
            </w:r>
            <w:r>
              <w:rPr>
                <w:rFonts w:eastAsia="Times New Roman"/>
                <w:sz w:val="18"/>
                <w:szCs w:val="18"/>
                <w:lang w:val="en-US" w:eastAsia="ja-JP" w:bidi="he-IL"/>
              </w:rPr>
              <w:t>5</w:t>
            </w:r>
            <w:r w:rsidR="00420AC8">
              <w:rPr>
                <w:rFonts w:eastAsia="Times New Roman"/>
                <w:sz w:val="18"/>
                <w:szCs w:val="18"/>
                <w:lang w:val="en-US" w:eastAsia="ja-JP" w:bidi="he-IL"/>
              </w:rPr>
              <w:t xml:space="preserve"> million, or </w:t>
            </w:r>
            <w:r>
              <w:rPr>
                <w:rFonts w:eastAsia="Times New Roman"/>
                <w:sz w:val="18"/>
                <w:szCs w:val="18"/>
                <w:lang w:val="en-US" w:eastAsia="ja-JP" w:bidi="he-IL"/>
              </w:rPr>
              <w:t>3.2</w:t>
            </w:r>
            <w:r w:rsidRPr="00087389">
              <w:rPr>
                <w:rFonts w:eastAsia="Times New Roman"/>
                <w:sz w:val="18"/>
                <w:szCs w:val="18"/>
                <w:lang w:val="en-US" w:eastAsia="ja-JP" w:bidi="he-IL"/>
              </w:rPr>
              <w:t>%, reflecting</w:t>
            </w:r>
            <w:r>
              <w:rPr>
                <w:rFonts w:eastAsia="Times New Roman"/>
                <w:sz w:val="18"/>
                <w:szCs w:val="18"/>
                <w:lang w:val="en-US" w:eastAsia="ja-JP" w:bidi="he-IL"/>
              </w:rPr>
              <w:t xml:space="preserve"> margin compression as a result of US and European Central Bank rate reductions.</w:t>
            </w:r>
            <w:r w:rsidRPr="00087389">
              <w:rPr>
                <w:rFonts w:eastAsia="Times New Roman"/>
                <w:sz w:val="18"/>
                <w:szCs w:val="18"/>
                <w:lang w:val="en-US" w:eastAsia="ja-JP" w:bidi="he-IL"/>
              </w:rPr>
              <w:t xml:space="preserve"> </w:t>
            </w:r>
          </w:p>
        </w:tc>
      </w:tr>
      <w:tr w:rsidR="0064628A" w:rsidTr="00B719FE">
        <w:tc>
          <w:tcPr>
            <w:tcW w:w="246" w:type="dxa"/>
          </w:tcPr>
          <w:p w:rsidR="00F07BE6" w:rsidRPr="00083324" w:rsidRDefault="00FC1FDC" w:rsidP="005F64C9">
            <w:pPr>
              <w:pStyle w:val="Normal00"/>
              <w:spacing w:line="264" w:lineRule="auto"/>
              <w:ind w:right="-82"/>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9960" w:type="dxa"/>
          </w:tcPr>
          <w:p w:rsidR="00F07BE6" w:rsidRPr="00087389" w:rsidRDefault="00FC1FDC" w:rsidP="00577CE7">
            <w:pPr>
              <w:pStyle w:val="Normal30"/>
              <w:spacing w:line="259" w:lineRule="auto"/>
              <w:rPr>
                <w:rFonts w:eastAsia="Times New Roman"/>
                <w:sz w:val="18"/>
                <w:szCs w:val="18"/>
                <w:lang w:val="en-US" w:eastAsia="ja-JP" w:bidi="he-IL"/>
              </w:rPr>
            </w:pPr>
            <w:r w:rsidRPr="00087389">
              <w:rPr>
                <w:rFonts w:eastAsia="Times New Roman"/>
                <w:sz w:val="18"/>
                <w:szCs w:val="18"/>
                <w:lang w:val="en-US" w:eastAsia="ja-JP" w:bidi="he-IL"/>
              </w:rPr>
              <w:t>Excluding strategic, litigation and conduct c</w:t>
            </w:r>
            <w:r>
              <w:rPr>
                <w:rFonts w:eastAsia="Times New Roman"/>
                <w:sz w:val="18"/>
                <w:szCs w:val="18"/>
                <w:lang w:val="en-US" w:eastAsia="ja-JP" w:bidi="he-IL"/>
              </w:rPr>
              <w:t>osts, o</w:t>
            </w:r>
            <w:r w:rsidR="00420AC8">
              <w:rPr>
                <w:rFonts w:eastAsia="Times New Roman"/>
                <w:sz w:val="18"/>
                <w:szCs w:val="18"/>
                <w:lang w:val="en-US" w:eastAsia="ja-JP" w:bidi="he-IL"/>
              </w:rPr>
              <w:t>perating expenses decreased £</w:t>
            </w:r>
            <w:r>
              <w:rPr>
                <w:rFonts w:eastAsia="Times New Roman"/>
                <w:sz w:val="18"/>
                <w:szCs w:val="18"/>
                <w:lang w:val="en-US" w:eastAsia="ja-JP" w:bidi="he-IL"/>
              </w:rPr>
              <w:t>4</w:t>
            </w:r>
            <w:r w:rsidR="00420AC8">
              <w:rPr>
                <w:rFonts w:eastAsia="Times New Roman"/>
                <w:sz w:val="18"/>
                <w:szCs w:val="18"/>
                <w:lang w:val="en-US" w:eastAsia="ja-JP" w:bidi="he-IL"/>
              </w:rPr>
              <w:t xml:space="preserve"> million, or </w:t>
            </w:r>
            <w:r>
              <w:rPr>
                <w:rFonts w:eastAsia="Times New Roman"/>
                <w:sz w:val="18"/>
                <w:szCs w:val="18"/>
                <w:lang w:val="en-US" w:eastAsia="ja-JP" w:bidi="he-IL"/>
              </w:rPr>
              <w:t>4.9</w:t>
            </w:r>
            <w:r w:rsidR="00420AC8">
              <w:rPr>
                <w:rFonts w:eastAsia="Times New Roman"/>
                <w:sz w:val="18"/>
                <w:szCs w:val="18"/>
                <w:lang w:val="en-US" w:eastAsia="ja-JP" w:bidi="he-IL"/>
              </w:rPr>
              <w:t>%</w:t>
            </w:r>
            <w:r w:rsidRPr="00087389">
              <w:rPr>
                <w:rFonts w:eastAsia="Times New Roman"/>
                <w:sz w:val="18"/>
                <w:szCs w:val="18"/>
                <w:lang w:val="en-US" w:eastAsia="ja-JP" w:bidi="he-IL"/>
              </w:rPr>
              <w:t xml:space="preserve">, </w:t>
            </w:r>
            <w:r>
              <w:rPr>
                <w:rFonts w:eastAsia="Times New Roman"/>
                <w:sz w:val="18"/>
                <w:szCs w:val="18"/>
                <w:lang w:val="en-US" w:eastAsia="ja-JP" w:bidi="he-IL"/>
              </w:rPr>
              <w:t xml:space="preserve">primarily </w:t>
            </w:r>
            <w:r w:rsidRPr="00087389">
              <w:rPr>
                <w:rFonts w:eastAsia="Times New Roman"/>
                <w:sz w:val="18"/>
                <w:szCs w:val="18"/>
                <w:lang w:val="en-US" w:eastAsia="ja-JP" w:bidi="he-IL"/>
              </w:rPr>
              <w:t xml:space="preserve">due to </w:t>
            </w:r>
            <w:r>
              <w:rPr>
                <w:rFonts w:eastAsia="Times New Roman"/>
                <w:sz w:val="18"/>
                <w:szCs w:val="18"/>
                <w:lang w:val="en-US" w:eastAsia="ja-JP" w:bidi="he-IL"/>
              </w:rPr>
              <w:t>lower</w:t>
            </w:r>
            <w:r w:rsidRPr="00087389">
              <w:rPr>
                <w:rFonts w:eastAsia="Times New Roman"/>
                <w:sz w:val="18"/>
                <w:szCs w:val="18"/>
                <w:lang w:val="en-US" w:eastAsia="ja-JP" w:bidi="he-IL"/>
              </w:rPr>
              <w:t xml:space="preserve"> back office</w:t>
            </w:r>
            <w:r>
              <w:rPr>
                <w:rFonts w:eastAsia="Times New Roman"/>
                <w:sz w:val="18"/>
                <w:szCs w:val="18"/>
                <w:lang w:val="en-US" w:eastAsia="ja-JP" w:bidi="he-IL"/>
              </w:rPr>
              <w:t xml:space="preserve"> operations</w:t>
            </w:r>
            <w:r w:rsidRPr="00087389">
              <w:rPr>
                <w:rFonts w:eastAsia="Times New Roman"/>
                <w:sz w:val="18"/>
                <w:szCs w:val="18"/>
                <w:lang w:val="en-US" w:eastAsia="ja-JP" w:bidi="he-IL"/>
              </w:rPr>
              <w:t xml:space="preserve"> costs. </w:t>
            </w:r>
          </w:p>
        </w:tc>
      </w:tr>
    </w:tbl>
    <w:p w:rsidR="004F5E62" w:rsidRPr="00285A01" w:rsidRDefault="004F5E62" w:rsidP="004F5E62">
      <w:pPr>
        <w:pStyle w:val="Normal00"/>
        <w:spacing w:line="264" w:lineRule="auto"/>
        <w:ind w:right="-82"/>
        <w:jc w:val="both"/>
        <w:rPr>
          <w:rFonts w:ascii="Arial" w:eastAsia="SimSun" w:hAnsi="Arial" w:cs="Arial"/>
          <w:noProof/>
          <w:sz w:val="14"/>
          <w:szCs w:val="14"/>
        </w:rPr>
      </w:pPr>
    </w:p>
    <w:p w:rsidR="004F5E62" w:rsidRPr="00285A01" w:rsidRDefault="00FC1FDC" w:rsidP="004F5E62">
      <w:pPr>
        <w:pStyle w:val="Normal00"/>
        <w:spacing w:line="264" w:lineRule="auto"/>
        <w:jc w:val="both"/>
        <w:rPr>
          <w:rFonts w:ascii="Arial" w:hAnsi="Arial" w:cs="Arial"/>
          <w:b/>
          <w:color w:val="0A2F64"/>
          <w:sz w:val="18"/>
          <w:szCs w:val="18"/>
          <w:lang w:eastAsia="ja-JP"/>
        </w:rPr>
      </w:pPr>
      <w:r w:rsidRPr="00285A01">
        <w:rPr>
          <w:rFonts w:ascii="Arial" w:eastAsia="SimSun" w:hAnsi="Arial" w:cs="Arial"/>
          <w:noProof/>
        </w:rPr>
        <w:br w:type="page"/>
      </w:r>
      <w:r w:rsidRPr="00285A01">
        <w:rPr>
          <w:rFonts w:ascii="Arial" w:hAnsi="Arial" w:cs="Arial"/>
          <w:b/>
          <w:color w:val="0A2F64"/>
          <w:sz w:val="18"/>
          <w:szCs w:val="18"/>
          <w:lang w:eastAsia="ja-JP"/>
        </w:rPr>
        <w:lastRenderedPageBreak/>
        <w:t>Business performance summary</w:t>
      </w:r>
    </w:p>
    <w:p w:rsidR="004F5E62" w:rsidRPr="00A16788" w:rsidRDefault="00FC1FDC" w:rsidP="004F5E62">
      <w:pPr>
        <w:pStyle w:val="Normal00"/>
        <w:spacing w:line="288" w:lineRule="auto"/>
        <w:ind w:right="-82"/>
        <w:jc w:val="both"/>
        <w:rPr>
          <w:rFonts w:ascii="Arial" w:eastAsia="SimSun" w:hAnsi="Arial" w:cs="Arial"/>
          <w:b/>
          <w:noProof/>
        </w:rPr>
      </w:pPr>
      <w:r w:rsidRPr="00A16788">
        <w:rPr>
          <w:rFonts w:ascii="Arial" w:hAnsi="Arial" w:cs="Arial"/>
          <w:b/>
          <w:color w:val="0A2F64"/>
          <w:sz w:val="18"/>
          <w:szCs w:val="18"/>
          <w:lang w:eastAsia="ja-JP"/>
        </w:rPr>
        <w:t>NatWest Markets</w:t>
      </w:r>
      <w:r w:rsidRPr="00A16788">
        <w:rPr>
          <w:rFonts w:ascii="Arial" w:hAnsi="Arial" w:cs="Arial"/>
          <w:b/>
          <w:color w:val="0A2F64"/>
          <w:sz w:val="14"/>
          <w:szCs w:val="14"/>
          <w:lang w:eastAsia="ja-JP"/>
        </w:rPr>
        <w:t>(1)</w:t>
      </w:r>
    </w:p>
    <w:sdt>
      <w:sdtPr>
        <w:tag w:val="&lt;ReportPackage&gt;&lt;EmbeddedContent id=&quot;7f8d6190-5b6f-4d17-a8b0-984a8e572ea4&quot; lastModified=&quot;1581639490587&quot;/&gt;&lt;/ReportPackage&gt;"/>
        <w:id w:val="880206762"/>
        <w:lock w:val="contentLocked"/>
        <w:placeholder>
          <w:docPart w:val="85F1286AEB854868BFF543EEBF16590E"/>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4475"/>
            <w:gridCol w:w="1109"/>
            <w:gridCol w:w="1109"/>
            <w:gridCol w:w="60"/>
            <w:gridCol w:w="1109"/>
            <w:gridCol w:w="1109"/>
            <w:gridCol w:w="1109"/>
          </w:tblGrid>
          <w:tr w:rsidR="0064628A">
            <w:trPr>
              <w:trHeight w:val="210"/>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2220" w:type="dxa"/>
                <w:gridSpan w:val="2"/>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Year ended and as at</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3330" w:type="dxa"/>
                <w:gridSpan w:val="3"/>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Quarter ended and as at</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30 September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4485"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income</w:t>
                </w: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1,342</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1,442</w:t>
                </w:r>
              </w:p>
            </w:tc>
            <w:tc>
              <w:tcPr>
                <w:tcW w:w="6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250</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152</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i/>
                    <w:iCs/>
                    <w:color w:val="000000"/>
                    <w:szCs w:val="16"/>
                  </w:rPr>
                </w:pPr>
                <w:r>
                  <w:rPr>
                    <w:rFonts w:eastAsia="Arial" w:cs="Arial"/>
                    <w:i/>
                    <w:iCs/>
                    <w:color w:val="000000"/>
                    <w:szCs w:val="16"/>
                  </w:rPr>
                  <w:t>Of which: Core income excluding own credit adjustments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1,082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1,259</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200</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i/>
                    <w:iCs/>
                    <w:color w:val="000000"/>
                    <w:szCs w:val="16"/>
                  </w:rPr>
                </w:pPr>
                <w:r>
                  <w:rPr>
                    <w:rFonts w:eastAsia="Arial" w:cs="Arial"/>
                    <w:i/>
                    <w:iCs/>
                    <w:color w:val="000000"/>
                    <w:szCs w:val="16"/>
                  </w:rPr>
                  <w:t>Of which: Legacy income</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340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(81)</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i/>
                    <w:iCs/>
                    <w:color w:val="000000"/>
                    <w:szCs w:val="16"/>
                  </w:rPr>
                </w:pPr>
                <w:r>
                  <w:rPr>
                    <w:rFonts w:eastAsia="Arial" w:cs="Arial"/>
                    <w:i/>
                    <w:iCs/>
                    <w:color w:val="000000"/>
                    <w:szCs w:val="16"/>
                  </w:rPr>
                  <w:t>Of which: Own credit adjustments (OCA)</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expenses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(1,418)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(1,604)</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(392)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(455)</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releases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100</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loss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(70)</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(203)</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Return on equity</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(9.2%)</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Cost:income ratio</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105.7%</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111.2%</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156.8%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232.0%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299.3%</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£bn</w:t>
                </w:r>
              </w:p>
            </w:tc>
          </w:tr>
          <w:tr w:rsidR="0064628A">
            <w:trPr>
              <w:trHeight w:val="195"/>
            </w:trPr>
            <w:tc>
              <w:tcPr>
                <w:tcW w:w="4485"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Funded assets</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116.2</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142.7</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111.4</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RWAs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37.9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43.8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44.9</w:t>
                </w:r>
              </w:p>
            </w:tc>
          </w:tr>
        </w:tbl>
      </w:sdtContent>
    </w:sdt>
    <w:p w:rsidR="00EB3C2A" w:rsidRDefault="00EB3C2A" w:rsidP="004F5E62">
      <w:pPr>
        <w:pStyle w:val="Normal00"/>
        <w:jc w:val="both"/>
        <w:rPr>
          <w:rFonts w:ascii="Arial" w:hAnsi="Arial" w:cs="Arial"/>
          <w:sz w:val="14"/>
          <w:szCs w:val="14"/>
        </w:rPr>
      </w:pPr>
    </w:p>
    <w:p w:rsidR="004F5E62" w:rsidRPr="009D0EB1" w:rsidRDefault="00FC1FDC" w:rsidP="004F5E62">
      <w:pPr>
        <w:pStyle w:val="Normal00"/>
        <w:jc w:val="both"/>
        <w:rPr>
          <w:rFonts w:ascii="Arial" w:hAnsi="Arial" w:cs="Arial"/>
          <w:sz w:val="14"/>
          <w:szCs w:val="14"/>
        </w:rPr>
      </w:pPr>
      <w:r w:rsidRPr="009D0EB1">
        <w:rPr>
          <w:rFonts w:ascii="Arial" w:hAnsi="Arial" w:cs="Arial"/>
          <w:sz w:val="14"/>
          <w:szCs w:val="14"/>
        </w:rPr>
        <w:t>Note:</w:t>
      </w:r>
    </w:p>
    <w:tbl>
      <w:tblPr>
        <w:tblW w:w="10314" w:type="dxa"/>
        <w:tblCellMar>
          <w:left w:w="0" w:type="dxa"/>
          <w:right w:w="0" w:type="dxa"/>
        </w:tblCellMar>
        <w:tblLook w:val="01E0" w:firstRow="1" w:lastRow="1" w:firstColumn="1" w:lastColumn="1" w:noHBand="0" w:noVBand="0"/>
      </w:tblPr>
      <w:tblGrid>
        <w:gridCol w:w="252"/>
        <w:gridCol w:w="10062"/>
      </w:tblGrid>
      <w:tr w:rsidR="0064628A" w:rsidTr="00E44A03">
        <w:trPr>
          <w:trHeight w:val="192"/>
        </w:trPr>
        <w:tc>
          <w:tcPr>
            <w:tcW w:w="252" w:type="dxa"/>
            <w:tcBorders>
              <w:top w:val="nil"/>
              <w:left w:val="nil"/>
              <w:bottom w:val="nil"/>
              <w:right w:val="nil"/>
            </w:tcBorders>
          </w:tcPr>
          <w:p w:rsidR="004F5E62" w:rsidRPr="009D0EB1" w:rsidRDefault="00FC1FDC" w:rsidP="005F64C9">
            <w:pPr>
              <w:pStyle w:val="Normal00"/>
              <w:jc w:val="both"/>
              <w:rPr>
                <w:rFonts w:ascii="Arial" w:hAnsi="Arial" w:cs="Arial"/>
                <w:sz w:val="14"/>
                <w:szCs w:val="14"/>
                <w:lang w:eastAsia="ja-JP"/>
              </w:rPr>
            </w:pPr>
            <w:r w:rsidRPr="009D0EB1">
              <w:rPr>
                <w:rFonts w:ascii="Arial" w:hAnsi="Arial" w:cs="Arial"/>
                <w:sz w:val="14"/>
                <w:szCs w:val="14"/>
                <w:lang w:eastAsia="ja-JP"/>
              </w:rPr>
              <w:t>(1)</w:t>
            </w:r>
          </w:p>
          <w:p w:rsidR="004F5E62" w:rsidRPr="009D0EB1" w:rsidRDefault="004F5E62" w:rsidP="005F64C9">
            <w:pPr>
              <w:pStyle w:val="Normal00"/>
              <w:jc w:val="both"/>
              <w:rPr>
                <w:rFonts w:ascii="Arial" w:hAnsi="Arial" w:cs="Arial"/>
                <w:color w:val="003366"/>
                <w:sz w:val="14"/>
                <w:szCs w:val="14"/>
                <w:lang w:eastAsia="ja-JP"/>
              </w:rPr>
            </w:pPr>
          </w:p>
        </w:tc>
        <w:tc>
          <w:tcPr>
            <w:tcW w:w="10062" w:type="dxa"/>
            <w:tcBorders>
              <w:top w:val="nil"/>
              <w:left w:val="nil"/>
              <w:bottom w:val="nil"/>
              <w:right w:val="nil"/>
            </w:tcBorders>
          </w:tcPr>
          <w:p w:rsidR="004F5E62" w:rsidRPr="009D0EB1" w:rsidRDefault="00FC1FDC" w:rsidP="00310FAE">
            <w:pPr>
              <w:pStyle w:val="Default0"/>
              <w:rPr>
                <w:sz w:val="14"/>
                <w:szCs w:val="14"/>
              </w:rPr>
            </w:pPr>
            <w:r w:rsidRPr="00E44A03">
              <w:rPr>
                <w:color w:val="auto"/>
                <w:sz w:val="16"/>
                <w:szCs w:val="16"/>
              </w:rPr>
              <w:t>The NatWest Markets operating segment is not the same as the NatWest Markets Plc legal entity or group. For</w:t>
            </w:r>
            <w:r>
              <w:rPr>
                <w:color w:val="auto"/>
                <w:sz w:val="16"/>
                <w:szCs w:val="16"/>
              </w:rPr>
              <w:t xml:space="preserve"> </w:t>
            </w:r>
            <w:r w:rsidRPr="00E44A03">
              <w:rPr>
                <w:color w:val="auto"/>
                <w:sz w:val="16"/>
                <w:szCs w:val="16"/>
              </w:rPr>
              <w:t>2019, NatWest Markets Plc entity includes NatWest Markets N.V. from the 29 November 2019</w:t>
            </w:r>
            <w:r>
              <w:rPr>
                <w:color w:val="auto"/>
                <w:sz w:val="16"/>
                <w:szCs w:val="16"/>
              </w:rPr>
              <w:t xml:space="preserve"> only</w:t>
            </w:r>
            <w:r w:rsidRPr="00E44A03">
              <w:rPr>
                <w:color w:val="auto"/>
                <w:sz w:val="16"/>
                <w:szCs w:val="16"/>
              </w:rPr>
              <w:t xml:space="preserve">, </w:t>
            </w:r>
            <w:r>
              <w:rPr>
                <w:color w:val="auto"/>
                <w:sz w:val="16"/>
                <w:szCs w:val="16"/>
              </w:rPr>
              <w:t>whereas the NatWest Markets franchise</w:t>
            </w:r>
            <w:r w:rsidRPr="00E44A03">
              <w:rPr>
                <w:color w:val="auto"/>
                <w:sz w:val="16"/>
                <w:szCs w:val="16"/>
              </w:rPr>
              <w:t xml:space="preserve"> excludes the Central items &amp; other segment. For periods prior to </w:t>
            </w:r>
            <w:r>
              <w:rPr>
                <w:color w:val="auto"/>
                <w:sz w:val="16"/>
                <w:szCs w:val="16"/>
              </w:rPr>
              <w:t xml:space="preserve">Q4 2019, </w:t>
            </w:r>
            <w:r w:rsidRPr="00E44A03">
              <w:rPr>
                <w:color w:val="auto"/>
                <w:sz w:val="16"/>
                <w:szCs w:val="16"/>
              </w:rPr>
              <w:t>NatWest Markets N.V</w:t>
            </w:r>
            <w:r>
              <w:rPr>
                <w:color w:val="auto"/>
                <w:sz w:val="16"/>
                <w:szCs w:val="16"/>
              </w:rPr>
              <w:t>.</w:t>
            </w:r>
            <w:r w:rsidRPr="00E44A03">
              <w:rPr>
                <w:color w:val="auto"/>
                <w:sz w:val="16"/>
                <w:szCs w:val="16"/>
              </w:rPr>
              <w:t xml:space="preserve"> was also excluded</w:t>
            </w:r>
            <w:r>
              <w:rPr>
                <w:color w:val="auto"/>
                <w:sz w:val="16"/>
                <w:szCs w:val="16"/>
              </w:rPr>
              <w:t xml:space="preserve"> from the NatWest Markets Plc entity</w:t>
            </w:r>
            <w:r w:rsidRPr="00E44A03">
              <w:rPr>
                <w:color w:val="auto"/>
                <w:sz w:val="16"/>
                <w:szCs w:val="16"/>
              </w:rPr>
              <w:t>.</w:t>
            </w:r>
          </w:p>
        </w:tc>
      </w:tr>
      <w:tr w:rsidR="0064628A" w:rsidTr="00CD5271">
        <w:tblPrEx>
          <w:tblCellMar>
            <w:left w:w="108" w:type="dxa"/>
            <w:right w:w="108" w:type="dxa"/>
          </w:tblCellMar>
        </w:tblPrEx>
        <w:tc>
          <w:tcPr>
            <w:tcW w:w="10314" w:type="dxa"/>
            <w:gridSpan w:val="2"/>
          </w:tcPr>
          <w:p w:rsidR="00CD5271" w:rsidRPr="00E44A03" w:rsidRDefault="00CD5271" w:rsidP="005B011C">
            <w:pPr>
              <w:pStyle w:val="Normal00"/>
              <w:spacing w:line="264" w:lineRule="auto"/>
              <w:ind w:right="-82"/>
              <w:jc w:val="both"/>
              <w:rPr>
                <w:rFonts w:ascii="Arial" w:hAnsi="Arial" w:cs="Arial"/>
                <w:color w:val="003366"/>
                <w:sz w:val="10"/>
                <w:szCs w:val="10"/>
                <w:lang w:eastAsia="ja-JP"/>
              </w:rPr>
            </w:pPr>
          </w:p>
        </w:tc>
      </w:tr>
      <w:tr w:rsidR="0064628A" w:rsidTr="00CD5271">
        <w:tblPrEx>
          <w:tblCellMar>
            <w:left w:w="108" w:type="dxa"/>
            <w:right w:w="108" w:type="dxa"/>
          </w:tblCellMar>
        </w:tblPrEx>
        <w:tc>
          <w:tcPr>
            <w:tcW w:w="10314" w:type="dxa"/>
            <w:gridSpan w:val="2"/>
          </w:tcPr>
          <w:p w:rsidR="00CD5271" w:rsidRDefault="00FC1FDC" w:rsidP="00B80BFC">
            <w:pPr>
              <w:pStyle w:val="Normal00"/>
              <w:spacing w:line="264" w:lineRule="auto"/>
              <w:ind w:right="-82"/>
              <w:rPr>
                <w:rFonts w:ascii="Arial" w:hAnsi="Arial" w:cs="Arial"/>
                <w:color w:val="003366"/>
                <w:sz w:val="18"/>
                <w:szCs w:val="18"/>
                <w:lang w:eastAsia="ja-JP"/>
              </w:rPr>
            </w:pPr>
            <w:r w:rsidRPr="0035648C">
              <w:rPr>
                <w:rFonts w:ascii="Arial" w:hAnsi="Arial" w:cs="Arial"/>
                <w:sz w:val="18"/>
                <w:szCs w:val="18"/>
                <w:lang w:val="en-US" w:eastAsia="ja-JP" w:bidi="he-IL"/>
              </w:rPr>
              <w:t>NatWest Markets continued to play a leading role in market structural reform. We were first-to-market with our Realised Rate calculator and we acted as the sole solicitation agent for the first ever LIBOR to SONIA bond amendment</w:t>
            </w:r>
            <w:r>
              <w:rPr>
                <w:rFonts w:ascii="Arial" w:hAnsi="Arial" w:cs="Arial"/>
                <w:sz w:val="18"/>
                <w:szCs w:val="18"/>
                <w:lang w:val="en-US" w:eastAsia="ja-JP" w:bidi="he-IL"/>
              </w:rPr>
              <w:t xml:space="preserve"> issued in the market.</w:t>
            </w:r>
          </w:p>
        </w:tc>
      </w:tr>
      <w:tr w:rsidR="0064628A" w:rsidTr="00CD5271">
        <w:tblPrEx>
          <w:tblCellMar>
            <w:left w:w="108" w:type="dxa"/>
            <w:right w:w="108" w:type="dxa"/>
          </w:tblCellMar>
        </w:tblPrEx>
        <w:tc>
          <w:tcPr>
            <w:tcW w:w="10314" w:type="dxa"/>
            <w:gridSpan w:val="2"/>
          </w:tcPr>
          <w:p w:rsidR="00B719FE" w:rsidRPr="00885EC4" w:rsidRDefault="00B719FE" w:rsidP="005B011C">
            <w:pPr>
              <w:pStyle w:val="Normal00"/>
              <w:spacing w:line="264" w:lineRule="auto"/>
              <w:ind w:right="-82"/>
              <w:jc w:val="both"/>
              <w:rPr>
                <w:rFonts w:ascii="Arial" w:hAnsi="Arial" w:cs="Arial"/>
                <w:color w:val="003366"/>
                <w:sz w:val="14"/>
                <w:szCs w:val="14"/>
                <w:lang w:eastAsia="ja-JP"/>
              </w:rPr>
            </w:pPr>
          </w:p>
          <w:p w:rsidR="004F5E62" w:rsidRPr="00083324" w:rsidRDefault="00FC1FDC" w:rsidP="005B011C">
            <w:pPr>
              <w:pStyle w:val="Normal00"/>
              <w:spacing w:line="264" w:lineRule="auto"/>
              <w:ind w:right="-82"/>
              <w:jc w:val="both"/>
              <w:rPr>
                <w:rFonts w:ascii="Arial" w:hAnsi="Arial" w:cs="Arial"/>
              </w:rPr>
            </w:pPr>
            <w:r w:rsidRPr="00083324">
              <w:rPr>
                <w:rFonts w:ascii="Arial" w:hAnsi="Arial" w:cs="Arial"/>
                <w:color w:val="003366"/>
                <w:sz w:val="18"/>
                <w:szCs w:val="18"/>
                <w:lang w:eastAsia="ja-JP"/>
              </w:rPr>
              <w:t>201</w:t>
            </w:r>
            <w:r w:rsidR="005B011C">
              <w:rPr>
                <w:rFonts w:ascii="Arial" w:hAnsi="Arial" w:cs="Arial"/>
                <w:color w:val="003366"/>
                <w:sz w:val="18"/>
                <w:szCs w:val="18"/>
                <w:lang w:eastAsia="ja-JP"/>
              </w:rPr>
              <w:t>9 compared with 2018</w:t>
            </w:r>
          </w:p>
        </w:tc>
      </w:tr>
      <w:tr w:rsidR="0064628A" w:rsidTr="00E44A03">
        <w:tblPrEx>
          <w:tblCellMar>
            <w:left w:w="108" w:type="dxa"/>
            <w:right w:w="108" w:type="dxa"/>
          </w:tblCellMar>
        </w:tblPrEx>
        <w:tc>
          <w:tcPr>
            <w:tcW w:w="252" w:type="dxa"/>
          </w:tcPr>
          <w:p w:rsidR="00420AC8" w:rsidRPr="00083324" w:rsidRDefault="00FC1FDC" w:rsidP="005F64C9">
            <w:pPr>
              <w:pStyle w:val="Normal00"/>
              <w:spacing w:line="264" w:lineRule="auto"/>
              <w:ind w:right="-82"/>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10062" w:type="dxa"/>
          </w:tcPr>
          <w:p w:rsidR="00420AC8" w:rsidRPr="00FD5A9B" w:rsidRDefault="00FC1FDC" w:rsidP="003E320F">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Total income decreased by £100 million, or 6.9</w:t>
            </w:r>
            <w:r w:rsidRPr="00FD5A9B">
              <w:rPr>
                <w:rFonts w:eastAsia="Times New Roman"/>
                <w:sz w:val="18"/>
                <w:szCs w:val="18"/>
                <w:lang w:val="en-US" w:eastAsia="ja-JP" w:bidi="he-IL"/>
              </w:rPr>
              <w:t xml:space="preserve">%, reflecting </w:t>
            </w:r>
            <w:r w:rsidRPr="00E32686">
              <w:rPr>
                <w:rFonts w:eastAsia="Times New Roman"/>
                <w:sz w:val="18"/>
                <w:szCs w:val="18"/>
                <w:lang w:val="en-US" w:eastAsia="ja-JP" w:bidi="he-IL"/>
              </w:rPr>
              <w:t>lower core income</w:t>
            </w:r>
            <w:r>
              <w:rPr>
                <w:rFonts w:eastAsia="Times New Roman"/>
                <w:sz w:val="18"/>
                <w:szCs w:val="18"/>
                <w:lang w:val="en-US" w:eastAsia="ja-JP" w:bidi="he-IL"/>
              </w:rPr>
              <w:t xml:space="preserve"> and own credit adjustments (OCA)</w:t>
            </w:r>
            <w:r w:rsidRPr="00E32686">
              <w:rPr>
                <w:rFonts w:eastAsia="Times New Roman"/>
                <w:sz w:val="18"/>
                <w:szCs w:val="18"/>
                <w:lang w:val="en-US" w:eastAsia="ja-JP" w:bidi="he-IL"/>
              </w:rPr>
              <w:t xml:space="preserve">, partially offset by increased legacy income following the </w:t>
            </w:r>
            <w:r>
              <w:rPr>
                <w:rFonts w:eastAsia="Times New Roman"/>
                <w:sz w:val="18"/>
                <w:szCs w:val="18"/>
                <w:lang w:val="en-US" w:eastAsia="ja-JP" w:bidi="he-IL"/>
              </w:rPr>
              <w:t>£444 million gain</w:t>
            </w:r>
            <w:r w:rsidRPr="00E32686">
              <w:rPr>
                <w:rFonts w:eastAsia="Times New Roman"/>
                <w:sz w:val="18"/>
                <w:szCs w:val="18"/>
                <w:lang w:val="en-US" w:eastAsia="ja-JP" w:bidi="he-IL"/>
              </w:rPr>
              <w:t xml:space="preserve"> on the merger of Alawwal </w:t>
            </w:r>
            <w:r>
              <w:rPr>
                <w:rFonts w:eastAsia="Times New Roman"/>
                <w:sz w:val="18"/>
                <w:szCs w:val="18"/>
                <w:lang w:val="en-US" w:eastAsia="ja-JP" w:bidi="he-IL"/>
              </w:rPr>
              <w:t>bank with SABB.</w:t>
            </w:r>
          </w:p>
        </w:tc>
      </w:tr>
      <w:tr w:rsidR="0064628A" w:rsidTr="00E44A03">
        <w:tblPrEx>
          <w:tblCellMar>
            <w:left w:w="108" w:type="dxa"/>
            <w:right w:w="108" w:type="dxa"/>
          </w:tblCellMar>
        </w:tblPrEx>
        <w:tc>
          <w:tcPr>
            <w:tcW w:w="252" w:type="dxa"/>
          </w:tcPr>
          <w:p w:rsidR="00420AC8" w:rsidRPr="00083324" w:rsidRDefault="00FC1FDC" w:rsidP="005F64C9">
            <w:pPr>
              <w:pStyle w:val="Normal00"/>
              <w:spacing w:line="264" w:lineRule="auto"/>
              <w:ind w:right="-82"/>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10062" w:type="dxa"/>
          </w:tcPr>
          <w:p w:rsidR="00420AC8" w:rsidRPr="00FD5A9B" w:rsidRDefault="00FC1FDC" w:rsidP="005E5A49">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 xml:space="preserve">A core income reduction of £177 </w:t>
            </w:r>
            <w:r w:rsidRPr="00E32686">
              <w:rPr>
                <w:rFonts w:eastAsia="Times New Roman"/>
                <w:sz w:val="18"/>
                <w:szCs w:val="18"/>
                <w:lang w:val="en-US" w:eastAsia="ja-JP" w:bidi="he-IL"/>
              </w:rPr>
              <w:t>m</w:t>
            </w:r>
            <w:r>
              <w:rPr>
                <w:rFonts w:eastAsia="Times New Roman"/>
                <w:sz w:val="18"/>
                <w:szCs w:val="18"/>
                <w:lang w:val="en-US" w:eastAsia="ja-JP" w:bidi="he-IL"/>
              </w:rPr>
              <w:t xml:space="preserve">illion, or </w:t>
            </w:r>
            <w:r w:rsidRPr="00FD5A9B">
              <w:rPr>
                <w:rFonts w:eastAsia="Times New Roman"/>
                <w:sz w:val="18"/>
                <w:szCs w:val="18"/>
                <w:lang w:val="en-US" w:eastAsia="ja-JP" w:bidi="he-IL"/>
              </w:rPr>
              <w:t>1</w:t>
            </w:r>
            <w:r>
              <w:rPr>
                <w:rFonts w:eastAsia="Times New Roman"/>
                <w:sz w:val="18"/>
                <w:szCs w:val="18"/>
                <w:lang w:val="en-US" w:eastAsia="ja-JP" w:bidi="he-IL"/>
              </w:rPr>
              <w:t>4.1</w:t>
            </w:r>
            <w:r w:rsidRPr="00FD5A9B">
              <w:rPr>
                <w:rFonts w:eastAsia="Times New Roman"/>
                <w:sz w:val="18"/>
                <w:szCs w:val="18"/>
                <w:lang w:val="en-US" w:eastAsia="ja-JP" w:bidi="he-IL"/>
              </w:rPr>
              <w:t>%, wa</w:t>
            </w:r>
            <w:r w:rsidRPr="00E32686">
              <w:rPr>
                <w:rFonts w:eastAsia="Times New Roman"/>
                <w:sz w:val="18"/>
                <w:szCs w:val="18"/>
                <w:lang w:val="en-US" w:eastAsia="ja-JP" w:bidi="he-IL"/>
              </w:rPr>
              <w:t xml:space="preserve">s due to challenging market conditions, most significantly in Q3 2019 </w:t>
            </w:r>
            <w:r>
              <w:rPr>
                <w:rFonts w:eastAsia="Times New Roman"/>
                <w:sz w:val="18"/>
                <w:szCs w:val="18"/>
                <w:lang w:val="en-US" w:eastAsia="ja-JP" w:bidi="he-IL"/>
              </w:rPr>
              <w:t>when the business was impacted by weak performance in the Rates business.</w:t>
            </w:r>
          </w:p>
        </w:tc>
      </w:tr>
      <w:tr w:rsidR="0064628A" w:rsidTr="00E44A03">
        <w:tblPrEx>
          <w:tblCellMar>
            <w:left w:w="108" w:type="dxa"/>
            <w:right w:w="108" w:type="dxa"/>
          </w:tblCellMar>
        </w:tblPrEx>
        <w:tc>
          <w:tcPr>
            <w:tcW w:w="252" w:type="dxa"/>
          </w:tcPr>
          <w:p w:rsidR="00420AC8" w:rsidRPr="00083324" w:rsidRDefault="00FC1FDC" w:rsidP="005F64C9">
            <w:pPr>
              <w:pStyle w:val="Normal00"/>
              <w:spacing w:line="264" w:lineRule="auto"/>
              <w:ind w:right="-82"/>
              <w:jc w:val="both"/>
              <w:rPr>
                <w:rFonts w:eastAsia="SimSun"/>
                <w:color w:val="003366"/>
                <w:sz w:val="18"/>
                <w:szCs w:val="18"/>
                <w:lang w:eastAsia="ja-JP"/>
              </w:rPr>
            </w:pPr>
            <w:r w:rsidRPr="00083324">
              <w:rPr>
                <w:rFonts w:eastAsia="SimSun"/>
                <w:color w:val="003366"/>
                <w:sz w:val="18"/>
                <w:szCs w:val="18"/>
                <w:lang w:eastAsia="ja-JP"/>
              </w:rPr>
              <w:t>●</w:t>
            </w:r>
          </w:p>
        </w:tc>
        <w:tc>
          <w:tcPr>
            <w:tcW w:w="10062" w:type="dxa"/>
          </w:tcPr>
          <w:p w:rsidR="00420AC8" w:rsidRPr="00FD5A9B" w:rsidRDefault="00FC1FDC" w:rsidP="005E5A49">
            <w:pPr>
              <w:pStyle w:val="Normal30"/>
              <w:spacing w:line="259" w:lineRule="auto"/>
              <w:rPr>
                <w:rFonts w:eastAsia="Times New Roman"/>
                <w:sz w:val="18"/>
                <w:szCs w:val="18"/>
                <w:lang w:val="en-US" w:eastAsia="ja-JP" w:bidi="he-IL"/>
              </w:rPr>
            </w:pPr>
            <w:r w:rsidRPr="00FD5A9B">
              <w:rPr>
                <w:rFonts w:eastAsia="Times New Roman"/>
                <w:sz w:val="18"/>
                <w:szCs w:val="18"/>
                <w:lang w:val="en-US" w:eastAsia="ja-JP" w:bidi="he-IL"/>
              </w:rPr>
              <w:t>Excluding strategic, litigation and conduct costs, ope</w:t>
            </w:r>
            <w:r>
              <w:rPr>
                <w:rFonts w:eastAsia="Times New Roman"/>
                <w:sz w:val="18"/>
                <w:szCs w:val="18"/>
                <w:lang w:val="en-US" w:eastAsia="ja-JP" w:bidi="he-IL"/>
              </w:rPr>
              <w:t>rating expenses decreased by £35</w:t>
            </w:r>
            <w:r w:rsidRPr="00FD5A9B">
              <w:rPr>
                <w:rFonts w:eastAsia="Times New Roman"/>
                <w:sz w:val="18"/>
                <w:szCs w:val="18"/>
                <w:lang w:val="en-US" w:eastAsia="ja-JP" w:bidi="he-IL"/>
              </w:rPr>
              <w:t xml:space="preserve"> million,</w:t>
            </w:r>
            <w:r>
              <w:rPr>
                <w:rFonts w:eastAsia="Times New Roman"/>
                <w:sz w:val="18"/>
                <w:szCs w:val="18"/>
                <w:lang w:val="en-US" w:eastAsia="ja-JP" w:bidi="he-IL"/>
              </w:rPr>
              <w:t xml:space="preserve"> or 2.9%.</w:t>
            </w:r>
          </w:p>
        </w:tc>
      </w:tr>
      <w:tr w:rsidR="0064628A" w:rsidTr="00E44A03">
        <w:tblPrEx>
          <w:tblCellMar>
            <w:left w:w="108" w:type="dxa"/>
            <w:right w:w="108" w:type="dxa"/>
          </w:tblCellMar>
        </w:tblPrEx>
        <w:tc>
          <w:tcPr>
            <w:tcW w:w="252" w:type="dxa"/>
          </w:tcPr>
          <w:p w:rsidR="00420AC8" w:rsidRPr="00083324" w:rsidRDefault="00FC1FDC" w:rsidP="005F64C9">
            <w:pPr>
              <w:pStyle w:val="Normal00"/>
              <w:spacing w:line="264" w:lineRule="auto"/>
              <w:ind w:right="-82"/>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10062" w:type="dxa"/>
          </w:tcPr>
          <w:p w:rsidR="00420AC8" w:rsidRPr="00FD5A9B" w:rsidRDefault="00FC1FDC" w:rsidP="005E5A49">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A net impairment release of £51</w:t>
            </w:r>
            <w:r w:rsidRPr="00FD5A9B">
              <w:rPr>
                <w:rFonts w:eastAsia="Times New Roman"/>
                <w:sz w:val="18"/>
                <w:szCs w:val="18"/>
                <w:lang w:val="en-US" w:eastAsia="ja-JP" w:bidi="he-IL"/>
              </w:rPr>
              <w:t xml:space="preserve"> million compared with a release of £92 million in 2018</w:t>
            </w:r>
            <w:r>
              <w:rPr>
                <w:rFonts w:eastAsia="Times New Roman"/>
                <w:sz w:val="18"/>
                <w:szCs w:val="18"/>
                <w:lang w:val="en-US" w:eastAsia="ja-JP" w:bidi="he-IL"/>
              </w:rPr>
              <w:t>, both reflecting a small number of legacy cases.</w:t>
            </w:r>
          </w:p>
        </w:tc>
      </w:tr>
      <w:tr w:rsidR="0064628A" w:rsidTr="00E44A03">
        <w:tblPrEx>
          <w:tblCellMar>
            <w:left w:w="108" w:type="dxa"/>
            <w:right w:w="108" w:type="dxa"/>
          </w:tblCellMar>
        </w:tblPrEx>
        <w:tc>
          <w:tcPr>
            <w:tcW w:w="252" w:type="dxa"/>
          </w:tcPr>
          <w:p w:rsidR="00420AC8" w:rsidRPr="00083324" w:rsidRDefault="00FC1FDC" w:rsidP="005F64C9">
            <w:pPr>
              <w:pStyle w:val="Normal00"/>
              <w:spacing w:line="264" w:lineRule="auto"/>
              <w:ind w:right="-82"/>
              <w:jc w:val="both"/>
              <w:rPr>
                <w:rFonts w:eastAsia="SimSun"/>
                <w:color w:val="003366"/>
                <w:sz w:val="18"/>
                <w:szCs w:val="18"/>
                <w:lang w:eastAsia="ja-JP"/>
              </w:rPr>
            </w:pPr>
            <w:r w:rsidRPr="00083324">
              <w:rPr>
                <w:rFonts w:eastAsia="SimSun"/>
                <w:color w:val="003366"/>
                <w:sz w:val="18"/>
                <w:szCs w:val="18"/>
                <w:lang w:eastAsia="ja-JP"/>
              </w:rPr>
              <w:t>●</w:t>
            </w:r>
          </w:p>
        </w:tc>
        <w:tc>
          <w:tcPr>
            <w:tcW w:w="10062" w:type="dxa"/>
          </w:tcPr>
          <w:p w:rsidR="00420AC8" w:rsidRPr="00FD5A9B" w:rsidRDefault="00FC1FDC" w:rsidP="005E5A49">
            <w:pPr>
              <w:pStyle w:val="Normal30"/>
              <w:spacing w:line="259" w:lineRule="auto"/>
              <w:rPr>
                <w:rFonts w:eastAsia="Times New Roman"/>
                <w:sz w:val="18"/>
                <w:szCs w:val="18"/>
                <w:lang w:val="en-US" w:eastAsia="ja-JP" w:bidi="he-IL"/>
              </w:rPr>
            </w:pPr>
            <w:r w:rsidRPr="00FD5A9B">
              <w:rPr>
                <w:rFonts w:eastAsia="Times New Roman"/>
                <w:sz w:val="18"/>
                <w:szCs w:val="18"/>
                <w:lang w:val="en-US" w:eastAsia="ja-JP" w:bidi="he-IL"/>
              </w:rPr>
              <w:t>RWAs decr</w:t>
            </w:r>
            <w:r>
              <w:rPr>
                <w:rFonts w:eastAsia="Times New Roman"/>
                <w:sz w:val="18"/>
                <w:szCs w:val="18"/>
                <w:lang w:val="en-US" w:eastAsia="ja-JP" w:bidi="he-IL"/>
              </w:rPr>
              <w:t>eased by £7.0</w:t>
            </w:r>
            <w:r w:rsidRPr="00FD5A9B">
              <w:rPr>
                <w:rFonts w:eastAsia="Times New Roman"/>
                <w:sz w:val="18"/>
                <w:szCs w:val="18"/>
                <w:lang w:val="en-US" w:eastAsia="ja-JP" w:bidi="he-IL"/>
              </w:rPr>
              <w:t xml:space="preserve"> billion driven by the </w:t>
            </w:r>
            <w:r>
              <w:rPr>
                <w:rFonts w:eastAsia="Times New Roman"/>
                <w:sz w:val="18"/>
                <w:szCs w:val="18"/>
                <w:lang w:val="en-US" w:eastAsia="ja-JP" w:bidi="he-IL"/>
              </w:rPr>
              <w:t xml:space="preserve">£4.7 billion reduction following the </w:t>
            </w:r>
            <w:r w:rsidRPr="00FD5A9B">
              <w:rPr>
                <w:rFonts w:eastAsia="Times New Roman"/>
                <w:sz w:val="18"/>
                <w:szCs w:val="18"/>
                <w:lang w:val="en-US" w:eastAsia="ja-JP" w:bidi="he-IL"/>
              </w:rPr>
              <w:t xml:space="preserve">merger of Alawwal </w:t>
            </w:r>
            <w:r>
              <w:rPr>
                <w:rFonts w:eastAsia="Times New Roman"/>
                <w:sz w:val="18"/>
                <w:szCs w:val="18"/>
                <w:lang w:val="en-US" w:eastAsia="ja-JP" w:bidi="he-IL"/>
              </w:rPr>
              <w:t>b</w:t>
            </w:r>
            <w:r w:rsidRPr="00FD5A9B">
              <w:rPr>
                <w:rFonts w:eastAsia="Times New Roman"/>
                <w:sz w:val="18"/>
                <w:szCs w:val="18"/>
                <w:lang w:val="en-US" w:eastAsia="ja-JP" w:bidi="he-IL"/>
              </w:rPr>
              <w:t>ank with SABB and other legacy reductions.</w:t>
            </w:r>
          </w:p>
        </w:tc>
      </w:tr>
      <w:tr w:rsidR="0064628A" w:rsidTr="00CD5271">
        <w:tblPrEx>
          <w:tblCellMar>
            <w:left w:w="108" w:type="dxa"/>
            <w:right w:w="108" w:type="dxa"/>
          </w:tblCellMar>
        </w:tblPrEx>
        <w:tc>
          <w:tcPr>
            <w:tcW w:w="10314" w:type="dxa"/>
            <w:gridSpan w:val="2"/>
          </w:tcPr>
          <w:p w:rsidR="00FD5A9B" w:rsidRPr="00885EC4" w:rsidRDefault="00FD5A9B" w:rsidP="005F64C9">
            <w:pPr>
              <w:pStyle w:val="Normal00"/>
              <w:spacing w:line="264" w:lineRule="auto"/>
              <w:ind w:right="-82"/>
              <w:jc w:val="both"/>
              <w:rPr>
                <w:rFonts w:ascii="Arial" w:hAnsi="Arial" w:cs="Arial"/>
                <w:color w:val="003366"/>
                <w:sz w:val="14"/>
                <w:szCs w:val="14"/>
                <w:lang w:eastAsia="ja-JP"/>
              </w:rPr>
            </w:pPr>
          </w:p>
          <w:p w:rsidR="00FD5A9B" w:rsidRPr="00083324" w:rsidRDefault="00FC1FDC" w:rsidP="005F64C9">
            <w:pPr>
              <w:pStyle w:val="Normal00"/>
              <w:spacing w:line="264" w:lineRule="auto"/>
              <w:ind w:right="-82"/>
              <w:jc w:val="both"/>
              <w:rPr>
                <w:rFonts w:ascii="Arial" w:hAnsi="Arial" w:cs="Arial"/>
                <w:color w:val="003366"/>
                <w:sz w:val="18"/>
                <w:szCs w:val="18"/>
                <w:lang w:eastAsia="ja-JP"/>
              </w:rPr>
            </w:pPr>
            <w:r w:rsidRPr="00083324">
              <w:rPr>
                <w:rFonts w:ascii="Arial" w:hAnsi="Arial" w:cs="Arial"/>
                <w:color w:val="003366"/>
                <w:sz w:val="18"/>
                <w:szCs w:val="18"/>
                <w:lang w:eastAsia="ja-JP"/>
              </w:rPr>
              <w:t>Q</w:t>
            </w:r>
            <w:r>
              <w:rPr>
                <w:rFonts w:ascii="Arial" w:hAnsi="Arial" w:cs="Arial"/>
                <w:color w:val="003366"/>
                <w:sz w:val="18"/>
                <w:szCs w:val="18"/>
                <w:lang w:eastAsia="ja-JP"/>
              </w:rPr>
              <w:t>4 2019</w:t>
            </w:r>
            <w:r w:rsidRPr="00083324">
              <w:rPr>
                <w:rFonts w:ascii="Arial" w:hAnsi="Arial" w:cs="Arial"/>
                <w:color w:val="003366"/>
                <w:sz w:val="18"/>
                <w:szCs w:val="18"/>
                <w:lang w:eastAsia="ja-JP"/>
              </w:rPr>
              <w:t xml:space="preserve"> compared with Q</w:t>
            </w:r>
            <w:r>
              <w:rPr>
                <w:rFonts w:ascii="Arial" w:hAnsi="Arial" w:cs="Arial"/>
                <w:color w:val="003366"/>
                <w:sz w:val="18"/>
                <w:szCs w:val="18"/>
                <w:lang w:eastAsia="ja-JP"/>
              </w:rPr>
              <w:t>3 2019</w:t>
            </w:r>
          </w:p>
        </w:tc>
      </w:tr>
      <w:tr w:rsidR="0064628A" w:rsidTr="00E44A03">
        <w:tblPrEx>
          <w:tblCellMar>
            <w:left w:w="108" w:type="dxa"/>
            <w:right w:w="108" w:type="dxa"/>
          </w:tblCellMar>
        </w:tblPrEx>
        <w:tc>
          <w:tcPr>
            <w:tcW w:w="252" w:type="dxa"/>
          </w:tcPr>
          <w:p w:rsidR="00420AC8" w:rsidRPr="00083324" w:rsidRDefault="00FC1FDC" w:rsidP="005F64C9">
            <w:pPr>
              <w:pStyle w:val="Normal00"/>
              <w:spacing w:line="264" w:lineRule="auto"/>
              <w:ind w:right="-82"/>
              <w:jc w:val="both"/>
              <w:rPr>
                <w:rFonts w:ascii="Arial" w:eastAsia="MS Mincho" w:hAnsi="Arial" w:cs="Arial"/>
                <w:b/>
                <w:color w:val="003366"/>
                <w:sz w:val="20"/>
                <w:szCs w:val="20"/>
                <w:lang w:eastAsia="ja-JP"/>
              </w:rPr>
            </w:pPr>
            <w:r w:rsidRPr="00083324">
              <w:rPr>
                <w:rFonts w:eastAsia="SimSun"/>
                <w:color w:val="003366"/>
                <w:sz w:val="18"/>
                <w:szCs w:val="18"/>
                <w:lang w:eastAsia="ja-JP"/>
              </w:rPr>
              <w:t>●</w:t>
            </w:r>
          </w:p>
        </w:tc>
        <w:tc>
          <w:tcPr>
            <w:tcW w:w="10062" w:type="dxa"/>
          </w:tcPr>
          <w:p w:rsidR="00420AC8" w:rsidRPr="00FD5A9B" w:rsidRDefault="00FC1FDC" w:rsidP="00BD3107">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Total income increased by £100</w:t>
            </w:r>
            <w:r w:rsidRPr="00FD5A9B">
              <w:rPr>
                <w:rFonts w:eastAsia="Times New Roman"/>
                <w:sz w:val="18"/>
                <w:szCs w:val="18"/>
                <w:lang w:val="en-US" w:eastAsia="ja-JP" w:bidi="he-IL"/>
              </w:rPr>
              <w:t xml:space="preserve"> million</w:t>
            </w:r>
            <w:r>
              <w:rPr>
                <w:rFonts w:eastAsia="Times New Roman"/>
                <w:sz w:val="18"/>
                <w:szCs w:val="18"/>
                <w:lang w:val="en-US" w:eastAsia="ja-JP" w:bidi="he-IL"/>
              </w:rPr>
              <w:t>, or 66.7</w:t>
            </w:r>
            <w:r w:rsidRPr="009D20E7">
              <w:rPr>
                <w:rFonts w:eastAsia="Times New Roman"/>
                <w:sz w:val="18"/>
                <w:szCs w:val="18"/>
                <w:lang w:val="en-US" w:eastAsia="ja-JP" w:bidi="he-IL"/>
              </w:rPr>
              <w:t>%,</w:t>
            </w:r>
            <w:r>
              <w:rPr>
                <w:rFonts w:eastAsia="Times New Roman"/>
                <w:sz w:val="18"/>
                <w:szCs w:val="18"/>
                <w:lang w:val="en-US" w:eastAsia="ja-JP" w:bidi="he-IL"/>
              </w:rPr>
              <w:t xml:space="preserve"> </w:t>
            </w:r>
            <w:r w:rsidRPr="00FD5A9B">
              <w:rPr>
                <w:rFonts w:eastAsia="Times New Roman"/>
                <w:sz w:val="18"/>
                <w:szCs w:val="18"/>
                <w:lang w:val="en-US" w:eastAsia="ja-JP" w:bidi="he-IL"/>
              </w:rPr>
              <w:t xml:space="preserve">primarily reflecting </w:t>
            </w:r>
            <w:r w:rsidR="00BD3107">
              <w:rPr>
                <w:rFonts w:eastAsia="Times New Roman"/>
                <w:sz w:val="18"/>
                <w:szCs w:val="18"/>
                <w:lang w:val="en-US" w:eastAsia="ja-JP" w:bidi="he-IL"/>
              </w:rPr>
              <w:t>higher legacy income from a</w:t>
            </w:r>
            <w:r w:rsidRPr="00FD5A9B">
              <w:rPr>
                <w:rFonts w:eastAsia="Times New Roman"/>
                <w:sz w:val="18"/>
                <w:szCs w:val="18"/>
                <w:lang w:val="en-US" w:eastAsia="ja-JP" w:bidi="he-IL"/>
              </w:rPr>
              <w:t xml:space="preserve"> release following the closure of a</w:t>
            </w:r>
            <w:r>
              <w:rPr>
                <w:rFonts w:eastAsia="Times New Roman"/>
                <w:sz w:val="18"/>
                <w:szCs w:val="18"/>
                <w:lang w:val="en-US" w:eastAsia="ja-JP" w:bidi="he-IL"/>
              </w:rPr>
              <w:t xml:space="preserve"> specific ex</w:t>
            </w:r>
            <w:r w:rsidRPr="00FD5A9B">
              <w:rPr>
                <w:rFonts w:eastAsia="Times New Roman"/>
                <w:sz w:val="18"/>
                <w:szCs w:val="18"/>
                <w:lang w:val="en-US" w:eastAsia="ja-JP" w:bidi="he-IL"/>
              </w:rPr>
              <w:t>posure.</w:t>
            </w:r>
          </w:p>
        </w:tc>
      </w:tr>
      <w:tr w:rsidR="0064628A" w:rsidTr="00E44A03">
        <w:tblPrEx>
          <w:tblCellMar>
            <w:left w:w="108" w:type="dxa"/>
            <w:right w:w="108" w:type="dxa"/>
          </w:tblCellMar>
        </w:tblPrEx>
        <w:tc>
          <w:tcPr>
            <w:tcW w:w="252" w:type="dxa"/>
          </w:tcPr>
          <w:p w:rsidR="00420AC8" w:rsidRPr="00083324" w:rsidRDefault="00FC1FDC" w:rsidP="005F64C9">
            <w:pPr>
              <w:pStyle w:val="Normal00"/>
              <w:spacing w:line="264" w:lineRule="auto"/>
              <w:ind w:right="-82"/>
              <w:jc w:val="both"/>
              <w:rPr>
                <w:rFonts w:ascii="Arial" w:eastAsia="MS Mincho" w:hAnsi="Arial" w:cs="Arial"/>
                <w:b/>
                <w:color w:val="003366"/>
                <w:sz w:val="20"/>
                <w:szCs w:val="20"/>
                <w:lang w:eastAsia="ja-JP"/>
              </w:rPr>
            </w:pPr>
            <w:r w:rsidRPr="00083324">
              <w:rPr>
                <w:rFonts w:eastAsia="SimSun"/>
                <w:color w:val="003366"/>
                <w:sz w:val="18"/>
                <w:szCs w:val="18"/>
                <w:lang w:eastAsia="ja-JP"/>
              </w:rPr>
              <w:t>●</w:t>
            </w:r>
          </w:p>
        </w:tc>
        <w:tc>
          <w:tcPr>
            <w:tcW w:w="10062" w:type="dxa"/>
          </w:tcPr>
          <w:p w:rsidR="00420AC8" w:rsidRPr="00FD5A9B" w:rsidRDefault="00FC1FDC" w:rsidP="009C77F3">
            <w:pPr>
              <w:pStyle w:val="Normal30"/>
              <w:spacing w:line="259" w:lineRule="auto"/>
              <w:rPr>
                <w:rFonts w:eastAsia="Times New Roman"/>
                <w:color w:val="FF0000"/>
                <w:sz w:val="18"/>
                <w:szCs w:val="18"/>
                <w:lang w:val="en-US" w:eastAsia="ja-JP" w:bidi="he-IL"/>
              </w:rPr>
            </w:pPr>
            <w:r w:rsidRPr="00FD5A9B">
              <w:rPr>
                <w:rFonts w:eastAsia="Times New Roman"/>
                <w:sz w:val="18"/>
                <w:szCs w:val="18"/>
                <w:lang w:val="en-US" w:eastAsia="ja-JP" w:bidi="he-IL"/>
              </w:rPr>
              <w:t>Excluding strategic, litigation and conduct costs, op</w:t>
            </w:r>
            <w:r>
              <w:rPr>
                <w:rFonts w:eastAsia="Times New Roman"/>
                <w:sz w:val="18"/>
                <w:szCs w:val="18"/>
                <w:lang w:val="en-US" w:eastAsia="ja-JP" w:bidi="he-IL"/>
              </w:rPr>
              <w:t>erating expenses increased by £14</w:t>
            </w:r>
            <w:r w:rsidRPr="00FD5A9B">
              <w:rPr>
                <w:rFonts w:eastAsia="Times New Roman"/>
                <w:sz w:val="18"/>
                <w:szCs w:val="18"/>
                <w:lang w:val="en-US" w:eastAsia="ja-JP" w:bidi="he-IL"/>
              </w:rPr>
              <w:t xml:space="preserve"> million</w:t>
            </w:r>
            <w:r>
              <w:rPr>
                <w:rFonts w:eastAsia="Times New Roman"/>
                <w:sz w:val="18"/>
                <w:szCs w:val="18"/>
                <w:lang w:val="en-US" w:eastAsia="ja-JP" w:bidi="he-IL"/>
              </w:rPr>
              <w:t>, or 5</w:t>
            </w:r>
            <w:r w:rsidRPr="00EF3C7E">
              <w:rPr>
                <w:rFonts w:eastAsia="Times New Roman"/>
                <w:sz w:val="18"/>
                <w:szCs w:val="18"/>
                <w:lang w:val="en-US" w:eastAsia="ja-JP" w:bidi="he-IL"/>
              </w:rPr>
              <w:t>.</w:t>
            </w:r>
            <w:r>
              <w:rPr>
                <w:rFonts w:eastAsia="Times New Roman"/>
                <w:sz w:val="18"/>
                <w:szCs w:val="18"/>
                <w:lang w:val="en-US" w:eastAsia="ja-JP" w:bidi="he-IL"/>
              </w:rPr>
              <w:t>0%</w:t>
            </w:r>
            <w:r w:rsidRPr="00EF3C7E">
              <w:rPr>
                <w:rFonts w:eastAsia="Times New Roman"/>
                <w:sz w:val="18"/>
                <w:szCs w:val="18"/>
                <w:lang w:val="en-US" w:eastAsia="ja-JP" w:bidi="he-IL"/>
              </w:rPr>
              <w:t>,</w:t>
            </w:r>
            <w:r w:rsidRPr="00263AAD">
              <w:rPr>
                <w:rFonts w:eastAsia="Times New Roman"/>
                <w:color w:val="00B0F0"/>
                <w:sz w:val="18"/>
                <w:szCs w:val="18"/>
                <w:lang w:val="en-US" w:eastAsia="ja-JP" w:bidi="he-IL"/>
              </w:rPr>
              <w:t xml:space="preserve"> </w:t>
            </w:r>
            <w:r w:rsidRPr="00FD5A9B">
              <w:rPr>
                <w:rFonts w:eastAsia="Times New Roman"/>
                <w:sz w:val="18"/>
                <w:szCs w:val="18"/>
                <w:lang w:val="en-US" w:eastAsia="ja-JP" w:bidi="he-IL"/>
              </w:rPr>
              <w:t>reflecting the annual UK bank levy charge and the timing of one-off expense items.</w:t>
            </w:r>
          </w:p>
        </w:tc>
      </w:tr>
      <w:tr w:rsidR="0064628A" w:rsidTr="00E44A03">
        <w:tblPrEx>
          <w:tblCellMar>
            <w:left w:w="108" w:type="dxa"/>
            <w:right w:w="108" w:type="dxa"/>
          </w:tblCellMar>
        </w:tblPrEx>
        <w:tc>
          <w:tcPr>
            <w:tcW w:w="252" w:type="dxa"/>
          </w:tcPr>
          <w:p w:rsidR="00420AC8" w:rsidRPr="00083324" w:rsidRDefault="00FC1FDC" w:rsidP="005F64C9">
            <w:pPr>
              <w:pStyle w:val="Normal00"/>
              <w:spacing w:line="264" w:lineRule="auto"/>
              <w:ind w:right="-82"/>
              <w:jc w:val="both"/>
              <w:rPr>
                <w:rFonts w:eastAsia="SimSun"/>
                <w:color w:val="003366"/>
                <w:sz w:val="18"/>
                <w:szCs w:val="18"/>
                <w:lang w:eastAsia="ja-JP"/>
              </w:rPr>
            </w:pPr>
            <w:r w:rsidRPr="00083324">
              <w:rPr>
                <w:rFonts w:eastAsia="SimSun"/>
                <w:color w:val="003366"/>
                <w:sz w:val="18"/>
                <w:szCs w:val="18"/>
                <w:lang w:eastAsia="ja-JP"/>
              </w:rPr>
              <w:t>●</w:t>
            </w:r>
          </w:p>
        </w:tc>
        <w:tc>
          <w:tcPr>
            <w:tcW w:w="10062" w:type="dxa"/>
          </w:tcPr>
          <w:p w:rsidR="00420AC8" w:rsidRPr="00FD5A9B" w:rsidRDefault="00FC1FDC" w:rsidP="005E5A49">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RWAs decreased by £5</w:t>
            </w:r>
            <w:r w:rsidRPr="00FD5A9B">
              <w:rPr>
                <w:rFonts w:eastAsia="Times New Roman"/>
                <w:sz w:val="18"/>
                <w:szCs w:val="18"/>
                <w:lang w:val="en-US" w:eastAsia="ja-JP" w:bidi="he-IL"/>
              </w:rPr>
              <w:t>.</w:t>
            </w:r>
            <w:r>
              <w:rPr>
                <w:rFonts w:eastAsia="Times New Roman"/>
                <w:sz w:val="18"/>
                <w:szCs w:val="18"/>
                <w:lang w:val="en-US" w:eastAsia="ja-JP" w:bidi="he-IL"/>
              </w:rPr>
              <w:t>9</w:t>
            </w:r>
            <w:r w:rsidRPr="00FD5A9B">
              <w:rPr>
                <w:rFonts w:eastAsia="Times New Roman"/>
                <w:sz w:val="18"/>
                <w:szCs w:val="18"/>
                <w:lang w:val="en-US" w:eastAsia="ja-JP" w:bidi="he-IL"/>
              </w:rPr>
              <w:t xml:space="preserve"> billion </w:t>
            </w:r>
            <w:r w:rsidR="00BD3107">
              <w:rPr>
                <w:rFonts w:eastAsia="Times New Roman"/>
                <w:sz w:val="18"/>
                <w:szCs w:val="18"/>
                <w:lang w:val="en-US" w:eastAsia="ja-JP" w:bidi="he-IL"/>
              </w:rPr>
              <w:t>due to a £2.5</w:t>
            </w:r>
            <w:r>
              <w:rPr>
                <w:rFonts w:eastAsia="Times New Roman"/>
                <w:sz w:val="18"/>
                <w:szCs w:val="18"/>
                <w:lang w:val="en-US" w:eastAsia="ja-JP" w:bidi="he-IL"/>
              </w:rPr>
              <w:t xml:space="preserve"> billion reduction in market risk and a £2.4 billion decrease in counterparty risk, primarily in the core business. </w:t>
            </w:r>
          </w:p>
        </w:tc>
      </w:tr>
      <w:tr w:rsidR="0064628A" w:rsidTr="00CD5271">
        <w:tblPrEx>
          <w:tblCellMar>
            <w:left w:w="108" w:type="dxa"/>
            <w:right w:w="108" w:type="dxa"/>
          </w:tblCellMar>
        </w:tblPrEx>
        <w:tc>
          <w:tcPr>
            <w:tcW w:w="10314" w:type="dxa"/>
            <w:gridSpan w:val="2"/>
          </w:tcPr>
          <w:p w:rsidR="00FD5A9B" w:rsidRPr="00885EC4" w:rsidRDefault="00FD5A9B" w:rsidP="005F64C9">
            <w:pPr>
              <w:pStyle w:val="Normal00"/>
              <w:spacing w:line="264" w:lineRule="auto"/>
              <w:ind w:right="-82"/>
              <w:jc w:val="both"/>
              <w:rPr>
                <w:rFonts w:ascii="Arial" w:hAnsi="Arial" w:cs="Arial"/>
                <w:color w:val="003366"/>
                <w:sz w:val="14"/>
                <w:szCs w:val="14"/>
                <w:lang w:eastAsia="ja-JP"/>
              </w:rPr>
            </w:pPr>
          </w:p>
          <w:p w:rsidR="00FD5A9B" w:rsidRPr="00083324" w:rsidRDefault="00FC1FDC" w:rsidP="005B011C">
            <w:pPr>
              <w:pStyle w:val="Normal00"/>
              <w:spacing w:line="264" w:lineRule="auto"/>
              <w:ind w:right="-82"/>
              <w:jc w:val="both"/>
              <w:rPr>
                <w:rFonts w:ascii="Arial" w:hAnsi="Arial" w:cs="Arial"/>
                <w:color w:val="003366"/>
                <w:sz w:val="18"/>
                <w:szCs w:val="18"/>
                <w:lang w:eastAsia="ja-JP"/>
              </w:rPr>
            </w:pPr>
            <w:r w:rsidRPr="00083324">
              <w:rPr>
                <w:rFonts w:ascii="Arial" w:hAnsi="Arial" w:cs="Arial"/>
                <w:color w:val="003366"/>
                <w:sz w:val="18"/>
                <w:szCs w:val="18"/>
                <w:lang w:eastAsia="ja-JP"/>
              </w:rPr>
              <w:t>Q</w:t>
            </w:r>
            <w:r>
              <w:rPr>
                <w:rFonts w:ascii="Arial" w:hAnsi="Arial" w:cs="Arial"/>
                <w:color w:val="003366"/>
                <w:sz w:val="18"/>
                <w:szCs w:val="18"/>
                <w:lang w:eastAsia="ja-JP"/>
              </w:rPr>
              <w:t>4</w:t>
            </w:r>
            <w:r w:rsidRPr="00083324">
              <w:rPr>
                <w:rFonts w:ascii="Arial" w:hAnsi="Arial" w:cs="Arial"/>
                <w:color w:val="003366"/>
                <w:sz w:val="18"/>
                <w:szCs w:val="18"/>
                <w:lang w:eastAsia="ja-JP"/>
              </w:rPr>
              <w:t xml:space="preserve"> 201</w:t>
            </w:r>
            <w:r>
              <w:rPr>
                <w:rFonts w:ascii="Arial" w:hAnsi="Arial" w:cs="Arial"/>
                <w:color w:val="003366"/>
                <w:sz w:val="18"/>
                <w:szCs w:val="18"/>
                <w:lang w:eastAsia="ja-JP"/>
              </w:rPr>
              <w:t>9</w:t>
            </w:r>
            <w:r w:rsidRPr="00083324">
              <w:rPr>
                <w:rFonts w:ascii="Arial" w:hAnsi="Arial" w:cs="Arial"/>
                <w:color w:val="003366"/>
                <w:sz w:val="18"/>
                <w:szCs w:val="18"/>
                <w:lang w:eastAsia="ja-JP"/>
              </w:rPr>
              <w:t xml:space="preserve"> compared with Q</w:t>
            </w:r>
            <w:r>
              <w:rPr>
                <w:rFonts w:ascii="Arial" w:hAnsi="Arial" w:cs="Arial"/>
                <w:color w:val="003366"/>
                <w:sz w:val="18"/>
                <w:szCs w:val="18"/>
                <w:lang w:eastAsia="ja-JP"/>
              </w:rPr>
              <w:t xml:space="preserve">4 2018 </w:t>
            </w:r>
          </w:p>
        </w:tc>
      </w:tr>
      <w:tr w:rsidR="0064628A" w:rsidTr="00E44A03">
        <w:tblPrEx>
          <w:tblCellMar>
            <w:left w:w="108" w:type="dxa"/>
            <w:right w:w="108" w:type="dxa"/>
          </w:tblCellMar>
        </w:tblPrEx>
        <w:tc>
          <w:tcPr>
            <w:tcW w:w="252" w:type="dxa"/>
          </w:tcPr>
          <w:p w:rsidR="00420AC8" w:rsidRPr="00083324" w:rsidRDefault="00FC1FDC" w:rsidP="005F64C9">
            <w:pPr>
              <w:pStyle w:val="Normal00"/>
              <w:spacing w:line="264" w:lineRule="auto"/>
              <w:ind w:right="-82"/>
              <w:jc w:val="both"/>
              <w:rPr>
                <w:rFonts w:eastAsia="SimSun"/>
                <w:color w:val="003366"/>
                <w:sz w:val="18"/>
                <w:szCs w:val="18"/>
                <w:lang w:eastAsia="ja-JP"/>
              </w:rPr>
            </w:pPr>
            <w:r w:rsidRPr="00083324">
              <w:rPr>
                <w:rFonts w:eastAsia="SimSun"/>
                <w:color w:val="003366"/>
                <w:sz w:val="18"/>
                <w:szCs w:val="18"/>
                <w:lang w:eastAsia="ja-JP"/>
              </w:rPr>
              <w:t>●</w:t>
            </w:r>
          </w:p>
        </w:tc>
        <w:tc>
          <w:tcPr>
            <w:tcW w:w="10062" w:type="dxa"/>
          </w:tcPr>
          <w:p w:rsidR="00420AC8" w:rsidRPr="00FD5A9B" w:rsidRDefault="00FC1FDC" w:rsidP="005E5A49">
            <w:pPr>
              <w:pStyle w:val="Normal30"/>
              <w:spacing w:line="259" w:lineRule="auto"/>
              <w:rPr>
                <w:rFonts w:eastAsia="Times New Roman"/>
                <w:sz w:val="18"/>
                <w:szCs w:val="18"/>
                <w:lang w:val="en-US" w:eastAsia="ja-JP" w:bidi="he-IL"/>
              </w:rPr>
            </w:pPr>
            <w:r>
              <w:rPr>
                <w:rFonts w:eastAsia="Times New Roman"/>
                <w:sz w:val="18"/>
                <w:szCs w:val="18"/>
                <w:lang w:val="en-US" w:eastAsia="ja-JP" w:bidi="he-IL"/>
              </w:rPr>
              <w:t>Total income increased by £98</w:t>
            </w:r>
            <w:r w:rsidRPr="00FD5A9B">
              <w:rPr>
                <w:rFonts w:eastAsia="Times New Roman"/>
                <w:sz w:val="18"/>
                <w:szCs w:val="18"/>
                <w:lang w:val="en-US" w:eastAsia="ja-JP" w:bidi="he-IL"/>
              </w:rPr>
              <w:t xml:space="preserve"> </w:t>
            </w:r>
            <w:r>
              <w:rPr>
                <w:rFonts w:eastAsia="Times New Roman"/>
                <w:sz w:val="18"/>
                <w:szCs w:val="18"/>
                <w:lang w:val="en-US" w:eastAsia="ja-JP" w:bidi="he-IL"/>
              </w:rPr>
              <w:t>million, or 64.5%</w:t>
            </w:r>
            <w:r w:rsidRPr="00EF3C7E">
              <w:rPr>
                <w:rFonts w:eastAsia="Times New Roman"/>
                <w:sz w:val="18"/>
                <w:szCs w:val="18"/>
                <w:lang w:val="en-US" w:eastAsia="ja-JP" w:bidi="he-IL"/>
              </w:rPr>
              <w:t xml:space="preserve">, </w:t>
            </w:r>
            <w:r w:rsidRPr="00FD5A9B">
              <w:rPr>
                <w:rFonts w:eastAsia="Times New Roman"/>
                <w:sz w:val="18"/>
                <w:szCs w:val="18"/>
                <w:lang w:val="en-US" w:eastAsia="ja-JP" w:bidi="he-IL"/>
              </w:rPr>
              <w:t>primarily reflecting higher</w:t>
            </w:r>
            <w:r>
              <w:rPr>
                <w:rFonts w:eastAsia="Times New Roman"/>
                <w:sz w:val="18"/>
                <w:szCs w:val="18"/>
                <w:lang w:val="en-US" w:eastAsia="ja-JP" w:bidi="he-IL"/>
              </w:rPr>
              <w:t xml:space="preserve"> legacy income due to a release </w:t>
            </w:r>
            <w:r w:rsidRPr="00FD5A9B">
              <w:rPr>
                <w:rFonts w:eastAsia="Times New Roman"/>
                <w:sz w:val="18"/>
                <w:szCs w:val="18"/>
                <w:lang w:val="en-US" w:eastAsia="ja-JP" w:bidi="he-IL"/>
              </w:rPr>
              <w:t>following the closure of a</w:t>
            </w:r>
            <w:r>
              <w:rPr>
                <w:rFonts w:eastAsia="Times New Roman"/>
                <w:sz w:val="18"/>
                <w:szCs w:val="18"/>
                <w:lang w:val="en-US" w:eastAsia="ja-JP" w:bidi="he-IL"/>
              </w:rPr>
              <w:t xml:space="preserve"> specific e</w:t>
            </w:r>
            <w:r w:rsidRPr="00FD5A9B">
              <w:rPr>
                <w:rFonts w:eastAsia="Times New Roman"/>
                <w:sz w:val="18"/>
                <w:szCs w:val="18"/>
                <w:lang w:val="en-US" w:eastAsia="ja-JP" w:bidi="he-IL"/>
              </w:rPr>
              <w:t>xposure.</w:t>
            </w:r>
            <w:r>
              <w:rPr>
                <w:rFonts w:eastAsia="Times New Roman"/>
                <w:sz w:val="18"/>
                <w:szCs w:val="18"/>
                <w:lang w:val="en-US" w:eastAsia="ja-JP" w:bidi="he-IL"/>
              </w:rPr>
              <w:t xml:space="preserve"> </w:t>
            </w:r>
          </w:p>
        </w:tc>
      </w:tr>
      <w:tr w:rsidR="0064628A" w:rsidTr="00E44A03">
        <w:tblPrEx>
          <w:tblCellMar>
            <w:left w:w="108" w:type="dxa"/>
            <w:right w:w="108" w:type="dxa"/>
          </w:tblCellMar>
        </w:tblPrEx>
        <w:tc>
          <w:tcPr>
            <w:tcW w:w="252" w:type="dxa"/>
          </w:tcPr>
          <w:p w:rsidR="00420AC8" w:rsidRPr="00083324" w:rsidRDefault="00FC1FDC" w:rsidP="005F64C9">
            <w:pPr>
              <w:pStyle w:val="Normal00"/>
              <w:spacing w:line="264" w:lineRule="auto"/>
              <w:ind w:right="-82"/>
              <w:jc w:val="both"/>
              <w:rPr>
                <w:rFonts w:ascii="Arial" w:eastAsia="MS Mincho" w:hAnsi="Arial" w:cs="Arial"/>
                <w:color w:val="003366"/>
                <w:sz w:val="20"/>
                <w:szCs w:val="20"/>
                <w:lang w:eastAsia="ja-JP"/>
              </w:rPr>
            </w:pPr>
            <w:r w:rsidRPr="00083324">
              <w:rPr>
                <w:rFonts w:eastAsia="SimSun"/>
                <w:color w:val="003366"/>
                <w:sz w:val="18"/>
                <w:szCs w:val="18"/>
                <w:lang w:eastAsia="ja-JP"/>
              </w:rPr>
              <w:t>●</w:t>
            </w:r>
          </w:p>
        </w:tc>
        <w:tc>
          <w:tcPr>
            <w:tcW w:w="10062" w:type="dxa"/>
          </w:tcPr>
          <w:p w:rsidR="00420AC8" w:rsidRPr="00FD5A9B" w:rsidRDefault="00FC1FDC" w:rsidP="005E5A49">
            <w:pPr>
              <w:pStyle w:val="Normal30"/>
              <w:spacing w:line="259" w:lineRule="auto"/>
              <w:rPr>
                <w:rFonts w:eastAsia="Times New Roman"/>
                <w:sz w:val="18"/>
                <w:szCs w:val="18"/>
                <w:lang w:val="en-US" w:eastAsia="ja-JP" w:bidi="he-IL"/>
              </w:rPr>
            </w:pPr>
            <w:r w:rsidRPr="00FD5A9B">
              <w:rPr>
                <w:rFonts w:eastAsia="Times New Roman"/>
                <w:sz w:val="18"/>
                <w:szCs w:val="18"/>
                <w:lang w:val="en-US" w:eastAsia="ja-JP" w:bidi="he-IL"/>
              </w:rPr>
              <w:t xml:space="preserve">Excluding strategic, litigation and conduct costs, operating expenses </w:t>
            </w:r>
            <w:r>
              <w:rPr>
                <w:rFonts w:eastAsia="Times New Roman"/>
                <w:sz w:val="18"/>
                <w:szCs w:val="18"/>
                <w:lang w:val="en-US" w:eastAsia="ja-JP" w:bidi="he-IL"/>
              </w:rPr>
              <w:t>decreased by £20</w:t>
            </w:r>
            <w:r w:rsidRPr="00FD5A9B">
              <w:rPr>
                <w:rFonts w:eastAsia="Times New Roman"/>
                <w:sz w:val="18"/>
                <w:szCs w:val="18"/>
                <w:lang w:val="en-US" w:eastAsia="ja-JP" w:bidi="he-IL"/>
              </w:rPr>
              <w:t xml:space="preserve"> million</w:t>
            </w:r>
            <w:r>
              <w:rPr>
                <w:rFonts w:eastAsia="Times New Roman"/>
                <w:sz w:val="18"/>
                <w:szCs w:val="18"/>
                <w:lang w:val="en-US" w:eastAsia="ja-JP" w:bidi="he-IL"/>
              </w:rPr>
              <w:t>, or 6.3%</w:t>
            </w:r>
            <w:r w:rsidRPr="00EF3C7E">
              <w:rPr>
                <w:rFonts w:eastAsia="Times New Roman"/>
                <w:sz w:val="18"/>
                <w:szCs w:val="18"/>
                <w:lang w:val="en-US" w:eastAsia="ja-JP" w:bidi="he-IL"/>
              </w:rPr>
              <w:t xml:space="preserve">, </w:t>
            </w:r>
            <w:r w:rsidRPr="00FD5A9B">
              <w:rPr>
                <w:rFonts w:eastAsia="Times New Roman"/>
                <w:sz w:val="18"/>
                <w:szCs w:val="18"/>
                <w:lang w:val="en-US" w:eastAsia="ja-JP" w:bidi="he-IL"/>
              </w:rPr>
              <w:t>driven by the timing of one-off expense items.</w:t>
            </w:r>
          </w:p>
        </w:tc>
      </w:tr>
      <w:tr w:rsidR="0064628A" w:rsidTr="00E44A03">
        <w:tblPrEx>
          <w:tblCellMar>
            <w:left w:w="108" w:type="dxa"/>
            <w:right w:w="108" w:type="dxa"/>
          </w:tblCellMar>
        </w:tblPrEx>
        <w:tc>
          <w:tcPr>
            <w:tcW w:w="252" w:type="dxa"/>
          </w:tcPr>
          <w:p w:rsidR="00420AC8" w:rsidRPr="00083324" w:rsidRDefault="00FC1FDC" w:rsidP="005F64C9">
            <w:pPr>
              <w:pStyle w:val="Normal00"/>
              <w:spacing w:line="264" w:lineRule="auto"/>
              <w:ind w:right="-82"/>
              <w:jc w:val="both"/>
              <w:rPr>
                <w:rFonts w:eastAsia="SimSun"/>
                <w:color w:val="003366"/>
                <w:sz w:val="18"/>
                <w:szCs w:val="18"/>
                <w:lang w:eastAsia="ja-JP"/>
              </w:rPr>
            </w:pPr>
            <w:r w:rsidRPr="00083324">
              <w:rPr>
                <w:rFonts w:eastAsia="SimSun"/>
                <w:color w:val="003366"/>
                <w:sz w:val="18"/>
                <w:szCs w:val="18"/>
                <w:lang w:eastAsia="ja-JP"/>
              </w:rPr>
              <w:t>●</w:t>
            </w:r>
          </w:p>
        </w:tc>
        <w:tc>
          <w:tcPr>
            <w:tcW w:w="10062" w:type="dxa"/>
          </w:tcPr>
          <w:p w:rsidR="00420AC8" w:rsidRPr="00FD5A9B" w:rsidRDefault="00FC1FDC" w:rsidP="00420AC8">
            <w:pPr>
              <w:pStyle w:val="Normal30"/>
              <w:spacing w:line="259" w:lineRule="auto"/>
              <w:rPr>
                <w:rFonts w:eastAsia="Times New Roman"/>
                <w:sz w:val="18"/>
                <w:szCs w:val="18"/>
                <w:lang w:val="en-US" w:eastAsia="ja-JP" w:bidi="he-IL"/>
              </w:rPr>
            </w:pPr>
            <w:r w:rsidRPr="00FD5A9B">
              <w:rPr>
                <w:rFonts w:eastAsia="Times New Roman"/>
                <w:sz w:val="18"/>
                <w:szCs w:val="18"/>
                <w:lang w:val="en-US" w:eastAsia="ja-JP" w:bidi="he-IL"/>
              </w:rPr>
              <w:t xml:space="preserve">An impairment </w:t>
            </w:r>
            <w:r>
              <w:rPr>
                <w:rFonts w:eastAsia="Times New Roman"/>
                <w:sz w:val="18"/>
                <w:szCs w:val="18"/>
                <w:lang w:val="en-US" w:eastAsia="ja-JP" w:bidi="he-IL"/>
              </w:rPr>
              <w:t>release of £10</w:t>
            </w:r>
            <w:r w:rsidRPr="00FD5A9B">
              <w:rPr>
                <w:rFonts w:eastAsia="Times New Roman"/>
                <w:sz w:val="18"/>
                <w:szCs w:val="18"/>
                <w:lang w:val="en-US" w:eastAsia="ja-JP" w:bidi="he-IL"/>
              </w:rPr>
              <w:t xml:space="preserve"> million compared with a release of £100 million in Q4 2018</w:t>
            </w:r>
            <w:r>
              <w:rPr>
                <w:rFonts w:eastAsia="Times New Roman"/>
                <w:sz w:val="18"/>
                <w:szCs w:val="18"/>
                <w:lang w:val="en-US" w:eastAsia="ja-JP" w:bidi="he-IL"/>
              </w:rPr>
              <w:t xml:space="preserve">. </w:t>
            </w:r>
            <w:r w:rsidRPr="00BA1142">
              <w:rPr>
                <w:rFonts w:eastAsia="Times New Roman"/>
                <w:sz w:val="18"/>
                <w:szCs w:val="18"/>
                <w:lang w:val="en-US" w:eastAsia="ja-JP" w:bidi="he-IL"/>
              </w:rPr>
              <w:t>The Q4 2018 release was driven by a small number of</w:t>
            </w:r>
            <w:r>
              <w:rPr>
                <w:rFonts w:eastAsia="Times New Roman"/>
                <w:sz w:val="18"/>
                <w:szCs w:val="18"/>
                <w:lang w:val="en-US" w:eastAsia="ja-JP" w:bidi="he-IL"/>
              </w:rPr>
              <w:t xml:space="preserve"> legacy cases</w:t>
            </w:r>
            <w:r w:rsidRPr="00BA1142">
              <w:rPr>
                <w:rFonts w:eastAsia="Times New Roman"/>
                <w:sz w:val="18"/>
                <w:szCs w:val="18"/>
                <w:lang w:val="en-US" w:eastAsia="ja-JP" w:bidi="he-IL"/>
              </w:rPr>
              <w:t>.</w:t>
            </w:r>
          </w:p>
        </w:tc>
      </w:tr>
    </w:tbl>
    <w:p w:rsidR="004F5E62" w:rsidRDefault="004F5E62" w:rsidP="004F5E62"/>
    <w:p w:rsidR="004F5E62" w:rsidRPr="00A16788" w:rsidRDefault="00FC1FDC" w:rsidP="004F5E62">
      <w:pPr>
        <w:pStyle w:val="Normal00"/>
        <w:spacing w:line="288" w:lineRule="auto"/>
        <w:jc w:val="both"/>
        <w:rPr>
          <w:rFonts w:ascii="Arial" w:hAnsi="Arial" w:cs="Arial"/>
          <w:b/>
          <w:color w:val="0A2F64"/>
          <w:sz w:val="18"/>
          <w:szCs w:val="18"/>
          <w:lang w:eastAsia="ja-JP"/>
        </w:rPr>
      </w:pPr>
      <w:r w:rsidRPr="00A16788">
        <w:rPr>
          <w:rFonts w:ascii="Arial" w:hAnsi="Arial" w:cs="Arial"/>
          <w:b/>
          <w:color w:val="0A2F64"/>
          <w:sz w:val="18"/>
          <w:szCs w:val="18"/>
          <w:lang w:eastAsia="ja-JP"/>
        </w:rPr>
        <w:t>Central items &amp; other</w:t>
      </w:r>
    </w:p>
    <w:sdt>
      <w:sdtPr>
        <w:tag w:val="&lt;ReportPackage&gt;&lt;EmbeddedContent id=&quot;4e236086-c679-490c-9979-57fbf7507e4f&quot; lastModified=&quot;1581639490587&quot;/&gt;&lt;/ReportPackage&gt;"/>
        <w:id w:val="2099665491"/>
        <w:lock w:val="contentLocked"/>
        <w:placeholder>
          <w:docPart w:val="B7021E398D074B12B0FDDA09D3E422A1"/>
        </w:placeholder>
      </w:sdtPr>
      <w:sdtEndPr/>
      <w:sdtContent>
        <w:tbl>
          <w:tblPr>
            <w:tblStyle w:val="table"/>
            <w:tblW w:w="10140" w:type="dxa"/>
            <w:tblInd w:w="5" w:type="dxa"/>
            <w:tblCellMar>
              <w:left w:w="0" w:type="dxa"/>
              <w:right w:w="0" w:type="dxa"/>
            </w:tblCellMar>
            <w:tblLook w:val="05E0" w:firstRow="1" w:lastRow="1" w:firstColumn="1" w:lastColumn="1" w:noHBand="0" w:noVBand="1"/>
          </w:tblPr>
          <w:tblGrid>
            <w:gridCol w:w="4475"/>
            <w:gridCol w:w="1169"/>
            <w:gridCol w:w="1109"/>
            <w:gridCol w:w="60"/>
            <w:gridCol w:w="1109"/>
            <w:gridCol w:w="1109"/>
            <w:gridCol w:w="1109"/>
          </w:tblGrid>
          <w:tr w:rsidR="0064628A">
            <w:trPr>
              <w:trHeight w:val="210"/>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2280" w:type="dxa"/>
                <w:gridSpan w:val="2"/>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Year ended and as at</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3330" w:type="dxa"/>
                <w:gridSpan w:val="3"/>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Quarter ended</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117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30 September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7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7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£m</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4485"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Central items not allocated</w:t>
                </w:r>
              </w:p>
            </w:tc>
            <w:tc>
              <w:tcPr>
                <w:tcW w:w="117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1,385</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(1,038)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939</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162</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(55)</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i/>
                    <w:iCs/>
                    <w:color w:val="000000"/>
                    <w:szCs w:val="16"/>
                  </w:rPr>
                </w:pPr>
                <w:r>
                  <w:rPr>
                    <w:rFonts w:eastAsia="Arial" w:cs="Arial"/>
                    <w:i/>
                    <w:iCs/>
                    <w:color w:val="000000"/>
                    <w:szCs w:val="16"/>
                  </w:rPr>
                  <w:t>Of which: Litigation and conduct costs</w:t>
                </w:r>
              </w:p>
            </w:tc>
            <w:tc>
              <w:tcPr>
                <w:tcW w:w="117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(809)</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i/>
                    <w:iCs/>
                    <w:color w:val="000000"/>
                    <w:szCs w:val="16"/>
                  </w:rPr>
                </w:pPr>
                <w:r>
                  <w:rPr>
                    <w:rStyle w:val="font186"/>
                  </w:rPr>
                  <w:t xml:space="preserve">Of which: FX recycling gain </w:t>
                </w:r>
                <w:r>
                  <w:rPr>
                    <w:rStyle w:val="font187"/>
                  </w:rPr>
                  <w:t>(1)</w:t>
                </w:r>
              </w:p>
            </w:tc>
            <w:tc>
              <w:tcPr>
                <w:tcW w:w="117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1,459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1,169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r>
        </w:tbl>
      </w:sdtContent>
    </w:sdt>
    <w:p w:rsidR="00AE25AD" w:rsidRPr="00AE25AD" w:rsidRDefault="00AE25AD" w:rsidP="00AE25AD">
      <w:pPr>
        <w:pStyle w:val="Normal00"/>
        <w:jc w:val="both"/>
        <w:rPr>
          <w:rFonts w:ascii="Arial" w:hAnsi="Arial" w:cs="Arial"/>
          <w:sz w:val="8"/>
          <w:szCs w:val="8"/>
          <w:lang w:eastAsia="ja-JP"/>
        </w:rPr>
      </w:pPr>
    </w:p>
    <w:p w:rsidR="00AE25AD" w:rsidRPr="00C710C0" w:rsidRDefault="00FC1FDC" w:rsidP="00AE25AD">
      <w:pPr>
        <w:pStyle w:val="Normal00"/>
        <w:jc w:val="both"/>
        <w:rPr>
          <w:rFonts w:ascii="Arial" w:hAnsi="Arial" w:cs="Arial"/>
          <w:sz w:val="14"/>
          <w:szCs w:val="14"/>
          <w:lang w:eastAsia="ja-JP"/>
        </w:rPr>
      </w:pPr>
      <w:r w:rsidRPr="00C710C0">
        <w:rPr>
          <w:rFonts w:ascii="Arial" w:hAnsi="Arial" w:cs="Arial"/>
          <w:sz w:val="14"/>
          <w:szCs w:val="14"/>
          <w:lang w:eastAsia="ja-JP"/>
        </w:rPr>
        <w:t>Note:</w:t>
      </w:r>
    </w:p>
    <w:p w:rsidR="00AE25AD" w:rsidRDefault="00FC1FDC" w:rsidP="00AE25AD">
      <w:pPr>
        <w:pStyle w:val="Normal00"/>
        <w:numPr>
          <w:ilvl w:val="0"/>
          <w:numId w:val="3"/>
        </w:numPr>
        <w:jc w:val="both"/>
        <w:rPr>
          <w:rFonts w:ascii="Arial" w:hAnsi="Arial" w:cs="Arial"/>
          <w:sz w:val="14"/>
          <w:szCs w:val="14"/>
          <w:lang w:eastAsia="ja-JP"/>
        </w:rPr>
      </w:pPr>
      <w:r w:rsidRPr="00C710C0">
        <w:rPr>
          <w:rFonts w:ascii="Arial" w:hAnsi="Arial" w:cs="Arial"/>
          <w:sz w:val="14"/>
          <w:szCs w:val="14"/>
        </w:rPr>
        <w:t xml:space="preserve">Includes £290 million arising on the completion of the Alawwal bank merger in June 2019, £1,102 million arising on the liquidation of RFS Holdings and £67 million in relation to dividends in </w:t>
      </w:r>
      <w:r>
        <w:rPr>
          <w:rFonts w:ascii="Arial" w:hAnsi="Arial" w:cs="Arial"/>
          <w:sz w:val="14"/>
          <w:szCs w:val="14"/>
        </w:rPr>
        <w:t>UBI DAC</w:t>
      </w:r>
      <w:r w:rsidRPr="00C710C0">
        <w:rPr>
          <w:rFonts w:ascii="Arial" w:hAnsi="Arial" w:cs="Arial"/>
          <w:sz w:val="14"/>
          <w:szCs w:val="14"/>
        </w:rPr>
        <w:t>.</w:t>
      </w:r>
    </w:p>
    <w:p w:rsidR="00572AEE" w:rsidRPr="00AE25AD" w:rsidRDefault="00572AEE" w:rsidP="004F5E62">
      <w:pPr>
        <w:pStyle w:val="Normal00"/>
        <w:spacing w:line="288" w:lineRule="auto"/>
        <w:jc w:val="both"/>
        <w:rPr>
          <w:rFonts w:ascii="Arial" w:hAnsi="Arial" w:cs="Arial"/>
          <w:b/>
          <w:color w:val="0A2F64"/>
          <w:sz w:val="14"/>
          <w:szCs w:val="14"/>
          <w:lang w:eastAsia="ja-JP"/>
        </w:rPr>
      </w:pPr>
    </w:p>
    <w:tbl>
      <w:tblPr>
        <w:tblW w:w="20157" w:type="dxa"/>
        <w:tblCellMar>
          <w:left w:w="0" w:type="dxa"/>
          <w:right w:w="0" w:type="dxa"/>
        </w:tblCellMar>
        <w:tblLook w:val="01E0" w:firstRow="1" w:lastRow="1" w:firstColumn="1" w:lastColumn="1" w:noHBand="0" w:noVBand="0"/>
      </w:tblPr>
      <w:tblGrid>
        <w:gridCol w:w="255"/>
        <w:gridCol w:w="9951"/>
        <w:gridCol w:w="9951"/>
      </w:tblGrid>
      <w:tr w:rsidR="0064628A" w:rsidTr="008F6CAF">
        <w:trPr>
          <w:trHeight w:val="647"/>
        </w:trPr>
        <w:tc>
          <w:tcPr>
            <w:tcW w:w="255" w:type="dxa"/>
            <w:tcBorders>
              <w:top w:val="nil"/>
              <w:left w:val="nil"/>
              <w:bottom w:val="nil"/>
              <w:right w:val="nil"/>
            </w:tcBorders>
          </w:tcPr>
          <w:p w:rsidR="008F6CAF" w:rsidRPr="000519C6" w:rsidRDefault="00FC1FDC" w:rsidP="005F64C9">
            <w:pPr>
              <w:pStyle w:val="Normal00"/>
              <w:spacing w:line="288" w:lineRule="auto"/>
              <w:jc w:val="both"/>
              <w:rPr>
                <w:rFonts w:ascii="Arial" w:hAnsi="Arial" w:cs="Arial"/>
                <w:color w:val="003366"/>
                <w:sz w:val="18"/>
                <w:szCs w:val="18"/>
                <w:lang w:eastAsia="ja-JP"/>
              </w:rPr>
            </w:pPr>
            <w:r w:rsidRPr="000519C6">
              <w:rPr>
                <w:rFonts w:eastAsia="SimSun"/>
                <w:color w:val="003366"/>
                <w:sz w:val="18"/>
                <w:szCs w:val="18"/>
                <w:lang w:eastAsia="ja-JP"/>
              </w:rPr>
              <w:t>●</w:t>
            </w:r>
          </w:p>
        </w:tc>
        <w:tc>
          <w:tcPr>
            <w:tcW w:w="9951" w:type="dxa"/>
            <w:tcBorders>
              <w:top w:val="nil"/>
              <w:left w:val="nil"/>
              <w:bottom w:val="nil"/>
              <w:right w:val="nil"/>
            </w:tcBorders>
          </w:tcPr>
          <w:p w:rsidR="008F6CAF" w:rsidRPr="00FD5A9B" w:rsidRDefault="00FC1FDC" w:rsidP="00883FE3">
            <w:pPr>
              <w:pStyle w:val="Normal00"/>
              <w:spacing w:line="288" w:lineRule="auto"/>
              <w:rPr>
                <w:rFonts w:ascii="Arial" w:hAnsi="Arial" w:cs="Arial"/>
                <w:color w:val="1F497D"/>
                <w:sz w:val="18"/>
                <w:szCs w:val="18"/>
                <w:lang w:eastAsia="en-US"/>
              </w:rPr>
            </w:pPr>
            <w:r w:rsidRPr="00FD5A9B">
              <w:rPr>
                <w:rFonts w:ascii="Arial" w:eastAsia="SimSun" w:hAnsi="Arial" w:cs="Arial"/>
                <w:noProof/>
                <w:sz w:val="18"/>
                <w:szCs w:val="18"/>
              </w:rPr>
              <w:t xml:space="preserve">Central items not allocated </w:t>
            </w:r>
            <w:r>
              <w:rPr>
                <w:rFonts w:ascii="Arial" w:eastAsia="SimSun" w:hAnsi="Arial" w:cs="Arial"/>
                <w:noProof/>
                <w:sz w:val="18"/>
                <w:szCs w:val="18"/>
              </w:rPr>
              <w:t>include £1,459 million of FX recycling gains, a £169</w:t>
            </w:r>
            <w:r w:rsidRPr="0017725D">
              <w:rPr>
                <w:rFonts w:ascii="Arial" w:eastAsia="SimSun" w:hAnsi="Arial" w:cs="Arial"/>
                <w:noProof/>
                <w:sz w:val="18"/>
                <w:szCs w:val="18"/>
              </w:rPr>
              <w:t xml:space="preserve"> million reimbursement under indemnification agreements relating to </w:t>
            </w:r>
            <w:r w:rsidR="00BD3107">
              <w:rPr>
                <w:rFonts w:ascii="Arial" w:eastAsia="SimSun" w:hAnsi="Arial" w:cs="Arial"/>
                <w:noProof/>
                <w:sz w:val="18"/>
                <w:szCs w:val="18"/>
              </w:rPr>
              <w:t xml:space="preserve">US </w:t>
            </w:r>
            <w:r w:rsidRPr="0017725D">
              <w:rPr>
                <w:rFonts w:ascii="Arial" w:eastAsia="SimSun" w:hAnsi="Arial" w:cs="Arial"/>
                <w:noProof/>
                <w:sz w:val="18"/>
                <w:szCs w:val="18"/>
              </w:rPr>
              <w:t>residential mortgage-backed securities (RMBS)</w:t>
            </w:r>
            <w:r w:rsidR="00BD3107">
              <w:rPr>
                <w:rFonts w:ascii="Arial" w:eastAsia="SimSun" w:hAnsi="Arial" w:cs="Arial"/>
                <w:noProof/>
                <w:sz w:val="18"/>
                <w:szCs w:val="18"/>
              </w:rPr>
              <w:t xml:space="preserve"> and strategic costs of £450</w:t>
            </w:r>
            <w:r>
              <w:rPr>
                <w:rFonts w:ascii="Arial" w:eastAsia="SimSun" w:hAnsi="Arial" w:cs="Arial"/>
                <w:noProof/>
                <w:sz w:val="18"/>
                <w:szCs w:val="18"/>
              </w:rPr>
              <w:t xml:space="preserve"> million. FY 2018 included a litigation and conduct charge of £809 million, principally in respect of the settlement with the US Department of Justice. </w:t>
            </w:r>
          </w:p>
        </w:tc>
        <w:tc>
          <w:tcPr>
            <w:tcW w:w="9951" w:type="dxa"/>
            <w:tcBorders>
              <w:top w:val="nil"/>
              <w:left w:val="nil"/>
              <w:bottom w:val="nil"/>
              <w:right w:val="nil"/>
            </w:tcBorders>
          </w:tcPr>
          <w:p w:rsidR="008F6CAF" w:rsidRPr="00FD5A9B" w:rsidRDefault="008F6CAF" w:rsidP="005F64C9">
            <w:pPr>
              <w:pStyle w:val="Normal00"/>
              <w:spacing w:line="288" w:lineRule="auto"/>
              <w:rPr>
                <w:rFonts w:ascii="Arial" w:hAnsi="Arial" w:cs="Arial"/>
                <w:color w:val="1F497D"/>
                <w:sz w:val="18"/>
                <w:szCs w:val="18"/>
                <w:lang w:eastAsia="en-US"/>
              </w:rPr>
            </w:pPr>
          </w:p>
        </w:tc>
      </w:tr>
    </w:tbl>
    <w:p w:rsidR="00921D7D" w:rsidRPr="004F5E62" w:rsidRDefault="00921D7D" w:rsidP="004F5E62">
      <w:pPr>
        <w:sectPr w:rsidR="00921D7D" w:rsidRPr="004F5E62" w:rsidSect="001B061F">
          <w:headerReference w:type="even" r:id="rId46"/>
          <w:headerReference w:type="default" r:id="rId47"/>
          <w:footerReference w:type="even" r:id="rId48"/>
          <w:footerReference w:type="default" r:id="rId49"/>
          <w:headerReference w:type="first" r:id="rId50"/>
          <w:footerReference w:type="first" r:id="rId51"/>
          <w:type w:val="continuous"/>
          <w:pgSz w:w="11906" w:h="16838"/>
          <w:pgMar w:top="1134" w:right="851" w:bottom="680" w:left="851" w:header="708" w:footer="708" w:gutter="0"/>
          <w:cols w:space="708"/>
          <w:docGrid w:linePitch="360"/>
        </w:sectPr>
      </w:pPr>
    </w:p>
    <w:p w:rsidR="001862CC" w:rsidRPr="000E15FD" w:rsidRDefault="00FC1FDC" w:rsidP="001862CC">
      <w:pPr>
        <w:pStyle w:val="Heading100"/>
        <w:pBdr>
          <w:bottom w:val="none" w:sz="0" w:space="0" w:color="auto"/>
        </w:pBdr>
        <w:rPr>
          <w:rFonts w:cs="Arial"/>
          <w:b/>
          <w:sz w:val="18"/>
          <w:szCs w:val="18"/>
        </w:rPr>
      </w:pPr>
      <w:r>
        <w:rPr>
          <w:rFonts w:cs="Arial"/>
          <w:b/>
          <w:sz w:val="18"/>
          <w:szCs w:val="18"/>
        </w:rPr>
        <w:lastRenderedPageBreak/>
        <w:t>Business performance summary</w:t>
      </w:r>
    </w:p>
    <w:p w:rsidR="001862CC" w:rsidRDefault="001862CC" w:rsidP="001862CC">
      <w:pPr>
        <w:rPr>
          <w:lang w:eastAsia="ja-JP"/>
        </w:rPr>
      </w:pPr>
    </w:p>
    <w:sdt>
      <w:sdtPr>
        <w:tag w:val="&lt;ReportPackage&gt;&lt;EmbeddedContent id=&quot;09c97059-440f-4be7-b5eb-4dd74d1fd105&quot; lastModified=&quot;1580242816388&quot;/&gt;&lt;/ReportPackage&gt;"/>
        <w:id w:val="569959501"/>
        <w:lock w:val="contentLocked"/>
        <w:placeholder>
          <w:docPart w:val="91B27ABA407642ECBA084BDDE1A1485E"/>
        </w:placeholder>
      </w:sdtPr>
      <w:sdtEndPr/>
      <w:sdtContent>
        <w:tbl>
          <w:tblPr>
            <w:tblStyle w:val="table"/>
            <w:tblW w:w="10140" w:type="dxa"/>
            <w:tblInd w:w="5" w:type="dxa"/>
            <w:tblCellMar>
              <w:left w:w="0" w:type="dxa"/>
              <w:right w:w="0" w:type="dxa"/>
            </w:tblCellMar>
            <w:tblLook w:val="05E0" w:firstRow="1" w:lastRow="1" w:firstColumn="1" w:lastColumn="1" w:noHBand="0" w:noVBand="1"/>
          </w:tblPr>
          <w:tblGrid>
            <w:gridCol w:w="6810"/>
            <w:gridCol w:w="1110"/>
            <w:gridCol w:w="1110"/>
            <w:gridCol w:w="1110"/>
          </w:tblGrid>
          <w:tr w:rsidR="0064628A">
            <w:trPr>
              <w:trHeight w:val="210"/>
            </w:trPr>
            <w:tc>
              <w:tcPr>
                <w:tcW w:w="6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3330" w:type="dxa"/>
                <w:gridSpan w:val="3"/>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End-point CRR basis</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 </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30 September </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 </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Risk asset ratios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 </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 </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 </w:t>
                </w:r>
              </w:p>
            </w:tc>
          </w:tr>
          <w:tr w:rsidR="0064628A">
            <w:trPr>
              <w:trHeight w:val="195"/>
            </w:trPr>
            <w:tc>
              <w:tcPr>
                <w:tcW w:w="68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CET1 </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16.2 </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Tier 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18.4 </w:t>
                </w:r>
              </w:p>
            </w:tc>
          </w:tr>
          <w:tr w:rsidR="0064628A">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21.2</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21.8 </w:t>
                </w:r>
              </w:p>
            </w:tc>
          </w:tr>
          <w:tr w:rsidR="0064628A">
            <w:trPr>
              <w:trHeight w:val="105"/>
            </w:trPr>
            <w:tc>
              <w:tcPr>
                <w:tcW w:w="6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Capital</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68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Tangible equity</w:t>
                </w: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32,371</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32,930</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34,566 </w:t>
                </w:r>
              </w:p>
            </w:tc>
          </w:tr>
          <w:tr w:rsidR="0064628A">
            <w:trPr>
              <w:trHeight w:val="105"/>
            </w:trPr>
            <w:tc>
              <w:tcPr>
                <w:tcW w:w="6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Expected loss less impairment provisions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(620)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(654)</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Prudential valuation adjustment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(466)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(494)</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Deferred tax assets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(757)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(732)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(740)</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Own credit adjustments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(405)</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Pension fund assets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(474)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(401)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(394)</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Cash flow hedging reserve</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191 </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Foreseeable ordinary and special dividends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(968)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(362)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(1,326)</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Foreseeable charges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(365)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r>
          <w:tr w:rsidR="0064628A">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Other adjustments for regulatory purposes</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(105)</w:t>
                </w:r>
              </w:p>
            </w:tc>
          </w:tr>
          <w:tr w:rsidR="0064628A">
            <w:trPr>
              <w:trHeight w:val="105"/>
            </w:trPr>
            <w:tc>
              <w:tcPr>
                <w:tcW w:w="6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deductions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(3,317)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(3,157)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(3,927)</w:t>
                </w:r>
              </w:p>
            </w:tc>
          </w:tr>
          <w:tr w:rsidR="0064628A">
            <w:trPr>
              <w:trHeight w:val="195"/>
            </w:trPr>
            <w:tc>
              <w:tcPr>
                <w:tcW w:w="6818" w:type="dxa"/>
                <w:tcBorders>
                  <w:top w:val="single" w:sz="6" w:space="0" w:color="003366"/>
                  <w:left w:val="single" w:sz="6" w:space="0" w:color="003366"/>
                </w:tcBorders>
                <w:shd w:val="clear" w:color="auto" w:fill="FFFFFF"/>
                <w:tcMar>
                  <w:top w:w="0" w:type="dxa"/>
                  <w:left w:w="8"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CET1 capital</w:t>
                </w: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29,054</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29,773</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30,639 </w:t>
                </w:r>
              </w:p>
            </w:tc>
          </w:tr>
          <w:tr w:rsidR="0064628A">
            <w:trPr>
              <w:trHeight w:val="195"/>
            </w:trPr>
            <w:tc>
              <w:tcPr>
                <w:tcW w:w="6818" w:type="dxa"/>
                <w:tcBorders>
                  <w:left w:val="single" w:sz="6" w:space="0" w:color="003366"/>
                  <w:bottom w:val="single" w:sz="6" w:space="0" w:color="003366"/>
                </w:tcBorders>
                <w:shd w:val="clear" w:color="auto" w:fill="FFFFFF"/>
                <w:tcMar>
                  <w:top w:w="0" w:type="dxa"/>
                  <w:left w:w="8"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AT1 capital</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4,051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4,051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4,051 </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Tier 1 capital</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33,105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33,824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34,690 </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Tier 2 capital</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4,900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4,980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6,483 </w:t>
                </w:r>
              </w:p>
            </w:tc>
          </w:tr>
          <w:tr w:rsidR="0064628A">
            <w:trPr>
              <w:trHeight w:val="105"/>
            </w:trPr>
            <w:tc>
              <w:tcPr>
                <w:tcW w:w="68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regulatory capital</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38,005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38,804</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41,173 </w:t>
                </w:r>
              </w:p>
            </w:tc>
          </w:tr>
          <w:tr w:rsidR="0064628A">
            <w:trPr>
              <w:trHeight w:val="105"/>
            </w:trPr>
            <w:tc>
              <w:tcPr>
                <w:tcW w:w="6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Risk-weighted assets</w:t>
                </w: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r>
          <w:tr w:rsidR="0064628A">
            <w:trPr>
              <w:trHeight w:val="105"/>
            </w:trPr>
            <w:tc>
              <w:tcPr>
                <w:tcW w:w="68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Credit risk</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131,000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136,200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137,900 </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Counterparty credit risk</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12,600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13,600 </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Market risk</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13,000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15,700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14,800 </w:t>
                </w:r>
              </w:p>
            </w:tc>
          </w:tr>
          <w:tr w:rsidR="0064628A">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Operational risk</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22,600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22,600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22,400 </w:t>
                </w:r>
              </w:p>
            </w:tc>
          </w:tr>
          <w:tr w:rsidR="0064628A">
            <w:trPr>
              <w:trHeight w:val="105"/>
            </w:trPr>
            <w:tc>
              <w:tcPr>
                <w:tcW w:w="6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RWAs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179,200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189,500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188,700 </w:t>
                </w:r>
              </w:p>
            </w:tc>
          </w:tr>
          <w:tr w:rsidR="0064628A">
            <w:trPr>
              <w:trHeight w:val="105"/>
            </w:trPr>
            <w:tc>
              <w:tcPr>
                <w:tcW w:w="68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Style w:val="font3"/>
                  </w:rPr>
                  <w:t xml:space="preserve">Leverage </w:t>
                </w:r>
                <w:r>
                  <w:rPr>
                    <w:rStyle w:val="font70"/>
                  </w:rPr>
                  <w:t>(1)</w:t>
                </w: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Cash and balances at central banks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77,900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84,300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88,900 </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Trading assets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76,700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91,600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75,100 </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Derivatives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150,000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175,800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133,300 </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Financial assets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399,100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396,400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377,500</w:t>
                </w:r>
              </w:p>
            </w:tc>
          </w:tr>
          <w:tr w:rsidR="0064628A">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Other assets</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19,300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28,400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19,400</w:t>
                </w:r>
              </w:p>
            </w:tc>
          </w:tr>
          <w:tr w:rsidR="0064628A">
            <w:trPr>
              <w:trHeight w:val="105"/>
            </w:trPr>
            <w:tc>
              <w:tcPr>
                <w:tcW w:w="6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assets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723,000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776,500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694,200 </w:t>
                </w:r>
              </w:p>
            </w:tc>
          </w:tr>
          <w:tr w:rsidR="0064628A">
            <w:trPr>
              <w:trHeight w:val="195"/>
            </w:trPr>
            <w:tc>
              <w:tcPr>
                <w:tcW w:w="68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Derivatives</w:t>
                </w: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 netting and variation margin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(157,800)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(189,800)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(141,300)</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 potential future exposures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43,000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47,200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42,100 </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Securities financing transactions gross up</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2,200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2,100 </w:t>
                </w: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Undrawn commitments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42,500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43,900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50,300 </w:t>
                </w:r>
              </w:p>
            </w:tc>
          </w:tr>
          <w:tr w:rsidR="0064628A">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Regulatory deductions and other adjustments</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(9,000)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(9,400)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(2,900)</w:t>
                </w:r>
              </w:p>
            </w:tc>
          </w:tr>
          <w:tr w:rsidR="0064628A">
            <w:trPr>
              <w:trHeight w:val="105"/>
            </w:trPr>
            <w:tc>
              <w:tcPr>
                <w:tcW w:w="6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CRR Leverage exposure </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643,900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670,100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644,500 </w:t>
                </w:r>
              </w:p>
            </w:tc>
          </w:tr>
          <w:tr w:rsidR="0064628A">
            <w:trPr>
              <w:trHeight w:val="105"/>
            </w:trPr>
            <w:tc>
              <w:tcPr>
                <w:tcW w:w="68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CRR leverage ratio%</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5.4 </w:t>
                </w:r>
              </w:p>
            </w:tc>
          </w:tr>
          <w:tr w:rsidR="0064628A">
            <w:trPr>
              <w:trHeight w:val="105"/>
            </w:trPr>
            <w:tc>
              <w:tcPr>
                <w:tcW w:w="6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 xml:space="preserve">UK leverage exposure </w:t>
                </w:r>
                <w:r>
                  <w:rPr>
                    <w:rStyle w:val="font6"/>
                  </w:rPr>
                  <w:t>(2)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570,300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589,500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559,500 </w:t>
                </w:r>
              </w:p>
            </w:tc>
          </w:tr>
          <w:tr w:rsidR="0064628A">
            <w:trPr>
              <w:trHeight w:val="105"/>
            </w:trPr>
            <w:tc>
              <w:tcPr>
                <w:tcW w:w="68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 xml:space="preserve">UK leverage ratio% </w:t>
                </w:r>
                <w:r>
                  <w:rPr>
                    <w:rStyle w:val="font6"/>
                  </w:rPr>
                  <w:t>(2)</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5.7</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6.2 </w:t>
                </w:r>
              </w:p>
            </w:tc>
          </w:tr>
        </w:tbl>
      </w:sdtContent>
    </w:sdt>
    <w:p w:rsidR="001862CC" w:rsidRPr="00572DEB" w:rsidRDefault="001862CC" w:rsidP="001862CC">
      <w:pPr>
        <w:pStyle w:val="Normal00"/>
        <w:spacing w:line="288" w:lineRule="auto"/>
        <w:jc w:val="both"/>
        <w:rPr>
          <w:rFonts w:ascii="Arial" w:hAnsi="Arial" w:cs="Arial"/>
          <w:sz w:val="12"/>
          <w:szCs w:val="12"/>
          <w:lang w:eastAsia="ja-JP"/>
        </w:rPr>
      </w:pPr>
    </w:p>
    <w:p w:rsidR="001862CC" w:rsidRPr="00572DEB" w:rsidRDefault="00FC1FDC" w:rsidP="001862CC">
      <w:pPr>
        <w:pStyle w:val="Normal00"/>
        <w:spacing w:line="288" w:lineRule="auto"/>
        <w:jc w:val="both"/>
        <w:rPr>
          <w:rFonts w:ascii="Arial" w:hAnsi="Arial" w:cs="Arial"/>
          <w:sz w:val="14"/>
          <w:szCs w:val="14"/>
          <w:lang w:eastAsia="ja-JP"/>
        </w:rPr>
      </w:pPr>
      <w:r w:rsidRPr="00572DEB">
        <w:rPr>
          <w:rFonts w:ascii="Arial" w:hAnsi="Arial" w:cs="Arial"/>
          <w:sz w:val="14"/>
          <w:szCs w:val="14"/>
          <w:lang w:eastAsia="ja-JP"/>
        </w:rPr>
        <w:t>Notes:</w:t>
      </w:r>
    </w:p>
    <w:tbl>
      <w:tblPr>
        <w:tblW w:w="10206" w:type="dxa"/>
        <w:tblLayout w:type="fixed"/>
        <w:tblCellMar>
          <w:left w:w="0" w:type="dxa"/>
          <w:right w:w="0" w:type="dxa"/>
        </w:tblCellMar>
        <w:tblLook w:val="0000" w:firstRow="0" w:lastRow="0" w:firstColumn="0" w:lastColumn="0" w:noHBand="0" w:noVBand="0"/>
      </w:tblPr>
      <w:tblGrid>
        <w:gridCol w:w="261"/>
        <w:gridCol w:w="9945"/>
      </w:tblGrid>
      <w:tr w:rsidR="0064628A" w:rsidTr="005F64C9">
        <w:tc>
          <w:tcPr>
            <w:tcW w:w="238" w:type="dxa"/>
          </w:tcPr>
          <w:p w:rsidR="001862CC" w:rsidRPr="00572DEB" w:rsidRDefault="00FC1FDC" w:rsidP="005F64C9">
            <w:pPr>
              <w:pStyle w:val="Normal00"/>
              <w:spacing w:line="288" w:lineRule="auto"/>
              <w:jc w:val="both"/>
              <w:rPr>
                <w:rFonts w:ascii="Arial" w:hAnsi="Arial" w:cs="Arial"/>
                <w:iCs/>
                <w:sz w:val="14"/>
                <w:szCs w:val="14"/>
                <w:lang w:eastAsia="ja-JP"/>
              </w:rPr>
            </w:pPr>
            <w:r w:rsidRPr="00572DEB">
              <w:rPr>
                <w:rFonts w:ascii="Arial" w:hAnsi="Arial" w:cs="Arial"/>
                <w:iCs/>
                <w:sz w:val="14"/>
                <w:szCs w:val="14"/>
                <w:lang w:eastAsia="ja-JP"/>
              </w:rPr>
              <w:t>(1)</w:t>
            </w:r>
          </w:p>
        </w:tc>
        <w:tc>
          <w:tcPr>
            <w:tcW w:w="9072" w:type="dxa"/>
          </w:tcPr>
          <w:p w:rsidR="001862CC" w:rsidRPr="00572DEB" w:rsidRDefault="00FC1FDC" w:rsidP="008E3436">
            <w:pPr>
              <w:pStyle w:val="Normal00"/>
              <w:spacing w:line="288" w:lineRule="auto"/>
              <w:rPr>
                <w:rFonts w:ascii="Arial" w:hAnsi="Arial" w:cs="Arial"/>
                <w:sz w:val="14"/>
                <w:szCs w:val="14"/>
              </w:rPr>
            </w:pPr>
            <w:r w:rsidRPr="00572DEB">
              <w:rPr>
                <w:rFonts w:ascii="Arial" w:hAnsi="Arial" w:cs="Arial"/>
                <w:sz w:val="14"/>
                <w:szCs w:val="14"/>
              </w:rPr>
              <w:t xml:space="preserve">Based on end-point </w:t>
            </w:r>
            <w:smartTag w:uri="urn:schemas-microsoft-com:office:smarttags" w:element="stockticker">
              <w:r w:rsidRPr="00572DEB">
                <w:rPr>
                  <w:rFonts w:ascii="Arial" w:hAnsi="Arial" w:cs="Arial"/>
                  <w:sz w:val="14"/>
                  <w:szCs w:val="14"/>
                </w:rPr>
                <w:t>CRR</w:t>
              </w:r>
            </w:smartTag>
            <w:r w:rsidRPr="00572DEB">
              <w:rPr>
                <w:rFonts w:ascii="Arial" w:hAnsi="Arial" w:cs="Arial"/>
                <w:sz w:val="14"/>
                <w:szCs w:val="14"/>
              </w:rPr>
              <w:t xml:space="preserve"> Tier 1 capital and leverage exposure under the CRR Delegated Act.</w:t>
            </w:r>
          </w:p>
        </w:tc>
      </w:tr>
      <w:tr w:rsidR="0064628A" w:rsidTr="005F64C9">
        <w:tc>
          <w:tcPr>
            <w:tcW w:w="238" w:type="dxa"/>
          </w:tcPr>
          <w:p w:rsidR="001862CC" w:rsidRPr="00572DEB" w:rsidRDefault="00FC1FDC" w:rsidP="005F64C9">
            <w:pPr>
              <w:pStyle w:val="Normal00"/>
              <w:spacing w:line="288" w:lineRule="auto"/>
              <w:jc w:val="both"/>
              <w:rPr>
                <w:rFonts w:ascii="Arial" w:hAnsi="Arial" w:cs="Arial"/>
                <w:iCs/>
                <w:sz w:val="14"/>
                <w:szCs w:val="14"/>
                <w:lang w:eastAsia="ja-JP"/>
              </w:rPr>
            </w:pPr>
            <w:r w:rsidRPr="00572DEB">
              <w:rPr>
                <w:rFonts w:ascii="Arial" w:hAnsi="Arial" w:cs="Arial"/>
                <w:iCs/>
                <w:sz w:val="14"/>
                <w:szCs w:val="14"/>
                <w:lang w:eastAsia="ja-JP"/>
              </w:rPr>
              <w:t>(2)</w:t>
            </w:r>
          </w:p>
        </w:tc>
        <w:tc>
          <w:tcPr>
            <w:tcW w:w="9072" w:type="dxa"/>
          </w:tcPr>
          <w:p w:rsidR="001862CC" w:rsidRPr="00572DEB" w:rsidRDefault="00FC1FDC" w:rsidP="008E3436">
            <w:pPr>
              <w:pStyle w:val="Normal00"/>
              <w:spacing w:line="288" w:lineRule="auto"/>
              <w:rPr>
                <w:rFonts w:ascii="Arial" w:hAnsi="Arial" w:cs="Arial"/>
                <w:sz w:val="14"/>
                <w:szCs w:val="14"/>
              </w:rPr>
            </w:pPr>
            <w:r w:rsidRPr="00572DEB">
              <w:rPr>
                <w:rFonts w:ascii="Arial" w:hAnsi="Arial" w:cs="Arial"/>
                <w:sz w:val="14"/>
                <w:szCs w:val="14"/>
              </w:rPr>
              <w:t>Based on end-point CRR Tier 1 capital and UK leverage exposures reflecting the post EU referendum measures announced by the Bank of England in the third quarter of 2016.</w:t>
            </w:r>
          </w:p>
        </w:tc>
      </w:tr>
    </w:tbl>
    <w:p w:rsidR="006B4F0F" w:rsidRDefault="006B4F0F" w:rsidP="001862CC"/>
    <w:p w:rsidR="006B4F0F" w:rsidRDefault="00FC1FDC" w:rsidP="006B4F0F">
      <w:pPr>
        <w:pStyle w:val="Normal00"/>
      </w:pPr>
      <w:r>
        <w:br w:type="page"/>
      </w:r>
    </w:p>
    <w:p w:rsidR="00921D7D" w:rsidRPr="001862CC" w:rsidRDefault="00921D7D" w:rsidP="001862CC">
      <w:pPr>
        <w:sectPr w:rsidR="00921D7D" w:rsidRPr="001862CC" w:rsidSect="001B061F">
          <w:headerReference w:type="even" r:id="rId52"/>
          <w:headerReference w:type="default" r:id="rId53"/>
          <w:footerReference w:type="even" r:id="rId54"/>
          <w:footerReference w:type="default" r:id="rId55"/>
          <w:headerReference w:type="first" r:id="rId56"/>
          <w:footerReference w:type="first" r:id="rId57"/>
          <w:type w:val="continuous"/>
          <w:pgSz w:w="11906" w:h="16838"/>
          <w:pgMar w:top="1134" w:right="851" w:bottom="680" w:left="851" w:header="708" w:footer="708" w:gutter="0"/>
          <w:cols w:space="708"/>
          <w:docGrid w:linePitch="360"/>
        </w:sectPr>
      </w:pPr>
    </w:p>
    <w:p w:rsidR="00594258" w:rsidRDefault="00FC1FDC" w:rsidP="00594258">
      <w:pPr>
        <w:pStyle w:val="Normal00"/>
        <w:rPr>
          <w:rFonts w:ascii="Arial" w:hAnsi="Arial"/>
          <w:b/>
          <w:color w:val="003366"/>
          <w:sz w:val="18"/>
          <w:szCs w:val="18"/>
          <w:lang w:eastAsia="ja-JP"/>
        </w:rPr>
      </w:pPr>
      <w:bookmarkStart w:id="16" w:name="RBSGCA_landscape_start"/>
      <w:r w:rsidRPr="001A22BE">
        <w:rPr>
          <w:rFonts w:ascii="Arial" w:hAnsi="Arial"/>
          <w:b/>
          <w:color w:val="003366"/>
          <w:sz w:val="18"/>
          <w:szCs w:val="18"/>
          <w:lang w:eastAsia="ja-JP"/>
        </w:rPr>
        <w:lastRenderedPageBreak/>
        <w:t>Segment performance</w:t>
      </w:r>
    </w:p>
    <w:bookmarkEnd w:id="16" w:displacedByCustomXml="next"/>
    <w:sdt>
      <w:sdtPr>
        <w:tag w:val="&lt;ReportPackage&gt;&lt;EmbeddedContent id=&quot;1dbd1e3e-515d-4580-854a-64d60791fa8f&quot; lastModified=&quot;1581639490587&quot;/&gt;&lt;/ReportPackage&gt;"/>
        <w:id w:val="1150315232"/>
        <w:lock w:val="contentLocked"/>
        <w:placeholder>
          <w:docPart w:val="45F21A25C6CD4FB88549149B53090A92"/>
        </w:placeholder>
      </w:sdtPr>
      <w:sdtEndPr/>
      <w:sdtContent>
        <w:tbl>
          <w:tblPr>
            <w:tblStyle w:val="table"/>
            <w:tblW w:w="15180" w:type="dxa"/>
            <w:tblInd w:w="5" w:type="dxa"/>
            <w:tblCellMar>
              <w:left w:w="0" w:type="dxa"/>
              <w:right w:w="0" w:type="dxa"/>
            </w:tblCellMar>
            <w:tblLook w:val="05E0" w:firstRow="1" w:lastRow="1" w:firstColumn="1" w:lastColumn="1" w:noHBand="0" w:noVBand="1"/>
          </w:tblPr>
          <w:tblGrid>
            <w:gridCol w:w="6210"/>
            <w:gridCol w:w="1110"/>
            <w:gridCol w:w="1110"/>
            <w:gridCol w:w="60"/>
            <w:gridCol w:w="1110"/>
            <w:gridCol w:w="1110"/>
            <w:gridCol w:w="1110"/>
            <w:gridCol w:w="30"/>
            <w:gridCol w:w="1110"/>
            <w:gridCol w:w="1110"/>
            <w:gridCol w:w="1110"/>
          </w:tblGrid>
          <w:tr w:rsidR="0064628A">
            <w:trPr>
              <w:trHeight w:val="210"/>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3366"/>
                    <w:sz w:val="18"/>
                    <w:szCs w:val="18"/>
                  </w:rPr>
                </w:pPr>
              </w:p>
            </w:tc>
            <w:tc>
              <w:tcPr>
                <w:tcW w:w="8970" w:type="dxa"/>
                <w:gridSpan w:val="10"/>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Year ended 31 December 2019</w:t>
                </w:r>
              </w:p>
            </w:tc>
          </w:tr>
          <w:tr w:rsidR="0064628A">
            <w:trPr>
              <w:trHeight w:val="210"/>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1110" w:type="dxa"/>
                <w:gridSpan w:val="2"/>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Central</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UK Personal</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Ulster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Commercial</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Private</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RBS</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NatWest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 items &amp;</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Total</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Banking</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Bank RoI</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Banking</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Banking</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International</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Markets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Style w:val="font178"/>
                  </w:rPr>
                  <w:t xml:space="preserve">other </w:t>
                </w:r>
                <w:r>
                  <w:rPr>
                    <w:rStyle w:val="font176"/>
                  </w:rPr>
                  <w:t>(1)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RBS</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 xml:space="preserve">£m </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3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 xml:space="preserve">Income statement </w:t>
                </w: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income</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4,130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400</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2,842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521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478</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8,047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Non-interest income</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736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167</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1,476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132</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1,166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1,318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5,251</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Own credit adjustments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(80)</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Strategic disposals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444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591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1,035</w:t>
                </w:r>
              </w:p>
            </w:tc>
          </w:tr>
          <w:tr w:rsidR="0064628A">
            <w:trPr>
              <w:trHeight w:val="195"/>
            </w:trPr>
            <w:tc>
              <w:tcPr>
                <w:tcW w:w="62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 xml:space="preserve">Total income </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4,866</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567</w:t>
                </w:r>
              </w:p>
            </w:tc>
            <w:tc>
              <w:tcPr>
                <w:tcW w:w="6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4,318</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777</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610</w:t>
                </w:r>
              </w:p>
            </w:tc>
            <w:tc>
              <w:tcPr>
                <w:tcW w:w="3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1,342</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1,773</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14,253</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Direct expenses - staff costs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(612)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(197)</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(748)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(120)</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(626)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(1,102)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(3,567)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 other costs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(360)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(96)</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(296)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(57)</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(202)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(2,405)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(3,482)</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Indirect expenses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(1,431)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(177)</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(1,193)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(211)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(67)</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(350)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3,429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Strategic costs</w:t>
                </w:r>
                <w:r>
                  <w:rPr>
                    <w:rFonts w:ascii="Times New Roman" w:eastAsia="Times New Roman" w:hAnsi="Times New Roman" w:cs="Times New Roman"/>
                    <w:color w:val="000000"/>
                    <w:szCs w:val="16"/>
                  </w:rPr>
                  <w:t xml:space="preserve">  </w:t>
                </w:r>
                <w:r>
                  <w:rPr>
                    <w:rFonts w:eastAsia="Arial" w:cs="Arial"/>
                    <w:color w:val="000000"/>
                    <w:szCs w:val="16"/>
                  </w:rPr>
                  <w:t>- direct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(33)</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(1,076)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(1,381)</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 indirect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(273)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(27)</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626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Litigation and conduct costs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(925)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(22)</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(895)</w:t>
                </w:r>
              </w:p>
            </w:tc>
          </w:tr>
          <w:tr w:rsidR="0064628A">
            <w:trPr>
              <w:trHeight w:val="195"/>
            </w:trPr>
            <w:tc>
              <w:tcPr>
                <w:tcW w:w="62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Operating expenses</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(3,618)</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(552)</w:t>
                </w:r>
              </w:p>
            </w:tc>
            <w:tc>
              <w:tcPr>
                <w:tcW w:w="6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(2,600)</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(486)</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(264)</w:t>
                </w:r>
              </w:p>
            </w:tc>
            <w:tc>
              <w:tcPr>
                <w:tcW w:w="3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(1,418)</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(387)</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(9,325)</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profit/(loss) before impairment (losses)/releases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1,248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1,718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291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346</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1,386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4,928</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(losses)/releases</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(393)</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34</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(391)</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w:t>
                </w:r>
              </w:p>
            </w:tc>
            <w:tc>
              <w:tcPr>
                <w:tcW w:w="30" w:type="dxa"/>
                <w:tcBorders>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51</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(696)</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Operating profit/(loss)</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855</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49</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1,327</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297</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344</w:t>
                </w:r>
              </w:p>
            </w:tc>
            <w:tc>
              <w:tcPr>
                <w:tcW w:w="30" w:type="dxa"/>
                <w:tcBorders>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1,385</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4,232</w:t>
                </w:r>
              </w:p>
            </w:tc>
          </w:tr>
          <w:tr w:rsidR="0064628A">
            <w:trPr>
              <w:trHeight w:val="195"/>
            </w:trPr>
            <w:tc>
              <w:tcPr>
                <w:tcW w:w="62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Additional information</w:t>
                </w: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6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3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Return on equity</w:t>
                </w:r>
                <w:r>
                  <w:rPr>
                    <w:rStyle w:val="font175"/>
                  </w:rPr>
                  <w:t> (2)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25.7%</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9.4%</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Cost:income ratio</w:t>
                </w:r>
                <w:r>
                  <w:rPr>
                    <w:rStyle w:val="font175"/>
                  </w:rPr>
                  <w:t> (2)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74.4%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97.4%</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58.9%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62.5%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43.3%</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105.7%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65.1%</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assets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182.3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25.4</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165.4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31.7</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263.9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31.0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723.0</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Funded assets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182.3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25.4</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165.4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31.7</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116.2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28.7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573.0</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loans to customers - amortised cost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158.9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18.2</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101.2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14.1</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326.9</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 xml:space="preserve">Loan impairment rate </w:t>
                </w:r>
                <w:r>
                  <w:rPr>
                    <w:rStyle w:val="font175"/>
                  </w:rPr>
                  <w:t>(2)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25bps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(18)bps</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38bps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21bps</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provisions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(0.8)</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provisions - stage 3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(0.7)</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Customer deposits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150.3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18.5</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135.0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28.4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30.1</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369.2</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Risk-weighted assets (RWAs)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37.8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13.0</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72.5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6.5</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37.9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179.2</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RWA equivalent (RWAe)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38.2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13.2</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72.8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6.7</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40.5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183.2</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Employee numbers (FTEs - thousands) </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20.3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2.9</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21.9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64.0</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Average interest earning assets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167.2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25.1</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145.9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21.7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29.9</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35.4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448.6</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margin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2.47%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1.59%</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2.40%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1.60%</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(0.53%)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1.79%</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 xml:space="preserve">Third party customer asset rate </w:t>
                </w:r>
                <w:r>
                  <w:rPr>
                    <w:rStyle w:val="font175"/>
                  </w:rPr>
                  <w:t>(3)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2.27%</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3.16%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2.91%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2.89%</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Third party customer funding rate</w:t>
                </w:r>
                <w:r>
                  <w:rPr>
                    <w:rStyle w:val="font175"/>
                  </w:rPr>
                  <w:t> (3)</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(0.38%)</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(0.16%)</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(0.43%)</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(0.43%)</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(0.13%)</w:t>
                </w:r>
              </w:p>
            </w:tc>
            <w:tc>
              <w:tcPr>
                <w:tcW w:w="30" w:type="dxa"/>
                <w:tcBorders>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r>
        </w:tbl>
      </w:sdtContent>
    </w:sdt>
    <w:p w:rsidR="00F94786" w:rsidRDefault="00F94786" w:rsidP="00594258">
      <w:pPr>
        <w:pStyle w:val="Normal00"/>
        <w:rPr>
          <w:rFonts w:ascii="Arial" w:hAnsi="Arial"/>
          <w:b/>
          <w:color w:val="003366"/>
          <w:sz w:val="18"/>
          <w:szCs w:val="18"/>
          <w:lang w:eastAsia="ja-JP"/>
        </w:rPr>
      </w:pPr>
    </w:p>
    <w:p w:rsidR="00594258" w:rsidRPr="001A22BE" w:rsidRDefault="00FC1FDC" w:rsidP="00594258">
      <w:pPr>
        <w:pStyle w:val="Normal00"/>
        <w:rPr>
          <w:rFonts w:ascii="Arial" w:hAnsi="Arial"/>
          <w:b/>
          <w:color w:val="003366"/>
          <w:sz w:val="18"/>
          <w:szCs w:val="18"/>
          <w:lang w:eastAsia="ja-JP"/>
        </w:rPr>
      </w:pPr>
      <w:r>
        <w:rPr>
          <w:rFonts w:ascii="Arial" w:eastAsia="Arial" w:hAnsi="Arial" w:cs="Arial"/>
          <w:color w:val="000000"/>
          <w:sz w:val="16"/>
        </w:rPr>
        <w:t xml:space="preserve">For the notes to this table, refer to page </w:t>
      </w:r>
      <w:r>
        <w:rPr>
          <w:rFonts w:ascii="Arial" w:eastAsia="Arial" w:hAnsi="Arial" w:cs="Arial"/>
          <w:color w:val="000000"/>
          <w:sz w:val="16"/>
        </w:rPr>
        <w:fldChar w:fldCharType="begin"/>
      </w:r>
      <w:r>
        <w:rPr>
          <w:rFonts w:ascii="Arial" w:eastAsia="Arial" w:hAnsi="Arial" w:cs="Arial"/>
          <w:color w:val="000000"/>
          <w:sz w:val="16"/>
        </w:rPr>
        <w:instrText xml:space="preserve"> pageref RBSGCA_landscape_footnotes </w:instrText>
      </w:r>
      <w:r>
        <w:rPr>
          <w:rFonts w:ascii="Arial" w:eastAsia="Arial" w:hAnsi="Arial" w:cs="Arial"/>
          <w:color w:val="000000"/>
          <w:sz w:val="16"/>
        </w:rPr>
        <w:fldChar w:fldCharType="separate"/>
      </w:r>
      <w:r>
        <w:rPr>
          <w:rFonts w:ascii="Arial" w:eastAsia="Arial" w:hAnsi="Arial" w:cs="Arial"/>
          <w:color w:val="000000"/>
          <w:sz w:val="16"/>
        </w:rPr>
        <w:t>22</w:t>
      </w:r>
      <w:r>
        <w:rPr>
          <w:rFonts w:ascii="Arial" w:eastAsia="Arial" w:hAnsi="Arial" w:cs="Arial"/>
          <w:color w:val="000000"/>
          <w:sz w:val="16"/>
        </w:rPr>
        <w:fldChar w:fldCharType="end"/>
      </w:r>
      <w:r>
        <w:rPr>
          <w:rFonts w:ascii="Arial" w:eastAsia="Arial" w:hAnsi="Arial" w:cs="Arial"/>
          <w:color w:val="000000"/>
          <w:sz w:val="16"/>
        </w:rPr>
        <w:t>. nm = not meaningful.</w:t>
      </w:r>
    </w:p>
    <w:p w:rsidR="00F94786" w:rsidRDefault="00FC1FDC">
      <w:pPr>
        <w:spacing w:after="200"/>
        <w:rPr>
          <w:b/>
          <w:color w:val="003366"/>
          <w:sz w:val="18"/>
          <w:szCs w:val="18"/>
          <w:lang w:eastAsia="ja-JP"/>
        </w:rPr>
      </w:pPr>
      <w:r w:rsidRPr="001A22BE">
        <w:rPr>
          <w:b/>
          <w:color w:val="003366"/>
          <w:sz w:val="18"/>
          <w:szCs w:val="18"/>
          <w:lang w:eastAsia="ja-JP"/>
        </w:rPr>
        <w:br w:type="page"/>
      </w:r>
    </w:p>
    <w:p w:rsidR="00594258" w:rsidRPr="001A22BE" w:rsidRDefault="00594258" w:rsidP="00594258">
      <w:pPr>
        <w:spacing w:line="4" w:lineRule="exact"/>
        <w:rPr>
          <w:b/>
          <w:color w:val="003366"/>
          <w:sz w:val="18"/>
          <w:szCs w:val="18"/>
          <w:lang w:eastAsia="ja-JP"/>
        </w:rPr>
      </w:pPr>
    </w:p>
    <w:p w:rsidR="00594258" w:rsidRDefault="00FC1FDC" w:rsidP="00594258">
      <w:pPr>
        <w:pStyle w:val="Normal00"/>
        <w:rPr>
          <w:rFonts w:ascii="Arial" w:hAnsi="Arial"/>
          <w:b/>
          <w:color w:val="003366"/>
          <w:sz w:val="18"/>
          <w:szCs w:val="18"/>
          <w:lang w:eastAsia="ja-JP"/>
        </w:rPr>
      </w:pPr>
      <w:r w:rsidRPr="001A22BE">
        <w:rPr>
          <w:rFonts w:ascii="Arial" w:hAnsi="Arial"/>
          <w:b/>
          <w:color w:val="003366"/>
          <w:sz w:val="18"/>
          <w:szCs w:val="18"/>
          <w:lang w:eastAsia="ja-JP"/>
        </w:rPr>
        <w:t>Segment performance</w:t>
      </w:r>
    </w:p>
    <w:sdt>
      <w:sdtPr>
        <w:tag w:val="&lt;ReportPackage&gt;&lt;EmbeddedContent id=&quot;1b1c0730-c478-4c0c-a58b-3c87d5c509b5&quot; lastModified=&quot;1581639490587&quot;/&gt;&lt;/ReportPackage&gt;"/>
        <w:id w:val="1258987804"/>
        <w:lock w:val="contentLocked"/>
        <w:placeholder>
          <w:docPart w:val="27A380D7BF2A4BE585D0E20BC12A266A"/>
        </w:placeholder>
      </w:sdtPr>
      <w:sdtEndPr/>
      <w:sdtContent>
        <w:tbl>
          <w:tblPr>
            <w:tblStyle w:val="table"/>
            <w:tblW w:w="15180" w:type="dxa"/>
            <w:tblInd w:w="5" w:type="dxa"/>
            <w:tblCellMar>
              <w:left w:w="0" w:type="dxa"/>
              <w:right w:w="0" w:type="dxa"/>
            </w:tblCellMar>
            <w:tblLook w:val="05E0" w:firstRow="1" w:lastRow="1" w:firstColumn="1" w:lastColumn="1" w:noHBand="0" w:noVBand="1"/>
          </w:tblPr>
          <w:tblGrid>
            <w:gridCol w:w="6210"/>
            <w:gridCol w:w="1110"/>
            <w:gridCol w:w="1110"/>
            <w:gridCol w:w="60"/>
            <w:gridCol w:w="1110"/>
            <w:gridCol w:w="1110"/>
            <w:gridCol w:w="1110"/>
            <w:gridCol w:w="30"/>
            <w:gridCol w:w="1110"/>
            <w:gridCol w:w="1110"/>
            <w:gridCol w:w="1110"/>
          </w:tblGrid>
          <w:tr w:rsidR="0064628A">
            <w:trPr>
              <w:trHeight w:val="210"/>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3366"/>
                    <w:sz w:val="18"/>
                    <w:szCs w:val="18"/>
                  </w:rPr>
                </w:pPr>
              </w:p>
            </w:tc>
            <w:tc>
              <w:tcPr>
                <w:tcW w:w="8970" w:type="dxa"/>
                <w:gridSpan w:val="10"/>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color w:val="003366"/>
                    <w:szCs w:val="16"/>
                  </w:rPr>
                </w:pPr>
                <w:r>
                  <w:rPr>
                    <w:rFonts w:eastAsia="Arial" w:cs="Arial"/>
                    <w:color w:val="003366"/>
                    <w:szCs w:val="16"/>
                  </w:rPr>
                  <w:t>Year ended 31 December 2018</w:t>
                </w:r>
              </w:p>
            </w:tc>
          </w:tr>
          <w:tr w:rsidR="0064628A">
            <w:trPr>
              <w:trHeight w:val="210"/>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3366"/>
                    <w:sz w:val="18"/>
                    <w:szCs w:val="18"/>
                  </w:rPr>
                </w:pPr>
              </w:p>
            </w:tc>
            <w:tc>
              <w:tcPr>
                <w:tcW w:w="1110" w:type="dxa"/>
                <w:gridSpan w:val="2"/>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Central</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UK Personal</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Ulster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Commercial</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Private</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RBS</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NatWest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 items &amp;</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Total</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Banking</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Bank RoI</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Banking</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Banking</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International</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Markets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Style w:val="font173"/>
                  </w:rPr>
                  <w:t xml:space="preserve">other </w:t>
                </w:r>
                <w:r>
                  <w:rPr>
                    <w:rStyle w:val="font176"/>
                  </w:rPr>
                  <w:t>(1)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RBS</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 xml:space="preserve">£m </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3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 xml:space="preserve">Income statement </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income</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4,283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444</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2,855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518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466</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8,656</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Non-interest income</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771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166</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1,747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257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128</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1,238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4,654</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Own credit adjustments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92</w:t>
                </w:r>
              </w:p>
            </w:tc>
          </w:tr>
          <w:tr w:rsidR="0064628A">
            <w:trPr>
              <w:trHeight w:val="195"/>
            </w:trPr>
            <w:tc>
              <w:tcPr>
                <w:tcW w:w="62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 xml:space="preserve">Total income </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5,054</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610</w:t>
                </w:r>
              </w:p>
            </w:tc>
            <w:tc>
              <w:tcPr>
                <w:tcW w:w="6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4,602</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775</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594</w:t>
                </w:r>
              </w:p>
            </w:tc>
            <w:tc>
              <w:tcPr>
                <w:tcW w:w="3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1,442</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325</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13,402</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Direct expenses - staff costs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(698)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(739)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(102)</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(557)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(1,190)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(3,649)</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Fonts w:ascii="Times New Roman" w:eastAsia="Times New Roman" w:hAnsi="Times New Roman" w:cs="Times New Roman"/>
                  </w:rPr>
                  <w:t xml:space="preserve">                         </w:t>
                </w:r>
                <w:r>
                  <w:rPr>
                    <w:rStyle w:val="font174"/>
                  </w:rPr>
                  <w:t>- other costs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(255)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(67)</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(2,712)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(3,710)</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Indirect expenses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(1,464)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(185)</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(1,294)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(91)</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3,678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Strategic costs</w:t>
                </w:r>
                <w:r>
                  <w:rPr>
                    <w:rFonts w:ascii="Times New Roman" w:eastAsia="Times New Roman" w:hAnsi="Times New Roman" w:cs="Times New Roman"/>
                    <w:color w:val="000000"/>
                    <w:szCs w:val="16"/>
                  </w:rPr>
                  <w:t xml:space="preserve">  </w:t>
                </w:r>
                <w:r>
                  <w:rPr>
                    <w:rFonts w:eastAsia="Arial" w:cs="Arial"/>
                    <w:color w:val="000000"/>
                    <w:szCs w:val="16"/>
                  </w:rPr>
                  <w:t>- direct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(730)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(1,004)</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 indirect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397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Litigation and conduct costs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(809)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(1,282)</w:t>
                </w:r>
              </w:p>
            </w:tc>
          </w:tr>
          <w:tr w:rsidR="0064628A">
            <w:trPr>
              <w:trHeight w:val="195"/>
            </w:trPr>
            <w:tc>
              <w:tcPr>
                <w:tcW w:w="62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Operating expenses</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(2,867)</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(583)</w:t>
                </w:r>
              </w:p>
            </w:tc>
            <w:tc>
              <w:tcPr>
                <w:tcW w:w="6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(2,487)</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(478)</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(260)</w:t>
                </w:r>
              </w:p>
            </w:tc>
            <w:tc>
              <w:tcPr>
                <w:tcW w:w="3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(1,604)</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(1,366)</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(9,645)</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profit/(loss) before impairment (losses)/releases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2,187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2,115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334</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(1,041)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3,757</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(losses)/releases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(147)</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3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92</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(398)</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Operating profit/(loss)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1,848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1,968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336</w:t>
                </w:r>
              </w:p>
            </w:tc>
            <w:tc>
              <w:tcPr>
                <w:tcW w:w="3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(1,038)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3,359</w:t>
                </w:r>
              </w:p>
            </w:tc>
          </w:tr>
          <w:tr w:rsidR="0064628A">
            <w:trPr>
              <w:trHeight w:val="195"/>
            </w:trPr>
            <w:tc>
              <w:tcPr>
                <w:tcW w:w="62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Additional information</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Return on equity</w:t>
                </w:r>
                <w:r>
                  <w:rPr>
                    <w:rStyle w:val="font175"/>
                  </w:rPr>
                  <w:t> (2)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0.5%</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24.4%</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4.8%</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Cost:income ratio</w:t>
                </w:r>
                <w:r>
                  <w:rPr>
                    <w:rStyle w:val="font175"/>
                  </w:rPr>
                  <w:t> (2)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56.7%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95.6%</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52.8%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61.7%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43.8%</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111.2%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71.7%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assets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171.0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25.2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166.4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28.4</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244.5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36.7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694.2</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Funded assets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171.0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25.2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166.4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28.4</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111.4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36.5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560.9</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loans to customers - amortised cost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148.9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101.4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13.3</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305.1</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 xml:space="preserve">Loan impairment rate </w:t>
                </w:r>
                <w:r>
                  <w:rPr>
                    <w:rStyle w:val="font175"/>
                  </w:rPr>
                  <w:t>(2)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23bps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8bps</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14bps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13bps</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provisions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provisions - stage 3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Customer deposits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145.3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18.0</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134.4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27.5</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360.9</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Risk-weighted assets (RWAs)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78.4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6.9</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44.9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188.7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RWA equivalent (RWAe)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79.7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6.9</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196.5</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Employee numbers (FTEs - thousands) </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67.1</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Average interest earning assets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160.6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145.3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27.3</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27.9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437.0</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margin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1.79%</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2.52%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1.71%</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0.40%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1.98%</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 xml:space="preserve">Third party customer asset rate </w:t>
                </w:r>
                <w:r>
                  <w:rPr>
                    <w:rStyle w:val="font175"/>
                  </w:rPr>
                  <w:t>(3)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2.88%</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 xml:space="preserve">Third party customer funding rate </w:t>
                </w:r>
                <w:r>
                  <w:rPr>
                    <w:rStyle w:val="font175"/>
                  </w:rPr>
                  <w:t>(3)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(0.31%)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(0.20%)</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(0.30%)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(0.25%)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(0.09%)</w:t>
                </w:r>
              </w:p>
            </w:tc>
            <w:tc>
              <w:tcPr>
                <w:tcW w:w="3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r>
        </w:tbl>
      </w:sdtContent>
    </w:sdt>
    <w:p w:rsidR="00187FA5" w:rsidRDefault="00187FA5" w:rsidP="00594258">
      <w:pPr>
        <w:pStyle w:val="Normal00"/>
        <w:rPr>
          <w:rFonts w:ascii="Arial" w:hAnsi="Arial"/>
          <w:b/>
          <w:color w:val="003366"/>
          <w:sz w:val="18"/>
          <w:szCs w:val="18"/>
          <w:lang w:eastAsia="ja-JP"/>
        </w:rPr>
      </w:pPr>
    </w:p>
    <w:p w:rsidR="00F94786" w:rsidRPr="001A22BE" w:rsidRDefault="00FC1FDC" w:rsidP="00F94786">
      <w:pPr>
        <w:pStyle w:val="Normal00"/>
        <w:rPr>
          <w:rFonts w:ascii="Arial" w:hAnsi="Arial"/>
          <w:b/>
          <w:color w:val="003366"/>
          <w:sz w:val="18"/>
          <w:szCs w:val="18"/>
          <w:lang w:eastAsia="ja-JP"/>
        </w:rPr>
      </w:pPr>
      <w:r>
        <w:rPr>
          <w:rFonts w:ascii="Arial" w:eastAsia="Arial" w:hAnsi="Arial" w:cs="Arial"/>
          <w:color w:val="000000"/>
          <w:sz w:val="16"/>
        </w:rPr>
        <w:t xml:space="preserve">For the notes to this table, refer to page </w:t>
      </w:r>
      <w:r>
        <w:rPr>
          <w:rFonts w:ascii="Arial" w:eastAsia="Arial" w:hAnsi="Arial" w:cs="Arial"/>
          <w:color w:val="000000"/>
          <w:sz w:val="16"/>
        </w:rPr>
        <w:fldChar w:fldCharType="begin"/>
      </w:r>
      <w:r>
        <w:rPr>
          <w:rFonts w:ascii="Arial" w:eastAsia="Arial" w:hAnsi="Arial" w:cs="Arial"/>
          <w:color w:val="000000"/>
          <w:sz w:val="16"/>
        </w:rPr>
        <w:instrText xml:space="preserve"> pageref RBSGCA_landscape_footnotes </w:instrText>
      </w:r>
      <w:r>
        <w:rPr>
          <w:rFonts w:ascii="Arial" w:eastAsia="Arial" w:hAnsi="Arial" w:cs="Arial"/>
          <w:color w:val="000000"/>
          <w:sz w:val="16"/>
        </w:rPr>
        <w:fldChar w:fldCharType="separate"/>
      </w:r>
      <w:r>
        <w:rPr>
          <w:rFonts w:ascii="Arial" w:eastAsia="Arial" w:hAnsi="Arial" w:cs="Arial"/>
          <w:color w:val="000000"/>
          <w:sz w:val="16"/>
        </w:rPr>
        <w:t>22</w:t>
      </w:r>
      <w:r>
        <w:rPr>
          <w:rFonts w:ascii="Arial" w:eastAsia="Arial" w:hAnsi="Arial" w:cs="Arial"/>
          <w:color w:val="000000"/>
          <w:sz w:val="16"/>
        </w:rPr>
        <w:fldChar w:fldCharType="end"/>
      </w:r>
      <w:r>
        <w:rPr>
          <w:rFonts w:ascii="Arial" w:eastAsia="Arial" w:hAnsi="Arial" w:cs="Arial"/>
          <w:color w:val="000000"/>
          <w:sz w:val="16"/>
        </w:rPr>
        <w:t>. nm = not meaningful.</w:t>
      </w:r>
    </w:p>
    <w:p w:rsidR="00594258" w:rsidRPr="001A22BE" w:rsidRDefault="00FC1FDC" w:rsidP="00594258">
      <w:pPr>
        <w:spacing w:line="4" w:lineRule="exact"/>
        <w:rPr>
          <w:b/>
          <w:color w:val="003366"/>
          <w:sz w:val="18"/>
          <w:szCs w:val="18"/>
          <w:lang w:eastAsia="ja-JP"/>
        </w:rPr>
      </w:pPr>
      <w:r w:rsidRPr="001A22BE">
        <w:rPr>
          <w:b/>
          <w:color w:val="003366"/>
          <w:sz w:val="18"/>
          <w:szCs w:val="18"/>
          <w:lang w:eastAsia="ja-JP"/>
        </w:rPr>
        <w:br w:type="page"/>
      </w:r>
    </w:p>
    <w:p w:rsidR="00594258" w:rsidRDefault="00FC1FDC" w:rsidP="00594258">
      <w:pPr>
        <w:pStyle w:val="Normal00"/>
        <w:rPr>
          <w:rFonts w:ascii="Arial" w:hAnsi="Arial"/>
          <w:b/>
          <w:color w:val="003366"/>
          <w:sz w:val="18"/>
          <w:szCs w:val="18"/>
          <w:lang w:eastAsia="ja-JP"/>
        </w:rPr>
      </w:pPr>
      <w:r w:rsidRPr="001A22BE">
        <w:rPr>
          <w:rFonts w:ascii="Arial" w:hAnsi="Arial"/>
          <w:b/>
          <w:color w:val="003366"/>
          <w:sz w:val="18"/>
          <w:szCs w:val="18"/>
          <w:lang w:eastAsia="ja-JP"/>
        </w:rPr>
        <w:lastRenderedPageBreak/>
        <w:t>Segment performance</w:t>
      </w:r>
    </w:p>
    <w:sdt>
      <w:sdtPr>
        <w:tag w:val="&lt;ReportPackage&gt;&lt;EmbeddedContent id=&quot;bad41d4d-0753-4726-a183-5afacad36cc2&quot; lastModified=&quot;1581639490587&quot;/&gt;&lt;/ReportPackage&gt;"/>
        <w:id w:val="1738489572"/>
        <w:lock w:val="contentLocked"/>
        <w:placeholder>
          <w:docPart w:val="35C6F6C18E924146AA292B533D810B86"/>
        </w:placeholder>
      </w:sdtPr>
      <w:sdtEndPr/>
      <w:sdtContent>
        <w:tbl>
          <w:tblPr>
            <w:tblStyle w:val="table"/>
            <w:tblW w:w="15180" w:type="dxa"/>
            <w:tblInd w:w="5" w:type="dxa"/>
            <w:tblCellMar>
              <w:left w:w="0" w:type="dxa"/>
              <w:right w:w="0" w:type="dxa"/>
            </w:tblCellMar>
            <w:tblLook w:val="05E0" w:firstRow="1" w:lastRow="1" w:firstColumn="1" w:lastColumn="1" w:noHBand="0" w:noVBand="1"/>
          </w:tblPr>
          <w:tblGrid>
            <w:gridCol w:w="6210"/>
            <w:gridCol w:w="1110"/>
            <w:gridCol w:w="1110"/>
            <w:gridCol w:w="60"/>
            <w:gridCol w:w="1110"/>
            <w:gridCol w:w="1110"/>
            <w:gridCol w:w="1110"/>
            <w:gridCol w:w="30"/>
            <w:gridCol w:w="1110"/>
            <w:gridCol w:w="1110"/>
            <w:gridCol w:w="1110"/>
          </w:tblGrid>
          <w:tr w:rsidR="0064628A">
            <w:trPr>
              <w:trHeight w:val="210"/>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3366"/>
                    <w:sz w:val="18"/>
                    <w:szCs w:val="18"/>
                  </w:rPr>
                </w:pPr>
              </w:p>
            </w:tc>
            <w:tc>
              <w:tcPr>
                <w:tcW w:w="8970" w:type="dxa"/>
                <w:gridSpan w:val="10"/>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Quarter ended 31 December 2019</w:t>
                </w:r>
              </w:p>
            </w:tc>
          </w:tr>
          <w:tr w:rsidR="0064628A">
            <w:trPr>
              <w:trHeight w:val="210"/>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3366"/>
                    <w:sz w:val="18"/>
                    <w:szCs w:val="18"/>
                  </w:rPr>
                </w:pPr>
              </w:p>
            </w:tc>
            <w:tc>
              <w:tcPr>
                <w:tcW w:w="1110" w:type="dxa"/>
                <w:gridSpan w:val="2"/>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Central</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r>
          <w:tr w:rsidR="0064628A">
            <w:trPr>
              <w:trHeight w:val="195"/>
            </w:trPr>
            <w:tc>
              <w:tcPr>
                <w:tcW w:w="6210" w:type="dxa"/>
                <w:gridSpan w:val="2"/>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UK Personal</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Ulster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Commercial</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Private</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RBS</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NatWest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 items &amp;</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Total</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Banking</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Bank RoI</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Banking</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Banking</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International</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Markets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Style w:val="font178"/>
                  </w:rPr>
                  <w:t xml:space="preserve">other </w:t>
                </w:r>
                <w:r>
                  <w:rPr>
                    <w:rStyle w:val="font176"/>
                  </w:rPr>
                  <w:t>(1)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RBS</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 xml:space="preserve">£m </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3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 xml:space="preserve">Income statement </w:t>
                </w: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income</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1,012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98</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715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117</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2,037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Non-interest income</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42</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361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33</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276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1,258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2,218</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Own credit adjustments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(22)</w:t>
                </w:r>
              </w:p>
            </w:tc>
          </w:tr>
          <w:tr w:rsidR="0064628A">
            <w:trPr>
              <w:trHeight w:val="195"/>
            </w:trPr>
            <w:tc>
              <w:tcPr>
                <w:tcW w:w="62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 xml:space="preserve">Total income </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1,195</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139</w:t>
                </w:r>
              </w:p>
            </w:tc>
            <w:tc>
              <w:tcPr>
                <w:tcW w:w="6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1,076</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195</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150</w:t>
                </w:r>
              </w:p>
            </w:tc>
            <w:tc>
              <w:tcPr>
                <w:tcW w:w="3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250</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1,228</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4,233</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Direct expenses - staff costs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(38)</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(31)</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(286)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(835)</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Fonts w:ascii="Times New Roman" w:eastAsia="Times New Roman" w:hAnsi="Times New Roman" w:cs="Times New Roman"/>
                  </w:rPr>
                  <w:t xml:space="preserve">                                    </w:t>
                </w:r>
                <w:r>
                  <w:rPr>
                    <w:rStyle w:val="font174"/>
                  </w:rPr>
                  <w:t>- other costs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(26)</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(20)</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(768)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(1,070)</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Indirect expenses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(399)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(46)</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(330)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(27)</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972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Strategic costs</w:t>
                </w:r>
                <w:r>
                  <w:rPr>
                    <w:rFonts w:ascii="Times New Roman" w:eastAsia="Times New Roman" w:hAnsi="Times New Roman" w:cs="Times New Roman"/>
                    <w:color w:val="000000"/>
                    <w:szCs w:val="16"/>
                  </w:rPr>
                  <w:t xml:space="preserve">  </w:t>
                </w:r>
                <w:r>
                  <w:rPr>
                    <w:rFonts w:eastAsia="Arial" w:cs="Arial"/>
                    <w:color w:val="000000"/>
                    <w:szCs w:val="16"/>
                  </w:rPr>
                  <w:t>- direct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(21)</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(402)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(537)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 indirect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Litigation and conduct costs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(85)</w:t>
                </w:r>
              </w:p>
            </w:tc>
          </w:tr>
          <w:tr w:rsidR="0064628A">
            <w:trPr>
              <w:trHeight w:val="195"/>
            </w:trPr>
            <w:tc>
              <w:tcPr>
                <w:tcW w:w="62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Operating expenses</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(788)</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(140)</w:t>
                </w:r>
              </w:p>
            </w:tc>
            <w:tc>
              <w:tcPr>
                <w:tcW w:w="6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(700)</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(135)</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(83)</w:t>
                </w:r>
              </w:p>
            </w:tc>
            <w:tc>
              <w:tcPr>
                <w:tcW w:w="3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(392)</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(289)</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(2,527)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profit before impairment (losses)/releases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407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376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67</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939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1,706</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(losses)/releases</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(81)</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(81)</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w:t>
                </w:r>
              </w:p>
            </w:tc>
            <w:tc>
              <w:tcPr>
                <w:tcW w:w="30" w:type="dxa"/>
                <w:tcBorders>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(160)</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Operating profit/(loss)</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326</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295</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61</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62</w:t>
                </w:r>
              </w:p>
            </w:tc>
            <w:tc>
              <w:tcPr>
                <w:tcW w:w="30" w:type="dxa"/>
                <w:tcBorders>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(132)</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939</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1,546</w:t>
                </w:r>
              </w:p>
            </w:tc>
          </w:tr>
          <w:tr w:rsidR="0064628A">
            <w:trPr>
              <w:trHeight w:val="195"/>
            </w:trPr>
            <w:tc>
              <w:tcPr>
                <w:tcW w:w="62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Additional information</w:t>
                </w: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Return on equity</w:t>
                </w:r>
                <w:r>
                  <w:rPr>
                    <w:rStyle w:val="font175"/>
                  </w:rPr>
                  <w:t> (2)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17.3%</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Cost:income ratio</w:t>
                </w:r>
                <w:r>
                  <w:rPr>
                    <w:rStyle w:val="font175"/>
                  </w:rPr>
                  <w:t> (2)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65.9%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100.7%</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63.9%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69.2%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55.3%</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156.8%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59.4%</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assets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182.3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25.4</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165.4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31.7</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263.9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31.0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723.0</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Funded assets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182.3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25.4</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165.4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31.7</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116.2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28.7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573.0</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loans to customers - amortised cost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158.9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18.2</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101.2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14.1</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326.9</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 xml:space="preserve">Loan impairment rate </w:t>
                </w:r>
                <w:r>
                  <w:rPr>
                    <w:rStyle w:val="font175"/>
                  </w:rPr>
                  <w:t>(2)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20bps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8bps</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32bps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19bps</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provisions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(0.8)</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provisions - stage 3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(0.7)</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Customer deposits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150.3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18.5</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135.0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28.4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30.1</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369.2</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Risk-weighted assets (RWAs)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37.8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13.0</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72.5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6.5</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37.9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179.2</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RWA equivalent (RWAe)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38.2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13.2</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72.8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6.7</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40.5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183.2</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Employee numbers (FTEs - thousands) </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20.3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2.9</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21.9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64.0</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Average interest earning assets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172.9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24.8</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146.4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22.4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31.6</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36.6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456.2</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margin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1.57%</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2.30%</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1.47%</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(0.04%)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 xml:space="preserve">Third party customer asset rate </w:t>
                </w:r>
                <w:r>
                  <w:rPr>
                    <w:rStyle w:val="font175"/>
                  </w:rPr>
                  <w:t xml:space="preserve">(3) </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3.09%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2.23%</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3.15%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2.86%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2.79%</w:t>
                </w:r>
              </w:p>
            </w:tc>
            <w:tc>
              <w:tcPr>
                <w:tcW w:w="3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 xml:space="preserve">Third party customer funding rate </w:t>
                </w:r>
                <w:r>
                  <w:rPr>
                    <w:rStyle w:val="font175"/>
                  </w:rPr>
                  <w:t>(3)</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(0.38%)</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(0.15%)</w:t>
                </w:r>
              </w:p>
            </w:tc>
            <w:tc>
              <w:tcPr>
                <w:tcW w:w="60" w:type="dxa"/>
                <w:tcBorders>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(0.43%)</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(0.40%)</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(0.09%)</w:t>
                </w:r>
              </w:p>
            </w:tc>
            <w:tc>
              <w:tcPr>
                <w:tcW w:w="30" w:type="dxa"/>
                <w:tcBorders>
                  <w:bottom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r>
        </w:tbl>
      </w:sdtContent>
    </w:sdt>
    <w:p w:rsidR="00187FA5" w:rsidRDefault="00187FA5" w:rsidP="00F94786">
      <w:pPr>
        <w:pStyle w:val="Normal00"/>
        <w:rPr>
          <w:rFonts w:ascii="Arial" w:eastAsia="Arial" w:hAnsi="Arial" w:cs="Arial"/>
          <w:color w:val="000000"/>
          <w:sz w:val="16"/>
        </w:rPr>
      </w:pPr>
    </w:p>
    <w:p w:rsidR="00F94786" w:rsidRPr="001A22BE" w:rsidRDefault="00FC1FDC" w:rsidP="00F94786">
      <w:pPr>
        <w:pStyle w:val="Normal00"/>
        <w:rPr>
          <w:rFonts w:ascii="Arial" w:hAnsi="Arial"/>
          <w:b/>
          <w:color w:val="003366"/>
          <w:sz w:val="18"/>
          <w:szCs w:val="18"/>
          <w:lang w:eastAsia="ja-JP"/>
        </w:rPr>
      </w:pPr>
      <w:r>
        <w:rPr>
          <w:rFonts w:ascii="Arial" w:eastAsia="Arial" w:hAnsi="Arial" w:cs="Arial"/>
          <w:color w:val="000000"/>
          <w:sz w:val="16"/>
        </w:rPr>
        <w:t xml:space="preserve">For the notes to this table, refer to page </w:t>
      </w:r>
      <w:r>
        <w:rPr>
          <w:rFonts w:ascii="Arial" w:eastAsia="Arial" w:hAnsi="Arial" w:cs="Arial"/>
          <w:color w:val="000000"/>
          <w:sz w:val="16"/>
        </w:rPr>
        <w:fldChar w:fldCharType="begin"/>
      </w:r>
      <w:r>
        <w:rPr>
          <w:rFonts w:ascii="Arial" w:eastAsia="Arial" w:hAnsi="Arial" w:cs="Arial"/>
          <w:color w:val="000000"/>
          <w:sz w:val="16"/>
        </w:rPr>
        <w:instrText xml:space="preserve"> pageref RBSGCA_landscape_footnotes </w:instrText>
      </w:r>
      <w:r>
        <w:rPr>
          <w:rFonts w:ascii="Arial" w:eastAsia="Arial" w:hAnsi="Arial" w:cs="Arial"/>
          <w:color w:val="000000"/>
          <w:sz w:val="16"/>
        </w:rPr>
        <w:fldChar w:fldCharType="separate"/>
      </w:r>
      <w:r>
        <w:rPr>
          <w:rFonts w:ascii="Arial" w:eastAsia="Arial" w:hAnsi="Arial" w:cs="Arial"/>
          <w:color w:val="000000"/>
          <w:sz w:val="16"/>
        </w:rPr>
        <w:t>22</w:t>
      </w:r>
      <w:r>
        <w:rPr>
          <w:rFonts w:ascii="Arial" w:eastAsia="Arial" w:hAnsi="Arial" w:cs="Arial"/>
          <w:color w:val="000000"/>
          <w:sz w:val="16"/>
        </w:rPr>
        <w:fldChar w:fldCharType="end"/>
      </w:r>
      <w:r>
        <w:rPr>
          <w:rFonts w:ascii="Arial" w:eastAsia="Arial" w:hAnsi="Arial" w:cs="Arial"/>
          <w:color w:val="000000"/>
          <w:sz w:val="16"/>
        </w:rPr>
        <w:t>. nm = not meaningful.</w:t>
      </w:r>
    </w:p>
    <w:p w:rsidR="00F94786" w:rsidRDefault="00FC1FDC">
      <w:pPr>
        <w:spacing w:after="200"/>
        <w:rPr>
          <w:rFonts w:eastAsia="Times New Roman" w:cs="Times New Roman"/>
          <w:b/>
          <w:color w:val="003366"/>
          <w:sz w:val="18"/>
          <w:szCs w:val="18"/>
          <w:lang w:eastAsia="ja-JP"/>
        </w:rPr>
      </w:pPr>
      <w:r>
        <w:rPr>
          <w:b/>
          <w:color w:val="003366"/>
          <w:sz w:val="18"/>
          <w:szCs w:val="18"/>
          <w:lang w:eastAsia="ja-JP"/>
        </w:rPr>
        <w:br w:type="page"/>
      </w:r>
    </w:p>
    <w:p w:rsidR="00594258" w:rsidRPr="001A22BE" w:rsidRDefault="00FC1FDC" w:rsidP="00594258">
      <w:pPr>
        <w:pStyle w:val="Normal00"/>
        <w:rPr>
          <w:rFonts w:ascii="Arial" w:hAnsi="Arial"/>
          <w:b/>
          <w:color w:val="003366"/>
          <w:sz w:val="18"/>
          <w:szCs w:val="18"/>
          <w:lang w:eastAsia="ja-JP"/>
        </w:rPr>
      </w:pPr>
      <w:r w:rsidRPr="001A22BE">
        <w:rPr>
          <w:rFonts w:ascii="Arial" w:hAnsi="Arial"/>
          <w:b/>
          <w:color w:val="003366"/>
          <w:sz w:val="18"/>
          <w:szCs w:val="18"/>
          <w:lang w:eastAsia="ja-JP"/>
        </w:rPr>
        <w:lastRenderedPageBreak/>
        <w:t>Segment performance</w:t>
      </w:r>
    </w:p>
    <w:sdt>
      <w:sdtPr>
        <w:tag w:val="&lt;ReportPackage&gt;&lt;EmbeddedContent id=&quot;66d272f0-5e99-4182-89d8-2781d29de9e9&quot; lastModified=&quot;1581639490587&quot;/&gt;&lt;/ReportPackage&gt;"/>
        <w:id w:val="402340424"/>
        <w:lock w:val="contentLocked"/>
        <w:placeholder>
          <w:docPart w:val="C3FCC0151DBB4B31AA8B87DBC6A1D9F1"/>
        </w:placeholder>
      </w:sdtPr>
      <w:sdtEndPr/>
      <w:sdtContent>
        <w:tbl>
          <w:tblPr>
            <w:tblStyle w:val="table"/>
            <w:tblW w:w="15180" w:type="dxa"/>
            <w:tblInd w:w="5" w:type="dxa"/>
            <w:tblCellMar>
              <w:left w:w="0" w:type="dxa"/>
              <w:right w:w="0" w:type="dxa"/>
            </w:tblCellMar>
            <w:tblLook w:val="05E0" w:firstRow="1" w:lastRow="1" w:firstColumn="1" w:lastColumn="1" w:noHBand="0" w:noVBand="1"/>
          </w:tblPr>
          <w:tblGrid>
            <w:gridCol w:w="6210"/>
            <w:gridCol w:w="1110"/>
            <w:gridCol w:w="1110"/>
            <w:gridCol w:w="60"/>
            <w:gridCol w:w="1110"/>
            <w:gridCol w:w="1110"/>
            <w:gridCol w:w="1110"/>
            <w:gridCol w:w="30"/>
            <w:gridCol w:w="1110"/>
            <w:gridCol w:w="1110"/>
            <w:gridCol w:w="1110"/>
          </w:tblGrid>
          <w:tr w:rsidR="0064628A">
            <w:trPr>
              <w:trHeight w:val="210"/>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3366"/>
                    <w:sz w:val="18"/>
                    <w:szCs w:val="18"/>
                  </w:rPr>
                </w:pPr>
              </w:p>
            </w:tc>
            <w:tc>
              <w:tcPr>
                <w:tcW w:w="8970" w:type="dxa"/>
                <w:gridSpan w:val="10"/>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color w:val="003366"/>
                    <w:szCs w:val="16"/>
                  </w:rPr>
                </w:pPr>
                <w:r>
                  <w:rPr>
                    <w:rFonts w:eastAsia="Arial" w:cs="Arial"/>
                    <w:color w:val="003366"/>
                    <w:szCs w:val="16"/>
                  </w:rPr>
                  <w:t>Quarter ended 30 September 2019</w:t>
                </w:r>
              </w:p>
            </w:tc>
          </w:tr>
          <w:tr w:rsidR="0064628A">
            <w:trPr>
              <w:trHeight w:val="210"/>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3366"/>
                    <w:sz w:val="18"/>
                    <w:szCs w:val="18"/>
                  </w:rPr>
                </w:pPr>
              </w:p>
            </w:tc>
            <w:tc>
              <w:tcPr>
                <w:tcW w:w="1110" w:type="dxa"/>
                <w:gridSpan w:val="2"/>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Central</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UK Personal</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Ulster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Commercial</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Private</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RBS</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NatWest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 items &amp;</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Total</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Banking</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Bank RoI</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Banking</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Banking</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International</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Markets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Style w:val="font173"/>
                  </w:rPr>
                  <w:t xml:space="preserve">other </w:t>
                </w:r>
                <w:r>
                  <w:rPr>
                    <w:rStyle w:val="font176"/>
                  </w:rPr>
                  <w:t>(1)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RBS</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 xml:space="preserve">£m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 xml:space="preserve">Income statement </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3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income</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1,034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703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119</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2,006</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Non-interest income</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374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31</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909</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Own credit adjustments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w:t>
                </w:r>
              </w:p>
            </w:tc>
          </w:tr>
          <w:tr w:rsidR="0064628A">
            <w:trPr>
              <w:trHeight w:val="195"/>
            </w:trPr>
            <w:tc>
              <w:tcPr>
                <w:tcW w:w="62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 xml:space="preserve">Total income </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1,224</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145</w:t>
                </w:r>
              </w:p>
            </w:tc>
            <w:tc>
              <w:tcPr>
                <w:tcW w:w="6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1,077</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198</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w:t>
                </w:r>
              </w:p>
            </w:tc>
            <w:tc>
              <w:tcPr>
                <w:tcW w:w="3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2,903</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Direct expenses - staff costs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(258)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(891)</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Fonts w:ascii="Times New Roman" w:eastAsia="Times New Roman" w:hAnsi="Times New Roman" w:cs="Times New Roman"/>
                  </w:rPr>
                  <w:t xml:space="preserve">                           </w:t>
                </w:r>
                <w:r>
                  <w:rPr>
                    <w:rStyle w:val="font174"/>
                  </w:rPr>
                  <w:t>- other costs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(578)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(842)</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Indirect expenses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837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Strategic costs</w:t>
                </w:r>
                <w:r>
                  <w:rPr>
                    <w:rFonts w:ascii="Times New Roman" w:eastAsia="Times New Roman" w:hAnsi="Times New Roman" w:cs="Times New Roman"/>
                    <w:color w:val="000000"/>
                    <w:szCs w:val="16"/>
                  </w:rPr>
                  <w:t xml:space="preserve">  </w:t>
                </w:r>
                <w:r>
                  <w:rPr>
                    <w:rFonts w:eastAsia="Arial" w:cs="Arial"/>
                    <w:color w:val="000000"/>
                    <w:szCs w:val="16"/>
                  </w:rPr>
                  <w:t>- direct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(215)</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 indirect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Litigation and conduct costs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(912)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(750)</w:t>
                </w:r>
              </w:p>
            </w:tc>
          </w:tr>
          <w:tr w:rsidR="0064628A">
            <w:trPr>
              <w:trHeight w:val="195"/>
            </w:trPr>
            <w:tc>
              <w:tcPr>
                <w:tcW w:w="62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Operating expenses</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(1,601)</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(131)</w:t>
                </w:r>
              </w:p>
            </w:tc>
            <w:tc>
              <w:tcPr>
                <w:tcW w:w="6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(638)</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(119)</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(62)</w:t>
                </w:r>
              </w:p>
            </w:tc>
            <w:tc>
              <w:tcPr>
                <w:tcW w:w="3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(348)</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201</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(2,698)</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(loss)/profit before impairment (losses)/releases</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(377)</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w:t>
                </w:r>
              </w:p>
            </w:tc>
            <w:tc>
              <w:tcPr>
                <w:tcW w:w="6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439</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79</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88</w:t>
                </w:r>
              </w:p>
            </w:tc>
            <w:tc>
              <w:tcPr>
                <w:tcW w:w="3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(198)</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160</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205</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(losses)/releases</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3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(213)</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Operating (loss)/profit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(508)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88</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w:t>
                </w:r>
              </w:p>
            </w:tc>
          </w:tr>
          <w:tr w:rsidR="0064628A">
            <w:trPr>
              <w:trHeight w:val="195"/>
            </w:trPr>
            <w:tc>
              <w:tcPr>
                <w:tcW w:w="62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Additional information</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3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Return on equity</w:t>
                </w:r>
                <w:r>
                  <w:rPr>
                    <w:rStyle w:val="font175"/>
                  </w:rPr>
                  <w:t> (2)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26.0%</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Cost:income ratio</w:t>
                </w:r>
                <w:r>
                  <w:rPr>
                    <w:rStyle w:val="font175"/>
                  </w:rPr>
                  <w:t> (2)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130.8%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90.3%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57.9%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60.1%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41.3%</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232.0%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92.9%</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assets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176.7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166.6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31.2</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318.3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776.5</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Funded assets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176.7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26.0</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166.6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31.2</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142.7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600.7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loans to customers - amortised cost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154.6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19.0</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101.5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13.8</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319.5</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 xml:space="preserve">Loan impairment rate </w:t>
                </w:r>
                <w:r>
                  <w:rPr>
                    <w:rStyle w:val="font175"/>
                  </w:rPr>
                  <w:t>(2)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34bps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(34)bps</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42bps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26bps</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provisions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provisions - stage 3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Customer deposits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147.9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135.7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29.1</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369.7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Risk-weighted assets (RWAs)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37.5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77.0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6.5</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43.8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189.5</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RWA equivalent (RWAe)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13.6</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78.1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6.6</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48.9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197.3</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Employee numbers (FTEs - thousands) </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65.7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Average interest earning assets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168.1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146.7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30.4</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454.4</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margin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1.55%</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1.55%</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(0.64%)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1.75%</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Third party customer asset rate</w:t>
                </w:r>
                <w:r>
                  <w:rPr>
                    <w:rStyle w:val="font175"/>
                  </w:rPr>
                  <w:t xml:space="preserve"> (3) </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3.22%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3.11%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2.91%</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 xml:space="preserve">Third party customer funding rate </w:t>
                </w:r>
                <w:r>
                  <w:rPr>
                    <w:rStyle w:val="font175"/>
                  </w:rPr>
                  <w:t>(3)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(0.38%)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(0.15%)</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(0.43%)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(0.43%)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(0.14%)</w:t>
                </w:r>
              </w:p>
            </w:tc>
            <w:tc>
              <w:tcPr>
                <w:tcW w:w="3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r>
        </w:tbl>
      </w:sdtContent>
    </w:sdt>
    <w:p w:rsidR="00187FA5" w:rsidRDefault="00187FA5" w:rsidP="00594258">
      <w:pPr>
        <w:rPr>
          <w:b/>
          <w:color w:val="003366"/>
          <w:sz w:val="18"/>
          <w:szCs w:val="18"/>
          <w:lang w:eastAsia="ja-JP"/>
        </w:rPr>
      </w:pPr>
    </w:p>
    <w:p w:rsidR="00594258" w:rsidRPr="001A22BE" w:rsidRDefault="00FC1FDC" w:rsidP="00594258">
      <w:pPr>
        <w:rPr>
          <w:b/>
          <w:color w:val="003366"/>
          <w:sz w:val="18"/>
          <w:szCs w:val="18"/>
          <w:lang w:eastAsia="ja-JP"/>
        </w:rPr>
      </w:pPr>
      <w:r>
        <w:rPr>
          <w:rFonts w:eastAsia="Arial" w:cs="Arial"/>
          <w:color w:val="000000"/>
        </w:rPr>
        <w:t>For the notes to this table, refer to the following page. nm = not meaningful.</w:t>
      </w:r>
    </w:p>
    <w:p w:rsidR="00594258" w:rsidRDefault="00FC1FDC" w:rsidP="00594258">
      <w:pPr>
        <w:spacing w:line="4" w:lineRule="exact"/>
      </w:pPr>
      <w:r>
        <w:br w:type="page"/>
      </w:r>
    </w:p>
    <w:p w:rsidR="00594258" w:rsidRPr="001A22BE" w:rsidRDefault="00FC1FDC" w:rsidP="00594258">
      <w:pPr>
        <w:pStyle w:val="Normal00"/>
        <w:rPr>
          <w:rFonts w:ascii="Arial" w:hAnsi="Arial"/>
          <w:b/>
          <w:color w:val="003366"/>
          <w:sz w:val="18"/>
          <w:szCs w:val="18"/>
          <w:lang w:eastAsia="ja-JP"/>
        </w:rPr>
      </w:pPr>
      <w:bookmarkStart w:id="17" w:name="RBSGCA_landscape_end"/>
      <w:r w:rsidRPr="001A22BE">
        <w:rPr>
          <w:rFonts w:ascii="Arial" w:hAnsi="Arial"/>
          <w:b/>
          <w:color w:val="003366"/>
          <w:sz w:val="18"/>
          <w:szCs w:val="18"/>
          <w:lang w:eastAsia="ja-JP"/>
        </w:rPr>
        <w:lastRenderedPageBreak/>
        <w:t>Segment performance</w:t>
      </w:r>
    </w:p>
    <w:bookmarkEnd w:id="17" w:displacedByCustomXml="next"/>
    <w:sdt>
      <w:sdtPr>
        <w:tag w:val="&lt;ReportPackage&gt;&lt;EmbeddedContent id=&quot;ed402c0d-523a-41e4-a709-21d5cad97776&quot; lastModified=&quot;1581639490587&quot;/&gt;&lt;/ReportPackage&gt;"/>
        <w:id w:val="834490433"/>
        <w:lock w:val="contentLocked"/>
        <w:placeholder>
          <w:docPart w:val="62A636269325444C9EB28FF78A0B11C5"/>
        </w:placeholder>
      </w:sdtPr>
      <w:sdtEndPr/>
      <w:sdtContent>
        <w:tbl>
          <w:tblPr>
            <w:tblStyle w:val="table"/>
            <w:tblW w:w="15180" w:type="dxa"/>
            <w:tblInd w:w="5" w:type="dxa"/>
            <w:tblCellMar>
              <w:left w:w="0" w:type="dxa"/>
              <w:right w:w="0" w:type="dxa"/>
            </w:tblCellMar>
            <w:tblLook w:val="05E0" w:firstRow="1" w:lastRow="1" w:firstColumn="1" w:lastColumn="1" w:noHBand="0" w:noVBand="1"/>
          </w:tblPr>
          <w:tblGrid>
            <w:gridCol w:w="6210"/>
            <w:gridCol w:w="1110"/>
            <w:gridCol w:w="1110"/>
            <w:gridCol w:w="60"/>
            <w:gridCol w:w="1110"/>
            <w:gridCol w:w="1110"/>
            <w:gridCol w:w="1110"/>
            <w:gridCol w:w="30"/>
            <w:gridCol w:w="1110"/>
            <w:gridCol w:w="1110"/>
            <w:gridCol w:w="1110"/>
          </w:tblGrid>
          <w:tr w:rsidR="0064628A">
            <w:trPr>
              <w:trHeight w:val="210"/>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3366"/>
                    <w:sz w:val="18"/>
                    <w:szCs w:val="18"/>
                  </w:rPr>
                </w:pPr>
              </w:p>
            </w:tc>
            <w:tc>
              <w:tcPr>
                <w:tcW w:w="8970" w:type="dxa"/>
                <w:gridSpan w:val="10"/>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color w:val="003366"/>
                    <w:szCs w:val="16"/>
                  </w:rPr>
                </w:pPr>
                <w:r>
                  <w:rPr>
                    <w:rFonts w:eastAsia="Arial" w:cs="Arial"/>
                    <w:color w:val="003366"/>
                    <w:szCs w:val="16"/>
                  </w:rPr>
                  <w:t>Quarter ended 31 December 2018</w:t>
                </w:r>
              </w:p>
            </w:tc>
          </w:tr>
          <w:tr w:rsidR="0064628A">
            <w:trPr>
              <w:trHeight w:val="210"/>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1110" w:type="dxa"/>
                <w:gridSpan w:val="2"/>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 xml:space="preserve">Central </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UK Personal</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Ulster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Commercial</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Private</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RBS</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NatWest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 items &amp;</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Total</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Banking</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Bank RoI</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Banking</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Banking</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International</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Markets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Style w:val="font173"/>
                  </w:rPr>
                  <w:t xml:space="preserve">other </w:t>
                </w:r>
                <w:r>
                  <w:rPr>
                    <w:rStyle w:val="font176"/>
                  </w:rPr>
                  <w:t>(1)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RBS</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 xml:space="preserve">£m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 xml:space="preserve">Income statement </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3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income</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1,061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110</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724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123</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2,176</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Non-interest income</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392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32</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849</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Own credit adjustments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w:t>
                </w:r>
              </w:p>
            </w:tc>
          </w:tr>
          <w:tr w:rsidR="0064628A">
            <w:trPr>
              <w:trHeight w:val="195"/>
            </w:trPr>
            <w:tc>
              <w:tcPr>
                <w:tcW w:w="62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 xml:space="preserve">Total income </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1,246</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147</w:t>
                </w:r>
              </w:p>
            </w:tc>
            <w:tc>
              <w:tcPr>
                <w:tcW w:w="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1,116</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198</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155</w:t>
                </w:r>
              </w:p>
            </w:tc>
            <w:tc>
              <w:tcPr>
                <w:tcW w:w="3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152</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44</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3,058</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Direct expenses - staff costs</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(166)</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(53)</w:t>
                </w:r>
              </w:p>
            </w:tc>
            <w:tc>
              <w:tcPr>
                <w:tcW w:w="60" w:type="dxa"/>
                <w:tcBorders>
                  <w:top w:val="single" w:sz="6" w:space="0" w:color="00000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(185)</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(39)</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(25)</w:t>
                </w:r>
              </w:p>
            </w:tc>
            <w:tc>
              <w:tcPr>
                <w:tcW w:w="30" w:type="dxa"/>
                <w:tcBorders>
                  <w:top w:val="single" w:sz="6" w:space="0" w:color="00000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(128)</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(263)</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(859)</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Fonts w:ascii="Times New Roman" w:eastAsia="Times New Roman" w:hAnsi="Times New Roman" w:cs="Times New Roman"/>
                  </w:rPr>
                  <w:t xml:space="preserve">                         </w:t>
                </w:r>
                <w:r>
                  <w:rPr>
                    <w:rStyle w:val="font174"/>
                  </w:rPr>
                  <w:t>- other costs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(870)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(1,163)</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Indirect expenses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(403)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1,099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Strategic costs</w:t>
                </w:r>
                <w:r>
                  <w:rPr>
                    <w:rFonts w:ascii="Times New Roman" w:eastAsia="Times New Roman" w:hAnsi="Times New Roman" w:cs="Times New Roman"/>
                    <w:color w:val="000000"/>
                    <w:szCs w:val="16"/>
                  </w:rPr>
                  <w:t xml:space="preserve">  </w:t>
                </w:r>
                <w:r>
                  <w:rPr>
                    <w:rFonts w:eastAsia="Arial" w:cs="Arial"/>
                    <w:color w:val="000000"/>
                    <w:szCs w:val="16"/>
                  </w:rPr>
                  <w:t>- direct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(355)</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 indirect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Litigation and conduct costs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(92)</w:t>
                </w:r>
              </w:p>
            </w:tc>
          </w:tr>
          <w:tr w:rsidR="0064628A">
            <w:trPr>
              <w:trHeight w:val="195"/>
            </w:trPr>
            <w:tc>
              <w:tcPr>
                <w:tcW w:w="62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Operating expenses</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(757)</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(164)</w:t>
                </w:r>
              </w:p>
            </w:tc>
            <w:tc>
              <w:tcPr>
                <w:tcW w:w="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(764)</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(143)</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(86)</w:t>
                </w:r>
              </w:p>
            </w:tc>
            <w:tc>
              <w:tcPr>
                <w:tcW w:w="3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(455)</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(100)</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(2,469)</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profit/(loss) before impairment (losses)/releases</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489</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w:t>
                </w:r>
              </w:p>
            </w:tc>
            <w:tc>
              <w:tcPr>
                <w:tcW w:w="60" w:type="dxa"/>
                <w:tcBorders>
                  <w:top w:val="single" w:sz="6" w:space="0" w:color="00000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352</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55</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69</w:t>
                </w:r>
              </w:p>
            </w:tc>
            <w:tc>
              <w:tcPr>
                <w:tcW w:w="30" w:type="dxa"/>
                <w:tcBorders>
                  <w:top w:val="single" w:sz="6" w:space="0" w:color="00000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(303)</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(56)</w:t>
                </w:r>
              </w:p>
            </w:tc>
            <w:tc>
              <w:tcPr>
                <w:tcW w:w="1110" w:type="dxa"/>
                <w:tcBorders>
                  <w:top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589</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(losses)/releases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w:t>
                </w:r>
              </w:p>
            </w:tc>
          </w:tr>
          <w:tr w:rsidR="0064628A">
            <w:trPr>
              <w:trHeight w:val="195"/>
            </w:trPr>
            <w:tc>
              <w:tcPr>
                <w:tcW w:w="62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Operating profit/(loss)</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347</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6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347</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63</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71</w:t>
                </w:r>
              </w:p>
            </w:tc>
            <w:tc>
              <w:tcPr>
                <w:tcW w:w="3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(203)</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(55)</w:t>
                </w:r>
              </w:p>
            </w:tc>
            <w:tc>
              <w:tcPr>
                <w:tcW w:w="1110" w:type="dxa"/>
                <w:tcBorders>
                  <w:top w:val="single" w:sz="6" w:space="0" w:color="000000"/>
                  <w:bottom w:val="single" w:sz="6" w:space="0" w:color="00000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572</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Additional information</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Return on equity</w:t>
                </w:r>
                <w:r>
                  <w:rPr>
                    <w:rStyle w:val="font175"/>
                  </w:rPr>
                  <w:t> (2)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0.4%</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20.0%</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Cost:income ratio</w:t>
                </w:r>
                <w:r>
                  <w:rPr>
                    <w:rStyle w:val="font175"/>
                  </w:rPr>
                  <w:t> (2)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60.8%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111.6%</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67.5%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72.2%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55.5%</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299.3%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80.5%</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assets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171.0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25.2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166.4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28.4</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244.5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36.7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694.2</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Funded assets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171.0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25.2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166.4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28.4</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111.4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36.5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560.9</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loans to customers - amortised cost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148.9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101.4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13.3</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305.1</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 xml:space="preserve">Loan impairment rate </w:t>
                </w:r>
                <w:r>
                  <w:rPr>
                    <w:rStyle w:val="font175"/>
                  </w:rPr>
                  <w:t>(2)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38bps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(38)bps</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2bps</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2bps</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provisions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provisions - stage 3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Customer deposits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145.3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18.0</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134.4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27.5</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360.9</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Risk-weighted assets (RWAs)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78.4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6.9</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44.9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188.7</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RWA equivalent (RWAe)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79.7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6.9</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50.0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196.5</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Employee numbers (FTEs - thousands) </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67.1</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Average interest earning assets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161.7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25.2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146.7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26.9</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442.1</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margin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1.81%</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0.39%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1.95%</w:t>
                </w:r>
              </w:p>
            </w:tc>
          </w:tr>
          <w:tr w:rsidR="0064628A">
            <w:trPr>
              <w:trHeight w:val="195"/>
            </w:trPr>
            <w:tc>
              <w:tcPr>
                <w:tcW w:w="62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Third party customer asset rate</w:t>
                </w:r>
                <w:r>
                  <w:rPr>
                    <w:rStyle w:val="font175"/>
                  </w:rPr>
                  <w:t> (3)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2.98%</w:t>
                </w:r>
              </w:p>
            </w:tc>
            <w:tc>
              <w:tcPr>
                <w:tcW w:w="3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r>
          <w:tr w:rsidR="0064628A">
            <w:trPr>
              <w:trHeight w:val="195"/>
            </w:trPr>
            <w:tc>
              <w:tcPr>
                <w:tcW w:w="62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174"/>
                  </w:rPr>
                  <w:t xml:space="preserve">Third party customer funding rate </w:t>
                </w:r>
                <w:r>
                  <w:rPr>
                    <w:rStyle w:val="font175"/>
                  </w:rPr>
                  <w:t>(3)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(0.36%)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(0.18%)</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(0.42%)</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(0.38%)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(0.09%)</w:t>
                </w:r>
              </w:p>
            </w:tc>
            <w:tc>
              <w:tcPr>
                <w:tcW w:w="3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r>
        </w:tbl>
      </w:sdtContent>
    </w:sdt>
    <w:p w:rsidR="00594258" w:rsidRDefault="00FC1FDC" w:rsidP="00594258">
      <w:pPr>
        <w:rPr>
          <w:rFonts w:eastAsia="Arial" w:cs="Arial"/>
          <w:color w:val="000000"/>
        </w:rPr>
      </w:pPr>
      <w:r>
        <w:rPr>
          <w:rFonts w:eastAsia="Arial" w:cs="Arial"/>
          <w:color w:val="000000"/>
        </w:rPr>
        <w:t>nm = not meaningful</w:t>
      </w:r>
    </w:p>
    <w:p w:rsidR="00475545" w:rsidRDefault="00475545" w:rsidP="00594258">
      <w:pPr>
        <w:rPr>
          <w:rFonts w:eastAsia="Arial" w:cs="Arial"/>
          <w:color w:val="000000"/>
        </w:rPr>
      </w:pPr>
    </w:p>
    <w:p w:rsidR="00475545" w:rsidRDefault="00FC1FDC" w:rsidP="00475545">
      <w:pPr>
        <w:autoSpaceDE w:val="0"/>
        <w:autoSpaceDN w:val="0"/>
        <w:adjustRightInd w:val="0"/>
        <w:spacing w:line="240" w:lineRule="auto"/>
        <w:rPr>
          <w:rFonts w:cs="Arial"/>
          <w:sz w:val="14"/>
          <w:szCs w:val="14"/>
        </w:rPr>
      </w:pPr>
      <w:bookmarkStart w:id="18" w:name="RBSGCA_landscape_footnotes"/>
      <w:r>
        <w:rPr>
          <w:rFonts w:cs="Arial"/>
          <w:sz w:val="14"/>
          <w:szCs w:val="14"/>
        </w:rPr>
        <w:t>Notes:</w:t>
      </w:r>
    </w:p>
    <w:p w:rsidR="00475545" w:rsidRPr="007956F1" w:rsidRDefault="00FC1FDC" w:rsidP="007956F1">
      <w:pPr>
        <w:pStyle w:val="ListParagraph"/>
        <w:numPr>
          <w:ilvl w:val="0"/>
          <w:numId w:val="4"/>
        </w:numPr>
        <w:autoSpaceDE w:val="0"/>
        <w:autoSpaceDN w:val="0"/>
        <w:adjustRightInd w:val="0"/>
        <w:spacing w:line="240" w:lineRule="auto"/>
        <w:rPr>
          <w:rFonts w:cs="Arial"/>
          <w:sz w:val="14"/>
          <w:szCs w:val="14"/>
        </w:rPr>
      </w:pPr>
      <w:r w:rsidRPr="007956F1">
        <w:rPr>
          <w:rFonts w:cs="Arial"/>
          <w:sz w:val="14"/>
          <w:szCs w:val="14"/>
        </w:rPr>
        <w:t>Central items</w:t>
      </w:r>
      <w:r>
        <w:rPr>
          <w:rFonts w:cs="Arial"/>
          <w:sz w:val="14"/>
          <w:szCs w:val="14"/>
        </w:rPr>
        <w:t xml:space="preserve"> and other</w:t>
      </w:r>
      <w:r w:rsidRPr="007956F1">
        <w:rPr>
          <w:rFonts w:cs="Arial"/>
          <w:sz w:val="14"/>
          <w:szCs w:val="14"/>
        </w:rPr>
        <w:t xml:space="preserve"> include unallocated transactions, including volatile items under IFRS, items related to Alawwal ban</w:t>
      </w:r>
      <w:r>
        <w:rPr>
          <w:rFonts w:cs="Arial"/>
          <w:sz w:val="14"/>
          <w:szCs w:val="14"/>
        </w:rPr>
        <w:t>k merger and a US RMBS related reimbursement</w:t>
      </w:r>
      <w:r w:rsidRPr="007956F1">
        <w:rPr>
          <w:rFonts w:cs="Arial"/>
          <w:sz w:val="14"/>
          <w:szCs w:val="14"/>
        </w:rPr>
        <w:t>.</w:t>
      </w:r>
    </w:p>
    <w:p w:rsidR="007956F1" w:rsidRDefault="00FC1FDC" w:rsidP="007956F1">
      <w:pPr>
        <w:pStyle w:val="ListParagraph"/>
        <w:numPr>
          <w:ilvl w:val="0"/>
          <w:numId w:val="4"/>
        </w:numPr>
        <w:autoSpaceDE w:val="0"/>
        <w:autoSpaceDN w:val="0"/>
        <w:adjustRightInd w:val="0"/>
        <w:spacing w:line="240" w:lineRule="auto"/>
        <w:rPr>
          <w:rFonts w:cs="Arial"/>
          <w:sz w:val="14"/>
          <w:szCs w:val="14"/>
        </w:rPr>
      </w:pPr>
      <w:r>
        <w:rPr>
          <w:rFonts w:cs="Arial"/>
          <w:sz w:val="14"/>
          <w:szCs w:val="14"/>
        </w:rPr>
        <w:t xml:space="preserve">Refer to the Appendix for further details of preparation and reconciliation of non-IFRS performance measures where relevant. </w:t>
      </w:r>
    </w:p>
    <w:p w:rsidR="004069F1" w:rsidRPr="007956F1" w:rsidRDefault="00FC1FDC" w:rsidP="007956F1">
      <w:pPr>
        <w:pStyle w:val="ListParagraph"/>
        <w:numPr>
          <w:ilvl w:val="0"/>
          <w:numId w:val="4"/>
        </w:numPr>
        <w:autoSpaceDE w:val="0"/>
        <w:autoSpaceDN w:val="0"/>
        <w:adjustRightInd w:val="0"/>
        <w:spacing w:line="240" w:lineRule="auto"/>
        <w:rPr>
          <w:rFonts w:cs="Arial"/>
          <w:sz w:val="14"/>
          <w:szCs w:val="14"/>
        </w:rPr>
        <w:sectPr w:rsidR="004069F1" w:rsidRPr="007956F1" w:rsidSect="00594258">
          <w:headerReference w:type="even" r:id="rId58"/>
          <w:headerReference w:type="default" r:id="rId59"/>
          <w:footerReference w:type="even" r:id="rId60"/>
          <w:footerReference w:type="default" r:id="rId61"/>
          <w:headerReference w:type="first" r:id="rId62"/>
          <w:footerReference w:type="first" r:id="rId63"/>
          <w:type w:val="continuous"/>
          <w:pgSz w:w="16838" w:h="11906" w:orient="landscape"/>
          <w:pgMar w:top="851" w:right="1134" w:bottom="851" w:left="680" w:header="708" w:footer="708" w:gutter="0"/>
          <w:cols w:space="708"/>
          <w:docGrid w:linePitch="360"/>
        </w:sectPr>
      </w:pPr>
      <w:r>
        <w:rPr>
          <w:rFonts w:cs="Arial"/>
          <w:sz w:val="14"/>
          <w:szCs w:val="14"/>
        </w:rPr>
        <w:t xml:space="preserve">UBI DAC and RBS </w:t>
      </w:r>
      <w:bookmarkEnd w:id="18"/>
      <w:r w:rsidR="002746FA">
        <w:rPr>
          <w:rFonts w:cs="Arial"/>
          <w:sz w:val="14"/>
          <w:szCs w:val="14"/>
        </w:rPr>
        <w:t>International manage their funding and liquidity requirements locally. Their liquidity asset portfolios and non-customer related funding sources are included within their net interest margin, but excluded from their third party asset and liability rates.</w:t>
      </w:r>
    </w:p>
    <w:p w:rsidR="00527F23" w:rsidRPr="00343474" w:rsidRDefault="00FC1FDC" w:rsidP="00527F23">
      <w:pPr>
        <w:pStyle w:val="Normal00"/>
        <w:rPr>
          <w:rFonts w:ascii="Arial" w:hAnsi="Arial" w:cs="Arial"/>
          <w:b/>
          <w:color w:val="0A2F64"/>
          <w:sz w:val="18"/>
          <w:szCs w:val="18"/>
        </w:rPr>
      </w:pPr>
      <w:r w:rsidRPr="00343474">
        <w:rPr>
          <w:rFonts w:ascii="Arial" w:hAnsi="Arial" w:cs="Arial"/>
          <w:b/>
          <w:color w:val="0A2F64"/>
          <w:sz w:val="18"/>
          <w:szCs w:val="18"/>
        </w:rPr>
        <w:lastRenderedPageBreak/>
        <w:t>Condensed consolidated income statement for t</w:t>
      </w:r>
      <w:r>
        <w:rPr>
          <w:rFonts w:ascii="Arial" w:hAnsi="Arial" w:cs="Arial"/>
          <w:b/>
          <w:color w:val="0A2F64"/>
          <w:sz w:val="18"/>
          <w:szCs w:val="18"/>
        </w:rPr>
        <w:t>he period ended 31 December 2019</w:t>
      </w:r>
      <w:r w:rsidRPr="00343474">
        <w:rPr>
          <w:rFonts w:ascii="Arial" w:hAnsi="Arial" w:cs="Arial"/>
          <w:b/>
          <w:color w:val="0A2F64"/>
          <w:sz w:val="14"/>
          <w:szCs w:val="14"/>
        </w:rPr>
        <w:t xml:space="preserve"> </w:t>
      </w:r>
    </w:p>
    <w:p w:rsidR="00527F23" w:rsidRPr="00527F23" w:rsidRDefault="00527F23" w:rsidP="00527F23">
      <w:pPr>
        <w:pStyle w:val="Normal00"/>
        <w:keepNext/>
        <w:spacing w:line="288" w:lineRule="auto"/>
        <w:jc w:val="both"/>
        <w:outlineLvl w:val="0"/>
        <w:rPr>
          <w:rFonts w:ascii="Arial" w:hAnsi="Arial"/>
          <w:b/>
          <w:color w:val="003366"/>
          <w:sz w:val="18"/>
          <w:szCs w:val="18"/>
          <w:lang w:eastAsia="ja-JP"/>
        </w:rPr>
      </w:pPr>
    </w:p>
    <w:sdt>
      <w:sdtPr>
        <w:tag w:val="&lt;ReportPackage&gt;&lt;EmbeddedContent id=&quot;0cbf4dce-d8b5-40ef-8cb0-1518169f3751&quot; lastModified=&quot;1580213880571&quot;/&gt;&lt;/ReportPackage&gt;"/>
        <w:id w:val="273643740"/>
        <w:lock w:val="contentLocked"/>
        <w:placeholder>
          <w:docPart w:val="E2B7BA1F22F24BD89AC986C2FC4F55EE"/>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4475"/>
            <w:gridCol w:w="1109"/>
            <w:gridCol w:w="1109"/>
            <w:gridCol w:w="60"/>
            <w:gridCol w:w="1109"/>
            <w:gridCol w:w="1109"/>
            <w:gridCol w:w="1109"/>
          </w:tblGrid>
          <w:tr w:rsidR="0064628A">
            <w:trPr>
              <w:trHeight w:val="210"/>
            </w:trPr>
            <w:tc>
              <w:tcPr>
                <w:tcW w:w="4485"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3366"/>
                    <w:szCs w:val="16"/>
                  </w:rPr>
                </w:pPr>
              </w:p>
            </w:tc>
            <w:tc>
              <w:tcPr>
                <w:tcW w:w="2220" w:type="dxa"/>
                <w:gridSpan w:val="2"/>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center"/>
                  <w:rPr>
                    <w:rFonts w:eastAsia="Arial" w:cs="Arial"/>
                    <w:b/>
                    <w:bCs/>
                    <w:color w:val="003366"/>
                    <w:szCs w:val="16"/>
                  </w:rPr>
                </w:pPr>
                <w:r>
                  <w:rPr>
                    <w:rFonts w:eastAsia="Arial" w:cs="Arial"/>
                    <w:b/>
                    <w:bCs/>
                    <w:color w:val="003366"/>
                    <w:szCs w:val="16"/>
                  </w:rPr>
                  <w:t>Year ended</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center"/>
                  <w:rPr>
                    <w:rFonts w:eastAsia="Arial" w:cs="Arial"/>
                    <w:color w:val="003366"/>
                    <w:szCs w:val="16"/>
                  </w:rPr>
                </w:pPr>
              </w:p>
            </w:tc>
            <w:tc>
              <w:tcPr>
                <w:tcW w:w="3330" w:type="dxa"/>
                <w:gridSpan w:val="3"/>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center"/>
                  <w:rPr>
                    <w:rFonts w:eastAsia="Arial" w:cs="Arial"/>
                    <w:b/>
                    <w:bCs/>
                    <w:color w:val="003366"/>
                    <w:szCs w:val="16"/>
                  </w:rPr>
                </w:pPr>
                <w:r>
                  <w:rPr>
                    <w:rFonts w:eastAsia="Arial" w:cs="Arial"/>
                    <w:b/>
                    <w:bCs/>
                    <w:color w:val="003366"/>
                    <w:szCs w:val="16"/>
                  </w:rPr>
                  <w:t>Quarter ended</w:t>
                </w:r>
              </w:p>
            </w:tc>
          </w:tr>
          <w:tr w:rsidR="0064628A">
            <w:trPr>
              <w:trHeight w:val="195"/>
            </w:trPr>
            <w:tc>
              <w:tcPr>
                <w:tcW w:w="4485" w:type="dxa"/>
                <w:vMerge w:val="restart"/>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3366"/>
                    <w:szCs w:val="16"/>
                  </w:rPr>
                </w:pPr>
                <w:r>
                  <w:rPr>
                    <w:rFonts w:eastAsia="Arial" w:cs="Arial"/>
                    <w:color w:val="003366"/>
                    <w:szCs w:val="16"/>
                  </w:rPr>
                  <w:t>31 December</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3366"/>
                    <w:szCs w:val="16"/>
                  </w:rPr>
                </w:pPr>
                <w:r>
                  <w:rPr>
                    <w:rFonts w:eastAsia="Arial" w:cs="Arial"/>
                    <w:color w:val="003366"/>
                    <w:szCs w:val="16"/>
                  </w:rPr>
                  <w:t>30 September</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3366"/>
                    <w:szCs w:val="16"/>
                  </w:rPr>
                </w:pPr>
                <w:r>
                  <w:rPr>
                    <w:rFonts w:eastAsia="Arial" w:cs="Arial"/>
                    <w:color w:val="003366"/>
                    <w:szCs w:val="16"/>
                  </w:rPr>
                  <w:t>31 December</w:t>
                </w:r>
              </w:p>
            </w:tc>
          </w:tr>
          <w:tr w:rsidR="0064628A">
            <w:trPr>
              <w:trHeight w:val="195"/>
            </w:trPr>
            <w:tc>
              <w:tcPr>
                <w:tcW w:w="0" w:type="auto"/>
                <w:vMerge/>
                <w:tcMar>
                  <w:top w:w="0" w:type="dxa"/>
                  <w:bottom w:w="0" w:type="dxa"/>
                </w:tcMar>
                <w:vAlign w:val="center"/>
                <w:hideMark/>
              </w:tcPr>
              <w:p w:rsidR="00254391" w:rsidRDefault="00254391">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3366"/>
                    <w:szCs w:val="16"/>
                  </w:rPr>
                </w:pPr>
                <w:r>
                  <w:rPr>
                    <w:rFonts w:eastAsia="Arial" w:cs="Arial"/>
                    <w:color w:val="003366"/>
                    <w:szCs w:val="16"/>
                  </w:rPr>
                  <w:t>2018*</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3366"/>
                    <w:szCs w:val="16"/>
                  </w:rPr>
                </w:pPr>
                <w:r>
                  <w:rPr>
                    <w:rFonts w:eastAsia="Arial" w:cs="Arial"/>
                    <w:color w:val="003366"/>
                    <w:szCs w:val="16"/>
                  </w:rPr>
                  <w:t>2019</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05"/>
            </w:trPr>
            <w:tc>
              <w:tcPr>
                <w:tcW w:w="4485"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Interest receivable</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11,375</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11,049 </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2,901</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2,921</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2,825 </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Interest payable</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(3,328)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(2,393)</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(864)</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(915)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(649)</w:t>
                </w:r>
              </w:p>
            </w:tc>
          </w:tr>
          <w:tr w:rsidR="0064628A">
            <w:trPr>
              <w:trHeight w:val="105"/>
            </w:trPr>
            <w:tc>
              <w:tcPr>
                <w:tcW w:w="4485"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b/>
                    <w:bCs/>
                    <w:color w:val="003366"/>
                    <w:szCs w:val="16"/>
                  </w:rPr>
                </w:pPr>
                <w:r>
                  <w:rPr>
                    <w:rStyle w:val="font3"/>
                  </w:rPr>
                  <w:t>Net interest income</w:t>
                </w:r>
                <w:r>
                  <w:rPr>
                    <w:rStyle w:val="font60"/>
                  </w:rPr>
                  <w:t> (1)</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8,047</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8,656 </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2,037</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2,006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2,176 </w:t>
                </w:r>
              </w:p>
            </w:tc>
          </w:tr>
          <w:tr w:rsidR="0064628A">
            <w:trPr>
              <w:trHeight w:val="105"/>
            </w:trPr>
            <w:tc>
              <w:tcPr>
                <w:tcW w:w="4485"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Fees and commissions receivable</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3,359</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3,218 </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789</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808</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785 </w:t>
                </w: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Fees and commissions payable</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(848)</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(861)</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(175)</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(186)</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(190)</w:t>
                </w: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Income from trading activities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932</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1,507 </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138</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195</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161 </w:t>
                </w: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Other operating income</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2,763</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882 </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1,444</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80</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126 </w:t>
                </w:r>
              </w:p>
            </w:tc>
          </w:tr>
          <w:tr w:rsidR="0064628A">
            <w:trPr>
              <w:trHeight w:val="105"/>
            </w:trPr>
            <w:tc>
              <w:tcPr>
                <w:tcW w:w="4485"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b/>
                    <w:bCs/>
                    <w:color w:val="003366"/>
                    <w:szCs w:val="16"/>
                  </w:rPr>
                </w:pPr>
                <w:r>
                  <w:rPr>
                    <w:rFonts w:eastAsia="Arial" w:cs="Arial"/>
                    <w:b/>
                    <w:bCs/>
                    <w:color w:val="003366"/>
                    <w:szCs w:val="16"/>
                  </w:rPr>
                  <w:t>Non-interest income</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6,206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4,746 </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2,196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897</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882 </w:t>
                </w:r>
              </w:p>
            </w:tc>
          </w:tr>
          <w:tr w:rsidR="0064628A">
            <w:trPr>
              <w:trHeight w:val="105"/>
            </w:trPr>
            <w:tc>
              <w:tcPr>
                <w:tcW w:w="4485"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ascii="Serif" w:eastAsia="Serif" w:hAnsi="Serif" w:cs="Serif"/>
                    <w:color w:val="000000"/>
                    <w:sz w:val="24"/>
                    <w:szCs w:val="24"/>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b/>
                    <w:bCs/>
                    <w:color w:val="003366"/>
                    <w:szCs w:val="16"/>
                  </w:rPr>
                </w:pPr>
                <w:r>
                  <w:rPr>
                    <w:rFonts w:eastAsia="Arial" w:cs="Arial"/>
                    <w:b/>
                    <w:bCs/>
                    <w:color w:val="003366"/>
                    <w:szCs w:val="16"/>
                  </w:rPr>
                  <w:t>Total income</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14,253</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13,402 </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4,233</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2,903</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3,058 </w:t>
                </w:r>
              </w:p>
            </w:tc>
          </w:tr>
          <w:tr w:rsidR="0064628A">
            <w:trPr>
              <w:trHeight w:val="105"/>
            </w:trPr>
            <w:tc>
              <w:tcPr>
                <w:tcW w:w="4485"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Staff costs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(4,018)</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(4,122)</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(990)</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(1,000)</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(1,014)</w:t>
                </w: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Premises and equipment</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(1,259)</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(1,383)</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(436)</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(265)</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(411)</w:t>
                </w: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Other administrative expenses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(2,828)</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(3,372)</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(743)</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(1,222)</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(851)</w:t>
                </w: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Depreciation and amortisation</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(1,176)</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(731)</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(323)</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(232)</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(187)</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Impairment of other intangible assets</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(44)</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(37)</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(35)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(6)</w:t>
                </w:r>
              </w:p>
            </w:tc>
          </w:tr>
          <w:tr w:rsidR="0064628A">
            <w:trPr>
              <w:trHeight w:val="105"/>
            </w:trPr>
            <w:tc>
              <w:tcPr>
                <w:tcW w:w="4485"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b/>
                    <w:bCs/>
                    <w:color w:val="003366"/>
                    <w:szCs w:val="16"/>
                  </w:rPr>
                </w:pPr>
                <w:r>
                  <w:rPr>
                    <w:rFonts w:eastAsia="Arial" w:cs="Arial"/>
                    <w:b/>
                    <w:bCs/>
                    <w:color w:val="003366"/>
                    <w:szCs w:val="16"/>
                  </w:rPr>
                  <w:t>Operating expenses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(9,325)</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(9,645)</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(2,527)</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(2,698)</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(2,469)</w:t>
                </w:r>
              </w:p>
            </w:tc>
          </w:tr>
          <w:tr w:rsidR="0064628A">
            <w:trPr>
              <w:trHeight w:val="105"/>
            </w:trPr>
            <w:tc>
              <w:tcPr>
                <w:tcW w:w="4485"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ascii="Serif" w:eastAsia="Serif" w:hAnsi="Serif" w:cs="Serif"/>
                    <w:color w:val="000000"/>
                    <w:sz w:val="24"/>
                    <w:szCs w:val="24"/>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b/>
                    <w:bCs/>
                    <w:color w:val="003366"/>
                    <w:szCs w:val="16"/>
                  </w:rPr>
                </w:pPr>
                <w:r>
                  <w:rPr>
                    <w:rFonts w:eastAsia="Arial" w:cs="Arial"/>
                    <w:b/>
                    <w:bCs/>
                    <w:color w:val="003366"/>
                    <w:szCs w:val="16"/>
                  </w:rPr>
                  <w:t>Profit before impairment losses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4,928</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3,757 </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1,706</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205</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589 </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 xml:space="preserve">Impairment losses </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(696)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(398)</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(160)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(213)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(17)</w:t>
                </w:r>
              </w:p>
            </w:tc>
          </w:tr>
          <w:tr w:rsidR="0064628A">
            <w:trPr>
              <w:trHeight w:val="105"/>
            </w:trPr>
            <w:tc>
              <w:tcPr>
                <w:tcW w:w="4485"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b/>
                    <w:bCs/>
                    <w:color w:val="003366"/>
                    <w:szCs w:val="16"/>
                  </w:rPr>
                </w:pPr>
                <w:r>
                  <w:rPr>
                    <w:rFonts w:eastAsia="Arial" w:cs="Arial"/>
                    <w:b/>
                    <w:bCs/>
                    <w:color w:val="003366"/>
                    <w:szCs w:val="16"/>
                  </w:rPr>
                  <w:t>Operating profit/(loss) before tax</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4,232</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3,359 </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1,546</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(8)</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572 </w:t>
                </w: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Tax charge</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(432)</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(1,208)</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(37)</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(201)</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(118)</w:t>
                </w:r>
              </w:p>
            </w:tc>
          </w:tr>
          <w:tr w:rsidR="0064628A">
            <w:trPr>
              <w:trHeight w:val="105"/>
            </w:trPr>
            <w:tc>
              <w:tcPr>
                <w:tcW w:w="4485"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r>
          <w:tr w:rsidR="0064628A">
            <w:trPr>
              <w:trHeight w:val="105"/>
            </w:trPr>
            <w:tc>
              <w:tcPr>
                <w:tcW w:w="4485"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b/>
                    <w:bCs/>
                    <w:color w:val="003366"/>
                    <w:szCs w:val="16"/>
                  </w:rPr>
                </w:pPr>
                <w:r>
                  <w:rPr>
                    <w:rFonts w:eastAsia="Arial" w:cs="Arial"/>
                    <w:b/>
                    <w:bCs/>
                    <w:color w:val="003366"/>
                    <w:szCs w:val="16"/>
                  </w:rPr>
                  <w:t>Profit/(loss) for the period</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3,800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2,151</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1,509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(209)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454</w:t>
                </w:r>
              </w:p>
            </w:tc>
          </w:tr>
          <w:tr w:rsidR="0064628A">
            <w:trPr>
              <w:trHeight w:val="105"/>
            </w:trPr>
            <w:tc>
              <w:tcPr>
                <w:tcW w:w="4485"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3366"/>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b/>
                    <w:bCs/>
                    <w:color w:val="003366"/>
                    <w:szCs w:val="16"/>
                  </w:rPr>
                </w:pPr>
                <w:r>
                  <w:rPr>
                    <w:rFonts w:eastAsia="Arial" w:cs="Arial"/>
                    <w:b/>
                    <w:bCs/>
                    <w:color w:val="003366"/>
                    <w:szCs w:val="16"/>
                  </w:rPr>
                  <w:t>Attributable to:</w:t>
                </w: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Ordinary shareholders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3,133</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1,622 </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1,410</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(315)</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286 </w:t>
                </w: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Other owners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406</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537</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99</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105</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182</w:t>
                </w: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Non-controlling interests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261</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(8)</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(14)</w:t>
                </w:r>
              </w:p>
            </w:tc>
          </w:tr>
          <w:tr w:rsidR="0064628A">
            <w:trPr>
              <w:trHeight w:val="105"/>
            </w:trPr>
            <w:tc>
              <w:tcPr>
                <w:tcW w:w="4485"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r>
          <w:tr w:rsidR="0064628A">
            <w:trPr>
              <w:trHeight w:val="105"/>
            </w:trPr>
            <w:tc>
              <w:tcPr>
                <w:tcW w:w="4485"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b/>
                    <w:bCs/>
                    <w:color w:val="003366"/>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Earnings/(loss) per ordinary share</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26.0p</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13.5p</w:t>
                </w:r>
              </w:p>
            </w:tc>
            <w:tc>
              <w:tcPr>
                <w:tcW w:w="6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11.7p</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(2.6p)</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2.4p</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Earnings/(loss) per ordinary share - fully diluted</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25.9p</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13.4p</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11.6p</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(2.6p)</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2.3p</w:t>
                </w:r>
              </w:p>
            </w:tc>
          </w:tr>
        </w:tbl>
      </w:sdtContent>
    </w:sdt>
    <w:p w:rsidR="006E7637" w:rsidRDefault="006E7637" w:rsidP="00527F23">
      <w:pPr>
        <w:pStyle w:val="Normal00"/>
        <w:keepNext/>
        <w:outlineLvl w:val="0"/>
        <w:rPr>
          <w:rFonts w:ascii="Arial" w:hAnsi="Arial" w:cs="Arial"/>
          <w:sz w:val="14"/>
          <w:szCs w:val="14"/>
          <w:lang w:eastAsia="ja-JP"/>
        </w:rPr>
      </w:pPr>
    </w:p>
    <w:p w:rsidR="006E7637" w:rsidRDefault="00FC1FDC" w:rsidP="006E7637">
      <w:pPr>
        <w:pStyle w:val="Normal00"/>
        <w:rPr>
          <w:rFonts w:ascii="Arial" w:hAnsi="Arial" w:cs="Arial"/>
          <w:sz w:val="14"/>
          <w:szCs w:val="14"/>
        </w:rPr>
      </w:pPr>
      <w:r>
        <w:rPr>
          <w:rFonts w:ascii="Arial" w:hAnsi="Arial" w:cs="Arial"/>
          <w:sz w:val="14"/>
          <w:szCs w:val="14"/>
        </w:rPr>
        <w:t>*Restated for IAS12 ‘income taxes’. Refer to Accounting policy 1, Other amendments to IFRS, for further details.  </w:t>
      </w:r>
    </w:p>
    <w:p w:rsidR="006215FF" w:rsidRDefault="006215FF" w:rsidP="00527F23">
      <w:pPr>
        <w:pStyle w:val="Normal00"/>
        <w:keepNext/>
        <w:outlineLvl w:val="0"/>
        <w:rPr>
          <w:rFonts w:ascii="Arial" w:hAnsi="Arial" w:cs="Arial"/>
          <w:sz w:val="14"/>
          <w:szCs w:val="14"/>
          <w:lang w:eastAsia="ja-JP"/>
        </w:rPr>
      </w:pPr>
    </w:p>
    <w:p w:rsidR="00527F23" w:rsidRPr="009F4B56" w:rsidRDefault="00FC1FDC" w:rsidP="00527F23">
      <w:pPr>
        <w:pStyle w:val="Normal00"/>
        <w:keepNext/>
        <w:outlineLvl w:val="0"/>
        <w:rPr>
          <w:rFonts w:ascii="Arial" w:hAnsi="Arial" w:cs="Arial"/>
          <w:sz w:val="14"/>
          <w:szCs w:val="14"/>
          <w:lang w:eastAsia="ja-JP"/>
        </w:rPr>
      </w:pPr>
      <w:r w:rsidRPr="009F4B56">
        <w:rPr>
          <w:rFonts w:ascii="Arial" w:hAnsi="Arial" w:cs="Arial"/>
          <w:sz w:val="14"/>
          <w:szCs w:val="14"/>
          <w:lang w:eastAsia="ja-JP"/>
        </w:rPr>
        <w:t>Note:</w:t>
      </w:r>
    </w:p>
    <w:tbl>
      <w:tblPr>
        <w:tblW w:w="10206" w:type="dxa"/>
        <w:tblLayout w:type="fixed"/>
        <w:tblLook w:val="0000" w:firstRow="0" w:lastRow="0" w:firstColumn="0" w:lastColumn="0" w:noHBand="0" w:noVBand="0"/>
      </w:tblPr>
      <w:tblGrid>
        <w:gridCol w:w="257"/>
        <w:gridCol w:w="9949"/>
      </w:tblGrid>
      <w:tr w:rsidR="0064628A" w:rsidTr="006E7637">
        <w:tc>
          <w:tcPr>
            <w:tcW w:w="256" w:type="dxa"/>
            <w:tcMar>
              <w:left w:w="0" w:type="dxa"/>
              <w:right w:w="0" w:type="dxa"/>
            </w:tcMar>
          </w:tcPr>
          <w:p w:rsidR="00527F23" w:rsidRPr="009F4B56" w:rsidRDefault="00FC1FDC" w:rsidP="005F64C9">
            <w:pPr>
              <w:pStyle w:val="Normal00"/>
              <w:autoSpaceDE w:val="0"/>
              <w:autoSpaceDN w:val="0"/>
              <w:adjustRightInd w:val="0"/>
              <w:rPr>
                <w:rFonts w:ascii="Arial" w:hAnsi="Arial" w:cs="Arial"/>
                <w:sz w:val="14"/>
                <w:szCs w:val="14"/>
                <w:lang w:eastAsia="ja-JP"/>
              </w:rPr>
            </w:pPr>
            <w:r w:rsidRPr="009F4B56">
              <w:rPr>
                <w:rFonts w:ascii="Arial" w:hAnsi="Arial" w:cs="Arial"/>
                <w:sz w:val="14"/>
                <w:szCs w:val="14"/>
                <w:lang w:eastAsia="ja-JP"/>
              </w:rPr>
              <w:t>(1)</w:t>
            </w:r>
          </w:p>
        </w:tc>
        <w:tc>
          <w:tcPr>
            <w:tcW w:w="9923" w:type="dxa"/>
            <w:tcMar>
              <w:left w:w="0" w:type="dxa"/>
              <w:right w:w="0" w:type="dxa"/>
            </w:tcMar>
          </w:tcPr>
          <w:p w:rsidR="00527F23" w:rsidRPr="009F4B56" w:rsidRDefault="00FC1FDC" w:rsidP="005F64C9">
            <w:pPr>
              <w:pStyle w:val="Normal00"/>
              <w:autoSpaceDE w:val="0"/>
              <w:autoSpaceDN w:val="0"/>
              <w:adjustRightInd w:val="0"/>
              <w:jc w:val="both"/>
              <w:rPr>
                <w:rFonts w:ascii="Arial" w:hAnsi="Arial" w:cs="Arial"/>
                <w:sz w:val="14"/>
                <w:szCs w:val="14"/>
              </w:rPr>
            </w:pPr>
            <w:r w:rsidRPr="009F4B56">
              <w:rPr>
                <w:rFonts w:ascii="Arial" w:hAnsi="Arial" w:cs="Arial"/>
                <w:iCs/>
                <w:sz w:val="14"/>
                <w:szCs w:val="14"/>
              </w:rPr>
              <w:t xml:space="preserve">Negative interest </w:t>
            </w:r>
            <w:r>
              <w:rPr>
                <w:rFonts w:ascii="Arial" w:hAnsi="Arial" w:cs="Arial"/>
                <w:iCs/>
                <w:sz w:val="14"/>
                <w:szCs w:val="14"/>
              </w:rPr>
              <w:t>on loans</w:t>
            </w:r>
            <w:r w:rsidRPr="009F4B56">
              <w:rPr>
                <w:rFonts w:ascii="Arial" w:hAnsi="Arial" w:cs="Arial"/>
                <w:iCs/>
                <w:sz w:val="14"/>
                <w:szCs w:val="14"/>
              </w:rPr>
              <w:t xml:space="preserve"> is reported as interest payable. Negative interest on customer deposits is reported as interest receivable. </w:t>
            </w:r>
          </w:p>
        </w:tc>
      </w:tr>
    </w:tbl>
    <w:p w:rsidR="00527F23" w:rsidRDefault="00527F23" w:rsidP="00527F23"/>
    <w:p w:rsidR="00527F23" w:rsidRDefault="00527F23" w:rsidP="00527F23"/>
    <w:p w:rsidR="00527F23" w:rsidRDefault="00527F23" w:rsidP="00527F23">
      <w:pPr>
        <w:rPr>
          <w:rFonts w:cs="Arial"/>
          <w:sz w:val="14"/>
          <w:szCs w:val="14"/>
        </w:rPr>
        <w:sectPr w:rsidR="00527F23">
          <w:headerReference w:type="even" r:id="rId64"/>
          <w:headerReference w:type="default" r:id="rId65"/>
          <w:footerReference w:type="even" r:id="rId66"/>
          <w:footerReference w:type="default" r:id="rId67"/>
          <w:headerReference w:type="first" r:id="rId68"/>
          <w:footerReference w:type="first" r:id="rId69"/>
          <w:type w:val="continuous"/>
          <w:pgSz w:w="11906" w:h="16838"/>
          <w:pgMar w:top="1134" w:right="851" w:bottom="680" w:left="851" w:header="708" w:footer="708" w:gutter="0"/>
          <w:cols w:space="708"/>
        </w:sectPr>
      </w:pPr>
    </w:p>
    <w:p w:rsidR="00527F23" w:rsidRPr="005A21DE" w:rsidRDefault="00FC1FDC" w:rsidP="00527F23">
      <w:pPr>
        <w:pStyle w:val="Normal00"/>
        <w:rPr>
          <w:rFonts w:ascii="Arial" w:hAnsi="Arial" w:cs="Arial"/>
          <w:color w:val="0A2F64"/>
          <w:sz w:val="18"/>
          <w:szCs w:val="18"/>
        </w:rPr>
      </w:pPr>
      <w:r w:rsidRPr="00D508B7">
        <w:rPr>
          <w:rFonts w:ascii="Arial" w:hAnsi="Arial" w:cs="Arial"/>
          <w:b/>
          <w:color w:val="0A2F64"/>
          <w:sz w:val="18"/>
          <w:szCs w:val="18"/>
        </w:rPr>
        <w:t>Condensed consolidated statement of comprehensive income for t</w:t>
      </w:r>
      <w:r>
        <w:rPr>
          <w:rFonts w:ascii="Arial" w:hAnsi="Arial" w:cs="Arial"/>
          <w:b/>
          <w:color w:val="0A2F64"/>
          <w:sz w:val="18"/>
          <w:szCs w:val="18"/>
        </w:rPr>
        <w:t>he period ended 31 December 2019</w:t>
      </w:r>
      <w:r w:rsidRPr="005A21DE">
        <w:rPr>
          <w:rFonts w:ascii="Arial" w:hAnsi="Arial" w:cs="Arial"/>
          <w:color w:val="0A2F64"/>
          <w:sz w:val="18"/>
          <w:szCs w:val="18"/>
        </w:rPr>
        <w:t xml:space="preserve"> </w:t>
      </w:r>
    </w:p>
    <w:p w:rsidR="00527F23" w:rsidRPr="005A21DE" w:rsidRDefault="00527F23" w:rsidP="00527F23">
      <w:pPr>
        <w:rPr>
          <w:rFonts w:cs="Arial"/>
          <w:color w:val="0A2F64"/>
          <w:sz w:val="18"/>
          <w:szCs w:val="18"/>
        </w:rPr>
      </w:pPr>
    </w:p>
    <w:sdt>
      <w:sdtPr>
        <w:tag w:val="&lt;ReportPackage&gt;&lt;EmbeddedContent id=&quot;01d4a18a-7bbd-4737-964c-97d8cc8e286c&quot; lastModified=&quot;1581256263114&quot;/&gt;&lt;/ReportPackage&gt;"/>
        <w:id w:val="930532246"/>
        <w:lock w:val="contentLocked"/>
        <w:placeholder>
          <w:docPart w:val="C4D21F80E458463B9509DBA4437F7C3E"/>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4475"/>
            <w:gridCol w:w="1109"/>
            <w:gridCol w:w="1109"/>
            <w:gridCol w:w="60"/>
            <w:gridCol w:w="1109"/>
            <w:gridCol w:w="1109"/>
            <w:gridCol w:w="1109"/>
          </w:tblGrid>
          <w:tr w:rsidR="0064628A">
            <w:trPr>
              <w:trHeight w:val="210"/>
            </w:trPr>
            <w:tc>
              <w:tcPr>
                <w:tcW w:w="4485"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3366"/>
                    <w:szCs w:val="16"/>
                  </w:rPr>
                </w:pPr>
              </w:p>
            </w:tc>
            <w:tc>
              <w:tcPr>
                <w:tcW w:w="2220" w:type="dxa"/>
                <w:gridSpan w:val="2"/>
                <w:tcBorders>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center"/>
                  <w:rPr>
                    <w:rFonts w:eastAsia="Arial" w:cs="Arial"/>
                    <w:b/>
                    <w:bCs/>
                    <w:color w:val="003366"/>
                    <w:szCs w:val="16"/>
                  </w:rPr>
                </w:pPr>
                <w:r>
                  <w:rPr>
                    <w:rFonts w:eastAsia="Arial" w:cs="Arial"/>
                    <w:b/>
                    <w:bCs/>
                    <w:color w:val="003366"/>
                    <w:szCs w:val="16"/>
                  </w:rPr>
                  <w:t>Year ended</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jc w:val="center"/>
                  <w:rPr>
                    <w:rFonts w:eastAsia="Arial" w:cs="Arial"/>
                    <w:color w:val="003366"/>
                    <w:szCs w:val="16"/>
                  </w:rPr>
                </w:pPr>
              </w:p>
            </w:tc>
            <w:tc>
              <w:tcPr>
                <w:tcW w:w="3330" w:type="dxa"/>
                <w:gridSpan w:val="3"/>
                <w:tcBorders>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center"/>
                  <w:rPr>
                    <w:rFonts w:eastAsia="Arial" w:cs="Arial"/>
                    <w:b/>
                    <w:bCs/>
                    <w:color w:val="003366"/>
                    <w:szCs w:val="16"/>
                  </w:rPr>
                </w:pPr>
                <w:r>
                  <w:rPr>
                    <w:rFonts w:eastAsia="Arial" w:cs="Arial"/>
                    <w:b/>
                    <w:bCs/>
                    <w:color w:val="003366"/>
                    <w:szCs w:val="16"/>
                  </w:rPr>
                  <w:t>Quarter ended</w:t>
                </w:r>
              </w:p>
            </w:tc>
          </w:tr>
          <w:tr w:rsidR="0064628A">
            <w:trPr>
              <w:trHeight w:val="195"/>
            </w:trPr>
            <w:tc>
              <w:tcPr>
                <w:tcW w:w="4485" w:type="dxa"/>
                <w:vMerge w:val="restart"/>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3366"/>
                    <w:szCs w:val="16"/>
                  </w:rPr>
                </w:pPr>
                <w:r>
                  <w:rPr>
                    <w:rFonts w:eastAsia="Arial" w:cs="Arial"/>
                    <w:color w:val="003366"/>
                    <w:szCs w:val="16"/>
                  </w:rPr>
                  <w:t>31 December</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3366"/>
                    <w:szCs w:val="16"/>
                  </w:rPr>
                </w:pPr>
                <w:r>
                  <w:rPr>
                    <w:rFonts w:eastAsia="Arial" w:cs="Arial"/>
                    <w:color w:val="003366"/>
                    <w:szCs w:val="16"/>
                  </w:rPr>
                  <w:t>30 September</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3366"/>
                    <w:szCs w:val="16"/>
                  </w:rPr>
                </w:pPr>
                <w:r>
                  <w:rPr>
                    <w:rFonts w:eastAsia="Arial" w:cs="Arial"/>
                    <w:color w:val="003366"/>
                    <w:szCs w:val="16"/>
                  </w:rPr>
                  <w:t>31 December</w:t>
                </w:r>
              </w:p>
            </w:tc>
          </w:tr>
          <w:tr w:rsidR="0064628A">
            <w:trPr>
              <w:trHeight w:val="195"/>
            </w:trPr>
            <w:tc>
              <w:tcPr>
                <w:tcW w:w="0" w:type="auto"/>
                <w:vMerge/>
                <w:tcMar>
                  <w:top w:w="0" w:type="dxa"/>
                  <w:bottom w:w="0" w:type="dxa"/>
                </w:tcMar>
                <w:vAlign w:val="center"/>
                <w:hideMark/>
              </w:tcPr>
              <w:p w:rsidR="00C81F6F" w:rsidRDefault="00C81F6F">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3366"/>
                    <w:szCs w:val="16"/>
                  </w:rPr>
                </w:pPr>
                <w:r>
                  <w:rPr>
                    <w:rFonts w:eastAsia="Arial" w:cs="Arial"/>
                    <w:color w:val="003366"/>
                    <w:szCs w:val="16"/>
                  </w:rPr>
                  <w:t>2018*</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3366"/>
                    <w:szCs w:val="16"/>
                  </w:rPr>
                </w:pPr>
                <w:r>
                  <w:rPr>
                    <w:rFonts w:eastAsia="Arial" w:cs="Arial"/>
                    <w:color w:val="003366"/>
                    <w:szCs w:val="16"/>
                  </w:rPr>
                  <w:t>2019</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4485"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color w:val="000000"/>
                    <w:szCs w:val="16"/>
                  </w:rPr>
                </w:pPr>
                <w:r>
                  <w:rPr>
                    <w:rFonts w:eastAsia="Arial" w:cs="Arial"/>
                    <w:color w:val="000000"/>
                    <w:szCs w:val="16"/>
                  </w:rPr>
                  <w:t>Profit/(loss) for the period</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3,800</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2,151</w:t>
                </w:r>
              </w:p>
            </w:tc>
            <w:tc>
              <w:tcPr>
                <w:tcW w:w="6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1,509</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(209)</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454</w:t>
                </w: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b/>
                    <w:bCs/>
                    <w:color w:val="003366"/>
                    <w:szCs w:val="16"/>
                  </w:rPr>
                </w:pPr>
                <w:r>
                  <w:rPr>
                    <w:rFonts w:eastAsia="Arial" w:cs="Arial"/>
                    <w:b/>
                    <w:bCs/>
                    <w:color w:val="003366"/>
                    <w:szCs w:val="16"/>
                  </w:rPr>
                  <w:t>Items that do not qualify for reclassification</w:t>
                </w:r>
              </w:p>
            </w:tc>
            <w:tc>
              <w:tcPr>
                <w:tcW w:w="1110" w:type="dxa"/>
                <w:shd w:val="clear" w:color="auto" w:fill="C0C0C0"/>
                <w:tcMar>
                  <w:top w:w="0" w:type="dxa"/>
                  <w:left w:w="5" w:type="dxa"/>
                  <w:bottom w:w="0" w:type="dxa"/>
                  <w:right w:w="5" w:type="dxa"/>
                </w:tcMar>
                <w:vAlign w:val="center"/>
                <w:hideMark/>
              </w:tcPr>
              <w:p w:rsidR="00C81F6F" w:rsidRDefault="00C81F6F">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C81F6F">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color w:val="000000"/>
                    <w:szCs w:val="16"/>
                  </w:rPr>
                </w:pPr>
                <w:r>
                  <w:rPr>
                    <w:rFonts w:eastAsia="Arial" w:cs="Arial"/>
                    <w:color w:val="000000"/>
                    <w:szCs w:val="16"/>
                  </w:rPr>
                  <w:t>Remeasurement of retirement benefit schemes</w:t>
                </w:r>
              </w:p>
            </w:tc>
            <w:tc>
              <w:tcPr>
                <w:tcW w:w="1110" w:type="dxa"/>
                <w:shd w:val="clear" w:color="auto" w:fill="C0C0C0"/>
                <w:tcMar>
                  <w:top w:w="0" w:type="dxa"/>
                  <w:left w:w="5" w:type="dxa"/>
                  <w:bottom w:w="0" w:type="dxa"/>
                  <w:right w:w="5" w:type="dxa"/>
                </w:tcMar>
                <w:vAlign w:val="center"/>
                <w:hideMark/>
              </w:tcPr>
              <w:p w:rsidR="00C81F6F" w:rsidRDefault="00C81F6F">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C81F6F">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color w:val="000000"/>
                    <w:szCs w:val="16"/>
                  </w:rPr>
                </w:pPr>
                <w:r>
                  <w:rPr>
                    <w:rStyle w:val="font4"/>
                  </w:rPr>
                  <w:t> - contributions in preparation for ring-fencing</w:t>
                </w:r>
                <w:r>
                  <w:rPr>
                    <w:rStyle w:val="font71"/>
                  </w:rPr>
                  <w:t xml:space="preserve"> </w:t>
                </w:r>
                <w:r>
                  <w:rPr>
                    <w:rStyle w:val="font6"/>
                  </w:rPr>
                  <w:t>(1)</w:t>
                </w: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(2,053)</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(53)</w:t>
                </w: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color w:val="000000"/>
                    <w:szCs w:val="16"/>
                  </w:rPr>
                </w:pPr>
                <w:r>
                  <w:rPr>
                    <w:rFonts w:eastAsia="Arial" w:cs="Arial"/>
                    <w:color w:val="000000"/>
                    <w:szCs w:val="16"/>
                  </w:rPr>
                  <w:t> - other movements</w:t>
                </w: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(142)</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86 </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(46)</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(28)</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14 </w:t>
                </w: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color w:val="000000"/>
                    <w:szCs w:val="16"/>
                  </w:rPr>
                </w:pPr>
                <w:r>
                  <w:rPr>
                    <w:rFonts w:eastAsia="Arial" w:cs="Arial"/>
                    <w:color w:val="000000"/>
                    <w:szCs w:val="16"/>
                  </w:rPr>
                  <w:t xml:space="preserve">(Loss)/profit on fair value of credit in financial liabilities </w:t>
                </w:r>
              </w:p>
            </w:tc>
            <w:tc>
              <w:tcPr>
                <w:tcW w:w="1110" w:type="dxa"/>
                <w:shd w:val="clear" w:color="auto" w:fill="C0C0C0"/>
                <w:tcMar>
                  <w:top w:w="0" w:type="dxa"/>
                  <w:left w:w="5" w:type="dxa"/>
                  <w:bottom w:w="0" w:type="dxa"/>
                  <w:right w:w="5" w:type="dxa"/>
                </w:tcMar>
                <w:vAlign w:val="center"/>
                <w:hideMark/>
              </w:tcPr>
              <w:p w:rsidR="00C81F6F" w:rsidRDefault="00C81F6F">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C81F6F">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designated at FVTPL due to own credit risk</w:t>
                </w: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(189)</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200 </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(74)</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(19)</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91 </w:t>
                </w: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color w:val="000000"/>
                    <w:szCs w:val="16"/>
                  </w:rPr>
                </w:pPr>
                <w:r>
                  <w:rPr>
                    <w:rFonts w:eastAsia="Arial" w:cs="Arial"/>
                    <w:color w:val="000000"/>
                    <w:szCs w:val="16"/>
                  </w:rPr>
                  <w:t xml:space="preserve">FVOCI financial assets </w:t>
                </w: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(71)</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48 </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21</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(130)</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(13)</w:t>
                </w: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color w:val="000000"/>
                    <w:szCs w:val="16"/>
                  </w:rPr>
                </w:pPr>
                <w:r>
                  <w:rPr>
                    <w:rFonts w:eastAsia="Arial" w:cs="Arial"/>
                    <w:color w:val="000000"/>
                    <w:szCs w:val="16"/>
                  </w:rPr>
                  <w:t>Tax</w:t>
                </w: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28</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502 </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4</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15 </w:t>
                </w:r>
              </w:p>
            </w:tc>
          </w:tr>
          <w:tr w:rsidR="0064628A">
            <w:trPr>
              <w:trHeight w:val="195"/>
            </w:trPr>
            <w:tc>
              <w:tcPr>
                <w:tcW w:w="4485"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(374)</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(1,217)</w:t>
                </w:r>
              </w:p>
            </w:tc>
            <w:tc>
              <w:tcPr>
                <w:tcW w:w="6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(95)</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(179)</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54 </w:t>
                </w: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b/>
                    <w:bCs/>
                    <w:color w:val="003366"/>
                    <w:szCs w:val="16"/>
                  </w:rPr>
                </w:pPr>
                <w:r>
                  <w:rPr>
                    <w:rFonts w:eastAsia="Arial" w:cs="Arial"/>
                    <w:b/>
                    <w:bCs/>
                    <w:color w:val="003366"/>
                    <w:szCs w:val="16"/>
                  </w:rPr>
                  <w:t>Items that do qualify for reclassification</w:t>
                </w:r>
              </w:p>
            </w:tc>
            <w:tc>
              <w:tcPr>
                <w:tcW w:w="1110" w:type="dxa"/>
                <w:shd w:val="clear" w:color="auto" w:fill="C0C0C0"/>
                <w:tcMar>
                  <w:top w:w="0" w:type="dxa"/>
                  <w:left w:w="5" w:type="dxa"/>
                  <w:bottom w:w="0" w:type="dxa"/>
                  <w:right w:w="5" w:type="dxa"/>
                </w:tcMar>
                <w:vAlign w:val="center"/>
                <w:hideMark/>
              </w:tcPr>
              <w:p w:rsidR="00C81F6F" w:rsidRDefault="00C81F6F">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C81F6F">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color w:val="000000"/>
                    <w:szCs w:val="16"/>
                  </w:rPr>
                </w:pPr>
                <w:r>
                  <w:rPr>
                    <w:rFonts w:eastAsia="Arial" w:cs="Arial"/>
                    <w:color w:val="000000"/>
                    <w:szCs w:val="16"/>
                  </w:rPr>
                  <w:t xml:space="preserve">FVOCI financial assets </w:t>
                </w: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(14)</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7 </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(11)</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9</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(24)</w:t>
                </w: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color w:val="000000"/>
                    <w:szCs w:val="16"/>
                  </w:rPr>
                </w:pPr>
                <w:r>
                  <w:rPr>
                    <w:rFonts w:eastAsia="Arial" w:cs="Arial"/>
                    <w:color w:val="000000"/>
                    <w:szCs w:val="16"/>
                  </w:rPr>
                  <w:t>Cash flow hedges</w:t>
                </w: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294</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(581)</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(394)</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286</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241 </w:t>
                </w: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color w:val="000000"/>
                    <w:szCs w:val="16"/>
                  </w:rPr>
                </w:pPr>
                <w:r>
                  <w:rPr>
                    <w:rFonts w:eastAsia="Arial" w:cs="Arial"/>
                    <w:color w:val="000000"/>
                    <w:szCs w:val="16"/>
                  </w:rPr>
                  <w:t>Currency translation</w:t>
                </w: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(1,836)</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310 </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(1,538)</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(57)</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190 </w:t>
                </w: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color w:val="000000"/>
                    <w:szCs w:val="16"/>
                  </w:rPr>
                </w:pPr>
                <w:r>
                  <w:rPr>
                    <w:rFonts w:eastAsia="Arial" w:cs="Arial"/>
                    <w:color w:val="000000"/>
                    <w:szCs w:val="16"/>
                  </w:rPr>
                  <w:t>Tax</w:t>
                </w: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(170)</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189 </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23</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(71)</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(35)</w:t>
                </w:r>
              </w:p>
            </w:tc>
          </w:tr>
          <w:tr w:rsidR="0064628A">
            <w:trPr>
              <w:trHeight w:val="195"/>
            </w:trPr>
            <w:tc>
              <w:tcPr>
                <w:tcW w:w="4485"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(1,726)</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(75)</w:t>
                </w:r>
              </w:p>
            </w:tc>
            <w:tc>
              <w:tcPr>
                <w:tcW w:w="6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(1,920)</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167</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372 </w:t>
                </w:r>
              </w:p>
            </w:tc>
          </w:tr>
          <w:tr w:rsidR="0064628A">
            <w:trPr>
              <w:trHeight w:val="195"/>
            </w:trPr>
            <w:tc>
              <w:tcPr>
                <w:tcW w:w="4485"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b/>
                    <w:bCs/>
                    <w:color w:val="003366"/>
                    <w:szCs w:val="16"/>
                  </w:rPr>
                </w:pPr>
                <w:r>
                  <w:rPr>
                    <w:rFonts w:eastAsia="Arial" w:cs="Arial"/>
                    <w:b/>
                    <w:bCs/>
                    <w:color w:val="003366"/>
                    <w:szCs w:val="16"/>
                  </w:rPr>
                  <w:t>Other comprehensive (loss)/income after tax</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(2,100)</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(1,292)</w:t>
                </w:r>
              </w:p>
            </w:tc>
            <w:tc>
              <w:tcPr>
                <w:tcW w:w="6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(2,015)</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(12)</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426 </w:t>
                </w: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b/>
                    <w:bCs/>
                    <w:color w:val="003366"/>
                    <w:szCs w:val="16"/>
                  </w:rPr>
                </w:pPr>
              </w:p>
            </w:tc>
            <w:tc>
              <w:tcPr>
                <w:tcW w:w="1110" w:type="dxa"/>
                <w:shd w:val="clear" w:color="auto" w:fill="C0C0C0"/>
                <w:tcMar>
                  <w:top w:w="0" w:type="dxa"/>
                  <w:left w:w="5" w:type="dxa"/>
                  <w:bottom w:w="0" w:type="dxa"/>
                  <w:right w:w="5" w:type="dxa"/>
                </w:tcMar>
                <w:vAlign w:val="center"/>
                <w:hideMark/>
              </w:tcPr>
              <w:p w:rsidR="00C81F6F" w:rsidRDefault="00C81F6F">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C81F6F">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b/>
                    <w:bCs/>
                    <w:color w:val="003366"/>
                    <w:szCs w:val="16"/>
                  </w:rPr>
                </w:pPr>
                <w:r>
                  <w:rPr>
                    <w:rFonts w:eastAsia="Arial" w:cs="Arial"/>
                    <w:b/>
                    <w:bCs/>
                    <w:color w:val="003366"/>
                    <w:szCs w:val="16"/>
                  </w:rPr>
                  <w:t>Total comprehensive income/(loss)</w:t>
                </w:r>
                <w:r>
                  <w:rPr>
                    <w:rFonts w:ascii="Times New Roman" w:eastAsia="Times New Roman" w:hAnsi="Times New Roman" w:cs="Times New Roman"/>
                    <w:b/>
                    <w:bCs/>
                    <w:color w:val="003366"/>
                    <w:szCs w:val="16"/>
                  </w:rPr>
                  <w:t xml:space="preserve">  </w:t>
                </w:r>
                <w:r>
                  <w:rPr>
                    <w:rFonts w:eastAsia="Arial" w:cs="Arial"/>
                    <w:b/>
                    <w:bCs/>
                    <w:color w:val="003366"/>
                    <w:szCs w:val="16"/>
                  </w:rPr>
                  <w:t>for the period</w:t>
                </w: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1,700</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859</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(506)</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(221)</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880</w:t>
                </w:r>
              </w:p>
            </w:tc>
          </w:tr>
          <w:tr w:rsidR="0064628A">
            <w:trPr>
              <w:trHeight w:val="195"/>
            </w:trPr>
            <w:tc>
              <w:tcPr>
                <w:tcW w:w="4485" w:type="dxa"/>
                <w:tcBorders>
                  <w:top w:val="single" w:sz="6" w:space="0" w:color="003366"/>
                </w:tcBorders>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C81F6F" w:rsidRDefault="00C81F6F">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C81F6F" w:rsidRDefault="00C81F6F">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b/>
                    <w:bCs/>
                    <w:color w:val="003366"/>
                    <w:szCs w:val="16"/>
                  </w:rPr>
                </w:pPr>
                <w:r>
                  <w:rPr>
                    <w:rFonts w:eastAsia="Arial" w:cs="Arial"/>
                    <w:b/>
                    <w:bCs/>
                    <w:color w:val="003366"/>
                    <w:szCs w:val="16"/>
                  </w:rPr>
                  <w:t>Total comprehensive income/(loss) is attributable to:</w:t>
                </w:r>
              </w:p>
            </w:tc>
            <w:tc>
              <w:tcPr>
                <w:tcW w:w="1110" w:type="dxa"/>
                <w:shd w:val="clear" w:color="auto" w:fill="C0C0C0"/>
                <w:tcMar>
                  <w:top w:w="0" w:type="dxa"/>
                  <w:left w:w="5" w:type="dxa"/>
                  <w:bottom w:w="0" w:type="dxa"/>
                  <w:right w:w="5" w:type="dxa"/>
                </w:tcMar>
                <w:vAlign w:val="center"/>
                <w:hideMark/>
              </w:tcPr>
              <w:p w:rsidR="00C81F6F" w:rsidRDefault="00C81F6F">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C81F6F">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color w:val="000000"/>
                    <w:szCs w:val="16"/>
                  </w:rPr>
                </w:pPr>
                <w:r>
                  <w:rPr>
                    <w:rFonts w:eastAsia="Arial" w:cs="Arial"/>
                    <w:color w:val="000000"/>
                    <w:szCs w:val="16"/>
                  </w:rPr>
                  <w:t>Ordinary shareholders</w:t>
                </w: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1,044</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305 </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(580)</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(326)</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709 </w:t>
                </w: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color w:val="000000"/>
                    <w:szCs w:val="16"/>
                  </w:rPr>
                </w:pPr>
                <w:r>
                  <w:rPr>
                    <w:rFonts w:eastAsia="Arial" w:cs="Arial"/>
                    <w:color w:val="000000"/>
                    <w:szCs w:val="16"/>
                  </w:rPr>
                  <w:t>Preference shareholders</w:t>
                </w: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39</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182 </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9</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10</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88 </w:t>
                </w:r>
              </w:p>
            </w:tc>
          </w:tr>
          <w:tr w:rsidR="0064628A">
            <w:trPr>
              <w:trHeight w:val="195"/>
            </w:trPr>
            <w:tc>
              <w:tcPr>
                <w:tcW w:w="4485" w:type="dxa"/>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color w:val="000000"/>
                    <w:szCs w:val="16"/>
                  </w:rPr>
                </w:pPr>
                <w:r>
                  <w:rPr>
                    <w:rFonts w:eastAsia="Arial" w:cs="Arial"/>
                    <w:color w:val="000000"/>
                    <w:szCs w:val="16"/>
                  </w:rPr>
                  <w:t>Paid-in equity holders</w:t>
                </w: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367</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355</w:t>
                </w:r>
              </w:p>
            </w:tc>
            <w:tc>
              <w:tcPr>
                <w:tcW w:w="60" w:type="dxa"/>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90</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95</w:t>
                </w:r>
              </w:p>
            </w:tc>
            <w:tc>
              <w:tcPr>
                <w:tcW w:w="1110" w:type="dxa"/>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94</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rPr>
                    <w:rFonts w:eastAsia="Arial" w:cs="Arial"/>
                    <w:color w:val="000000"/>
                    <w:szCs w:val="16"/>
                  </w:rPr>
                </w:pPr>
                <w:r>
                  <w:rPr>
                    <w:rFonts w:eastAsia="Arial" w:cs="Arial"/>
                    <w:color w:val="000000"/>
                    <w:szCs w:val="16"/>
                  </w:rPr>
                  <w:t>Non-controlling interests</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250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17 </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(25)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(11)</w:t>
                </w:r>
              </w:p>
            </w:tc>
          </w:tr>
          <w:tr w:rsidR="0064628A">
            <w:trPr>
              <w:trHeight w:val="195"/>
            </w:trPr>
            <w:tc>
              <w:tcPr>
                <w:tcW w:w="4485"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1,700</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859</w:t>
                </w:r>
              </w:p>
            </w:tc>
            <w:tc>
              <w:tcPr>
                <w:tcW w:w="6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C81F6F">
                <w:pPr>
                  <w:spacing w:line="240" w:lineRule="auto"/>
                  <w:contextualSpacing/>
                  <w:rPr>
                    <w:rFonts w:eastAsia="Arial" w:cs="Arial"/>
                    <w:color w:val="000000"/>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C81F6F" w:rsidRDefault="00FC1FDC">
                <w:pPr>
                  <w:spacing w:line="240" w:lineRule="auto"/>
                  <w:contextualSpacing/>
                  <w:jc w:val="right"/>
                  <w:rPr>
                    <w:rFonts w:eastAsia="Arial" w:cs="Arial"/>
                    <w:b/>
                    <w:bCs/>
                    <w:color w:val="000000"/>
                    <w:szCs w:val="16"/>
                  </w:rPr>
                </w:pPr>
                <w:r>
                  <w:rPr>
                    <w:rFonts w:eastAsia="Arial" w:cs="Arial"/>
                    <w:b/>
                    <w:bCs/>
                    <w:color w:val="000000"/>
                    <w:szCs w:val="16"/>
                  </w:rPr>
                  <w:t>(506)</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(221)</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C81F6F" w:rsidRDefault="00FC1FDC">
                <w:pPr>
                  <w:spacing w:line="240" w:lineRule="auto"/>
                  <w:contextualSpacing/>
                  <w:jc w:val="right"/>
                  <w:rPr>
                    <w:rFonts w:eastAsia="Arial" w:cs="Arial"/>
                    <w:color w:val="000000"/>
                    <w:szCs w:val="16"/>
                  </w:rPr>
                </w:pPr>
                <w:r>
                  <w:rPr>
                    <w:rFonts w:eastAsia="Arial" w:cs="Arial"/>
                    <w:color w:val="000000"/>
                    <w:szCs w:val="16"/>
                  </w:rPr>
                  <w:t>880</w:t>
                </w:r>
              </w:p>
            </w:tc>
          </w:tr>
        </w:tbl>
      </w:sdtContent>
    </w:sdt>
    <w:p w:rsidR="006E7637" w:rsidRDefault="006E7637" w:rsidP="006215FF">
      <w:pPr>
        <w:pStyle w:val="Normal00"/>
        <w:keepNext/>
        <w:outlineLvl w:val="0"/>
        <w:rPr>
          <w:rFonts w:ascii="Arial" w:hAnsi="Arial" w:cs="Arial"/>
          <w:sz w:val="14"/>
          <w:szCs w:val="14"/>
          <w:lang w:eastAsia="ja-JP"/>
        </w:rPr>
      </w:pPr>
    </w:p>
    <w:p w:rsidR="006E7637" w:rsidRDefault="00FC1FDC" w:rsidP="006E7637">
      <w:pPr>
        <w:pStyle w:val="Normal00"/>
        <w:rPr>
          <w:rFonts w:ascii="Arial" w:hAnsi="Arial" w:cs="Arial"/>
          <w:sz w:val="14"/>
          <w:szCs w:val="14"/>
        </w:rPr>
      </w:pPr>
      <w:r>
        <w:rPr>
          <w:rFonts w:ascii="Arial" w:hAnsi="Arial" w:cs="Arial"/>
          <w:sz w:val="14"/>
          <w:szCs w:val="14"/>
        </w:rPr>
        <w:t>*Restated for IAS12 ‘income taxes’. Refer to Accounting policy 1, Other amendments to IFRS, for further details.  </w:t>
      </w:r>
    </w:p>
    <w:p w:rsidR="00527F23" w:rsidRDefault="00527F23" w:rsidP="00527F23"/>
    <w:p w:rsidR="00527F23" w:rsidRPr="00FC7896" w:rsidRDefault="00FC1FDC" w:rsidP="00527F23">
      <w:pPr>
        <w:pStyle w:val="Normal1"/>
        <w:keepNext/>
        <w:spacing w:line="288" w:lineRule="auto"/>
        <w:outlineLvl w:val="0"/>
        <w:rPr>
          <w:rFonts w:ascii="Arial" w:hAnsi="Arial" w:cs="Arial"/>
          <w:sz w:val="14"/>
          <w:szCs w:val="14"/>
        </w:rPr>
      </w:pPr>
      <w:r w:rsidRPr="00FC7896">
        <w:rPr>
          <w:rFonts w:ascii="Arial" w:hAnsi="Arial" w:cs="Arial"/>
          <w:sz w:val="14"/>
          <w:szCs w:val="14"/>
        </w:rPr>
        <w:t>Note:</w:t>
      </w:r>
    </w:p>
    <w:tbl>
      <w:tblPr>
        <w:tblW w:w="10206" w:type="dxa"/>
        <w:tblLayout w:type="fixed"/>
        <w:tblLook w:val="0000" w:firstRow="0" w:lastRow="0" w:firstColumn="0" w:lastColumn="0" w:noHBand="0" w:noVBand="0"/>
      </w:tblPr>
      <w:tblGrid>
        <w:gridCol w:w="257"/>
        <w:gridCol w:w="9949"/>
      </w:tblGrid>
      <w:tr w:rsidR="0064628A" w:rsidTr="006E7637">
        <w:tc>
          <w:tcPr>
            <w:tcW w:w="256" w:type="dxa"/>
            <w:tcMar>
              <w:left w:w="0" w:type="dxa"/>
              <w:right w:w="0" w:type="dxa"/>
            </w:tcMar>
          </w:tcPr>
          <w:p w:rsidR="00527F23" w:rsidRPr="00FC7896" w:rsidRDefault="00FC1FDC" w:rsidP="005F64C9">
            <w:pPr>
              <w:pStyle w:val="Normal1"/>
              <w:keepNext/>
              <w:outlineLvl w:val="0"/>
              <w:rPr>
                <w:rFonts w:ascii="Arial" w:hAnsi="Arial" w:cs="Arial"/>
                <w:sz w:val="14"/>
                <w:szCs w:val="14"/>
              </w:rPr>
            </w:pPr>
            <w:r w:rsidRPr="00FC7896">
              <w:rPr>
                <w:rFonts w:ascii="Arial" w:hAnsi="Arial" w:cs="Arial"/>
                <w:sz w:val="14"/>
                <w:szCs w:val="14"/>
              </w:rPr>
              <w:t>(1)</w:t>
            </w:r>
          </w:p>
        </w:tc>
        <w:tc>
          <w:tcPr>
            <w:tcW w:w="9923" w:type="dxa"/>
            <w:tcMar>
              <w:left w:w="0" w:type="dxa"/>
              <w:right w:w="0" w:type="dxa"/>
            </w:tcMar>
          </w:tcPr>
          <w:p w:rsidR="00527F23" w:rsidRPr="006C623E" w:rsidRDefault="00FC1FDC" w:rsidP="0028287A">
            <w:pPr>
              <w:autoSpaceDE w:val="0"/>
              <w:autoSpaceDN w:val="0"/>
              <w:adjustRightInd w:val="0"/>
              <w:spacing w:line="240" w:lineRule="auto"/>
              <w:rPr>
                <w:rFonts w:cs="Arial"/>
                <w:b/>
                <w:iCs/>
                <w:sz w:val="14"/>
                <w:szCs w:val="14"/>
              </w:rPr>
            </w:pPr>
            <w:r>
              <w:rPr>
                <w:rFonts w:cs="Arial"/>
                <w:sz w:val="14"/>
                <w:szCs w:val="14"/>
              </w:rPr>
              <w:t>On 17 April 2018, RBS agreed a Memorandum of Understanding (MoU) with the Trustees of the RBS Group Pension Fund in connection with the requirements of ring-fencing. NatWest Markets Plc could not continue to be a participant in the Main section and separate arrangements were required for its employees. Under the MoU, NWB Plc made a contribution of £2 billion on 9 October 2018 to strengthen funding of the Main section in recognition of the changes in covenant. Also under the MoU, NWM Plc made a £53 million contribution to the NWM section in Q1 2019.</w:t>
            </w:r>
          </w:p>
        </w:tc>
      </w:tr>
    </w:tbl>
    <w:p w:rsidR="00527F23" w:rsidRDefault="00527F23" w:rsidP="00527F23"/>
    <w:p w:rsidR="00527F23" w:rsidRDefault="00527F23" w:rsidP="00527F23">
      <w:pPr>
        <w:sectPr w:rsidR="00527F23">
          <w:pgSz w:w="11906" w:h="16838"/>
          <w:pgMar w:top="1021" w:right="851" w:bottom="1134" w:left="851" w:header="709" w:footer="709" w:gutter="0"/>
          <w:cols w:space="708"/>
        </w:sectPr>
      </w:pPr>
    </w:p>
    <w:p w:rsidR="00527F23" w:rsidRPr="00FC2A78" w:rsidRDefault="00FC1FDC" w:rsidP="00527F23">
      <w:pPr>
        <w:pStyle w:val="GCAHeader"/>
        <w:rPr>
          <w:b w:val="0"/>
          <w:sz w:val="18"/>
          <w:szCs w:val="18"/>
        </w:rPr>
      </w:pPr>
      <w:r w:rsidRPr="00FC2A78">
        <w:rPr>
          <w:sz w:val="18"/>
          <w:szCs w:val="18"/>
        </w:rPr>
        <w:t>Condensed consolidated bala</w:t>
      </w:r>
      <w:r>
        <w:rPr>
          <w:sz w:val="18"/>
          <w:szCs w:val="18"/>
        </w:rPr>
        <w:t>nce sheet as at 31 December 2019</w:t>
      </w:r>
      <w:r w:rsidRPr="00FC2A78">
        <w:rPr>
          <w:sz w:val="14"/>
          <w:szCs w:val="14"/>
        </w:rPr>
        <w:t xml:space="preserve"> </w:t>
      </w:r>
    </w:p>
    <w:p w:rsidR="00527F23" w:rsidRPr="00FC2A78" w:rsidRDefault="00527F23" w:rsidP="00527F23">
      <w:pPr>
        <w:rPr>
          <w:b/>
          <w:sz w:val="18"/>
          <w:szCs w:val="18"/>
        </w:rPr>
      </w:pPr>
    </w:p>
    <w:sdt>
      <w:sdtPr>
        <w:tag w:val="&lt;ReportPackage&gt;&lt;EmbeddedContent id=&quot;c8107f5f-98c1-41ef-a46b-b787129d21fd&quot; lastModified=&quot;1580213902421&quot;/&gt;&lt;/ReportPackage&gt;"/>
        <w:id w:val="1004097034"/>
        <w:lock w:val="contentLocked"/>
        <w:placeholder>
          <w:docPart w:val="CB2C0D7F68B14DDB9F83BE88FED9751A"/>
        </w:placeholder>
      </w:sdtPr>
      <w:sdtEndPr/>
      <w:sdtContent>
        <w:tbl>
          <w:tblPr>
            <w:tblStyle w:val="table"/>
            <w:tblW w:w="10140" w:type="dxa"/>
            <w:tblInd w:w="5" w:type="dxa"/>
            <w:tblCellMar>
              <w:left w:w="0" w:type="dxa"/>
              <w:right w:w="0" w:type="dxa"/>
            </w:tblCellMar>
            <w:tblLook w:val="05E0" w:firstRow="1" w:lastRow="1" w:firstColumn="1" w:lastColumn="1" w:noHBand="0" w:noVBand="1"/>
          </w:tblPr>
          <w:tblGrid>
            <w:gridCol w:w="6810"/>
            <w:gridCol w:w="1110"/>
            <w:gridCol w:w="1110"/>
            <w:gridCol w:w="1110"/>
          </w:tblGrid>
          <w:tr w:rsidR="0064628A">
            <w:trPr>
              <w:trHeight w:val="195"/>
            </w:trPr>
            <w:tc>
              <w:tcPr>
                <w:tcW w:w="6810" w:type="dxa"/>
                <w:vMerge w:val="restart"/>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3366"/>
                    <w:szCs w:val="16"/>
                  </w:rPr>
                </w:pPr>
                <w:r>
                  <w:rPr>
                    <w:rFonts w:eastAsia="Arial" w:cs="Arial"/>
                    <w:color w:val="003366"/>
                    <w:szCs w:val="16"/>
                  </w:rPr>
                  <w:t>30 September</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3366"/>
                    <w:szCs w:val="16"/>
                  </w:rPr>
                </w:pPr>
                <w:r>
                  <w:rPr>
                    <w:rFonts w:eastAsia="Arial" w:cs="Arial"/>
                    <w:color w:val="003366"/>
                    <w:szCs w:val="16"/>
                  </w:rPr>
                  <w:t>31 December</w:t>
                </w:r>
              </w:p>
            </w:tc>
          </w:tr>
          <w:tr w:rsidR="0064628A">
            <w:trPr>
              <w:trHeight w:val="195"/>
            </w:trPr>
            <w:tc>
              <w:tcPr>
                <w:tcW w:w="0" w:type="auto"/>
                <w:vMerge/>
                <w:tcMar>
                  <w:top w:w="0" w:type="dxa"/>
                  <w:bottom w:w="0" w:type="dxa"/>
                </w:tcMar>
                <w:vAlign w:val="center"/>
                <w:hideMark/>
              </w:tcPr>
              <w:p w:rsidR="00254391" w:rsidRDefault="00254391">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3366"/>
                    <w:szCs w:val="16"/>
                  </w:rPr>
                </w:pPr>
                <w:r>
                  <w:rPr>
                    <w:rFonts w:eastAsia="Arial" w:cs="Arial"/>
                    <w:color w:val="003366"/>
                    <w:szCs w:val="16"/>
                  </w:rPr>
                  <w:t>2019</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3366"/>
                    <w:szCs w:val="16"/>
                  </w:rPr>
                </w:pPr>
                <w:r>
                  <w:rPr>
                    <w:rFonts w:eastAsia="Arial" w:cs="Arial"/>
                    <w:color w:val="003366"/>
                    <w:szCs w:val="16"/>
                  </w:rPr>
                  <w:t>£m </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3366"/>
                    <w:szCs w:val="16"/>
                  </w:rPr>
                </w:pPr>
                <w:r>
                  <w:rPr>
                    <w:rFonts w:eastAsia="Arial" w:cs="Arial"/>
                    <w:color w:val="003366"/>
                    <w:szCs w:val="16"/>
                  </w:rPr>
                  <w:t>£m </w:t>
                </w:r>
              </w:p>
            </w:tc>
          </w:tr>
          <w:tr w:rsidR="0064628A">
            <w:trPr>
              <w:trHeight w:val="195"/>
            </w:trPr>
            <w:tc>
              <w:tcPr>
                <w:tcW w:w="6810" w:type="dxa"/>
                <w:tcBorders>
                  <w:top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b/>
                    <w:bCs/>
                    <w:color w:val="003366"/>
                    <w:szCs w:val="16"/>
                  </w:rPr>
                </w:pPr>
                <w:r>
                  <w:rPr>
                    <w:rFonts w:eastAsia="Arial" w:cs="Arial"/>
                    <w:b/>
                    <w:bCs/>
                    <w:color w:val="003366"/>
                    <w:szCs w:val="16"/>
                  </w:rPr>
                  <w:t>Assets</w:t>
                </w: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Cash and balances at central banks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77,858</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84,252</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88,897 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Trading assets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76,745</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91,605</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75,119 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Derivatives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150,029</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175,760</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133,349 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Settlement balances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4,387</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12,962</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2,928 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Loans to banks - amortised cost</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10,689</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12,440</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12,947 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Loans to customers - amortised cost</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326,947</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319,493</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305,089 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Other financial assets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61,452</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64,488</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59,485 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Intangible assets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6,622</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6,646</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6,616 </w:t>
                </w:r>
              </w:p>
            </w:tc>
          </w:tr>
          <w:tr w:rsidR="0064628A">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Other assets</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8,310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8,861</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9,805 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b/>
                    <w:bCs/>
                    <w:color w:val="003366"/>
                    <w:szCs w:val="16"/>
                  </w:rPr>
                </w:pPr>
                <w:r>
                  <w:rPr>
                    <w:rFonts w:eastAsia="Arial" w:cs="Arial"/>
                    <w:b/>
                    <w:bCs/>
                    <w:color w:val="003366"/>
                    <w:szCs w:val="16"/>
                  </w:rPr>
                  <w:t>Total assets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723,039</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776,507</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694,235 </w:t>
                </w:r>
              </w:p>
            </w:tc>
          </w:tr>
          <w:tr w:rsidR="0064628A">
            <w:trPr>
              <w:trHeight w:val="195"/>
            </w:trPr>
            <w:tc>
              <w:tcPr>
                <w:tcW w:w="68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b/>
                    <w:bCs/>
                    <w:color w:val="003366"/>
                    <w:szCs w:val="16"/>
                  </w:rPr>
                </w:pPr>
                <w:r>
                  <w:rPr>
                    <w:rFonts w:eastAsia="Arial" w:cs="Arial"/>
                    <w:b/>
                    <w:bCs/>
                    <w:color w:val="003366"/>
                    <w:szCs w:val="16"/>
                  </w:rPr>
                  <w:t>Liabilities</w:t>
                </w: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Style w:val="font4"/>
                  </w:rPr>
                  <w:t>Bank deposits</w:t>
                </w:r>
                <w:r>
                  <w:rPr>
                    <w:rStyle w:val="font610"/>
                  </w:rPr>
                  <w:t xml:space="preserve"> </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20,493</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22,095</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23,297 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Customer deposits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369,247</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369,708</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360,914 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Settlement balances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4,069</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11,862</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3,066 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Trading liabilities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73,949</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87,374</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72,350 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Derivatives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146,879</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173,750</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128,897 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Other financial liabilities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45,220</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47,508</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39,732 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Subordinated liabilities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9,979</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10,200</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10,535 </w:t>
                </w:r>
              </w:p>
            </w:tc>
          </w:tr>
          <w:tr w:rsidR="0064628A">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Other liabilities</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9,647</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9,864</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8,954 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b/>
                    <w:bCs/>
                    <w:color w:val="003366"/>
                    <w:szCs w:val="16"/>
                  </w:rPr>
                </w:pPr>
                <w:r>
                  <w:rPr>
                    <w:rFonts w:eastAsia="Arial" w:cs="Arial"/>
                    <w:b/>
                    <w:bCs/>
                    <w:color w:val="003366"/>
                    <w:szCs w:val="16"/>
                  </w:rPr>
                  <w:t>Total liabilities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679,483</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732,361</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647,745 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b/>
                    <w:bCs/>
                    <w:color w:val="003366"/>
                    <w:szCs w:val="16"/>
                  </w:rPr>
                </w:pPr>
                <w:r>
                  <w:rPr>
                    <w:rFonts w:eastAsia="Arial" w:cs="Arial"/>
                    <w:b/>
                    <w:bCs/>
                    <w:color w:val="003366"/>
                    <w:szCs w:val="16"/>
                  </w:rPr>
                  <w:t>Equity</w:t>
                </w: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Ordinary shareholders' interests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38,993</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39,576</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41,182 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Other owners' interests</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4,554</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4,554</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4,554 </w:t>
                </w:r>
              </w:p>
            </w:tc>
          </w:tr>
          <w:tr w:rsidR="0064628A">
            <w:trPr>
              <w:trHeight w:val="195"/>
            </w:trPr>
            <w:tc>
              <w:tcPr>
                <w:tcW w:w="6810" w:type="dxa"/>
                <w:tcBorders>
                  <w:top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Owners’ equity</w:t>
                </w: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43,547</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44,130</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45,736 </w:t>
                </w:r>
              </w:p>
            </w:tc>
          </w:tr>
          <w:tr w:rsidR="0064628A">
            <w:trPr>
              <w:trHeight w:val="195"/>
            </w:trPr>
            <w:tc>
              <w:tcPr>
                <w:tcW w:w="68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Non-controlling interests</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16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754 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color w:val="000000"/>
                    <w:szCs w:val="16"/>
                  </w:rPr>
                </w:pP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color w:val="000000"/>
                    <w:szCs w:val="16"/>
                  </w:rPr>
                </w:pPr>
                <w:r>
                  <w:rPr>
                    <w:rFonts w:eastAsia="Arial" w:cs="Arial"/>
                    <w:color w:val="000000"/>
                    <w:szCs w:val="16"/>
                  </w:rPr>
                  <w:t>Total equity</w:t>
                </w:r>
              </w:p>
            </w:tc>
            <w:tc>
              <w:tcPr>
                <w:tcW w:w="1110" w:type="dxa"/>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43,556</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44,146</w:t>
                </w:r>
              </w:p>
            </w:tc>
            <w:tc>
              <w:tcPr>
                <w:tcW w:w="1110" w:type="dxa"/>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46,490 </w:t>
                </w:r>
              </w:p>
            </w:tc>
          </w:tr>
          <w:tr w:rsidR="0064628A">
            <w:trPr>
              <w:trHeight w:val="195"/>
            </w:trPr>
            <w:tc>
              <w:tcPr>
                <w:tcW w:w="68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rPr>
                    <w:rFonts w:eastAsia="Arial" w:cs="Arial"/>
                    <w:b/>
                    <w:bCs/>
                    <w:color w:val="003366"/>
                    <w:szCs w:val="16"/>
                  </w:rPr>
                </w:pPr>
                <w:r>
                  <w:rPr>
                    <w:rFonts w:eastAsia="Arial" w:cs="Arial"/>
                    <w:b/>
                    <w:bCs/>
                    <w:color w:val="003366"/>
                    <w:szCs w:val="16"/>
                  </w:rPr>
                  <w:t>Total liabilities and equity</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254391" w:rsidRDefault="00FC1FDC">
                <w:pPr>
                  <w:spacing w:line="240" w:lineRule="auto"/>
                  <w:contextualSpacing/>
                  <w:jc w:val="right"/>
                  <w:rPr>
                    <w:rFonts w:eastAsia="Arial" w:cs="Arial"/>
                    <w:b/>
                    <w:bCs/>
                    <w:color w:val="000000"/>
                    <w:szCs w:val="16"/>
                  </w:rPr>
                </w:pPr>
                <w:r>
                  <w:rPr>
                    <w:rFonts w:eastAsia="Arial" w:cs="Arial"/>
                    <w:b/>
                    <w:bCs/>
                    <w:color w:val="000000"/>
                    <w:szCs w:val="16"/>
                  </w:rPr>
                  <w:t>723,039</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776,507</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254391" w:rsidRDefault="00FC1FDC">
                <w:pPr>
                  <w:spacing w:line="240" w:lineRule="auto"/>
                  <w:contextualSpacing/>
                  <w:jc w:val="right"/>
                  <w:rPr>
                    <w:rFonts w:eastAsia="Arial" w:cs="Arial"/>
                    <w:color w:val="000000"/>
                    <w:szCs w:val="16"/>
                  </w:rPr>
                </w:pPr>
                <w:r>
                  <w:rPr>
                    <w:rFonts w:eastAsia="Arial" w:cs="Arial"/>
                    <w:color w:val="000000"/>
                    <w:szCs w:val="16"/>
                  </w:rPr>
                  <w:t>694,235 </w:t>
                </w:r>
              </w:p>
            </w:tc>
          </w:tr>
          <w:tr w:rsidR="0064628A">
            <w:trPr>
              <w:trHeight w:val="195"/>
            </w:trPr>
            <w:tc>
              <w:tcPr>
                <w:tcW w:w="6810" w:type="dxa"/>
                <w:shd w:val="clear" w:color="auto" w:fill="FFFFFF"/>
                <w:tcMar>
                  <w:top w:w="0" w:type="dxa"/>
                  <w:left w:w="5" w:type="dxa"/>
                  <w:bottom w:w="0" w:type="dxa"/>
                  <w:right w:w="5" w:type="dxa"/>
                </w:tcMar>
                <w:vAlign w:val="center"/>
                <w:hideMark/>
              </w:tcPr>
              <w:p w:rsidR="00254391" w:rsidRDefault="00254391">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254391">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254391" w:rsidRDefault="0047542A">
                <w:pPr>
                  <w:spacing w:line="240" w:lineRule="auto"/>
                  <w:contextualSpacing/>
                  <w:jc w:val="right"/>
                  <w:rPr>
                    <w:rFonts w:eastAsia="Arial" w:cs="Arial"/>
                    <w:color w:val="000000"/>
                    <w:szCs w:val="16"/>
                  </w:rPr>
                </w:pPr>
              </w:p>
            </w:tc>
          </w:tr>
        </w:tbl>
      </w:sdtContent>
    </w:sdt>
    <w:p w:rsidR="00527F23" w:rsidRDefault="00527F23" w:rsidP="00527F23"/>
    <w:p w:rsidR="00527F23" w:rsidRDefault="00527F23" w:rsidP="00527F23">
      <w:pPr>
        <w:sectPr w:rsidR="00527F23">
          <w:pgSz w:w="11906" w:h="16838"/>
          <w:pgMar w:top="1021" w:right="851" w:bottom="1134" w:left="851" w:header="709" w:footer="709" w:gutter="0"/>
          <w:cols w:space="708"/>
        </w:sectPr>
      </w:pPr>
    </w:p>
    <w:p w:rsidR="00527F23" w:rsidRPr="000A45B5" w:rsidRDefault="00FC1FDC" w:rsidP="00527F23">
      <w:pPr>
        <w:pStyle w:val="Normal00"/>
        <w:spacing w:line="288" w:lineRule="auto"/>
        <w:rPr>
          <w:rFonts w:ascii="Arial" w:hAnsi="Arial" w:cs="Arial"/>
          <w:color w:val="003366"/>
          <w:sz w:val="14"/>
          <w:szCs w:val="14"/>
        </w:rPr>
      </w:pPr>
      <w:r w:rsidRPr="000A45B5">
        <w:rPr>
          <w:rFonts w:ascii="Arial" w:hAnsi="Arial" w:cs="Arial"/>
          <w:b/>
          <w:color w:val="003366"/>
          <w:sz w:val="18"/>
          <w:szCs w:val="18"/>
        </w:rPr>
        <w:t>Condensed consolidated statement of changes in equity for t</w:t>
      </w:r>
      <w:r>
        <w:rPr>
          <w:rFonts w:ascii="Arial" w:hAnsi="Arial" w:cs="Arial"/>
          <w:b/>
          <w:color w:val="003366"/>
          <w:sz w:val="18"/>
          <w:szCs w:val="18"/>
        </w:rPr>
        <w:t>he period ended 31 December 2019</w:t>
      </w:r>
      <w:r w:rsidRPr="000A45B5">
        <w:rPr>
          <w:rFonts w:ascii="Arial" w:hAnsi="Arial" w:cs="Arial"/>
          <w:b/>
          <w:color w:val="003366"/>
          <w:sz w:val="18"/>
          <w:szCs w:val="18"/>
        </w:rPr>
        <w:t xml:space="preserve"> </w:t>
      </w:r>
    </w:p>
    <w:p w:rsidR="00527F23" w:rsidRDefault="00527F23" w:rsidP="00527F23">
      <w:pPr>
        <w:rPr>
          <w:rFonts w:cs="Arial"/>
          <w:color w:val="003366"/>
          <w:sz w:val="14"/>
          <w:szCs w:val="14"/>
        </w:rPr>
      </w:pPr>
    </w:p>
    <w:sdt>
      <w:sdtPr>
        <w:tag w:val="&lt;ReportPackage&gt;&lt;EmbeddedContent id=&quot;5a32a425-1c84-4dca-86b3-f85c95067fc5&quot; lastModified=&quot;1581629788705&quot;/&gt;&lt;/ReportPackage&gt;"/>
        <w:id w:val="1160005273"/>
        <w:lock w:val="contentLocked"/>
        <w:placeholder>
          <w:docPart w:val="2E6C02AF0F1143A1B351B6C013D374D1"/>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4475"/>
            <w:gridCol w:w="1109"/>
            <w:gridCol w:w="1109"/>
            <w:gridCol w:w="60"/>
            <w:gridCol w:w="1109"/>
            <w:gridCol w:w="1109"/>
            <w:gridCol w:w="1109"/>
          </w:tblGrid>
          <w:tr w:rsidR="0064628A">
            <w:trPr>
              <w:trHeight w:val="210"/>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FF0000"/>
                    <w:szCs w:val="16"/>
                  </w:rPr>
                </w:pPr>
              </w:p>
            </w:tc>
            <w:tc>
              <w:tcPr>
                <w:tcW w:w="2220" w:type="dxa"/>
                <w:gridSpan w:val="2"/>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Year ended</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3366"/>
                    <w:szCs w:val="16"/>
                  </w:rPr>
                </w:pPr>
              </w:p>
            </w:tc>
            <w:tc>
              <w:tcPr>
                <w:tcW w:w="3330" w:type="dxa"/>
                <w:gridSpan w:val="3"/>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Quarter ended</w:t>
                </w:r>
              </w:p>
            </w:tc>
          </w:tr>
          <w:tr w:rsidR="0064628A">
            <w:trPr>
              <w:trHeight w:val="195"/>
            </w:trPr>
            <w:tc>
              <w:tcPr>
                <w:tcW w:w="4485" w:type="dxa"/>
                <w:vMerge w:val="restart"/>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30 September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r>
          <w:tr w:rsidR="0064628A">
            <w:trPr>
              <w:trHeight w:val="195"/>
            </w:trPr>
            <w:tc>
              <w:tcPr>
                <w:tcW w:w="0" w:type="auto"/>
                <w:vMerge/>
                <w:tcMar>
                  <w:top w:w="0" w:type="dxa"/>
                  <w:bottom w:w="0" w:type="dxa"/>
                </w:tcMar>
                <w:vAlign w:val="center"/>
                <w:hideMark/>
              </w:tcPr>
              <w:p w:rsidR="0064628A" w:rsidRDefault="0064628A">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4485" w:type="dxa"/>
                <w:tcBorders>
                  <w:top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A2F64"/>
                    <w:szCs w:val="16"/>
                  </w:rPr>
                </w:pPr>
                <w:r>
                  <w:rPr>
                    <w:rFonts w:eastAsia="Arial" w:cs="Arial"/>
                    <w:color w:val="0A2F64"/>
                    <w:szCs w:val="16"/>
                  </w:rPr>
                  <w:t xml:space="preserve">Called-up share capital - at 1 January </w:t>
                </w:r>
              </w:p>
            </w:tc>
            <w:tc>
              <w:tcPr>
                <w:tcW w:w="1110" w:type="dxa"/>
                <w:tcBorders>
                  <w:top w:val="single" w:sz="6" w:space="0" w:color="0A2F64"/>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12,049</w:t>
                </w:r>
              </w:p>
            </w:tc>
            <w:tc>
              <w:tcPr>
                <w:tcW w:w="1110" w:type="dxa"/>
                <w:tcBorders>
                  <w:top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11,965 </w:t>
                </w:r>
              </w:p>
            </w:tc>
            <w:tc>
              <w:tcPr>
                <w:tcW w:w="60" w:type="dxa"/>
                <w:tcBorders>
                  <w:top w:val="single" w:sz="6" w:space="0" w:color="0A2F64"/>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tcBorders>
                  <w:top w:val="single" w:sz="6" w:space="0" w:color="0A2F64"/>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12,094</w:t>
                </w:r>
              </w:p>
            </w:tc>
            <w:tc>
              <w:tcPr>
                <w:tcW w:w="1110" w:type="dxa"/>
                <w:tcBorders>
                  <w:top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12,091</w:t>
                </w:r>
              </w:p>
            </w:tc>
            <w:tc>
              <w:tcPr>
                <w:tcW w:w="1110" w:type="dxa"/>
                <w:tcBorders>
                  <w:top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12,048 </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Ordinary shares issued</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45</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84 </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1 </w:t>
                </w:r>
              </w:p>
            </w:tc>
          </w:tr>
          <w:tr w:rsidR="0064628A">
            <w:trPr>
              <w:trHeight w:val="195"/>
            </w:trPr>
            <w:tc>
              <w:tcPr>
                <w:tcW w:w="4485"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At 31 December</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12,094</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12,049 </w:t>
                </w:r>
              </w:p>
            </w:tc>
            <w:tc>
              <w:tcPr>
                <w:tcW w:w="6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12,094</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12,094</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12,049 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A2F64"/>
                    <w:szCs w:val="16"/>
                  </w:rPr>
                </w:pPr>
                <w:r>
                  <w:rPr>
                    <w:rFonts w:eastAsia="Arial" w:cs="Arial"/>
                    <w:color w:val="0A2F64"/>
                    <w:szCs w:val="16"/>
                  </w:rPr>
                  <w:t xml:space="preserve">Paid-in equity - at 1 January and 31 December </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4,058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4,058 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4,058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4,058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4,058 </w:t>
                </w:r>
              </w:p>
            </w:tc>
          </w:tr>
          <w:tr w:rsidR="0064628A">
            <w:trPr>
              <w:trHeight w:val="195"/>
            </w:trPr>
            <w:tc>
              <w:tcPr>
                <w:tcW w:w="4485" w:type="dxa"/>
                <w:tcBorders>
                  <w:top w:val="single" w:sz="6" w:space="0" w:color="0A2F64"/>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A2F64"/>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A2F64"/>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tcBorders>
                  <w:top w:val="single" w:sz="6" w:space="0" w:color="0A2F64"/>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tcBorders>
                  <w:top w:val="single" w:sz="6" w:space="0" w:color="0A2F64"/>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A2F64"/>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A2F64"/>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A2F64"/>
                    <w:szCs w:val="16"/>
                  </w:rPr>
                </w:pPr>
                <w:r>
                  <w:rPr>
                    <w:rFonts w:eastAsia="Arial" w:cs="Arial"/>
                    <w:color w:val="0A2F64"/>
                    <w:szCs w:val="16"/>
                  </w:rPr>
                  <w:t>Share premium account - at 1 January</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1,027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887 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1,094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1,089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1,026 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Ordinary shares issued</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140 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At 31 December</w:t>
                </w:r>
                <w:r>
                  <w:rPr>
                    <w:rStyle w:val="font7"/>
                  </w:rPr>
                  <w:t xml:space="preserve"> </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1,094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1,027 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1,094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1,094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1,027 </w:t>
                </w:r>
              </w:p>
            </w:tc>
          </w:tr>
          <w:tr w:rsidR="0064628A">
            <w:trPr>
              <w:trHeight w:val="195"/>
            </w:trPr>
            <w:tc>
              <w:tcPr>
                <w:tcW w:w="4485" w:type="dxa"/>
                <w:tcBorders>
                  <w:top w:val="single" w:sz="6" w:space="0" w:color="0A2F64"/>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A2F64"/>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A2F64"/>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tcBorders>
                  <w:top w:val="single" w:sz="6" w:space="0" w:color="0A2F64"/>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tcBorders>
                  <w:top w:val="single" w:sz="6" w:space="0" w:color="0A2F64"/>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A2F64"/>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A2F64"/>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tcBorders>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A2F64"/>
                    <w:szCs w:val="16"/>
                  </w:rPr>
                </w:pPr>
                <w:r>
                  <w:rPr>
                    <w:rFonts w:eastAsia="Arial" w:cs="Arial"/>
                    <w:color w:val="0A2F64"/>
                    <w:szCs w:val="16"/>
                  </w:rPr>
                  <w:t>Merger reserve - at 1 January and 31 December</w:t>
                </w:r>
              </w:p>
            </w:tc>
            <w:tc>
              <w:tcPr>
                <w:tcW w:w="1110" w:type="dxa"/>
                <w:tcBorders>
                  <w:bottom w:val="single" w:sz="6" w:space="0" w:color="0A2F64"/>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10,881</w:t>
                </w:r>
              </w:p>
            </w:tc>
            <w:tc>
              <w:tcPr>
                <w:tcW w:w="1110" w:type="dxa"/>
                <w:tcBorders>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10,881 </w:t>
                </w:r>
              </w:p>
            </w:tc>
            <w:tc>
              <w:tcPr>
                <w:tcW w:w="60" w:type="dxa"/>
                <w:tcBorders>
                  <w:bottom w:val="single" w:sz="6" w:space="0" w:color="0A2F64"/>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tcBorders>
                  <w:bottom w:val="single" w:sz="6" w:space="0" w:color="0A2F64"/>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10,881</w:t>
                </w:r>
              </w:p>
            </w:tc>
            <w:tc>
              <w:tcPr>
                <w:tcW w:w="1110" w:type="dxa"/>
                <w:tcBorders>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10,881</w:t>
                </w:r>
              </w:p>
            </w:tc>
            <w:tc>
              <w:tcPr>
                <w:tcW w:w="1110" w:type="dxa"/>
                <w:tcBorders>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10,881 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A2F64"/>
                    <w:szCs w:val="16"/>
                  </w:rPr>
                </w:pPr>
                <w:r>
                  <w:rPr>
                    <w:rFonts w:eastAsia="Arial" w:cs="Arial"/>
                    <w:color w:val="0A2F64"/>
                    <w:szCs w:val="16"/>
                  </w:rPr>
                  <w:t>FVOCI reserve</w:t>
                </w:r>
                <w:r>
                  <w:rPr>
                    <w:rFonts w:ascii="Times New Roman" w:eastAsia="Times New Roman" w:hAnsi="Times New Roman" w:cs="Times New Roman"/>
                    <w:color w:val="0A2F64"/>
                    <w:szCs w:val="16"/>
                  </w:rPr>
                  <w:t xml:space="preserve">  </w:t>
                </w:r>
                <w:r>
                  <w:rPr>
                    <w:rFonts w:eastAsia="Arial" w:cs="Arial"/>
                    <w:color w:val="0A2F64"/>
                    <w:szCs w:val="16"/>
                  </w:rPr>
                  <w:t xml:space="preserve">- at 1 January </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343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255 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361 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Implementation of IFRS 9 on 1 January 2018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Unrealised (losses)/gains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97 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Realised (gains)/losses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Tax</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13 </w:t>
                </w:r>
              </w:p>
            </w:tc>
          </w:tr>
          <w:tr w:rsidR="0064628A">
            <w:trPr>
              <w:trHeight w:val="195"/>
            </w:trPr>
            <w:tc>
              <w:tcPr>
                <w:tcW w:w="4485"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At 31 December</w:t>
                </w:r>
              </w:p>
            </w:tc>
            <w:tc>
              <w:tcPr>
                <w:tcW w:w="1110" w:type="dxa"/>
                <w:tcBorders>
                  <w:top w:val="single" w:sz="6" w:space="0" w:color="0A2F64"/>
                  <w:bottom w:val="single" w:sz="6" w:space="0" w:color="0A2F64"/>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138</w:t>
                </w:r>
              </w:p>
            </w:tc>
            <w:tc>
              <w:tcPr>
                <w:tcW w:w="1110"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343 </w:t>
                </w:r>
              </w:p>
            </w:tc>
            <w:tc>
              <w:tcPr>
                <w:tcW w:w="60"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tcBorders>
                  <w:top w:val="single" w:sz="6" w:space="0" w:color="0A2F64"/>
                  <w:bottom w:val="single" w:sz="6" w:space="0" w:color="0A2F64"/>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138</w:t>
                </w:r>
              </w:p>
            </w:tc>
            <w:tc>
              <w:tcPr>
                <w:tcW w:w="1110"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125</w:t>
                </w:r>
              </w:p>
            </w:tc>
            <w:tc>
              <w:tcPr>
                <w:tcW w:w="1110"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343 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A2F64"/>
                    <w:szCs w:val="16"/>
                  </w:rPr>
                </w:pPr>
                <w:r>
                  <w:rPr>
                    <w:rFonts w:eastAsia="Arial" w:cs="Arial"/>
                    <w:color w:val="0A2F64"/>
                    <w:szCs w:val="16"/>
                  </w:rPr>
                  <w:t>Cash flow hedging reserve - at 1 January</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227 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336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(370)</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Amount recognised in equity</w:t>
                </w:r>
                <w:r>
                  <w:rPr>
                    <w:rStyle w:val="font7"/>
                  </w:rPr>
                  <w:t> (1)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573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(285)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231 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Amount transferred from equity to earnings</w:t>
                </w:r>
                <w:r>
                  <w:rPr>
                    <w:rStyle w:val="font7"/>
                  </w:rPr>
                  <w:t> (2)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(279)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(518)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Tax</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163 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(62)</w:t>
                </w:r>
              </w:p>
            </w:tc>
          </w:tr>
          <w:tr w:rsidR="0064628A">
            <w:trPr>
              <w:trHeight w:val="195"/>
            </w:trPr>
            <w:tc>
              <w:tcPr>
                <w:tcW w:w="4485"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 xml:space="preserve">At 31 December </w:t>
                </w:r>
                <w:r>
                  <w:rPr>
                    <w:rStyle w:val="font7"/>
                  </w:rPr>
                  <w:t>(3)</w:t>
                </w:r>
              </w:p>
            </w:tc>
            <w:tc>
              <w:tcPr>
                <w:tcW w:w="1110" w:type="dxa"/>
                <w:tcBorders>
                  <w:top w:val="single" w:sz="6" w:space="0" w:color="0A2F64"/>
                  <w:bottom w:val="single" w:sz="6" w:space="0" w:color="0A2F64"/>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35</w:t>
                </w:r>
              </w:p>
            </w:tc>
            <w:tc>
              <w:tcPr>
                <w:tcW w:w="1110"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(191)</w:t>
                </w:r>
              </w:p>
            </w:tc>
            <w:tc>
              <w:tcPr>
                <w:tcW w:w="60"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tcBorders>
                  <w:top w:val="single" w:sz="6" w:space="0" w:color="0A2F64"/>
                  <w:bottom w:val="single" w:sz="6" w:space="0" w:color="0A2F64"/>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35</w:t>
                </w:r>
              </w:p>
            </w:tc>
            <w:tc>
              <w:tcPr>
                <w:tcW w:w="1110"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336</w:t>
                </w:r>
              </w:p>
            </w:tc>
            <w:tc>
              <w:tcPr>
                <w:tcW w:w="1110"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(191)</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A2F64"/>
                    <w:szCs w:val="16"/>
                  </w:rPr>
                </w:pPr>
                <w:r>
                  <w:rPr>
                    <w:rFonts w:eastAsia="Arial" w:cs="Arial"/>
                    <w:color w:val="0A2F64"/>
                    <w:szCs w:val="16"/>
                  </w:rPr>
                  <w:t xml:space="preserve">Foreign exchange reserve - at 1 January </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3,278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2,970 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2,924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2,982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3,073 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Retranslation of net assets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(428)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195 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(381)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196 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 xml:space="preserve">Foreign currency losses on hedges of net assets </w:t>
                </w:r>
                <w:r>
                  <w:rPr>
                    <w:rStyle w:val="font7"/>
                  </w:rPr>
                  <w:t>(2)</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(43)</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Tax</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Recycled to profit or loss on disposal of businesses</w:t>
                </w:r>
                <w:r>
                  <w:rPr>
                    <w:rStyle w:val="font7"/>
                  </w:rPr>
                  <w:t> (4)</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(1,480)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123 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(1,145)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33 </w:t>
                </w:r>
              </w:p>
            </w:tc>
          </w:tr>
          <w:tr w:rsidR="0064628A">
            <w:trPr>
              <w:trHeight w:val="195"/>
            </w:trPr>
            <w:tc>
              <w:tcPr>
                <w:tcW w:w="4485"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 xml:space="preserve">At 31 December </w:t>
                </w:r>
                <w:r>
                  <w:rPr>
                    <w:rStyle w:val="font7"/>
                  </w:rPr>
                  <w:t>(3)</w:t>
                </w:r>
              </w:p>
            </w:tc>
            <w:tc>
              <w:tcPr>
                <w:tcW w:w="1110" w:type="dxa"/>
                <w:tcBorders>
                  <w:top w:val="single" w:sz="6" w:space="0" w:color="0A2F64"/>
                  <w:bottom w:val="single" w:sz="6" w:space="0" w:color="0A2F64"/>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1,343</w:t>
                </w:r>
              </w:p>
            </w:tc>
            <w:tc>
              <w:tcPr>
                <w:tcW w:w="1110"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3,278 </w:t>
                </w:r>
              </w:p>
            </w:tc>
            <w:tc>
              <w:tcPr>
                <w:tcW w:w="60"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tcBorders>
                  <w:top w:val="single" w:sz="6" w:space="0" w:color="0A2F64"/>
                  <w:bottom w:val="single" w:sz="6" w:space="0" w:color="0A2F64"/>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1,343</w:t>
                </w:r>
              </w:p>
            </w:tc>
            <w:tc>
              <w:tcPr>
                <w:tcW w:w="1110"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2,924</w:t>
                </w:r>
              </w:p>
            </w:tc>
            <w:tc>
              <w:tcPr>
                <w:tcW w:w="1110"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3,278 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A2F64"/>
                    <w:szCs w:val="16"/>
                  </w:rPr>
                </w:pPr>
                <w:r>
                  <w:rPr>
                    <w:rFonts w:eastAsia="Arial" w:cs="Arial"/>
                    <w:color w:val="0A2F64"/>
                    <w:szCs w:val="16"/>
                  </w:rPr>
                  <w:t>Retained earnings - at 1 January</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14,312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17,130 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12,663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14,784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16,823 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Implementation of IFRS 9 on 1 January 2018 </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(105)</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 xml:space="preserve">Implementation of IFRS 16 on 1 January 2019 </w:t>
                </w:r>
                <w:r>
                  <w:rPr>
                    <w:rStyle w:val="font7"/>
                  </w:rPr>
                  <w:t>(5)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(187)</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Profit/(loss) attributable to ordinary shareholders and </w:t>
                </w: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 w:val="20"/>
                    <w:szCs w:val="20"/>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other equity owners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3,539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2,159</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1,509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468</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Equity preference dividends paid</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(88)</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Paid-in equity dividends paid</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(367)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(355)</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(94)</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Ordinary dividends paid</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(3,018)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(1,691)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 xml:space="preserve">Redemption of equity preference shares </w:t>
                </w:r>
                <w:r>
                  <w:rPr>
                    <w:rStyle w:val="font7"/>
                  </w:rPr>
                  <w:t>(6)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(2,805)</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(2,805)</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Realised gains in period on FVOCI equity shares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Remeasurement of the retirement benefit schemes </w:t>
                </w: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 w:val="20"/>
                    <w:szCs w:val="20"/>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 w:val="20"/>
                    <w:szCs w:val="20"/>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 xml:space="preserve">  - contributions in preparation for ring-fencing </w:t>
                </w:r>
                <w:r>
                  <w:rPr>
                    <w:rStyle w:val="font7"/>
                  </w:rPr>
                  <w:t>(7)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(2,053)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(53)</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 other movements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86 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 tax</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539 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Changes in fair value of credit in financial liabilities </w:t>
                </w: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 w:val="20"/>
                    <w:szCs w:val="20"/>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 w:val="20"/>
                    <w:szCs w:val="20"/>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 xml:space="preserve">designated at fair value through profit or loss </w:t>
                </w: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 w:val="20"/>
                    <w:szCs w:val="20"/>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 w:val="20"/>
                    <w:szCs w:val="20"/>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 gross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200 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91 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 tax</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Shares issued under employee share schemes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Share-based payments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(55)</w:t>
                </w:r>
              </w:p>
            </w:tc>
          </w:tr>
          <w:tr w:rsidR="0064628A">
            <w:trPr>
              <w:trHeight w:val="195"/>
            </w:trPr>
            <w:tc>
              <w:tcPr>
                <w:tcW w:w="4485"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At 31 December</w:t>
                </w:r>
              </w:p>
            </w:tc>
            <w:tc>
              <w:tcPr>
                <w:tcW w:w="1110" w:type="dxa"/>
                <w:tcBorders>
                  <w:top w:val="single" w:sz="6" w:space="0" w:color="0A2F64"/>
                  <w:bottom w:val="single" w:sz="6" w:space="0" w:color="0A2F64"/>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13,946</w:t>
                </w:r>
              </w:p>
            </w:tc>
            <w:tc>
              <w:tcPr>
                <w:tcW w:w="1110"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14,312 </w:t>
                </w:r>
              </w:p>
            </w:tc>
            <w:tc>
              <w:tcPr>
                <w:tcW w:w="60"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tcBorders>
                  <w:top w:val="single" w:sz="6" w:space="0" w:color="0A2F64"/>
                  <w:bottom w:val="single" w:sz="6" w:space="0" w:color="0A2F64"/>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13,946</w:t>
                </w:r>
              </w:p>
            </w:tc>
            <w:tc>
              <w:tcPr>
                <w:tcW w:w="1110"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12,663</w:t>
                </w:r>
              </w:p>
            </w:tc>
            <w:tc>
              <w:tcPr>
                <w:tcW w:w="1110" w:type="dxa"/>
                <w:tcBorders>
                  <w:top w:val="single" w:sz="6" w:space="0" w:color="0A2F64"/>
                  <w:bottom w:val="single" w:sz="6" w:space="0" w:color="0A2F64"/>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14,312 </w:t>
                </w:r>
              </w:p>
            </w:tc>
          </w:tr>
        </w:tbl>
      </w:sdtContent>
    </w:sdt>
    <w:p w:rsidR="00527F23" w:rsidRDefault="00527F23" w:rsidP="00527F23">
      <w:pPr>
        <w:rPr>
          <w:rFonts w:cs="Arial"/>
          <w:color w:val="003366"/>
          <w:sz w:val="14"/>
          <w:szCs w:val="14"/>
        </w:rPr>
      </w:pPr>
    </w:p>
    <w:p w:rsidR="00527F23" w:rsidRDefault="00527F23" w:rsidP="00527F23">
      <w:pPr>
        <w:spacing w:line="4" w:lineRule="exact"/>
      </w:pPr>
    </w:p>
    <w:p w:rsidR="00527F23" w:rsidRDefault="00FC1FDC" w:rsidP="00527F23">
      <w:pPr>
        <w:spacing w:line="4" w:lineRule="exact"/>
      </w:pPr>
      <w:r>
        <w:br w:type="page"/>
      </w:r>
    </w:p>
    <w:p w:rsidR="00527F23" w:rsidRPr="008A3FB0" w:rsidRDefault="00FC1FDC" w:rsidP="00527F23">
      <w:pPr>
        <w:pStyle w:val="Normal00"/>
        <w:spacing w:line="288" w:lineRule="auto"/>
        <w:rPr>
          <w:rFonts w:ascii="Arial" w:hAnsi="Arial" w:cs="Arial"/>
          <w:b/>
          <w:color w:val="003366"/>
          <w:sz w:val="18"/>
          <w:szCs w:val="18"/>
        </w:rPr>
      </w:pPr>
      <w:r w:rsidRPr="008A3FB0">
        <w:rPr>
          <w:rFonts w:ascii="Arial" w:hAnsi="Arial" w:cs="Arial"/>
          <w:b/>
          <w:color w:val="003366"/>
          <w:sz w:val="18"/>
          <w:szCs w:val="18"/>
        </w:rPr>
        <w:t>Condensed consolidated statement of changes in equity for t</w:t>
      </w:r>
      <w:r>
        <w:rPr>
          <w:rFonts w:ascii="Arial" w:hAnsi="Arial" w:cs="Arial"/>
          <w:b/>
          <w:color w:val="003366"/>
          <w:sz w:val="18"/>
          <w:szCs w:val="18"/>
        </w:rPr>
        <w:t>he period ended 31 December 2019</w:t>
      </w:r>
      <w:r w:rsidRPr="008A3FB0">
        <w:rPr>
          <w:rFonts w:ascii="Arial" w:hAnsi="Arial" w:cs="Arial"/>
          <w:b/>
          <w:color w:val="003366"/>
          <w:sz w:val="18"/>
          <w:szCs w:val="18"/>
        </w:rPr>
        <w:t xml:space="preserve"> </w:t>
      </w:r>
    </w:p>
    <w:p w:rsidR="00527F23" w:rsidRPr="008A3FB0" w:rsidRDefault="00527F23" w:rsidP="00527F23">
      <w:pPr>
        <w:rPr>
          <w:rFonts w:cs="Arial"/>
          <w:b/>
          <w:color w:val="003366"/>
          <w:sz w:val="18"/>
          <w:szCs w:val="18"/>
        </w:rPr>
      </w:pPr>
    </w:p>
    <w:sdt>
      <w:sdtPr>
        <w:tag w:val="&lt;ReportPackage&gt;&lt;EmbeddedContent id=&quot;f7894858-3bfa-455c-b224-f5647981f231&quot; lastModified=&quot;1581629788705&quot;/&gt;&lt;/ReportPackage&gt;"/>
        <w:id w:val="2085197938"/>
        <w:lock w:val="contentLocked"/>
        <w:placeholder>
          <w:docPart w:val="D0E833DD5C544310BAB552BA7C7471DE"/>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4475"/>
            <w:gridCol w:w="1109"/>
            <w:gridCol w:w="1109"/>
            <w:gridCol w:w="60"/>
            <w:gridCol w:w="1109"/>
            <w:gridCol w:w="1109"/>
            <w:gridCol w:w="1109"/>
          </w:tblGrid>
          <w:tr w:rsidR="0064628A">
            <w:trPr>
              <w:trHeight w:val="210"/>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3366"/>
                    <w:szCs w:val="16"/>
                  </w:rPr>
                </w:pPr>
              </w:p>
            </w:tc>
            <w:tc>
              <w:tcPr>
                <w:tcW w:w="2220" w:type="dxa"/>
                <w:gridSpan w:val="2"/>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Year ended</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3366"/>
                    <w:szCs w:val="16"/>
                  </w:rPr>
                </w:pPr>
              </w:p>
            </w:tc>
            <w:tc>
              <w:tcPr>
                <w:tcW w:w="3330" w:type="dxa"/>
                <w:gridSpan w:val="3"/>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Quarter ended</w:t>
                </w:r>
              </w:p>
            </w:tc>
          </w:tr>
          <w:tr w:rsidR="0064628A">
            <w:trPr>
              <w:trHeight w:val="195"/>
            </w:trPr>
            <w:tc>
              <w:tcPr>
                <w:tcW w:w="4485" w:type="dxa"/>
                <w:vMerge w:val="restart"/>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30 September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r>
          <w:tr w:rsidR="0064628A">
            <w:trPr>
              <w:trHeight w:val="195"/>
            </w:trPr>
            <w:tc>
              <w:tcPr>
                <w:tcW w:w="0" w:type="auto"/>
                <w:vMerge/>
                <w:tcMar>
                  <w:top w:w="0" w:type="dxa"/>
                  <w:bottom w:w="0" w:type="dxa"/>
                </w:tcMar>
                <w:vAlign w:val="center"/>
                <w:hideMark/>
              </w:tcPr>
              <w:p w:rsidR="0064628A" w:rsidRDefault="0064628A">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4485"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3366"/>
                    <w:szCs w:val="16"/>
                  </w:rPr>
                </w:pPr>
                <w:r>
                  <w:rPr>
                    <w:rFonts w:eastAsia="Arial" w:cs="Arial"/>
                    <w:color w:val="003366"/>
                    <w:szCs w:val="16"/>
                  </w:rPr>
                  <w:t>Own shares held - at 1 January</w:t>
                </w: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(21)</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(43)</w:t>
                </w:r>
              </w:p>
            </w:tc>
            <w:tc>
              <w:tcPr>
                <w:tcW w:w="6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(45)</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(46)</w:t>
                </w: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Shares issued under employee share schemes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87 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5 </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Own shares acquired</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(60)</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(65)</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At 31 December</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w:t>
                </w:r>
              </w:p>
            </w:tc>
          </w:tr>
          <w:tr w:rsidR="0064628A">
            <w:trPr>
              <w:trHeight w:val="195"/>
            </w:trPr>
            <w:tc>
              <w:tcPr>
                <w:tcW w:w="4485"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3366"/>
                    <w:szCs w:val="16"/>
                  </w:rPr>
                </w:pPr>
                <w:r>
                  <w:rPr>
                    <w:rFonts w:eastAsia="Arial" w:cs="Arial"/>
                    <w:color w:val="003366"/>
                    <w:szCs w:val="16"/>
                  </w:rPr>
                  <w:t xml:space="preserve">Owners' equity at 31 December </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43,547</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45,736 </w:t>
                </w:r>
              </w:p>
            </w:tc>
            <w:tc>
              <w:tcPr>
                <w:tcW w:w="6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A2F64"/>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43,547</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44,130</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45,736 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12"/>
                    <w:szCs w:val="12"/>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 w:val="12"/>
                    <w:szCs w:val="12"/>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 w:val="12"/>
                    <w:szCs w:val="12"/>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 w:val="12"/>
                    <w:szCs w:val="12"/>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 w:val="12"/>
                    <w:szCs w:val="12"/>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 w:val="12"/>
                    <w:szCs w:val="12"/>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 w:val="12"/>
                    <w:szCs w:val="12"/>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A2F64"/>
                    <w:szCs w:val="16"/>
                  </w:rPr>
                </w:pPr>
                <w:r>
                  <w:rPr>
                    <w:rFonts w:eastAsia="Arial" w:cs="Arial"/>
                    <w:color w:val="0A2F64"/>
                    <w:szCs w:val="16"/>
                  </w:rPr>
                  <w:t>Non-controlling interests - at 1 January</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754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763 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791 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Currency translation adjustments and other movements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25 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(Loss)/profit attributable to non-controlling interests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261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Dividends paid</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 xml:space="preserve">Equity raised </w:t>
                </w:r>
                <w:r>
                  <w:rPr>
                    <w:rStyle w:val="font7"/>
                  </w:rPr>
                  <w:t>(8)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4"/>
                  </w:rPr>
                  <w:t xml:space="preserve">Equity withdrawn and disposals </w:t>
                </w:r>
                <w:r>
                  <w:rPr>
                    <w:rStyle w:val="font7"/>
                  </w:rPr>
                  <w:t>(9)</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(1,035)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w:t>
                </w:r>
              </w:p>
            </w:tc>
          </w:tr>
          <w:tr w:rsidR="0064628A">
            <w:trPr>
              <w:trHeight w:val="195"/>
            </w:trPr>
            <w:tc>
              <w:tcPr>
                <w:tcW w:w="4485"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At 31 December</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754 </w:t>
                </w:r>
              </w:p>
            </w:tc>
            <w:tc>
              <w:tcPr>
                <w:tcW w:w="6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754 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A2F64"/>
                    <w:szCs w:val="16"/>
                  </w:rPr>
                </w:pPr>
                <w:r>
                  <w:rPr>
                    <w:rFonts w:eastAsia="Arial" w:cs="Arial"/>
                    <w:color w:val="0A2F64"/>
                    <w:szCs w:val="16"/>
                  </w:rPr>
                  <w:t>Total equity at 31 December</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43,556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46,490 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A2F64"/>
                    <w:szCs w:val="16"/>
                  </w:rPr>
                </w:pPr>
              </w:p>
            </w:tc>
            <w:tc>
              <w:tcPr>
                <w:tcW w:w="1110" w:type="dxa"/>
                <w:tcBorders>
                  <w:bottom w:val="single" w:sz="6" w:space="0" w:color="00000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43,556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44,146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46,490 </w:t>
                </w:r>
              </w:p>
            </w:tc>
          </w:tr>
          <w:tr w:rsidR="0064628A">
            <w:trPr>
              <w:trHeight w:val="195"/>
            </w:trPr>
            <w:tc>
              <w:tcPr>
                <w:tcW w:w="4485"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A2F64"/>
                    <w:szCs w:val="16"/>
                  </w:rPr>
                </w:pPr>
                <w:r>
                  <w:rPr>
                    <w:rFonts w:eastAsia="Arial" w:cs="Arial"/>
                    <w:color w:val="0A2F64"/>
                    <w:szCs w:val="16"/>
                  </w:rPr>
                  <w:t>Total equity is attributable to:</w:t>
                </w: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Ordinary shareholders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38,993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41,182 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38,993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39,576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41,182 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Preference shareholders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496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496 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496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496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496 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Paid-in equity holders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4,058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4,058 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4,058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4,058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4,058 </w:t>
                </w:r>
              </w:p>
            </w:tc>
          </w:tr>
          <w:tr w:rsidR="0064628A">
            <w:trPr>
              <w:trHeight w:val="195"/>
            </w:trPr>
            <w:tc>
              <w:tcPr>
                <w:tcW w:w="448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Non-controlling interests</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754 </w:t>
                </w:r>
              </w:p>
            </w:tc>
            <w:tc>
              <w:tcPr>
                <w:tcW w:w="60" w:type="dxa"/>
                <w:tcBorders>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A2F64"/>
                    <w:szCs w:val="16"/>
                  </w:rPr>
                </w:pP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754 </w:t>
                </w:r>
              </w:p>
            </w:tc>
          </w:tr>
          <w:tr w:rsidR="0064628A">
            <w:trPr>
              <w:trHeight w:val="195"/>
            </w:trPr>
            <w:tc>
              <w:tcPr>
                <w:tcW w:w="4485"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43,556</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46,490 </w:t>
                </w:r>
              </w:p>
            </w:tc>
            <w:tc>
              <w:tcPr>
                <w:tcW w:w="6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A2F64"/>
                    <w:szCs w:val="16"/>
                  </w:rPr>
                </w:pP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43,556</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44,146</w:t>
                </w:r>
              </w:p>
            </w:tc>
            <w:tc>
              <w:tcPr>
                <w:tcW w:w="1110"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46,490 </w:t>
                </w:r>
              </w:p>
            </w:tc>
          </w:tr>
        </w:tbl>
      </w:sdtContent>
    </w:sdt>
    <w:p w:rsidR="00527F23" w:rsidRDefault="00527F23" w:rsidP="00527F23"/>
    <w:p w:rsidR="00527F23" w:rsidRPr="0099638B" w:rsidRDefault="00FC1FDC" w:rsidP="00275758">
      <w:pPr>
        <w:pStyle w:val="Normal00"/>
        <w:rPr>
          <w:rFonts w:ascii="Arial" w:eastAsia="Calibri" w:hAnsi="Arial" w:cs="Arial"/>
          <w:iCs/>
          <w:sz w:val="14"/>
          <w:szCs w:val="14"/>
          <w:lang w:eastAsia="ja-JP"/>
        </w:rPr>
      </w:pPr>
      <w:r w:rsidRPr="0099638B">
        <w:rPr>
          <w:rFonts w:ascii="Arial" w:eastAsia="Calibri" w:hAnsi="Arial" w:cs="Arial"/>
          <w:iCs/>
          <w:sz w:val="14"/>
          <w:szCs w:val="14"/>
          <w:lang w:eastAsia="ja-JP"/>
        </w:rPr>
        <w:t>Notes:</w:t>
      </w:r>
      <w:r w:rsidR="000D6EFC">
        <w:rPr>
          <w:rFonts w:ascii="Arial" w:eastAsia="Calibri" w:hAnsi="Arial" w:cs="Arial"/>
          <w:iCs/>
          <w:sz w:val="14"/>
          <w:szCs w:val="14"/>
          <w:lang w:eastAsia="ja-JP"/>
        </w:rPr>
        <w:t xml:space="preserve"> </w:t>
      </w:r>
    </w:p>
    <w:tbl>
      <w:tblPr>
        <w:tblW w:w="10206" w:type="dxa"/>
        <w:tblLayout w:type="fixed"/>
        <w:tblCellMar>
          <w:left w:w="0" w:type="dxa"/>
          <w:right w:w="0" w:type="dxa"/>
        </w:tblCellMar>
        <w:tblLook w:val="0000" w:firstRow="0" w:lastRow="0" w:firstColumn="0" w:lastColumn="0" w:noHBand="0" w:noVBand="0"/>
      </w:tblPr>
      <w:tblGrid>
        <w:gridCol w:w="431"/>
        <w:gridCol w:w="9775"/>
      </w:tblGrid>
      <w:tr w:rsidR="0064628A" w:rsidTr="00A13D34">
        <w:tc>
          <w:tcPr>
            <w:tcW w:w="431" w:type="dxa"/>
          </w:tcPr>
          <w:p w:rsidR="00DD3E32" w:rsidRDefault="00FC1FDC" w:rsidP="0045450E">
            <w:pPr>
              <w:pStyle w:val="Normal00"/>
              <w:rPr>
                <w:rFonts w:ascii="Arial" w:eastAsia="Calibri" w:hAnsi="Arial" w:cs="Arial"/>
                <w:iCs/>
                <w:sz w:val="14"/>
                <w:szCs w:val="14"/>
                <w:lang w:eastAsia="ja-JP"/>
              </w:rPr>
            </w:pPr>
            <w:r>
              <w:rPr>
                <w:rFonts w:ascii="Arial" w:eastAsia="Calibri" w:hAnsi="Arial" w:cs="Arial"/>
                <w:iCs/>
                <w:sz w:val="14"/>
                <w:szCs w:val="14"/>
                <w:lang w:eastAsia="ja-JP"/>
              </w:rPr>
              <w:t>(1)</w:t>
            </w:r>
          </w:p>
        </w:tc>
        <w:tc>
          <w:tcPr>
            <w:tcW w:w="9775" w:type="dxa"/>
          </w:tcPr>
          <w:p w:rsidR="00DD3E32" w:rsidRDefault="00FC1FDC" w:rsidP="00237229">
            <w:pPr>
              <w:pStyle w:val="Normal1870"/>
              <w:spacing w:line="259" w:lineRule="auto"/>
              <w:rPr>
                <w:rFonts w:ascii="Arial" w:eastAsia="Arial Unicode MS" w:hAnsi="Arial"/>
                <w:sz w:val="14"/>
                <w:szCs w:val="14"/>
              </w:rPr>
            </w:pPr>
            <w:r>
              <w:rPr>
                <w:rFonts w:ascii="Arial" w:eastAsia="Arial Unicode MS" w:hAnsi="Arial"/>
                <w:sz w:val="14"/>
                <w:szCs w:val="14"/>
              </w:rPr>
              <w:t>The amount credited to the cash flow hedging reserve comprised £585 million (2018 - £166 million debit) in relation to interest rate hedges lesser debit of £12 million (2018 - £103 million credit) in relation to foreign exchange hedges.</w:t>
            </w:r>
          </w:p>
        </w:tc>
      </w:tr>
      <w:tr w:rsidR="0064628A" w:rsidTr="00A13D34">
        <w:tc>
          <w:tcPr>
            <w:tcW w:w="431" w:type="dxa"/>
          </w:tcPr>
          <w:p w:rsidR="00DD3E32" w:rsidRDefault="00FC1FDC" w:rsidP="00D07FA2">
            <w:pPr>
              <w:pStyle w:val="Normal00"/>
              <w:rPr>
                <w:rFonts w:ascii="Arial" w:eastAsia="Calibri" w:hAnsi="Arial" w:cs="Arial"/>
                <w:iCs/>
                <w:sz w:val="14"/>
                <w:szCs w:val="14"/>
                <w:lang w:eastAsia="ja-JP"/>
              </w:rPr>
            </w:pPr>
            <w:r>
              <w:rPr>
                <w:rFonts w:ascii="Arial" w:eastAsia="Calibri" w:hAnsi="Arial" w:cs="Arial"/>
                <w:iCs/>
                <w:sz w:val="14"/>
                <w:szCs w:val="14"/>
                <w:lang w:eastAsia="ja-JP"/>
              </w:rPr>
              <w:t>(2)</w:t>
            </w:r>
          </w:p>
        </w:tc>
        <w:tc>
          <w:tcPr>
            <w:tcW w:w="9775" w:type="dxa"/>
          </w:tcPr>
          <w:p w:rsidR="00DD3E32" w:rsidRDefault="00FC1FDC" w:rsidP="00237229">
            <w:pPr>
              <w:pStyle w:val="Normal1870"/>
              <w:spacing w:line="259" w:lineRule="auto"/>
              <w:rPr>
                <w:rFonts w:ascii="Arial" w:eastAsia="Arial Unicode MS" w:hAnsi="Arial"/>
                <w:sz w:val="14"/>
                <w:szCs w:val="14"/>
              </w:rPr>
            </w:pPr>
            <w:r>
              <w:rPr>
                <w:rFonts w:ascii="Arial" w:eastAsia="Arial Unicode MS" w:hAnsi="Arial"/>
                <w:sz w:val="14"/>
                <w:szCs w:val="14"/>
              </w:rPr>
              <w:t>The cash flow hedging reserve was reduced by £243 million in relation to interest rate hedges (2018 - £493 million) credited net interest income and reduced by £36 million (2018 - £25 million) in relation to foreign exchange hedging which was credited to net interest income.</w:t>
            </w:r>
          </w:p>
        </w:tc>
      </w:tr>
      <w:tr w:rsidR="0064628A" w:rsidTr="00A13D34">
        <w:tc>
          <w:tcPr>
            <w:tcW w:w="431" w:type="dxa"/>
          </w:tcPr>
          <w:p w:rsidR="00DD3E32" w:rsidRDefault="00FC1FDC" w:rsidP="00D07FA2">
            <w:pPr>
              <w:pStyle w:val="Normal00"/>
              <w:rPr>
                <w:rFonts w:ascii="Arial" w:eastAsia="Calibri" w:hAnsi="Arial" w:cs="Arial"/>
                <w:iCs/>
                <w:sz w:val="14"/>
                <w:szCs w:val="14"/>
                <w:lang w:eastAsia="ja-JP"/>
              </w:rPr>
            </w:pPr>
            <w:r>
              <w:rPr>
                <w:rFonts w:ascii="Arial" w:eastAsia="Calibri" w:hAnsi="Arial" w:cs="Arial"/>
                <w:iCs/>
                <w:sz w:val="14"/>
                <w:szCs w:val="14"/>
                <w:lang w:eastAsia="ja-JP"/>
              </w:rPr>
              <w:t>(3)</w:t>
            </w:r>
          </w:p>
        </w:tc>
        <w:tc>
          <w:tcPr>
            <w:tcW w:w="9775" w:type="dxa"/>
          </w:tcPr>
          <w:p w:rsidR="00DD3E32" w:rsidRDefault="00FC1FDC" w:rsidP="00237229">
            <w:pPr>
              <w:pStyle w:val="Normal1870"/>
              <w:spacing w:line="259" w:lineRule="auto"/>
              <w:rPr>
                <w:rFonts w:ascii="Arial" w:eastAsia="Arial Unicode MS" w:hAnsi="Arial"/>
                <w:sz w:val="14"/>
                <w:szCs w:val="14"/>
              </w:rPr>
            </w:pPr>
            <w:r w:rsidRPr="00DD3E32">
              <w:rPr>
                <w:rFonts w:ascii="Arial" w:eastAsia="Arial Unicode MS" w:hAnsi="Arial"/>
                <w:sz w:val="14"/>
                <w:szCs w:val="14"/>
              </w:rPr>
              <w:t>The hedging element of the cash flow hedging reserve and foreign exchange reserve relates mainly to de-designated hedges.</w:t>
            </w:r>
          </w:p>
        </w:tc>
      </w:tr>
      <w:tr w:rsidR="0064628A" w:rsidTr="00A13D34">
        <w:trPr>
          <w:trHeight w:val="693"/>
        </w:trPr>
        <w:tc>
          <w:tcPr>
            <w:tcW w:w="431" w:type="dxa"/>
          </w:tcPr>
          <w:p w:rsidR="00F65C9D" w:rsidRDefault="00FC1FDC" w:rsidP="0045450E">
            <w:pPr>
              <w:pStyle w:val="Normal00"/>
              <w:rPr>
                <w:rFonts w:ascii="Arial" w:eastAsia="Calibri" w:hAnsi="Arial" w:cs="Arial"/>
                <w:iCs/>
                <w:sz w:val="14"/>
                <w:szCs w:val="14"/>
                <w:lang w:eastAsia="ja-JP"/>
              </w:rPr>
            </w:pPr>
            <w:r>
              <w:rPr>
                <w:rFonts w:ascii="Arial" w:eastAsia="Calibri" w:hAnsi="Arial" w:cs="Arial"/>
                <w:iCs/>
                <w:sz w:val="14"/>
                <w:szCs w:val="14"/>
                <w:lang w:eastAsia="ja-JP"/>
              </w:rPr>
              <w:t>(4</w:t>
            </w:r>
            <w:r w:rsidR="00A13D34">
              <w:rPr>
                <w:rFonts w:ascii="Arial" w:eastAsia="Calibri" w:hAnsi="Arial" w:cs="Arial"/>
                <w:iCs/>
                <w:sz w:val="14"/>
                <w:szCs w:val="14"/>
                <w:lang w:eastAsia="ja-JP"/>
              </w:rPr>
              <w:t>)</w:t>
            </w:r>
          </w:p>
        </w:tc>
        <w:tc>
          <w:tcPr>
            <w:tcW w:w="9775" w:type="dxa"/>
          </w:tcPr>
          <w:p w:rsidR="00F65C9D" w:rsidRPr="0099638B" w:rsidRDefault="00FC1FDC" w:rsidP="0045450E">
            <w:pPr>
              <w:pStyle w:val="Normal00"/>
              <w:rPr>
                <w:rFonts w:ascii="Arial" w:eastAsia="Calibri" w:hAnsi="Arial" w:cs="Arial"/>
                <w:iCs/>
                <w:sz w:val="14"/>
                <w:szCs w:val="14"/>
                <w:lang w:eastAsia="ja-JP"/>
              </w:rPr>
            </w:pPr>
            <w:r w:rsidRPr="002018FE">
              <w:rPr>
                <w:rFonts w:ascii="Arial" w:eastAsia="Calibri" w:hAnsi="Arial" w:cs="Arial"/>
                <w:iCs/>
                <w:sz w:val="14"/>
                <w:szCs w:val="14"/>
                <w:lang w:eastAsia="ja-JP"/>
              </w:rPr>
              <w:t>Includes £290 million recycled on completion of the Alawwal bank merger in June 2019 (with a further £48m shown in Tax), £1,102 million recycled on the subsequent liquidation of RFS Holdings B.V. (with a further £65m shown in Tax), and £67m attributable to the capital repayment by UBI DAC.  The Alawwal bank merger resulted in the derecognition of the associate investment in Alawwal bank and recognition of a new investment in SABB held at FVOCI.  The recycling gains arising from the liquidation of RFS Holdings BV and capital repayment by UBIDAC have been calculated using the step-by-step method in IFRIC 16 ‘Hedges of a Net Investment in a Foreign Operation’ and by reference to the proportion of capital repaid.</w:t>
            </w:r>
            <w:r w:rsidR="00DD3E32">
              <w:rPr>
                <w:rFonts w:ascii="Arial" w:eastAsia="Calibri" w:hAnsi="Arial" w:cs="Arial"/>
                <w:iCs/>
                <w:sz w:val="14"/>
                <w:szCs w:val="14"/>
                <w:lang w:eastAsia="ja-JP"/>
              </w:rPr>
              <w:t xml:space="preserve"> </w:t>
            </w:r>
            <w:r w:rsidR="00DD3E32" w:rsidRPr="00DD3E32">
              <w:rPr>
                <w:rFonts w:ascii="Arial" w:eastAsia="Calibri" w:hAnsi="Arial" w:cs="Arial"/>
                <w:iCs/>
                <w:sz w:val="14"/>
                <w:szCs w:val="14"/>
                <w:lang w:eastAsia="ja-JP"/>
              </w:rPr>
              <w:t>Amount recycled also includes £2,661 million related with historical hedge relationship taken to non interest income.</w:t>
            </w:r>
          </w:p>
        </w:tc>
      </w:tr>
      <w:tr w:rsidR="0064628A" w:rsidTr="00A13D34">
        <w:tc>
          <w:tcPr>
            <w:tcW w:w="431" w:type="dxa"/>
          </w:tcPr>
          <w:p w:rsidR="00592210" w:rsidRPr="0099638B" w:rsidRDefault="00FC1FDC" w:rsidP="002018FE">
            <w:pPr>
              <w:pStyle w:val="Normal00"/>
              <w:rPr>
                <w:rFonts w:ascii="Arial" w:eastAsia="Calibri" w:hAnsi="Arial" w:cs="Arial"/>
                <w:iCs/>
                <w:sz w:val="14"/>
                <w:szCs w:val="14"/>
                <w:lang w:eastAsia="ja-JP"/>
              </w:rPr>
            </w:pPr>
            <w:r>
              <w:rPr>
                <w:rFonts w:ascii="Arial" w:eastAsia="Calibri" w:hAnsi="Arial" w:cs="Arial"/>
                <w:iCs/>
                <w:sz w:val="14"/>
                <w:szCs w:val="14"/>
                <w:lang w:eastAsia="ja-JP"/>
              </w:rPr>
              <w:t>(5</w:t>
            </w:r>
            <w:r w:rsidR="00A13D34">
              <w:rPr>
                <w:rFonts w:ascii="Arial" w:eastAsia="Calibri" w:hAnsi="Arial" w:cs="Arial"/>
                <w:iCs/>
                <w:sz w:val="14"/>
                <w:szCs w:val="14"/>
                <w:lang w:eastAsia="ja-JP"/>
              </w:rPr>
              <w:t>)</w:t>
            </w:r>
          </w:p>
        </w:tc>
        <w:tc>
          <w:tcPr>
            <w:tcW w:w="9775" w:type="dxa"/>
          </w:tcPr>
          <w:p w:rsidR="00592210" w:rsidRPr="0099638B" w:rsidRDefault="00FC1FDC" w:rsidP="00F65C9D">
            <w:pPr>
              <w:pStyle w:val="Normal00"/>
              <w:rPr>
                <w:rFonts w:ascii="Arial" w:eastAsia="Calibri" w:hAnsi="Arial" w:cs="Arial"/>
                <w:iCs/>
                <w:sz w:val="14"/>
                <w:szCs w:val="14"/>
                <w:lang w:eastAsia="ja-JP"/>
              </w:rPr>
            </w:pPr>
            <w:r>
              <w:rPr>
                <w:rFonts w:ascii="Arial" w:eastAsia="Calibri" w:hAnsi="Arial" w:cs="Arial"/>
                <w:iCs/>
                <w:sz w:val="14"/>
                <w:szCs w:val="14"/>
                <w:lang w:eastAsia="ja-JP"/>
              </w:rPr>
              <w:t xml:space="preserve">Refer to Note </w:t>
            </w:r>
            <w:r w:rsidR="00F65C9D">
              <w:rPr>
                <w:rFonts w:ascii="Arial" w:eastAsia="Calibri" w:hAnsi="Arial" w:cs="Arial"/>
                <w:iCs/>
                <w:sz w:val="14"/>
                <w:szCs w:val="14"/>
                <w:lang w:eastAsia="ja-JP"/>
              </w:rPr>
              <w:t>2</w:t>
            </w:r>
            <w:r>
              <w:rPr>
                <w:rFonts w:ascii="Arial" w:eastAsia="Calibri" w:hAnsi="Arial" w:cs="Arial"/>
                <w:iCs/>
                <w:sz w:val="14"/>
                <w:szCs w:val="14"/>
                <w:lang w:eastAsia="ja-JP"/>
              </w:rPr>
              <w:t xml:space="preserve"> for further information on the impact of IFRS 16 implementation. </w:t>
            </w:r>
          </w:p>
        </w:tc>
      </w:tr>
      <w:tr w:rsidR="0064628A" w:rsidTr="00A13D34">
        <w:tc>
          <w:tcPr>
            <w:tcW w:w="431" w:type="dxa"/>
          </w:tcPr>
          <w:p w:rsidR="00F65C9D" w:rsidRDefault="00FC1FDC" w:rsidP="0045450E">
            <w:pPr>
              <w:pStyle w:val="Normal00"/>
              <w:rPr>
                <w:rFonts w:ascii="Arial" w:eastAsia="Calibri" w:hAnsi="Arial" w:cs="Arial"/>
                <w:iCs/>
                <w:sz w:val="14"/>
                <w:szCs w:val="14"/>
                <w:lang w:eastAsia="ja-JP"/>
              </w:rPr>
            </w:pPr>
            <w:r>
              <w:rPr>
                <w:rFonts w:ascii="Arial" w:eastAsia="Calibri" w:hAnsi="Arial" w:cs="Arial"/>
                <w:iCs/>
                <w:sz w:val="14"/>
                <w:szCs w:val="14"/>
                <w:lang w:eastAsia="ja-JP"/>
              </w:rPr>
              <w:t>(6</w:t>
            </w:r>
            <w:r w:rsidR="00A13D34">
              <w:rPr>
                <w:rFonts w:ascii="Arial" w:eastAsia="Calibri" w:hAnsi="Arial" w:cs="Arial"/>
                <w:iCs/>
                <w:sz w:val="14"/>
                <w:szCs w:val="14"/>
                <w:lang w:eastAsia="ja-JP"/>
              </w:rPr>
              <w:t>)</w:t>
            </w:r>
          </w:p>
        </w:tc>
        <w:tc>
          <w:tcPr>
            <w:tcW w:w="9775" w:type="dxa"/>
          </w:tcPr>
          <w:p w:rsidR="00F65C9D" w:rsidRPr="0099638B" w:rsidRDefault="00FC1FDC" w:rsidP="0045450E">
            <w:pPr>
              <w:pStyle w:val="Normal00"/>
              <w:rPr>
                <w:rFonts w:ascii="Arial" w:eastAsia="Calibri" w:hAnsi="Arial" w:cs="Arial"/>
                <w:iCs/>
                <w:sz w:val="14"/>
                <w:szCs w:val="14"/>
                <w:lang w:eastAsia="ja-JP"/>
              </w:rPr>
            </w:pPr>
            <w:r>
              <w:rPr>
                <w:rFonts w:ascii="Arial" w:eastAsia="Calibri" w:hAnsi="Arial" w:cs="Arial"/>
                <w:iCs/>
                <w:sz w:val="14"/>
                <w:szCs w:val="14"/>
                <w:lang w:eastAsia="ja-JP"/>
              </w:rPr>
              <w:t xml:space="preserve">During 2018, non-cumulative US dollar, Euro and Sterling preference shares were redeemed. </w:t>
            </w:r>
          </w:p>
        </w:tc>
      </w:tr>
      <w:tr w:rsidR="0064628A" w:rsidTr="00A13D34">
        <w:tc>
          <w:tcPr>
            <w:tcW w:w="431" w:type="dxa"/>
          </w:tcPr>
          <w:p w:rsidR="00F65C9D" w:rsidRDefault="00FC1FDC" w:rsidP="0045450E">
            <w:pPr>
              <w:pStyle w:val="Normal00"/>
              <w:rPr>
                <w:rFonts w:ascii="Arial" w:eastAsia="Calibri" w:hAnsi="Arial" w:cs="Arial"/>
                <w:iCs/>
                <w:sz w:val="14"/>
                <w:szCs w:val="14"/>
                <w:lang w:eastAsia="ja-JP"/>
              </w:rPr>
            </w:pPr>
            <w:r>
              <w:rPr>
                <w:rFonts w:ascii="Arial" w:eastAsia="Calibri" w:hAnsi="Arial" w:cs="Arial"/>
                <w:iCs/>
                <w:sz w:val="14"/>
                <w:szCs w:val="14"/>
                <w:lang w:eastAsia="ja-JP"/>
              </w:rPr>
              <w:t>(7</w:t>
            </w:r>
            <w:r w:rsidR="00A13D34">
              <w:rPr>
                <w:rFonts w:ascii="Arial" w:eastAsia="Calibri" w:hAnsi="Arial" w:cs="Arial"/>
                <w:iCs/>
                <w:sz w:val="14"/>
                <w:szCs w:val="14"/>
                <w:lang w:eastAsia="ja-JP"/>
              </w:rPr>
              <w:t>)</w:t>
            </w:r>
          </w:p>
        </w:tc>
        <w:tc>
          <w:tcPr>
            <w:tcW w:w="9775" w:type="dxa"/>
          </w:tcPr>
          <w:p w:rsidR="00F65C9D" w:rsidRPr="0099638B" w:rsidRDefault="00FC1FDC" w:rsidP="0045450E">
            <w:pPr>
              <w:pStyle w:val="Normal00"/>
              <w:rPr>
                <w:rFonts w:ascii="Arial" w:eastAsia="Calibri" w:hAnsi="Arial" w:cs="Arial"/>
                <w:iCs/>
                <w:sz w:val="14"/>
                <w:szCs w:val="14"/>
                <w:lang w:eastAsia="ja-JP"/>
              </w:rPr>
            </w:pPr>
            <w:r>
              <w:rPr>
                <w:rFonts w:ascii="Arial" w:eastAsia="Calibri" w:hAnsi="Arial" w:cs="Arial"/>
                <w:iCs/>
                <w:sz w:val="14"/>
                <w:szCs w:val="14"/>
                <w:lang w:eastAsia="ja-JP"/>
              </w:rPr>
              <w:t xml:space="preserve">On 17 April 2018 RBS agreed a Memorandum of Understanding (MoU) with the Trustees of the RBS Group Pension Fund in connection with the requirements of ring-fencing. NWM Plc cannot contribute to be a participant in the Main section and separate arrangements are required for its employees. Under the MoU, NWB Plc made a contribution of £2 billion on 9 October 2018 to strengthen funding of the Main section in recognition of the changes in covenant. Also under the MoU, NWM Plc made a £53 million contribution to the NWM section in Q1 2019. </w:t>
            </w:r>
          </w:p>
        </w:tc>
      </w:tr>
      <w:tr w:rsidR="0064628A" w:rsidTr="00A13D34">
        <w:tc>
          <w:tcPr>
            <w:tcW w:w="431" w:type="dxa"/>
          </w:tcPr>
          <w:p w:rsidR="00F65C9D" w:rsidRDefault="00FC1FDC" w:rsidP="00275758">
            <w:pPr>
              <w:pStyle w:val="Normal00"/>
              <w:rPr>
                <w:rFonts w:ascii="Arial" w:eastAsia="Calibri" w:hAnsi="Arial" w:cs="Arial"/>
                <w:iCs/>
                <w:sz w:val="14"/>
                <w:szCs w:val="14"/>
                <w:lang w:eastAsia="ja-JP"/>
              </w:rPr>
            </w:pPr>
            <w:r>
              <w:rPr>
                <w:rFonts w:ascii="Arial" w:eastAsia="Calibri" w:hAnsi="Arial" w:cs="Arial"/>
                <w:iCs/>
                <w:sz w:val="14"/>
                <w:szCs w:val="14"/>
                <w:lang w:eastAsia="ja-JP"/>
              </w:rPr>
              <w:t>(8</w:t>
            </w:r>
            <w:r w:rsidR="00A13D34">
              <w:rPr>
                <w:rFonts w:ascii="Arial" w:eastAsia="Calibri" w:hAnsi="Arial" w:cs="Arial"/>
                <w:iCs/>
                <w:sz w:val="14"/>
                <w:szCs w:val="14"/>
                <w:lang w:eastAsia="ja-JP"/>
              </w:rPr>
              <w:t>)</w:t>
            </w:r>
          </w:p>
        </w:tc>
        <w:tc>
          <w:tcPr>
            <w:tcW w:w="9775" w:type="dxa"/>
          </w:tcPr>
          <w:p w:rsidR="00F65C9D" w:rsidRDefault="00FC1FDC" w:rsidP="00275758">
            <w:pPr>
              <w:pStyle w:val="Normal00"/>
              <w:tabs>
                <w:tab w:val="left" w:pos="5923"/>
              </w:tabs>
              <w:rPr>
                <w:rFonts w:ascii="Arial" w:eastAsia="Calibri" w:hAnsi="Arial" w:cs="Arial"/>
                <w:iCs/>
                <w:sz w:val="14"/>
                <w:szCs w:val="14"/>
                <w:lang w:eastAsia="ja-JP"/>
              </w:rPr>
            </w:pPr>
            <w:r>
              <w:rPr>
                <w:rFonts w:ascii="Arial" w:eastAsia="Calibri" w:hAnsi="Arial" w:cs="Arial"/>
                <w:iCs/>
                <w:sz w:val="14"/>
                <w:szCs w:val="14"/>
                <w:lang w:eastAsia="ja-JP"/>
              </w:rPr>
              <w:t>Capital injection from RFS Holdings B.V Consortium members.</w:t>
            </w:r>
          </w:p>
        </w:tc>
      </w:tr>
      <w:tr w:rsidR="0064628A" w:rsidTr="00A13D34">
        <w:tc>
          <w:tcPr>
            <w:tcW w:w="431" w:type="dxa"/>
          </w:tcPr>
          <w:p w:rsidR="00F65C9D" w:rsidRDefault="00FC1FDC" w:rsidP="002018FE">
            <w:pPr>
              <w:pStyle w:val="Normal00"/>
              <w:rPr>
                <w:rFonts w:ascii="Arial" w:eastAsia="Calibri" w:hAnsi="Arial" w:cs="Arial"/>
                <w:iCs/>
                <w:sz w:val="14"/>
                <w:szCs w:val="14"/>
                <w:lang w:eastAsia="ja-JP"/>
              </w:rPr>
            </w:pPr>
            <w:r>
              <w:rPr>
                <w:rFonts w:ascii="Arial" w:eastAsia="Calibri" w:hAnsi="Arial" w:cs="Arial"/>
                <w:iCs/>
                <w:sz w:val="14"/>
                <w:szCs w:val="14"/>
                <w:lang w:eastAsia="ja-JP"/>
              </w:rPr>
              <w:t>(9</w:t>
            </w:r>
            <w:r w:rsidR="00A13D34">
              <w:rPr>
                <w:rFonts w:ascii="Arial" w:eastAsia="Calibri" w:hAnsi="Arial" w:cs="Arial"/>
                <w:iCs/>
                <w:sz w:val="14"/>
                <w:szCs w:val="14"/>
                <w:lang w:eastAsia="ja-JP"/>
              </w:rPr>
              <w:t>)</w:t>
            </w:r>
          </w:p>
        </w:tc>
        <w:tc>
          <w:tcPr>
            <w:tcW w:w="9775" w:type="dxa"/>
          </w:tcPr>
          <w:p w:rsidR="00F65C9D" w:rsidRDefault="00FC1FDC" w:rsidP="00275758">
            <w:pPr>
              <w:pStyle w:val="Normal00"/>
              <w:tabs>
                <w:tab w:val="left" w:pos="5923"/>
              </w:tabs>
              <w:rPr>
                <w:rFonts w:ascii="Arial" w:eastAsia="Calibri" w:hAnsi="Arial" w:cs="Arial"/>
                <w:iCs/>
                <w:sz w:val="14"/>
                <w:szCs w:val="14"/>
                <w:lang w:eastAsia="ja-JP"/>
              </w:rPr>
            </w:pPr>
            <w:r>
              <w:rPr>
                <w:rFonts w:ascii="Arial" w:eastAsia="Calibri" w:hAnsi="Arial" w:cs="Arial"/>
                <w:iCs/>
                <w:sz w:val="14"/>
                <w:szCs w:val="14"/>
                <w:lang w:eastAsia="ja-JP"/>
              </w:rPr>
              <w:t>Distributed to RFS Holding B.V. Consortium members on completion of the Alawwal bank merger.</w:t>
            </w:r>
          </w:p>
        </w:tc>
      </w:tr>
    </w:tbl>
    <w:p w:rsidR="00527F23" w:rsidRPr="0099638B" w:rsidRDefault="00527F23" w:rsidP="00527F23">
      <w:pPr>
        <w:pStyle w:val="Normal00"/>
        <w:rPr>
          <w:rFonts w:eastAsia="Calibri"/>
          <w:noProof/>
          <w:sz w:val="4"/>
          <w:szCs w:val="20"/>
        </w:rPr>
      </w:pPr>
    </w:p>
    <w:p w:rsidR="00F05041" w:rsidRDefault="00F05041" w:rsidP="00527F23">
      <w:pPr>
        <w:pStyle w:val="Normal00"/>
        <w:spacing w:line="288" w:lineRule="auto"/>
        <w:rPr>
          <w:rFonts w:ascii="Arial" w:hAnsi="Arial" w:cs="Arial"/>
          <w:b/>
          <w:color w:val="003366"/>
          <w:sz w:val="18"/>
          <w:szCs w:val="18"/>
        </w:rPr>
      </w:pPr>
    </w:p>
    <w:p w:rsidR="00D60394" w:rsidRDefault="00FC1FDC">
      <w:pPr>
        <w:spacing w:after="200"/>
        <w:rPr>
          <w:rFonts w:eastAsia="Times New Roman" w:cs="Arial"/>
          <w:b/>
          <w:color w:val="003366"/>
          <w:sz w:val="18"/>
          <w:szCs w:val="18"/>
          <w:lang w:eastAsia="en-GB"/>
        </w:rPr>
      </w:pPr>
      <w:r>
        <w:rPr>
          <w:rFonts w:cs="Arial"/>
          <w:b/>
          <w:color w:val="003366"/>
          <w:sz w:val="18"/>
          <w:szCs w:val="18"/>
        </w:rPr>
        <w:br w:type="page"/>
      </w:r>
    </w:p>
    <w:p w:rsidR="00527F23" w:rsidRPr="00207EE2" w:rsidRDefault="00FC1FDC" w:rsidP="00527F23">
      <w:pPr>
        <w:pStyle w:val="Normal00"/>
        <w:spacing w:line="288" w:lineRule="auto"/>
        <w:rPr>
          <w:rFonts w:ascii="Arial" w:hAnsi="Arial" w:cs="Arial"/>
          <w:color w:val="003366"/>
          <w:sz w:val="14"/>
          <w:szCs w:val="14"/>
        </w:rPr>
      </w:pPr>
      <w:r w:rsidRPr="00207EE2">
        <w:rPr>
          <w:rFonts w:ascii="Arial" w:hAnsi="Arial" w:cs="Arial"/>
          <w:b/>
          <w:color w:val="003366"/>
          <w:sz w:val="18"/>
          <w:szCs w:val="18"/>
        </w:rPr>
        <w:t>Condensed consolidated cash flow statement for t</w:t>
      </w:r>
      <w:r w:rsidR="000D6EFC">
        <w:rPr>
          <w:rFonts w:ascii="Arial" w:hAnsi="Arial" w:cs="Arial"/>
          <w:b/>
          <w:color w:val="003366"/>
          <w:sz w:val="18"/>
          <w:szCs w:val="18"/>
        </w:rPr>
        <w:t>he period ended 31 December 2019</w:t>
      </w:r>
      <w:r w:rsidRPr="00207EE2">
        <w:rPr>
          <w:rFonts w:ascii="Arial" w:hAnsi="Arial" w:cs="Arial"/>
          <w:b/>
          <w:color w:val="003366"/>
          <w:sz w:val="18"/>
          <w:szCs w:val="18"/>
        </w:rPr>
        <w:t xml:space="preserve"> </w:t>
      </w:r>
      <w:r>
        <w:rPr>
          <w:rFonts w:ascii="Arial" w:hAnsi="Arial" w:cs="Arial"/>
          <w:color w:val="003366"/>
          <w:sz w:val="14"/>
          <w:szCs w:val="14"/>
        </w:rPr>
        <w:t xml:space="preserve"> </w:t>
      </w:r>
    </w:p>
    <w:sdt>
      <w:sdtPr>
        <w:tag w:val="&lt;ReportPackage&gt;&lt;EmbeddedContent id=&quot;dbf04977-181e-4471-add1-ad9b20c900d8&quot; lastModified=&quot;1581629456576&quot;/&gt;&lt;/ReportPackage&gt;"/>
        <w:id w:val="1244894361"/>
        <w:lock w:val="contentLocked"/>
        <w:placeholder>
          <w:docPart w:val="064BD9612A664504B3AC4D242263BAEF"/>
        </w:placeholder>
      </w:sdtPr>
      <w:sdtEndPr/>
      <w:sdtContent>
        <w:tbl>
          <w:tblPr>
            <w:tblStyle w:val="table"/>
            <w:tblW w:w="10140" w:type="dxa"/>
            <w:tblInd w:w="5" w:type="dxa"/>
            <w:tblCellMar>
              <w:left w:w="0" w:type="dxa"/>
              <w:right w:w="0" w:type="dxa"/>
            </w:tblCellMar>
            <w:tblLook w:val="05E0" w:firstRow="1" w:lastRow="1" w:firstColumn="1" w:lastColumn="1" w:noHBand="0" w:noVBand="1"/>
          </w:tblPr>
          <w:tblGrid>
            <w:gridCol w:w="7922"/>
            <w:gridCol w:w="1109"/>
            <w:gridCol w:w="1109"/>
          </w:tblGrid>
          <w:tr w:rsidR="0064628A">
            <w:trPr>
              <w:trHeight w:val="210"/>
            </w:trPr>
            <w:tc>
              <w:tcPr>
                <w:tcW w:w="79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3366"/>
                    <w:szCs w:val="16"/>
                  </w:rPr>
                </w:pPr>
              </w:p>
            </w:tc>
            <w:tc>
              <w:tcPr>
                <w:tcW w:w="2220" w:type="dxa"/>
                <w:gridSpan w:val="2"/>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3366"/>
                    <w:szCs w:val="16"/>
                  </w:rPr>
                </w:pPr>
                <w:r>
                  <w:rPr>
                    <w:rFonts w:eastAsia="Arial" w:cs="Arial"/>
                    <w:b/>
                    <w:bCs/>
                    <w:color w:val="003366"/>
                    <w:szCs w:val="16"/>
                  </w:rPr>
                  <w:t>Year ended</w:t>
                </w:r>
              </w:p>
            </w:tc>
          </w:tr>
          <w:tr w:rsidR="0064628A">
            <w:trPr>
              <w:trHeight w:val="195"/>
            </w:trPr>
            <w:tc>
              <w:tcPr>
                <w:tcW w:w="7935" w:type="dxa"/>
                <w:vMerge w:val="restart"/>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31 December</w:t>
                </w:r>
              </w:p>
            </w:tc>
          </w:tr>
          <w:tr w:rsidR="0064628A">
            <w:trPr>
              <w:trHeight w:val="195"/>
            </w:trPr>
            <w:tc>
              <w:tcPr>
                <w:tcW w:w="0" w:type="auto"/>
                <w:vMerge/>
                <w:tcMar>
                  <w:top w:w="0" w:type="dxa"/>
                  <w:bottom w:w="0" w:type="dxa"/>
                </w:tcMar>
                <w:vAlign w:val="center"/>
                <w:hideMark/>
              </w:tcPr>
              <w:p w:rsidR="0064628A" w:rsidRDefault="0064628A">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2019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2018</w:t>
                </w:r>
              </w:p>
            </w:tc>
          </w:tr>
          <w:tr w:rsidR="0064628A">
            <w:trPr>
              <w:trHeight w:val="195"/>
            </w:trPr>
            <w:tc>
              <w:tcPr>
                <w:tcW w:w="79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3366"/>
                    <w:szCs w:val="16"/>
                  </w:rPr>
                </w:pPr>
                <w:r>
                  <w:rPr>
                    <w:rFonts w:eastAsia="Arial" w:cs="Arial"/>
                    <w:b/>
                    <w:bCs/>
                    <w:color w:val="003366"/>
                    <w:szCs w:val="16"/>
                  </w:rPr>
                  <w:t>£m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7935" w:type="dxa"/>
                <w:tcBorders>
                  <w:top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Operating activities</w:t>
                </w: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 w:val="20"/>
                    <w:szCs w:val="20"/>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 w:val="20"/>
                    <w:szCs w:val="20"/>
                  </w:rPr>
                </w:pPr>
              </w:p>
            </w:tc>
          </w:tr>
          <w:tr w:rsidR="0064628A">
            <w:trPr>
              <w:trHeight w:val="195"/>
            </w:trPr>
            <w:tc>
              <w:tcPr>
                <w:tcW w:w="79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profit before tax</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4,232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3,359</w:t>
                </w:r>
              </w:p>
            </w:tc>
          </w:tr>
          <w:tr w:rsidR="0064628A">
            <w:trPr>
              <w:trHeight w:val="195"/>
            </w:trPr>
            <w:tc>
              <w:tcPr>
                <w:tcW w:w="793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Adjustments for non-cash items </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3,282</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1,937</w:t>
                </w:r>
              </w:p>
            </w:tc>
          </w:tr>
          <w:tr w:rsidR="0064628A">
            <w:trPr>
              <w:trHeight w:val="105"/>
            </w:trPr>
            <w:tc>
              <w:tcPr>
                <w:tcW w:w="79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79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Net cash outflow from trading activities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7,514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5,296</w:t>
                </w:r>
              </w:p>
            </w:tc>
          </w:tr>
          <w:tr w:rsidR="0064628A">
            <w:trPr>
              <w:trHeight w:val="195"/>
            </w:trPr>
            <w:tc>
              <w:tcPr>
                <w:tcW w:w="79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Changes in operating assets and liabilities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(10,929)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(11,537)</w:t>
                </w:r>
              </w:p>
            </w:tc>
          </w:tr>
          <w:tr w:rsidR="0064628A">
            <w:trPr>
              <w:trHeight w:val="105"/>
            </w:trPr>
            <w:tc>
              <w:tcPr>
                <w:tcW w:w="7935"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79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Net cash flows from operating activities before tax</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(3,415)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(6,241)</w:t>
                </w:r>
              </w:p>
            </w:tc>
          </w:tr>
          <w:tr w:rsidR="0064628A">
            <w:trPr>
              <w:trHeight w:val="195"/>
            </w:trPr>
            <w:tc>
              <w:tcPr>
                <w:tcW w:w="793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Income taxes paid</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(278)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(466)</w:t>
                </w:r>
              </w:p>
            </w:tc>
          </w:tr>
          <w:tr w:rsidR="0064628A">
            <w:trPr>
              <w:trHeight w:val="105"/>
            </w:trPr>
            <w:tc>
              <w:tcPr>
                <w:tcW w:w="79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79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Net cash flows from operating activities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(3,693)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(6,707)</w:t>
                </w:r>
              </w:p>
            </w:tc>
          </w:tr>
          <w:tr w:rsidR="0064628A">
            <w:trPr>
              <w:trHeight w:val="105"/>
            </w:trPr>
            <w:tc>
              <w:tcPr>
                <w:tcW w:w="79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79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Net cash flows from investing activities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(716)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(7,994)</w:t>
                </w:r>
              </w:p>
            </w:tc>
          </w:tr>
          <w:tr w:rsidR="0064628A">
            <w:trPr>
              <w:trHeight w:val="105"/>
            </w:trPr>
            <w:tc>
              <w:tcPr>
                <w:tcW w:w="79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79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Style w:val="font3"/>
                  </w:rPr>
                  <w:t>Net cash flows from financing activities</w:t>
                </w:r>
                <w:r>
                  <w:rPr>
                    <w:rStyle w:val="font70"/>
                  </w:rPr>
                  <w:t> (1)</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(1,956)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356</w:t>
                </w:r>
              </w:p>
            </w:tc>
          </w:tr>
          <w:tr w:rsidR="0064628A">
            <w:trPr>
              <w:trHeight w:val="105"/>
            </w:trPr>
            <w:tc>
              <w:tcPr>
                <w:tcW w:w="79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79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Effects of exchange rate changes on cash and cash equivalents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(1,983)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676</w:t>
                </w:r>
              </w:p>
            </w:tc>
          </w:tr>
          <w:tr w:rsidR="0064628A">
            <w:trPr>
              <w:trHeight w:val="105"/>
            </w:trPr>
            <w:tc>
              <w:tcPr>
                <w:tcW w:w="7935"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79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Net decrease in cash and cash equivalents</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(8,348)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(13,669)</w:t>
                </w:r>
              </w:p>
            </w:tc>
          </w:tr>
          <w:tr w:rsidR="0064628A">
            <w:trPr>
              <w:trHeight w:val="195"/>
            </w:trPr>
            <w:tc>
              <w:tcPr>
                <w:tcW w:w="793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Cash and cash equivalents at beginning of year</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108,936</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122,605</w:t>
                </w:r>
              </w:p>
            </w:tc>
          </w:tr>
          <w:tr w:rsidR="0064628A">
            <w:trPr>
              <w:trHeight w:val="105"/>
            </w:trPr>
            <w:tc>
              <w:tcPr>
                <w:tcW w:w="7935"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110" w:type="dxa"/>
                <w:tcBorders>
                  <w:top w:val="single" w:sz="6" w:space="0" w:color="003366"/>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110" w:type="dxa"/>
                <w:tcBorders>
                  <w:top w:val="single" w:sz="6" w:space="0" w:color="003366"/>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7935"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3366"/>
                    <w:szCs w:val="16"/>
                  </w:rPr>
                </w:pPr>
                <w:r>
                  <w:rPr>
                    <w:rFonts w:eastAsia="Arial" w:cs="Arial"/>
                    <w:b/>
                    <w:bCs/>
                    <w:color w:val="003366"/>
                    <w:szCs w:val="16"/>
                  </w:rPr>
                  <w:t>Cash and cash equivalents at end of year</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100,588</w:t>
                </w:r>
              </w:p>
            </w:tc>
            <w:tc>
              <w:tcPr>
                <w:tcW w:w="1110" w:type="dxa"/>
                <w:tcBorders>
                  <w:bottom w:val="single" w:sz="6" w:space="0" w:color="003366"/>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108,936</w:t>
                </w:r>
              </w:p>
            </w:tc>
          </w:tr>
        </w:tbl>
      </w:sdtContent>
    </w:sdt>
    <w:p w:rsidR="00075540" w:rsidRDefault="00075540">
      <w:pPr>
        <w:spacing w:after="200"/>
      </w:pPr>
    </w:p>
    <w:p w:rsidR="00075540" w:rsidRPr="00FC7896" w:rsidRDefault="00FC1FDC" w:rsidP="00075540">
      <w:pPr>
        <w:pStyle w:val="Normal1"/>
        <w:keepNext/>
        <w:spacing w:line="288" w:lineRule="auto"/>
        <w:outlineLvl w:val="0"/>
        <w:rPr>
          <w:rFonts w:ascii="Arial" w:hAnsi="Arial" w:cs="Arial"/>
          <w:sz w:val="14"/>
          <w:szCs w:val="14"/>
        </w:rPr>
      </w:pPr>
      <w:r w:rsidRPr="00FC7896">
        <w:rPr>
          <w:rFonts w:ascii="Arial" w:hAnsi="Arial" w:cs="Arial"/>
          <w:sz w:val="14"/>
          <w:szCs w:val="14"/>
        </w:rPr>
        <w:t>Note:</w:t>
      </w:r>
    </w:p>
    <w:tbl>
      <w:tblPr>
        <w:tblW w:w="10206" w:type="dxa"/>
        <w:tblLayout w:type="fixed"/>
        <w:tblLook w:val="0000" w:firstRow="0" w:lastRow="0" w:firstColumn="0" w:lastColumn="0" w:noHBand="0" w:noVBand="0"/>
      </w:tblPr>
      <w:tblGrid>
        <w:gridCol w:w="284"/>
        <w:gridCol w:w="9922"/>
      </w:tblGrid>
      <w:tr w:rsidR="0064628A" w:rsidTr="00075540">
        <w:trPr>
          <w:trHeight w:val="283"/>
        </w:trPr>
        <w:tc>
          <w:tcPr>
            <w:tcW w:w="284" w:type="dxa"/>
            <w:tcMar>
              <w:left w:w="0" w:type="dxa"/>
              <w:right w:w="0" w:type="dxa"/>
            </w:tcMar>
          </w:tcPr>
          <w:p w:rsidR="00075540" w:rsidRPr="009A38D1" w:rsidRDefault="00FC1FDC" w:rsidP="001F584A">
            <w:pPr>
              <w:pStyle w:val="Normal1"/>
              <w:keepNext/>
              <w:outlineLvl w:val="0"/>
              <w:rPr>
                <w:rFonts w:ascii="Arial" w:hAnsi="Arial" w:cs="Arial"/>
                <w:sz w:val="14"/>
                <w:szCs w:val="14"/>
              </w:rPr>
            </w:pPr>
            <w:r w:rsidRPr="009A38D1">
              <w:rPr>
                <w:rFonts w:ascii="Arial" w:hAnsi="Arial" w:cs="Arial"/>
                <w:sz w:val="14"/>
                <w:szCs w:val="14"/>
              </w:rPr>
              <w:t>(1)</w:t>
            </w:r>
          </w:p>
        </w:tc>
        <w:tc>
          <w:tcPr>
            <w:tcW w:w="9922" w:type="dxa"/>
            <w:tcMar>
              <w:left w:w="0" w:type="dxa"/>
              <w:right w:w="0" w:type="dxa"/>
            </w:tcMar>
          </w:tcPr>
          <w:p w:rsidR="00075540" w:rsidRPr="009A38D1" w:rsidRDefault="00FC1FDC" w:rsidP="00075540">
            <w:pPr>
              <w:autoSpaceDE w:val="0"/>
              <w:autoSpaceDN w:val="0"/>
              <w:spacing w:line="240" w:lineRule="auto"/>
              <w:rPr>
                <w:rFonts w:cs="Arial"/>
                <w:sz w:val="14"/>
                <w:szCs w:val="14"/>
              </w:rPr>
            </w:pPr>
            <w:r>
              <w:rPr>
                <w:rFonts w:cs="Arial"/>
                <w:color w:val="000000"/>
                <w:sz w:val="14"/>
                <w:szCs w:val="14"/>
              </w:rPr>
              <w:t>2</w:t>
            </w:r>
            <w:r w:rsidRPr="009A38D1">
              <w:rPr>
                <w:rFonts w:cs="Arial"/>
                <w:color w:val="000000"/>
                <w:sz w:val="14"/>
                <w:szCs w:val="14"/>
              </w:rPr>
              <w:t>018 has been re-presented to align the</w:t>
            </w:r>
            <w:r>
              <w:rPr>
                <w:rFonts w:cs="Arial"/>
                <w:color w:val="000000"/>
                <w:sz w:val="14"/>
                <w:szCs w:val="14"/>
              </w:rPr>
              <w:t xml:space="preserve"> balance sheet classification. </w:t>
            </w:r>
            <w:r w:rsidRPr="009A38D1">
              <w:rPr>
                <w:rFonts w:cs="Arial"/>
                <w:color w:val="000000"/>
                <w:sz w:val="14"/>
                <w:szCs w:val="14"/>
              </w:rPr>
              <w:t>MREL was previously presented in Operating activities and is now presented in Financing activities.</w:t>
            </w:r>
          </w:p>
        </w:tc>
      </w:tr>
    </w:tbl>
    <w:p w:rsidR="00075540" w:rsidRDefault="00075540">
      <w:pPr>
        <w:spacing w:after="200"/>
      </w:pPr>
    </w:p>
    <w:p w:rsidR="00142AE0" w:rsidRDefault="00FC1FDC">
      <w:pPr>
        <w:spacing w:after="200"/>
      </w:pPr>
      <w:r>
        <w:br w:type="page"/>
      </w:r>
    </w:p>
    <w:p w:rsidR="000D6EFC" w:rsidRPr="00527F23" w:rsidRDefault="000D6EFC" w:rsidP="00527F23">
      <w:pPr>
        <w:sectPr w:rsidR="000D6EFC" w:rsidRPr="00527F23" w:rsidSect="00527F23">
          <w:footerReference w:type="default" r:id="rId70"/>
          <w:pgSz w:w="11906" w:h="16838"/>
          <w:pgMar w:top="1134" w:right="851" w:bottom="680" w:left="851" w:header="708" w:footer="708" w:gutter="0"/>
          <w:cols w:space="708"/>
          <w:docGrid w:linePitch="360"/>
        </w:sectPr>
      </w:pPr>
    </w:p>
    <w:p w:rsidR="004B560B" w:rsidRPr="0047456E" w:rsidRDefault="00FC1FDC" w:rsidP="00155BB8">
      <w:pPr>
        <w:pStyle w:val="GCAHeaderUnderline"/>
        <w:pBdr>
          <w:bottom w:val="none" w:sz="0" w:space="0" w:color="auto"/>
        </w:pBdr>
        <w:tabs>
          <w:tab w:val="left" w:pos="1440"/>
        </w:tabs>
        <w:outlineLvl w:val="0"/>
        <w:rPr>
          <w:color w:val="0A2F64"/>
          <w:sz w:val="17"/>
          <w:szCs w:val="17"/>
        </w:rPr>
      </w:pPr>
      <w:r w:rsidRPr="0047456E">
        <w:rPr>
          <w:sz w:val="17"/>
          <w:szCs w:val="17"/>
        </w:rPr>
        <w:t>Notes</w:t>
      </w:r>
    </w:p>
    <w:p w:rsidR="004B560B" w:rsidRPr="0047456E" w:rsidRDefault="00FC1FDC" w:rsidP="008530B2">
      <w:pPr>
        <w:pStyle w:val="Normal1"/>
        <w:spacing w:line="259" w:lineRule="auto"/>
        <w:rPr>
          <w:rFonts w:ascii="Arial" w:hAnsi="Arial" w:cs="Arial"/>
          <w:color w:val="0A2F64"/>
          <w:sz w:val="17"/>
          <w:szCs w:val="17"/>
        </w:rPr>
      </w:pPr>
      <w:bookmarkStart w:id="19" w:name="RBSGCA_note1"/>
      <w:r w:rsidRPr="0047456E">
        <w:rPr>
          <w:rFonts w:ascii="Arial" w:hAnsi="Arial" w:cs="Arial"/>
          <w:b/>
          <w:color w:val="0A2F64"/>
          <w:sz w:val="17"/>
          <w:szCs w:val="17"/>
        </w:rPr>
        <w:t xml:space="preserve">1. Basis of preparation </w:t>
      </w:r>
    </w:p>
    <w:bookmarkEnd w:id="19"/>
    <w:p w:rsidR="004B560B" w:rsidRPr="0047456E" w:rsidRDefault="00FC1FDC" w:rsidP="008530B2">
      <w:pPr>
        <w:pStyle w:val="Normal1"/>
        <w:spacing w:line="259" w:lineRule="auto"/>
        <w:rPr>
          <w:rFonts w:ascii="Arial" w:eastAsia="SimSun" w:hAnsi="Arial" w:cs="Arial"/>
          <w:sz w:val="17"/>
          <w:szCs w:val="17"/>
        </w:rPr>
      </w:pPr>
      <w:r w:rsidRPr="0047456E">
        <w:rPr>
          <w:rFonts w:ascii="Arial" w:eastAsia="SimSun" w:hAnsi="Arial" w:cs="Arial"/>
          <w:sz w:val="17"/>
          <w:szCs w:val="17"/>
        </w:rPr>
        <w:t>The condensed consolidated financial statements should be read in conjunction with RBS’s 201</w:t>
      </w:r>
      <w:r w:rsidR="0043138C" w:rsidRPr="0047456E">
        <w:rPr>
          <w:rFonts w:ascii="Arial" w:eastAsia="SimSun" w:hAnsi="Arial" w:cs="Arial"/>
          <w:sz w:val="17"/>
          <w:szCs w:val="17"/>
        </w:rPr>
        <w:t>9</w:t>
      </w:r>
      <w:r w:rsidRPr="0047456E">
        <w:rPr>
          <w:rFonts w:ascii="Arial" w:eastAsia="SimSun" w:hAnsi="Arial" w:cs="Arial"/>
          <w:sz w:val="17"/>
          <w:szCs w:val="17"/>
        </w:rPr>
        <w:t xml:space="preserve"> Annual Report and Accounts which were prepared in accordance with International Financial Reporting Standards issued by the International Accounting Standards Board (IASB) and interpretations issued by the IFRS Interpretations Committee of the IASB as adopted by the European Union (EU) (together IFRS).</w:t>
      </w:r>
    </w:p>
    <w:p w:rsidR="0043138C" w:rsidRPr="0047456E" w:rsidRDefault="0043138C" w:rsidP="008530B2">
      <w:pPr>
        <w:pStyle w:val="Normal1"/>
        <w:spacing w:line="259" w:lineRule="auto"/>
        <w:rPr>
          <w:rFonts w:ascii="Arial" w:eastAsia="SimSun" w:hAnsi="Arial" w:cs="Arial"/>
          <w:sz w:val="12"/>
          <w:szCs w:val="17"/>
        </w:rPr>
      </w:pPr>
    </w:p>
    <w:p w:rsidR="0043138C" w:rsidRPr="0047456E" w:rsidRDefault="00FC1FDC" w:rsidP="008530B2">
      <w:pPr>
        <w:pStyle w:val="Normal1"/>
        <w:autoSpaceDE w:val="0"/>
        <w:autoSpaceDN w:val="0"/>
        <w:adjustRightInd w:val="0"/>
        <w:spacing w:line="259" w:lineRule="auto"/>
        <w:rPr>
          <w:rFonts w:ascii="Arial" w:hAnsi="Arial" w:cs="Arial"/>
          <w:color w:val="003365"/>
          <w:sz w:val="17"/>
          <w:szCs w:val="17"/>
        </w:rPr>
      </w:pPr>
      <w:r w:rsidRPr="0047456E">
        <w:rPr>
          <w:rFonts w:ascii="Arial" w:hAnsi="Arial" w:cs="Arial"/>
          <w:color w:val="003365"/>
          <w:sz w:val="17"/>
          <w:szCs w:val="17"/>
        </w:rPr>
        <w:t>Going concern</w:t>
      </w:r>
    </w:p>
    <w:p w:rsidR="0043138C" w:rsidRPr="0047456E" w:rsidRDefault="00FC1FDC" w:rsidP="008530B2">
      <w:pPr>
        <w:pStyle w:val="Normal1"/>
        <w:autoSpaceDE w:val="0"/>
        <w:autoSpaceDN w:val="0"/>
        <w:adjustRightInd w:val="0"/>
        <w:spacing w:line="259" w:lineRule="auto"/>
        <w:rPr>
          <w:rFonts w:ascii="Arial" w:hAnsi="Arial" w:cs="Arial"/>
          <w:color w:val="000000"/>
          <w:sz w:val="17"/>
          <w:szCs w:val="17"/>
        </w:rPr>
      </w:pPr>
      <w:r w:rsidRPr="0047456E">
        <w:rPr>
          <w:rFonts w:ascii="Arial" w:hAnsi="Arial" w:cs="Arial"/>
          <w:color w:val="000000"/>
          <w:sz w:val="17"/>
          <w:szCs w:val="17"/>
        </w:rPr>
        <w:t>Having reviewed RBS’s forecasts, projections and other relevant evidence, the directors have a reasonable expectation that RBS will continue in operational existence for the foreseeable future. Accordingly, the results for the period ended 31 December 2019 have been prepared on a going concern basis.</w:t>
      </w:r>
    </w:p>
    <w:p w:rsidR="0043138C" w:rsidRPr="0047456E" w:rsidRDefault="0043138C" w:rsidP="008530B2">
      <w:pPr>
        <w:pStyle w:val="Normal1"/>
        <w:autoSpaceDE w:val="0"/>
        <w:autoSpaceDN w:val="0"/>
        <w:adjustRightInd w:val="0"/>
        <w:spacing w:line="259" w:lineRule="auto"/>
        <w:rPr>
          <w:rFonts w:ascii="Arial" w:hAnsi="Arial" w:cs="Arial"/>
          <w:color w:val="003365"/>
          <w:sz w:val="12"/>
          <w:szCs w:val="17"/>
        </w:rPr>
      </w:pPr>
    </w:p>
    <w:p w:rsidR="0043138C" w:rsidRPr="0047456E" w:rsidRDefault="00FC1FDC" w:rsidP="008530B2">
      <w:pPr>
        <w:pStyle w:val="Normal1"/>
        <w:autoSpaceDE w:val="0"/>
        <w:autoSpaceDN w:val="0"/>
        <w:adjustRightInd w:val="0"/>
        <w:spacing w:line="259" w:lineRule="auto"/>
        <w:rPr>
          <w:rFonts w:ascii="Arial" w:hAnsi="Arial" w:cs="Arial"/>
          <w:color w:val="003365"/>
          <w:sz w:val="17"/>
          <w:szCs w:val="17"/>
        </w:rPr>
      </w:pPr>
      <w:r w:rsidRPr="0047456E">
        <w:rPr>
          <w:rFonts w:ascii="Arial" w:hAnsi="Arial" w:cs="Arial"/>
          <w:color w:val="003365"/>
          <w:sz w:val="17"/>
          <w:szCs w:val="17"/>
        </w:rPr>
        <w:t>Re-segmentation</w:t>
      </w:r>
    </w:p>
    <w:p w:rsidR="0043138C" w:rsidRPr="0047456E" w:rsidRDefault="00FC1FDC" w:rsidP="008530B2">
      <w:pPr>
        <w:pStyle w:val="Normal1"/>
        <w:autoSpaceDE w:val="0"/>
        <w:autoSpaceDN w:val="0"/>
        <w:adjustRightInd w:val="0"/>
        <w:spacing w:line="259" w:lineRule="auto"/>
        <w:rPr>
          <w:rFonts w:ascii="Arial" w:hAnsi="Arial" w:cs="Arial"/>
          <w:color w:val="000000"/>
          <w:sz w:val="17"/>
          <w:szCs w:val="17"/>
        </w:rPr>
      </w:pPr>
      <w:r w:rsidRPr="0047456E">
        <w:rPr>
          <w:rFonts w:ascii="Arial" w:hAnsi="Arial" w:cs="Arial"/>
          <w:color w:val="000000"/>
          <w:sz w:val="17"/>
          <w:szCs w:val="17"/>
        </w:rPr>
        <w:t>Effective from 1 January 2019, Business Banking was transferred from UK Personal &amp; Business Banking (UK PBB) to Commercial Banking as the nature of the business, including distribution channels, products and customers, are more closely aligned to the Commercial Banking business. Concurrent with the transfer, UK PBB was renamed UK Personal Banking and the previous franchise combining UK PBB (now UK Personal Banking) and Ulster Bank RoI was renamed Personal &amp; Ulster. Reportable segmental comparatives have been re-stated.</w:t>
      </w:r>
    </w:p>
    <w:p w:rsidR="0047456E" w:rsidRPr="0047456E" w:rsidRDefault="0047456E" w:rsidP="0047456E">
      <w:pPr>
        <w:pStyle w:val="Normal1"/>
        <w:autoSpaceDE w:val="0"/>
        <w:autoSpaceDN w:val="0"/>
        <w:spacing w:line="252" w:lineRule="auto"/>
        <w:rPr>
          <w:rFonts w:ascii="Arial" w:hAnsi="Arial" w:cs="Arial"/>
          <w:color w:val="003365"/>
          <w:sz w:val="12"/>
          <w:szCs w:val="17"/>
        </w:rPr>
      </w:pPr>
    </w:p>
    <w:p w:rsidR="0047456E" w:rsidRPr="0047456E" w:rsidRDefault="00FC1FDC" w:rsidP="0047456E">
      <w:pPr>
        <w:pStyle w:val="Normal1"/>
        <w:autoSpaceDE w:val="0"/>
        <w:autoSpaceDN w:val="0"/>
        <w:spacing w:line="252" w:lineRule="auto"/>
        <w:rPr>
          <w:rFonts w:ascii="Arial" w:hAnsi="Arial" w:cs="Arial"/>
          <w:color w:val="003365"/>
          <w:sz w:val="17"/>
          <w:szCs w:val="17"/>
        </w:rPr>
      </w:pPr>
      <w:r w:rsidRPr="0047456E">
        <w:rPr>
          <w:rFonts w:ascii="Arial" w:hAnsi="Arial" w:cs="Arial"/>
          <w:color w:val="003365"/>
          <w:sz w:val="17"/>
          <w:szCs w:val="17"/>
        </w:rPr>
        <w:t>Franchises</w:t>
      </w:r>
    </w:p>
    <w:p w:rsidR="0047456E" w:rsidRPr="0047456E" w:rsidRDefault="00FC1FDC" w:rsidP="0047456E">
      <w:pPr>
        <w:pStyle w:val="Normal1"/>
        <w:autoSpaceDE w:val="0"/>
        <w:autoSpaceDN w:val="0"/>
        <w:spacing w:line="252" w:lineRule="auto"/>
        <w:rPr>
          <w:rFonts w:ascii="Arial" w:hAnsi="Arial" w:cs="Arial"/>
          <w:sz w:val="17"/>
          <w:szCs w:val="17"/>
          <w:lang w:eastAsia="en-GB"/>
        </w:rPr>
      </w:pPr>
      <w:r w:rsidRPr="0047456E">
        <w:rPr>
          <w:rFonts w:ascii="Arial" w:hAnsi="Arial" w:cs="Arial"/>
          <w:sz w:val="17"/>
          <w:szCs w:val="17"/>
        </w:rPr>
        <w:t>RBS continues to deliver on its plan to build a strong, simple and fair bank for both customers and shareholders. To help develop and deliver this strategy, in the fourth quarter of 2019, Commercial &amp; Private Banking (CPB), combining the reportable segments of Commercial Banking and Private Banking ceased to operate as one business area and the franchise Personal &amp; Ulster, combining the reportable segments of UK Personal Banking and Ulster Bank RoI was also disbanded. The reportable operating segments remain unchanged and no comparatives have been restated.</w:t>
      </w:r>
    </w:p>
    <w:p w:rsidR="00E13D45" w:rsidRPr="0047456E" w:rsidRDefault="00E13D45" w:rsidP="00E13D45">
      <w:pPr>
        <w:pStyle w:val="Normal1"/>
        <w:autoSpaceDE w:val="0"/>
        <w:autoSpaceDN w:val="0"/>
        <w:adjustRightInd w:val="0"/>
        <w:spacing w:line="259" w:lineRule="auto"/>
        <w:rPr>
          <w:rFonts w:ascii="Arial" w:hAnsi="Arial" w:cs="Arial"/>
          <w:color w:val="000000"/>
          <w:sz w:val="12"/>
          <w:szCs w:val="17"/>
        </w:rPr>
      </w:pPr>
    </w:p>
    <w:p w:rsidR="0043138C" w:rsidRPr="0047456E" w:rsidRDefault="00FC1FDC" w:rsidP="008530B2">
      <w:pPr>
        <w:pStyle w:val="Normal1"/>
        <w:spacing w:line="259" w:lineRule="auto"/>
        <w:jc w:val="both"/>
        <w:rPr>
          <w:rFonts w:ascii="Arial" w:eastAsia="SimSun" w:hAnsi="Arial"/>
          <w:b/>
          <w:color w:val="0A2F64"/>
          <w:sz w:val="17"/>
          <w:szCs w:val="17"/>
        </w:rPr>
      </w:pPr>
      <w:r w:rsidRPr="0047456E">
        <w:rPr>
          <w:rFonts w:ascii="Arial" w:eastAsia="SimSun" w:hAnsi="Arial"/>
          <w:b/>
          <w:color w:val="0A2F64"/>
          <w:sz w:val="17"/>
          <w:szCs w:val="17"/>
        </w:rPr>
        <w:t xml:space="preserve">2. </w:t>
      </w:r>
      <w:r w:rsidR="00B63C8D" w:rsidRPr="0047456E">
        <w:rPr>
          <w:rFonts w:ascii="Arial" w:eastAsia="SimSun" w:hAnsi="Arial"/>
          <w:b/>
          <w:color w:val="0A2F64"/>
          <w:sz w:val="17"/>
          <w:szCs w:val="17"/>
        </w:rPr>
        <w:t>Accounting policies</w:t>
      </w:r>
    </w:p>
    <w:p w:rsidR="0043138C" w:rsidRPr="0047456E" w:rsidRDefault="00FC1FDC" w:rsidP="008530B2">
      <w:pPr>
        <w:pStyle w:val="Normal1"/>
        <w:spacing w:line="259" w:lineRule="auto"/>
        <w:rPr>
          <w:rFonts w:ascii="Arial" w:eastAsia="SimSun" w:hAnsi="Arial"/>
          <w:sz w:val="17"/>
          <w:szCs w:val="17"/>
        </w:rPr>
      </w:pPr>
      <w:r w:rsidRPr="0047456E">
        <w:rPr>
          <w:rFonts w:ascii="Arial" w:eastAsia="SimSun" w:hAnsi="Arial"/>
          <w:sz w:val="17"/>
          <w:szCs w:val="17"/>
        </w:rPr>
        <w:t xml:space="preserve">RBS’s principal accounting policies are as set out on pages </w:t>
      </w:r>
      <w:r>
        <w:rPr>
          <w:rFonts w:ascii="Arial" w:eastAsia="SimSun" w:hAnsi="Arial"/>
          <w:sz w:val="17"/>
          <w:szCs w:val="17"/>
        </w:rPr>
        <w:t>208</w:t>
      </w:r>
      <w:r w:rsidRPr="0047456E">
        <w:rPr>
          <w:rFonts w:ascii="Arial" w:eastAsia="SimSun" w:hAnsi="Arial"/>
          <w:sz w:val="17"/>
          <w:szCs w:val="17"/>
        </w:rPr>
        <w:t xml:space="preserve"> to 21</w:t>
      </w:r>
      <w:r>
        <w:rPr>
          <w:rFonts w:ascii="Arial" w:eastAsia="SimSun" w:hAnsi="Arial"/>
          <w:sz w:val="17"/>
          <w:szCs w:val="17"/>
        </w:rPr>
        <w:t>2</w:t>
      </w:r>
      <w:r w:rsidRPr="0047456E">
        <w:rPr>
          <w:rFonts w:ascii="Arial" w:eastAsia="SimSun" w:hAnsi="Arial"/>
          <w:sz w:val="17"/>
          <w:szCs w:val="17"/>
        </w:rPr>
        <w:t xml:space="preserve"> of the 2019 Annual Report and Accounts. From 1 January 2019, the accounting policies have been updated </w:t>
      </w:r>
      <w:r w:rsidR="00582812" w:rsidRPr="0047456E">
        <w:rPr>
          <w:rFonts w:ascii="Arial" w:eastAsia="SimSun" w:hAnsi="Arial"/>
          <w:sz w:val="17"/>
          <w:szCs w:val="17"/>
        </w:rPr>
        <w:t xml:space="preserve">to reflect the adoption of the below. </w:t>
      </w:r>
    </w:p>
    <w:p w:rsidR="00DB5494" w:rsidRPr="0047456E" w:rsidRDefault="00DB5494" w:rsidP="008530B2">
      <w:pPr>
        <w:pStyle w:val="Normal1"/>
        <w:spacing w:line="259" w:lineRule="auto"/>
        <w:rPr>
          <w:rFonts w:ascii="Arial" w:eastAsia="SimSun" w:hAnsi="Arial"/>
          <w:sz w:val="12"/>
          <w:szCs w:val="17"/>
        </w:rPr>
      </w:pPr>
    </w:p>
    <w:p w:rsidR="00DB5494" w:rsidRPr="0047456E" w:rsidRDefault="00FC1FDC" w:rsidP="00DB5494">
      <w:pPr>
        <w:pStyle w:val="Normal1"/>
        <w:autoSpaceDE w:val="0"/>
        <w:autoSpaceDN w:val="0"/>
        <w:adjustRightInd w:val="0"/>
        <w:spacing w:line="259" w:lineRule="auto"/>
        <w:rPr>
          <w:rFonts w:ascii="Arial" w:eastAsia="SimSun" w:hAnsi="Arial" w:cs="Arial"/>
          <w:color w:val="003366"/>
          <w:sz w:val="17"/>
          <w:szCs w:val="17"/>
          <w:lang w:eastAsia="zh-CN"/>
        </w:rPr>
      </w:pPr>
      <w:r w:rsidRPr="0047456E">
        <w:rPr>
          <w:rFonts w:ascii="Arial" w:eastAsia="SimSun" w:hAnsi="Arial" w:cs="Arial"/>
          <w:color w:val="003366"/>
          <w:sz w:val="17"/>
          <w:szCs w:val="17"/>
          <w:lang w:eastAsia="zh-CN"/>
        </w:rPr>
        <w:t>Adoption of new accounting standard - Leases</w:t>
      </w:r>
    </w:p>
    <w:p w:rsidR="00DB5494" w:rsidRPr="0047456E" w:rsidRDefault="00FC1FDC" w:rsidP="00DB5494">
      <w:pPr>
        <w:pStyle w:val="Normal00"/>
        <w:autoSpaceDE w:val="0"/>
        <w:autoSpaceDN w:val="0"/>
        <w:spacing w:line="259" w:lineRule="auto"/>
        <w:rPr>
          <w:rFonts w:ascii="Arial" w:hAnsi="Arial" w:cs="Arial"/>
          <w:sz w:val="17"/>
          <w:szCs w:val="17"/>
        </w:rPr>
      </w:pPr>
      <w:r w:rsidRPr="0047456E">
        <w:rPr>
          <w:rFonts w:ascii="Arial" w:eastAsia="SimSun" w:hAnsi="Arial" w:cs="Arial"/>
          <w:sz w:val="17"/>
          <w:szCs w:val="17"/>
        </w:rPr>
        <w:t xml:space="preserve">RBS has adopted IFRS 16 ‘Leases’ with effect from 1 January 2019, replacing IAS 17 ‘Leases’. RBS has applied IFRS 16 on a modified retrospective basis without restating prior years. </w:t>
      </w:r>
      <w:r w:rsidRPr="0047456E">
        <w:rPr>
          <w:rFonts w:ascii="Arial" w:hAnsi="Arial" w:cs="Arial"/>
          <w:sz w:val="17"/>
          <w:szCs w:val="17"/>
        </w:rPr>
        <w:t xml:space="preserve">For further details, see Accounting policy 9 and Note 22 of </w:t>
      </w:r>
      <w:r w:rsidRPr="0047456E">
        <w:rPr>
          <w:rFonts w:ascii="Arial" w:eastAsia="SimSun" w:hAnsi="Arial" w:cs="Arial"/>
          <w:sz w:val="17"/>
          <w:szCs w:val="17"/>
        </w:rPr>
        <w:t>RBS’s 2019 Annual Report and Accounts.</w:t>
      </w:r>
    </w:p>
    <w:p w:rsidR="0043138C" w:rsidRPr="0047456E" w:rsidRDefault="0043138C" w:rsidP="008530B2">
      <w:pPr>
        <w:pStyle w:val="Normal1"/>
        <w:autoSpaceDE w:val="0"/>
        <w:autoSpaceDN w:val="0"/>
        <w:adjustRightInd w:val="0"/>
        <w:spacing w:line="259" w:lineRule="auto"/>
        <w:rPr>
          <w:rFonts w:ascii="Arial" w:eastAsia="SimSun" w:hAnsi="Arial" w:cs="Arial"/>
          <w:sz w:val="12"/>
          <w:szCs w:val="17"/>
          <w:lang w:eastAsia="zh-CN"/>
        </w:rPr>
      </w:pPr>
    </w:p>
    <w:p w:rsidR="0043138C" w:rsidRPr="0047456E" w:rsidRDefault="00FC1FDC" w:rsidP="008530B2">
      <w:pPr>
        <w:pStyle w:val="Normal1"/>
        <w:autoSpaceDE w:val="0"/>
        <w:autoSpaceDN w:val="0"/>
        <w:adjustRightInd w:val="0"/>
        <w:spacing w:line="259" w:lineRule="auto"/>
        <w:rPr>
          <w:rFonts w:ascii="Arial" w:eastAsia="SimSun" w:hAnsi="Arial" w:cs="Arial"/>
          <w:color w:val="003366"/>
          <w:sz w:val="17"/>
          <w:szCs w:val="17"/>
          <w:lang w:eastAsia="zh-CN"/>
        </w:rPr>
      </w:pPr>
      <w:r w:rsidRPr="0047456E">
        <w:rPr>
          <w:rFonts w:ascii="Arial" w:eastAsia="SimSun" w:hAnsi="Arial" w:cs="Arial"/>
          <w:color w:val="003366"/>
          <w:sz w:val="17"/>
          <w:szCs w:val="17"/>
          <w:lang w:eastAsia="zh-CN"/>
        </w:rPr>
        <w:t>Amendments to existing</w:t>
      </w:r>
      <w:r w:rsidR="00761A2C" w:rsidRPr="0047456E">
        <w:rPr>
          <w:rFonts w:ascii="Arial" w:eastAsia="SimSun" w:hAnsi="Arial" w:cs="Arial"/>
          <w:color w:val="003366"/>
          <w:sz w:val="17"/>
          <w:szCs w:val="17"/>
          <w:lang w:eastAsia="zh-CN"/>
        </w:rPr>
        <w:t xml:space="preserve"> </w:t>
      </w:r>
      <w:r w:rsidR="002C6C2A" w:rsidRPr="0047456E">
        <w:rPr>
          <w:rFonts w:ascii="Arial" w:eastAsia="SimSun" w:hAnsi="Arial" w:cs="Arial"/>
          <w:color w:val="003366"/>
          <w:sz w:val="17"/>
          <w:szCs w:val="17"/>
          <w:lang w:eastAsia="zh-CN"/>
        </w:rPr>
        <w:t>accounting</w:t>
      </w:r>
      <w:r w:rsidR="00761A2C" w:rsidRPr="0047456E">
        <w:rPr>
          <w:rFonts w:ascii="Arial" w:eastAsia="SimSun" w:hAnsi="Arial" w:cs="Arial"/>
          <w:color w:val="003366"/>
          <w:sz w:val="17"/>
          <w:szCs w:val="17"/>
          <w:lang w:eastAsia="zh-CN"/>
        </w:rPr>
        <w:t xml:space="preserve"> standards</w:t>
      </w:r>
    </w:p>
    <w:p w:rsidR="00DB5494" w:rsidRPr="0047456E" w:rsidRDefault="00FC1FDC" w:rsidP="00DB5494">
      <w:pPr>
        <w:pStyle w:val="Normal00"/>
        <w:autoSpaceDE w:val="0"/>
        <w:autoSpaceDN w:val="0"/>
        <w:spacing w:line="259" w:lineRule="auto"/>
        <w:rPr>
          <w:rFonts w:ascii="Arial" w:hAnsi="Arial" w:cs="Arial"/>
          <w:sz w:val="17"/>
          <w:szCs w:val="17"/>
        </w:rPr>
      </w:pPr>
      <w:r w:rsidRPr="0047456E">
        <w:rPr>
          <w:rFonts w:ascii="Arial" w:eastAsia="SimSun" w:hAnsi="Arial" w:cs="Arial"/>
          <w:sz w:val="17"/>
          <w:szCs w:val="17"/>
        </w:rPr>
        <w:t xml:space="preserve">IAS 12 ‘Income taxes’ was amended with effect from 1 January 2019. The income statement now includes any tax relief on the servicing cost of instruments classified as equity. </w:t>
      </w:r>
      <w:r w:rsidRPr="0047456E">
        <w:rPr>
          <w:rFonts w:ascii="Arial" w:hAnsi="Arial" w:cs="Arial"/>
          <w:sz w:val="17"/>
          <w:szCs w:val="17"/>
        </w:rPr>
        <w:t xml:space="preserve">For further details, see Note 7 of </w:t>
      </w:r>
      <w:r w:rsidRPr="0047456E">
        <w:rPr>
          <w:rFonts w:ascii="Arial" w:eastAsia="SimSun" w:hAnsi="Arial" w:cs="Arial"/>
          <w:sz w:val="17"/>
          <w:szCs w:val="17"/>
        </w:rPr>
        <w:t>RBS’s 2019 Annual Report and Accounts.</w:t>
      </w:r>
    </w:p>
    <w:p w:rsidR="00DB5494" w:rsidRPr="0047456E" w:rsidRDefault="00DB5494" w:rsidP="008530B2">
      <w:pPr>
        <w:pStyle w:val="Normal00"/>
        <w:autoSpaceDE w:val="0"/>
        <w:autoSpaceDN w:val="0"/>
        <w:spacing w:line="259" w:lineRule="auto"/>
        <w:rPr>
          <w:rFonts w:ascii="Arial" w:eastAsia="SimSun" w:hAnsi="Arial" w:cs="Arial"/>
          <w:sz w:val="12"/>
          <w:szCs w:val="17"/>
        </w:rPr>
      </w:pPr>
    </w:p>
    <w:p w:rsidR="00DB5494" w:rsidRPr="0047456E" w:rsidRDefault="00FC1FDC" w:rsidP="00761A2C">
      <w:pPr>
        <w:pStyle w:val="Normal1"/>
        <w:autoSpaceDE w:val="0"/>
        <w:autoSpaceDN w:val="0"/>
        <w:adjustRightInd w:val="0"/>
        <w:spacing w:line="259" w:lineRule="auto"/>
        <w:rPr>
          <w:rFonts w:cs="Arial"/>
          <w:sz w:val="17"/>
          <w:szCs w:val="17"/>
          <w:lang w:eastAsia="en-GB"/>
        </w:rPr>
      </w:pPr>
      <w:r w:rsidRPr="0047456E">
        <w:rPr>
          <w:rFonts w:ascii="Arial" w:eastAsia="SimSun" w:hAnsi="Arial" w:cs="Arial"/>
          <w:color w:val="003366"/>
          <w:sz w:val="17"/>
          <w:szCs w:val="17"/>
          <w:lang w:eastAsia="zh-CN"/>
        </w:rPr>
        <w:t>Revised accounting policy - Presentation of interest in recoveries</w:t>
      </w:r>
    </w:p>
    <w:p w:rsidR="00312770" w:rsidRPr="0047456E" w:rsidRDefault="00FC1FDC" w:rsidP="00312770">
      <w:pPr>
        <w:spacing w:line="259" w:lineRule="auto"/>
        <w:rPr>
          <w:rFonts w:eastAsia="SimSun" w:cs="Arial"/>
          <w:sz w:val="17"/>
          <w:szCs w:val="17"/>
          <w:lang w:eastAsia="zh-CN"/>
        </w:rPr>
      </w:pPr>
      <w:r w:rsidRPr="0047456E">
        <w:rPr>
          <w:rFonts w:eastAsia="SimSun" w:cs="Arial"/>
          <w:sz w:val="17"/>
          <w:szCs w:val="17"/>
          <w:lang w:eastAsia="zh-CN"/>
        </w:rPr>
        <w:t>In March 2019 the IFRS Interpretations Committee (IFRIC) issued an agenda decision on the presentation of unrecognised interest when a credit-impaired financial asset (commonly referred to as a ‘Stage 3’ financial asset) is subsequently paid in full or is no longer credit-impaired. This concluded that the difference arising from the additional interest recovered must be recognised as a reversal of impairment rather than within interest revenue. This affects both recognition and the reversal of the ECL allowance.</w:t>
      </w:r>
    </w:p>
    <w:p w:rsidR="00312770" w:rsidRPr="0047456E" w:rsidRDefault="00312770" w:rsidP="00312770">
      <w:pPr>
        <w:spacing w:line="259" w:lineRule="auto"/>
        <w:rPr>
          <w:rFonts w:eastAsia="SimSun" w:cs="Arial"/>
          <w:sz w:val="12"/>
          <w:szCs w:val="17"/>
          <w:lang w:eastAsia="zh-CN"/>
        </w:rPr>
      </w:pPr>
    </w:p>
    <w:p w:rsidR="00312770" w:rsidRPr="0047456E" w:rsidRDefault="00FC1FDC" w:rsidP="00312770">
      <w:pPr>
        <w:spacing w:line="259" w:lineRule="auto"/>
        <w:rPr>
          <w:rFonts w:eastAsia="SimSun" w:cs="Arial"/>
          <w:sz w:val="17"/>
          <w:szCs w:val="17"/>
          <w:lang w:eastAsia="zh-CN"/>
        </w:rPr>
      </w:pPr>
      <w:r w:rsidRPr="0047456E">
        <w:rPr>
          <w:rFonts w:eastAsia="SimSun" w:cs="Arial"/>
          <w:sz w:val="17"/>
          <w:szCs w:val="17"/>
          <w:lang w:eastAsia="zh-CN"/>
        </w:rPr>
        <w:t xml:space="preserve">RBS Group changed its accounting policy in line with the IFRIC decision. Hence, the gross carrying amount of the financial assets within the scope of the provisions of the decision, as well as the associated ECL allowance on the statement of financial position, have been adjusted by £460 million and the comparative period restated by £455 million with no effect on equity. The coverage ratio for the current and comparative periods have been adjusted and restated accordingly. </w:t>
      </w:r>
    </w:p>
    <w:p w:rsidR="00312770" w:rsidRPr="0047456E" w:rsidRDefault="00312770" w:rsidP="00312770">
      <w:pPr>
        <w:spacing w:line="259" w:lineRule="auto"/>
        <w:rPr>
          <w:rFonts w:eastAsia="SimSun" w:cs="Arial"/>
          <w:sz w:val="12"/>
          <w:szCs w:val="17"/>
          <w:lang w:eastAsia="zh-CN"/>
        </w:rPr>
      </w:pPr>
    </w:p>
    <w:p w:rsidR="00312770" w:rsidRPr="0047456E" w:rsidRDefault="00FC1FDC" w:rsidP="00312770">
      <w:pPr>
        <w:rPr>
          <w:rFonts w:eastAsia="SimSun" w:cs="Arial"/>
          <w:sz w:val="17"/>
          <w:szCs w:val="17"/>
          <w:lang w:eastAsia="zh-CN"/>
        </w:rPr>
      </w:pPr>
      <w:r w:rsidRPr="0047456E">
        <w:rPr>
          <w:rFonts w:eastAsia="SimSun" w:cs="Arial"/>
          <w:sz w:val="17"/>
          <w:szCs w:val="17"/>
          <w:lang w:eastAsia="zh-CN"/>
        </w:rPr>
        <w:t>In addition, until 1 January 2019, interest in suspense recoveries were presented as a component of interest receivable within Net interest income. From 1 January 2019 interest in suspense recoveries are presented within Impairment losses. It amounted to £64 million for the year ended 31 December 2019. Comparatives have not been rested on the grounds of materiality.</w:t>
      </w:r>
    </w:p>
    <w:p w:rsidR="00761A2C" w:rsidRPr="0047456E" w:rsidRDefault="00761A2C" w:rsidP="00DB5494">
      <w:pPr>
        <w:pStyle w:val="Normal00"/>
        <w:autoSpaceDE w:val="0"/>
        <w:autoSpaceDN w:val="0"/>
        <w:spacing w:line="259" w:lineRule="auto"/>
        <w:rPr>
          <w:rFonts w:ascii="Arial" w:eastAsia="SimSun" w:hAnsi="Arial" w:cs="Arial"/>
          <w:sz w:val="12"/>
          <w:szCs w:val="17"/>
        </w:rPr>
      </w:pPr>
    </w:p>
    <w:p w:rsidR="00DB5494" w:rsidRPr="0047456E" w:rsidRDefault="00FC1FDC" w:rsidP="00DB5494">
      <w:pPr>
        <w:pStyle w:val="Normal00"/>
        <w:autoSpaceDE w:val="0"/>
        <w:autoSpaceDN w:val="0"/>
        <w:spacing w:line="259" w:lineRule="auto"/>
        <w:rPr>
          <w:rFonts w:ascii="Arial" w:eastAsia="SimSun" w:hAnsi="Arial" w:cs="Arial"/>
          <w:sz w:val="17"/>
          <w:szCs w:val="17"/>
        </w:rPr>
      </w:pPr>
      <w:r w:rsidRPr="0047456E">
        <w:rPr>
          <w:rFonts w:ascii="Arial" w:eastAsia="SimSun" w:hAnsi="Arial" w:cs="Arial"/>
          <w:sz w:val="17"/>
          <w:szCs w:val="17"/>
        </w:rPr>
        <w:t>For further details see Accounting policies of RBS’s 2019 Annual Report and Accounts.</w:t>
      </w:r>
    </w:p>
    <w:p w:rsidR="0043138C" w:rsidRPr="0047456E" w:rsidRDefault="0043138C" w:rsidP="008530B2">
      <w:pPr>
        <w:pStyle w:val="Normal1"/>
        <w:spacing w:line="259" w:lineRule="auto"/>
        <w:jc w:val="both"/>
        <w:rPr>
          <w:rFonts w:ascii="Arial" w:eastAsia="SimSun" w:hAnsi="Arial"/>
          <w:color w:val="003366"/>
          <w:sz w:val="12"/>
          <w:szCs w:val="17"/>
        </w:rPr>
      </w:pPr>
    </w:p>
    <w:p w:rsidR="00312770" w:rsidRPr="0047456E" w:rsidRDefault="00FC1FDC" w:rsidP="00312770">
      <w:pPr>
        <w:spacing w:line="259" w:lineRule="auto"/>
        <w:rPr>
          <w:rFonts w:eastAsia="Times New Roman" w:cs="Arial"/>
          <w:sz w:val="17"/>
          <w:szCs w:val="17"/>
          <w:lang w:eastAsia="en-GB"/>
        </w:rPr>
      </w:pPr>
      <w:r w:rsidRPr="0047456E">
        <w:rPr>
          <w:rFonts w:eastAsia="SimSun" w:cs="Arial"/>
          <w:bCs/>
          <w:color w:val="003366"/>
          <w:sz w:val="17"/>
          <w:szCs w:val="17"/>
          <w:lang w:eastAsia="zh-CN"/>
        </w:rPr>
        <w:t>IAS 39 ‘Financial Instruments: Recognition and Measurement’, IFRS 9 ‘Financial Instruments’ and IFRS 7 ‘Financial Instruments: Disclosures’</w:t>
      </w:r>
      <w:r w:rsidRPr="0047456E">
        <w:rPr>
          <w:rFonts w:cs="Arial"/>
          <w:color w:val="003366"/>
          <w:sz w:val="17"/>
          <w:szCs w:val="17"/>
        </w:rPr>
        <w:t xml:space="preserve"> - </w:t>
      </w:r>
      <w:r w:rsidRPr="0047456E">
        <w:rPr>
          <w:rFonts w:eastAsia="Times New Roman" w:cs="Arial"/>
          <w:sz w:val="17"/>
          <w:szCs w:val="17"/>
          <w:lang w:eastAsia="en-GB"/>
        </w:rPr>
        <w:t xml:space="preserve">In September 2019, the IASB published amendments to </w:t>
      </w:r>
      <w:r w:rsidRPr="0047456E">
        <w:rPr>
          <w:rFonts w:cs="Arial"/>
          <w:sz w:val="17"/>
          <w:szCs w:val="17"/>
        </w:rPr>
        <w:t>address the issues arising from the replacement of existing IBOR based interest rate benchmarks with alternative nearly risk-free interest rates (RFRs) in the context of hedge accounting. These amendments allow hedging relationships affected by the IBOR reform to be accounted for as continuing hedges. RBS has early adopted these amendments for the annual reporting period ending on 31 December 2019.</w:t>
      </w:r>
    </w:p>
    <w:p w:rsidR="00312770" w:rsidRPr="0047456E" w:rsidRDefault="00312770" w:rsidP="00312770">
      <w:pPr>
        <w:spacing w:line="259" w:lineRule="auto"/>
        <w:rPr>
          <w:rFonts w:cs="Arial"/>
          <w:sz w:val="12"/>
          <w:szCs w:val="17"/>
        </w:rPr>
      </w:pPr>
    </w:p>
    <w:p w:rsidR="00312770" w:rsidRPr="0047456E" w:rsidRDefault="00FC1FDC" w:rsidP="00312770">
      <w:pPr>
        <w:spacing w:line="259" w:lineRule="auto"/>
        <w:rPr>
          <w:rFonts w:cs="Arial"/>
          <w:sz w:val="17"/>
          <w:szCs w:val="17"/>
        </w:rPr>
      </w:pPr>
      <w:r w:rsidRPr="0047456E">
        <w:rPr>
          <w:rFonts w:cs="Arial"/>
          <w:sz w:val="17"/>
          <w:szCs w:val="17"/>
        </w:rPr>
        <w:t xml:space="preserve">The amendments provide relief on key areas of hedge accounting most notably the hedge effectiveness assessment and the ability to identify LIBOR-based cash flows for the purpose of designation (re-designation) during the period of the Reform. Additional disclosures are shown in note 10 of RBS’s 2019 Annual Report and Accounts. </w:t>
      </w:r>
    </w:p>
    <w:p w:rsidR="00312770" w:rsidRPr="0047456E" w:rsidRDefault="00312770" w:rsidP="008530B2">
      <w:pPr>
        <w:pStyle w:val="Normal1"/>
        <w:spacing w:line="259" w:lineRule="auto"/>
        <w:jc w:val="both"/>
        <w:rPr>
          <w:rFonts w:ascii="Arial" w:eastAsia="SimSun" w:hAnsi="Arial"/>
          <w:color w:val="003366"/>
          <w:sz w:val="12"/>
          <w:szCs w:val="17"/>
        </w:rPr>
      </w:pPr>
    </w:p>
    <w:p w:rsidR="0043138C" w:rsidRPr="0047456E" w:rsidRDefault="00FC1FDC" w:rsidP="008530B2">
      <w:pPr>
        <w:pStyle w:val="Normal1"/>
        <w:spacing w:line="259" w:lineRule="auto"/>
        <w:jc w:val="both"/>
        <w:rPr>
          <w:rFonts w:ascii="Arial" w:eastAsia="SimSun" w:hAnsi="Arial" w:cs="Arial"/>
          <w:color w:val="0A2F64"/>
          <w:sz w:val="17"/>
          <w:szCs w:val="17"/>
        </w:rPr>
      </w:pPr>
      <w:r w:rsidRPr="0047456E">
        <w:rPr>
          <w:rFonts w:ascii="Arial" w:eastAsia="SimSun" w:hAnsi="Arial"/>
          <w:color w:val="0A2F64"/>
          <w:sz w:val="17"/>
          <w:szCs w:val="17"/>
        </w:rPr>
        <w:t>Critical accounting policies and key sources of estimation uncertainty</w:t>
      </w:r>
    </w:p>
    <w:p w:rsidR="00FC23CD" w:rsidRPr="0047456E" w:rsidRDefault="00FC1FDC" w:rsidP="0047456E">
      <w:pPr>
        <w:pStyle w:val="Normal00"/>
        <w:autoSpaceDE w:val="0"/>
        <w:autoSpaceDN w:val="0"/>
        <w:spacing w:line="259" w:lineRule="auto"/>
        <w:rPr>
          <w:rFonts w:ascii="Arial" w:hAnsi="Arial" w:cs="Arial"/>
          <w:sz w:val="17"/>
          <w:szCs w:val="17"/>
        </w:rPr>
      </w:pPr>
      <w:r w:rsidRPr="0047456E">
        <w:rPr>
          <w:rFonts w:ascii="Arial" w:eastAsia="SimSun" w:hAnsi="Arial" w:cs="Arial"/>
          <w:sz w:val="17"/>
          <w:szCs w:val="17"/>
        </w:rPr>
        <w:t xml:space="preserve">The judgements and assumptions that are considered to be the most important to the portrayal of RBS’s financial condition are those relating to deferred tax, </w:t>
      </w:r>
      <w:r w:rsidR="002C6C2A" w:rsidRPr="0047456E">
        <w:rPr>
          <w:rFonts w:ascii="Arial" w:eastAsia="SimSun" w:hAnsi="Arial" w:cs="Arial"/>
          <w:sz w:val="17"/>
          <w:szCs w:val="17"/>
        </w:rPr>
        <w:t xml:space="preserve">fair value of financial instruments, </w:t>
      </w:r>
      <w:r w:rsidRPr="0047456E">
        <w:rPr>
          <w:rFonts w:ascii="Arial" w:eastAsia="SimSun" w:hAnsi="Arial" w:cs="Arial"/>
          <w:sz w:val="17"/>
          <w:szCs w:val="17"/>
        </w:rPr>
        <w:t>loan impairment provisions</w:t>
      </w:r>
      <w:r w:rsidR="002C6C2A" w:rsidRPr="0047456E">
        <w:rPr>
          <w:rFonts w:ascii="Arial" w:eastAsia="SimSun" w:hAnsi="Arial" w:cs="Arial"/>
          <w:sz w:val="17"/>
          <w:szCs w:val="17"/>
        </w:rPr>
        <w:t xml:space="preserve">, goodwill, </w:t>
      </w:r>
      <w:r w:rsidRPr="0047456E">
        <w:rPr>
          <w:rFonts w:ascii="Arial" w:eastAsia="SimSun" w:hAnsi="Arial" w:cs="Arial"/>
          <w:sz w:val="17"/>
          <w:szCs w:val="17"/>
        </w:rPr>
        <w:t>and</w:t>
      </w:r>
      <w:r w:rsidR="002C6C2A" w:rsidRPr="0047456E">
        <w:rPr>
          <w:rFonts w:ascii="Arial" w:eastAsia="SimSun" w:hAnsi="Arial" w:cs="Arial"/>
          <w:sz w:val="17"/>
          <w:szCs w:val="17"/>
        </w:rPr>
        <w:t xml:space="preserve"> provisions for liabilities and charges</w:t>
      </w:r>
      <w:r w:rsidRPr="0047456E">
        <w:rPr>
          <w:rFonts w:ascii="Arial" w:eastAsia="SimSun" w:hAnsi="Arial" w:cs="Arial"/>
          <w:sz w:val="17"/>
          <w:szCs w:val="17"/>
        </w:rPr>
        <w:t xml:space="preserve">. These critical accounting policies and judgements are described on page </w:t>
      </w:r>
      <w:r>
        <w:rPr>
          <w:rFonts w:ascii="Arial" w:eastAsia="SimSun" w:hAnsi="Arial" w:cs="Arial"/>
          <w:sz w:val="17"/>
          <w:szCs w:val="17"/>
        </w:rPr>
        <w:t>212</w:t>
      </w:r>
      <w:r w:rsidRPr="0047456E">
        <w:rPr>
          <w:rFonts w:ascii="Arial" w:eastAsia="SimSun" w:hAnsi="Arial" w:cs="Arial"/>
          <w:sz w:val="17"/>
          <w:szCs w:val="17"/>
        </w:rPr>
        <w:t xml:space="preserve"> of RBS’s 2019 Annual Report and Accounts.</w:t>
      </w:r>
      <w:r w:rsidRPr="0047456E">
        <w:rPr>
          <w:rFonts w:cs="Arial"/>
          <w:color w:val="000000"/>
          <w:sz w:val="17"/>
          <w:szCs w:val="17"/>
        </w:rPr>
        <w:br w:type="page"/>
      </w:r>
    </w:p>
    <w:p w:rsidR="000D6EFC" w:rsidRPr="004B560B" w:rsidRDefault="000D6EFC" w:rsidP="004B560B">
      <w:pPr>
        <w:pStyle w:val="Normal00"/>
        <w:autoSpaceDE w:val="0"/>
        <w:autoSpaceDN w:val="0"/>
        <w:spacing w:line="264" w:lineRule="auto"/>
        <w:sectPr w:rsidR="000D6EFC" w:rsidRPr="004B560B" w:rsidSect="00527F23">
          <w:headerReference w:type="even" r:id="rId71"/>
          <w:headerReference w:type="default" r:id="rId72"/>
          <w:footerReference w:type="even" r:id="rId73"/>
          <w:footerReference w:type="default" r:id="rId74"/>
          <w:headerReference w:type="first" r:id="rId75"/>
          <w:footerReference w:type="first" r:id="rId76"/>
          <w:type w:val="continuous"/>
          <w:pgSz w:w="11906" w:h="16838"/>
          <w:pgMar w:top="1134" w:right="851" w:bottom="680" w:left="851" w:header="708" w:footer="708" w:gutter="0"/>
          <w:cols w:space="708"/>
          <w:docGrid w:linePitch="360"/>
        </w:sectPr>
      </w:pPr>
    </w:p>
    <w:p w:rsidR="00F3186B" w:rsidRDefault="00FC1FDC" w:rsidP="00D32FFE">
      <w:pPr>
        <w:pStyle w:val="Normal00"/>
        <w:rPr>
          <w:rFonts w:ascii="Arial" w:hAnsi="Arial" w:cs="Arial"/>
          <w:b/>
          <w:bCs/>
          <w:color w:val="003366"/>
          <w:sz w:val="18"/>
          <w:szCs w:val="18"/>
        </w:rPr>
      </w:pPr>
      <w:r>
        <w:rPr>
          <w:rFonts w:ascii="Arial" w:hAnsi="Arial" w:cs="Arial"/>
          <w:b/>
          <w:bCs/>
          <w:color w:val="003366"/>
          <w:sz w:val="18"/>
          <w:szCs w:val="18"/>
        </w:rPr>
        <w:t>Notes</w:t>
      </w:r>
    </w:p>
    <w:p w:rsidR="00D32FFE" w:rsidRPr="005C1E2C" w:rsidRDefault="00FC1FDC" w:rsidP="00D32FFE">
      <w:pPr>
        <w:pStyle w:val="Normal00"/>
        <w:rPr>
          <w:rFonts w:ascii="Arial" w:hAnsi="Arial" w:cs="Arial"/>
          <w:sz w:val="18"/>
          <w:szCs w:val="18"/>
        </w:rPr>
      </w:pPr>
      <w:r w:rsidRPr="006A5DDE">
        <w:rPr>
          <w:rFonts w:ascii="Arial" w:hAnsi="Arial" w:cs="Arial"/>
          <w:b/>
          <w:bCs/>
          <w:color w:val="003366"/>
          <w:sz w:val="18"/>
          <w:szCs w:val="18"/>
        </w:rPr>
        <w:t>3. Provisions for liabilities and charges</w:t>
      </w:r>
    </w:p>
    <w:sdt>
      <w:sdtPr>
        <w:tag w:val="&lt;ReportPackage&gt;&lt;EmbeddedContent id=&quot;58031cc1-6f18-4154-a4dc-4d79dc9907b8&quot; lastModified=&quot;1580551628142&quot;/&gt;&lt;/ReportPackage&gt;"/>
        <w:id w:val="2037502639"/>
        <w:lock w:val="contentLocked"/>
        <w:placeholder>
          <w:docPart w:val="A7D3DEA72FFD4AF3B6BE42658EF01EE0"/>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4530"/>
            <w:gridCol w:w="1110"/>
            <w:gridCol w:w="1110"/>
            <w:gridCol w:w="1110"/>
            <w:gridCol w:w="1110"/>
            <w:gridCol w:w="1110"/>
          </w:tblGrid>
          <w:tr w:rsidR="0064628A">
            <w:trPr>
              <w:trHeight w:val="135"/>
            </w:trPr>
            <w:tc>
              <w:tcPr>
                <w:tcW w:w="4545" w:type="dxa"/>
                <w:shd w:val="clear" w:color="auto" w:fill="FFFFFF"/>
                <w:tcMar>
                  <w:top w:w="0" w:type="dxa"/>
                  <w:left w:w="5" w:type="dxa"/>
                  <w:bottom w:w="0" w:type="dxa"/>
                  <w:right w:w="5" w:type="dxa"/>
                </w:tcMar>
                <w:vAlign w:val="center"/>
                <w:hideMark/>
              </w:tcPr>
              <w:p w:rsidR="00F80BB2" w:rsidRDefault="00F80BB2">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3366"/>
                    <w:szCs w:val="16"/>
                  </w:rPr>
                </w:pPr>
                <w:r>
                  <w:rPr>
                    <w:rFonts w:eastAsia="Arial" w:cs="Arial"/>
                    <w:color w:val="003366"/>
                    <w:szCs w:val="16"/>
                  </w:rPr>
                  <w:t>Payment</w:t>
                </w:r>
              </w:p>
            </w:tc>
            <w:tc>
              <w:tcPr>
                <w:tcW w:w="1110" w:type="dxa"/>
                <w:shd w:val="clear" w:color="auto" w:fill="FFFFFF"/>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3366"/>
                    <w:szCs w:val="16"/>
                  </w:rPr>
                </w:pPr>
                <w:r>
                  <w:rPr>
                    <w:rFonts w:eastAsia="Arial" w:cs="Arial"/>
                    <w:color w:val="003366"/>
                    <w:szCs w:val="16"/>
                  </w:rPr>
                  <w:t>Other</w:t>
                </w:r>
              </w:p>
            </w:tc>
            <w:tc>
              <w:tcPr>
                <w:tcW w:w="1110" w:type="dxa"/>
                <w:shd w:val="clear" w:color="auto" w:fill="FFFFFF"/>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3366"/>
                    <w:szCs w:val="16"/>
                  </w:rPr>
                </w:pPr>
                <w:r>
                  <w:rPr>
                    <w:rFonts w:eastAsia="Arial" w:cs="Arial"/>
                    <w:color w:val="003366"/>
                    <w:szCs w:val="16"/>
                  </w:rPr>
                  <w:t xml:space="preserve">Litigation and </w:t>
                </w:r>
              </w:p>
            </w:tc>
            <w:tc>
              <w:tcPr>
                <w:tcW w:w="1110" w:type="dxa"/>
                <w:shd w:val="clear" w:color="auto" w:fill="FFFFFF"/>
                <w:tcMar>
                  <w:top w:w="0" w:type="dxa"/>
                  <w:left w:w="5" w:type="dxa"/>
                  <w:bottom w:w="0" w:type="dxa"/>
                  <w:right w:w="5" w:type="dxa"/>
                </w:tcMar>
                <w:vAlign w:val="center"/>
                <w:hideMark/>
              </w:tcPr>
              <w:p w:rsidR="00F80BB2" w:rsidRDefault="00F80BB2">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F80BB2" w:rsidRDefault="00F80BB2">
                <w:pPr>
                  <w:spacing w:line="240" w:lineRule="auto"/>
                  <w:contextualSpacing/>
                  <w:rPr>
                    <w:rFonts w:eastAsia="Arial" w:cs="Arial"/>
                    <w:color w:val="003366"/>
                    <w:szCs w:val="16"/>
                  </w:rPr>
                </w:pPr>
              </w:p>
            </w:tc>
          </w:tr>
          <w:tr w:rsidR="0064628A">
            <w:trPr>
              <w:trHeight w:val="135"/>
            </w:trPr>
            <w:tc>
              <w:tcPr>
                <w:tcW w:w="4545" w:type="dxa"/>
                <w:shd w:val="clear" w:color="auto" w:fill="FFFFFF"/>
                <w:tcMar>
                  <w:top w:w="0" w:type="dxa"/>
                  <w:left w:w="5" w:type="dxa"/>
                  <w:bottom w:w="0" w:type="dxa"/>
                  <w:right w:w="5" w:type="dxa"/>
                </w:tcMar>
                <w:vAlign w:val="center"/>
                <w:hideMark/>
              </w:tcPr>
              <w:p w:rsidR="00F80BB2" w:rsidRDefault="00F80BB2">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3366"/>
                    <w:szCs w:val="16"/>
                  </w:rPr>
                </w:pPr>
                <w:r>
                  <w:rPr>
                    <w:rFonts w:eastAsia="Arial" w:cs="Arial"/>
                    <w:color w:val="003366"/>
                    <w:szCs w:val="16"/>
                  </w:rPr>
                  <w:t>protection</w:t>
                </w:r>
              </w:p>
            </w:tc>
            <w:tc>
              <w:tcPr>
                <w:tcW w:w="1110" w:type="dxa"/>
                <w:shd w:val="clear" w:color="auto" w:fill="FFFFFF"/>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3366"/>
                    <w:szCs w:val="16"/>
                  </w:rPr>
                </w:pPr>
                <w:r>
                  <w:rPr>
                    <w:rFonts w:eastAsia="Arial" w:cs="Arial"/>
                    <w:color w:val="003366"/>
                    <w:szCs w:val="16"/>
                  </w:rPr>
                  <w:t> customer</w:t>
                </w:r>
              </w:p>
            </w:tc>
            <w:tc>
              <w:tcPr>
                <w:tcW w:w="1110" w:type="dxa"/>
                <w:shd w:val="clear" w:color="auto" w:fill="FFFFFF"/>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3366"/>
                    <w:szCs w:val="16"/>
                  </w:rPr>
                </w:pPr>
                <w:r>
                  <w:rPr>
                    <w:rFonts w:eastAsia="Arial" w:cs="Arial"/>
                    <w:color w:val="003366"/>
                    <w:szCs w:val="16"/>
                  </w:rPr>
                  <w:t>other regulatory</w:t>
                </w:r>
              </w:p>
            </w:tc>
            <w:tc>
              <w:tcPr>
                <w:tcW w:w="1110" w:type="dxa"/>
                <w:shd w:val="clear" w:color="auto" w:fill="FFFFFF"/>
                <w:tcMar>
                  <w:top w:w="0" w:type="dxa"/>
                  <w:left w:w="5" w:type="dxa"/>
                  <w:bottom w:w="0" w:type="dxa"/>
                  <w:right w:w="5" w:type="dxa"/>
                </w:tcMar>
                <w:vAlign w:val="center"/>
                <w:hideMark/>
              </w:tcPr>
              <w:p w:rsidR="00F80BB2" w:rsidRDefault="00F80BB2">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F80BB2" w:rsidRDefault="00F80BB2">
                <w:pPr>
                  <w:spacing w:line="240" w:lineRule="auto"/>
                  <w:contextualSpacing/>
                  <w:jc w:val="right"/>
                  <w:rPr>
                    <w:rFonts w:eastAsia="Arial" w:cs="Arial"/>
                    <w:color w:val="003366"/>
                    <w:szCs w:val="16"/>
                  </w:rPr>
                </w:pPr>
              </w:p>
            </w:tc>
          </w:tr>
          <w:tr w:rsidR="0064628A">
            <w:trPr>
              <w:trHeight w:val="135"/>
            </w:trPr>
            <w:tc>
              <w:tcPr>
                <w:tcW w:w="4545" w:type="dxa"/>
                <w:shd w:val="clear" w:color="auto" w:fill="FFFFFF"/>
                <w:tcMar>
                  <w:top w:w="0" w:type="dxa"/>
                  <w:left w:w="5" w:type="dxa"/>
                  <w:bottom w:w="0" w:type="dxa"/>
                  <w:right w:w="5" w:type="dxa"/>
                </w:tcMar>
                <w:vAlign w:val="center"/>
                <w:hideMark/>
              </w:tcPr>
              <w:p w:rsidR="00F80BB2" w:rsidRDefault="00F80BB2">
                <w:pPr>
                  <w:spacing w:line="240" w:lineRule="auto"/>
                  <w:contextualSpacing/>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3366"/>
                    <w:szCs w:val="16"/>
                  </w:rPr>
                </w:pPr>
                <w:r>
                  <w:rPr>
                    <w:rStyle w:val="font2"/>
                  </w:rPr>
                  <w:t xml:space="preserve">insurance </w:t>
                </w:r>
                <w:r>
                  <w:rPr>
                    <w:rStyle w:val="font1100"/>
                  </w:rPr>
                  <w:t>(1)</w:t>
                </w:r>
              </w:p>
            </w:tc>
            <w:tc>
              <w:tcPr>
                <w:tcW w:w="1110" w:type="dxa"/>
                <w:shd w:val="clear" w:color="auto" w:fill="FFFFFF"/>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3366"/>
                    <w:szCs w:val="16"/>
                  </w:rPr>
                </w:pPr>
                <w:r>
                  <w:rPr>
                    <w:rFonts w:eastAsia="Arial" w:cs="Arial"/>
                    <w:color w:val="003366"/>
                    <w:szCs w:val="16"/>
                  </w:rPr>
                  <w:t> redress</w:t>
                </w:r>
              </w:p>
            </w:tc>
            <w:tc>
              <w:tcPr>
                <w:tcW w:w="1110" w:type="dxa"/>
                <w:shd w:val="clear" w:color="auto" w:fill="FFFFFF"/>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3366"/>
                    <w:szCs w:val="16"/>
                  </w:rPr>
                </w:pPr>
                <w:r>
                  <w:rPr>
                    <w:rFonts w:eastAsia="Arial" w:cs="Arial"/>
                    <w:color w:val="003366"/>
                    <w:szCs w:val="16"/>
                  </w:rPr>
                  <w:t>(incl. RMBS)</w:t>
                </w:r>
              </w:p>
            </w:tc>
            <w:tc>
              <w:tcPr>
                <w:tcW w:w="1110" w:type="dxa"/>
                <w:shd w:val="clear" w:color="auto" w:fill="FFFFFF"/>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3366"/>
                    <w:szCs w:val="16"/>
                  </w:rPr>
                </w:pPr>
                <w:r>
                  <w:rPr>
                    <w:rStyle w:val="font2"/>
                  </w:rPr>
                  <w:t xml:space="preserve">Other </w:t>
                </w:r>
                <w:r>
                  <w:rPr>
                    <w:rStyle w:val="font1100"/>
                  </w:rPr>
                  <w:t>(2)</w:t>
                </w:r>
              </w:p>
            </w:tc>
            <w:tc>
              <w:tcPr>
                <w:tcW w:w="1110" w:type="dxa"/>
                <w:shd w:val="clear" w:color="auto" w:fill="FFFFFF"/>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3366"/>
                    <w:szCs w:val="16"/>
                  </w:rPr>
                </w:pPr>
                <w:r>
                  <w:rPr>
                    <w:rFonts w:eastAsia="Arial" w:cs="Arial"/>
                    <w:color w:val="003366"/>
                    <w:szCs w:val="16"/>
                  </w:rPr>
                  <w:t>Total</w:t>
                </w:r>
              </w:p>
            </w:tc>
          </w:tr>
          <w:tr w:rsidR="0064628A">
            <w:trPr>
              <w:trHeight w:val="135"/>
            </w:trPr>
            <w:tc>
              <w:tcPr>
                <w:tcW w:w="4545" w:type="dxa"/>
                <w:shd w:val="clear" w:color="auto" w:fill="FFFFFF"/>
                <w:tcMar>
                  <w:top w:w="0" w:type="dxa"/>
                  <w:left w:w="5" w:type="dxa"/>
                  <w:bottom w:w="0" w:type="dxa"/>
                  <w:right w:w="5" w:type="dxa"/>
                </w:tcMar>
                <w:vAlign w:val="center"/>
                <w:hideMark/>
              </w:tcPr>
              <w:p w:rsidR="00F80BB2" w:rsidRDefault="00F80BB2">
                <w:pPr>
                  <w:spacing w:line="240" w:lineRule="auto"/>
                  <w:contextualSpacing/>
                  <w:rPr>
                    <w:rFonts w:eastAsia="Arial" w:cs="Arial"/>
                    <w:b/>
                    <w:bCs/>
                    <w:color w:val="003366"/>
                    <w:szCs w:val="16"/>
                  </w:rPr>
                </w:pPr>
              </w:p>
            </w:tc>
            <w:tc>
              <w:tcPr>
                <w:tcW w:w="1110" w:type="dxa"/>
                <w:shd w:val="clear" w:color="auto" w:fill="FFFFFF"/>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3366"/>
                    <w:szCs w:val="16"/>
                  </w:rPr>
                </w:pPr>
                <w:r>
                  <w:rPr>
                    <w:rFonts w:eastAsia="Arial" w:cs="Arial"/>
                    <w:color w:val="003366"/>
                    <w:szCs w:val="16"/>
                  </w:rPr>
                  <w:t>£m</w:t>
                </w:r>
              </w:p>
            </w:tc>
            <w:tc>
              <w:tcPr>
                <w:tcW w:w="1110" w:type="dxa"/>
                <w:shd w:val="clear" w:color="auto" w:fill="FFFFFF"/>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3366"/>
                    <w:szCs w:val="16"/>
                  </w:rPr>
                </w:pPr>
                <w:r>
                  <w:rPr>
                    <w:rFonts w:eastAsia="Arial" w:cs="Arial"/>
                    <w:color w:val="003366"/>
                    <w:szCs w:val="16"/>
                  </w:rPr>
                  <w:t>£m</w:t>
                </w:r>
              </w:p>
            </w:tc>
          </w:tr>
          <w:tr w:rsidR="0064628A">
            <w:trPr>
              <w:trHeight w:val="195"/>
            </w:trPr>
            <w:tc>
              <w:tcPr>
                <w:tcW w:w="4545" w:type="dxa"/>
                <w:tcBorders>
                  <w:top w:val="single" w:sz="6" w:space="0" w:color="003366"/>
                </w:tcBorders>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3366"/>
                    <w:szCs w:val="16"/>
                  </w:rPr>
                </w:pPr>
                <w:r>
                  <w:rPr>
                    <w:rFonts w:eastAsia="Arial" w:cs="Arial"/>
                    <w:color w:val="003366"/>
                    <w:szCs w:val="16"/>
                  </w:rPr>
                  <w:t>At 1 January 2019</w:t>
                </w:r>
              </w:p>
            </w:tc>
            <w:tc>
              <w:tcPr>
                <w:tcW w:w="1110" w:type="dxa"/>
                <w:tcBorders>
                  <w:top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695</w:t>
                </w:r>
              </w:p>
            </w:tc>
            <w:tc>
              <w:tcPr>
                <w:tcW w:w="1110" w:type="dxa"/>
                <w:tcBorders>
                  <w:top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536</w:t>
                </w:r>
              </w:p>
            </w:tc>
            <w:tc>
              <w:tcPr>
                <w:tcW w:w="1110" w:type="dxa"/>
                <w:tcBorders>
                  <w:top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783</w:t>
                </w:r>
              </w:p>
            </w:tc>
            <w:tc>
              <w:tcPr>
                <w:tcW w:w="1110" w:type="dxa"/>
                <w:tcBorders>
                  <w:top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990</w:t>
                </w:r>
              </w:p>
            </w:tc>
            <w:tc>
              <w:tcPr>
                <w:tcW w:w="1110" w:type="dxa"/>
                <w:tcBorders>
                  <w:top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3,004</w:t>
                </w:r>
              </w:p>
            </w:tc>
          </w:tr>
          <w:tr w:rsidR="0064628A">
            <w:trPr>
              <w:trHeight w:val="195"/>
            </w:trPr>
            <w:tc>
              <w:tcPr>
                <w:tcW w:w="4545" w:type="dxa"/>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Style w:val="font4"/>
                  </w:rPr>
                  <w:t xml:space="preserve">Implementation of IFRS 16 on 1 January 2019 </w:t>
                </w:r>
                <w:r>
                  <w:rPr>
                    <w:rStyle w:val="font9"/>
                  </w:rPr>
                  <w:t>(3)</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(170)</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(170)</w:t>
                </w:r>
              </w:p>
            </w:tc>
          </w:tr>
          <w:tr w:rsidR="0064628A">
            <w:trPr>
              <w:trHeight w:val="195"/>
            </w:trPr>
            <w:tc>
              <w:tcPr>
                <w:tcW w:w="4545" w:type="dxa"/>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Other movements</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(11)</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(6)</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(18)</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(35)</w:t>
                </w:r>
              </w:p>
            </w:tc>
          </w:tr>
          <w:tr w:rsidR="0064628A">
            <w:trPr>
              <w:trHeight w:val="195"/>
            </w:trPr>
            <w:tc>
              <w:tcPr>
                <w:tcW w:w="4545" w:type="dxa"/>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 xml:space="preserve">Charge to income statement </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17</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5</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33</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55</w:t>
                </w:r>
              </w:p>
            </w:tc>
          </w:tr>
          <w:tr w:rsidR="0064628A">
            <w:trPr>
              <w:trHeight w:val="195"/>
            </w:trPr>
            <w:tc>
              <w:tcPr>
                <w:tcW w:w="4545" w:type="dxa"/>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 xml:space="preserve">Releases to income statement </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(12)</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(9)</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(16)</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(37)</w:t>
                </w:r>
              </w:p>
            </w:tc>
          </w:tr>
          <w:tr w:rsidR="0064628A">
            <w:trPr>
              <w:trHeight w:val="195"/>
            </w:trPr>
            <w:tc>
              <w:tcPr>
                <w:tcW w:w="4545" w:type="dxa"/>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Provisions utilised</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(136)</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(81)</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(6)</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(114)</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(337)</w:t>
                </w:r>
              </w:p>
            </w:tc>
          </w:tr>
          <w:tr w:rsidR="0064628A">
            <w:trPr>
              <w:trHeight w:val="195"/>
            </w:trPr>
            <w:tc>
              <w:tcPr>
                <w:tcW w:w="4545" w:type="dxa"/>
                <w:tcBorders>
                  <w:top w:val="single" w:sz="6" w:space="0" w:color="002060"/>
                  <w:bottom w:val="single" w:sz="6" w:space="0" w:color="002060"/>
                </w:tcBorders>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3366"/>
                    <w:szCs w:val="16"/>
                  </w:rPr>
                </w:pPr>
                <w:r>
                  <w:rPr>
                    <w:rFonts w:eastAsia="Arial" w:cs="Arial"/>
                    <w:color w:val="003366"/>
                    <w:szCs w:val="16"/>
                  </w:rPr>
                  <w:t>At 31 March 2019</w:t>
                </w:r>
              </w:p>
            </w:tc>
            <w:tc>
              <w:tcPr>
                <w:tcW w:w="1110" w:type="dxa"/>
                <w:tcBorders>
                  <w:top w:val="single" w:sz="6" w:space="0" w:color="002060"/>
                  <w:bottom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559</w:t>
                </w:r>
              </w:p>
            </w:tc>
            <w:tc>
              <w:tcPr>
                <w:tcW w:w="1110" w:type="dxa"/>
                <w:tcBorders>
                  <w:top w:val="single" w:sz="6" w:space="0" w:color="002060"/>
                  <w:bottom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449</w:t>
                </w:r>
              </w:p>
            </w:tc>
            <w:tc>
              <w:tcPr>
                <w:tcW w:w="1110" w:type="dxa"/>
                <w:tcBorders>
                  <w:top w:val="single" w:sz="6" w:space="0" w:color="002060"/>
                  <w:bottom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767</w:t>
                </w:r>
              </w:p>
            </w:tc>
            <w:tc>
              <w:tcPr>
                <w:tcW w:w="1110" w:type="dxa"/>
                <w:tcBorders>
                  <w:top w:val="single" w:sz="6" w:space="0" w:color="002060"/>
                  <w:bottom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705</w:t>
                </w:r>
              </w:p>
            </w:tc>
            <w:tc>
              <w:tcPr>
                <w:tcW w:w="1110" w:type="dxa"/>
                <w:tcBorders>
                  <w:top w:val="single" w:sz="6" w:space="0" w:color="002060"/>
                  <w:bottom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2,480</w:t>
                </w:r>
              </w:p>
            </w:tc>
          </w:tr>
          <w:tr w:rsidR="0064628A">
            <w:trPr>
              <w:trHeight w:val="195"/>
            </w:trPr>
            <w:tc>
              <w:tcPr>
                <w:tcW w:w="4545" w:type="dxa"/>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Other movements</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7</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3</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25</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35</w:t>
                </w:r>
              </w:p>
            </w:tc>
          </w:tr>
          <w:tr w:rsidR="0064628A">
            <w:trPr>
              <w:trHeight w:val="195"/>
            </w:trPr>
            <w:tc>
              <w:tcPr>
                <w:tcW w:w="4545" w:type="dxa"/>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Charge to income statement</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64</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18</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100</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182</w:t>
                </w:r>
              </w:p>
            </w:tc>
          </w:tr>
          <w:tr w:rsidR="0064628A">
            <w:trPr>
              <w:trHeight w:val="195"/>
            </w:trPr>
            <w:tc>
              <w:tcPr>
                <w:tcW w:w="4545" w:type="dxa"/>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 xml:space="preserve">Releases to income statement </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(11)</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(33)</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(70)</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(114)</w:t>
                </w:r>
              </w:p>
            </w:tc>
          </w:tr>
          <w:tr w:rsidR="0064628A">
            <w:trPr>
              <w:trHeight w:val="195"/>
            </w:trPr>
            <w:tc>
              <w:tcPr>
                <w:tcW w:w="4545" w:type="dxa"/>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Provisions utilised</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(116)</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(90)</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(28)</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(79)</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(313)</w:t>
                </w:r>
              </w:p>
            </w:tc>
          </w:tr>
          <w:tr w:rsidR="0064628A">
            <w:trPr>
              <w:trHeight w:val="195"/>
            </w:trPr>
            <w:tc>
              <w:tcPr>
                <w:tcW w:w="4545" w:type="dxa"/>
                <w:tcBorders>
                  <w:top w:val="single" w:sz="6" w:space="0" w:color="002060"/>
                  <w:bottom w:val="single" w:sz="6" w:space="0" w:color="002060"/>
                </w:tcBorders>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3366"/>
                    <w:szCs w:val="16"/>
                  </w:rPr>
                </w:pPr>
                <w:r>
                  <w:rPr>
                    <w:rFonts w:eastAsia="Arial" w:cs="Arial"/>
                    <w:color w:val="003366"/>
                    <w:szCs w:val="16"/>
                  </w:rPr>
                  <w:t>At 30 June 2019</w:t>
                </w:r>
              </w:p>
            </w:tc>
            <w:tc>
              <w:tcPr>
                <w:tcW w:w="1110" w:type="dxa"/>
                <w:tcBorders>
                  <w:top w:val="single" w:sz="6" w:space="0" w:color="002060"/>
                  <w:bottom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443</w:t>
                </w:r>
              </w:p>
            </w:tc>
            <w:tc>
              <w:tcPr>
                <w:tcW w:w="1110" w:type="dxa"/>
                <w:tcBorders>
                  <w:top w:val="single" w:sz="6" w:space="0" w:color="002060"/>
                  <w:bottom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419</w:t>
                </w:r>
              </w:p>
            </w:tc>
            <w:tc>
              <w:tcPr>
                <w:tcW w:w="1110" w:type="dxa"/>
                <w:tcBorders>
                  <w:top w:val="single" w:sz="6" w:space="0" w:color="002060"/>
                  <w:bottom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727</w:t>
                </w:r>
              </w:p>
            </w:tc>
            <w:tc>
              <w:tcPr>
                <w:tcW w:w="1110" w:type="dxa"/>
                <w:tcBorders>
                  <w:top w:val="single" w:sz="6" w:space="0" w:color="002060"/>
                  <w:bottom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681</w:t>
                </w:r>
              </w:p>
            </w:tc>
            <w:tc>
              <w:tcPr>
                <w:tcW w:w="1110" w:type="dxa"/>
                <w:tcBorders>
                  <w:top w:val="single" w:sz="6" w:space="0" w:color="002060"/>
                  <w:bottom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2,270</w:t>
                </w:r>
              </w:p>
            </w:tc>
          </w:tr>
          <w:tr w:rsidR="0064628A">
            <w:trPr>
              <w:trHeight w:val="195"/>
            </w:trPr>
            <w:tc>
              <w:tcPr>
                <w:tcW w:w="4545" w:type="dxa"/>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Other movements</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(6)</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19</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30</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43</w:t>
                </w:r>
              </w:p>
            </w:tc>
          </w:tr>
          <w:tr w:rsidR="0064628A">
            <w:trPr>
              <w:trHeight w:val="195"/>
            </w:trPr>
            <w:tc>
              <w:tcPr>
                <w:tcW w:w="4545" w:type="dxa"/>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Charge to income statement</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900</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29</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14</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69</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1,012</w:t>
                </w:r>
              </w:p>
            </w:tc>
          </w:tr>
          <w:tr w:rsidR="0064628A">
            <w:trPr>
              <w:trHeight w:val="195"/>
            </w:trPr>
            <w:tc>
              <w:tcPr>
                <w:tcW w:w="4545" w:type="dxa"/>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 xml:space="preserve">Releases to income statement </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(14)</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(32)</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(25)</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(71)</w:t>
                </w:r>
              </w:p>
            </w:tc>
          </w:tr>
          <w:tr w:rsidR="0064628A">
            <w:trPr>
              <w:trHeight w:val="195"/>
            </w:trPr>
            <w:tc>
              <w:tcPr>
                <w:tcW w:w="4545" w:type="dxa"/>
                <w:tcBorders>
                  <w:bottom w:val="single" w:sz="6" w:space="0" w:color="003366"/>
                </w:tcBorders>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Provisions utilised</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(99)</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(70)</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(227)</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(66)</w:t>
                </w:r>
              </w:p>
            </w:tc>
            <w:tc>
              <w:tcPr>
                <w:tcW w:w="1110" w:type="dxa"/>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(462)</w:t>
                </w:r>
              </w:p>
            </w:tc>
          </w:tr>
          <w:tr w:rsidR="0064628A">
            <w:trPr>
              <w:trHeight w:val="195"/>
            </w:trPr>
            <w:tc>
              <w:tcPr>
                <w:tcW w:w="4545" w:type="dxa"/>
                <w:tcBorders>
                  <w:bottom w:val="single" w:sz="6" w:space="0" w:color="000000"/>
                </w:tcBorders>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3366"/>
                    <w:szCs w:val="16"/>
                  </w:rPr>
                </w:pPr>
                <w:r>
                  <w:rPr>
                    <w:rFonts w:eastAsia="Arial" w:cs="Arial"/>
                    <w:color w:val="003366"/>
                    <w:szCs w:val="16"/>
                  </w:rPr>
                  <w:t>At 30 September 2019</w:t>
                </w:r>
              </w:p>
            </w:tc>
            <w:tc>
              <w:tcPr>
                <w:tcW w:w="1110" w:type="dxa"/>
                <w:tcBorders>
                  <w:top w:val="single" w:sz="6" w:space="0" w:color="002060"/>
                  <w:bottom w:val="single" w:sz="6" w:space="0" w:color="00000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1,244</w:t>
                </w:r>
              </w:p>
            </w:tc>
            <w:tc>
              <w:tcPr>
                <w:tcW w:w="1110" w:type="dxa"/>
                <w:tcBorders>
                  <w:top w:val="single" w:sz="6" w:space="0" w:color="002060"/>
                  <w:bottom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358</w:t>
                </w:r>
              </w:p>
            </w:tc>
            <w:tc>
              <w:tcPr>
                <w:tcW w:w="1110" w:type="dxa"/>
                <w:tcBorders>
                  <w:top w:val="single" w:sz="6" w:space="0" w:color="002060"/>
                  <w:bottom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501</w:t>
                </w:r>
              </w:p>
            </w:tc>
            <w:tc>
              <w:tcPr>
                <w:tcW w:w="1110" w:type="dxa"/>
                <w:tcBorders>
                  <w:top w:val="single" w:sz="6" w:space="0" w:color="002060"/>
                  <w:bottom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689</w:t>
                </w:r>
              </w:p>
            </w:tc>
            <w:tc>
              <w:tcPr>
                <w:tcW w:w="1110" w:type="dxa"/>
                <w:tcBorders>
                  <w:top w:val="single" w:sz="6" w:space="0" w:color="002060"/>
                  <w:bottom w:val="single" w:sz="6" w:space="0" w:color="002060"/>
                </w:tcBorders>
                <w:shd w:val="clear" w:color="auto" w:fill="FFFFFF"/>
                <w:noWrap/>
                <w:tcMar>
                  <w:top w:w="0" w:type="dxa"/>
                  <w:left w:w="5" w:type="dxa"/>
                  <w:bottom w:w="0" w:type="dxa"/>
                  <w:right w:w="5" w:type="dxa"/>
                </w:tcMar>
                <w:vAlign w:val="center"/>
                <w:hideMark/>
              </w:tcPr>
              <w:p w:rsidR="00F80BB2" w:rsidRDefault="00FC1FDC">
                <w:pPr>
                  <w:spacing w:line="240" w:lineRule="auto"/>
                  <w:contextualSpacing/>
                  <w:jc w:val="right"/>
                  <w:rPr>
                    <w:rFonts w:eastAsia="Arial" w:cs="Arial"/>
                    <w:color w:val="000000"/>
                    <w:szCs w:val="16"/>
                  </w:rPr>
                </w:pPr>
                <w:r>
                  <w:rPr>
                    <w:rFonts w:eastAsia="Arial" w:cs="Arial"/>
                    <w:color w:val="000000"/>
                    <w:szCs w:val="16"/>
                  </w:rPr>
                  <w:t>2,792</w:t>
                </w:r>
              </w:p>
            </w:tc>
          </w:tr>
          <w:tr w:rsidR="0064628A">
            <w:trPr>
              <w:trHeight w:val="195"/>
            </w:trPr>
            <w:tc>
              <w:tcPr>
                <w:tcW w:w="4545" w:type="dxa"/>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Other movements</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(8)</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(22)</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(12)</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(42)</w:t>
                </w:r>
              </w:p>
            </w:tc>
          </w:tr>
          <w:tr w:rsidR="0064628A">
            <w:trPr>
              <w:trHeight w:val="195"/>
            </w:trPr>
            <w:tc>
              <w:tcPr>
                <w:tcW w:w="4545" w:type="dxa"/>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Transfer</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35</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(35)</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r>
          <w:tr w:rsidR="0064628A">
            <w:trPr>
              <w:trHeight w:val="195"/>
            </w:trPr>
            <w:tc>
              <w:tcPr>
                <w:tcW w:w="4545" w:type="dxa"/>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Charge to income statement</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31</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51</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232</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314</w:t>
                </w:r>
              </w:p>
            </w:tc>
          </w:tr>
          <w:tr w:rsidR="0064628A">
            <w:trPr>
              <w:trHeight w:val="195"/>
            </w:trPr>
            <w:tc>
              <w:tcPr>
                <w:tcW w:w="4545" w:type="dxa"/>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 xml:space="preserve">Releases to income statement </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(11)</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(37)</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(50)</w:t>
                </w:r>
              </w:p>
            </w:tc>
            <w:tc>
              <w:tcPr>
                <w:tcW w:w="1110" w:type="dxa"/>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(98)</w:t>
                </w:r>
              </w:p>
            </w:tc>
          </w:tr>
          <w:tr w:rsidR="0064628A">
            <w:trPr>
              <w:trHeight w:val="195"/>
            </w:trPr>
            <w:tc>
              <w:tcPr>
                <w:tcW w:w="4545" w:type="dxa"/>
                <w:tcBorders>
                  <w:bottom w:val="single" w:sz="6" w:space="0" w:color="003366"/>
                </w:tcBorders>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color w:val="000000"/>
                    <w:szCs w:val="16"/>
                  </w:rPr>
                </w:pPr>
                <w:r>
                  <w:rPr>
                    <w:rFonts w:eastAsia="Arial" w:cs="Arial"/>
                    <w:color w:val="000000"/>
                    <w:szCs w:val="16"/>
                  </w:rPr>
                  <w:t>Provisions utilised</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(88)</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(91)</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(32)</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(78)</w:t>
                </w:r>
              </w:p>
            </w:tc>
            <w:tc>
              <w:tcPr>
                <w:tcW w:w="1110" w:type="dxa"/>
                <w:tcBorders>
                  <w:bottom w:val="single" w:sz="6" w:space="0" w:color="003366"/>
                </w:tcBorders>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(289)</w:t>
                </w:r>
              </w:p>
            </w:tc>
          </w:tr>
          <w:tr w:rsidR="0064628A">
            <w:trPr>
              <w:trHeight w:val="195"/>
            </w:trPr>
            <w:tc>
              <w:tcPr>
                <w:tcW w:w="4545" w:type="dxa"/>
                <w:tcBorders>
                  <w:top w:val="single" w:sz="6" w:space="0" w:color="003366"/>
                  <w:bottom w:val="single" w:sz="6" w:space="0" w:color="003366"/>
                </w:tcBorders>
                <w:shd w:val="clear" w:color="auto" w:fill="FFFFFF"/>
                <w:tcMar>
                  <w:top w:w="0" w:type="dxa"/>
                  <w:left w:w="5" w:type="dxa"/>
                  <w:bottom w:w="0" w:type="dxa"/>
                  <w:right w:w="5" w:type="dxa"/>
                </w:tcMar>
                <w:vAlign w:val="center"/>
                <w:hideMark/>
              </w:tcPr>
              <w:p w:rsidR="00F80BB2" w:rsidRDefault="00FC1FDC">
                <w:pPr>
                  <w:spacing w:line="240" w:lineRule="auto"/>
                  <w:contextualSpacing/>
                  <w:rPr>
                    <w:rFonts w:eastAsia="Arial" w:cs="Arial"/>
                    <w:b/>
                    <w:bCs/>
                    <w:color w:val="003366"/>
                    <w:szCs w:val="16"/>
                  </w:rPr>
                </w:pPr>
                <w:r>
                  <w:rPr>
                    <w:rFonts w:eastAsia="Arial" w:cs="Arial"/>
                    <w:b/>
                    <w:bCs/>
                    <w:color w:val="003366"/>
                    <w:szCs w:val="16"/>
                  </w:rPr>
                  <w:t>At 31 December 2019</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1,156</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314</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426</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781</w:t>
                </w:r>
              </w:p>
            </w:tc>
            <w:tc>
              <w:tcPr>
                <w:tcW w:w="1110" w:type="dxa"/>
                <w:tcBorders>
                  <w:top w:val="single" w:sz="6" w:space="0" w:color="003366"/>
                  <w:bottom w:val="single" w:sz="6" w:space="0" w:color="003366"/>
                </w:tcBorders>
                <w:shd w:val="clear" w:color="auto" w:fill="C0C0C0"/>
                <w:tcMar>
                  <w:top w:w="0" w:type="dxa"/>
                  <w:left w:w="5" w:type="dxa"/>
                  <w:bottom w:w="0" w:type="dxa"/>
                  <w:right w:w="5" w:type="dxa"/>
                </w:tcMar>
                <w:vAlign w:val="center"/>
                <w:hideMark/>
              </w:tcPr>
              <w:p w:rsidR="00F80BB2" w:rsidRDefault="00FC1FDC">
                <w:pPr>
                  <w:spacing w:line="240" w:lineRule="auto"/>
                  <w:contextualSpacing/>
                  <w:jc w:val="right"/>
                  <w:rPr>
                    <w:rFonts w:eastAsia="Arial" w:cs="Arial"/>
                    <w:b/>
                    <w:bCs/>
                    <w:color w:val="000000"/>
                    <w:szCs w:val="16"/>
                  </w:rPr>
                </w:pPr>
                <w:r>
                  <w:rPr>
                    <w:rFonts w:eastAsia="Arial" w:cs="Arial"/>
                    <w:b/>
                    <w:bCs/>
                    <w:color w:val="000000"/>
                    <w:szCs w:val="16"/>
                  </w:rPr>
                  <w:t>2,677</w:t>
                </w:r>
              </w:p>
            </w:tc>
          </w:tr>
        </w:tbl>
      </w:sdtContent>
    </w:sdt>
    <w:p w:rsidR="007D3841" w:rsidRPr="00F57533" w:rsidRDefault="007D3841" w:rsidP="00FC440D">
      <w:pPr>
        <w:autoSpaceDE w:val="0"/>
        <w:autoSpaceDN w:val="0"/>
        <w:rPr>
          <w:sz w:val="10"/>
          <w:szCs w:val="14"/>
        </w:rPr>
      </w:pPr>
    </w:p>
    <w:p w:rsidR="00FC440D" w:rsidRDefault="00FC1FDC" w:rsidP="00FC440D">
      <w:pPr>
        <w:autoSpaceDE w:val="0"/>
        <w:autoSpaceDN w:val="0"/>
        <w:rPr>
          <w:sz w:val="14"/>
          <w:szCs w:val="14"/>
        </w:rPr>
      </w:pPr>
      <w:r>
        <w:rPr>
          <w:sz w:val="14"/>
          <w:szCs w:val="14"/>
        </w:rPr>
        <w:t>Notes:</w:t>
      </w:r>
    </w:p>
    <w:p w:rsidR="009127BD" w:rsidRPr="00FF03FA" w:rsidRDefault="00FC1FDC" w:rsidP="009127BD">
      <w:pPr>
        <w:pStyle w:val="ListParagraph0"/>
        <w:numPr>
          <w:ilvl w:val="0"/>
          <w:numId w:val="5"/>
        </w:numPr>
        <w:autoSpaceDE w:val="0"/>
        <w:autoSpaceDN w:val="0"/>
        <w:rPr>
          <w:sz w:val="14"/>
          <w:szCs w:val="14"/>
        </w:rPr>
      </w:pPr>
      <w:r>
        <w:rPr>
          <w:sz w:val="14"/>
          <w:szCs w:val="14"/>
        </w:rPr>
        <w:t>The balance at 31 December</w:t>
      </w:r>
      <w:r w:rsidRPr="00FF03FA">
        <w:rPr>
          <w:sz w:val="14"/>
          <w:szCs w:val="14"/>
        </w:rPr>
        <w:t xml:space="preserve"> 2019 includes provisions held in</w:t>
      </w:r>
      <w:r>
        <w:rPr>
          <w:sz w:val="14"/>
          <w:szCs w:val="14"/>
        </w:rPr>
        <w:t xml:space="preserve"> relation to offers made in 2018 and earlier years of £97</w:t>
      </w:r>
      <w:r w:rsidRPr="00FF03FA">
        <w:rPr>
          <w:sz w:val="14"/>
          <w:szCs w:val="14"/>
        </w:rPr>
        <w:t xml:space="preserve"> million.</w:t>
      </w:r>
    </w:p>
    <w:p w:rsidR="00FC440D" w:rsidRDefault="00FC1FDC" w:rsidP="00FC440D">
      <w:pPr>
        <w:pStyle w:val="ListParagraph0"/>
        <w:numPr>
          <w:ilvl w:val="0"/>
          <w:numId w:val="5"/>
        </w:numPr>
        <w:autoSpaceDE w:val="0"/>
        <w:autoSpaceDN w:val="0"/>
        <w:rPr>
          <w:sz w:val="14"/>
          <w:szCs w:val="14"/>
        </w:rPr>
      </w:pPr>
      <w:r>
        <w:rPr>
          <w:sz w:val="14"/>
          <w:szCs w:val="14"/>
        </w:rPr>
        <w:t>Materially comprises provisions relating to property closures and restructuring costs.</w:t>
      </w:r>
    </w:p>
    <w:p w:rsidR="00A84C17" w:rsidRDefault="00FC1FDC" w:rsidP="00FC440D">
      <w:pPr>
        <w:pStyle w:val="ListParagraph0"/>
        <w:numPr>
          <w:ilvl w:val="0"/>
          <w:numId w:val="5"/>
        </w:numPr>
        <w:autoSpaceDE w:val="0"/>
        <w:autoSpaceDN w:val="0"/>
        <w:rPr>
          <w:sz w:val="14"/>
          <w:szCs w:val="14"/>
        </w:rPr>
      </w:pPr>
      <w:r>
        <w:rPr>
          <w:sz w:val="14"/>
          <w:szCs w:val="14"/>
        </w:rPr>
        <w:t xml:space="preserve">Refer to Note 2 for further information on the impact of the implementation of IFRS 16. </w:t>
      </w:r>
    </w:p>
    <w:p w:rsidR="00FC440D" w:rsidRDefault="00FC440D" w:rsidP="00FC440D">
      <w:pPr>
        <w:rPr>
          <w:sz w:val="8"/>
          <w:szCs w:val="8"/>
        </w:rPr>
      </w:pPr>
    </w:p>
    <w:p w:rsidR="00FC440D" w:rsidRDefault="00FC1FDC" w:rsidP="00FC440D">
      <w:pPr>
        <w:pStyle w:val="Normal00"/>
        <w:spacing w:line="264" w:lineRule="auto"/>
        <w:rPr>
          <w:sz w:val="18"/>
          <w:szCs w:val="18"/>
        </w:rPr>
      </w:pPr>
      <w:r>
        <w:rPr>
          <w:rFonts w:ascii="Arial" w:hAnsi="Arial" w:cs="Arial"/>
          <w:sz w:val="18"/>
          <w:szCs w:val="18"/>
        </w:rPr>
        <w:t xml:space="preserve">There are uncertainties as to the eventual cost of redress in relation to certain of the provisions contained in the table above. Assumptions relating to these are inherently uncertain and the ultimate financial impact may be different from the amount provided. </w:t>
      </w:r>
    </w:p>
    <w:p w:rsidR="00FC440D" w:rsidRPr="00F57533" w:rsidRDefault="00FC440D" w:rsidP="00FC440D">
      <w:pPr>
        <w:rPr>
          <w:sz w:val="14"/>
          <w:szCs w:val="18"/>
        </w:rPr>
      </w:pPr>
    </w:p>
    <w:p w:rsidR="00FC440D" w:rsidRDefault="00FC1FDC" w:rsidP="00FC440D">
      <w:pPr>
        <w:rPr>
          <w:color w:val="002060"/>
          <w:sz w:val="22"/>
        </w:rPr>
      </w:pPr>
      <w:r>
        <w:rPr>
          <w:color w:val="002060"/>
        </w:rPr>
        <w:t xml:space="preserve">Payment protection insurance </w:t>
      </w:r>
    </w:p>
    <w:p w:rsidR="009127BD" w:rsidRPr="009127BD" w:rsidRDefault="00FC1FDC" w:rsidP="009127BD">
      <w:pPr>
        <w:rPr>
          <w:sz w:val="18"/>
          <w:szCs w:val="18"/>
        </w:rPr>
      </w:pPr>
      <w:r w:rsidRPr="009127BD">
        <w:rPr>
          <w:sz w:val="18"/>
          <w:szCs w:val="18"/>
        </w:rPr>
        <w:t xml:space="preserve">An additional provision of £0.9 billion was taken </w:t>
      </w:r>
      <w:r>
        <w:rPr>
          <w:sz w:val="18"/>
          <w:szCs w:val="18"/>
        </w:rPr>
        <w:t>during</w:t>
      </w:r>
      <w:r w:rsidRPr="009127BD">
        <w:rPr>
          <w:sz w:val="18"/>
          <w:szCs w:val="18"/>
        </w:rPr>
        <w:t xml:space="preserve"> Q3 2019, reflecting greater than predicted complaints volumes in the lead up to the 29 August 2019 deadline for making new PPI complaints. RBS Group has made provisions totalling £6.2 billion to date for PPI claims, of which £5.0 billion had bee</w:t>
      </w:r>
      <w:r w:rsidR="0022097C">
        <w:rPr>
          <w:sz w:val="18"/>
          <w:szCs w:val="18"/>
        </w:rPr>
        <w:t>n utilised by 31 December 2019.</w:t>
      </w:r>
    </w:p>
    <w:p w:rsidR="00FC440D" w:rsidRPr="006649F0" w:rsidRDefault="00FC440D" w:rsidP="006649F0">
      <w:pPr>
        <w:pStyle w:val="Normal00"/>
        <w:spacing w:line="264" w:lineRule="auto"/>
        <w:rPr>
          <w:rFonts w:ascii="Arial" w:hAnsi="Arial" w:cs="Arial"/>
          <w:sz w:val="18"/>
          <w:szCs w:val="18"/>
        </w:rPr>
      </w:pPr>
    </w:p>
    <w:p w:rsidR="00FC440D" w:rsidRPr="0022097C" w:rsidRDefault="00FC1FDC" w:rsidP="0022097C">
      <w:pPr>
        <w:rPr>
          <w:sz w:val="18"/>
          <w:szCs w:val="18"/>
        </w:rPr>
      </w:pPr>
      <w:r w:rsidRPr="0022097C">
        <w:rPr>
          <w:sz w:val="18"/>
          <w:szCs w:val="18"/>
        </w:rPr>
        <w:t xml:space="preserve">The table below shows the sensitivity of the provision to reasonable changes in the principal assumptions in relation to claims which are still being processed, all other assumptions remaining the </w:t>
      </w:r>
      <w:r>
        <w:rPr>
          <w:sz w:val="18"/>
          <w:szCs w:val="18"/>
        </w:rPr>
        <w:t xml:space="preserve">same. RBS Group </w:t>
      </w:r>
      <w:r w:rsidRPr="0022097C">
        <w:rPr>
          <w:sz w:val="18"/>
          <w:szCs w:val="18"/>
        </w:rPr>
        <w:t>have received 4.9m claims as at the 29th August 2019 deadline.</w:t>
      </w:r>
    </w:p>
    <w:tbl>
      <w:tblPr>
        <w:tblStyle w:val="table"/>
        <w:tblW w:w="10223" w:type="dxa"/>
        <w:tblInd w:w="5" w:type="dxa"/>
        <w:tblCellMar>
          <w:left w:w="0" w:type="dxa"/>
          <w:right w:w="0" w:type="dxa"/>
        </w:tblCellMar>
        <w:tblLook w:val="05E0" w:firstRow="1" w:lastRow="1" w:firstColumn="1" w:lastColumn="1" w:noHBand="0" w:noVBand="1"/>
      </w:tblPr>
      <w:tblGrid>
        <w:gridCol w:w="5103"/>
        <w:gridCol w:w="1467"/>
        <w:gridCol w:w="20"/>
        <w:gridCol w:w="20"/>
        <w:gridCol w:w="1243"/>
        <w:gridCol w:w="1110"/>
        <w:gridCol w:w="1260"/>
      </w:tblGrid>
      <w:tr w:rsidR="0064628A" w:rsidTr="0022097C">
        <w:trPr>
          <w:trHeight w:val="195"/>
        </w:trPr>
        <w:tc>
          <w:tcPr>
            <w:tcW w:w="5103" w:type="dxa"/>
            <w:shd w:val="clear" w:color="auto" w:fill="FFFFFF"/>
            <w:noWrap/>
            <w:tcMar>
              <w:top w:w="0" w:type="dxa"/>
              <w:left w:w="5" w:type="dxa"/>
              <w:bottom w:w="0" w:type="dxa"/>
              <w:right w:w="5" w:type="dxa"/>
            </w:tcMar>
            <w:vAlign w:val="bottom"/>
            <w:hideMark/>
          </w:tcPr>
          <w:p w:rsidR="0022097C" w:rsidRDefault="0022097C">
            <w:pPr>
              <w:spacing w:line="240" w:lineRule="auto"/>
              <w:contextualSpacing/>
              <w:rPr>
                <w:rFonts w:ascii="Serif" w:eastAsia="Serif" w:hAnsi="Serif" w:cs="Serif"/>
                <w:color w:val="000000"/>
                <w:sz w:val="20"/>
                <w:szCs w:val="20"/>
              </w:rPr>
            </w:pPr>
          </w:p>
        </w:tc>
        <w:tc>
          <w:tcPr>
            <w:tcW w:w="1467" w:type="dxa"/>
            <w:shd w:val="clear" w:color="auto" w:fill="FFFFFF"/>
            <w:noWrap/>
            <w:tcMar>
              <w:top w:w="0" w:type="dxa"/>
              <w:left w:w="5" w:type="dxa"/>
              <w:bottom w:w="0" w:type="dxa"/>
              <w:right w:w="5" w:type="dxa"/>
            </w:tcMar>
            <w:vAlign w:val="bottom"/>
            <w:hideMark/>
          </w:tcPr>
          <w:p w:rsidR="0022097C" w:rsidRDefault="0022097C">
            <w:pPr>
              <w:spacing w:line="240" w:lineRule="auto"/>
              <w:contextualSpacing/>
              <w:rPr>
                <w:rFonts w:eastAsia="Arial" w:cs="Arial"/>
                <w:color w:val="000000"/>
                <w:szCs w:val="16"/>
              </w:rPr>
            </w:pPr>
          </w:p>
        </w:tc>
        <w:tc>
          <w:tcPr>
            <w:tcW w:w="20" w:type="dxa"/>
            <w:shd w:val="clear" w:color="auto" w:fill="FFFFFF"/>
          </w:tcPr>
          <w:p w:rsidR="0022097C" w:rsidRDefault="0022097C">
            <w:pPr>
              <w:spacing w:line="240" w:lineRule="auto"/>
              <w:contextualSpacing/>
              <w:rPr>
                <w:rFonts w:eastAsia="Arial" w:cs="Arial"/>
                <w:color w:val="000000"/>
                <w:szCs w:val="16"/>
              </w:rPr>
            </w:pPr>
          </w:p>
        </w:tc>
        <w:tc>
          <w:tcPr>
            <w:tcW w:w="20" w:type="dxa"/>
            <w:shd w:val="clear" w:color="auto" w:fill="FFFFFF"/>
          </w:tcPr>
          <w:p w:rsidR="0022097C" w:rsidRDefault="0022097C">
            <w:pPr>
              <w:spacing w:line="240" w:lineRule="auto"/>
              <w:contextualSpacing/>
              <w:rPr>
                <w:rFonts w:eastAsia="Arial" w:cs="Arial"/>
                <w:color w:val="000000"/>
                <w:szCs w:val="16"/>
              </w:rPr>
            </w:pPr>
          </w:p>
        </w:tc>
        <w:tc>
          <w:tcPr>
            <w:tcW w:w="1243" w:type="dxa"/>
            <w:shd w:val="clear" w:color="auto" w:fill="FFFFFF"/>
            <w:noWrap/>
            <w:tcMar>
              <w:top w:w="0" w:type="dxa"/>
              <w:left w:w="5" w:type="dxa"/>
              <w:bottom w:w="0" w:type="dxa"/>
              <w:right w:w="5" w:type="dxa"/>
            </w:tcMar>
            <w:vAlign w:val="bottom"/>
            <w:hideMark/>
          </w:tcPr>
          <w:p w:rsidR="0022097C" w:rsidRDefault="0022097C">
            <w:pPr>
              <w:spacing w:line="240" w:lineRule="auto"/>
              <w:contextualSpacing/>
              <w:rPr>
                <w:rFonts w:eastAsia="Arial" w:cs="Arial"/>
                <w:color w:val="000000"/>
                <w:szCs w:val="16"/>
              </w:rPr>
            </w:pPr>
          </w:p>
        </w:tc>
        <w:tc>
          <w:tcPr>
            <w:tcW w:w="2370" w:type="dxa"/>
            <w:gridSpan w:val="2"/>
            <w:tcBorders>
              <w:bottom w:val="single" w:sz="6" w:space="0" w:color="002060"/>
            </w:tcBorders>
            <w:shd w:val="clear" w:color="auto" w:fill="FFFFFF"/>
            <w:noWrap/>
            <w:tcMar>
              <w:top w:w="0" w:type="dxa"/>
              <w:left w:w="5" w:type="dxa"/>
              <w:bottom w:w="0" w:type="dxa"/>
              <w:right w:w="5" w:type="dxa"/>
            </w:tcMar>
            <w:vAlign w:val="center"/>
            <w:hideMark/>
          </w:tcPr>
          <w:p w:rsidR="0022097C" w:rsidRDefault="00FC1FDC">
            <w:pPr>
              <w:spacing w:line="240" w:lineRule="auto"/>
              <w:contextualSpacing/>
              <w:jc w:val="center"/>
              <w:rPr>
                <w:rFonts w:eastAsia="Arial" w:cs="Arial"/>
                <w:b/>
                <w:bCs/>
                <w:color w:val="002060"/>
                <w:szCs w:val="16"/>
              </w:rPr>
            </w:pPr>
            <w:r>
              <w:rPr>
                <w:rFonts w:eastAsia="Arial" w:cs="Arial"/>
                <w:b/>
                <w:bCs/>
                <w:color w:val="002060"/>
                <w:szCs w:val="16"/>
              </w:rPr>
              <w:t>Sensitivity</w:t>
            </w:r>
          </w:p>
        </w:tc>
      </w:tr>
      <w:tr w:rsidR="0064628A" w:rsidTr="0022097C">
        <w:trPr>
          <w:trHeight w:val="195"/>
        </w:trPr>
        <w:tc>
          <w:tcPr>
            <w:tcW w:w="5103" w:type="dxa"/>
            <w:shd w:val="clear" w:color="auto" w:fill="FFFFFF"/>
            <w:noWrap/>
            <w:tcMar>
              <w:top w:w="0" w:type="dxa"/>
              <w:left w:w="5" w:type="dxa"/>
              <w:bottom w:w="0" w:type="dxa"/>
              <w:right w:w="5" w:type="dxa"/>
            </w:tcMar>
            <w:vAlign w:val="bottom"/>
            <w:hideMark/>
          </w:tcPr>
          <w:p w:rsidR="0022097C" w:rsidRDefault="0022097C">
            <w:pPr>
              <w:spacing w:line="240" w:lineRule="auto"/>
              <w:contextualSpacing/>
              <w:rPr>
                <w:rFonts w:ascii="Serif" w:eastAsia="Serif" w:hAnsi="Serif" w:cs="Serif"/>
                <w:color w:val="000000"/>
                <w:sz w:val="20"/>
                <w:szCs w:val="20"/>
              </w:rPr>
            </w:pPr>
          </w:p>
        </w:tc>
        <w:tc>
          <w:tcPr>
            <w:tcW w:w="1467" w:type="dxa"/>
            <w:shd w:val="clear" w:color="auto" w:fill="FFFFFF"/>
            <w:noWrap/>
            <w:tcMar>
              <w:top w:w="0" w:type="dxa"/>
              <w:left w:w="5" w:type="dxa"/>
              <w:bottom w:w="0" w:type="dxa"/>
              <w:right w:w="5" w:type="dxa"/>
            </w:tcMar>
            <w:vAlign w:val="bottom"/>
            <w:hideMark/>
          </w:tcPr>
          <w:p w:rsidR="0022097C" w:rsidRDefault="0022097C">
            <w:pPr>
              <w:spacing w:line="240" w:lineRule="auto"/>
              <w:contextualSpacing/>
              <w:rPr>
                <w:rFonts w:eastAsia="Arial" w:cs="Arial"/>
                <w:color w:val="000000"/>
                <w:szCs w:val="16"/>
              </w:rPr>
            </w:pPr>
          </w:p>
        </w:tc>
        <w:tc>
          <w:tcPr>
            <w:tcW w:w="20" w:type="dxa"/>
            <w:shd w:val="clear" w:color="auto" w:fill="FFFFFF"/>
          </w:tcPr>
          <w:p w:rsidR="0022097C" w:rsidRDefault="0022097C">
            <w:pPr>
              <w:spacing w:line="240" w:lineRule="auto"/>
              <w:contextualSpacing/>
              <w:rPr>
                <w:rFonts w:eastAsia="Arial" w:cs="Arial"/>
                <w:color w:val="000000"/>
                <w:szCs w:val="16"/>
              </w:rPr>
            </w:pPr>
          </w:p>
        </w:tc>
        <w:tc>
          <w:tcPr>
            <w:tcW w:w="20" w:type="dxa"/>
            <w:shd w:val="clear" w:color="auto" w:fill="FFFFFF"/>
          </w:tcPr>
          <w:p w:rsidR="0022097C" w:rsidRDefault="0022097C">
            <w:pPr>
              <w:spacing w:line="240" w:lineRule="auto"/>
              <w:contextualSpacing/>
              <w:rPr>
                <w:rFonts w:eastAsia="Arial" w:cs="Arial"/>
                <w:color w:val="000000"/>
                <w:szCs w:val="16"/>
              </w:rPr>
            </w:pPr>
          </w:p>
        </w:tc>
        <w:tc>
          <w:tcPr>
            <w:tcW w:w="1243" w:type="dxa"/>
            <w:shd w:val="clear" w:color="auto" w:fill="FFFFFF"/>
            <w:noWrap/>
            <w:tcMar>
              <w:top w:w="0" w:type="dxa"/>
              <w:left w:w="5" w:type="dxa"/>
              <w:bottom w:w="0" w:type="dxa"/>
              <w:right w:w="5" w:type="dxa"/>
            </w:tcMar>
            <w:vAlign w:val="bottom"/>
            <w:hideMark/>
          </w:tcPr>
          <w:p w:rsidR="0022097C" w:rsidRDefault="0022097C">
            <w:pPr>
              <w:spacing w:line="240" w:lineRule="auto"/>
              <w:contextualSpacing/>
              <w:rPr>
                <w:rFonts w:eastAsia="Arial" w:cs="Arial"/>
                <w:color w:val="000000"/>
                <w:szCs w:val="16"/>
              </w:rPr>
            </w:pPr>
          </w:p>
        </w:tc>
        <w:tc>
          <w:tcPr>
            <w:tcW w:w="1110" w:type="dxa"/>
            <w:shd w:val="clear" w:color="auto" w:fill="FFFFFF"/>
            <w:noWrap/>
            <w:tcMar>
              <w:top w:w="0" w:type="dxa"/>
              <w:left w:w="5" w:type="dxa"/>
              <w:bottom w:w="0" w:type="dxa"/>
              <w:right w:w="5" w:type="dxa"/>
            </w:tcMar>
            <w:vAlign w:val="bottom"/>
            <w:hideMark/>
          </w:tcPr>
          <w:p w:rsidR="0022097C" w:rsidRDefault="0022097C">
            <w:pPr>
              <w:spacing w:line="240" w:lineRule="auto"/>
              <w:contextualSpacing/>
              <w:rPr>
                <w:rFonts w:eastAsia="Arial" w:cs="Arial"/>
                <w:color w:val="000000"/>
                <w:szCs w:val="16"/>
              </w:rPr>
            </w:pPr>
          </w:p>
        </w:tc>
        <w:tc>
          <w:tcPr>
            <w:tcW w:w="1260"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b/>
                <w:bCs/>
                <w:color w:val="002060"/>
                <w:szCs w:val="16"/>
              </w:rPr>
            </w:pPr>
            <w:r>
              <w:rPr>
                <w:rFonts w:eastAsia="Arial" w:cs="Arial"/>
                <w:b/>
                <w:bCs/>
                <w:color w:val="002060"/>
                <w:szCs w:val="16"/>
              </w:rPr>
              <w:t>Consequential</w:t>
            </w:r>
          </w:p>
        </w:tc>
      </w:tr>
      <w:tr w:rsidR="0064628A" w:rsidTr="0022097C">
        <w:trPr>
          <w:trHeight w:val="195"/>
        </w:trPr>
        <w:tc>
          <w:tcPr>
            <w:tcW w:w="5103" w:type="dxa"/>
            <w:shd w:val="clear" w:color="auto" w:fill="FFFFFF"/>
            <w:noWrap/>
            <w:tcMar>
              <w:top w:w="0" w:type="dxa"/>
              <w:left w:w="5" w:type="dxa"/>
              <w:bottom w:w="0" w:type="dxa"/>
              <w:right w:w="5" w:type="dxa"/>
            </w:tcMar>
            <w:vAlign w:val="bottom"/>
            <w:hideMark/>
          </w:tcPr>
          <w:p w:rsidR="0022097C" w:rsidRDefault="0022097C">
            <w:pPr>
              <w:spacing w:line="240" w:lineRule="auto"/>
              <w:contextualSpacing/>
              <w:rPr>
                <w:rFonts w:ascii="Serif" w:eastAsia="Serif" w:hAnsi="Serif" w:cs="Serif"/>
                <w:color w:val="000000"/>
                <w:sz w:val="20"/>
                <w:szCs w:val="20"/>
              </w:rPr>
            </w:pPr>
          </w:p>
        </w:tc>
        <w:tc>
          <w:tcPr>
            <w:tcW w:w="1467"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b/>
                <w:bCs/>
                <w:color w:val="002060"/>
                <w:szCs w:val="16"/>
              </w:rPr>
            </w:pPr>
            <w:r>
              <w:rPr>
                <w:rFonts w:eastAsia="Arial" w:cs="Arial"/>
                <w:b/>
                <w:bCs/>
                <w:color w:val="002060"/>
                <w:szCs w:val="16"/>
              </w:rPr>
              <w:t xml:space="preserve">Claims </w:t>
            </w:r>
          </w:p>
        </w:tc>
        <w:tc>
          <w:tcPr>
            <w:tcW w:w="20" w:type="dxa"/>
            <w:shd w:val="clear" w:color="auto" w:fill="FFFFFF"/>
          </w:tcPr>
          <w:p w:rsidR="0022097C" w:rsidRDefault="0022097C">
            <w:pPr>
              <w:spacing w:line="240" w:lineRule="auto"/>
              <w:contextualSpacing/>
              <w:jc w:val="right"/>
              <w:rPr>
                <w:rFonts w:eastAsia="Arial" w:cs="Arial"/>
                <w:b/>
                <w:bCs/>
                <w:color w:val="002060"/>
                <w:szCs w:val="16"/>
              </w:rPr>
            </w:pPr>
          </w:p>
        </w:tc>
        <w:tc>
          <w:tcPr>
            <w:tcW w:w="20" w:type="dxa"/>
            <w:shd w:val="clear" w:color="auto" w:fill="FFFFFF"/>
          </w:tcPr>
          <w:p w:rsidR="0022097C" w:rsidRDefault="0022097C">
            <w:pPr>
              <w:spacing w:line="240" w:lineRule="auto"/>
              <w:contextualSpacing/>
              <w:jc w:val="right"/>
              <w:rPr>
                <w:rFonts w:eastAsia="Arial" w:cs="Arial"/>
                <w:b/>
                <w:bCs/>
                <w:color w:val="002060"/>
                <w:szCs w:val="16"/>
              </w:rPr>
            </w:pPr>
          </w:p>
        </w:tc>
        <w:tc>
          <w:tcPr>
            <w:tcW w:w="1243" w:type="dxa"/>
            <w:shd w:val="clear" w:color="auto" w:fill="FFFFFF"/>
            <w:noWrap/>
            <w:tcMar>
              <w:top w:w="0" w:type="dxa"/>
              <w:left w:w="5" w:type="dxa"/>
              <w:bottom w:w="0" w:type="dxa"/>
              <w:right w:w="5" w:type="dxa"/>
            </w:tcMar>
            <w:vAlign w:val="center"/>
            <w:hideMark/>
          </w:tcPr>
          <w:p w:rsidR="0022097C" w:rsidRDefault="0022097C">
            <w:pPr>
              <w:spacing w:line="240" w:lineRule="auto"/>
              <w:contextualSpacing/>
              <w:jc w:val="right"/>
              <w:rPr>
                <w:rFonts w:eastAsia="Arial" w:cs="Arial"/>
                <w:b/>
                <w:bCs/>
                <w:color w:val="002060"/>
                <w:szCs w:val="16"/>
              </w:rPr>
            </w:pPr>
          </w:p>
        </w:tc>
        <w:tc>
          <w:tcPr>
            <w:tcW w:w="1110" w:type="dxa"/>
            <w:shd w:val="clear" w:color="auto" w:fill="FFFFFF"/>
            <w:noWrap/>
            <w:tcMar>
              <w:top w:w="0" w:type="dxa"/>
              <w:left w:w="5" w:type="dxa"/>
              <w:bottom w:w="0" w:type="dxa"/>
              <w:right w:w="5" w:type="dxa"/>
            </w:tcMar>
            <w:vAlign w:val="bottom"/>
            <w:hideMark/>
          </w:tcPr>
          <w:p w:rsidR="0022097C" w:rsidRDefault="0022097C">
            <w:pPr>
              <w:spacing w:line="240" w:lineRule="auto"/>
              <w:contextualSpacing/>
              <w:rPr>
                <w:rFonts w:eastAsia="Arial" w:cs="Arial"/>
                <w:color w:val="000000"/>
                <w:szCs w:val="16"/>
              </w:rPr>
            </w:pPr>
          </w:p>
        </w:tc>
        <w:tc>
          <w:tcPr>
            <w:tcW w:w="1260"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b/>
                <w:bCs/>
                <w:color w:val="002060"/>
                <w:szCs w:val="16"/>
              </w:rPr>
            </w:pPr>
            <w:r>
              <w:rPr>
                <w:rFonts w:eastAsia="Arial" w:cs="Arial"/>
                <w:b/>
                <w:bCs/>
                <w:color w:val="002060"/>
                <w:szCs w:val="16"/>
              </w:rPr>
              <w:t>change in</w:t>
            </w:r>
          </w:p>
        </w:tc>
      </w:tr>
      <w:tr w:rsidR="0064628A" w:rsidTr="0022097C">
        <w:trPr>
          <w:trHeight w:val="195"/>
        </w:trPr>
        <w:tc>
          <w:tcPr>
            <w:tcW w:w="5103" w:type="dxa"/>
            <w:shd w:val="clear" w:color="auto" w:fill="FFFFFF"/>
            <w:noWrap/>
            <w:tcMar>
              <w:top w:w="0" w:type="dxa"/>
              <w:left w:w="5" w:type="dxa"/>
              <w:bottom w:w="0" w:type="dxa"/>
              <w:right w:w="5" w:type="dxa"/>
            </w:tcMar>
            <w:vAlign w:val="bottom"/>
            <w:hideMark/>
          </w:tcPr>
          <w:p w:rsidR="0022097C" w:rsidRDefault="0022097C">
            <w:pPr>
              <w:spacing w:line="240" w:lineRule="auto"/>
              <w:contextualSpacing/>
              <w:rPr>
                <w:rFonts w:ascii="Serif" w:eastAsia="Serif" w:hAnsi="Serif" w:cs="Serif"/>
                <w:color w:val="000000"/>
                <w:sz w:val="20"/>
                <w:szCs w:val="20"/>
              </w:rPr>
            </w:pPr>
          </w:p>
        </w:tc>
        <w:tc>
          <w:tcPr>
            <w:tcW w:w="1467"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b/>
                <w:bCs/>
                <w:color w:val="002060"/>
                <w:szCs w:val="16"/>
              </w:rPr>
            </w:pPr>
            <w:r>
              <w:rPr>
                <w:rFonts w:eastAsia="Arial" w:cs="Arial"/>
                <w:b/>
                <w:bCs/>
                <w:color w:val="002060"/>
                <w:szCs w:val="16"/>
              </w:rPr>
              <w:t xml:space="preserve">Processed as at </w:t>
            </w:r>
          </w:p>
        </w:tc>
        <w:tc>
          <w:tcPr>
            <w:tcW w:w="20" w:type="dxa"/>
            <w:shd w:val="clear" w:color="auto" w:fill="FFFFFF"/>
          </w:tcPr>
          <w:p w:rsidR="0022097C" w:rsidRDefault="0022097C" w:rsidP="00892F13">
            <w:pPr>
              <w:spacing w:line="240" w:lineRule="auto"/>
              <w:contextualSpacing/>
              <w:jc w:val="center"/>
              <w:rPr>
                <w:rFonts w:eastAsia="Arial" w:cs="Arial"/>
                <w:b/>
                <w:bCs/>
                <w:color w:val="002060"/>
                <w:szCs w:val="16"/>
              </w:rPr>
            </w:pPr>
          </w:p>
        </w:tc>
        <w:tc>
          <w:tcPr>
            <w:tcW w:w="20" w:type="dxa"/>
            <w:shd w:val="clear" w:color="auto" w:fill="FFFFFF"/>
          </w:tcPr>
          <w:p w:rsidR="0022097C" w:rsidRDefault="0022097C" w:rsidP="00892F13">
            <w:pPr>
              <w:spacing w:line="240" w:lineRule="auto"/>
              <w:contextualSpacing/>
              <w:jc w:val="center"/>
              <w:rPr>
                <w:rFonts w:eastAsia="Arial" w:cs="Arial"/>
                <w:b/>
                <w:bCs/>
                <w:color w:val="002060"/>
                <w:szCs w:val="16"/>
              </w:rPr>
            </w:pPr>
          </w:p>
        </w:tc>
        <w:tc>
          <w:tcPr>
            <w:tcW w:w="1243" w:type="dxa"/>
            <w:shd w:val="clear" w:color="auto" w:fill="FFFFFF"/>
            <w:noWrap/>
            <w:tcMar>
              <w:top w:w="0" w:type="dxa"/>
              <w:left w:w="5" w:type="dxa"/>
              <w:bottom w:w="0" w:type="dxa"/>
              <w:right w:w="5" w:type="dxa"/>
            </w:tcMar>
            <w:vAlign w:val="center"/>
            <w:hideMark/>
          </w:tcPr>
          <w:p w:rsidR="0022097C" w:rsidRDefault="00FC1FDC" w:rsidP="00892F13">
            <w:pPr>
              <w:spacing w:line="240" w:lineRule="auto"/>
              <w:contextualSpacing/>
              <w:jc w:val="center"/>
              <w:rPr>
                <w:rFonts w:eastAsia="Arial" w:cs="Arial"/>
                <w:b/>
                <w:bCs/>
                <w:color w:val="002060"/>
                <w:szCs w:val="16"/>
              </w:rPr>
            </w:pPr>
            <w:r>
              <w:rPr>
                <w:rFonts w:eastAsia="Arial" w:cs="Arial"/>
                <w:b/>
                <w:bCs/>
                <w:color w:val="002060"/>
                <w:szCs w:val="16"/>
              </w:rPr>
              <w:t>Claims still</w:t>
            </w:r>
          </w:p>
        </w:tc>
        <w:tc>
          <w:tcPr>
            <w:tcW w:w="1110"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b/>
                <w:bCs/>
                <w:color w:val="002060"/>
                <w:szCs w:val="16"/>
              </w:rPr>
            </w:pPr>
            <w:r>
              <w:rPr>
                <w:rFonts w:eastAsia="Arial" w:cs="Arial"/>
                <w:b/>
                <w:bCs/>
                <w:color w:val="002060"/>
                <w:szCs w:val="16"/>
              </w:rPr>
              <w:t>Change in</w:t>
            </w:r>
          </w:p>
        </w:tc>
        <w:tc>
          <w:tcPr>
            <w:tcW w:w="1260"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b/>
                <w:bCs/>
                <w:color w:val="002060"/>
                <w:szCs w:val="16"/>
              </w:rPr>
            </w:pPr>
            <w:r>
              <w:rPr>
                <w:rFonts w:eastAsia="Arial" w:cs="Arial"/>
                <w:b/>
                <w:bCs/>
                <w:color w:val="002060"/>
                <w:szCs w:val="16"/>
              </w:rPr>
              <w:t>provision</w:t>
            </w:r>
          </w:p>
        </w:tc>
      </w:tr>
      <w:tr w:rsidR="0064628A" w:rsidTr="0022097C">
        <w:trPr>
          <w:trHeight w:val="195"/>
        </w:trPr>
        <w:tc>
          <w:tcPr>
            <w:tcW w:w="5103"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rPr>
                <w:rFonts w:eastAsia="Arial" w:cs="Arial"/>
                <w:b/>
                <w:bCs/>
                <w:color w:val="002060"/>
                <w:szCs w:val="16"/>
              </w:rPr>
            </w:pPr>
            <w:r>
              <w:rPr>
                <w:rFonts w:eastAsia="Arial" w:cs="Arial"/>
                <w:b/>
                <w:bCs/>
                <w:color w:val="002060"/>
                <w:szCs w:val="16"/>
              </w:rPr>
              <w:t>Assumption</w:t>
            </w:r>
          </w:p>
        </w:tc>
        <w:tc>
          <w:tcPr>
            <w:tcW w:w="1467"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b/>
                <w:bCs/>
                <w:color w:val="002060"/>
                <w:szCs w:val="16"/>
              </w:rPr>
            </w:pPr>
            <w:r>
              <w:rPr>
                <w:rFonts w:eastAsia="Arial" w:cs="Arial"/>
                <w:b/>
                <w:bCs/>
                <w:color w:val="002060"/>
                <w:szCs w:val="16"/>
              </w:rPr>
              <w:t>31 December 2019</w:t>
            </w:r>
          </w:p>
        </w:tc>
        <w:tc>
          <w:tcPr>
            <w:tcW w:w="20" w:type="dxa"/>
            <w:shd w:val="clear" w:color="auto" w:fill="FFFFFF"/>
          </w:tcPr>
          <w:p w:rsidR="0022097C" w:rsidRDefault="0022097C">
            <w:pPr>
              <w:spacing w:line="240" w:lineRule="auto"/>
              <w:contextualSpacing/>
              <w:jc w:val="right"/>
              <w:rPr>
                <w:rFonts w:eastAsia="Arial" w:cs="Arial"/>
                <w:b/>
                <w:bCs/>
                <w:color w:val="002060"/>
                <w:szCs w:val="16"/>
              </w:rPr>
            </w:pPr>
          </w:p>
        </w:tc>
        <w:tc>
          <w:tcPr>
            <w:tcW w:w="20" w:type="dxa"/>
            <w:shd w:val="clear" w:color="auto" w:fill="FFFFFF"/>
          </w:tcPr>
          <w:p w:rsidR="0022097C" w:rsidRDefault="0022097C">
            <w:pPr>
              <w:spacing w:line="240" w:lineRule="auto"/>
              <w:contextualSpacing/>
              <w:jc w:val="right"/>
              <w:rPr>
                <w:rFonts w:eastAsia="Arial" w:cs="Arial"/>
                <w:b/>
                <w:bCs/>
                <w:color w:val="002060"/>
                <w:szCs w:val="16"/>
              </w:rPr>
            </w:pPr>
          </w:p>
        </w:tc>
        <w:tc>
          <w:tcPr>
            <w:tcW w:w="1243"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b/>
                <w:bCs/>
                <w:color w:val="002060"/>
                <w:szCs w:val="16"/>
              </w:rPr>
            </w:pPr>
            <w:r>
              <w:rPr>
                <w:rFonts w:eastAsia="Arial" w:cs="Arial"/>
                <w:b/>
                <w:bCs/>
                <w:color w:val="002060"/>
                <w:szCs w:val="16"/>
              </w:rPr>
              <w:t>to process</w:t>
            </w:r>
          </w:p>
        </w:tc>
        <w:tc>
          <w:tcPr>
            <w:tcW w:w="1110"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b/>
                <w:bCs/>
                <w:color w:val="002060"/>
                <w:szCs w:val="16"/>
              </w:rPr>
            </w:pPr>
            <w:r>
              <w:rPr>
                <w:rFonts w:eastAsia="Arial" w:cs="Arial"/>
                <w:b/>
                <w:bCs/>
                <w:color w:val="002060"/>
                <w:szCs w:val="16"/>
              </w:rPr>
              <w:t>assumption</w:t>
            </w:r>
          </w:p>
        </w:tc>
        <w:tc>
          <w:tcPr>
            <w:tcW w:w="1260"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r>
      <w:tr w:rsidR="0064628A" w:rsidTr="0022097C">
        <w:trPr>
          <w:trHeight w:val="195"/>
        </w:trPr>
        <w:tc>
          <w:tcPr>
            <w:tcW w:w="5103" w:type="dxa"/>
            <w:tcBorders>
              <w:top w:val="single" w:sz="6" w:space="0" w:color="002060"/>
            </w:tcBorders>
            <w:shd w:val="clear" w:color="auto" w:fill="FFFFFF"/>
            <w:noWrap/>
            <w:tcMar>
              <w:top w:w="0" w:type="dxa"/>
              <w:left w:w="5" w:type="dxa"/>
              <w:bottom w:w="0" w:type="dxa"/>
              <w:right w:w="5" w:type="dxa"/>
            </w:tcMar>
            <w:vAlign w:val="center"/>
            <w:hideMark/>
          </w:tcPr>
          <w:p w:rsidR="0022097C" w:rsidRDefault="00FC1FDC">
            <w:pPr>
              <w:spacing w:line="240" w:lineRule="auto"/>
              <w:contextualSpacing/>
              <w:rPr>
                <w:rFonts w:eastAsia="Arial" w:cs="Arial"/>
                <w:color w:val="000000"/>
                <w:szCs w:val="16"/>
              </w:rPr>
            </w:pPr>
            <w:r>
              <w:rPr>
                <w:rStyle w:val="font4"/>
              </w:rPr>
              <w:t xml:space="preserve">Average redress </w:t>
            </w:r>
            <w:r>
              <w:rPr>
                <w:rStyle w:val="font9"/>
              </w:rPr>
              <w:t>(1)</w:t>
            </w:r>
          </w:p>
        </w:tc>
        <w:tc>
          <w:tcPr>
            <w:tcW w:w="1467" w:type="dxa"/>
            <w:tcBorders>
              <w:top w:val="single" w:sz="6" w:space="0" w:color="002060"/>
            </w:tcBorders>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color w:val="000000"/>
                <w:szCs w:val="16"/>
              </w:rPr>
            </w:pPr>
            <w:r>
              <w:rPr>
                <w:rFonts w:eastAsia="Arial" w:cs="Arial"/>
                <w:color w:val="000000"/>
                <w:szCs w:val="16"/>
              </w:rPr>
              <w:t>£1,631</w:t>
            </w:r>
          </w:p>
        </w:tc>
        <w:tc>
          <w:tcPr>
            <w:tcW w:w="20" w:type="dxa"/>
            <w:tcBorders>
              <w:top w:val="single" w:sz="6" w:space="0" w:color="002060"/>
            </w:tcBorders>
            <w:shd w:val="clear" w:color="auto" w:fill="FFFFFF"/>
          </w:tcPr>
          <w:p w:rsidR="0022097C" w:rsidRDefault="0022097C">
            <w:pPr>
              <w:spacing w:line="240" w:lineRule="auto"/>
              <w:contextualSpacing/>
              <w:jc w:val="right"/>
              <w:rPr>
                <w:rFonts w:eastAsia="Arial" w:cs="Arial"/>
                <w:color w:val="000000"/>
                <w:szCs w:val="16"/>
              </w:rPr>
            </w:pPr>
          </w:p>
        </w:tc>
        <w:tc>
          <w:tcPr>
            <w:tcW w:w="20" w:type="dxa"/>
            <w:tcBorders>
              <w:top w:val="single" w:sz="6" w:space="0" w:color="002060"/>
            </w:tcBorders>
            <w:shd w:val="clear" w:color="auto" w:fill="FFFFFF"/>
          </w:tcPr>
          <w:p w:rsidR="0022097C" w:rsidRDefault="0022097C">
            <w:pPr>
              <w:spacing w:line="240" w:lineRule="auto"/>
              <w:contextualSpacing/>
              <w:jc w:val="right"/>
              <w:rPr>
                <w:rFonts w:eastAsia="Arial" w:cs="Arial"/>
                <w:color w:val="000000"/>
                <w:szCs w:val="16"/>
              </w:rPr>
            </w:pPr>
          </w:p>
        </w:tc>
        <w:tc>
          <w:tcPr>
            <w:tcW w:w="1243" w:type="dxa"/>
            <w:tcBorders>
              <w:top w:val="single" w:sz="6" w:space="0" w:color="002060"/>
            </w:tcBorders>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color w:val="000000"/>
                <w:szCs w:val="16"/>
              </w:rPr>
            </w:pPr>
            <w:r>
              <w:rPr>
                <w:rFonts w:eastAsia="Arial" w:cs="Arial"/>
                <w:color w:val="000000"/>
                <w:szCs w:val="16"/>
              </w:rPr>
              <w:t>£1,552</w:t>
            </w:r>
          </w:p>
        </w:tc>
        <w:tc>
          <w:tcPr>
            <w:tcW w:w="1110" w:type="dxa"/>
            <w:tcBorders>
              <w:top w:val="single" w:sz="6" w:space="0" w:color="002060"/>
            </w:tcBorders>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color w:val="000000"/>
                <w:szCs w:val="16"/>
              </w:rPr>
            </w:pPr>
            <w:r>
              <w:rPr>
                <w:rFonts w:eastAsia="Arial" w:cs="Arial"/>
                <w:color w:val="000000"/>
                <w:szCs w:val="16"/>
              </w:rPr>
              <w:t>+/-£150</w:t>
            </w:r>
          </w:p>
        </w:tc>
        <w:tc>
          <w:tcPr>
            <w:tcW w:w="1260" w:type="dxa"/>
            <w:tcBorders>
              <w:top w:val="single" w:sz="6" w:space="0" w:color="002060"/>
            </w:tcBorders>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color w:val="000000"/>
                <w:szCs w:val="16"/>
              </w:rPr>
            </w:pPr>
            <w:r>
              <w:rPr>
                <w:rFonts w:eastAsia="Arial" w:cs="Arial"/>
                <w:color w:val="000000"/>
                <w:szCs w:val="16"/>
              </w:rPr>
              <w:t>+/-74</w:t>
            </w:r>
          </w:p>
        </w:tc>
      </w:tr>
      <w:tr w:rsidR="0064628A" w:rsidTr="0022097C">
        <w:trPr>
          <w:trHeight w:val="195"/>
        </w:trPr>
        <w:tc>
          <w:tcPr>
            <w:tcW w:w="5103"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rPr>
                <w:rFonts w:eastAsia="Arial" w:cs="Arial"/>
                <w:color w:val="000000"/>
                <w:szCs w:val="16"/>
              </w:rPr>
            </w:pPr>
            <w:r>
              <w:rPr>
                <w:rStyle w:val="font4"/>
              </w:rPr>
              <w:t>No PPI %</w:t>
            </w:r>
            <w:r>
              <w:rPr>
                <w:rStyle w:val="font9"/>
              </w:rPr>
              <w:t> (2)</w:t>
            </w:r>
          </w:p>
        </w:tc>
        <w:tc>
          <w:tcPr>
            <w:tcW w:w="1467"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color w:val="000000"/>
                <w:szCs w:val="16"/>
              </w:rPr>
            </w:pPr>
            <w:r>
              <w:rPr>
                <w:rFonts w:eastAsia="Arial" w:cs="Arial"/>
                <w:color w:val="000000"/>
                <w:szCs w:val="16"/>
              </w:rPr>
              <w:t>28%</w:t>
            </w:r>
          </w:p>
        </w:tc>
        <w:tc>
          <w:tcPr>
            <w:tcW w:w="20" w:type="dxa"/>
            <w:shd w:val="clear" w:color="auto" w:fill="FFFFFF"/>
          </w:tcPr>
          <w:p w:rsidR="0022097C" w:rsidRDefault="0022097C">
            <w:pPr>
              <w:spacing w:line="240" w:lineRule="auto"/>
              <w:contextualSpacing/>
              <w:jc w:val="right"/>
              <w:rPr>
                <w:rFonts w:eastAsia="Arial" w:cs="Arial"/>
                <w:color w:val="000000"/>
                <w:szCs w:val="16"/>
              </w:rPr>
            </w:pPr>
          </w:p>
        </w:tc>
        <w:tc>
          <w:tcPr>
            <w:tcW w:w="20" w:type="dxa"/>
            <w:shd w:val="clear" w:color="auto" w:fill="FFFFFF"/>
          </w:tcPr>
          <w:p w:rsidR="0022097C" w:rsidRDefault="0022097C">
            <w:pPr>
              <w:spacing w:line="240" w:lineRule="auto"/>
              <w:contextualSpacing/>
              <w:jc w:val="right"/>
              <w:rPr>
                <w:rFonts w:eastAsia="Arial" w:cs="Arial"/>
                <w:color w:val="000000"/>
                <w:szCs w:val="16"/>
              </w:rPr>
            </w:pPr>
          </w:p>
        </w:tc>
        <w:tc>
          <w:tcPr>
            <w:tcW w:w="1243"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color w:val="000000"/>
                <w:szCs w:val="16"/>
              </w:rPr>
            </w:pPr>
            <w:r>
              <w:rPr>
                <w:rFonts w:eastAsia="Arial" w:cs="Arial"/>
                <w:color w:val="000000"/>
                <w:szCs w:val="16"/>
              </w:rPr>
              <w:t>60%</w:t>
            </w:r>
          </w:p>
        </w:tc>
        <w:tc>
          <w:tcPr>
            <w:tcW w:w="1110"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color w:val="000000"/>
                <w:szCs w:val="16"/>
              </w:rPr>
            </w:pPr>
            <w:r>
              <w:rPr>
                <w:rFonts w:eastAsia="Arial" w:cs="Arial"/>
                <w:color w:val="000000"/>
                <w:szCs w:val="16"/>
              </w:rPr>
              <w:t>+/-3%</w:t>
            </w:r>
          </w:p>
        </w:tc>
        <w:tc>
          <w:tcPr>
            <w:tcW w:w="1260"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color w:val="000000"/>
                <w:szCs w:val="16"/>
              </w:rPr>
            </w:pPr>
            <w:r>
              <w:rPr>
                <w:rFonts w:eastAsia="Arial" w:cs="Arial"/>
                <w:color w:val="000000"/>
                <w:szCs w:val="16"/>
              </w:rPr>
              <w:t>+/-13</w:t>
            </w:r>
          </w:p>
        </w:tc>
      </w:tr>
      <w:tr w:rsidR="0064628A" w:rsidTr="0022097C">
        <w:trPr>
          <w:trHeight w:val="195"/>
        </w:trPr>
        <w:tc>
          <w:tcPr>
            <w:tcW w:w="5103"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rPr>
                <w:rFonts w:eastAsia="Arial" w:cs="Arial"/>
                <w:color w:val="000000"/>
                <w:szCs w:val="16"/>
              </w:rPr>
            </w:pPr>
            <w:r>
              <w:rPr>
                <w:rStyle w:val="font4"/>
              </w:rPr>
              <w:t>Uphold rate</w:t>
            </w:r>
            <w:r>
              <w:rPr>
                <w:rStyle w:val="font9"/>
              </w:rPr>
              <w:t> (3)</w:t>
            </w:r>
          </w:p>
        </w:tc>
        <w:tc>
          <w:tcPr>
            <w:tcW w:w="1467" w:type="dxa"/>
            <w:shd w:val="clear" w:color="auto" w:fill="FFFFFF"/>
            <w:noWrap/>
            <w:tcMar>
              <w:top w:w="0" w:type="dxa"/>
              <w:left w:w="5" w:type="dxa"/>
              <w:bottom w:w="0" w:type="dxa"/>
              <w:right w:w="5" w:type="dxa"/>
            </w:tcMar>
            <w:vAlign w:val="center"/>
            <w:hideMark/>
          </w:tcPr>
          <w:p w:rsidR="0022097C" w:rsidRDefault="00FC1FDC" w:rsidP="0022097C">
            <w:pPr>
              <w:spacing w:line="240" w:lineRule="auto"/>
              <w:contextualSpacing/>
              <w:jc w:val="right"/>
              <w:rPr>
                <w:rFonts w:eastAsia="Arial" w:cs="Arial"/>
                <w:color w:val="000000"/>
                <w:szCs w:val="16"/>
              </w:rPr>
            </w:pPr>
            <w:r>
              <w:rPr>
                <w:rFonts w:eastAsia="Arial" w:cs="Arial"/>
                <w:color w:val="000000"/>
                <w:szCs w:val="16"/>
              </w:rPr>
              <w:t>85%</w:t>
            </w:r>
          </w:p>
        </w:tc>
        <w:tc>
          <w:tcPr>
            <w:tcW w:w="20" w:type="dxa"/>
            <w:shd w:val="clear" w:color="auto" w:fill="FFFFFF"/>
          </w:tcPr>
          <w:p w:rsidR="0022097C" w:rsidRDefault="0022097C" w:rsidP="0022097C">
            <w:pPr>
              <w:spacing w:line="240" w:lineRule="auto"/>
              <w:contextualSpacing/>
              <w:rPr>
                <w:rFonts w:eastAsia="Arial" w:cs="Arial"/>
                <w:color w:val="000000"/>
                <w:szCs w:val="16"/>
              </w:rPr>
            </w:pPr>
          </w:p>
        </w:tc>
        <w:tc>
          <w:tcPr>
            <w:tcW w:w="20" w:type="dxa"/>
            <w:shd w:val="clear" w:color="auto" w:fill="FFFFFF"/>
          </w:tcPr>
          <w:p w:rsidR="0022097C" w:rsidRDefault="0022097C" w:rsidP="0022097C">
            <w:pPr>
              <w:spacing w:line="240" w:lineRule="auto"/>
              <w:contextualSpacing/>
              <w:jc w:val="center"/>
              <w:rPr>
                <w:rFonts w:eastAsia="Arial" w:cs="Arial"/>
                <w:color w:val="000000"/>
                <w:szCs w:val="16"/>
              </w:rPr>
            </w:pPr>
          </w:p>
        </w:tc>
        <w:tc>
          <w:tcPr>
            <w:tcW w:w="1243"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color w:val="000000"/>
                <w:szCs w:val="16"/>
              </w:rPr>
            </w:pPr>
            <w:r>
              <w:rPr>
                <w:rFonts w:eastAsia="Arial" w:cs="Arial"/>
                <w:color w:val="000000"/>
                <w:szCs w:val="16"/>
              </w:rPr>
              <w:t>94%</w:t>
            </w:r>
          </w:p>
        </w:tc>
        <w:tc>
          <w:tcPr>
            <w:tcW w:w="1110"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1260" w:type="dxa"/>
            <w:shd w:val="clear" w:color="auto" w:fill="FFFFFF"/>
            <w:noWrap/>
            <w:tcMar>
              <w:top w:w="0" w:type="dxa"/>
              <w:left w:w="5" w:type="dxa"/>
              <w:bottom w:w="0" w:type="dxa"/>
              <w:right w:w="5" w:type="dxa"/>
            </w:tcMar>
            <w:vAlign w:val="center"/>
            <w:hideMark/>
          </w:tcPr>
          <w:p w:rsidR="0022097C" w:rsidRDefault="00FC1FDC">
            <w:pPr>
              <w:spacing w:line="240" w:lineRule="auto"/>
              <w:contextualSpacing/>
              <w:jc w:val="right"/>
              <w:rPr>
                <w:rFonts w:eastAsia="Arial" w:cs="Arial"/>
                <w:color w:val="000000"/>
                <w:szCs w:val="16"/>
              </w:rPr>
            </w:pPr>
            <w:r>
              <w:rPr>
                <w:rFonts w:eastAsia="Arial" w:cs="Arial"/>
                <w:color w:val="000000"/>
                <w:szCs w:val="16"/>
              </w:rPr>
              <w:t>+/-16</w:t>
            </w:r>
          </w:p>
        </w:tc>
      </w:tr>
      <w:tr w:rsidR="0064628A" w:rsidTr="0022097C">
        <w:trPr>
          <w:trHeight w:val="195"/>
        </w:trPr>
        <w:tc>
          <w:tcPr>
            <w:tcW w:w="5103" w:type="dxa"/>
            <w:tcBorders>
              <w:bottom w:val="single" w:sz="6" w:space="0" w:color="002060"/>
            </w:tcBorders>
            <w:shd w:val="clear" w:color="auto" w:fill="FFFFFF"/>
            <w:noWrap/>
            <w:tcMar>
              <w:top w:w="0" w:type="dxa"/>
              <w:left w:w="5" w:type="dxa"/>
              <w:bottom w:w="0" w:type="dxa"/>
              <w:right w:w="5" w:type="dxa"/>
            </w:tcMar>
            <w:vAlign w:val="center"/>
            <w:hideMark/>
          </w:tcPr>
          <w:p w:rsidR="0022097C" w:rsidRDefault="0022097C">
            <w:pPr>
              <w:spacing w:line="240" w:lineRule="auto"/>
              <w:contextualSpacing/>
              <w:rPr>
                <w:rFonts w:eastAsia="Arial" w:cs="Arial"/>
                <w:color w:val="000000"/>
                <w:szCs w:val="16"/>
              </w:rPr>
            </w:pPr>
          </w:p>
        </w:tc>
        <w:tc>
          <w:tcPr>
            <w:tcW w:w="1467" w:type="dxa"/>
            <w:tcBorders>
              <w:bottom w:val="single" w:sz="6" w:space="0" w:color="002060"/>
            </w:tcBorders>
            <w:shd w:val="clear" w:color="auto" w:fill="FFFFFF"/>
            <w:noWrap/>
            <w:tcMar>
              <w:top w:w="0" w:type="dxa"/>
              <w:left w:w="5" w:type="dxa"/>
              <w:bottom w:w="0" w:type="dxa"/>
              <w:right w:w="5" w:type="dxa"/>
            </w:tcMar>
            <w:vAlign w:val="center"/>
            <w:hideMark/>
          </w:tcPr>
          <w:p w:rsidR="0022097C" w:rsidRDefault="0022097C">
            <w:pPr>
              <w:spacing w:line="240" w:lineRule="auto"/>
              <w:contextualSpacing/>
              <w:jc w:val="right"/>
              <w:rPr>
                <w:rFonts w:eastAsia="Arial" w:cs="Arial"/>
                <w:color w:val="000000"/>
                <w:szCs w:val="16"/>
              </w:rPr>
            </w:pPr>
          </w:p>
        </w:tc>
        <w:tc>
          <w:tcPr>
            <w:tcW w:w="20" w:type="dxa"/>
            <w:tcBorders>
              <w:bottom w:val="single" w:sz="6" w:space="0" w:color="002060"/>
            </w:tcBorders>
            <w:shd w:val="clear" w:color="auto" w:fill="FFFFFF"/>
          </w:tcPr>
          <w:p w:rsidR="0022097C" w:rsidRDefault="0022097C" w:rsidP="0022097C">
            <w:pPr>
              <w:spacing w:line="240" w:lineRule="auto"/>
              <w:contextualSpacing/>
              <w:rPr>
                <w:rFonts w:eastAsia="Arial" w:cs="Arial"/>
                <w:color w:val="000000"/>
                <w:szCs w:val="16"/>
              </w:rPr>
            </w:pPr>
          </w:p>
        </w:tc>
        <w:tc>
          <w:tcPr>
            <w:tcW w:w="20" w:type="dxa"/>
            <w:tcBorders>
              <w:bottom w:val="single" w:sz="6" w:space="0" w:color="002060"/>
            </w:tcBorders>
            <w:shd w:val="clear" w:color="auto" w:fill="FFFFFF"/>
          </w:tcPr>
          <w:p w:rsidR="0022097C" w:rsidRDefault="0022097C" w:rsidP="0022097C">
            <w:pPr>
              <w:spacing w:line="240" w:lineRule="auto"/>
              <w:contextualSpacing/>
              <w:rPr>
                <w:rFonts w:eastAsia="Arial" w:cs="Arial"/>
                <w:color w:val="000000"/>
                <w:szCs w:val="16"/>
              </w:rPr>
            </w:pPr>
          </w:p>
        </w:tc>
        <w:tc>
          <w:tcPr>
            <w:tcW w:w="1243" w:type="dxa"/>
            <w:tcBorders>
              <w:bottom w:val="single" w:sz="6" w:space="0" w:color="002060"/>
            </w:tcBorders>
            <w:shd w:val="clear" w:color="auto" w:fill="FFFFFF"/>
            <w:noWrap/>
            <w:tcMar>
              <w:top w:w="0" w:type="dxa"/>
              <w:left w:w="5" w:type="dxa"/>
              <w:bottom w:w="0" w:type="dxa"/>
              <w:right w:w="5" w:type="dxa"/>
            </w:tcMar>
            <w:vAlign w:val="center"/>
            <w:hideMark/>
          </w:tcPr>
          <w:p w:rsidR="0022097C" w:rsidRDefault="0022097C" w:rsidP="0022097C">
            <w:pPr>
              <w:spacing w:line="240" w:lineRule="auto"/>
              <w:contextualSpacing/>
              <w:rPr>
                <w:rFonts w:eastAsia="Arial" w:cs="Arial"/>
                <w:color w:val="000000"/>
                <w:szCs w:val="16"/>
              </w:rPr>
            </w:pPr>
          </w:p>
        </w:tc>
        <w:tc>
          <w:tcPr>
            <w:tcW w:w="1110" w:type="dxa"/>
            <w:tcBorders>
              <w:bottom w:val="single" w:sz="6" w:space="0" w:color="002060"/>
            </w:tcBorders>
            <w:shd w:val="clear" w:color="auto" w:fill="FFFFFF"/>
            <w:noWrap/>
            <w:tcMar>
              <w:top w:w="0" w:type="dxa"/>
              <w:left w:w="5" w:type="dxa"/>
              <w:bottom w:w="0" w:type="dxa"/>
              <w:right w:w="5" w:type="dxa"/>
            </w:tcMar>
            <w:vAlign w:val="center"/>
            <w:hideMark/>
          </w:tcPr>
          <w:p w:rsidR="0022097C" w:rsidRDefault="0022097C">
            <w:pPr>
              <w:spacing w:line="240" w:lineRule="auto"/>
              <w:contextualSpacing/>
              <w:jc w:val="right"/>
              <w:rPr>
                <w:rFonts w:eastAsia="Arial" w:cs="Arial"/>
                <w:color w:val="000000"/>
                <w:szCs w:val="16"/>
              </w:rPr>
            </w:pPr>
          </w:p>
        </w:tc>
        <w:tc>
          <w:tcPr>
            <w:tcW w:w="1260" w:type="dxa"/>
            <w:tcBorders>
              <w:bottom w:val="single" w:sz="6" w:space="0" w:color="002060"/>
            </w:tcBorders>
            <w:shd w:val="clear" w:color="auto" w:fill="FFFFFF"/>
            <w:noWrap/>
            <w:tcMar>
              <w:top w:w="0" w:type="dxa"/>
              <w:left w:w="5" w:type="dxa"/>
              <w:bottom w:w="0" w:type="dxa"/>
              <w:right w:w="5" w:type="dxa"/>
            </w:tcMar>
            <w:vAlign w:val="center"/>
            <w:hideMark/>
          </w:tcPr>
          <w:p w:rsidR="0022097C" w:rsidRDefault="0022097C" w:rsidP="0022097C">
            <w:pPr>
              <w:spacing w:line="240" w:lineRule="auto"/>
              <w:contextualSpacing/>
              <w:rPr>
                <w:rFonts w:eastAsia="Arial" w:cs="Arial"/>
                <w:color w:val="000000"/>
                <w:szCs w:val="16"/>
              </w:rPr>
            </w:pPr>
          </w:p>
        </w:tc>
      </w:tr>
    </w:tbl>
    <w:p w:rsidR="00AE04A5" w:rsidRPr="00F57533" w:rsidRDefault="00AE04A5" w:rsidP="00FC440D">
      <w:pPr>
        <w:rPr>
          <w:sz w:val="8"/>
          <w:szCs w:val="14"/>
        </w:rPr>
      </w:pPr>
    </w:p>
    <w:p w:rsidR="00FC440D" w:rsidRDefault="00FC1FDC" w:rsidP="00FC440D">
      <w:pPr>
        <w:rPr>
          <w:sz w:val="14"/>
          <w:szCs w:val="14"/>
        </w:rPr>
      </w:pPr>
      <w:r>
        <w:rPr>
          <w:sz w:val="14"/>
          <w:szCs w:val="14"/>
        </w:rPr>
        <w:t>Notes:</w:t>
      </w:r>
    </w:p>
    <w:p w:rsidR="00CD42BD" w:rsidRDefault="00FC1FDC" w:rsidP="00FC440D">
      <w:pPr>
        <w:pStyle w:val="ListParagraph0"/>
        <w:numPr>
          <w:ilvl w:val="0"/>
          <w:numId w:val="6"/>
        </w:numPr>
        <w:spacing w:after="200"/>
        <w:rPr>
          <w:sz w:val="14"/>
          <w:szCs w:val="14"/>
        </w:rPr>
      </w:pPr>
      <w:r>
        <w:rPr>
          <w:sz w:val="14"/>
          <w:szCs w:val="14"/>
        </w:rPr>
        <w:t>Average redress for PPI (mis-sale) and Plevin (commission) pay outs</w:t>
      </w:r>
    </w:p>
    <w:p w:rsidR="00FC440D" w:rsidRDefault="00FC1FDC" w:rsidP="00FC440D">
      <w:pPr>
        <w:pStyle w:val="ListParagraph0"/>
        <w:numPr>
          <w:ilvl w:val="0"/>
          <w:numId w:val="6"/>
        </w:numPr>
        <w:spacing w:after="200"/>
        <w:rPr>
          <w:sz w:val="14"/>
          <w:szCs w:val="14"/>
        </w:rPr>
      </w:pPr>
      <w:r w:rsidRPr="00CD42BD">
        <w:rPr>
          <w:sz w:val="14"/>
          <w:szCs w:val="14"/>
        </w:rPr>
        <w:t>No PPI % relates to cases where no PPI policy exists.  Submissions submitted close to the statutory deadline have shown a much higher incidence of no product with the Group</w:t>
      </w:r>
      <w:r>
        <w:rPr>
          <w:sz w:val="14"/>
          <w:szCs w:val="14"/>
        </w:rPr>
        <w:t>.</w:t>
      </w:r>
    </w:p>
    <w:p w:rsidR="00FC440D" w:rsidRDefault="00FC1FDC" w:rsidP="00FC440D">
      <w:pPr>
        <w:pStyle w:val="ListParagraph0"/>
        <w:numPr>
          <w:ilvl w:val="0"/>
          <w:numId w:val="6"/>
        </w:numPr>
        <w:spacing w:after="200"/>
        <w:rPr>
          <w:sz w:val="14"/>
          <w:szCs w:val="14"/>
        </w:rPr>
      </w:pPr>
      <w:r>
        <w:rPr>
          <w:sz w:val="14"/>
          <w:szCs w:val="14"/>
        </w:rPr>
        <w:t>Average uphold rate per customer initiated claims received directly by RBS, including those received via CMCs, to end of timebar for both PPI (mis-sale) and Plevin (commission), excluding those for which no PPI policy exists.</w:t>
      </w:r>
    </w:p>
    <w:p w:rsidR="00262A19" w:rsidRPr="007D3841" w:rsidRDefault="00FC1FDC" w:rsidP="007D3841">
      <w:pPr>
        <w:pStyle w:val="ListParagraph0"/>
        <w:numPr>
          <w:ilvl w:val="0"/>
          <w:numId w:val="6"/>
        </w:numPr>
        <w:ind w:left="357" w:hanging="357"/>
        <w:rPr>
          <w:sz w:val="14"/>
          <w:szCs w:val="14"/>
        </w:rPr>
      </w:pPr>
      <w:r w:rsidRPr="007D3841">
        <w:br w:type="page"/>
      </w:r>
    </w:p>
    <w:p w:rsidR="000D6EFC" w:rsidRPr="00D32FFE" w:rsidRDefault="000D6EFC" w:rsidP="00D32FFE">
      <w:pPr>
        <w:pStyle w:val="Normal00"/>
        <w:spacing w:line="264" w:lineRule="auto"/>
        <w:jc w:val="both"/>
        <w:sectPr w:rsidR="000D6EFC" w:rsidRPr="00D32FFE" w:rsidSect="00527F23">
          <w:headerReference w:type="even" r:id="rId77"/>
          <w:headerReference w:type="default" r:id="rId78"/>
          <w:footerReference w:type="even" r:id="rId79"/>
          <w:footerReference w:type="default" r:id="rId80"/>
          <w:headerReference w:type="first" r:id="rId81"/>
          <w:footerReference w:type="first" r:id="rId82"/>
          <w:type w:val="continuous"/>
          <w:pgSz w:w="11906" w:h="16838"/>
          <w:pgMar w:top="1134" w:right="851" w:bottom="680" w:left="851" w:header="708" w:footer="708" w:gutter="0"/>
          <w:cols w:space="708"/>
          <w:docGrid w:linePitch="360"/>
        </w:sectPr>
      </w:pPr>
    </w:p>
    <w:p w:rsidR="00C003DF" w:rsidRDefault="00FC1FDC" w:rsidP="000A7AA5">
      <w:pPr>
        <w:pStyle w:val="Normal00"/>
        <w:tabs>
          <w:tab w:val="left" w:pos="1440"/>
        </w:tabs>
        <w:spacing w:line="259" w:lineRule="auto"/>
        <w:outlineLvl w:val="0"/>
        <w:rPr>
          <w:rFonts w:ascii="Arial" w:hAnsi="Arial" w:cs="Arial"/>
          <w:b/>
          <w:color w:val="003366"/>
          <w:sz w:val="20"/>
          <w:szCs w:val="20"/>
          <w:lang w:eastAsia="ja-JP"/>
        </w:rPr>
      </w:pPr>
      <w:r>
        <w:rPr>
          <w:rFonts w:ascii="Arial" w:hAnsi="Arial" w:cs="Arial"/>
          <w:b/>
          <w:color w:val="003366"/>
          <w:sz w:val="20"/>
          <w:szCs w:val="20"/>
          <w:lang w:eastAsia="ja-JP"/>
        </w:rPr>
        <w:t>Notes</w:t>
      </w:r>
    </w:p>
    <w:p w:rsidR="00C003DF" w:rsidRDefault="00FC1FDC" w:rsidP="000A7AA5">
      <w:pPr>
        <w:pStyle w:val="Normal00"/>
        <w:spacing w:line="259" w:lineRule="auto"/>
        <w:outlineLvl w:val="2"/>
        <w:rPr>
          <w:rFonts w:ascii="Arial" w:eastAsia="SimSun" w:hAnsi="Arial" w:cs="Arial"/>
          <w:b/>
          <w:bCs/>
          <w:color w:val="003366"/>
          <w:sz w:val="18"/>
          <w:szCs w:val="18"/>
        </w:rPr>
      </w:pPr>
      <w:r>
        <w:rPr>
          <w:rFonts w:ascii="Arial" w:eastAsia="SimSun" w:hAnsi="Arial" w:cs="Arial"/>
          <w:b/>
          <w:bCs/>
          <w:color w:val="003366"/>
          <w:sz w:val="18"/>
          <w:szCs w:val="18"/>
        </w:rPr>
        <w:t>4. Material developments in litigation, investigat</w:t>
      </w:r>
      <w:r w:rsidR="0014134B">
        <w:rPr>
          <w:rFonts w:ascii="Arial" w:eastAsia="SimSun" w:hAnsi="Arial" w:cs="Arial"/>
          <w:b/>
          <w:bCs/>
          <w:color w:val="003366"/>
          <w:sz w:val="18"/>
          <w:szCs w:val="18"/>
        </w:rPr>
        <w:t>ions and reviews</w:t>
      </w:r>
    </w:p>
    <w:p w:rsidR="00C003DF" w:rsidRDefault="00FC1FDC" w:rsidP="000A7AA5">
      <w:pPr>
        <w:pStyle w:val="Normal00"/>
        <w:autoSpaceDE w:val="0"/>
        <w:autoSpaceDN w:val="0"/>
        <w:adjustRightInd w:val="0"/>
        <w:spacing w:line="259" w:lineRule="auto"/>
        <w:rPr>
          <w:rFonts w:ascii="Arial" w:eastAsia="Calibri" w:hAnsi="Arial" w:cs="Arial"/>
          <w:sz w:val="20"/>
          <w:szCs w:val="20"/>
        </w:rPr>
      </w:pPr>
      <w:r>
        <w:rPr>
          <w:rFonts w:ascii="Arial" w:eastAsia="Calibri" w:hAnsi="Arial" w:cs="Arial"/>
          <w:sz w:val="18"/>
          <w:szCs w:val="18"/>
        </w:rPr>
        <w:t>RBSG plc and certain members of RBS Group are party to legal proceedings and the subject of investigation and other regulatory and governmental action (“Matters”) in the United Kingdom (UK), the United States (US), the European Union (EU) and other ju</w:t>
      </w:r>
      <w:r w:rsidR="009226ED">
        <w:rPr>
          <w:rFonts w:ascii="Arial" w:eastAsia="Calibri" w:hAnsi="Arial" w:cs="Arial"/>
          <w:sz w:val="18"/>
          <w:szCs w:val="18"/>
        </w:rPr>
        <w:t>risdictions. Note 2</w:t>
      </w:r>
      <w:r>
        <w:rPr>
          <w:rFonts w:ascii="Arial" w:eastAsia="Calibri" w:hAnsi="Arial" w:cs="Arial"/>
          <w:sz w:val="18"/>
          <w:szCs w:val="18"/>
        </w:rPr>
        <w:t>6</w:t>
      </w:r>
      <w:r w:rsidR="009226ED">
        <w:rPr>
          <w:rFonts w:ascii="Arial" w:eastAsia="Calibri" w:hAnsi="Arial" w:cs="Arial"/>
          <w:sz w:val="18"/>
          <w:szCs w:val="18"/>
        </w:rPr>
        <w:t xml:space="preserve"> in the 2019</w:t>
      </w:r>
      <w:r>
        <w:rPr>
          <w:rFonts w:ascii="Arial" w:eastAsia="Calibri" w:hAnsi="Arial" w:cs="Arial"/>
          <w:sz w:val="18"/>
          <w:szCs w:val="18"/>
        </w:rPr>
        <w:t xml:space="preserve"> Annual R</w:t>
      </w:r>
      <w:r w:rsidR="009226ED">
        <w:rPr>
          <w:rFonts w:ascii="Arial" w:eastAsia="Calibri" w:hAnsi="Arial" w:cs="Arial"/>
          <w:sz w:val="18"/>
          <w:szCs w:val="18"/>
        </w:rPr>
        <w:t>eport and Acco</w:t>
      </w:r>
      <w:r>
        <w:rPr>
          <w:rFonts w:ascii="Arial" w:eastAsia="Calibri" w:hAnsi="Arial" w:cs="Arial"/>
          <w:sz w:val="18"/>
          <w:szCs w:val="18"/>
        </w:rPr>
        <w:t>unts, issued on 14 February 2020 and available at</w:t>
      </w:r>
      <w:r w:rsidRPr="00D16AEB">
        <w:rPr>
          <w:rFonts w:ascii="Arial" w:eastAsia="Calibri" w:hAnsi="Arial" w:cs="Arial"/>
          <w:sz w:val="18"/>
          <w:szCs w:val="18"/>
        </w:rPr>
        <w:t xml:space="preserve"> RBS.com</w:t>
      </w:r>
      <w:r>
        <w:rPr>
          <w:rFonts w:ascii="Arial" w:eastAsia="Calibri" w:hAnsi="Arial" w:cs="Arial"/>
          <w:sz w:val="18"/>
          <w:szCs w:val="18"/>
        </w:rPr>
        <w:t xml:space="preserve"> (“Note 26”), discusses the Matters in which RBS Group is currently involved and developments to those matters. Other than the Matters discussed in Note 26, no member of RBS Group is or has been involved in governmental, legal, or regulatory proceedings (including those which are pending or threatened) that are expected to be material, individually or in aggregate. Recent developments in the Matters identified in Note 26 that</w:t>
      </w:r>
      <w:r w:rsidR="009226ED">
        <w:rPr>
          <w:rFonts w:ascii="Arial" w:eastAsia="Calibri" w:hAnsi="Arial" w:cs="Arial"/>
          <w:sz w:val="18"/>
          <w:szCs w:val="18"/>
        </w:rPr>
        <w:t xml:space="preserve"> have occurre</w:t>
      </w:r>
      <w:r>
        <w:rPr>
          <w:rFonts w:ascii="Arial" w:eastAsia="Calibri" w:hAnsi="Arial" w:cs="Arial"/>
          <w:sz w:val="18"/>
          <w:szCs w:val="18"/>
        </w:rPr>
        <w:t>d since the Q3 2019 Interim Management Statement was</w:t>
      </w:r>
      <w:r w:rsidR="009226ED">
        <w:rPr>
          <w:rFonts w:ascii="Arial" w:eastAsia="Calibri" w:hAnsi="Arial" w:cs="Arial"/>
          <w:sz w:val="18"/>
          <w:szCs w:val="18"/>
        </w:rPr>
        <w:t xml:space="preserve"> issued on 24 October 2019</w:t>
      </w:r>
      <w:r>
        <w:rPr>
          <w:rFonts w:ascii="Arial" w:eastAsia="Calibri" w:hAnsi="Arial" w:cs="Arial"/>
          <w:sz w:val="18"/>
          <w:szCs w:val="18"/>
        </w:rPr>
        <w:t>, include, but are not limited to, those set out below</w:t>
      </w:r>
      <w:r>
        <w:rPr>
          <w:rFonts w:ascii="Arial" w:eastAsia="Calibri" w:hAnsi="Arial" w:cs="Arial"/>
          <w:sz w:val="20"/>
          <w:szCs w:val="20"/>
        </w:rPr>
        <w:t>.</w:t>
      </w:r>
    </w:p>
    <w:p w:rsidR="00C003DF" w:rsidRDefault="00C003DF" w:rsidP="000A7AA5">
      <w:pPr>
        <w:pStyle w:val="Normal00"/>
        <w:spacing w:line="259" w:lineRule="auto"/>
        <w:outlineLvl w:val="2"/>
        <w:rPr>
          <w:rFonts w:ascii="Arial" w:eastAsia="Calibri" w:hAnsi="Arial" w:cs="Arial"/>
          <w:sz w:val="20"/>
          <w:szCs w:val="20"/>
        </w:rPr>
      </w:pPr>
    </w:p>
    <w:p w:rsidR="00C003DF" w:rsidRDefault="00FC1FDC" w:rsidP="000A7AA5">
      <w:pPr>
        <w:pStyle w:val="Normal00"/>
        <w:spacing w:line="259" w:lineRule="auto"/>
        <w:outlineLvl w:val="2"/>
        <w:rPr>
          <w:rFonts w:ascii="Arial" w:eastAsia="SimSun" w:hAnsi="Arial" w:cs="Arial"/>
          <w:b/>
          <w:bCs/>
          <w:color w:val="003366"/>
          <w:sz w:val="18"/>
          <w:szCs w:val="18"/>
        </w:rPr>
      </w:pPr>
      <w:r w:rsidRPr="00E73427">
        <w:rPr>
          <w:rFonts w:ascii="Arial" w:eastAsia="SimSun" w:hAnsi="Arial" w:cs="Arial"/>
          <w:b/>
          <w:bCs/>
          <w:color w:val="003366"/>
          <w:sz w:val="18"/>
          <w:szCs w:val="18"/>
        </w:rPr>
        <w:t>Litigation</w:t>
      </w:r>
    </w:p>
    <w:p w:rsidR="00CB18DF" w:rsidRDefault="00FC1FDC" w:rsidP="000A7AA5">
      <w:pPr>
        <w:pStyle w:val="Normal00"/>
        <w:spacing w:line="259" w:lineRule="auto"/>
        <w:rPr>
          <w:rFonts w:ascii="Arial" w:eastAsia="SimSun" w:hAnsi="Arial" w:cs="Arial"/>
          <w:bCs/>
          <w:color w:val="003366"/>
          <w:sz w:val="18"/>
          <w:szCs w:val="18"/>
        </w:rPr>
      </w:pPr>
      <w:r>
        <w:rPr>
          <w:rFonts w:ascii="Arial" w:eastAsia="SimSun" w:hAnsi="Arial" w:cs="Arial"/>
          <w:bCs/>
          <w:color w:val="003366"/>
          <w:sz w:val="18"/>
          <w:szCs w:val="18"/>
        </w:rPr>
        <w:t>FX an</w:t>
      </w:r>
      <w:r>
        <w:rPr>
          <w:rFonts w:ascii="Arial" w:eastAsia="SimSun" w:hAnsi="Arial" w:cs="Arial"/>
          <w:bCs/>
          <w:sz w:val="18"/>
          <w:szCs w:val="18"/>
        </w:rPr>
        <w:t>titru</w:t>
      </w:r>
      <w:r>
        <w:rPr>
          <w:rFonts w:ascii="Arial" w:eastAsia="SimSun" w:hAnsi="Arial" w:cs="Arial"/>
          <w:bCs/>
          <w:color w:val="003366"/>
          <w:sz w:val="18"/>
          <w:szCs w:val="18"/>
        </w:rPr>
        <w:t>st litigation</w:t>
      </w:r>
    </w:p>
    <w:p w:rsidR="00CB18DF" w:rsidRDefault="00FC1FDC" w:rsidP="000A7AA5">
      <w:pPr>
        <w:pStyle w:val="Normal00"/>
        <w:spacing w:line="259" w:lineRule="auto"/>
        <w:rPr>
          <w:rFonts w:ascii="Arial" w:eastAsia="Calibri" w:hAnsi="Arial" w:cs="Arial"/>
          <w:sz w:val="18"/>
          <w:szCs w:val="18"/>
        </w:rPr>
      </w:pPr>
      <w:r>
        <w:rPr>
          <w:rFonts w:ascii="Arial" w:eastAsia="Calibri" w:hAnsi="Arial" w:cs="Arial"/>
          <w:sz w:val="18"/>
          <w:szCs w:val="18"/>
        </w:rPr>
        <w:t>On 11 December 2019, an application seeking an opt-out collective proceedings order was filed in the UK Competition Appeal Tribunal (‘the CAT’) against RBSG plc, NWM Plc and other banks. The application has been brought on behalf of persons who, between 18 December 2007 and 31 January 2013, entered into a relevant FX spot or outright forward transaction in the EEA with a relevant financial institution or on an electronic communications network. A similar application was filed in the CAT on 29 July 2019 and which was previously disclosed. It is anticipated that the CAT will determine which of the two opt-out applications should be permitted to represent the class.</w:t>
      </w:r>
    </w:p>
    <w:p w:rsidR="00CB18DF" w:rsidRDefault="00CB18DF" w:rsidP="000A7AA5">
      <w:pPr>
        <w:pStyle w:val="Normal00"/>
        <w:spacing w:line="259" w:lineRule="auto"/>
        <w:rPr>
          <w:rFonts w:ascii="Arial" w:eastAsia="Calibri" w:hAnsi="Arial" w:cs="Arial"/>
          <w:sz w:val="18"/>
          <w:szCs w:val="18"/>
        </w:rPr>
      </w:pPr>
    </w:p>
    <w:p w:rsidR="00CB18DF" w:rsidRDefault="00FC1FDC" w:rsidP="000A7AA5">
      <w:pPr>
        <w:pStyle w:val="Normal00"/>
        <w:spacing w:line="259" w:lineRule="auto"/>
        <w:rPr>
          <w:rFonts w:ascii="Arial" w:eastAsia="Calibri" w:hAnsi="Arial" w:cs="Arial"/>
          <w:b/>
          <w:iCs/>
          <w:sz w:val="18"/>
          <w:szCs w:val="18"/>
          <w:lang w:val="en-US"/>
        </w:rPr>
      </w:pPr>
      <w:r>
        <w:rPr>
          <w:rFonts w:ascii="Arial" w:eastAsia="SimSun" w:hAnsi="Arial" w:cs="Arial"/>
          <w:b/>
          <w:bCs/>
          <w:color w:val="003366"/>
          <w:sz w:val="18"/>
          <w:szCs w:val="18"/>
        </w:rPr>
        <w:t>Investigations and reviews</w:t>
      </w:r>
    </w:p>
    <w:p w:rsidR="00CB18DF" w:rsidRDefault="00FC1FDC" w:rsidP="000A7AA5">
      <w:pPr>
        <w:pStyle w:val="Normal00"/>
        <w:spacing w:line="259" w:lineRule="auto"/>
        <w:rPr>
          <w:rFonts w:ascii="Arial" w:eastAsia="SimSun" w:hAnsi="Arial" w:cs="Arial"/>
          <w:bCs/>
          <w:color w:val="003366"/>
          <w:sz w:val="18"/>
          <w:szCs w:val="18"/>
        </w:rPr>
      </w:pPr>
      <w:r>
        <w:rPr>
          <w:rFonts w:ascii="Arial" w:eastAsia="SimSun" w:hAnsi="Arial" w:cs="Arial"/>
          <w:bCs/>
          <w:color w:val="003366"/>
          <w:sz w:val="18"/>
          <w:szCs w:val="18"/>
        </w:rPr>
        <w:t>Investment advice review</w:t>
      </w:r>
    </w:p>
    <w:p w:rsidR="00043F26" w:rsidRDefault="00FC1FDC" w:rsidP="000A7AA5">
      <w:pPr>
        <w:pStyle w:val="Normal00"/>
        <w:spacing w:line="259" w:lineRule="auto"/>
        <w:rPr>
          <w:rFonts w:ascii="Arial" w:eastAsia="SimSun" w:hAnsi="Arial" w:cs="Arial"/>
          <w:bCs/>
          <w:sz w:val="18"/>
          <w:szCs w:val="18"/>
        </w:rPr>
      </w:pPr>
      <w:r>
        <w:rPr>
          <w:rFonts w:ascii="Arial" w:eastAsia="SimSun" w:hAnsi="Arial" w:cs="Arial"/>
          <w:bCs/>
          <w:sz w:val="18"/>
          <w:szCs w:val="18"/>
        </w:rPr>
        <w:t>As previously disclosed, RBS Group undertook a past business review of investment advice provided during 2010 to 2015. During</w:t>
      </w:r>
      <w:r w:rsidR="0014134B">
        <w:rPr>
          <w:rFonts w:ascii="Arial" w:eastAsia="SimSun" w:hAnsi="Arial" w:cs="Arial"/>
          <w:bCs/>
          <w:sz w:val="18"/>
          <w:szCs w:val="18"/>
        </w:rPr>
        <w:t xml:space="preserve"> October 2019, the FCA notified RBS </w:t>
      </w:r>
      <w:r>
        <w:rPr>
          <w:rFonts w:ascii="Arial" w:eastAsia="SimSun" w:hAnsi="Arial" w:cs="Arial"/>
          <w:bCs/>
          <w:sz w:val="18"/>
          <w:szCs w:val="18"/>
        </w:rPr>
        <w:t xml:space="preserve">Group </w:t>
      </w:r>
      <w:r w:rsidR="0014134B">
        <w:rPr>
          <w:rFonts w:ascii="Arial" w:eastAsia="SimSun" w:hAnsi="Arial" w:cs="Arial"/>
          <w:bCs/>
          <w:sz w:val="18"/>
          <w:szCs w:val="18"/>
        </w:rPr>
        <w:t xml:space="preserve">of its intention to </w:t>
      </w:r>
      <w:r>
        <w:rPr>
          <w:rFonts w:ascii="Arial" w:eastAsia="SimSun" w:hAnsi="Arial" w:cs="Arial"/>
          <w:bCs/>
          <w:sz w:val="18"/>
          <w:szCs w:val="18"/>
        </w:rPr>
        <w:t xml:space="preserve">appoint a Skilled Person under section 166 of the Financial Services and Markets Act 2000 to conduct a review of whether that past business review was subject to appropriate governance and accountability and led to appropriate customer outcomes. </w:t>
      </w:r>
      <w:r w:rsidRPr="00043F26">
        <w:rPr>
          <w:rFonts w:ascii="Arial" w:eastAsia="SimSun" w:hAnsi="Arial" w:cs="Arial"/>
          <w:bCs/>
          <w:sz w:val="18"/>
          <w:szCs w:val="18"/>
        </w:rPr>
        <w:t xml:space="preserve">RBS Group is co-operating with the Skilled Person’s review, which is expected to conclude during Q1 2020. </w:t>
      </w:r>
    </w:p>
    <w:p w:rsidR="0014134B" w:rsidRDefault="0014134B" w:rsidP="000A7AA5">
      <w:pPr>
        <w:pStyle w:val="Normal00"/>
        <w:spacing w:line="259" w:lineRule="auto"/>
        <w:rPr>
          <w:rFonts w:ascii="Arial" w:eastAsia="SimSun" w:hAnsi="Arial" w:cs="Arial"/>
          <w:bCs/>
          <w:sz w:val="18"/>
          <w:szCs w:val="18"/>
        </w:rPr>
      </w:pPr>
    </w:p>
    <w:p w:rsidR="0014134B" w:rsidRDefault="00FC1FDC" w:rsidP="000A7AA5">
      <w:pPr>
        <w:autoSpaceDE w:val="0"/>
        <w:autoSpaceDN w:val="0"/>
        <w:spacing w:line="259" w:lineRule="auto"/>
        <w:rPr>
          <w:sz w:val="18"/>
          <w:szCs w:val="18"/>
          <w:lang w:val="en-US"/>
        </w:rPr>
      </w:pPr>
      <w:r>
        <w:rPr>
          <w:color w:val="0A2F64"/>
          <w:sz w:val="18"/>
          <w:szCs w:val="18"/>
          <w:lang w:val="en-US"/>
        </w:rPr>
        <w:t>US investigations relating to fixed-income securities</w:t>
      </w:r>
    </w:p>
    <w:p w:rsidR="002D6C40" w:rsidRDefault="00FC1FDC" w:rsidP="002D6C40">
      <w:pPr>
        <w:pStyle w:val="Normal00"/>
        <w:spacing w:line="259" w:lineRule="auto"/>
        <w:rPr>
          <w:rFonts w:ascii="Arial" w:eastAsia="SimSun" w:hAnsi="Arial" w:cs="Arial"/>
          <w:bCs/>
          <w:sz w:val="18"/>
          <w:szCs w:val="18"/>
        </w:rPr>
      </w:pPr>
      <w:r w:rsidRPr="002D6C40">
        <w:rPr>
          <w:rFonts w:ascii="Arial" w:eastAsia="SimSun" w:hAnsi="Arial" w:cs="Arial"/>
          <w:bCs/>
          <w:sz w:val="18"/>
          <w:szCs w:val="18"/>
        </w:rPr>
        <w:t xml:space="preserve">In the US, RBS Group companies have in recent years </w:t>
      </w:r>
      <w:r>
        <w:rPr>
          <w:rFonts w:ascii="Arial" w:eastAsia="SimSun" w:hAnsi="Arial" w:cs="Arial"/>
          <w:bCs/>
          <w:sz w:val="18"/>
          <w:szCs w:val="18"/>
        </w:rPr>
        <w:t xml:space="preserve">been involved in investigations </w:t>
      </w:r>
      <w:r w:rsidRPr="002D6C40">
        <w:rPr>
          <w:rFonts w:ascii="Arial" w:eastAsia="SimSun" w:hAnsi="Arial" w:cs="Arial"/>
          <w:bCs/>
          <w:sz w:val="18"/>
          <w:szCs w:val="18"/>
        </w:rPr>
        <w:t>relating to, among other things, issuance, underwritin</w:t>
      </w:r>
      <w:r>
        <w:rPr>
          <w:rFonts w:ascii="Arial" w:eastAsia="SimSun" w:hAnsi="Arial" w:cs="Arial"/>
          <w:bCs/>
          <w:sz w:val="18"/>
          <w:szCs w:val="18"/>
        </w:rPr>
        <w:t xml:space="preserve">g and trading in RMBS and other </w:t>
      </w:r>
      <w:r w:rsidRPr="002D6C40">
        <w:rPr>
          <w:rFonts w:ascii="Arial" w:eastAsia="SimSun" w:hAnsi="Arial" w:cs="Arial"/>
          <w:bCs/>
          <w:sz w:val="18"/>
          <w:szCs w:val="18"/>
        </w:rPr>
        <w:t xml:space="preserve">mortgage-backed securities and collateralised debt </w:t>
      </w:r>
      <w:r>
        <w:rPr>
          <w:rFonts w:ascii="Arial" w:eastAsia="SimSun" w:hAnsi="Arial" w:cs="Arial"/>
          <w:bCs/>
          <w:sz w:val="18"/>
          <w:szCs w:val="18"/>
        </w:rPr>
        <w:t xml:space="preserve">obligations (CDOs). Investigations by </w:t>
      </w:r>
      <w:r w:rsidRPr="002D6C40">
        <w:rPr>
          <w:rFonts w:ascii="Arial" w:eastAsia="SimSun" w:hAnsi="Arial" w:cs="Arial"/>
          <w:bCs/>
          <w:sz w:val="18"/>
          <w:szCs w:val="18"/>
        </w:rPr>
        <w:t>the US Department of Justice (DoJ) and several state at</w:t>
      </w:r>
      <w:r>
        <w:rPr>
          <w:rFonts w:ascii="Arial" w:eastAsia="SimSun" w:hAnsi="Arial" w:cs="Arial"/>
          <w:bCs/>
          <w:sz w:val="18"/>
          <w:szCs w:val="18"/>
        </w:rPr>
        <w:t xml:space="preserve">torneys general relating to the issuance and </w:t>
      </w:r>
      <w:r w:rsidRPr="002D6C40">
        <w:rPr>
          <w:rFonts w:ascii="Arial" w:eastAsia="SimSun" w:hAnsi="Arial" w:cs="Arial"/>
          <w:bCs/>
          <w:sz w:val="18"/>
          <w:szCs w:val="18"/>
        </w:rPr>
        <w:t>underwriting of RMBS were previously resolved</w:t>
      </w:r>
      <w:r>
        <w:rPr>
          <w:rFonts w:ascii="Arial" w:eastAsia="SimSun" w:hAnsi="Arial" w:cs="Arial"/>
          <w:bCs/>
          <w:sz w:val="18"/>
          <w:szCs w:val="18"/>
        </w:rPr>
        <w:t xml:space="preserve">. Certain other state attorneys </w:t>
      </w:r>
      <w:r w:rsidRPr="002D6C40">
        <w:rPr>
          <w:rFonts w:ascii="Arial" w:eastAsia="SimSun" w:hAnsi="Arial" w:cs="Arial"/>
          <w:bCs/>
          <w:sz w:val="18"/>
          <w:szCs w:val="18"/>
        </w:rPr>
        <w:t>general have sought information regarding similar issues,</w:t>
      </w:r>
      <w:r>
        <w:rPr>
          <w:rFonts w:ascii="Arial" w:eastAsia="SimSun" w:hAnsi="Arial" w:cs="Arial"/>
          <w:bCs/>
          <w:sz w:val="18"/>
          <w:szCs w:val="18"/>
        </w:rPr>
        <w:t xml:space="preserve"> and RBS Group is aware that at </w:t>
      </w:r>
      <w:r w:rsidRPr="002D6C40">
        <w:rPr>
          <w:rFonts w:ascii="Arial" w:eastAsia="SimSun" w:hAnsi="Arial" w:cs="Arial"/>
          <w:bCs/>
          <w:sz w:val="18"/>
          <w:szCs w:val="18"/>
        </w:rPr>
        <w:t>least one such investigation is ongoing.</w:t>
      </w:r>
    </w:p>
    <w:p w:rsidR="002D6C40" w:rsidRPr="002D6C40" w:rsidRDefault="002D6C40" w:rsidP="002D6C40">
      <w:pPr>
        <w:pStyle w:val="Normal00"/>
        <w:spacing w:line="259" w:lineRule="auto"/>
        <w:rPr>
          <w:rFonts w:ascii="Arial" w:eastAsia="SimSun" w:hAnsi="Arial" w:cs="Arial"/>
          <w:bCs/>
          <w:sz w:val="18"/>
          <w:szCs w:val="18"/>
        </w:rPr>
      </w:pPr>
    </w:p>
    <w:p w:rsidR="002D6C40" w:rsidRDefault="00FC1FDC" w:rsidP="002D6C40">
      <w:pPr>
        <w:pStyle w:val="Normal00"/>
        <w:spacing w:line="259" w:lineRule="auto"/>
        <w:rPr>
          <w:rFonts w:ascii="Arial" w:eastAsia="SimSun" w:hAnsi="Arial" w:cs="Arial"/>
          <w:bCs/>
          <w:sz w:val="18"/>
          <w:szCs w:val="18"/>
        </w:rPr>
      </w:pPr>
      <w:r w:rsidRPr="002D6C40">
        <w:rPr>
          <w:rFonts w:ascii="Arial" w:eastAsia="SimSun" w:hAnsi="Arial" w:cs="Arial"/>
          <w:bCs/>
          <w:sz w:val="18"/>
          <w:szCs w:val="18"/>
        </w:rPr>
        <w:t xml:space="preserve">In October 2017, NWMSI entered into a non-prosecution </w:t>
      </w:r>
      <w:r>
        <w:rPr>
          <w:rFonts w:ascii="Arial" w:eastAsia="SimSun" w:hAnsi="Arial" w:cs="Arial"/>
          <w:bCs/>
          <w:sz w:val="18"/>
          <w:szCs w:val="18"/>
        </w:rPr>
        <w:t xml:space="preserve">agreement (NPA) with the United </w:t>
      </w:r>
      <w:r w:rsidRPr="002D6C40">
        <w:rPr>
          <w:rFonts w:ascii="Arial" w:eastAsia="SimSun" w:hAnsi="Arial" w:cs="Arial"/>
          <w:bCs/>
          <w:sz w:val="18"/>
          <w:szCs w:val="18"/>
        </w:rPr>
        <w:t>States Attorney for the District of Connecticut (USAO) in connection with alleged</w:t>
      </w:r>
      <w:r>
        <w:rPr>
          <w:rFonts w:ascii="Arial" w:eastAsia="SimSun" w:hAnsi="Arial" w:cs="Arial"/>
          <w:bCs/>
          <w:sz w:val="18"/>
          <w:szCs w:val="18"/>
        </w:rPr>
        <w:t xml:space="preserve"> </w:t>
      </w:r>
      <w:r w:rsidRPr="002D6C40">
        <w:rPr>
          <w:rFonts w:ascii="Arial" w:eastAsia="SimSun" w:hAnsi="Arial" w:cs="Arial"/>
          <w:bCs/>
          <w:sz w:val="18"/>
          <w:szCs w:val="18"/>
        </w:rPr>
        <w:t>misrepresentations to counterparties relating to second</w:t>
      </w:r>
      <w:r>
        <w:rPr>
          <w:rFonts w:ascii="Arial" w:eastAsia="SimSun" w:hAnsi="Arial" w:cs="Arial"/>
          <w:bCs/>
          <w:sz w:val="18"/>
          <w:szCs w:val="18"/>
        </w:rPr>
        <w:t xml:space="preserve">ary trading in various forms of </w:t>
      </w:r>
      <w:r w:rsidRPr="002D6C40">
        <w:rPr>
          <w:rFonts w:ascii="Arial" w:eastAsia="SimSun" w:hAnsi="Arial" w:cs="Arial"/>
          <w:bCs/>
          <w:sz w:val="18"/>
          <w:szCs w:val="18"/>
        </w:rPr>
        <w:t>asset-backed securities. In the NPA, the USAO agreed not to</w:t>
      </w:r>
      <w:r>
        <w:rPr>
          <w:rFonts w:ascii="Arial" w:eastAsia="SimSun" w:hAnsi="Arial" w:cs="Arial"/>
          <w:bCs/>
          <w:sz w:val="18"/>
          <w:szCs w:val="18"/>
        </w:rPr>
        <w:t xml:space="preserve"> file criminal charges relating </w:t>
      </w:r>
      <w:r w:rsidRPr="002D6C40">
        <w:rPr>
          <w:rFonts w:ascii="Arial" w:eastAsia="SimSun" w:hAnsi="Arial" w:cs="Arial"/>
          <w:bCs/>
          <w:sz w:val="18"/>
          <w:szCs w:val="18"/>
        </w:rPr>
        <w:t>to certain conduct and information described in the NPA, conditioned</w:t>
      </w:r>
      <w:r>
        <w:rPr>
          <w:rFonts w:ascii="Arial" w:eastAsia="SimSun" w:hAnsi="Arial" w:cs="Arial"/>
          <w:bCs/>
          <w:sz w:val="18"/>
          <w:szCs w:val="18"/>
        </w:rPr>
        <w:t xml:space="preserve"> </w:t>
      </w:r>
      <w:r w:rsidRPr="002D6C40">
        <w:rPr>
          <w:rFonts w:ascii="Arial" w:eastAsia="SimSun" w:hAnsi="Arial" w:cs="Arial"/>
          <w:bCs/>
          <w:sz w:val="18"/>
          <w:szCs w:val="18"/>
        </w:rPr>
        <w:t>on NWMSI and affiliated companies complying with the NPA’</w:t>
      </w:r>
      <w:r>
        <w:rPr>
          <w:rFonts w:ascii="Arial" w:eastAsia="SimSun" w:hAnsi="Arial" w:cs="Arial"/>
          <w:bCs/>
          <w:sz w:val="18"/>
          <w:szCs w:val="18"/>
        </w:rPr>
        <w:t xml:space="preserve">s reporting and conduct </w:t>
      </w:r>
      <w:r w:rsidRPr="002D6C40">
        <w:rPr>
          <w:rFonts w:ascii="Arial" w:eastAsia="SimSun" w:hAnsi="Arial" w:cs="Arial"/>
          <w:bCs/>
          <w:sz w:val="18"/>
          <w:szCs w:val="18"/>
        </w:rPr>
        <w:t xml:space="preserve">requirements during its term, including by not engaging in </w:t>
      </w:r>
      <w:r>
        <w:rPr>
          <w:rFonts w:ascii="Arial" w:eastAsia="SimSun" w:hAnsi="Arial" w:cs="Arial"/>
          <w:bCs/>
          <w:sz w:val="18"/>
          <w:szCs w:val="18"/>
        </w:rPr>
        <w:t xml:space="preserve">conduct during the NPA that the </w:t>
      </w:r>
      <w:r w:rsidRPr="002D6C40">
        <w:rPr>
          <w:rFonts w:ascii="Arial" w:eastAsia="SimSun" w:hAnsi="Arial" w:cs="Arial"/>
          <w:bCs/>
          <w:sz w:val="18"/>
          <w:szCs w:val="18"/>
        </w:rPr>
        <w:t>USAO determines was a felony under fed</w:t>
      </w:r>
      <w:r>
        <w:rPr>
          <w:rFonts w:ascii="Arial" w:eastAsia="SimSun" w:hAnsi="Arial" w:cs="Arial"/>
          <w:bCs/>
          <w:sz w:val="18"/>
          <w:szCs w:val="18"/>
        </w:rPr>
        <w:t xml:space="preserve">eral or state law or a </w:t>
      </w:r>
      <w:r w:rsidRPr="002D6C40">
        <w:rPr>
          <w:rFonts w:ascii="Arial" w:eastAsia="SimSun" w:hAnsi="Arial" w:cs="Arial"/>
          <w:bCs/>
          <w:sz w:val="18"/>
          <w:szCs w:val="18"/>
        </w:rPr>
        <w:t>violation of the anti-fraud provisions of the United States securities law.</w:t>
      </w:r>
    </w:p>
    <w:p w:rsidR="002D6C40" w:rsidRPr="002D6C40" w:rsidRDefault="002D6C40" w:rsidP="002D6C40">
      <w:pPr>
        <w:pStyle w:val="Normal00"/>
        <w:spacing w:line="259" w:lineRule="auto"/>
        <w:rPr>
          <w:rFonts w:ascii="Arial" w:eastAsia="SimSun" w:hAnsi="Arial" w:cs="Arial"/>
          <w:bCs/>
          <w:sz w:val="18"/>
          <w:szCs w:val="18"/>
        </w:rPr>
      </w:pPr>
    </w:p>
    <w:p w:rsidR="002D6C40" w:rsidRPr="002D6C40" w:rsidRDefault="00FC1FDC" w:rsidP="002D6C40">
      <w:pPr>
        <w:pStyle w:val="Normal00"/>
        <w:spacing w:line="259" w:lineRule="auto"/>
        <w:rPr>
          <w:rFonts w:ascii="Arial" w:eastAsia="SimSun" w:hAnsi="Arial" w:cs="Arial"/>
          <w:bCs/>
          <w:sz w:val="18"/>
          <w:szCs w:val="18"/>
        </w:rPr>
      </w:pPr>
      <w:r w:rsidRPr="002D6C40">
        <w:rPr>
          <w:rFonts w:ascii="Arial" w:eastAsia="SimSun" w:hAnsi="Arial" w:cs="Arial"/>
          <w:bCs/>
          <w:sz w:val="18"/>
          <w:szCs w:val="18"/>
        </w:rPr>
        <w:t xml:space="preserve">The RBS Group’s NatWest Markets business is currently responding to a separate </w:t>
      </w:r>
      <w:r>
        <w:rPr>
          <w:rFonts w:ascii="Arial" w:eastAsia="SimSun" w:hAnsi="Arial" w:cs="Arial"/>
          <w:bCs/>
          <w:sz w:val="18"/>
          <w:szCs w:val="18"/>
        </w:rPr>
        <w:t xml:space="preserve">criminal </w:t>
      </w:r>
      <w:r w:rsidRPr="002D6C40">
        <w:rPr>
          <w:rFonts w:ascii="Arial" w:eastAsia="SimSun" w:hAnsi="Arial" w:cs="Arial"/>
          <w:bCs/>
          <w:sz w:val="18"/>
          <w:szCs w:val="18"/>
        </w:rPr>
        <w:t xml:space="preserve">investigation </w:t>
      </w:r>
      <w:r>
        <w:rPr>
          <w:rFonts w:ascii="Arial" w:eastAsia="SimSun" w:hAnsi="Arial" w:cs="Arial"/>
          <w:bCs/>
          <w:sz w:val="18"/>
          <w:szCs w:val="18"/>
        </w:rPr>
        <w:t xml:space="preserve">by the USAO </w:t>
      </w:r>
      <w:r w:rsidRPr="002D6C40">
        <w:rPr>
          <w:rFonts w:ascii="Arial" w:eastAsia="SimSun" w:hAnsi="Arial" w:cs="Arial"/>
          <w:bCs/>
          <w:sz w:val="18"/>
          <w:szCs w:val="18"/>
        </w:rPr>
        <w:t xml:space="preserve">concerning unrelated securities trading </w:t>
      </w:r>
      <w:r>
        <w:rPr>
          <w:rFonts w:ascii="Arial" w:eastAsia="SimSun" w:hAnsi="Arial" w:cs="Arial"/>
          <w:bCs/>
          <w:sz w:val="18"/>
          <w:szCs w:val="18"/>
        </w:rPr>
        <w:t xml:space="preserve">in </w:t>
      </w:r>
      <w:r w:rsidRPr="002D6C40">
        <w:rPr>
          <w:rFonts w:ascii="Arial" w:eastAsia="SimSun" w:hAnsi="Arial" w:cs="Arial"/>
          <w:bCs/>
          <w:sz w:val="18"/>
          <w:szCs w:val="18"/>
        </w:rPr>
        <w:t>2018 by certain former traders of NWM Plc, involving alleged spoofing</w:t>
      </w:r>
      <w:r>
        <w:rPr>
          <w:rFonts w:ascii="Arial" w:eastAsia="SimSun" w:hAnsi="Arial" w:cs="Arial"/>
          <w:bCs/>
          <w:sz w:val="18"/>
          <w:szCs w:val="18"/>
        </w:rPr>
        <w:t xml:space="preserve">, which was reported </w:t>
      </w:r>
      <w:r w:rsidRPr="002D6C40">
        <w:rPr>
          <w:rFonts w:ascii="Arial" w:eastAsia="SimSun" w:hAnsi="Arial" w:cs="Arial"/>
          <w:bCs/>
          <w:sz w:val="18"/>
          <w:szCs w:val="18"/>
        </w:rPr>
        <w:t xml:space="preserve">in connection with the NPA. In January 2020, the NPA was extended for a fourth time </w:t>
      </w:r>
      <w:r>
        <w:rPr>
          <w:rFonts w:ascii="Arial" w:eastAsia="SimSun" w:hAnsi="Arial" w:cs="Arial"/>
          <w:bCs/>
          <w:sz w:val="18"/>
          <w:szCs w:val="18"/>
        </w:rPr>
        <w:t xml:space="preserve">(for three </w:t>
      </w:r>
      <w:r w:rsidRPr="002D6C40">
        <w:rPr>
          <w:rFonts w:ascii="Arial" w:eastAsia="SimSun" w:hAnsi="Arial" w:cs="Arial"/>
          <w:bCs/>
          <w:sz w:val="18"/>
          <w:szCs w:val="18"/>
        </w:rPr>
        <w:t>additional months) to</w:t>
      </w:r>
    </w:p>
    <w:p w:rsidR="0014134B" w:rsidRDefault="00FC1FDC" w:rsidP="002D6C40">
      <w:pPr>
        <w:pStyle w:val="Normal00"/>
        <w:spacing w:line="259" w:lineRule="auto"/>
        <w:rPr>
          <w:rFonts w:ascii="Arial" w:eastAsia="SimSun" w:hAnsi="Arial" w:cs="Arial"/>
          <w:bCs/>
          <w:sz w:val="18"/>
          <w:szCs w:val="18"/>
        </w:rPr>
      </w:pPr>
      <w:r w:rsidRPr="002D6C40">
        <w:rPr>
          <w:rFonts w:ascii="Arial" w:eastAsia="SimSun" w:hAnsi="Arial" w:cs="Arial"/>
          <w:bCs/>
          <w:sz w:val="18"/>
          <w:szCs w:val="18"/>
        </w:rPr>
        <w:t>accommodate advanced discussions with the USAO and the DoJ concerning p</w:t>
      </w:r>
      <w:r>
        <w:rPr>
          <w:rFonts w:ascii="Arial" w:eastAsia="SimSun" w:hAnsi="Arial" w:cs="Arial"/>
          <w:bCs/>
          <w:sz w:val="18"/>
          <w:szCs w:val="18"/>
        </w:rPr>
        <w:t xml:space="preserve">otential </w:t>
      </w:r>
      <w:r w:rsidRPr="002D6C40">
        <w:rPr>
          <w:rFonts w:ascii="Arial" w:eastAsia="SimSun" w:hAnsi="Arial" w:cs="Arial"/>
          <w:bCs/>
          <w:sz w:val="18"/>
          <w:szCs w:val="18"/>
        </w:rPr>
        <w:t>resolution of the criminal investigation into alleged spoofin</w:t>
      </w:r>
      <w:r>
        <w:rPr>
          <w:rFonts w:ascii="Arial" w:eastAsia="SimSun" w:hAnsi="Arial" w:cs="Arial"/>
          <w:bCs/>
          <w:sz w:val="18"/>
          <w:szCs w:val="18"/>
        </w:rPr>
        <w:t xml:space="preserve">g as well as the impact of that </w:t>
      </w:r>
      <w:r w:rsidRPr="002D6C40">
        <w:rPr>
          <w:rFonts w:ascii="Arial" w:eastAsia="SimSun" w:hAnsi="Arial" w:cs="Arial"/>
          <w:bCs/>
          <w:sz w:val="18"/>
          <w:szCs w:val="18"/>
        </w:rPr>
        <w:t>conduct and any such resolution on the status of the NPA</w:t>
      </w:r>
      <w:r>
        <w:rPr>
          <w:rFonts w:ascii="Arial" w:eastAsia="SimSun" w:hAnsi="Arial" w:cs="Arial"/>
          <w:bCs/>
          <w:sz w:val="18"/>
          <w:szCs w:val="18"/>
        </w:rPr>
        <w:t xml:space="preserve"> and the potential consequences </w:t>
      </w:r>
      <w:r w:rsidRPr="002D6C40">
        <w:rPr>
          <w:rFonts w:ascii="Arial" w:eastAsia="SimSun" w:hAnsi="Arial" w:cs="Arial"/>
          <w:bCs/>
          <w:sz w:val="18"/>
          <w:szCs w:val="18"/>
        </w:rPr>
        <w:t>thereof. The duration and outcome of these matters remain uncertai</w:t>
      </w:r>
      <w:r>
        <w:rPr>
          <w:rFonts w:ascii="Arial" w:eastAsia="SimSun" w:hAnsi="Arial" w:cs="Arial"/>
          <w:bCs/>
          <w:sz w:val="18"/>
          <w:szCs w:val="18"/>
        </w:rPr>
        <w:t xml:space="preserve">n, including in </w:t>
      </w:r>
      <w:r w:rsidRPr="002D6C40">
        <w:rPr>
          <w:rFonts w:ascii="Arial" w:eastAsia="SimSun" w:hAnsi="Arial" w:cs="Arial"/>
          <w:bCs/>
          <w:sz w:val="18"/>
          <w:szCs w:val="18"/>
        </w:rPr>
        <w:t>respect of whether settlement may be reached. Material a</w:t>
      </w:r>
      <w:r>
        <w:rPr>
          <w:rFonts w:ascii="Arial" w:eastAsia="SimSun" w:hAnsi="Arial" w:cs="Arial"/>
          <w:bCs/>
          <w:sz w:val="18"/>
          <w:szCs w:val="18"/>
        </w:rPr>
        <w:t xml:space="preserve">dverse collateral consequences, </w:t>
      </w:r>
      <w:r w:rsidRPr="002D6C40">
        <w:rPr>
          <w:rFonts w:ascii="Arial" w:eastAsia="SimSun" w:hAnsi="Arial" w:cs="Arial"/>
          <w:bCs/>
          <w:sz w:val="18"/>
          <w:szCs w:val="18"/>
        </w:rPr>
        <w:t xml:space="preserve">in addition to further substantial costs and the recognition </w:t>
      </w:r>
      <w:r>
        <w:rPr>
          <w:rFonts w:ascii="Arial" w:eastAsia="SimSun" w:hAnsi="Arial" w:cs="Arial"/>
          <w:bCs/>
          <w:sz w:val="18"/>
          <w:szCs w:val="18"/>
        </w:rPr>
        <w:t xml:space="preserve">of further provisions may occur </w:t>
      </w:r>
      <w:r w:rsidRPr="002D6C40">
        <w:rPr>
          <w:rFonts w:ascii="Arial" w:eastAsia="SimSun" w:hAnsi="Arial" w:cs="Arial"/>
          <w:bCs/>
          <w:sz w:val="18"/>
          <w:szCs w:val="18"/>
        </w:rPr>
        <w:t>depending on the outcome of the investigation, as further d</w:t>
      </w:r>
      <w:r>
        <w:rPr>
          <w:rFonts w:ascii="Arial" w:eastAsia="SimSun" w:hAnsi="Arial" w:cs="Arial"/>
          <w:bCs/>
          <w:sz w:val="18"/>
          <w:szCs w:val="18"/>
        </w:rPr>
        <w:t xml:space="preserve">escribed in the Risk Factor </w:t>
      </w:r>
      <w:r w:rsidRPr="002D6C40">
        <w:rPr>
          <w:rFonts w:ascii="Arial" w:eastAsia="SimSun" w:hAnsi="Arial" w:cs="Arial"/>
          <w:bCs/>
          <w:sz w:val="18"/>
          <w:szCs w:val="18"/>
        </w:rPr>
        <w:t xml:space="preserve">relating to legal, regulatory and governmental actions and </w:t>
      </w:r>
      <w:r>
        <w:rPr>
          <w:rFonts w:ascii="Arial" w:eastAsia="SimSun" w:hAnsi="Arial" w:cs="Arial"/>
          <w:bCs/>
          <w:sz w:val="18"/>
          <w:szCs w:val="18"/>
        </w:rPr>
        <w:t>investigations set out in the Annual Report &amp; Accounts on page 293</w:t>
      </w:r>
      <w:r w:rsidRPr="002D6C40">
        <w:rPr>
          <w:rFonts w:ascii="Arial" w:eastAsia="SimSun" w:hAnsi="Arial" w:cs="Arial"/>
          <w:bCs/>
          <w:sz w:val="18"/>
          <w:szCs w:val="18"/>
        </w:rPr>
        <w:t>.</w:t>
      </w:r>
    </w:p>
    <w:p w:rsidR="002D6C40" w:rsidRDefault="002D6C40" w:rsidP="002D6C40">
      <w:pPr>
        <w:pStyle w:val="Normal00"/>
        <w:spacing w:line="259" w:lineRule="auto"/>
        <w:rPr>
          <w:rFonts w:ascii="Arial" w:eastAsia="SimSun" w:hAnsi="Arial" w:cs="Arial"/>
          <w:bCs/>
          <w:sz w:val="18"/>
          <w:szCs w:val="18"/>
        </w:rPr>
      </w:pPr>
    </w:p>
    <w:p w:rsidR="00E23FC2" w:rsidRDefault="00FC1FDC" w:rsidP="000A7AA5">
      <w:pPr>
        <w:autoSpaceDE w:val="0"/>
        <w:autoSpaceDN w:val="0"/>
        <w:spacing w:line="259" w:lineRule="auto"/>
        <w:rPr>
          <w:color w:val="06B3BB"/>
          <w:szCs w:val="16"/>
          <w:lang w:val="en-US" w:eastAsia="zh-CN"/>
        </w:rPr>
      </w:pPr>
      <w:r>
        <w:rPr>
          <w:color w:val="0A2F64"/>
          <w:sz w:val="18"/>
          <w:szCs w:val="18"/>
          <w:lang w:val="en-US"/>
        </w:rPr>
        <w:t>US/Swiss tax programme</w:t>
      </w:r>
    </w:p>
    <w:p w:rsidR="00E23FC2" w:rsidRDefault="00FC1FDC" w:rsidP="000A7AA5">
      <w:pPr>
        <w:autoSpaceDE w:val="0"/>
        <w:autoSpaceDN w:val="0"/>
        <w:spacing w:line="259" w:lineRule="auto"/>
        <w:rPr>
          <w:sz w:val="18"/>
          <w:szCs w:val="18"/>
          <w:lang w:val="en-US" w:eastAsia="en-GB"/>
        </w:rPr>
      </w:pPr>
      <w:r>
        <w:rPr>
          <w:sz w:val="18"/>
          <w:szCs w:val="18"/>
          <w:lang w:val="en-US" w:eastAsia="zh-CN"/>
        </w:rPr>
        <w:t>As previously disclosed, in December 2015, Coutts &amp; Co Ltd., a member of RBS Group, incorporated in Switzerland, entered into a four-year non-prosecution agreement (the NPA) with the U.S. Department of Justice (DoJ) that required it to pay a penalty of US$78.5million. This was entered into as part of the DoJ’s programme for Swiss banks, related to its investigations of the role that Swiss banks played in concealing the assets of US tax payers in offshore accounts (US related accounts). On 20 December 2019, Coutts &amp; Co. Ltd. agreed to pay an additional $US27.9 million penalty relating to additional US related accounts that is had not identified and disclosed to DoJ at the time the NPA was executed in 2015.</w:t>
      </w:r>
      <w:r w:rsidRPr="0014134B">
        <w:rPr>
          <w:rFonts w:eastAsia="Times New Roman"/>
        </w:rPr>
        <w:t xml:space="preserve"> </w:t>
      </w:r>
      <w:r w:rsidRPr="0014134B">
        <w:rPr>
          <w:sz w:val="18"/>
          <w:szCs w:val="18"/>
          <w:lang w:eastAsia="zh-CN"/>
        </w:rPr>
        <w:t>The additional</w:t>
      </w:r>
      <w:r w:rsidR="00591FB6">
        <w:rPr>
          <w:sz w:val="18"/>
          <w:szCs w:val="18"/>
          <w:lang w:eastAsia="zh-CN"/>
        </w:rPr>
        <w:t xml:space="preserve"> penalty amount has been paid. </w:t>
      </w:r>
      <w:r w:rsidRPr="0014134B">
        <w:rPr>
          <w:sz w:val="18"/>
          <w:szCs w:val="18"/>
          <w:lang w:eastAsia="zh-CN"/>
        </w:rPr>
        <w:t>The four-year term of the NPA has now expired, though certain document preservation and cooperation obligations continue.</w:t>
      </w:r>
    </w:p>
    <w:p w:rsidR="002F6D41" w:rsidRDefault="002F6D41">
      <w:pPr>
        <w:spacing w:after="200"/>
        <w:rPr>
          <w:rFonts w:eastAsia="SimSun" w:cs="Arial"/>
          <w:bCs/>
          <w:sz w:val="18"/>
          <w:szCs w:val="18"/>
          <w:lang w:eastAsia="zh-CN"/>
        </w:rPr>
      </w:pPr>
    </w:p>
    <w:p w:rsidR="009E66C4" w:rsidRDefault="00FC1FDC">
      <w:pPr>
        <w:spacing w:after="200"/>
        <w:rPr>
          <w:rFonts w:eastAsia="SimSun" w:cs="Arial"/>
          <w:bCs/>
          <w:sz w:val="18"/>
          <w:szCs w:val="18"/>
          <w:lang w:eastAsia="zh-CN"/>
        </w:rPr>
        <w:sectPr w:rsidR="009E66C4" w:rsidSect="00527F23">
          <w:headerReference w:type="even" r:id="rId83"/>
          <w:headerReference w:type="default" r:id="rId84"/>
          <w:footerReference w:type="even" r:id="rId85"/>
          <w:footerReference w:type="default" r:id="rId86"/>
          <w:headerReference w:type="first" r:id="rId87"/>
          <w:footerReference w:type="first" r:id="rId88"/>
          <w:type w:val="continuous"/>
          <w:pgSz w:w="11906" w:h="16838"/>
          <w:pgMar w:top="1134" w:right="851" w:bottom="680" w:left="851" w:header="708" w:footer="708" w:gutter="0"/>
          <w:cols w:space="708"/>
          <w:docGrid w:linePitch="360"/>
        </w:sectPr>
      </w:pPr>
      <w:r>
        <w:rPr>
          <w:rFonts w:eastAsia="SimSun" w:cs="Arial"/>
          <w:bCs/>
          <w:sz w:val="18"/>
          <w:szCs w:val="18"/>
          <w:lang w:eastAsia="zh-CN"/>
        </w:rPr>
        <w:br w:type="page"/>
      </w:r>
    </w:p>
    <w:p w:rsidR="00561273" w:rsidRDefault="00FC1FDC" w:rsidP="00561273">
      <w:pPr>
        <w:pStyle w:val="Normal00"/>
        <w:tabs>
          <w:tab w:val="left" w:pos="1440"/>
        </w:tabs>
        <w:spacing w:line="264" w:lineRule="auto"/>
        <w:jc w:val="both"/>
        <w:outlineLvl w:val="0"/>
        <w:rPr>
          <w:rFonts w:ascii="Arial" w:hAnsi="Arial" w:cs="Arial"/>
          <w:b/>
          <w:color w:val="003366"/>
          <w:sz w:val="20"/>
          <w:szCs w:val="20"/>
          <w:lang w:eastAsia="ja-JP"/>
        </w:rPr>
      </w:pPr>
      <w:r>
        <w:rPr>
          <w:rFonts w:ascii="Arial" w:hAnsi="Arial" w:cs="Arial"/>
          <w:b/>
          <w:color w:val="003366"/>
          <w:sz w:val="20"/>
          <w:szCs w:val="20"/>
          <w:lang w:eastAsia="ja-JP"/>
        </w:rPr>
        <w:t>Notes</w:t>
      </w:r>
    </w:p>
    <w:p w:rsidR="00E64C80" w:rsidRPr="002C3537" w:rsidRDefault="00FC1FDC" w:rsidP="004940B6">
      <w:pPr>
        <w:pStyle w:val="Normal00"/>
        <w:spacing w:line="264" w:lineRule="auto"/>
        <w:rPr>
          <w:rFonts w:ascii="Arial" w:hAnsi="Arial" w:cs="Arial"/>
          <w:b/>
          <w:color w:val="003366"/>
          <w:sz w:val="18"/>
          <w:szCs w:val="18"/>
        </w:rPr>
      </w:pPr>
      <w:r w:rsidRPr="002C3537">
        <w:rPr>
          <w:rFonts w:ascii="Arial" w:hAnsi="Arial" w:cs="Arial"/>
          <w:b/>
          <w:color w:val="003366"/>
          <w:sz w:val="18"/>
          <w:szCs w:val="18"/>
        </w:rPr>
        <w:t>5. Related party transactions</w:t>
      </w:r>
    </w:p>
    <w:p w:rsidR="00E64C80" w:rsidRPr="002C3537" w:rsidRDefault="00FC1FDC" w:rsidP="004940B6">
      <w:pPr>
        <w:pStyle w:val="Normal00"/>
        <w:autoSpaceDE w:val="0"/>
        <w:autoSpaceDN w:val="0"/>
        <w:adjustRightInd w:val="0"/>
        <w:spacing w:line="264" w:lineRule="auto"/>
        <w:rPr>
          <w:rFonts w:ascii="Arial" w:hAnsi="Arial" w:cs="Arial"/>
          <w:color w:val="003366"/>
          <w:sz w:val="18"/>
          <w:szCs w:val="18"/>
          <w:lang w:eastAsia="ja-JP"/>
        </w:rPr>
      </w:pPr>
      <w:smartTag w:uri="urn:schemas-microsoft-com:office:smarttags" w:element="place">
        <w:smartTag w:uri="urn:schemas-microsoft-com:office:smarttags" w:element="country-region">
          <w:r w:rsidRPr="002C3537">
            <w:rPr>
              <w:rFonts w:ascii="Arial" w:hAnsi="Arial" w:cs="Arial"/>
              <w:color w:val="003366"/>
              <w:sz w:val="18"/>
              <w:szCs w:val="18"/>
              <w:lang w:eastAsia="ja-JP"/>
            </w:rPr>
            <w:t>UK</w:t>
          </w:r>
        </w:smartTag>
      </w:smartTag>
      <w:r w:rsidRPr="002C3537">
        <w:rPr>
          <w:rFonts w:ascii="Arial" w:hAnsi="Arial" w:cs="Arial"/>
          <w:color w:val="003366"/>
          <w:sz w:val="18"/>
          <w:szCs w:val="18"/>
          <w:lang w:eastAsia="ja-JP"/>
        </w:rPr>
        <w:t xml:space="preserve"> Government</w:t>
      </w:r>
    </w:p>
    <w:p w:rsidR="00E64C80" w:rsidRPr="002C3537" w:rsidRDefault="00FC1FDC" w:rsidP="004940B6">
      <w:pPr>
        <w:pStyle w:val="Normal00"/>
        <w:autoSpaceDE w:val="0"/>
        <w:autoSpaceDN w:val="0"/>
        <w:spacing w:line="264" w:lineRule="auto"/>
        <w:rPr>
          <w:rFonts w:ascii="Arial" w:hAnsi="Arial" w:cs="Arial"/>
          <w:sz w:val="18"/>
          <w:szCs w:val="18"/>
          <w:lang w:eastAsia="ja-JP"/>
        </w:rPr>
      </w:pPr>
      <w:r>
        <w:rPr>
          <w:rFonts w:ascii="Arial" w:hAnsi="Arial" w:cs="Arial"/>
          <w:color w:val="000000"/>
          <w:sz w:val="18"/>
          <w:szCs w:val="18"/>
          <w:lang w:eastAsia="ja-JP"/>
        </w:rPr>
        <w:t xml:space="preserve">The UK Government and bodies controlled or jointly controlled by the UK Government and bodies over which it has significant influence are related parties of RBS Group. RBS Group enters into transactions with many of these bodies on an arm’s length basis. </w:t>
      </w:r>
    </w:p>
    <w:p w:rsidR="00E64C80" w:rsidRPr="002C3537" w:rsidRDefault="00E64C80" w:rsidP="004940B6">
      <w:pPr>
        <w:pStyle w:val="Normal00"/>
        <w:autoSpaceDE w:val="0"/>
        <w:autoSpaceDN w:val="0"/>
        <w:adjustRightInd w:val="0"/>
        <w:spacing w:line="96" w:lineRule="auto"/>
        <w:rPr>
          <w:rFonts w:ascii="Arial" w:hAnsi="Arial" w:cs="Arial"/>
          <w:i/>
          <w:iCs/>
          <w:color w:val="003366"/>
          <w:sz w:val="18"/>
          <w:szCs w:val="18"/>
          <w:lang w:eastAsia="ja-JP"/>
        </w:rPr>
      </w:pPr>
    </w:p>
    <w:p w:rsidR="00E64C80" w:rsidRPr="00F429D4" w:rsidRDefault="00FC1FDC" w:rsidP="004940B6">
      <w:pPr>
        <w:pStyle w:val="Normal00"/>
        <w:autoSpaceDE w:val="0"/>
        <w:autoSpaceDN w:val="0"/>
        <w:adjustRightInd w:val="0"/>
        <w:spacing w:line="264" w:lineRule="auto"/>
        <w:rPr>
          <w:rFonts w:ascii="Arial" w:hAnsi="Arial" w:cs="Arial"/>
          <w:iCs/>
          <w:color w:val="003366"/>
          <w:sz w:val="18"/>
          <w:szCs w:val="18"/>
          <w:lang w:eastAsia="ja-JP"/>
        </w:rPr>
      </w:pPr>
      <w:r w:rsidRPr="00F429D4">
        <w:rPr>
          <w:rFonts w:ascii="Arial" w:hAnsi="Arial" w:cs="Arial"/>
          <w:iCs/>
          <w:color w:val="003366"/>
          <w:sz w:val="18"/>
          <w:szCs w:val="18"/>
          <w:lang w:eastAsia="ja-JP"/>
        </w:rPr>
        <w:t>Bank of England facilities</w:t>
      </w:r>
    </w:p>
    <w:p w:rsidR="00E64C80" w:rsidRPr="002C3537" w:rsidRDefault="00FC1FDC" w:rsidP="004940B6">
      <w:pPr>
        <w:pStyle w:val="Normal00"/>
        <w:autoSpaceDE w:val="0"/>
        <w:autoSpaceDN w:val="0"/>
        <w:adjustRightInd w:val="0"/>
        <w:spacing w:line="264" w:lineRule="auto"/>
        <w:rPr>
          <w:rFonts w:ascii="Arial" w:hAnsi="Arial" w:cs="Arial"/>
          <w:sz w:val="18"/>
          <w:szCs w:val="18"/>
          <w:lang w:eastAsia="ja-JP"/>
        </w:rPr>
      </w:pPr>
      <w:r w:rsidRPr="002C3537">
        <w:rPr>
          <w:rFonts w:ascii="Arial" w:hAnsi="Arial" w:cs="Arial"/>
          <w:sz w:val="18"/>
          <w:szCs w:val="18"/>
          <w:lang w:eastAsia="ja-JP"/>
        </w:rPr>
        <w:t xml:space="preserve">In the ordinary course of business, </w:t>
      </w:r>
      <w:r>
        <w:rPr>
          <w:rFonts w:ascii="Arial" w:hAnsi="Arial" w:cs="Arial"/>
          <w:sz w:val="18"/>
          <w:szCs w:val="18"/>
          <w:lang w:eastAsia="ja-JP"/>
        </w:rPr>
        <w:t xml:space="preserve">RBS </w:t>
      </w:r>
      <w:r w:rsidRPr="002C3537">
        <w:rPr>
          <w:rFonts w:ascii="Arial" w:hAnsi="Arial" w:cs="Arial"/>
          <w:sz w:val="18"/>
          <w:szCs w:val="18"/>
          <w:lang w:eastAsia="ja-JP"/>
        </w:rPr>
        <w:t xml:space="preserve">Group may from time to time access market-wide facilities provided by the Bank of England. </w:t>
      </w:r>
      <w:r>
        <w:rPr>
          <w:rFonts w:ascii="Arial" w:hAnsi="Arial" w:cs="Arial"/>
          <w:sz w:val="18"/>
          <w:szCs w:val="18"/>
          <w:lang w:eastAsia="ja-JP"/>
        </w:rPr>
        <w:t xml:space="preserve">RBS </w:t>
      </w:r>
      <w:r w:rsidRPr="002C3537">
        <w:rPr>
          <w:rFonts w:ascii="Arial" w:hAnsi="Arial" w:cs="Arial"/>
          <w:sz w:val="18"/>
          <w:szCs w:val="18"/>
          <w:lang w:eastAsia="ja-JP"/>
        </w:rPr>
        <w:t>Group’s other transactions with the UK Government include the payment of taxes, principally UK corporation tax and value added tax; national insurance contributions; local authority rates; and regulatory fees and levies (including the bank levy and FSCS levies).</w:t>
      </w:r>
    </w:p>
    <w:p w:rsidR="00E64C80" w:rsidRPr="002C3537" w:rsidRDefault="00E64C80" w:rsidP="004940B6">
      <w:pPr>
        <w:pStyle w:val="Normal00"/>
        <w:spacing w:line="144" w:lineRule="auto"/>
        <w:rPr>
          <w:rFonts w:ascii="Arial" w:hAnsi="Arial" w:cs="Arial"/>
          <w:b/>
          <w:color w:val="003366"/>
          <w:sz w:val="18"/>
          <w:szCs w:val="18"/>
        </w:rPr>
      </w:pPr>
    </w:p>
    <w:p w:rsidR="00E64C80" w:rsidRPr="002C3537" w:rsidRDefault="00FC1FDC" w:rsidP="004940B6">
      <w:pPr>
        <w:pStyle w:val="Normal00"/>
        <w:autoSpaceDE w:val="0"/>
        <w:autoSpaceDN w:val="0"/>
        <w:adjustRightInd w:val="0"/>
        <w:spacing w:line="264" w:lineRule="auto"/>
        <w:rPr>
          <w:rFonts w:ascii="Arial" w:hAnsi="Arial" w:cs="Arial"/>
          <w:iCs/>
          <w:color w:val="003366"/>
          <w:sz w:val="18"/>
          <w:szCs w:val="18"/>
          <w:lang w:eastAsia="ja-JP"/>
        </w:rPr>
      </w:pPr>
      <w:r w:rsidRPr="002C3537">
        <w:rPr>
          <w:rFonts w:ascii="Arial" w:hAnsi="Arial" w:cs="Arial"/>
          <w:iCs/>
          <w:color w:val="003366"/>
          <w:sz w:val="18"/>
          <w:szCs w:val="18"/>
          <w:lang w:eastAsia="ja-JP"/>
        </w:rPr>
        <w:t>Other related parties</w:t>
      </w:r>
    </w:p>
    <w:p w:rsidR="00E64C80" w:rsidRDefault="00FC1FDC" w:rsidP="004940B6">
      <w:pPr>
        <w:pStyle w:val="Normal00"/>
        <w:spacing w:line="264" w:lineRule="auto"/>
        <w:rPr>
          <w:rFonts w:ascii="Arial" w:hAnsi="Arial" w:cs="Arial"/>
          <w:sz w:val="18"/>
          <w:szCs w:val="18"/>
          <w:lang w:eastAsia="ja-JP"/>
        </w:rPr>
      </w:pPr>
      <w:r>
        <w:rPr>
          <w:rFonts w:ascii="Arial" w:hAnsi="Arial" w:cs="Arial"/>
          <w:sz w:val="18"/>
          <w:szCs w:val="18"/>
          <w:lang w:eastAsia="ja-JP"/>
        </w:rPr>
        <w:t>(a)  In their roles as providers of finance, RBS Group companies provide development and other types of capital support to businesses. These investments are made in the normal course of business and on arm’s length terms. In some instances, the investment may extend to ownership or control over 20% or more of the voting rights of the investee company. However, these investments are not considered to give rise to transactions of a materiality requiring disclosure under IAS 24.</w:t>
      </w:r>
    </w:p>
    <w:p w:rsidR="00E64C80" w:rsidRDefault="00FC1FDC" w:rsidP="004940B6">
      <w:pPr>
        <w:pStyle w:val="Normal00"/>
        <w:spacing w:line="264" w:lineRule="auto"/>
        <w:rPr>
          <w:rFonts w:ascii="Arial" w:hAnsi="Arial" w:cs="Arial"/>
          <w:sz w:val="18"/>
          <w:szCs w:val="18"/>
          <w:lang w:eastAsia="ja-JP"/>
        </w:rPr>
      </w:pPr>
      <w:r>
        <w:rPr>
          <w:rFonts w:ascii="Arial" w:hAnsi="Arial" w:cs="Arial"/>
          <w:sz w:val="18"/>
          <w:szCs w:val="18"/>
          <w:lang w:eastAsia="ja-JP"/>
        </w:rPr>
        <w:t>(b)  RBS Group recharges The Royal Bank of Scotland Group Pension Fund with the cost of administration services incurred by it. The amounts involved are not material to RBS Group.</w:t>
      </w:r>
    </w:p>
    <w:p w:rsidR="00E64C80" w:rsidRDefault="00E64C80" w:rsidP="004940B6">
      <w:pPr>
        <w:pStyle w:val="Normal00"/>
        <w:spacing w:line="264" w:lineRule="auto"/>
        <w:rPr>
          <w:rFonts w:ascii="Arial" w:hAnsi="Arial" w:cs="Arial"/>
          <w:sz w:val="18"/>
          <w:szCs w:val="18"/>
          <w:lang w:eastAsia="ja-JP"/>
        </w:rPr>
      </w:pPr>
    </w:p>
    <w:p w:rsidR="0075184C" w:rsidRDefault="00FC1FDC" w:rsidP="004940B6">
      <w:pPr>
        <w:pStyle w:val="Normal00"/>
        <w:spacing w:line="264" w:lineRule="auto"/>
      </w:pPr>
      <w:r>
        <w:rPr>
          <w:rFonts w:ascii="Arial" w:hAnsi="Arial" w:cs="Arial"/>
          <w:sz w:val="18"/>
          <w:szCs w:val="18"/>
          <w:lang w:eastAsia="ja-JP"/>
        </w:rPr>
        <w:t xml:space="preserve">Full details of RBS </w:t>
      </w:r>
      <w:r w:rsidRPr="0028535B">
        <w:rPr>
          <w:rFonts w:ascii="Arial" w:hAnsi="Arial" w:cs="Arial"/>
          <w:sz w:val="18"/>
          <w:szCs w:val="18"/>
          <w:lang w:eastAsia="ja-JP"/>
        </w:rPr>
        <w:t>Group’s related party transactions for</w:t>
      </w:r>
      <w:r>
        <w:rPr>
          <w:rFonts w:ascii="Arial" w:hAnsi="Arial" w:cs="Arial"/>
          <w:sz w:val="18"/>
          <w:szCs w:val="18"/>
          <w:lang w:eastAsia="ja-JP"/>
        </w:rPr>
        <w:t xml:space="preserve"> the year ended 31 December 2019</w:t>
      </w:r>
      <w:r w:rsidRPr="0028535B">
        <w:rPr>
          <w:rFonts w:ascii="Arial" w:hAnsi="Arial" w:cs="Arial"/>
          <w:sz w:val="18"/>
          <w:szCs w:val="18"/>
          <w:lang w:eastAsia="ja-JP"/>
        </w:rPr>
        <w:t xml:space="preserve"> are included in the 20</w:t>
      </w:r>
      <w:r>
        <w:rPr>
          <w:rFonts w:ascii="Arial" w:hAnsi="Arial" w:cs="Arial"/>
          <w:sz w:val="18"/>
          <w:szCs w:val="18"/>
          <w:lang w:eastAsia="ja-JP"/>
        </w:rPr>
        <w:t xml:space="preserve">19 Annual Report and Accounts. </w:t>
      </w:r>
      <w:r w:rsidR="00D32FFE" w:rsidRPr="00E64C80">
        <w:t xml:space="preserve"> </w:t>
      </w:r>
    </w:p>
    <w:p w:rsidR="000D6EFC" w:rsidRDefault="000D6EFC" w:rsidP="00E64C80">
      <w:pPr>
        <w:pStyle w:val="Normal00"/>
        <w:spacing w:line="264" w:lineRule="auto"/>
        <w:jc w:val="both"/>
      </w:pPr>
    </w:p>
    <w:p w:rsidR="00D36231" w:rsidRPr="00E64C80" w:rsidRDefault="00D36231" w:rsidP="00E64C80">
      <w:pPr>
        <w:pStyle w:val="Normal00"/>
        <w:spacing w:line="264" w:lineRule="auto"/>
        <w:jc w:val="both"/>
        <w:sectPr w:rsidR="00D36231" w:rsidRPr="00E64C80" w:rsidSect="00527F23">
          <w:headerReference w:type="even" r:id="rId89"/>
          <w:headerReference w:type="default" r:id="rId90"/>
          <w:footerReference w:type="even" r:id="rId91"/>
          <w:footerReference w:type="default" r:id="rId92"/>
          <w:headerReference w:type="first" r:id="rId93"/>
          <w:footerReference w:type="first" r:id="rId94"/>
          <w:type w:val="continuous"/>
          <w:pgSz w:w="11906" w:h="16838"/>
          <w:pgMar w:top="1134" w:right="851" w:bottom="680" w:left="851" w:header="708" w:footer="708" w:gutter="0"/>
          <w:cols w:space="708"/>
          <w:docGrid w:linePitch="360"/>
        </w:sectPr>
      </w:pPr>
    </w:p>
    <w:p w:rsidR="00620623" w:rsidRPr="005F655F" w:rsidRDefault="00FC1FDC" w:rsidP="00436FB1">
      <w:pPr>
        <w:pStyle w:val="Normal1"/>
        <w:spacing w:line="288" w:lineRule="auto"/>
        <w:rPr>
          <w:rFonts w:ascii="Arial" w:hAnsi="Arial" w:cs="Arial"/>
          <w:b/>
          <w:bCs/>
          <w:color w:val="003366"/>
          <w:sz w:val="18"/>
          <w:szCs w:val="18"/>
        </w:rPr>
      </w:pPr>
      <w:r w:rsidRPr="005F655F">
        <w:rPr>
          <w:rFonts w:ascii="Arial" w:hAnsi="Arial" w:cs="Arial"/>
          <w:b/>
          <w:bCs/>
          <w:color w:val="003366"/>
          <w:sz w:val="18"/>
          <w:szCs w:val="18"/>
        </w:rPr>
        <w:t>6. Dividends</w:t>
      </w:r>
    </w:p>
    <w:p w:rsidR="00620623" w:rsidRPr="00263A11" w:rsidRDefault="00FC1FDC" w:rsidP="00436FB1">
      <w:pPr>
        <w:pStyle w:val="Normal1"/>
        <w:spacing w:line="259" w:lineRule="auto"/>
        <w:rPr>
          <w:rFonts w:ascii="Arial" w:eastAsia="Calibri" w:hAnsi="Arial" w:cs="Arial"/>
          <w:sz w:val="18"/>
          <w:szCs w:val="18"/>
        </w:rPr>
      </w:pPr>
      <w:r w:rsidRPr="00263A11">
        <w:rPr>
          <w:rFonts w:ascii="Arial" w:eastAsia="Calibri" w:hAnsi="Arial" w:cs="Arial"/>
          <w:sz w:val="18"/>
          <w:szCs w:val="18"/>
          <w:lang w:eastAsia="zh-CN"/>
        </w:rPr>
        <w:t>In 201</w:t>
      </w:r>
      <w:r>
        <w:rPr>
          <w:rFonts w:ascii="Arial" w:eastAsia="Calibri" w:hAnsi="Arial" w:cs="Arial"/>
          <w:sz w:val="18"/>
          <w:szCs w:val="18"/>
          <w:lang w:eastAsia="zh-CN"/>
        </w:rPr>
        <w:t>9</w:t>
      </w:r>
      <w:r w:rsidRPr="00263A11">
        <w:rPr>
          <w:rFonts w:ascii="Arial" w:eastAsia="Calibri" w:hAnsi="Arial" w:cs="Arial"/>
          <w:sz w:val="18"/>
          <w:szCs w:val="18"/>
          <w:lang w:eastAsia="zh-CN"/>
        </w:rPr>
        <w:t xml:space="preserve"> RB</w:t>
      </w:r>
      <w:r>
        <w:rPr>
          <w:rFonts w:ascii="Arial" w:eastAsia="Calibri" w:hAnsi="Arial" w:cs="Arial"/>
          <w:sz w:val="18"/>
          <w:szCs w:val="18"/>
          <w:lang w:eastAsia="zh-CN"/>
        </w:rPr>
        <w:t>S paid an interim dividend of £241 million, or 2.0</w:t>
      </w:r>
      <w:r w:rsidRPr="00263A11">
        <w:rPr>
          <w:rFonts w:ascii="Arial" w:eastAsia="Calibri" w:hAnsi="Arial" w:cs="Arial"/>
          <w:sz w:val="18"/>
          <w:szCs w:val="18"/>
          <w:lang w:eastAsia="zh-CN"/>
        </w:rPr>
        <w:t>p per ordinary share</w:t>
      </w:r>
      <w:r>
        <w:rPr>
          <w:rFonts w:ascii="Arial" w:eastAsia="Calibri" w:hAnsi="Arial" w:cs="Arial"/>
          <w:sz w:val="18"/>
          <w:szCs w:val="18"/>
          <w:lang w:eastAsia="zh-CN"/>
        </w:rPr>
        <w:t xml:space="preserve"> and a special dividend of £1,449 million, or 12.0p per share</w:t>
      </w:r>
      <w:r w:rsidRPr="00263A11">
        <w:rPr>
          <w:rFonts w:ascii="Arial" w:eastAsia="Calibri" w:hAnsi="Arial" w:cs="Arial"/>
          <w:sz w:val="18"/>
          <w:szCs w:val="18"/>
          <w:lang w:eastAsia="zh-CN"/>
        </w:rPr>
        <w:t xml:space="preserve">. In addition, the company proposes a final dividend of </w:t>
      </w:r>
      <w:r>
        <w:rPr>
          <w:rFonts w:ascii="Arial" w:eastAsia="Calibri" w:hAnsi="Arial" w:cs="Arial"/>
          <w:sz w:val="18"/>
          <w:szCs w:val="18"/>
          <w:lang w:eastAsia="zh-CN"/>
        </w:rPr>
        <w:t>£364 million, or 3.0</w:t>
      </w:r>
      <w:r w:rsidRPr="00263A11">
        <w:rPr>
          <w:rFonts w:ascii="Arial" w:eastAsia="Calibri" w:hAnsi="Arial" w:cs="Arial"/>
          <w:sz w:val="18"/>
          <w:szCs w:val="18"/>
          <w:lang w:eastAsia="zh-CN"/>
        </w:rPr>
        <w:t>p per ordinary share and a further special dividend of</w:t>
      </w:r>
      <w:r>
        <w:rPr>
          <w:rFonts w:ascii="Arial" w:eastAsia="Calibri" w:hAnsi="Arial" w:cs="Arial"/>
          <w:sz w:val="18"/>
          <w:szCs w:val="18"/>
          <w:lang w:eastAsia="zh-CN"/>
        </w:rPr>
        <w:t xml:space="preserve"> £606 million, or 5.0p</w:t>
      </w:r>
      <w:r w:rsidRPr="00263A11">
        <w:rPr>
          <w:rFonts w:ascii="Arial" w:eastAsia="Calibri" w:hAnsi="Arial" w:cs="Arial"/>
          <w:sz w:val="18"/>
          <w:szCs w:val="18"/>
          <w:lang w:eastAsia="zh-CN"/>
        </w:rPr>
        <w:t xml:space="preserve"> per ordinary share. </w:t>
      </w:r>
    </w:p>
    <w:p w:rsidR="00620623" w:rsidRPr="00263A11" w:rsidRDefault="00620623" w:rsidP="00436FB1">
      <w:pPr>
        <w:pStyle w:val="Normal1"/>
        <w:spacing w:line="259" w:lineRule="auto"/>
        <w:ind w:right="-1"/>
        <w:outlineLvl w:val="0"/>
        <w:rPr>
          <w:rFonts w:ascii="Arial" w:hAnsi="Arial"/>
          <w:sz w:val="18"/>
          <w:szCs w:val="18"/>
          <w:lang w:eastAsia="en-GB"/>
        </w:rPr>
      </w:pPr>
    </w:p>
    <w:p w:rsidR="00620623" w:rsidRPr="00263A11" w:rsidRDefault="00FC1FDC" w:rsidP="00436FB1">
      <w:pPr>
        <w:pStyle w:val="Normal1"/>
        <w:spacing w:line="259" w:lineRule="auto"/>
        <w:ind w:right="-1"/>
        <w:outlineLvl w:val="0"/>
        <w:rPr>
          <w:rFonts w:ascii="Arial" w:hAnsi="Arial"/>
          <w:sz w:val="18"/>
          <w:szCs w:val="18"/>
          <w:lang w:eastAsia="zh-CN"/>
        </w:rPr>
      </w:pPr>
      <w:r w:rsidRPr="00263A11">
        <w:rPr>
          <w:rFonts w:ascii="Arial" w:hAnsi="Arial"/>
          <w:sz w:val="18"/>
          <w:szCs w:val="18"/>
          <w:lang w:eastAsia="en-GB"/>
        </w:rPr>
        <w:t xml:space="preserve">The final and special dividends recommended by directors are subject to shareholders’ approval at the Annual General Meeting on </w:t>
      </w:r>
      <w:r>
        <w:rPr>
          <w:rFonts w:ascii="Arial" w:hAnsi="Arial"/>
          <w:sz w:val="18"/>
          <w:szCs w:val="18"/>
          <w:lang w:eastAsia="en-GB"/>
        </w:rPr>
        <w:t>29 April 2020</w:t>
      </w:r>
      <w:r w:rsidRPr="00263A11">
        <w:rPr>
          <w:rFonts w:ascii="Arial" w:hAnsi="Arial"/>
          <w:sz w:val="18"/>
          <w:szCs w:val="18"/>
          <w:lang w:eastAsia="en-GB"/>
        </w:rPr>
        <w:t>. If approved, payment will be made</w:t>
      </w:r>
      <w:r>
        <w:rPr>
          <w:rFonts w:ascii="Arial" w:hAnsi="Arial"/>
          <w:sz w:val="18"/>
          <w:szCs w:val="18"/>
          <w:lang w:eastAsia="en-GB"/>
        </w:rPr>
        <w:t xml:space="preserve"> on 4 May 2020</w:t>
      </w:r>
      <w:r w:rsidRPr="00263A11">
        <w:rPr>
          <w:rFonts w:ascii="Arial" w:hAnsi="Arial"/>
          <w:sz w:val="18"/>
          <w:szCs w:val="18"/>
          <w:lang w:eastAsia="en-GB"/>
        </w:rPr>
        <w:t xml:space="preserve"> to shareholders on the register at the close of business on </w:t>
      </w:r>
      <w:r>
        <w:rPr>
          <w:rFonts w:ascii="Arial" w:hAnsi="Arial"/>
          <w:sz w:val="18"/>
          <w:szCs w:val="18"/>
          <w:lang w:eastAsia="en-GB"/>
        </w:rPr>
        <w:t>27 March 2020</w:t>
      </w:r>
      <w:r w:rsidRPr="00263A11">
        <w:rPr>
          <w:rFonts w:ascii="Arial" w:hAnsi="Arial"/>
          <w:sz w:val="18"/>
          <w:szCs w:val="18"/>
          <w:lang w:eastAsia="en-GB"/>
        </w:rPr>
        <w:t xml:space="preserve">. The ex-dividend date will be </w:t>
      </w:r>
      <w:r>
        <w:rPr>
          <w:rFonts w:ascii="Arial" w:hAnsi="Arial"/>
          <w:sz w:val="18"/>
          <w:szCs w:val="18"/>
          <w:lang w:eastAsia="en-GB"/>
        </w:rPr>
        <w:t>26</w:t>
      </w:r>
      <w:r w:rsidRPr="00263A11">
        <w:rPr>
          <w:rFonts w:ascii="Arial" w:hAnsi="Arial"/>
          <w:sz w:val="18"/>
          <w:szCs w:val="18"/>
          <w:lang w:eastAsia="en-GB"/>
        </w:rPr>
        <w:t xml:space="preserve"> March 20</w:t>
      </w:r>
      <w:r>
        <w:rPr>
          <w:rFonts w:ascii="Arial" w:hAnsi="Arial"/>
          <w:sz w:val="18"/>
          <w:szCs w:val="18"/>
          <w:lang w:eastAsia="en-GB"/>
        </w:rPr>
        <w:t>20</w:t>
      </w:r>
      <w:r w:rsidRPr="00263A11">
        <w:rPr>
          <w:rFonts w:ascii="Arial" w:hAnsi="Arial"/>
          <w:sz w:val="18"/>
          <w:szCs w:val="18"/>
          <w:lang w:eastAsia="en-GB"/>
        </w:rPr>
        <w:t xml:space="preserve">. </w:t>
      </w:r>
    </w:p>
    <w:p w:rsidR="00620623" w:rsidRDefault="00620623" w:rsidP="00436FB1">
      <w:pPr>
        <w:pStyle w:val="GCAHeader"/>
        <w:spacing w:line="48" w:lineRule="auto"/>
        <w:rPr>
          <w:sz w:val="18"/>
          <w:szCs w:val="18"/>
        </w:rPr>
      </w:pPr>
    </w:p>
    <w:p w:rsidR="00620623" w:rsidRDefault="00620623" w:rsidP="00436FB1">
      <w:pPr>
        <w:pStyle w:val="GCAHeader"/>
        <w:spacing w:line="264" w:lineRule="auto"/>
        <w:rPr>
          <w:sz w:val="18"/>
          <w:szCs w:val="18"/>
        </w:rPr>
      </w:pPr>
    </w:p>
    <w:p w:rsidR="00620623" w:rsidRPr="005847E4" w:rsidRDefault="00FC1FDC" w:rsidP="00436FB1">
      <w:pPr>
        <w:pStyle w:val="GCAHeader"/>
        <w:spacing w:line="264" w:lineRule="auto"/>
        <w:rPr>
          <w:sz w:val="18"/>
          <w:szCs w:val="18"/>
        </w:rPr>
      </w:pPr>
      <w:r w:rsidRPr="005847E4">
        <w:rPr>
          <w:sz w:val="18"/>
          <w:szCs w:val="18"/>
        </w:rPr>
        <w:t>7. Post balance sheet events</w:t>
      </w:r>
    </w:p>
    <w:p w:rsidR="0035028A" w:rsidRPr="0035028A" w:rsidRDefault="00FC1FDC" w:rsidP="00436FB1">
      <w:pPr>
        <w:rPr>
          <w:rFonts w:eastAsia="Times New Roman" w:cs="Arial"/>
          <w:sz w:val="18"/>
          <w:szCs w:val="18"/>
          <w:lang w:eastAsia="zh-CN"/>
        </w:rPr>
      </w:pPr>
      <w:r w:rsidRPr="0035028A">
        <w:rPr>
          <w:rFonts w:eastAsia="Times New Roman" w:cs="Arial"/>
          <w:sz w:val="18"/>
          <w:szCs w:val="18"/>
          <w:lang w:eastAsia="zh-CN"/>
        </w:rPr>
        <w:t>RBS Group intends to refocus the NatWest Markets busin</w:t>
      </w:r>
      <w:r>
        <w:rPr>
          <w:rFonts w:eastAsia="Times New Roman" w:cs="Arial"/>
          <w:sz w:val="18"/>
          <w:szCs w:val="18"/>
          <w:lang w:eastAsia="zh-CN"/>
        </w:rPr>
        <w:t>ess and estimates it will incur</w:t>
      </w:r>
      <w:r w:rsidRPr="0035028A">
        <w:rPr>
          <w:rFonts w:eastAsia="Times New Roman" w:cs="Arial"/>
          <w:sz w:val="18"/>
          <w:szCs w:val="18"/>
          <w:lang w:eastAsia="zh-CN"/>
        </w:rPr>
        <w:t xml:space="preserve"> exit, restructuring and disposal costs of around £</w:t>
      </w:r>
      <w:r>
        <w:rPr>
          <w:rFonts w:eastAsia="Times New Roman" w:cs="Arial"/>
          <w:sz w:val="18"/>
          <w:szCs w:val="18"/>
          <w:lang w:eastAsia="zh-CN"/>
        </w:rPr>
        <w:t>0.6</w:t>
      </w:r>
      <w:r w:rsidRPr="0035028A">
        <w:rPr>
          <w:rFonts w:eastAsia="Times New Roman" w:cs="Arial"/>
          <w:sz w:val="18"/>
          <w:szCs w:val="18"/>
          <w:lang w:eastAsia="zh-CN"/>
        </w:rPr>
        <w:t xml:space="preserve"> billion in 2020.  This estimate may be revised as plans to refocus the business are finalised.</w:t>
      </w:r>
    </w:p>
    <w:p w:rsidR="00927649" w:rsidRDefault="00FC1FDC">
      <w:pPr>
        <w:spacing w:after="200"/>
        <w:rPr>
          <w:rFonts w:ascii="Times New Roman" w:eastAsia="Times New Roman" w:hAnsi="Times New Roman" w:cs="Times New Roman"/>
          <w:sz w:val="24"/>
          <w:szCs w:val="20"/>
          <w:lang w:eastAsia="ja-JP"/>
        </w:rPr>
      </w:pPr>
      <w:r>
        <w:br w:type="page"/>
      </w:r>
    </w:p>
    <w:p w:rsidR="000D6EFC" w:rsidRPr="00E64C80" w:rsidRDefault="000D6EFC" w:rsidP="00620623">
      <w:pPr>
        <w:pStyle w:val="Normal1"/>
        <w:spacing w:line="264" w:lineRule="auto"/>
        <w:sectPr w:rsidR="000D6EFC" w:rsidRPr="00E64C80" w:rsidSect="00527F23">
          <w:headerReference w:type="even" r:id="rId95"/>
          <w:headerReference w:type="default" r:id="rId96"/>
          <w:footerReference w:type="even" r:id="rId97"/>
          <w:footerReference w:type="default" r:id="rId98"/>
          <w:headerReference w:type="first" r:id="rId99"/>
          <w:footerReference w:type="first" r:id="rId100"/>
          <w:type w:val="continuous"/>
          <w:pgSz w:w="11906" w:h="16838"/>
          <w:pgMar w:top="1134" w:right="851" w:bottom="680" w:left="851" w:header="708" w:footer="708" w:gutter="0"/>
          <w:cols w:space="708"/>
          <w:docGrid w:linePitch="360"/>
        </w:sectPr>
      </w:pPr>
    </w:p>
    <w:p w:rsidR="00786B6D" w:rsidRPr="0008288C" w:rsidRDefault="00FC1FDC" w:rsidP="00786B6D">
      <w:pPr>
        <w:pStyle w:val="Normal00"/>
        <w:spacing w:line="288" w:lineRule="auto"/>
        <w:jc w:val="both"/>
        <w:rPr>
          <w:rFonts w:ascii="Arial" w:hAnsi="Arial" w:cs="Arial"/>
          <w:b/>
          <w:color w:val="003366"/>
          <w:sz w:val="18"/>
          <w:szCs w:val="18"/>
        </w:rPr>
      </w:pPr>
      <w:r w:rsidRPr="0008288C">
        <w:rPr>
          <w:rFonts w:ascii="Arial" w:hAnsi="Arial" w:cs="Arial"/>
          <w:b/>
          <w:color w:val="003366"/>
          <w:sz w:val="18"/>
          <w:szCs w:val="18"/>
        </w:rPr>
        <w:t>Statement of directors’ responsibilities</w:t>
      </w:r>
    </w:p>
    <w:p w:rsidR="00786B6D" w:rsidRPr="00061AD0" w:rsidRDefault="00786B6D" w:rsidP="00786B6D">
      <w:pPr>
        <w:pStyle w:val="Normal00"/>
        <w:spacing w:line="288" w:lineRule="auto"/>
        <w:jc w:val="both"/>
        <w:rPr>
          <w:rFonts w:ascii="Arial" w:hAnsi="Arial"/>
          <w:sz w:val="18"/>
          <w:szCs w:val="18"/>
        </w:rPr>
      </w:pPr>
    </w:p>
    <w:p w:rsidR="00786B6D" w:rsidRDefault="00FC1FDC" w:rsidP="000932C9">
      <w:pPr>
        <w:pStyle w:val="Normal00"/>
        <w:spacing w:line="264" w:lineRule="auto"/>
        <w:rPr>
          <w:rFonts w:ascii="Arial" w:hAnsi="Arial"/>
          <w:sz w:val="18"/>
          <w:szCs w:val="18"/>
        </w:rPr>
      </w:pPr>
      <w:r>
        <w:rPr>
          <w:rFonts w:ascii="Arial" w:hAnsi="Arial"/>
          <w:sz w:val="18"/>
          <w:szCs w:val="18"/>
        </w:rPr>
        <w:t xml:space="preserve">The responsibility statement below has been prepared in connection with RBS Group’s full Annual Report and Accounts for the year ended 31 December 2019. </w:t>
      </w:r>
    </w:p>
    <w:p w:rsidR="00786B6D" w:rsidRDefault="00786B6D" w:rsidP="000932C9">
      <w:pPr>
        <w:pStyle w:val="Normal00"/>
        <w:spacing w:line="264" w:lineRule="auto"/>
        <w:rPr>
          <w:rFonts w:ascii="Arial" w:hAnsi="Arial"/>
          <w:sz w:val="18"/>
          <w:szCs w:val="18"/>
        </w:rPr>
      </w:pPr>
    </w:p>
    <w:p w:rsidR="00786B6D" w:rsidRDefault="00FC1FDC" w:rsidP="000932C9">
      <w:pPr>
        <w:pStyle w:val="Normal00"/>
        <w:spacing w:line="264" w:lineRule="auto"/>
        <w:rPr>
          <w:rFonts w:ascii="Arial" w:hAnsi="Arial"/>
          <w:sz w:val="18"/>
          <w:szCs w:val="18"/>
        </w:rPr>
      </w:pPr>
      <w:r>
        <w:rPr>
          <w:rFonts w:ascii="Arial" w:hAnsi="Arial"/>
          <w:sz w:val="18"/>
          <w:szCs w:val="18"/>
        </w:rPr>
        <w:t>We, the directors listed below, confirm that to the best of our knowledge:</w:t>
      </w:r>
    </w:p>
    <w:p w:rsidR="00786B6D" w:rsidRDefault="00786B6D" w:rsidP="000932C9">
      <w:pPr>
        <w:pStyle w:val="Normal00"/>
        <w:spacing w:line="264" w:lineRule="auto"/>
        <w:rPr>
          <w:rFonts w:ascii="Arial" w:hAnsi="Arial"/>
          <w:sz w:val="18"/>
          <w:szCs w:val="18"/>
        </w:rPr>
      </w:pPr>
    </w:p>
    <w:tbl>
      <w:tblPr>
        <w:tblW w:w="10206" w:type="dxa"/>
        <w:tblCellMar>
          <w:left w:w="0" w:type="dxa"/>
          <w:right w:w="0" w:type="dxa"/>
        </w:tblCellMar>
        <w:tblLook w:val="01E0" w:firstRow="1" w:lastRow="1" w:firstColumn="1" w:lastColumn="1" w:noHBand="0" w:noVBand="0"/>
      </w:tblPr>
      <w:tblGrid>
        <w:gridCol w:w="381"/>
        <w:gridCol w:w="9825"/>
      </w:tblGrid>
      <w:tr w:rsidR="0064628A" w:rsidTr="005F64C9">
        <w:tc>
          <w:tcPr>
            <w:tcW w:w="381" w:type="dxa"/>
          </w:tcPr>
          <w:p w:rsidR="00786B6D" w:rsidRPr="00CC2D71" w:rsidRDefault="00FC1FDC" w:rsidP="000932C9">
            <w:pPr>
              <w:pStyle w:val="Normal00"/>
              <w:spacing w:line="264" w:lineRule="auto"/>
              <w:rPr>
                <w:rFonts w:ascii="Arial" w:eastAsia="SimSun" w:hAnsi="Arial" w:cs="Arial"/>
                <w:color w:val="003366"/>
                <w:sz w:val="18"/>
                <w:szCs w:val="18"/>
              </w:rPr>
            </w:pPr>
            <w:r w:rsidRPr="00CC2D71">
              <w:rPr>
                <w:rFonts w:ascii="Arial" w:eastAsia="SimSun" w:hAnsi="Arial" w:cs="Arial"/>
                <w:color w:val="003366"/>
                <w:sz w:val="18"/>
                <w:szCs w:val="18"/>
              </w:rPr>
              <w:t>●</w:t>
            </w:r>
          </w:p>
        </w:tc>
        <w:tc>
          <w:tcPr>
            <w:tcW w:w="9825" w:type="dxa"/>
          </w:tcPr>
          <w:p w:rsidR="00786B6D" w:rsidRPr="0022051B" w:rsidRDefault="00FC1FDC" w:rsidP="000932C9">
            <w:pPr>
              <w:pStyle w:val="Normal00"/>
              <w:spacing w:line="264" w:lineRule="auto"/>
              <w:rPr>
                <w:rFonts w:ascii="Arial" w:hAnsi="Arial"/>
                <w:sz w:val="18"/>
                <w:szCs w:val="18"/>
              </w:rPr>
            </w:pPr>
            <w:r>
              <w:rPr>
                <w:rFonts w:ascii="Arial" w:hAnsi="Arial"/>
                <w:sz w:val="18"/>
                <w:szCs w:val="18"/>
              </w:rPr>
              <w:t xml:space="preserve">The financial statements, prepared in accordance with International Financial Reporting Standards, give a true and fair view of the assets, liabilities, financial position and profit or loss of the company and the undertakings included in the consolidated taken as a whole; and </w:t>
            </w:r>
          </w:p>
        </w:tc>
      </w:tr>
      <w:tr w:rsidR="0064628A" w:rsidTr="005F64C9">
        <w:tc>
          <w:tcPr>
            <w:tcW w:w="381" w:type="dxa"/>
          </w:tcPr>
          <w:p w:rsidR="00786B6D" w:rsidRPr="00CC2D71" w:rsidRDefault="00FC1FDC" w:rsidP="000932C9">
            <w:pPr>
              <w:pStyle w:val="Normal00"/>
              <w:spacing w:line="264" w:lineRule="auto"/>
              <w:rPr>
                <w:rFonts w:ascii="Arial" w:eastAsia="SimSun" w:hAnsi="Arial" w:cs="Arial"/>
                <w:color w:val="003366"/>
                <w:sz w:val="18"/>
                <w:szCs w:val="18"/>
              </w:rPr>
            </w:pPr>
            <w:r w:rsidRPr="00CC2D71">
              <w:rPr>
                <w:rFonts w:ascii="Arial" w:eastAsia="SimSun" w:hAnsi="Arial" w:cs="Arial"/>
                <w:color w:val="003366"/>
                <w:sz w:val="18"/>
                <w:szCs w:val="18"/>
              </w:rPr>
              <w:t>●</w:t>
            </w:r>
          </w:p>
        </w:tc>
        <w:tc>
          <w:tcPr>
            <w:tcW w:w="9825" w:type="dxa"/>
          </w:tcPr>
          <w:p w:rsidR="00786B6D" w:rsidRPr="0022051B" w:rsidRDefault="00FC1FDC" w:rsidP="000932C9">
            <w:pPr>
              <w:pStyle w:val="Normal00"/>
              <w:spacing w:line="264" w:lineRule="auto"/>
              <w:rPr>
                <w:rFonts w:ascii="Arial" w:hAnsi="Arial"/>
                <w:sz w:val="18"/>
                <w:szCs w:val="18"/>
              </w:rPr>
            </w:pPr>
            <w:r>
              <w:rPr>
                <w:rFonts w:ascii="Arial" w:hAnsi="Arial"/>
                <w:sz w:val="18"/>
                <w:szCs w:val="18"/>
              </w:rPr>
              <w:t xml:space="preserve">The Strategic Report and Directors’ report (incorporating the Business review) include a fair review of the development and performance of the business and the position of the company and the undertakings included in the consolidation taken as a whole, together with a description of the principal risks and uncertainties that they face. </w:t>
            </w:r>
          </w:p>
        </w:tc>
      </w:tr>
    </w:tbl>
    <w:p w:rsidR="00786B6D" w:rsidRPr="00061AD0" w:rsidRDefault="00786B6D" w:rsidP="00786B6D">
      <w:pPr>
        <w:pStyle w:val="Normal00"/>
        <w:spacing w:line="264" w:lineRule="auto"/>
        <w:jc w:val="both"/>
        <w:rPr>
          <w:rFonts w:ascii="Arial" w:hAnsi="Arial"/>
          <w:sz w:val="18"/>
          <w:szCs w:val="18"/>
        </w:rPr>
      </w:pPr>
    </w:p>
    <w:p w:rsidR="00786B6D" w:rsidRPr="00061AD0" w:rsidRDefault="00FC1FDC" w:rsidP="00786B6D">
      <w:pPr>
        <w:pStyle w:val="Normal00"/>
        <w:spacing w:line="264" w:lineRule="auto"/>
        <w:jc w:val="both"/>
        <w:rPr>
          <w:rFonts w:ascii="Arial" w:hAnsi="Arial"/>
          <w:sz w:val="18"/>
          <w:szCs w:val="18"/>
        </w:rPr>
      </w:pPr>
      <w:r w:rsidRPr="00061AD0">
        <w:rPr>
          <w:rFonts w:ascii="Arial" w:hAnsi="Arial"/>
          <w:sz w:val="18"/>
          <w:szCs w:val="18"/>
        </w:rPr>
        <w:t>By order of the Board</w:t>
      </w:r>
    </w:p>
    <w:p w:rsidR="00786B6D" w:rsidRPr="00061AD0" w:rsidRDefault="00786B6D" w:rsidP="00786B6D">
      <w:pPr>
        <w:pStyle w:val="Normal00"/>
        <w:spacing w:line="264" w:lineRule="auto"/>
        <w:jc w:val="both"/>
        <w:rPr>
          <w:rFonts w:ascii="Arial" w:hAnsi="Arial"/>
          <w:sz w:val="18"/>
          <w:szCs w:val="18"/>
        </w:rPr>
      </w:pPr>
    </w:p>
    <w:p w:rsidR="00786B6D" w:rsidRDefault="00786B6D" w:rsidP="00786B6D">
      <w:pPr>
        <w:pStyle w:val="Normal00"/>
        <w:spacing w:line="264" w:lineRule="auto"/>
        <w:jc w:val="both"/>
        <w:rPr>
          <w:rFonts w:ascii="Arial" w:hAnsi="Arial"/>
          <w:sz w:val="18"/>
          <w:szCs w:val="18"/>
        </w:rPr>
      </w:pPr>
    </w:p>
    <w:p w:rsidR="00786B6D" w:rsidRDefault="00786B6D" w:rsidP="00786B6D">
      <w:pPr>
        <w:pStyle w:val="Normal00"/>
        <w:spacing w:line="264" w:lineRule="auto"/>
        <w:jc w:val="both"/>
        <w:rPr>
          <w:rFonts w:ascii="Arial" w:hAnsi="Arial"/>
          <w:sz w:val="18"/>
          <w:szCs w:val="18"/>
        </w:rPr>
      </w:pPr>
    </w:p>
    <w:p w:rsidR="00786B6D" w:rsidRDefault="00786B6D" w:rsidP="00786B6D">
      <w:pPr>
        <w:pStyle w:val="Normal00"/>
        <w:spacing w:line="264" w:lineRule="auto"/>
        <w:jc w:val="both"/>
        <w:rPr>
          <w:rFonts w:ascii="Arial" w:hAnsi="Arial"/>
          <w:sz w:val="18"/>
          <w:szCs w:val="18"/>
        </w:rPr>
      </w:pPr>
    </w:p>
    <w:p w:rsidR="00786B6D" w:rsidRDefault="00786B6D" w:rsidP="00786B6D">
      <w:pPr>
        <w:pStyle w:val="Normal00"/>
        <w:spacing w:line="264" w:lineRule="auto"/>
        <w:jc w:val="both"/>
        <w:rPr>
          <w:rFonts w:ascii="Arial" w:hAnsi="Arial"/>
          <w:sz w:val="18"/>
          <w:szCs w:val="18"/>
        </w:rPr>
      </w:pPr>
    </w:p>
    <w:p w:rsidR="00786B6D" w:rsidRPr="00061AD0" w:rsidRDefault="00786B6D" w:rsidP="00786B6D">
      <w:pPr>
        <w:pStyle w:val="Normal00"/>
        <w:spacing w:line="264" w:lineRule="auto"/>
        <w:jc w:val="both"/>
        <w:rPr>
          <w:rFonts w:ascii="Arial" w:hAnsi="Arial"/>
          <w:sz w:val="18"/>
          <w:szCs w:val="18"/>
        </w:rPr>
      </w:pPr>
    </w:p>
    <w:p w:rsidR="00786B6D" w:rsidRPr="00061AD0" w:rsidRDefault="00786B6D" w:rsidP="00786B6D">
      <w:pPr>
        <w:pStyle w:val="Normal00"/>
        <w:spacing w:line="264" w:lineRule="auto"/>
        <w:jc w:val="both"/>
        <w:rPr>
          <w:rFonts w:ascii="Arial" w:hAnsi="Arial"/>
          <w:sz w:val="18"/>
          <w:szCs w:val="18"/>
        </w:rPr>
      </w:pPr>
    </w:p>
    <w:p w:rsidR="00786B6D" w:rsidRPr="00061AD0" w:rsidRDefault="00786B6D" w:rsidP="00786B6D">
      <w:pPr>
        <w:pStyle w:val="Normal00"/>
        <w:spacing w:line="264" w:lineRule="auto"/>
        <w:jc w:val="both"/>
        <w:rPr>
          <w:rFonts w:ascii="Arial" w:hAnsi="Arial"/>
          <w:sz w:val="18"/>
          <w:szCs w:val="18"/>
        </w:rPr>
      </w:pPr>
    </w:p>
    <w:tbl>
      <w:tblPr>
        <w:tblW w:w="10206" w:type="dxa"/>
        <w:tblCellMar>
          <w:left w:w="0" w:type="dxa"/>
          <w:right w:w="0" w:type="dxa"/>
        </w:tblCellMar>
        <w:tblLook w:val="0000" w:firstRow="0" w:lastRow="0" w:firstColumn="0" w:lastColumn="0" w:noHBand="0" w:noVBand="0"/>
      </w:tblPr>
      <w:tblGrid>
        <w:gridCol w:w="2647"/>
        <w:gridCol w:w="3070"/>
        <w:gridCol w:w="4489"/>
      </w:tblGrid>
      <w:tr w:rsidR="0064628A" w:rsidTr="005F64C9">
        <w:tc>
          <w:tcPr>
            <w:tcW w:w="0" w:type="auto"/>
          </w:tcPr>
          <w:p w:rsidR="0008288C" w:rsidRDefault="0008288C" w:rsidP="005F64C9">
            <w:pPr>
              <w:pStyle w:val="Normal00"/>
              <w:spacing w:line="264" w:lineRule="auto"/>
              <w:jc w:val="both"/>
              <w:rPr>
                <w:rFonts w:ascii="Arial" w:hAnsi="Arial"/>
                <w:sz w:val="18"/>
                <w:szCs w:val="18"/>
              </w:rPr>
            </w:pPr>
          </w:p>
          <w:p w:rsidR="00786B6D" w:rsidRPr="00061AD0" w:rsidRDefault="00FC1FDC" w:rsidP="005F64C9">
            <w:pPr>
              <w:pStyle w:val="Normal00"/>
              <w:spacing w:line="264" w:lineRule="auto"/>
              <w:jc w:val="both"/>
              <w:rPr>
                <w:rFonts w:ascii="Arial" w:hAnsi="Arial"/>
                <w:sz w:val="18"/>
                <w:szCs w:val="18"/>
              </w:rPr>
            </w:pPr>
            <w:r w:rsidRPr="00061AD0">
              <w:rPr>
                <w:rFonts w:ascii="Arial" w:hAnsi="Arial"/>
                <w:sz w:val="18"/>
                <w:szCs w:val="18"/>
              </w:rPr>
              <w:t>Howard Davies</w:t>
            </w:r>
          </w:p>
        </w:tc>
        <w:tc>
          <w:tcPr>
            <w:tcW w:w="1504" w:type="pct"/>
          </w:tcPr>
          <w:p w:rsidR="0008288C" w:rsidRDefault="0008288C" w:rsidP="005F64C9">
            <w:pPr>
              <w:pStyle w:val="Normal00"/>
              <w:spacing w:line="264" w:lineRule="auto"/>
              <w:jc w:val="both"/>
              <w:rPr>
                <w:rFonts w:ascii="Arial" w:hAnsi="Arial"/>
                <w:sz w:val="18"/>
                <w:szCs w:val="18"/>
              </w:rPr>
            </w:pPr>
          </w:p>
          <w:p w:rsidR="00786B6D" w:rsidRPr="00061AD0" w:rsidRDefault="00FC1FDC" w:rsidP="005F64C9">
            <w:pPr>
              <w:pStyle w:val="Normal00"/>
              <w:spacing w:line="264" w:lineRule="auto"/>
              <w:jc w:val="both"/>
              <w:rPr>
                <w:rFonts w:ascii="Arial" w:hAnsi="Arial"/>
                <w:sz w:val="18"/>
                <w:szCs w:val="18"/>
              </w:rPr>
            </w:pPr>
            <w:r>
              <w:rPr>
                <w:rFonts w:ascii="Arial" w:hAnsi="Arial"/>
                <w:sz w:val="18"/>
                <w:szCs w:val="18"/>
              </w:rPr>
              <w:t>Alison Rose-Slade</w:t>
            </w:r>
          </w:p>
        </w:tc>
        <w:tc>
          <w:tcPr>
            <w:tcW w:w="2199" w:type="pct"/>
          </w:tcPr>
          <w:p w:rsidR="0008288C" w:rsidRDefault="0008288C" w:rsidP="005F64C9">
            <w:pPr>
              <w:pStyle w:val="Normal00"/>
              <w:spacing w:line="264" w:lineRule="auto"/>
              <w:jc w:val="both"/>
              <w:rPr>
                <w:rFonts w:ascii="Arial" w:hAnsi="Arial"/>
                <w:sz w:val="18"/>
                <w:szCs w:val="18"/>
              </w:rPr>
            </w:pPr>
          </w:p>
          <w:p w:rsidR="00786B6D" w:rsidRPr="00061AD0" w:rsidRDefault="00FC1FDC" w:rsidP="005F64C9">
            <w:pPr>
              <w:pStyle w:val="Normal00"/>
              <w:spacing w:line="264" w:lineRule="auto"/>
              <w:jc w:val="both"/>
              <w:rPr>
                <w:rFonts w:ascii="Arial" w:hAnsi="Arial"/>
                <w:sz w:val="18"/>
                <w:szCs w:val="18"/>
              </w:rPr>
            </w:pPr>
            <w:r>
              <w:rPr>
                <w:rFonts w:ascii="Arial" w:hAnsi="Arial"/>
                <w:sz w:val="18"/>
                <w:szCs w:val="18"/>
              </w:rPr>
              <w:t>Katie Murray</w:t>
            </w:r>
          </w:p>
        </w:tc>
      </w:tr>
      <w:tr w:rsidR="0064628A" w:rsidTr="005F64C9">
        <w:tc>
          <w:tcPr>
            <w:tcW w:w="0" w:type="auto"/>
          </w:tcPr>
          <w:p w:rsidR="00786B6D" w:rsidRPr="00061AD0" w:rsidRDefault="00FC1FDC" w:rsidP="005F64C9">
            <w:pPr>
              <w:pStyle w:val="Normal00"/>
              <w:spacing w:line="264" w:lineRule="auto"/>
              <w:jc w:val="both"/>
              <w:rPr>
                <w:rFonts w:ascii="Arial" w:hAnsi="Arial"/>
                <w:sz w:val="18"/>
                <w:szCs w:val="18"/>
              </w:rPr>
            </w:pPr>
            <w:r w:rsidRPr="00061AD0">
              <w:rPr>
                <w:rFonts w:ascii="Arial" w:hAnsi="Arial"/>
                <w:sz w:val="18"/>
                <w:szCs w:val="18"/>
              </w:rPr>
              <w:t>Chairman</w:t>
            </w:r>
          </w:p>
        </w:tc>
        <w:tc>
          <w:tcPr>
            <w:tcW w:w="1504" w:type="pct"/>
          </w:tcPr>
          <w:p w:rsidR="00786B6D" w:rsidRPr="00061AD0" w:rsidRDefault="00FC1FDC" w:rsidP="005F64C9">
            <w:pPr>
              <w:pStyle w:val="Normal00"/>
              <w:spacing w:line="264" w:lineRule="auto"/>
              <w:jc w:val="both"/>
              <w:rPr>
                <w:rFonts w:ascii="Arial" w:hAnsi="Arial"/>
                <w:sz w:val="18"/>
                <w:szCs w:val="18"/>
              </w:rPr>
            </w:pPr>
            <w:r>
              <w:rPr>
                <w:rFonts w:ascii="Arial" w:hAnsi="Arial"/>
                <w:sz w:val="18"/>
                <w:szCs w:val="18"/>
              </w:rPr>
              <w:t>Group Chief E</w:t>
            </w:r>
            <w:r w:rsidRPr="00061AD0">
              <w:rPr>
                <w:rFonts w:ascii="Arial" w:hAnsi="Arial"/>
                <w:sz w:val="18"/>
                <w:szCs w:val="18"/>
              </w:rPr>
              <w:t>xecutive</w:t>
            </w:r>
            <w:r>
              <w:rPr>
                <w:rFonts w:ascii="Arial" w:hAnsi="Arial"/>
                <w:sz w:val="18"/>
                <w:szCs w:val="18"/>
              </w:rPr>
              <w:t xml:space="preserve"> Officer</w:t>
            </w:r>
          </w:p>
        </w:tc>
        <w:tc>
          <w:tcPr>
            <w:tcW w:w="2199" w:type="pct"/>
          </w:tcPr>
          <w:p w:rsidR="00786B6D" w:rsidRPr="00061AD0" w:rsidRDefault="00FC1FDC" w:rsidP="005F64C9">
            <w:pPr>
              <w:pStyle w:val="Normal00"/>
              <w:spacing w:line="264" w:lineRule="auto"/>
              <w:jc w:val="both"/>
              <w:rPr>
                <w:rFonts w:ascii="Arial" w:hAnsi="Arial"/>
                <w:sz w:val="18"/>
                <w:szCs w:val="18"/>
              </w:rPr>
            </w:pPr>
            <w:r>
              <w:rPr>
                <w:rFonts w:ascii="Arial" w:hAnsi="Arial"/>
                <w:sz w:val="18"/>
                <w:szCs w:val="18"/>
              </w:rPr>
              <w:t>Group Chief Financial O</w:t>
            </w:r>
            <w:r w:rsidRPr="00061AD0">
              <w:rPr>
                <w:rFonts w:ascii="Arial" w:hAnsi="Arial"/>
                <w:sz w:val="18"/>
                <w:szCs w:val="18"/>
              </w:rPr>
              <w:t>fficer</w:t>
            </w:r>
          </w:p>
        </w:tc>
      </w:tr>
    </w:tbl>
    <w:p w:rsidR="00786B6D" w:rsidRPr="00061AD0" w:rsidRDefault="00786B6D" w:rsidP="00786B6D">
      <w:pPr>
        <w:pStyle w:val="Normal00"/>
        <w:spacing w:line="264" w:lineRule="auto"/>
        <w:jc w:val="both"/>
        <w:rPr>
          <w:rFonts w:ascii="Arial" w:hAnsi="Arial"/>
          <w:sz w:val="18"/>
          <w:szCs w:val="18"/>
        </w:rPr>
      </w:pPr>
    </w:p>
    <w:p w:rsidR="00786B6D" w:rsidRPr="00061AD0" w:rsidRDefault="00FC1FDC" w:rsidP="00786B6D">
      <w:pPr>
        <w:pStyle w:val="Normal00"/>
        <w:spacing w:line="264" w:lineRule="auto"/>
        <w:jc w:val="both"/>
        <w:rPr>
          <w:rFonts w:ascii="Arial" w:hAnsi="Arial"/>
          <w:sz w:val="18"/>
          <w:szCs w:val="18"/>
        </w:rPr>
      </w:pPr>
      <w:r>
        <w:rPr>
          <w:rFonts w:ascii="Arial" w:hAnsi="Arial"/>
          <w:sz w:val="18"/>
          <w:szCs w:val="18"/>
        </w:rPr>
        <w:t>13 February</w:t>
      </w:r>
      <w:r w:rsidRPr="00061AD0">
        <w:rPr>
          <w:rFonts w:ascii="Arial" w:hAnsi="Arial"/>
          <w:sz w:val="18"/>
          <w:szCs w:val="18"/>
        </w:rPr>
        <w:t xml:space="preserve"> 20</w:t>
      </w:r>
      <w:r>
        <w:rPr>
          <w:rFonts w:ascii="Arial" w:hAnsi="Arial"/>
          <w:sz w:val="18"/>
          <w:szCs w:val="18"/>
        </w:rPr>
        <w:t>20</w:t>
      </w:r>
    </w:p>
    <w:p w:rsidR="00786B6D" w:rsidRPr="00061AD0" w:rsidRDefault="00786B6D" w:rsidP="00786B6D">
      <w:pPr>
        <w:pStyle w:val="Normal00"/>
        <w:spacing w:line="264" w:lineRule="auto"/>
        <w:jc w:val="both"/>
        <w:rPr>
          <w:rFonts w:ascii="Arial" w:hAnsi="Arial"/>
          <w:sz w:val="18"/>
          <w:szCs w:val="18"/>
        </w:rPr>
      </w:pPr>
    </w:p>
    <w:p w:rsidR="00786B6D" w:rsidRPr="0008288C" w:rsidRDefault="00FC1FDC" w:rsidP="00786B6D">
      <w:pPr>
        <w:pStyle w:val="Normal00"/>
        <w:spacing w:line="264" w:lineRule="auto"/>
        <w:jc w:val="both"/>
        <w:rPr>
          <w:rFonts w:ascii="Arial" w:hAnsi="Arial"/>
          <w:b/>
          <w:color w:val="002060"/>
          <w:sz w:val="18"/>
          <w:szCs w:val="18"/>
        </w:rPr>
      </w:pPr>
      <w:r w:rsidRPr="0008288C">
        <w:rPr>
          <w:rFonts w:ascii="Arial" w:hAnsi="Arial"/>
          <w:b/>
          <w:color w:val="002060"/>
          <w:sz w:val="18"/>
          <w:szCs w:val="18"/>
        </w:rPr>
        <w:t>Board of directors</w:t>
      </w:r>
    </w:p>
    <w:tbl>
      <w:tblPr>
        <w:tblW w:w="10206" w:type="dxa"/>
        <w:tblCellMar>
          <w:left w:w="0" w:type="dxa"/>
          <w:right w:w="0" w:type="dxa"/>
        </w:tblCellMar>
        <w:tblLook w:val="0000" w:firstRow="0" w:lastRow="0" w:firstColumn="0" w:lastColumn="0" w:noHBand="0" w:noVBand="0"/>
      </w:tblPr>
      <w:tblGrid>
        <w:gridCol w:w="2627"/>
        <w:gridCol w:w="3090"/>
        <w:gridCol w:w="4489"/>
      </w:tblGrid>
      <w:tr w:rsidR="0064628A" w:rsidTr="005F64C9">
        <w:tc>
          <w:tcPr>
            <w:tcW w:w="0" w:type="auto"/>
          </w:tcPr>
          <w:p w:rsidR="00786B6D" w:rsidRPr="00061AD0" w:rsidRDefault="00FC1FDC" w:rsidP="005F64C9">
            <w:pPr>
              <w:pStyle w:val="Normal00"/>
              <w:spacing w:line="264" w:lineRule="auto"/>
              <w:jc w:val="both"/>
              <w:rPr>
                <w:rFonts w:ascii="Arial" w:hAnsi="Arial" w:cs="Arial"/>
                <w:b/>
                <w:color w:val="003366"/>
                <w:sz w:val="18"/>
                <w:szCs w:val="18"/>
              </w:rPr>
            </w:pPr>
            <w:r w:rsidRPr="00061AD0">
              <w:rPr>
                <w:rFonts w:ascii="Arial" w:hAnsi="Arial" w:cs="Arial"/>
                <w:b/>
                <w:color w:val="003366"/>
                <w:sz w:val="18"/>
                <w:szCs w:val="18"/>
              </w:rPr>
              <w:t>Chairman</w:t>
            </w:r>
          </w:p>
        </w:tc>
        <w:tc>
          <w:tcPr>
            <w:tcW w:w="1514" w:type="pct"/>
          </w:tcPr>
          <w:p w:rsidR="00786B6D" w:rsidRPr="00061AD0" w:rsidRDefault="00FC1FDC" w:rsidP="005F64C9">
            <w:pPr>
              <w:pStyle w:val="Normal00"/>
              <w:spacing w:line="264" w:lineRule="auto"/>
              <w:jc w:val="both"/>
              <w:rPr>
                <w:rFonts w:ascii="Arial" w:hAnsi="Arial" w:cs="Arial"/>
                <w:b/>
                <w:color w:val="003366"/>
                <w:sz w:val="18"/>
                <w:szCs w:val="18"/>
              </w:rPr>
            </w:pPr>
            <w:r w:rsidRPr="00061AD0">
              <w:rPr>
                <w:rFonts w:ascii="Arial" w:hAnsi="Arial" w:cs="Arial"/>
                <w:b/>
                <w:color w:val="003366"/>
                <w:sz w:val="18"/>
                <w:szCs w:val="18"/>
              </w:rPr>
              <w:t>Executive directors</w:t>
            </w:r>
          </w:p>
        </w:tc>
        <w:tc>
          <w:tcPr>
            <w:tcW w:w="2199" w:type="pct"/>
          </w:tcPr>
          <w:p w:rsidR="00786B6D" w:rsidRPr="00061AD0" w:rsidRDefault="00FC1FDC" w:rsidP="005F64C9">
            <w:pPr>
              <w:pStyle w:val="Normal00"/>
              <w:spacing w:line="264" w:lineRule="auto"/>
              <w:jc w:val="both"/>
              <w:rPr>
                <w:rFonts w:ascii="Arial" w:hAnsi="Arial" w:cs="Arial"/>
                <w:b/>
                <w:color w:val="003366"/>
                <w:sz w:val="18"/>
                <w:szCs w:val="18"/>
              </w:rPr>
            </w:pPr>
            <w:r w:rsidRPr="00061AD0">
              <w:rPr>
                <w:rFonts w:ascii="Arial" w:hAnsi="Arial" w:cs="Arial"/>
                <w:b/>
                <w:color w:val="003366"/>
                <w:sz w:val="18"/>
                <w:szCs w:val="18"/>
              </w:rPr>
              <w:t>Non-executive directors</w:t>
            </w:r>
          </w:p>
        </w:tc>
      </w:tr>
      <w:tr w:rsidR="0064628A" w:rsidTr="005F64C9">
        <w:tc>
          <w:tcPr>
            <w:tcW w:w="0" w:type="auto"/>
          </w:tcPr>
          <w:p w:rsidR="00786B6D" w:rsidRPr="00061AD0" w:rsidRDefault="00FC1FDC" w:rsidP="005F64C9">
            <w:pPr>
              <w:pStyle w:val="Normal00"/>
              <w:spacing w:line="264" w:lineRule="auto"/>
              <w:rPr>
                <w:rFonts w:ascii="Arial" w:hAnsi="Arial"/>
                <w:sz w:val="18"/>
                <w:szCs w:val="18"/>
              </w:rPr>
            </w:pPr>
            <w:r w:rsidRPr="00061AD0">
              <w:rPr>
                <w:rFonts w:ascii="Arial" w:hAnsi="Arial"/>
                <w:sz w:val="18"/>
                <w:szCs w:val="18"/>
              </w:rPr>
              <w:t>Howard Davies</w:t>
            </w:r>
          </w:p>
        </w:tc>
        <w:tc>
          <w:tcPr>
            <w:tcW w:w="1514" w:type="pct"/>
          </w:tcPr>
          <w:p w:rsidR="00786B6D" w:rsidRPr="00061AD0" w:rsidRDefault="00FC1FDC" w:rsidP="005F64C9">
            <w:pPr>
              <w:pStyle w:val="Normal00"/>
              <w:spacing w:line="264" w:lineRule="auto"/>
              <w:jc w:val="both"/>
              <w:rPr>
                <w:rFonts w:ascii="Arial" w:hAnsi="Arial"/>
                <w:sz w:val="18"/>
                <w:szCs w:val="18"/>
              </w:rPr>
            </w:pPr>
            <w:r>
              <w:rPr>
                <w:rFonts w:ascii="Arial" w:hAnsi="Arial"/>
                <w:sz w:val="18"/>
                <w:szCs w:val="18"/>
              </w:rPr>
              <w:t>Alison Rose</w:t>
            </w:r>
          </w:p>
          <w:p w:rsidR="00786B6D" w:rsidRPr="00061AD0" w:rsidRDefault="00FC1FDC" w:rsidP="005F64C9">
            <w:pPr>
              <w:pStyle w:val="Normal00"/>
              <w:spacing w:line="264" w:lineRule="auto"/>
              <w:jc w:val="both"/>
              <w:rPr>
                <w:rFonts w:ascii="Arial" w:hAnsi="Arial"/>
                <w:sz w:val="18"/>
                <w:szCs w:val="18"/>
              </w:rPr>
            </w:pPr>
            <w:r>
              <w:rPr>
                <w:rFonts w:ascii="Arial" w:hAnsi="Arial"/>
                <w:sz w:val="18"/>
                <w:szCs w:val="18"/>
              </w:rPr>
              <w:t>Katie Murray</w:t>
            </w:r>
          </w:p>
          <w:p w:rsidR="00786B6D" w:rsidRPr="00061AD0" w:rsidRDefault="00786B6D" w:rsidP="005F64C9">
            <w:pPr>
              <w:pStyle w:val="Normal00"/>
              <w:spacing w:line="264" w:lineRule="auto"/>
              <w:jc w:val="both"/>
              <w:rPr>
                <w:rFonts w:ascii="Arial" w:hAnsi="Arial"/>
                <w:sz w:val="18"/>
                <w:szCs w:val="18"/>
              </w:rPr>
            </w:pPr>
          </w:p>
          <w:p w:rsidR="00786B6D" w:rsidRPr="00061AD0" w:rsidRDefault="00786B6D" w:rsidP="005F64C9">
            <w:pPr>
              <w:pStyle w:val="Normal00"/>
              <w:spacing w:line="264" w:lineRule="auto"/>
              <w:jc w:val="both"/>
              <w:rPr>
                <w:rFonts w:ascii="Arial" w:hAnsi="Arial"/>
                <w:sz w:val="18"/>
                <w:szCs w:val="18"/>
              </w:rPr>
            </w:pPr>
          </w:p>
        </w:tc>
        <w:tc>
          <w:tcPr>
            <w:tcW w:w="2199" w:type="pct"/>
          </w:tcPr>
          <w:p w:rsidR="00786B6D" w:rsidRPr="00061AD0" w:rsidRDefault="00FC1FDC" w:rsidP="005F64C9">
            <w:pPr>
              <w:pStyle w:val="Normal00"/>
              <w:spacing w:line="264" w:lineRule="auto"/>
              <w:rPr>
                <w:rFonts w:ascii="Arial" w:hAnsi="Arial" w:cs="Arial"/>
                <w:sz w:val="18"/>
                <w:szCs w:val="18"/>
                <w:lang w:eastAsia="en-GB"/>
              </w:rPr>
            </w:pPr>
            <w:r w:rsidRPr="00061AD0">
              <w:rPr>
                <w:rFonts w:ascii="Arial" w:hAnsi="Arial" w:cs="Arial"/>
                <w:sz w:val="18"/>
                <w:szCs w:val="18"/>
                <w:lang w:eastAsia="en-GB"/>
              </w:rPr>
              <w:t xml:space="preserve">Frank Dangeard </w:t>
            </w:r>
          </w:p>
          <w:p w:rsidR="00786B6D" w:rsidRDefault="00FC1FDC" w:rsidP="005F64C9">
            <w:pPr>
              <w:pStyle w:val="Normal00"/>
              <w:spacing w:line="264" w:lineRule="auto"/>
              <w:rPr>
                <w:rFonts w:ascii="Arial" w:hAnsi="Arial" w:cs="Arial"/>
                <w:sz w:val="18"/>
                <w:szCs w:val="18"/>
                <w:lang w:eastAsia="en-GB"/>
              </w:rPr>
            </w:pPr>
            <w:r w:rsidRPr="00061AD0">
              <w:rPr>
                <w:rFonts w:ascii="Arial" w:hAnsi="Arial" w:cs="Arial"/>
                <w:sz w:val="18"/>
                <w:szCs w:val="18"/>
                <w:lang w:eastAsia="en-GB"/>
              </w:rPr>
              <w:t xml:space="preserve">Alison Davis </w:t>
            </w:r>
          </w:p>
          <w:p w:rsidR="00786B6D" w:rsidRPr="00061AD0" w:rsidRDefault="00FC1FDC" w:rsidP="005F64C9">
            <w:pPr>
              <w:pStyle w:val="Normal00"/>
              <w:spacing w:line="264" w:lineRule="auto"/>
              <w:rPr>
                <w:rFonts w:ascii="Arial" w:hAnsi="Arial" w:cs="Arial"/>
                <w:sz w:val="18"/>
                <w:szCs w:val="18"/>
                <w:lang w:eastAsia="en-GB"/>
              </w:rPr>
            </w:pPr>
            <w:r>
              <w:rPr>
                <w:rFonts w:ascii="Arial" w:hAnsi="Arial" w:cs="Arial"/>
                <w:sz w:val="18"/>
                <w:szCs w:val="18"/>
                <w:lang w:eastAsia="en-GB"/>
              </w:rPr>
              <w:t>Patrick Flynn</w:t>
            </w:r>
          </w:p>
          <w:p w:rsidR="00786B6D" w:rsidRPr="00061AD0" w:rsidRDefault="00FC1FDC" w:rsidP="005F64C9">
            <w:pPr>
              <w:pStyle w:val="Normal00"/>
              <w:spacing w:line="264" w:lineRule="auto"/>
              <w:rPr>
                <w:rFonts w:ascii="Arial" w:hAnsi="Arial" w:cs="Arial"/>
                <w:sz w:val="18"/>
                <w:szCs w:val="18"/>
                <w:lang w:eastAsia="en-GB"/>
              </w:rPr>
            </w:pPr>
            <w:r w:rsidRPr="00061AD0">
              <w:rPr>
                <w:rFonts w:ascii="Arial" w:hAnsi="Arial" w:cs="Arial"/>
                <w:sz w:val="18"/>
                <w:szCs w:val="18"/>
                <w:lang w:eastAsia="en-GB"/>
              </w:rPr>
              <w:t xml:space="preserve">Morten Friis </w:t>
            </w:r>
          </w:p>
          <w:p w:rsidR="00786B6D" w:rsidRPr="00061AD0" w:rsidRDefault="00FC1FDC" w:rsidP="005F64C9">
            <w:pPr>
              <w:pStyle w:val="Normal00"/>
              <w:spacing w:line="264" w:lineRule="auto"/>
              <w:rPr>
                <w:rFonts w:ascii="Arial" w:hAnsi="Arial" w:cs="Arial"/>
                <w:sz w:val="18"/>
                <w:szCs w:val="18"/>
                <w:lang w:eastAsia="en-GB"/>
              </w:rPr>
            </w:pPr>
            <w:r w:rsidRPr="00061AD0">
              <w:rPr>
                <w:rFonts w:ascii="Arial" w:hAnsi="Arial" w:cs="Arial"/>
                <w:sz w:val="18"/>
                <w:szCs w:val="18"/>
                <w:lang w:eastAsia="en-GB"/>
              </w:rPr>
              <w:t xml:space="preserve">Robert Gillespie </w:t>
            </w:r>
          </w:p>
          <w:p w:rsidR="00786B6D" w:rsidRPr="00061AD0" w:rsidRDefault="00FC1FDC" w:rsidP="005F64C9">
            <w:pPr>
              <w:pStyle w:val="Normal00"/>
              <w:spacing w:line="264" w:lineRule="auto"/>
              <w:rPr>
                <w:rFonts w:ascii="Arial" w:hAnsi="Arial" w:cs="Arial"/>
                <w:sz w:val="18"/>
                <w:szCs w:val="18"/>
                <w:lang w:eastAsia="en-GB"/>
              </w:rPr>
            </w:pPr>
            <w:r>
              <w:rPr>
                <w:rFonts w:ascii="Arial" w:hAnsi="Arial" w:cs="Arial"/>
                <w:sz w:val="18"/>
                <w:szCs w:val="18"/>
                <w:lang w:eastAsia="en-GB"/>
              </w:rPr>
              <w:t>Baroness Noakes</w:t>
            </w:r>
          </w:p>
          <w:p w:rsidR="00786B6D" w:rsidRPr="00061AD0" w:rsidRDefault="00FC1FDC" w:rsidP="005F64C9">
            <w:pPr>
              <w:pStyle w:val="Normal00"/>
              <w:spacing w:line="264" w:lineRule="auto"/>
              <w:rPr>
                <w:rFonts w:ascii="Arial" w:hAnsi="Arial" w:cs="Arial"/>
                <w:sz w:val="18"/>
                <w:szCs w:val="18"/>
                <w:lang w:eastAsia="en-GB"/>
              </w:rPr>
            </w:pPr>
            <w:r w:rsidRPr="00061AD0">
              <w:rPr>
                <w:rFonts w:ascii="Arial" w:hAnsi="Arial" w:cs="Arial"/>
                <w:sz w:val="18"/>
                <w:szCs w:val="18"/>
                <w:lang w:eastAsia="en-GB"/>
              </w:rPr>
              <w:t xml:space="preserve">Mike Rogers </w:t>
            </w:r>
          </w:p>
          <w:p w:rsidR="00786B6D" w:rsidRDefault="00FC1FDC" w:rsidP="005F64C9">
            <w:pPr>
              <w:pStyle w:val="Normal00"/>
              <w:spacing w:line="264" w:lineRule="auto"/>
              <w:rPr>
                <w:rFonts w:ascii="Arial" w:hAnsi="Arial" w:cs="Arial"/>
                <w:sz w:val="18"/>
                <w:szCs w:val="18"/>
                <w:lang w:eastAsia="en-GB"/>
              </w:rPr>
            </w:pPr>
            <w:r w:rsidRPr="00061AD0">
              <w:rPr>
                <w:rFonts w:ascii="Arial" w:hAnsi="Arial" w:cs="Arial"/>
                <w:sz w:val="18"/>
                <w:szCs w:val="18"/>
                <w:lang w:eastAsia="en-GB"/>
              </w:rPr>
              <w:t xml:space="preserve">Mark Seligman </w:t>
            </w:r>
          </w:p>
          <w:p w:rsidR="00786B6D" w:rsidRPr="00061AD0" w:rsidRDefault="00FC1FDC" w:rsidP="005F64C9">
            <w:pPr>
              <w:pStyle w:val="Normal00"/>
              <w:spacing w:line="264" w:lineRule="auto"/>
              <w:rPr>
                <w:rFonts w:ascii="Arial" w:hAnsi="Arial"/>
                <w:sz w:val="18"/>
                <w:szCs w:val="18"/>
              </w:rPr>
            </w:pPr>
            <w:r>
              <w:rPr>
                <w:rFonts w:ascii="Arial" w:hAnsi="Arial" w:cs="Arial"/>
                <w:sz w:val="18"/>
                <w:szCs w:val="18"/>
                <w:lang w:eastAsia="en-GB"/>
              </w:rPr>
              <w:t>Lena Wilson</w:t>
            </w:r>
          </w:p>
        </w:tc>
      </w:tr>
    </w:tbl>
    <w:p w:rsidR="00BF7A3F" w:rsidRDefault="00FC1FDC" w:rsidP="00786B6D">
      <w:r w:rsidRPr="00786B6D">
        <w:t xml:space="preserve"> </w:t>
      </w:r>
    </w:p>
    <w:p w:rsidR="00BF7A3F" w:rsidRDefault="00FC1FDC">
      <w:pPr>
        <w:spacing w:after="200"/>
      </w:pPr>
      <w:r>
        <w:br w:type="page"/>
      </w:r>
    </w:p>
    <w:p w:rsidR="000D6EFC" w:rsidRPr="00786B6D" w:rsidRDefault="000D6EFC" w:rsidP="00786B6D">
      <w:pPr>
        <w:sectPr w:rsidR="000D6EFC" w:rsidRPr="00786B6D" w:rsidSect="00527F23">
          <w:headerReference w:type="even" r:id="rId101"/>
          <w:headerReference w:type="default" r:id="rId102"/>
          <w:footerReference w:type="even" r:id="rId103"/>
          <w:footerReference w:type="default" r:id="rId104"/>
          <w:headerReference w:type="first" r:id="rId105"/>
          <w:footerReference w:type="first" r:id="rId106"/>
          <w:type w:val="continuous"/>
          <w:pgSz w:w="11906" w:h="16838"/>
          <w:pgMar w:top="1134" w:right="851" w:bottom="680" w:left="851" w:header="708" w:footer="708" w:gutter="0"/>
          <w:cols w:space="708"/>
          <w:docGrid w:linePitch="360"/>
        </w:sectPr>
      </w:pPr>
    </w:p>
    <w:p w:rsidR="00C45C22" w:rsidRPr="00E7530F" w:rsidRDefault="00FC1FDC" w:rsidP="00C45C22">
      <w:pPr>
        <w:pStyle w:val="Normal00"/>
        <w:spacing w:line="288" w:lineRule="auto"/>
        <w:outlineLvl w:val="0"/>
        <w:rPr>
          <w:rFonts w:ascii="Arial" w:hAnsi="Arial" w:cs="Arial"/>
          <w:b/>
          <w:bCs/>
          <w:color w:val="003366"/>
          <w:sz w:val="20"/>
          <w:szCs w:val="20"/>
        </w:rPr>
      </w:pPr>
      <w:r w:rsidRPr="00E7530F">
        <w:rPr>
          <w:rFonts w:ascii="Arial" w:hAnsi="Arial" w:cs="Arial"/>
          <w:b/>
          <w:bCs/>
          <w:color w:val="003366"/>
          <w:sz w:val="20"/>
          <w:szCs w:val="20"/>
        </w:rPr>
        <w:t>Additional information</w:t>
      </w:r>
    </w:p>
    <w:p w:rsidR="00C45C22" w:rsidRPr="00E7530F" w:rsidRDefault="00C45C22" w:rsidP="00C45C22">
      <w:pPr>
        <w:rPr>
          <w:b/>
          <w:bCs/>
          <w:color w:val="003366"/>
          <w:szCs w:val="20"/>
        </w:rPr>
      </w:pPr>
    </w:p>
    <w:p w:rsidR="00C45C22" w:rsidRPr="008D3AC9" w:rsidRDefault="00FC1FDC" w:rsidP="008234B5">
      <w:pPr>
        <w:pStyle w:val="Normal00"/>
        <w:spacing w:line="264" w:lineRule="auto"/>
        <w:rPr>
          <w:rFonts w:ascii="Arial" w:hAnsi="Arial" w:cs="Arial"/>
          <w:b/>
          <w:color w:val="003366"/>
          <w:sz w:val="16"/>
          <w:szCs w:val="16"/>
        </w:rPr>
      </w:pPr>
      <w:r w:rsidRPr="008D3AC9">
        <w:rPr>
          <w:rFonts w:ascii="Arial" w:hAnsi="Arial" w:cs="Arial"/>
          <w:b/>
          <w:color w:val="003366"/>
          <w:sz w:val="16"/>
          <w:szCs w:val="16"/>
        </w:rPr>
        <w:t>Presentation of information</w:t>
      </w:r>
    </w:p>
    <w:p w:rsidR="00C45C22" w:rsidRPr="008D3AC9" w:rsidRDefault="00FC1FDC" w:rsidP="008234B5">
      <w:pPr>
        <w:pStyle w:val="Normal00"/>
        <w:autoSpaceDE w:val="0"/>
        <w:autoSpaceDN w:val="0"/>
        <w:adjustRightInd w:val="0"/>
        <w:spacing w:line="264" w:lineRule="auto"/>
        <w:rPr>
          <w:rFonts w:ascii="Arial" w:hAnsi="Arial" w:cs="Arial"/>
          <w:sz w:val="16"/>
          <w:szCs w:val="16"/>
        </w:rPr>
      </w:pPr>
      <w:r w:rsidRPr="008D3AC9">
        <w:rPr>
          <w:rFonts w:ascii="Arial" w:hAnsi="Arial" w:cs="Arial"/>
          <w:sz w:val="16"/>
          <w:szCs w:val="16"/>
        </w:rPr>
        <w:t xml:space="preserve">In this document, ‘RBSG plc’ or the ‘parent company’ refers to The Royal Bank of Scotland Group plc, and ‘RBS’ or </w:t>
      </w:r>
      <w:r>
        <w:rPr>
          <w:rFonts w:ascii="Arial" w:hAnsi="Arial" w:cs="Arial"/>
          <w:sz w:val="16"/>
          <w:szCs w:val="16"/>
        </w:rPr>
        <w:t xml:space="preserve">‘RBS </w:t>
      </w:r>
      <w:r w:rsidRPr="008D3AC9">
        <w:rPr>
          <w:rFonts w:ascii="Arial" w:hAnsi="Arial" w:cs="Arial"/>
          <w:sz w:val="16"/>
          <w:szCs w:val="16"/>
        </w:rPr>
        <w:t xml:space="preserve">Group’ refers to RBSG plc and its subsidiaries. </w:t>
      </w:r>
    </w:p>
    <w:p w:rsidR="00C45C22" w:rsidRPr="008D3AC9" w:rsidRDefault="00C45C22" w:rsidP="008234B5">
      <w:pPr>
        <w:pStyle w:val="Normal00"/>
        <w:autoSpaceDE w:val="0"/>
        <w:autoSpaceDN w:val="0"/>
        <w:adjustRightInd w:val="0"/>
        <w:spacing w:line="264" w:lineRule="auto"/>
        <w:rPr>
          <w:rFonts w:ascii="Arial" w:hAnsi="Arial" w:cs="Arial"/>
          <w:sz w:val="12"/>
          <w:szCs w:val="12"/>
        </w:rPr>
      </w:pPr>
    </w:p>
    <w:p w:rsidR="00C45C22" w:rsidRDefault="00FC1FDC" w:rsidP="008234B5">
      <w:pPr>
        <w:pStyle w:val="Normal00"/>
        <w:autoSpaceDE w:val="0"/>
        <w:autoSpaceDN w:val="0"/>
        <w:adjustRightInd w:val="0"/>
        <w:spacing w:line="264" w:lineRule="auto"/>
        <w:rPr>
          <w:rFonts w:ascii="Arial" w:hAnsi="Arial" w:cs="Arial"/>
          <w:color w:val="000000"/>
          <w:sz w:val="16"/>
          <w:szCs w:val="16"/>
        </w:rPr>
      </w:pPr>
      <w:r w:rsidRPr="008D3AC9">
        <w:rPr>
          <w:rFonts w:ascii="Arial" w:hAnsi="Arial" w:cs="Arial"/>
          <w:color w:val="000000"/>
          <w:sz w:val="16"/>
          <w:szCs w:val="16"/>
        </w:rPr>
        <w:t>Financial information contained in this document does not constitute statutory accounts within the meaning of section 434 of the Companies Act 2006 (‘the Act’). The statutory accounts for the year ended 31 December 201</w:t>
      </w:r>
      <w:r>
        <w:rPr>
          <w:rFonts w:ascii="Arial" w:hAnsi="Arial" w:cs="Arial"/>
          <w:color w:val="000000"/>
          <w:sz w:val="16"/>
          <w:szCs w:val="16"/>
        </w:rPr>
        <w:t>8</w:t>
      </w:r>
      <w:r w:rsidRPr="008D3AC9">
        <w:rPr>
          <w:rFonts w:ascii="Arial" w:hAnsi="Arial" w:cs="Arial"/>
          <w:color w:val="000000"/>
          <w:sz w:val="16"/>
          <w:szCs w:val="16"/>
        </w:rPr>
        <w:t xml:space="preserve"> </w:t>
      </w:r>
      <w:r>
        <w:rPr>
          <w:rFonts w:ascii="Arial" w:hAnsi="Arial" w:cs="Arial"/>
          <w:color w:val="000000"/>
          <w:sz w:val="16"/>
          <w:szCs w:val="16"/>
        </w:rPr>
        <w:t>have been</w:t>
      </w:r>
      <w:r w:rsidRPr="008D3AC9">
        <w:rPr>
          <w:rFonts w:ascii="Arial" w:hAnsi="Arial" w:cs="Arial"/>
          <w:color w:val="000000"/>
          <w:sz w:val="16"/>
          <w:szCs w:val="16"/>
        </w:rPr>
        <w:t xml:space="preserve"> filed with the Registrar of Companies</w:t>
      </w:r>
      <w:r>
        <w:rPr>
          <w:rFonts w:ascii="Arial" w:hAnsi="Arial" w:cs="Arial"/>
          <w:color w:val="000000"/>
          <w:sz w:val="16"/>
          <w:szCs w:val="16"/>
        </w:rPr>
        <w:t xml:space="preserve"> and those for the year ended 31 December 2019 will be filed with the register of companies following the Annual General Meeting.</w:t>
      </w:r>
      <w:r w:rsidRPr="008D3AC9">
        <w:rPr>
          <w:rFonts w:ascii="Arial" w:hAnsi="Arial" w:cs="Arial"/>
          <w:color w:val="000000"/>
          <w:sz w:val="16"/>
          <w:szCs w:val="16"/>
        </w:rPr>
        <w:t xml:space="preserve"> The report of the auditor on those statutory accounts was unqualified, did not draw attention to any matters by way of emphasis and did not contain a statement under section 498(2) or (3) of the Act.</w:t>
      </w:r>
    </w:p>
    <w:p w:rsidR="00C45C22" w:rsidRDefault="00C45C22" w:rsidP="008234B5">
      <w:pPr>
        <w:pStyle w:val="Normal00"/>
        <w:spacing w:line="264" w:lineRule="auto"/>
        <w:rPr>
          <w:rFonts w:ascii="Arial" w:hAnsi="Arial" w:cs="Arial"/>
          <w:b/>
          <w:color w:val="003366"/>
          <w:sz w:val="16"/>
          <w:szCs w:val="16"/>
        </w:rPr>
      </w:pPr>
    </w:p>
    <w:p w:rsidR="00874595" w:rsidRPr="00874595" w:rsidRDefault="00FC1FDC" w:rsidP="00874595">
      <w:pPr>
        <w:pStyle w:val="Normal00"/>
        <w:spacing w:line="264" w:lineRule="auto"/>
        <w:rPr>
          <w:rFonts w:ascii="Arial" w:hAnsi="Arial" w:cs="Arial"/>
          <w:color w:val="003366"/>
          <w:sz w:val="16"/>
          <w:szCs w:val="16"/>
        </w:rPr>
      </w:pPr>
      <w:r>
        <w:rPr>
          <w:rFonts w:ascii="Arial" w:hAnsi="Arial" w:cs="Arial"/>
          <w:color w:val="003366"/>
          <w:sz w:val="16"/>
          <w:szCs w:val="16"/>
        </w:rPr>
        <w:t>MAR – Inside Information</w:t>
      </w:r>
    </w:p>
    <w:p w:rsidR="005D030B" w:rsidRPr="005D030B" w:rsidRDefault="00FC1FDC" w:rsidP="005D030B">
      <w:pPr>
        <w:autoSpaceDE w:val="0"/>
        <w:autoSpaceDN w:val="0"/>
        <w:adjustRightInd w:val="0"/>
        <w:spacing w:line="240" w:lineRule="auto"/>
        <w:rPr>
          <w:rFonts w:cs="Arial"/>
          <w:szCs w:val="16"/>
        </w:rPr>
      </w:pPr>
      <w:r w:rsidRPr="005D030B">
        <w:rPr>
          <w:szCs w:val="16"/>
        </w:rPr>
        <w:t>This announcement contains information that qualified or may have qualified as inside information for the purposes of Article 7 of the Market Abuse Regulation (EU) 596/2014 (MAR) for The Royal Bank of Scotland Group plc.  For the purposes of MAR and Article 2 of Commission Implementing Regulation (EU) 2016/1055, this announcement is made by Alexander Holcroft, Head of Investor Relations for The Royal Bank of Scotland Group plc.</w:t>
      </w:r>
    </w:p>
    <w:p w:rsidR="005D030B" w:rsidRDefault="005D030B" w:rsidP="00E12C2D">
      <w:pPr>
        <w:pStyle w:val="Normal00"/>
        <w:spacing w:line="264" w:lineRule="auto"/>
        <w:rPr>
          <w:rFonts w:ascii="Arial" w:eastAsiaTheme="minorHAnsi" w:hAnsi="Arial" w:cs="Arial"/>
          <w:sz w:val="16"/>
          <w:szCs w:val="16"/>
          <w:lang w:eastAsia="en-US"/>
        </w:rPr>
      </w:pPr>
    </w:p>
    <w:p w:rsidR="00E12C2D" w:rsidRPr="00E12C2D" w:rsidRDefault="00FC1FDC" w:rsidP="00E12C2D">
      <w:pPr>
        <w:pStyle w:val="Normal00"/>
        <w:spacing w:line="264" w:lineRule="auto"/>
        <w:rPr>
          <w:rFonts w:ascii="Arial" w:hAnsi="Arial" w:cs="Arial"/>
          <w:b/>
          <w:color w:val="003366"/>
          <w:sz w:val="16"/>
          <w:szCs w:val="16"/>
        </w:rPr>
      </w:pPr>
      <w:r w:rsidRPr="00E12C2D">
        <w:rPr>
          <w:rFonts w:ascii="Arial" w:hAnsi="Arial" w:cs="Arial"/>
          <w:b/>
          <w:color w:val="003366"/>
          <w:sz w:val="16"/>
          <w:szCs w:val="16"/>
        </w:rPr>
        <w:t>Non-IFRS financial information</w:t>
      </w:r>
    </w:p>
    <w:p w:rsidR="00E12C2D" w:rsidRDefault="00FC1FDC" w:rsidP="00E12C2D">
      <w:pPr>
        <w:pStyle w:val="Normal30"/>
        <w:autoSpaceDE w:val="0"/>
        <w:autoSpaceDN w:val="0"/>
        <w:adjustRightInd w:val="0"/>
        <w:spacing w:line="259" w:lineRule="auto"/>
        <w:rPr>
          <w:szCs w:val="16"/>
        </w:rPr>
      </w:pPr>
      <w:r w:rsidRPr="002D4F6F">
        <w:rPr>
          <w:szCs w:val="16"/>
        </w:rPr>
        <w:t>RBS prepares its financial statements in accordance with IFRS as issued by the IASB</w:t>
      </w:r>
      <w:r>
        <w:rPr>
          <w:szCs w:val="16"/>
        </w:rPr>
        <w:t xml:space="preserve"> and as adopted by the European Union,</w:t>
      </w:r>
      <w:r w:rsidRPr="002D4F6F">
        <w:rPr>
          <w:szCs w:val="16"/>
        </w:rPr>
        <w:t xml:space="preserve"> which constitutes a body of generally a</w:t>
      </w:r>
      <w:r>
        <w:rPr>
          <w:szCs w:val="16"/>
        </w:rPr>
        <w:t>ccepted accounting principles (GAAP</w:t>
      </w:r>
      <w:r w:rsidRPr="002D4F6F">
        <w:rPr>
          <w:szCs w:val="16"/>
        </w:rPr>
        <w:t xml:space="preserve">). This document contains a number of adjusted or alternative performance measures, also known as non-GAAP </w:t>
      </w:r>
      <w:r>
        <w:rPr>
          <w:szCs w:val="16"/>
        </w:rPr>
        <w:t>or non-IFRS performance measures</w:t>
      </w:r>
      <w:r w:rsidRPr="002D4F6F">
        <w:rPr>
          <w:szCs w:val="16"/>
        </w:rPr>
        <w:t>. These measure</w:t>
      </w:r>
      <w:r>
        <w:rPr>
          <w:szCs w:val="16"/>
        </w:rPr>
        <w:t>s</w:t>
      </w:r>
      <w:r w:rsidRPr="004775AD">
        <w:rPr>
          <w:szCs w:val="16"/>
        </w:rPr>
        <w:t xml:space="preserve"> </w:t>
      </w:r>
      <w:r>
        <w:rPr>
          <w:szCs w:val="16"/>
        </w:rPr>
        <w:t>are adjusted for</w:t>
      </w:r>
      <w:r w:rsidRPr="002D4F6F">
        <w:rPr>
          <w:szCs w:val="16"/>
        </w:rPr>
        <w:t xml:space="preserve"> certain items which management believe are not representative of the underlying performance of the business and which distort period-on-period comparison. </w:t>
      </w:r>
      <w:r w:rsidRPr="004775AD">
        <w:rPr>
          <w:szCs w:val="16"/>
        </w:rPr>
        <w:t>These non-IFRS financial measures are not measures within the scope of IFRS and are not a substitute for IFRS financial</w:t>
      </w:r>
      <w:r>
        <w:rPr>
          <w:szCs w:val="16"/>
        </w:rPr>
        <w:t xml:space="preserve"> measures. Refer to the Appendix Non-IFRS financial measures </w:t>
      </w:r>
      <w:r w:rsidRPr="004775AD">
        <w:rPr>
          <w:szCs w:val="16"/>
        </w:rPr>
        <w:t>for further information and calculations of non-IFRS financial measures included throughout this document, and, where relevant, the most directly comparable IFRS financial measures.</w:t>
      </w:r>
    </w:p>
    <w:p w:rsidR="00CD31D3" w:rsidRDefault="00CD31D3" w:rsidP="00E12C2D">
      <w:pPr>
        <w:pStyle w:val="Normal30"/>
        <w:autoSpaceDE w:val="0"/>
        <w:autoSpaceDN w:val="0"/>
        <w:adjustRightInd w:val="0"/>
        <w:spacing w:line="259" w:lineRule="auto"/>
        <w:rPr>
          <w:szCs w:val="16"/>
        </w:rPr>
      </w:pPr>
    </w:p>
    <w:p w:rsidR="00C45C22" w:rsidRPr="00660E1D" w:rsidRDefault="00FC1FDC" w:rsidP="00C45C22">
      <w:pPr>
        <w:pStyle w:val="Normal00"/>
        <w:spacing w:line="264" w:lineRule="auto"/>
        <w:rPr>
          <w:rFonts w:ascii="Arial" w:eastAsia="SimSun" w:hAnsi="Arial" w:cs="Arial"/>
          <w:b/>
          <w:bCs/>
          <w:color w:val="003366"/>
          <w:sz w:val="16"/>
          <w:szCs w:val="36"/>
        </w:rPr>
      </w:pPr>
      <w:r w:rsidRPr="00660E1D">
        <w:rPr>
          <w:rFonts w:ascii="Arial" w:eastAsia="SimSun" w:hAnsi="Arial" w:cs="Arial"/>
          <w:b/>
          <w:bCs/>
          <w:color w:val="003366"/>
          <w:sz w:val="16"/>
          <w:szCs w:val="36"/>
        </w:rPr>
        <w:t xml:space="preserve">Contacts </w:t>
      </w:r>
    </w:p>
    <w:tbl>
      <w:tblPr>
        <w:tblW w:w="10211" w:type="dxa"/>
        <w:tblCellMar>
          <w:left w:w="0" w:type="dxa"/>
          <w:right w:w="0" w:type="dxa"/>
        </w:tblCellMar>
        <w:tblLook w:val="0000" w:firstRow="0" w:lastRow="0" w:firstColumn="0" w:lastColumn="0" w:noHBand="0" w:noVBand="0"/>
      </w:tblPr>
      <w:tblGrid>
        <w:gridCol w:w="1440"/>
        <w:gridCol w:w="4235"/>
        <w:gridCol w:w="4536"/>
      </w:tblGrid>
      <w:tr w:rsidR="0064628A" w:rsidTr="00E56DA0">
        <w:tc>
          <w:tcPr>
            <w:tcW w:w="1440" w:type="dxa"/>
            <w:vAlign w:val="bottom"/>
          </w:tcPr>
          <w:p w:rsidR="00472F16" w:rsidRPr="008D3AC9" w:rsidRDefault="00FC1FDC" w:rsidP="005F64C9">
            <w:pPr>
              <w:pStyle w:val="Normal00"/>
              <w:spacing w:line="264" w:lineRule="auto"/>
              <w:rPr>
                <w:rFonts w:ascii="Arial" w:hAnsi="Arial" w:cs="Arial"/>
                <w:color w:val="003366"/>
                <w:sz w:val="16"/>
                <w:szCs w:val="16"/>
                <w:lang w:eastAsia="ja-JP"/>
              </w:rPr>
            </w:pPr>
            <w:r w:rsidRPr="008D3AC9">
              <w:rPr>
                <w:rFonts w:ascii="Arial" w:hAnsi="Arial" w:cs="Arial"/>
                <w:color w:val="003366"/>
                <w:sz w:val="16"/>
                <w:szCs w:val="16"/>
                <w:lang w:eastAsia="ja-JP"/>
              </w:rPr>
              <w:t>Analyst enquiries:</w:t>
            </w:r>
          </w:p>
        </w:tc>
        <w:tc>
          <w:tcPr>
            <w:tcW w:w="4235" w:type="dxa"/>
            <w:vAlign w:val="bottom"/>
          </w:tcPr>
          <w:p w:rsidR="00472F16" w:rsidRPr="008D3AC9" w:rsidRDefault="00FC1FDC" w:rsidP="005F64C9">
            <w:pPr>
              <w:pStyle w:val="Normal00"/>
              <w:spacing w:line="264" w:lineRule="auto"/>
              <w:jc w:val="both"/>
              <w:rPr>
                <w:rFonts w:ascii="Arial" w:hAnsi="Arial" w:cs="Arial"/>
                <w:sz w:val="16"/>
                <w:szCs w:val="16"/>
                <w:lang w:eastAsia="ja-JP"/>
              </w:rPr>
            </w:pPr>
            <w:r>
              <w:rPr>
                <w:rFonts w:ascii="Arial" w:hAnsi="Arial" w:cs="Arial"/>
                <w:sz w:val="16"/>
                <w:szCs w:val="16"/>
                <w:lang w:eastAsia="ja-JP"/>
              </w:rPr>
              <w:t>Alexander Holcroft, Investor Relations</w:t>
            </w:r>
          </w:p>
        </w:tc>
        <w:tc>
          <w:tcPr>
            <w:tcW w:w="4536" w:type="dxa"/>
            <w:vAlign w:val="bottom"/>
          </w:tcPr>
          <w:p w:rsidR="00472F16" w:rsidRPr="008D3AC9" w:rsidRDefault="00FC1FDC" w:rsidP="00472F16">
            <w:pPr>
              <w:pStyle w:val="Normal00"/>
              <w:spacing w:line="264" w:lineRule="auto"/>
              <w:jc w:val="both"/>
              <w:rPr>
                <w:rFonts w:ascii="Arial" w:hAnsi="Arial" w:cs="Arial"/>
                <w:sz w:val="16"/>
                <w:szCs w:val="16"/>
                <w:lang w:eastAsia="ja-JP"/>
              </w:rPr>
            </w:pPr>
            <w:r w:rsidRPr="008D3AC9">
              <w:rPr>
                <w:rFonts w:ascii="Arial" w:hAnsi="Arial" w:cs="Arial"/>
                <w:sz w:val="16"/>
                <w:szCs w:val="16"/>
                <w:lang w:eastAsia="ja-JP"/>
              </w:rPr>
              <w:t>+44 (0) 20</w:t>
            </w:r>
            <w:r>
              <w:rPr>
                <w:rFonts w:ascii="Arial" w:hAnsi="Arial" w:cs="Arial"/>
                <w:sz w:val="16"/>
                <w:szCs w:val="16"/>
                <w:lang w:eastAsia="ja-JP"/>
              </w:rPr>
              <w:t xml:space="preserve"> 7</w:t>
            </w:r>
            <w:r w:rsidRPr="008D3AC9">
              <w:rPr>
                <w:rFonts w:ascii="Arial" w:hAnsi="Arial" w:cs="Arial"/>
                <w:sz w:val="16"/>
                <w:szCs w:val="16"/>
                <w:lang w:eastAsia="ja-JP"/>
              </w:rPr>
              <w:t>672 1</w:t>
            </w:r>
            <w:r>
              <w:rPr>
                <w:rFonts w:ascii="Arial" w:hAnsi="Arial" w:cs="Arial"/>
                <w:sz w:val="16"/>
                <w:szCs w:val="16"/>
                <w:lang w:eastAsia="ja-JP"/>
              </w:rPr>
              <w:t>982</w:t>
            </w:r>
          </w:p>
        </w:tc>
      </w:tr>
      <w:tr w:rsidR="0064628A" w:rsidTr="00E56DA0">
        <w:tc>
          <w:tcPr>
            <w:tcW w:w="1440" w:type="dxa"/>
            <w:vAlign w:val="bottom"/>
          </w:tcPr>
          <w:p w:rsidR="00472F16" w:rsidRPr="008D3AC9" w:rsidRDefault="00FC1FDC" w:rsidP="005F64C9">
            <w:pPr>
              <w:pStyle w:val="Normal00"/>
              <w:spacing w:line="264" w:lineRule="auto"/>
              <w:rPr>
                <w:rFonts w:ascii="Arial" w:hAnsi="Arial" w:cs="Arial"/>
                <w:color w:val="003366"/>
                <w:sz w:val="16"/>
                <w:szCs w:val="16"/>
                <w:lang w:eastAsia="ja-JP"/>
              </w:rPr>
            </w:pPr>
            <w:r w:rsidRPr="008D3AC9">
              <w:rPr>
                <w:rFonts w:ascii="Arial" w:hAnsi="Arial" w:cs="Arial"/>
                <w:color w:val="003366"/>
                <w:sz w:val="16"/>
                <w:szCs w:val="16"/>
                <w:lang w:eastAsia="ja-JP"/>
              </w:rPr>
              <w:t>Media enquiries:</w:t>
            </w:r>
          </w:p>
        </w:tc>
        <w:tc>
          <w:tcPr>
            <w:tcW w:w="4235" w:type="dxa"/>
            <w:vAlign w:val="bottom"/>
          </w:tcPr>
          <w:p w:rsidR="00472F16" w:rsidRPr="008D3AC9" w:rsidRDefault="00FC1FDC" w:rsidP="005F64C9">
            <w:pPr>
              <w:pStyle w:val="Normal00"/>
              <w:spacing w:line="264" w:lineRule="auto"/>
              <w:jc w:val="both"/>
              <w:rPr>
                <w:rFonts w:ascii="Arial" w:hAnsi="Arial" w:cs="Arial"/>
                <w:sz w:val="16"/>
                <w:szCs w:val="16"/>
                <w:lang w:eastAsia="ja-JP"/>
              </w:rPr>
            </w:pPr>
            <w:r w:rsidRPr="008D3AC9">
              <w:rPr>
                <w:rFonts w:ascii="Arial" w:hAnsi="Arial" w:cs="Arial"/>
                <w:sz w:val="16"/>
                <w:szCs w:val="16"/>
                <w:lang w:eastAsia="ja-JP"/>
              </w:rPr>
              <w:t>RBS Press Office</w:t>
            </w:r>
          </w:p>
        </w:tc>
        <w:tc>
          <w:tcPr>
            <w:tcW w:w="4536" w:type="dxa"/>
            <w:vAlign w:val="bottom"/>
          </w:tcPr>
          <w:p w:rsidR="00472F16" w:rsidRPr="008D3AC9" w:rsidRDefault="00FC1FDC" w:rsidP="005F64C9">
            <w:pPr>
              <w:pStyle w:val="Normal00"/>
              <w:spacing w:line="264" w:lineRule="auto"/>
              <w:jc w:val="both"/>
              <w:rPr>
                <w:rFonts w:ascii="Arial" w:hAnsi="Arial" w:cs="Arial"/>
                <w:sz w:val="16"/>
                <w:szCs w:val="16"/>
                <w:lang w:eastAsia="ja-JP"/>
              </w:rPr>
            </w:pPr>
            <w:r w:rsidRPr="008D3AC9">
              <w:rPr>
                <w:rFonts w:ascii="Arial" w:hAnsi="Arial" w:cs="Arial"/>
                <w:sz w:val="16"/>
                <w:szCs w:val="16"/>
                <w:lang w:eastAsia="ja-JP"/>
              </w:rPr>
              <w:t>+44 (0) 131 523 4205</w:t>
            </w:r>
          </w:p>
        </w:tc>
      </w:tr>
    </w:tbl>
    <w:p w:rsidR="00C45C22" w:rsidRPr="008D3AC9" w:rsidRDefault="00C45C22" w:rsidP="00C45C22">
      <w:pPr>
        <w:pStyle w:val="Normal00"/>
        <w:spacing w:line="264" w:lineRule="auto"/>
        <w:jc w:val="both"/>
        <w:rPr>
          <w:rFonts w:ascii="Arial" w:hAnsi="Arial" w:cs="Arial"/>
          <w:b/>
          <w:bCs/>
          <w:color w:val="003366"/>
          <w:sz w:val="16"/>
          <w:szCs w:val="16"/>
        </w:rPr>
      </w:pPr>
    </w:p>
    <w:tbl>
      <w:tblPr>
        <w:tblW w:w="10206"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1367"/>
        <w:gridCol w:w="3034"/>
        <w:gridCol w:w="2443"/>
        <w:gridCol w:w="3362"/>
      </w:tblGrid>
      <w:tr w:rsidR="0064628A" w:rsidTr="00472F16">
        <w:trPr>
          <w:trHeight w:hRule="exact" w:val="314"/>
        </w:trPr>
        <w:tc>
          <w:tcPr>
            <w:tcW w:w="669" w:type="pct"/>
            <w:tcBorders>
              <w:top w:val="single" w:sz="4" w:space="0" w:color="003366"/>
              <w:left w:val="single" w:sz="4" w:space="0" w:color="003366"/>
              <w:bottom w:val="single" w:sz="4" w:space="0" w:color="003366"/>
              <w:right w:val="single" w:sz="4" w:space="0" w:color="003366"/>
            </w:tcBorders>
          </w:tcPr>
          <w:p w:rsidR="00C45C22" w:rsidRPr="008D3AC9" w:rsidRDefault="00C45C22" w:rsidP="005F64C9">
            <w:pPr>
              <w:pStyle w:val="Normal00"/>
              <w:spacing w:line="264" w:lineRule="auto"/>
              <w:rPr>
                <w:rFonts w:ascii="Arial" w:hAnsi="Arial" w:cs="Arial"/>
                <w:b/>
                <w:bCs/>
                <w:color w:val="003366"/>
                <w:sz w:val="16"/>
                <w:szCs w:val="16"/>
              </w:rPr>
            </w:pPr>
          </w:p>
        </w:tc>
        <w:tc>
          <w:tcPr>
            <w:tcW w:w="1486" w:type="pct"/>
            <w:tcBorders>
              <w:top w:val="single" w:sz="4" w:space="0" w:color="003366"/>
              <w:left w:val="single" w:sz="4" w:space="0" w:color="003366"/>
              <w:bottom w:val="single" w:sz="4" w:space="0" w:color="003366"/>
              <w:right w:val="single" w:sz="4" w:space="0" w:color="003366"/>
            </w:tcBorders>
          </w:tcPr>
          <w:p w:rsidR="00C45C22" w:rsidRPr="008D3AC9" w:rsidRDefault="00FC1FDC" w:rsidP="005F64C9">
            <w:pPr>
              <w:pStyle w:val="Normal00"/>
              <w:spacing w:line="264" w:lineRule="auto"/>
              <w:jc w:val="both"/>
              <w:rPr>
                <w:rFonts w:ascii="Arial" w:hAnsi="Arial" w:cs="Arial"/>
                <w:b/>
                <w:bCs/>
                <w:color w:val="003366"/>
                <w:sz w:val="16"/>
                <w:szCs w:val="16"/>
              </w:rPr>
            </w:pPr>
            <w:r w:rsidRPr="008D3AC9">
              <w:rPr>
                <w:rFonts w:ascii="Arial" w:hAnsi="Arial" w:cs="Arial"/>
                <w:b/>
                <w:bCs/>
                <w:color w:val="003366"/>
                <w:sz w:val="16"/>
                <w:szCs w:val="16"/>
              </w:rPr>
              <w:t xml:space="preserve">Analyst and investor </w:t>
            </w:r>
            <w:r>
              <w:rPr>
                <w:rFonts w:ascii="Arial" w:hAnsi="Arial" w:cs="Arial"/>
                <w:b/>
                <w:bCs/>
                <w:color w:val="003366"/>
                <w:sz w:val="16"/>
                <w:szCs w:val="16"/>
              </w:rPr>
              <w:t xml:space="preserve">meeting and </w:t>
            </w:r>
            <w:r w:rsidRPr="008D3AC9">
              <w:rPr>
                <w:rFonts w:ascii="Arial" w:hAnsi="Arial" w:cs="Arial"/>
                <w:b/>
                <w:bCs/>
                <w:color w:val="003366"/>
                <w:sz w:val="16"/>
                <w:szCs w:val="16"/>
              </w:rPr>
              <w:t>call</w:t>
            </w:r>
          </w:p>
        </w:tc>
        <w:tc>
          <w:tcPr>
            <w:tcW w:w="1197" w:type="pct"/>
            <w:tcBorders>
              <w:top w:val="single" w:sz="4" w:space="0" w:color="003366"/>
              <w:left w:val="single" w:sz="4" w:space="0" w:color="003366"/>
              <w:bottom w:val="single" w:sz="4" w:space="0" w:color="003366"/>
              <w:right w:val="single" w:sz="4" w:space="0" w:color="003366"/>
            </w:tcBorders>
          </w:tcPr>
          <w:p w:rsidR="00C45C22" w:rsidRPr="008D3AC9" w:rsidRDefault="00FC1FDC" w:rsidP="005F64C9">
            <w:pPr>
              <w:pStyle w:val="Normal00"/>
              <w:spacing w:line="264" w:lineRule="auto"/>
              <w:jc w:val="both"/>
              <w:rPr>
                <w:rFonts w:ascii="Arial" w:hAnsi="Arial" w:cs="Arial"/>
                <w:b/>
                <w:bCs/>
                <w:color w:val="003366"/>
                <w:sz w:val="16"/>
                <w:szCs w:val="16"/>
              </w:rPr>
            </w:pPr>
            <w:r>
              <w:rPr>
                <w:rFonts w:ascii="Arial" w:hAnsi="Arial" w:cs="Arial"/>
                <w:b/>
                <w:bCs/>
                <w:color w:val="003366"/>
                <w:sz w:val="16"/>
                <w:szCs w:val="16"/>
              </w:rPr>
              <w:t>Fixed income call</w:t>
            </w:r>
          </w:p>
        </w:tc>
        <w:tc>
          <w:tcPr>
            <w:tcW w:w="1647" w:type="pct"/>
            <w:tcBorders>
              <w:top w:val="single" w:sz="4" w:space="0" w:color="003366"/>
              <w:left w:val="single" w:sz="4" w:space="0" w:color="003366"/>
              <w:bottom w:val="single" w:sz="4" w:space="0" w:color="003366"/>
              <w:right w:val="single" w:sz="4" w:space="0" w:color="003366"/>
            </w:tcBorders>
          </w:tcPr>
          <w:p w:rsidR="00C45C22" w:rsidRPr="008D3AC9" w:rsidRDefault="00FC1FDC" w:rsidP="005F64C9">
            <w:pPr>
              <w:pStyle w:val="Normal00"/>
              <w:spacing w:line="264" w:lineRule="auto"/>
              <w:jc w:val="both"/>
              <w:rPr>
                <w:rFonts w:ascii="Arial" w:hAnsi="Arial" w:cs="Arial"/>
                <w:b/>
                <w:bCs/>
                <w:color w:val="003366"/>
                <w:sz w:val="16"/>
                <w:szCs w:val="16"/>
              </w:rPr>
            </w:pPr>
            <w:r>
              <w:rPr>
                <w:rFonts w:ascii="Arial" w:hAnsi="Arial" w:cs="Arial"/>
                <w:b/>
                <w:bCs/>
                <w:color w:val="003366"/>
                <w:sz w:val="16"/>
                <w:szCs w:val="16"/>
              </w:rPr>
              <w:t>Web</w:t>
            </w:r>
            <w:r w:rsidRPr="008D3AC9">
              <w:rPr>
                <w:rFonts w:ascii="Arial" w:hAnsi="Arial" w:cs="Arial"/>
                <w:b/>
                <w:bCs/>
                <w:color w:val="003366"/>
                <w:sz w:val="16"/>
                <w:szCs w:val="16"/>
              </w:rPr>
              <w:t>cast and dial in details</w:t>
            </w:r>
          </w:p>
        </w:tc>
      </w:tr>
      <w:tr w:rsidR="0064628A" w:rsidTr="00472F16">
        <w:trPr>
          <w:trHeight w:hRule="exact" w:val="227"/>
        </w:trPr>
        <w:tc>
          <w:tcPr>
            <w:tcW w:w="669" w:type="pct"/>
            <w:tcBorders>
              <w:top w:val="single" w:sz="4" w:space="0" w:color="003366"/>
              <w:left w:val="single" w:sz="4" w:space="0" w:color="003366"/>
              <w:bottom w:val="nil"/>
              <w:right w:val="single" w:sz="4" w:space="0" w:color="003366"/>
            </w:tcBorders>
          </w:tcPr>
          <w:p w:rsidR="00C45C22" w:rsidRPr="008D3AC9" w:rsidRDefault="00FC1FDC" w:rsidP="005F64C9">
            <w:pPr>
              <w:pStyle w:val="Normal00"/>
              <w:spacing w:line="264" w:lineRule="auto"/>
              <w:rPr>
                <w:rFonts w:ascii="Arial" w:hAnsi="Arial" w:cs="Arial"/>
                <w:b/>
                <w:bCs/>
                <w:color w:val="003366"/>
                <w:sz w:val="16"/>
                <w:szCs w:val="16"/>
              </w:rPr>
            </w:pPr>
            <w:r w:rsidRPr="008D3AC9">
              <w:rPr>
                <w:rFonts w:ascii="Arial" w:hAnsi="Arial" w:cs="Arial"/>
                <w:b/>
                <w:bCs/>
                <w:color w:val="003366"/>
                <w:sz w:val="16"/>
                <w:szCs w:val="16"/>
              </w:rPr>
              <w:t>Date:</w:t>
            </w:r>
          </w:p>
        </w:tc>
        <w:tc>
          <w:tcPr>
            <w:tcW w:w="1486" w:type="pct"/>
            <w:tcBorders>
              <w:top w:val="single" w:sz="4" w:space="0" w:color="003366"/>
              <w:left w:val="single" w:sz="4" w:space="0" w:color="003366"/>
              <w:bottom w:val="nil"/>
              <w:right w:val="single" w:sz="4" w:space="0" w:color="003366"/>
            </w:tcBorders>
          </w:tcPr>
          <w:p w:rsidR="00C45C22" w:rsidRPr="008D3AC9" w:rsidRDefault="00FC1FDC" w:rsidP="0086055D">
            <w:pPr>
              <w:pStyle w:val="Normal00"/>
              <w:spacing w:line="264" w:lineRule="auto"/>
              <w:jc w:val="both"/>
              <w:rPr>
                <w:rFonts w:ascii="Arial" w:hAnsi="Arial" w:cs="Arial"/>
                <w:sz w:val="16"/>
                <w:szCs w:val="16"/>
                <w:lang w:eastAsia="ja-JP"/>
              </w:rPr>
            </w:pPr>
            <w:r w:rsidRPr="008D3AC9">
              <w:rPr>
                <w:rFonts w:ascii="Arial" w:hAnsi="Arial" w:cs="Arial"/>
                <w:sz w:val="16"/>
                <w:szCs w:val="16"/>
                <w:lang w:eastAsia="ja-JP"/>
              </w:rPr>
              <w:t>Friday</w:t>
            </w:r>
            <w:r>
              <w:rPr>
                <w:rFonts w:ascii="Arial" w:hAnsi="Arial" w:cs="Arial"/>
                <w:sz w:val="16"/>
                <w:szCs w:val="16"/>
                <w:lang w:eastAsia="ja-JP"/>
              </w:rPr>
              <w:t xml:space="preserve"> 14 February 2020</w:t>
            </w:r>
          </w:p>
        </w:tc>
        <w:tc>
          <w:tcPr>
            <w:tcW w:w="1197" w:type="pct"/>
            <w:tcBorders>
              <w:top w:val="single" w:sz="4" w:space="0" w:color="003366"/>
              <w:left w:val="single" w:sz="4" w:space="0" w:color="003366"/>
              <w:bottom w:val="nil"/>
              <w:right w:val="single" w:sz="4" w:space="0" w:color="003366"/>
            </w:tcBorders>
          </w:tcPr>
          <w:p w:rsidR="00C45C22" w:rsidRPr="008D3AC9" w:rsidRDefault="00FC1FDC" w:rsidP="0086055D">
            <w:pPr>
              <w:pStyle w:val="Normal00"/>
              <w:spacing w:line="264" w:lineRule="auto"/>
              <w:jc w:val="both"/>
              <w:rPr>
                <w:rFonts w:ascii="Arial" w:hAnsi="Arial" w:cs="Arial"/>
                <w:sz w:val="16"/>
                <w:szCs w:val="16"/>
              </w:rPr>
            </w:pPr>
            <w:r w:rsidRPr="008D3AC9">
              <w:rPr>
                <w:rFonts w:ascii="Arial" w:hAnsi="Arial" w:cs="Arial"/>
                <w:sz w:val="16"/>
                <w:szCs w:val="16"/>
                <w:lang w:eastAsia="ja-JP"/>
              </w:rPr>
              <w:t>Friday</w:t>
            </w:r>
            <w:r>
              <w:rPr>
                <w:rFonts w:ascii="Arial" w:hAnsi="Arial" w:cs="Arial"/>
                <w:sz w:val="16"/>
                <w:szCs w:val="16"/>
                <w:lang w:eastAsia="ja-JP"/>
              </w:rPr>
              <w:t xml:space="preserve"> 14 February 2020</w:t>
            </w:r>
          </w:p>
        </w:tc>
        <w:tc>
          <w:tcPr>
            <w:tcW w:w="1647" w:type="pct"/>
            <w:tcBorders>
              <w:top w:val="single" w:sz="4" w:space="0" w:color="003366"/>
              <w:left w:val="single" w:sz="4" w:space="0" w:color="003366"/>
              <w:bottom w:val="nil"/>
              <w:right w:val="single" w:sz="4" w:space="0" w:color="003366"/>
            </w:tcBorders>
          </w:tcPr>
          <w:p w:rsidR="00C45C22" w:rsidRPr="008D3AC9" w:rsidRDefault="0047542A" w:rsidP="005F64C9">
            <w:pPr>
              <w:pStyle w:val="Normal00"/>
              <w:spacing w:line="264" w:lineRule="auto"/>
              <w:jc w:val="both"/>
              <w:rPr>
                <w:rFonts w:ascii="Arial" w:hAnsi="Arial" w:cs="Arial"/>
                <w:sz w:val="16"/>
                <w:szCs w:val="16"/>
                <w:lang w:eastAsia="en-US"/>
              </w:rPr>
            </w:pPr>
            <w:hyperlink r:id="rId107" w:history="1">
              <w:r w:rsidR="00FC1FDC" w:rsidRPr="008D3AC9">
                <w:rPr>
                  <w:rFonts w:ascii="Arial" w:eastAsia="SimSun" w:hAnsi="Arial" w:cs="Arial"/>
                  <w:color w:val="0000FF"/>
                  <w:sz w:val="16"/>
                  <w:szCs w:val="16"/>
                  <w:u w:val="single"/>
                </w:rPr>
                <w:t>www.rbs.com/results</w:t>
              </w:r>
            </w:hyperlink>
          </w:p>
        </w:tc>
      </w:tr>
      <w:tr w:rsidR="0064628A" w:rsidTr="00472F16">
        <w:trPr>
          <w:trHeight w:hRule="exact" w:val="227"/>
        </w:trPr>
        <w:tc>
          <w:tcPr>
            <w:tcW w:w="669" w:type="pct"/>
            <w:tcBorders>
              <w:top w:val="nil"/>
              <w:left w:val="single" w:sz="4" w:space="0" w:color="003366"/>
              <w:bottom w:val="nil"/>
              <w:right w:val="single" w:sz="4" w:space="0" w:color="003366"/>
            </w:tcBorders>
          </w:tcPr>
          <w:p w:rsidR="00C45C22" w:rsidRPr="008D3AC9" w:rsidRDefault="00FC1FDC" w:rsidP="005F64C9">
            <w:pPr>
              <w:pStyle w:val="Normal00"/>
              <w:spacing w:line="264" w:lineRule="auto"/>
              <w:rPr>
                <w:rFonts w:ascii="Arial" w:hAnsi="Arial" w:cs="Arial"/>
                <w:b/>
                <w:bCs/>
                <w:color w:val="003366"/>
                <w:sz w:val="16"/>
                <w:szCs w:val="16"/>
              </w:rPr>
            </w:pPr>
            <w:r w:rsidRPr="008D3AC9">
              <w:rPr>
                <w:rFonts w:ascii="Arial" w:hAnsi="Arial" w:cs="Arial"/>
                <w:b/>
                <w:bCs/>
                <w:color w:val="003366"/>
                <w:sz w:val="16"/>
                <w:szCs w:val="16"/>
              </w:rPr>
              <w:t>Time:</w:t>
            </w:r>
          </w:p>
        </w:tc>
        <w:tc>
          <w:tcPr>
            <w:tcW w:w="1486" w:type="pct"/>
            <w:tcBorders>
              <w:top w:val="nil"/>
              <w:left w:val="single" w:sz="4" w:space="0" w:color="003366"/>
              <w:bottom w:val="nil"/>
              <w:right w:val="single" w:sz="4" w:space="0" w:color="003366"/>
            </w:tcBorders>
          </w:tcPr>
          <w:p w:rsidR="00C45C22" w:rsidRPr="008D3AC9" w:rsidRDefault="00FC1FDC" w:rsidP="005F64C9">
            <w:pPr>
              <w:pStyle w:val="Normal00"/>
              <w:spacing w:line="264" w:lineRule="auto"/>
              <w:jc w:val="both"/>
              <w:rPr>
                <w:rFonts w:ascii="Arial" w:hAnsi="Arial" w:cs="Arial"/>
                <w:sz w:val="16"/>
                <w:szCs w:val="16"/>
                <w:lang w:eastAsia="ja-JP"/>
              </w:rPr>
            </w:pPr>
            <w:r w:rsidRPr="008D3AC9">
              <w:rPr>
                <w:rFonts w:ascii="Arial" w:hAnsi="Arial" w:cs="Arial"/>
                <w:sz w:val="16"/>
                <w:szCs w:val="16"/>
                <w:lang w:eastAsia="ja-JP"/>
              </w:rPr>
              <w:t>9:</w:t>
            </w:r>
            <w:r>
              <w:rPr>
                <w:rFonts w:ascii="Arial" w:hAnsi="Arial" w:cs="Arial"/>
                <w:sz w:val="16"/>
                <w:szCs w:val="16"/>
                <w:lang w:eastAsia="ja-JP"/>
              </w:rPr>
              <w:t>0</w:t>
            </w:r>
            <w:r w:rsidRPr="008D3AC9">
              <w:rPr>
                <w:rFonts w:ascii="Arial" w:hAnsi="Arial" w:cs="Arial"/>
                <w:sz w:val="16"/>
                <w:szCs w:val="16"/>
                <w:lang w:eastAsia="ja-JP"/>
              </w:rPr>
              <w:t>0 am UK time</w:t>
            </w:r>
            <w:r>
              <w:rPr>
                <w:rFonts w:ascii="Arial" w:hAnsi="Arial" w:cs="Arial"/>
                <w:sz w:val="16"/>
                <w:szCs w:val="16"/>
                <w:lang w:eastAsia="ja-JP"/>
              </w:rPr>
              <w:t xml:space="preserve"> </w:t>
            </w:r>
          </w:p>
        </w:tc>
        <w:tc>
          <w:tcPr>
            <w:tcW w:w="1197" w:type="pct"/>
            <w:tcBorders>
              <w:top w:val="nil"/>
              <w:left w:val="single" w:sz="4" w:space="0" w:color="003366"/>
              <w:bottom w:val="nil"/>
              <w:right w:val="single" w:sz="4" w:space="0" w:color="003366"/>
            </w:tcBorders>
          </w:tcPr>
          <w:p w:rsidR="00C45C22" w:rsidRPr="008D3AC9" w:rsidRDefault="00FC1FDC" w:rsidP="005F64C9">
            <w:pPr>
              <w:pStyle w:val="Normal00"/>
              <w:spacing w:line="264" w:lineRule="auto"/>
              <w:rPr>
                <w:rFonts w:ascii="Arial" w:hAnsi="Arial" w:cs="Arial"/>
                <w:sz w:val="16"/>
                <w:szCs w:val="16"/>
              </w:rPr>
            </w:pPr>
            <w:r>
              <w:rPr>
                <w:rFonts w:ascii="Arial" w:hAnsi="Arial" w:cs="Arial"/>
                <w:sz w:val="16"/>
                <w:szCs w:val="16"/>
                <w:lang w:eastAsia="ja-JP"/>
              </w:rPr>
              <w:t>1</w:t>
            </w:r>
            <w:r w:rsidRPr="008D3AC9">
              <w:rPr>
                <w:rFonts w:ascii="Arial" w:hAnsi="Arial" w:cs="Arial"/>
                <w:sz w:val="16"/>
                <w:szCs w:val="16"/>
                <w:lang w:eastAsia="ja-JP"/>
              </w:rPr>
              <w:t>:</w:t>
            </w:r>
            <w:r>
              <w:rPr>
                <w:rFonts w:ascii="Arial" w:hAnsi="Arial" w:cs="Arial"/>
                <w:sz w:val="16"/>
                <w:szCs w:val="16"/>
                <w:lang w:eastAsia="ja-JP"/>
              </w:rPr>
              <w:t>0</w:t>
            </w:r>
            <w:r w:rsidRPr="008D3AC9">
              <w:rPr>
                <w:rFonts w:ascii="Arial" w:hAnsi="Arial" w:cs="Arial"/>
                <w:sz w:val="16"/>
                <w:szCs w:val="16"/>
                <w:lang w:eastAsia="ja-JP"/>
              </w:rPr>
              <w:t>0</w:t>
            </w:r>
            <w:r>
              <w:rPr>
                <w:rFonts w:ascii="Arial" w:hAnsi="Arial" w:cs="Arial"/>
                <w:sz w:val="16"/>
                <w:szCs w:val="16"/>
                <w:lang w:eastAsia="ja-JP"/>
              </w:rPr>
              <w:t xml:space="preserve"> p</w:t>
            </w:r>
            <w:r w:rsidRPr="008D3AC9">
              <w:rPr>
                <w:rFonts w:ascii="Arial" w:hAnsi="Arial" w:cs="Arial"/>
                <w:sz w:val="16"/>
                <w:szCs w:val="16"/>
                <w:lang w:eastAsia="ja-JP"/>
              </w:rPr>
              <w:t>m UK time</w:t>
            </w:r>
            <w:r>
              <w:rPr>
                <w:rFonts w:ascii="Arial" w:hAnsi="Arial" w:cs="Arial"/>
                <w:sz w:val="16"/>
                <w:szCs w:val="16"/>
                <w:lang w:eastAsia="ja-JP"/>
              </w:rPr>
              <w:t xml:space="preserve"> </w:t>
            </w:r>
          </w:p>
        </w:tc>
        <w:tc>
          <w:tcPr>
            <w:tcW w:w="1647" w:type="pct"/>
            <w:tcBorders>
              <w:top w:val="nil"/>
              <w:left w:val="single" w:sz="4" w:space="0" w:color="003366"/>
              <w:bottom w:val="nil"/>
              <w:right w:val="single" w:sz="4" w:space="0" w:color="003366"/>
            </w:tcBorders>
          </w:tcPr>
          <w:p w:rsidR="00C45C22" w:rsidRPr="008D3AC9" w:rsidRDefault="00FC1FDC" w:rsidP="005F64C9">
            <w:pPr>
              <w:pStyle w:val="Normal00"/>
              <w:spacing w:line="264" w:lineRule="auto"/>
              <w:rPr>
                <w:rFonts w:ascii="Arial" w:hAnsi="Arial" w:cs="Arial"/>
                <w:sz w:val="16"/>
                <w:szCs w:val="16"/>
              </w:rPr>
            </w:pPr>
            <w:r>
              <w:rPr>
                <w:rFonts w:ascii="Arial" w:hAnsi="Arial" w:cs="Arial"/>
                <w:sz w:val="16"/>
                <w:szCs w:val="16"/>
              </w:rPr>
              <w:t>International:</w:t>
            </w:r>
            <w:r w:rsidRPr="008D3AC9">
              <w:rPr>
                <w:rFonts w:ascii="Arial" w:hAnsi="Arial" w:cs="Arial"/>
                <w:sz w:val="16"/>
                <w:szCs w:val="16"/>
              </w:rPr>
              <w:t xml:space="preserve"> +44 (0) 20</w:t>
            </w:r>
            <w:r>
              <w:rPr>
                <w:rFonts w:ascii="Arial" w:hAnsi="Arial" w:cs="Arial"/>
                <w:sz w:val="16"/>
                <w:szCs w:val="16"/>
              </w:rPr>
              <w:t>3</w:t>
            </w:r>
            <w:r w:rsidRPr="008D3AC9">
              <w:rPr>
                <w:rFonts w:ascii="Arial" w:hAnsi="Arial" w:cs="Arial"/>
                <w:sz w:val="16"/>
                <w:szCs w:val="16"/>
              </w:rPr>
              <w:t xml:space="preserve"> </w:t>
            </w:r>
            <w:r>
              <w:rPr>
                <w:rFonts w:ascii="Arial" w:hAnsi="Arial" w:cs="Arial"/>
                <w:sz w:val="16"/>
                <w:szCs w:val="16"/>
              </w:rPr>
              <w:t>057</w:t>
            </w:r>
            <w:r w:rsidRPr="008D3AC9">
              <w:rPr>
                <w:rFonts w:ascii="Arial" w:hAnsi="Arial" w:cs="Arial"/>
                <w:sz w:val="16"/>
                <w:szCs w:val="16"/>
              </w:rPr>
              <w:t xml:space="preserve"> </w:t>
            </w:r>
            <w:r>
              <w:rPr>
                <w:rFonts w:ascii="Arial" w:hAnsi="Arial" w:cs="Arial"/>
                <w:sz w:val="16"/>
                <w:szCs w:val="16"/>
              </w:rPr>
              <w:t>6566</w:t>
            </w:r>
          </w:p>
        </w:tc>
      </w:tr>
      <w:tr w:rsidR="0064628A" w:rsidTr="00472F16">
        <w:trPr>
          <w:trHeight w:val="215"/>
        </w:trPr>
        <w:tc>
          <w:tcPr>
            <w:tcW w:w="669" w:type="pct"/>
            <w:tcBorders>
              <w:top w:val="nil"/>
              <w:left w:val="single" w:sz="4" w:space="0" w:color="003366"/>
              <w:bottom w:val="single" w:sz="4" w:space="0" w:color="003366"/>
              <w:right w:val="single" w:sz="4" w:space="0" w:color="003366"/>
            </w:tcBorders>
          </w:tcPr>
          <w:p w:rsidR="00C45C22" w:rsidRPr="008D3AC9" w:rsidRDefault="00FC1FDC" w:rsidP="005F64C9">
            <w:pPr>
              <w:pStyle w:val="Normal00"/>
              <w:spacing w:line="264" w:lineRule="auto"/>
              <w:rPr>
                <w:rFonts w:ascii="Arial" w:hAnsi="Arial" w:cs="Arial"/>
                <w:b/>
                <w:bCs/>
                <w:color w:val="003366"/>
                <w:sz w:val="16"/>
                <w:szCs w:val="16"/>
              </w:rPr>
            </w:pPr>
            <w:r w:rsidRPr="008D3AC9">
              <w:rPr>
                <w:rFonts w:ascii="Arial" w:hAnsi="Arial" w:cs="Arial"/>
                <w:b/>
                <w:bCs/>
                <w:color w:val="003366"/>
                <w:sz w:val="16"/>
                <w:szCs w:val="16"/>
              </w:rPr>
              <w:t>Conference ID:</w:t>
            </w:r>
          </w:p>
        </w:tc>
        <w:tc>
          <w:tcPr>
            <w:tcW w:w="1486" w:type="pct"/>
            <w:tcBorders>
              <w:top w:val="nil"/>
              <w:left w:val="single" w:sz="4" w:space="0" w:color="003366"/>
              <w:bottom w:val="single" w:sz="4" w:space="0" w:color="003366"/>
              <w:right w:val="single" w:sz="4" w:space="0" w:color="003366"/>
            </w:tcBorders>
          </w:tcPr>
          <w:p w:rsidR="00C45C22" w:rsidRPr="008D3AC9" w:rsidRDefault="00FC1FDC" w:rsidP="005F64C9">
            <w:pPr>
              <w:pStyle w:val="Normal00"/>
              <w:spacing w:line="264" w:lineRule="auto"/>
              <w:rPr>
                <w:rFonts w:ascii="Arial" w:hAnsi="Arial" w:cs="Arial"/>
                <w:sz w:val="16"/>
                <w:szCs w:val="16"/>
                <w:lang w:eastAsia="ja-JP"/>
              </w:rPr>
            </w:pPr>
            <w:r>
              <w:rPr>
                <w:rFonts w:ascii="Arial" w:hAnsi="Arial" w:cs="Arial"/>
                <w:sz w:val="16"/>
                <w:szCs w:val="16"/>
                <w:lang w:eastAsia="ja-JP"/>
              </w:rPr>
              <w:t>5394186</w:t>
            </w:r>
          </w:p>
        </w:tc>
        <w:tc>
          <w:tcPr>
            <w:tcW w:w="1197" w:type="pct"/>
            <w:tcBorders>
              <w:top w:val="nil"/>
              <w:left w:val="single" w:sz="4" w:space="0" w:color="003366"/>
              <w:bottom w:val="single" w:sz="4" w:space="0" w:color="003366"/>
              <w:right w:val="single" w:sz="4" w:space="0" w:color="003366"/>
            </w:tcBorders>
          </w:tcPr>
          <w:p w:rsidR="00C45C22" w:rsidRPr="008D3AC9" w:rsidRDefault="00FC1FDC" w:rsidP="005F64C9">
            <w:pPr>
              <w:pStyle w:val="Normal00"/>
              <w:spacing w:line="264" w:lineRule="auto"/>
              <w:jc w:val="both"/>
              <w:rPr>
                <w:rFonts w:ascii="Arial" w:hAnsi="Arial" w:cs="Arial"/>
                <w:sz w:val="16"/>
                <w:szCs w:val="16"/>
              </w:rPr>
            </w:pPr>
            <w:r>
              <w:rPr>
                <w:rFonts w:ascii="Arial" w:hAnsi="Arial" w:cs="Arial"/>
                <w:sz w:val="16"/>
                <w:szCs w:val="16"/>
              </w:rPr>
              <w:t xml:space="preserve">1075557 </w:t>
            </w:r>
          </w:p>
        </w:tc>
        <w:tc>
          <w:tcPr>
            <w:tcW w:w="1647" w:type="pct"/>
            <w:tcBorders>
              <w:top w:val="nil"/>
              <w:left w:val="single" w:sz="4" w:space="0" w:color="003366"/>
              <w:bottom w:val="single" w:sz="4" w:space="0" w:color="003366"/>
              <w:right w:val="single" w:sz="4" w:space="0" w:color="003366"/>
            </w:tcBorders>
          </w:tcPr>
          <w:p w:rsidR="00C45C22" w:rsidRPr="008D3AC9" w:rsidRDefault="00FC1FDC" w:rsidP="005F64C9">
            <w:pPr>
              <w:pStyle w:val="Normal00"/>
              <w:spacing w:line="264" w:lineRule="auto"/>
              <w:jc w:val="both"/>
              <w:rPr>
                <w:rFonts w:ascii="Arial" w:hAnsi="Arial" w:cs="Arial"/>
                <w:sz w:val="16"/>
                <w:szCs w:val="16"/>
              </w:rPr>
            </w:pPr>
            <w:smartTag w:uri="urn:schemas-microsoft-com:office:smarttags" w:element="place">
              <w:smartTag w:uri="urn:schemas-microsoft-com:office:smarttags" w:element="country-region">
                <w:r w:rsidRPr="008D3AC9">
                  <w:rPr>
                    <w:rFonts w:ascii="Arial" w:hAnsi="Arial" w:cs="Arial"/>
                    <w:sz w:val="16"/>
                    <w:szCs w:val="16"/>
                  </w:rPr>
                  <w:t>UK</w:t>
                </w:r>
              </w:smartTag>
            </w:smartTag>
            <w:r w:rsidRPr="008D3AC9">
              <w:rPr>
                <w:rFonts w:ascii="Arial" w:hAnsi="Arial" w:cs="Arial"/>
                <w:sz w:val="16"/>
                <w:szCs w:val="16"/>
              </w:rPr>
              <w:t xml:space="preserve"> Free Call</w:t>
            </w:r>
            <w:r>
              <w:rPr>
                <w:rFonts w:ascii="Arial" w:hAnsi="Arial" w:cs="Arial"/>
                <w:sz w:val="16"/>
                <w:szCs w:val="16"/>
              </w:rPr>
              <w:t>: 0800 279 5995</w:t>
            </w:r>
          </w:p>
          <w:p w:rsidR="00C45C22" w:rsidRPr="008D3AC9" w:rsidRDefault="00FC1FDC" w:rsidP="005F64C9">
            <w:pPr>
              <w:pStyle w:val="Normal00"/>
              <w:spacing w:line="264" w:lineRule="auto"/>
              <w:rPr>
                <w:rFonts w:ascii="Arial" w:hAnsi="Arial" w:cs="Arial"/>
                <w:sz w:val="16"/>
                <w:szCs w:val="16"/>
              </w:rPr>
            </w:pPr>
            <w:r w:rsidRPr="008D3AC9">
              <w:rPr>
                <w:rFonts w:ascii="Arial" w:hAnsi="Arial" w:cs="Arial"/>
                <w:sz w:val="16"/>
                <w:szCs w:val="16"/>
              </w:rPr>
              <w:t xml:space="preserve">US Local </w:t>
            </w:r>
            <w:smartTag w:uri="urn:schemas-microsoft-com:office:smarttags" w:element="place">
              <w:smartTag w:uri="urn:schemas-microsoft-com:office:smarttags" w:element="City">
                <w:r w:rsidRPr="008D3AC9">
                  <w:rPr>
                    <w:rFonts w:ascii="Arial" w:hAnsi="Arial" w:cs="Arial"/>
                    <w:sz w:val="16"/>
                    <w:szCs w:val="16"/>
                  </w:rPr>
                  <w:t>Dial-In</w:t>
                </w:r>
              </w:smartTag>
              <w:r w:rsidRPr="008D3AC9">
                <w:rPr>
                  <w:rFonts w:ascii="Arial" w:hAnsi="Arial" w:cs="Arial"/>
                  <w:sz w:val="16"/>
                  <w:szCs w:val="16"/>
                </w:rPr>
                <w:t xml:space="preserve">, </w:t>
              </w:r>
              <w:smartTag w:uri="urn:schemas-microsoft-com:office:smarttags" w:element="State">
                <w:r w:rsidRPr="008D3AC9">
                  <w:rPr>
                    <w:rFonts w:ascii="Arial" w:hAnsi="Arial" w:cs="Arial"/>
                    <w:sz w:val="16"/>
                    <w:szCs w:val="16"/>
                  </w:rPr>
                  <w:t>New York</w:t>
                </w:r>
              </w:smartTag>
            </w:smartTag>
            <w:r>
              <w:rPr>
                <w:rFonts w:ascii="Arial" w:hAnsi="Arial" w:cs="Arial"/>
                <w:sz w:val="16"/>
                <w:szCs w:val="16"/>
              </w:rPr>
              <w:t>:</w:t>
            </w:r>
            <w:r w:rsidRPr="008D3AC9">
              <w:rPr>
                <w:rFonts w:ascii="Arial" w:hAnsi="Arial" w:cs="Arial"/>
                <w:sz w:val="16"/>
                <w:szCs w:val="16"/>
              </w:rPr>
              <w:t xml:space="preserve"> </w:t>
            </w:r>
            <w:r>
              <w:rPr>
                <w:rFonts w:ascii="Arial" w:hAnsi="Arial" w:cs="Arial"/>
                <w:sz w:val="16"/>
                <w:szCs w:val="16"/>
              </w:rPr>
              <w:t>+</w:t>
            </w:r>
            <w:r w:rsidRPr="008D3AC9">
              <w:rPr>
                <w:rFonts w:ascii="Arial" w:hAnsi="Arial" w:cs="Arial"/>
                <w:sz w:val="16"/>
                <w:szCs w:val="16"/>
              </w:rPr>
              <w:t xml:space="preserve">1 646 </w:t>
            </w:r>
            <w:r>
              <w:rPr>
                <w:rFonts w:ascii="Arial" w:hAnsi="Arial" w:cs="Arial"/>
                <w:sz w:val="16"/>
                <w:szCs w:val="16"/>
              </w:rPr>
              <w:t>741 2115</w:t>
            </w:r>
          </w:p>
        </w:tc>
      </w:tr>
    </w:tbl>
    <w:p w:rsidR="00C45C22" w:rsidRPr="008D3AC9" w:rsidRDefault="00C45C22" w:rsidP="00C45C22">
      <w:pPr>
        <w:pStyle w:val="Normal00"/>
        <w:spacing w:line="264" w:lineRule="auto"/>
        <w:rPr>
          <w:rFonts w:ascii="Arial" w:hAnsi="Arial" w:cs="Arial"/>
          <w:b/>
          <w:color w:val="003366"/>
          <w:sz w:val="18"/>
          <w:szCs w:val="18"/>
        </w:rPr>
      </w:pPr>
    </w:p>
    <w:p w:rsidR="00C45C22" w:rsidRPr="008D3AC9" w:rsidRDefault="00FC1FDC" w:rsidP="008234B5">
      <w:pPr>
        <w:pStyle w:val="Normal00"/>
        <w:spacing w:line="264" w:lineRule="auto"/>
        <w:rPr>
          <w:rFonts w:ascii="Arial" w:eastAsia="SimSun" w:hAnsi="Arial" w:cs="Arial"/>
          <w:bCs/>
          <w:color w:val="003366"/>
          <w:sz w:val="16"/>
          <w:szCs w:val="36"/>
        </w:rPr>
      </w:pPr>
      <w:r w:rsidRPr="008D3AC9">
        <w:rPr>
          <w:rFonts w:ascii="Arial" w:eastAsia="SimSun" w:hAnsi="Arial" w:cs="Arial"/>
          <w:bCs/>
          <w:color w:val="003366"/>
          <w:sz w:val="16"/>
          <w:szCs w:val="36"/>
        </w:rPr>
        <w:t xml:space="preserve">Available on </w:t>
      </w:r>
      <w:hyperlink r:id="rId108" w:history="1">
        <w:r w:rsidRPr="008D3AC9">
          <w:rPr>
            <w:rFonts w:ascii="Arial" w:eastAsia="SimSun" w:hAnsi="Arial" w:cs="Arial"/>
            <w:bCs/>
            <w:color w:val="003366"/>
            <w:sz w:val="16"/>
            <w:szCs w:val="36"/>
          </w:rPr>
          <w:t>www.rbs.com/results</w:t>
        </w:r>
      </w:hyperlink>
    </w:p>
    <w:tbl>
      <w:tblPr>
        <w:tblW w:w="9720" w:type="dxa"/>
        <w:tblCellMar>
          <w:left w:w="0" w:type="dxa"/>
          <w:right w:w="0" w:type="dxa"/>
        </w:tblCellMar>
        <w:tblLook w:val="0000" w:firstRow="0" w:lastRow="0" w:firstColumn="0" w:lastColumn="0" w:noHBand="0" w:noVBand="0"/>
      </w:tblPr>
      <w:tblGrid>
        <w:gridCol w:w="244"/>
        <w:gridCol w:w="9476"/>
      </w:tblGrid>
      <w:tr w:rsidR="0064628A" w:rsidTr="005F64C9">
        <w:tc>
          <w:tcPr>
            <w:tcW w:w="238" w:type="dxa"/>
          </w:tcPr>
          <w:p w:rsidR="00C45C22" w:rsidRPr="008D3AC9" w:rsidRDefault="00FC1FDC" w:rsidP="008234B5">
            <w:pPr>
              <w:pStyle w:val="Normal00"/>
              <w:spacing w:line="264" w:lineRule="auto"/>
              <w:rPr>
                <w:rFonts w:ascii="Arial" w:hAnsi="Arial" w:cs="Arial"/>
                <w:sz w:val="18"/>
                <w:szCs w:val="18"/>
                <w:lang w:eastAsia="ja-JP"/>
              </w:rPr>
            </w:pPr>
            <w:r w:rsidRPr="008D3AC9">
              <w:rPr>
                <w:rFonts w:ascii="Arial" w:eastAsia="SimSun" w:hAnsi="Arial" w:cs="Arial"/>
                <w:color w:val="003366"/>
                <w:sz w:val="18"/>
                <w:szCs w:val="18"/>
                <w:lang w:eastAsia="ja-JP"/>
              </w:rPr>
              <w:t>●</w:t>
            </w:r>
          </w:p>
        </w:tc>
        <w:tc>
          <w:tcPr>
            <w:tcW w:w="9251" w:type="dxa"/>
          </w:tcPr>
          <w:p w:rsidR="00C45C22" w:rsidRPr="008D3AC9" w:rsidRDefault="00FC1FDC" w:rsidP="008234B5">
            <w:pPr>
              <w:pStyle w:val="Normal00"/>
              <w:spacing w:line="264" w:lineRule="auto"/>
              <w:rPr>
                <w:rFonts w:ascii="Arial" w:hAnsi="Arial" w:cs="Arial"/>
                <w:sz w:val="16"/>
                <w:szCs w:val="16"/>
                <w:lang w:eastAsia="ja-JP"/>
              </w:rPr>
            </w:pPr>
            <w:r>
              <w:rPr>
                <w:rFonts w:ascii="Arial" w:hAnsi="Arial" w:cs="Arial"/>
                <w:sz w:val="16"/>
                <w:szCs w:val="16"/>
                <w:lang w:eastAsia="ja-JP"/>
              </w:rPr>
              <w:t>Announcement and</w:t>
            </w:r>
            <w:r w:rsidRPr="008D3AC9">
              <w:rPr>
                <w:rFonts w:ascii="Arial" w:hAnsi="Arial" w:cs="Arial"/>
                <w:sz w:val="16"/>
                <w:szCs w:val="16"/>
                <w:lang w:eastAsia="ja-JP"/>
              </w:rPr>
              <w:t xml:space="preserve"> slides.</w:t>
            </w:r>
          </w:p>
        </w:tc>
      </w:tr>
      <w:tr w:rsidR="0064628A" w:rsidTr="005F64C9">
        <w:tc>
          <w:tcPr>
            <w:tcW w:w="238" w:type="dxa"/>
          </w:tcPr>
          <w:p w:rsidR="00C45C22" w:rsidRPr="008D3AC9" w:rsidRDefault="00FC1FDC" w:rsidP="008234B5">
            <w:pPr>
              <w:pStyle w:val="Normal00"/>
              <w:spacing w:line="264" w:lineRule="auto"/>
              <w:rPr>
                <w:rFonts w:ascii="Arial" w:eastAsia="SimSun" w:hAnsi="Arial" w:cs="Arial"/>
                <w:color w:val="003366"/>
                <w:sz w:val="18"/>
                <w:szCs w:val="18"/>
                <w:lang w:eastAsia="ja-JP"/>
              </w:rPr>
            </w:pPr>
            <w:r w:rsidRPr="008D3AC9">
              <w:rPr>
                <w:rFonts w:ascii="Arial" w:eastAsia="SimSun" w:hAnsi="Arial" w:cs="Arial"/>
                <w:color w:val="003366"/>
                <w:sz w:val="18"/>
                <w:szCs w:val="18"/>
                <w:lang w:eastAsia="ja-JP"/>
              </w:rPr>
              <w:t>●</w:t>
            </w:r>
          </w:p>
        </w:tc>
        <w:tc>
          <w:tcPr>
            <w:tcW w:w="9251" w:type="dxa"/>
          </w:tcPr>
          <w:p w:rsidR="00C45C22" w:rsidRPr="008D3AC9" w:rsidRDefault="00FC1FDC" w:rsidP="008234B5">
            <w:pPr>
              <w:pStyle w:val="Normal00"/>
              <w:spacing w:line="264" w:lineRule="auto"/>
              <w:rPr>
                <w:rFonts w:ascii="Arial" w:hAnsi="Arial" w:cs="Arial"/>
                <w:sz w:val="16"/>
                <w:szCs w:val="16"/>
                <w:lang w:eastAsia="ja-JP"/>
              </w:rPr>
            </w:pPr>
            <w:r>
              <w:rPr>
                <w:rFonts w:ascii="Arial" w:hAnsi="Arial" w:cs="Arial"/>
                <w:sz w:val="16"/>
                <w:szCs w:val="16"/>
                <w:lang w:eastAsia="ja-JP"/>
              </w:rPr>
              <w:t xml:space="preserve">2019 Annual Report and Accounts. </w:t>
            </w:r>
          </w:p>
        </w:tc>
      </w:tr>
      <w:tr w:rsidR="0064628A" w:rsidTr="005F64C9">
        <w:tc>
          <w:tcPr>
            <w:tcW w:w="238" w:type="dxa"/>
          </w:tcPr>
          <w:p w:rsidR="00C45C22" w:rsidRPr="008D3AC9" w:rsidRDefault="00FC1FDC" w:rsidP="008234B5">
            <w:pPr>
              <w:pStyle w:val="Normal00"/>
              <w:spacing w:line="264" w:lineRule="auto"/>
              <w:rPr>
                <w:rFonts w:ascii="Arial" w:hAnsi="Arial" w:cs="Arial"/>
                <w:sz w:val="18"/>
                <w:szCs w:val="18"/>
                <w:lang w:eastAsia="ja-JP"/>
              </w:rPr>
            </w:pPr>
            <w:r w:rsidRPr="008D3AC9">
              <w:rPr>
                <w:rFonts w:ascii="Arial" w:eastAsia="SimSun" w:hAnsi="Arial" w:cs="Arial"/>
                <w:color w:val="003366"/>
                <w:sz w:val="18"/>
                <w:szCs w:val="18"/>
                <w:lang w:eastAsia="ja-JP"/>
              </w:rPr>
              <w:t>●</w:t>
            </w:r>
          </w:p>
        </w:tc>
        <w:tc>
          <w:tcPr>
            <w:tcW w:w="9251" w:type="dxa"/>
          </w:tcPr>
          <w:p w:rsidR="00C45C22" w:rsidRPr="008D3AC9" w:rsidRDefault="00FC1FDC" w:rsidP="008234B5">
            <w:pPr>
              <w:pStyle w:val="Normal00"/>
              <w:spacing w:line="264" w:lineRule="auto"/>
              <w:rPr>
                <w:rFonts w:ascii="Arial" w:hAnsi="Arial" w:cs="Arial"/>
                <w:sz w:val="16"/>
                <w:szCs w:val="16"/>
                <w:lang w:eastAsia="ja-JP"/>
              </w:rPr>
            </w:pPr>
            <w:r w:rsidRPr="008D3AC9">
              <w:rPr>
                <w:rFonts w:ascii="Arial" w:hAnsi="Arial" w:cs="Arial"/>
                <w:sz w:val="16"/>
                <w:szCs w:val="16"/>
                <w:lang w:eastAsia="ja-JP"/>
              </w:rPr>
              <w:t>A financial supplement containing income statement, balance sheet and segment performance for the nine quarters ended 3</w:t>
            </w:r>
            <w:r>
              <w:rPr>
                <w:rFonts w:ascii="Arial" w:hAnsi="Arial" w:cs="Arial"/>
                <w:sz w:val="16"/>
                <w:szCs w:val="16"/>
                <w:lang w:eastAsia="ja-JP"/>
              </w:rPr>
              <w:t>1</w:t>
            </w:r>
            <w:r w:rsidRPr="008D3AC9">
              <w:rPr>
                <w:rFonts w:ascii="Arial" w:hAnsi="Arial" w:cs="Arial"/>
                <w:sz w:val="16"/>
                <w:szCs w:val="16"/>
                <w:lang w:eastAsia="ja-JP"/>
              </w:rPr>
              <w:t xml:space="preserve"> </w:t>
            </w:r>
            <w:r>
              <w:rPr>
                <w:rFonts w:ascii="Arial" w:hAnsi="Arial" w:cs="Arial"/>
                <w:sz w:val="16"/>
                <w:szCs w:val="16"/>
                <w:lang w:eastAsia="ja-JP"/>
              </w:rPr>
              <w:t>December 2019</w:t>
            </w:r>
            <w:r w:rsidRPr="008D3AC9">
              <w:rPr>
                <w:rFonts w:ascii="Arial" w:hAnsi="Arial" w:cs="Arial"/>
                <w:sz w:val="16"/>
                <w:szCs w:val="16"/>
                <w:lang w:eastAsia="ja-JP"/>
              </w:rPr>
              <w:t>.</w:t>
            </w:r>
          </w:p>
        </w:tc>
      </w:tr>
      <w:tr w:rsidR="0064628A" w:rsidTr="005F64C9">
        <w:tc>
          <w:tcPr>
            <w:tcW w:w="238" w:type="dxa"/>
          </w:tcPr>
          <w:p w:rsidR="00C45C22" w:rsidRPr="008D3AC9" w:rsidRDefault="00FC1FDC" w:rsidP="008234B5">
            <w:pPr>
              <w:pStyle w:val="Normal00"/>
              <w:spacing w:line="264" w:lineRule="auto"/>
              <w:rPr>
                <w:rFonts w:ascii="Arial" w:eastAsia="SimSun" w:hAnsi="Arial" w:cs="Arial"/>
                <w:color w:val="003366"/>
                <w:sz w:val="18"/>
                <w:szCs w:val="18"/>
                <w:lang w:eastAsia="ja-JP"/>
              </w:rPr>
            </w:pPr>
            <w:r w:rsidRPr="008D3AC9">
              <w:rPr>
                <w:rFonts w:ascii="Arial" w:eastAsia="SimSun" w:hAnsi="Arial" w:cs="Arial"/>
                <w:color w:val="003366"/>
                <w:sz w:val="18"/>
                <w:szCs w:val="18"/>
                <w:lang w:eastAsia="ja-JP"/>
              </w:rPr>
              <w:t>●</w:t>
            </w:r>
          </w:p>
        </w:tc>
        <w:tc>
          <w:tcPr>
            <w:tcW w:w="9251" w:type="dxa"/>
          </w:tcPr>
          <w:p w:rsidR="00C45C22" w:rsidRPr="008D3AC9" w:rsidRDefault="00FC1FDC" w:rsidP="008234B5">
            <w:pPr>
              <w:pStyle w:val="Normal00"/>
              <w:spacing w:line="264" w:lineRule="auto"/>
              <w:rPr>
                <w:rFonts w:ascii="Arial" w:hAnsi="Arial" w:cs="Arial"/>
                <w:sz w:val="16"/>
                <w:szCs w:val="16"/>
                <w:lang w:eastAsia="ja-JP"/>
              </w:rPr>
            </w:pPr>
            <w:r w:rsidRPr="008D3AC9">
              <w:rPr>
                <w:rFonts w:ascii="Arial" w:hAnsi="Arial" w:cs="Arial"/>
                <w:sz w:val="16"/>
                <w:szCs w:val="16"/>
                <w:lang w:eastAsia="ja-JP"/>
              </w:rPr>
              <w:t xml:space="preserve">Pillar 3 </w:t>
            </w:r>
            <w:r>
              <w:rPr>
                <w:rFonts w:ascii="Arial" w:hAnsi="Arial" w:cs="Arial"/>
                <w:sz w:val="16"/>
                <w:szCs w:val="16"/>
                <w:lang w:eastAsia="ja-JP"/>
              </w:rPr>
              <w:t>Report</w:t>
            </w:r>
            <w:r w:rsidRPr="008D3AC9">
              <w:rPr>
                <w:rFonts w:ascii="Arial" w:hAnsi="Arial" w:cs="Arial"/>
                <w:sz w:val="16"/>
                <w:szCs w:val="16"/>
                <w:lang w:eastAsia="ja-JP"/>
              </w:rPr>
              <w:t>.</w:t>
            </w:r>
          </w:p>
        </w:tc>
      </w:tr>
    </w:tbl>
    <w:p w:rsidR="007A7654" w:rsidRDefault="00FC1FDC" w:rsidP="008234B5">
      <w:r w:rsidRPr="00C45C22">
        <w:t xml:space="preserve"> </w:t>
      </w:r>
    </w:p>
    <w:p w:rsidR="007A7654" w:rsidRDefault="00FC1FDC">
      <w:pPr>
        <w:spacing w:after="200"/>
      </w:pPr>
      <w:r>
        <w:br w:type="page"/>
      </w:r>
    </w:p>
    <w:p w:rsidR="000D6EFC" w:rsidRPr="00C45C22" w:rsidRDefault="000D6EFC" w:rsidP="00C45C22">
      <w:pPr>
        <w:sectPr w:rsidR="000D6EFC" w:rsidRPr="00C45C22" w:rsidSect="00527F23">
          <w:headerReference w:type="even" r:id="rId109"/>
          <w:headerReference w:type="default" r:id="rId110"/>
          <w:footerReference w:type="even" r:id="rId111"/>
          <w:footerReference w:type="default" r:id="rId112"/>
          <w:headerReference w:type="first" r:id="rId113"/>
          <w:footerReference w:type="first" r:id="rId114"/>
          <w:type w:val="continuous"/>
          <w:pgSz w:w="11906" w:h="16838"/>
          <w:pgMar w:top="1134" w:right="851" w:bottom="680" w:left="851" w:header="708" w:footer="708" w:gutter="0"/>
          <w:cols w:space="708"/>
          <w:docGrid w:linePitch="360"/>
        </w:sectPr>
      </w:pPr>
    </w:p>
    <w:p w:rsidR="00F82309" w:rsidRPr="0036408F" w:rsidRDefault="00FC1FDC" w:rsidP="0036408F">
      <w:pPr>
        <w:pStyle w:val="Normal00"/>
        <w:outlineLvl w:val="0"/>
        <w:rPr>
          <w:rFonts w:ascii="Arial" w:hAnsi="Arial" w:cs="Arial"/>
          <w:b/>
          <w:bCs/>
          <w:color w:val="003366"/>
          <w:sz w:val="14"/>
          <w:szCs w:val="14"/>
        </w:rPr>
      </w:pPr>
      <w:r w:rsidRPr="0036408F">
        <w:rPr>
          <w:rFonts w:ascii="Arial" w:hAnsi="Arial" w:cs="Arial"/>
          <w:b/>
          <w:bCs/>
          <w:color w:val="003366"/>
          <w:sz w:val="14"/>
          <w:szCs w:val="14"/>
        </w:rPr>
        <w:t>Forward looking statements</w:t>
      </w:r>
    </w:p>
    <w:p w:rsidR="0036408F" w:rsidRPr="0036408F" w:rsidRDefault="00FC1FDC" w:rsidP="0036408F">
      <w:pPr>
        <w:pStyle w:val="Normal1"/>
        <w:rPr>
          <w:rFonts w:ascii="Arial" w:eastAsia="SimSun" w:hAnsi="Arial" w:cs="Arial"/>
          <w:b/>
          <w:color w:val="0A2F64"/>
          <w:sz w:val="14"/>
          <w:szCs w:val="14"/>
        </w:rPr>
      </w:pPr>
      <w:r w:rsidRPr="0036408F">
        <w:rPr>
          <w:rFonts w:ascii="Arial" w:eastAsia="SimSun" w:hAnsi="Arial" w:cs="Arial"/>
          <w:b/>
          <w:color w:val="0A2F64"/>
          <w:sz w:val="14"/>
          <w:szCs w:val="14"/>
        </w:rPr>
        <w:t>Cautionary statement regarding forward-looking statements</w:t>
      </w:r>
    </w:p>
    <w:p w:rsidR="00AB066B" w:rsidRPr="0028068B" w:rsidRDefault="00FC1FDC" w:rsidP="00AB066B">
      <w:pPr>
        <w:pStyle w:val="Normal1"/>
        <w:spacing w:line="259" w:lineRule="auto"/>
        <w:contextualSpacing/>
        <w:rPr>
          <w:rFonts w:ascii="Arial" w:eastAsia="SimSun" w:hAnsi="Arial" w:cs="Arial"/>
          <w:sz w:val="14"/>
          <w:szCs w:val="14"/>
        </w:rPr>
      </w:pPr>
      <w:r w:rsidRPr="0028068B">
        <w:rPr>
          <w:rFonts w:ascii="Arial" w:eastAsia="SimSun" w:hAnsi="Arial" w:cs="Arial"/>
          <w:sz w:val="14"/>
          <w:szCs w:val="14"/>
        </w:rPr>
        <w:t>Certain sections in this document contain ‘forward-looking statements’ as that term is defined in the United States Private Securities Litigation Reform Act of 1995, such as statements that include the words ‘expect’, ‘estimate’, ‘project’, ‘anticipate’, ‘commit’, ‘believe’, ‘should’, ‘intend’, ‘plan’, ‘could’, ‘probability’, ‘risk’, ‘Value-at-Risk (VaR)’, ‘target’, ‘goal’, ‘objective’, ‘may’, ‘endeavour’, ‘outlook’, ‘optimistic’, ‘prospects’ and similar expressions or variations on these expressions.</w:t>
      </w:r>
    </w:p>
    <w:p w:rsidR="00AB066B" w:rsidRPr="0028068B" w:rsidRDefault="00AB066B" w:rsidP="00AB066B">
      <w:pPr>
        <w:pStyle w:val="Normal1"/>
        <w:spacing w:line="259" w:lineRule="auto"/>
        <w:contextualSpacing/>
        <w:rPr>
          <w:rFonts w:ascii="Arial" w:eastAsia="SimSun" w:hAnsi="Arial" w:cs="Arial"/>
          <w:sz w:val="14"/>
          <w:szCs w:val="14"/>
        </w:rPr>
      </w:pPr>
    </w:p>
    <w:p w:rsidR="00AB066B" w:rsidRPr="0028068B" w:rsidRDefault="00FC1FDC" w:rsidP="00AB066B">
      <w:pPr>
        <w:pStyle w:val="Normal1"/>
        <w:spacing w:line="259" w:lineRule="auto"/>
        <w:contextualSpacing/>
        <w:rPr>
          <w:rFonts w:ascii="Arial" w:eastAsia="SimSun" w:hAnsi="Arial" w:cs="Arial"/>
          <w:sz w:val="14"/>
          <w:szCs w:val="14"/>
        </w:rPr>
      </w:pPr>
      <w:r w:rsidRPr="0028068B">
        <w:rPr>
          <w:rFonts w:ascii="Arial" w:eastAsia="SimSun" w:hAnsi="Arial" w:cs="Arial"/>
          <w:sz w:val="14"/>
          <w:szCs w:val="14"/>
        </w:rPr>
        <w:t>In particular, this document includes forward-looking statements relating, but not limited to: future profitability and performance, including financial performance targets such as return on tangible equity; cost savings and targets; implementation of the RBS Group’s strategy; litigation and government and regulatory investigations, including the timing and financial and other impacts thereof; the implementation of the Alternative Remedies Package; the continuation of the RBS Group’s balance sheet reduction programme, including the reduction of risk-weighted assets (RWAs) and the timing thereof; capital and strategic plans and targets; capital, liquidity and leverage ratios and requirements, including CET1 Ratio, RWA equivalents (RWAe), Pillar 2 and other regulatory buffer requirements, minimum requirement for own funds and eligible liabilities, and other funding plans; funding and credit risk profile; capitalisation; portfolios; net interest margin; customer loan and income growth; the level and extent of future impairments and write-downs, including with respect to goodwill; restructuring and remediation costs and charges; the RBS Group’s exposure to political risk, economic risk, climate change risk, operational risk, conduct risk, cyber and IT risk and credit rating risk and to various types of market risks, including interest rate risk, foreign exchange rate risk and commodity and equity price risk; customer experience including our Net Promotor Score (NPS); employee engagement and gender balance in leadership positions.</w:t>
      </w:r>
    </w:p>
    <w:p w:rsidR="00AB066B" w:rsidRPr="0028068B" w:rsidRDefault="00AB066B" w:rsidP="00AB066B">
      <w:pPr>
        <w:pStyle w:val="Normal1"/>
        <w:spacing w:line="259" w:lineRule="auto"/>
        <w:contextualSpacing/>
        <w:rPr>
          <w:rFonts w:ascii="Arial" w:eastAsia="SimSun" w:hAnsi="Arial" w:cs="Arial"/>
          <w:sz w:val="14"/>
          <w:szCs w:val="14"/>
        </w:rPr>
      </w:pPr>
    </w:p>
    <w:p w:rsidR="00AB066B" w:rsidRPr="0028068B" w:rsidRDefault="00FC1FDC" w:rsidP="00AB066B">
      <w:pPr>
        <w:pStyle w:val="Normal1"/>
        <w:spacing w:line="259" w:lineRule="auto"/>
        <w:contextualSpacing/>
        <w:rPr>
          <w:rFonts w:ascii="Arial" w:eastAsia="SimSun" w:hAnsi="Arial" w:cs="Arial"/>
          <w:b/>
          <w:i/>
          <w:color w:val="0A2F64"/>
          <w:sz w:val="14"/>
          <w:szCs w:val="14"/>
        </w:rPr>
      </w:pPr>
      <w:r w:rsidRPr="0028068B">
        <w:rPr>
          <w:rFonts w:ascii="Arial" w:eastAsia="SimSun" w:hAnsi="Arial" w:cs="Arial"/>
          <w:b/>
          <w:i/>
          <w:color w:val="0A2F64"/>
          <w:sz w:val="14"/>
          <w:szCs w:val="14"/>
        </w:rPr>
        <w:t>Limitations inherent to forward-looking statements</w:t>
      </w:r>
    </w:p>
    <w:p w:rsidR="00AB066B" w:rsidRPr="0028068B" w:rsidRDefault="00FC1FDC" w:rsidP="00AB066B">
      <w:pPr>
        <w:pStyle w:val="Normal1"/>
        <w:spacing w:line="259" w:lineRule="auto"/>
        <w:contextualSpacing/>
        <w:rPr>
          <w:rFonts w:ascii="Arial" w:eastAsia="SimSun" w:hAnsi="Arial" w:cs="Arial"/>
          <w:sz w:val="14"/>
          <w:szCs w:val="14"/>
        </w:rPr>
      </w:pPr>
      <w:r w:rsidRPr="0028068B">
        <w:rPr>
          <w:rFonts w:ascii="Arial" w:eastAsia="SimSun" w:hAnsi="Arial" w:cs="Arial"/>
          <w:sz w:val="14"/>
          <w:szCs w:val="14"/>
        </w:rPr>
        <w:t>These statements are based on current plans, estimates, targets and projections, and are subject to significant inherent risks, uncertainties and other factors, both external and relating to the RBS Group’s strategy or operations, which may result in the RBS Group being unable to achieve the current targets, predictions, expectations and other anticipated outcomes expressed or implied by such forward-looking statements. In addition, certain of these disclosures are dependent on choices relying on key model characteristics and assumptions and are subject to various limitations, including assumptions and estimates made by management. By their nature, certain of these disclosures are only estimates and, as a result, actual future gains and losses could differ materially from those that have been estimated. Accordingly, undue reliance should not be placed on these statements. Forward-looking statements speak only as of the date we make them and we expressly disclaim any obligation or undertaking to release publicly any updates or revisions to any forward-looking statements contained herein to reflect any change in the RBS Group’s expectations with regard thereto or any change in events, conditions or circumstances on which any such statement is based.</w:t>
      </w:r>
    </w:p>
    <w:p w:rsidR="00AB066B" w:rsidRPr="0028068B" w:rsidRDefault="00AB066B" w:rsidP="00AB066B">
      <w:pPr>
        <w:pStyle w:val="Normal1"/>
        <w:spacing w:line="259" w:lineRule="auto"/>
        <w:contextualSpacing/>
        <w:rPr>
          <w:rFonts w:ascii="Arial" w:eastAsia="SimSun" w:hAnsi="Arial" w:cs="Arial"/>
          <w:sz w:val="14"/>
          <w:szCs w:val="14"/>
        </w:rPr>
      </w:pPr>
    </w:p>
    <w:p w:rsidR="00AB066B" w:rsidRPr="0028068B" w:rsidRDefault="00FC1FDC" w:rsidP="00AB066B">
      <w:pPr>
        <w:pStyle w:val="Normal1"/>
        <w:spacing w:line="259" w:lineRule="auto"/>
        <w:contextualSpacing/>
        <w:rPr>
          <w:rFonts w:ascii="Arial" w:eastAsia="SimSun" w:hAnsi="Arial" w:cs="Arial"/>
          <w:b/>
          <w:i/>
          <w:color w:val="0A2F64"/>
          <w:sz w:val="14"/>
          <w:szCs w:val="14"/>
        </w:rPr>
      </w:pPr>
      <w:r w:rsidRPr="0028068B">
        <w:rPr>
          <w:rFonts w:ascii="Arial" w:eastAsia="SimSun" w:hAnsi="Arial" w:cs="Arial"/>
          <w:b/>
          <w:i/>
          <w:color w:val="0A2F64"/>
          <w:sz w:val="14"/>
          <w:szCs w:val="14"/>
        </w:rPr>
        <w:t>Important factors that could affect the actual outcome of the forward-looking statements</w:t>
      </w:r>
    </w:p>
    <w:p w:rsidR="00AB066B" w:rsidRPr="0028068B" w:rsidRDefault="00AB066B" w:rsidP="00AB066B">
      <w:pPr>
        <w:pStyle w:val="Normal1"/>
        <w:spacing w:line="259" w:lineRule="auto"/>
        <w:contextualSpacing/>
        <w:rPr>
          <w:rFonts w:ascii="Arial" w:eastAsia="SimSun" w:hAnsi="Arial" w:cs="Arial"/>
          <w:b/>
          <w:i/>
          <w:color w:val="0A2F64"/>
          <w:sz w:val="14"/>
          <w:szCs w:val="14"/>
        </w:rPr>
      </w:pPr>
    </w:p>
    <w:p w:rsidR="00AB066B" w:rsidRPr="0028068B" w:rsidRDefault="00FC1FDC" w:rsidP="00AB066B">
      <w:pPr>
        <w:pStyle w:val="Normal1"/>
        <w:spacing w:line="259" w:lineRule="auto"/>
        <w:contextualSpacing/>
        <w:rPr>
          <w:rFonts w:ascii="Arial" w:eastAsia="SimSun" w:hAnsi="Arial" w:cs="Arial"/>
          <w:sz w:val="14"/>
          <w:szCs w:val="14"/>
        </w:rPr>
      </w:pPr>
      <w:r w:rsidRPr="0028068B">
        <w:rPr>
          <w:rFonts w:ascii="Arial" w:eastAsia="SimSun" w:hAnsi="Arial" w:cs="Arial"/>
          <w:sz w:val="14"/>
          <w:szCs w:val="14"/>
        </w:rPr>
        <w:t xml:space="preserve">We caution you that a large number of important factors could adversely affect our results or our ability to implement our strategy, cause us to fail to meet our targets, predictions, expectations and other anticipated outcomes or affect the accuracy of forward-looking statements we describe in this document, including in the risk factors and other uncertainties set out in the RBS Group’s 2019 Annual Report and Accounts and other risk factors and uncertainties discussed in this document. These include the significant risks for the RBS Group presented by: strategic risk (including in respect of: the implementation and execution of the RBS Group’s Purpose-led Strategy, including as it relates to the re-alignment of the NWM franchise and the RBS Group’s climate ambition and the risk that the RBS Group may not achieve its targets); operational and IT resilience risk (including in respect of: the RBS Group being subject to cyberattacks; operational risks inherent in the RBS Group’s business; exposure to third party risks including as a result of outsourcing and its use of new technologies and innovation, as well as related regulatory and market changes; the RBS Group’s operations being highly dependent on its IT systems; the RBS Group relying on attracting, retaining and developing senior management and skilled personnel and maintaining good employee relations; the RBS Group’s risk management framework; and reputational risk), economic and political risk (including in respect of: prevailing uncertainty regarding the terms of the UK’s withdrawal from the European Union; increased political and economic risks and uncertainty in the UK and global markets; climate change and the transition to a low carbon economy; </w:t>
      </w:r>
      <w:r>
        <w:rPr>
          <w:rFonts w:ascii="Arial" w:eastAsia="SimSun" w:hAnsi="Arial" w:cs="Arial"/>
          <w:sz w:val="14"/>
          <w:szCs w:val="14"/>
        </w:rPr>
        <w:t xml:space="preserve">HM Treasury’s ownership of RBSG plc </w:t>
      </w:r>
      <w:r w:rsidRPr="0028068B">
        <w:rPr>
          <w:rFonts w:ascii="Arial" w:eastAsia="SimSun" w:hAnsi="Arial" w:cs="Arial"/>
          <w:sz w:val="14"/>
          <w:szCs w:val="14"/>
        </w:rPr>
        <w:t>and the possibility that it may exert a significant degree of influence over the RBS Group; changes in interest rates and changes in foreign currency exchange rates), financial resilience risk (including in respect of: the RBS Group’s ability to meet targets and make discretionary capital distributions; the highly competitive markets in which the RBS Group operates; deterioration in borrower and counterparty credit quality;  the ability of the RBS Group to meet prudential regulatory requirements for capital and MREL, or to manage its capital effectively; the ability of the RBS Group to access adequate sources of liquidity and funding; changes in the credit ratings of RBSG</w:t>
      </w:r>
      <w:r>
        <w:rPr>
          <w:rFonts w:ascii="Arial" w:eastAsia="SimSun" w:hAnsi="Arial" w:cs="Arial"/>
          <w:sz w:val="14"/>
          <w:szCs w:val="14"/>
        </w:rPr>
        <w:t xml:space="preserve"> plc</w:t>
      </w:r>
      <w:r w:rsidRPr="0028068B">
        <w:rPr>
          <w:rFonts w:ascii="Arial" w:eastAsia="SimSun" w:hAnsi="Arial" w:cs="Arial"/>
          <w:sz w:val="14"/>
          <w:szCs w:val="14"/>
        </w:rPr>
        <w:t xml:space="preserve">, any of its subsidiaries or any of its respective debt securities; the RBS Group’s ability to meet requirements of regulatory stress tests; possible losses or the requirement to maintain higher levels of capital as a result of limitations or failure of various models; sensitivity of the RBS Group’s financial statements to underlying accounting policies, judgments, assumptions and estimates; changes in applicable accounting policies; the value or effectiveness of any credit protection purchased by the RBS Group; the level and extent of future impairments and write-downs, including with respect to goodwill; and the application of UK statutory stabilisation or resolution powers) and legal, regulatory and conduct risk (including in respect of: the RBS Group’s businesses being subject to substantial regulation and oversight; the RBS Group complying with regulatory requirements; legal, regulatory and governmental actions and investigations (including the final number of PPI claim and their amounts); the replacement of LIBOR, EURIBOR and other IBOR rates to alternative risk free rates; heightened regulatory and governmental scrutiny (including by competition authorities); implementation of the Alternative Remedies Package and the costs related thereto; and changes in tax legislation). </w:t>
      </w:r>
    </w:p>
    <w:p w:rsidR="00AB066B" w:rsidRPr="0028068B" w:rsidRDefault="00AB066B" w:rsidP="00AB066B">
      <w:pPr>
        <w:pStyle w:val="Normal1"/>
        <w:spacing w:line="259" w:lineRule="auto"/>
        <w:contextualSpacing/>
        <w:rPr>
          <w:rFonts w:ascii="Arial" w:eastAsia="SimSun" w:hAnsi="Arial" w:cs="Arial"/>
          <w:sz w:val="14"/>
          <w:szCs w:val="14"/>
        </w:rPr>
      </w:pPr>
    </w:p>
    <w:p w:rsidR="00AB066B" w:rsidRPr="0028068B" w:rsidRDefault="00FC1FDC" w:rsidP="00AB066B">
      <w:pPr>
        <w:pStyle w:val="Normal1"/>
        <w:spacing w:line="259" w:lineRule="auto"/>
        <w:contextualSpacing/>
        <w:rPr>
          <w:rFonts w:ascii="Arial" w:eastAsia="SimSun" w:hAnsi="Arial" w:cs="Arial"/>
          <w:sz w:val="14"/>
          <w:szCs w:val="14"/>
        </w:rPr>
      </w:pPr>
      <w:r w:rsidRPr="0028068B">
        <w:rPr>
          <w:rFonts w:ascii="Arial" w:eastAsia="SimSun" w:hAnsi="Arial" w:cs="Arial"/>
          <w:sz w:val="14"/>
          <w:szCs w:val="14"/>
        </w:rPr>
        <w:t>The forward-looking statements contained in this document speak only as at the date hereof, and the RBS Group does not assume or undertake any obligation or responsibility to update any forward-looking statement to reflect events or circumstances after the date hereof or to reflect the occurrence of unanticipated events.</w:t>
      </w:r>
    </w:p>
    <w:p w:rsidR="00AB066B" w:rsidRPr="0028068B" w:rsidRDefault="00AB066B" w:rsidP="00AB066B">
      <w:pPr>
        <w:pStyle w:val="Normal1"/>
        <w:spacing w:line="259" w:lineRule="auto"/>
        <w:contextualSpacing/>
        <w:rPr>
          <w:rFonts w:ascii="Arial" w:eastAsia="SimSun" w:hAnsi="Arial" w:cs="Arial"/>
          <w:sz w:val="14"/>
          <w:szCs w:val="14"/>
        </w:rPr>
      </w:pPr>
    </w:p>
    <w:p w:rsidR="00AB066B" w:rsidRPr="0028068B" w:rsidRDefault="00FC1FDC" w:rsidP="00AB066B">
      <w:pPr>
        <w:pStyle w:val="Normal1"/>
        <w:spacing w:line="259" w:lineRule="auto"/>
        <w:contextualSpacing/>
        <w:rPr>
          <w:rFonts w:ascii="Arial" w:eastAsia="SimSun" w:hAnsi="Arial" w:cs="Arial"/>
          <w:sz w:val="14"/>
          <w:szCs w:val="14"/>
        </w:rPr>
      </w:pPr>
      <w:r w:rsidRPr="0028068B">
        <w:rPr>
          <w:rFonts w:ascii="Arial" w:eastAsia="SimSun" w:hAnsi="Arial" w:cs="Arial"/>
          <w:sz w:val="14"/>
          <w:szCs w:val="14"/>
        </w:rPr>
        <w:t>The information, statements and opinions contained in this document do not constitute a public offer under any applicable legislation or an offer to sell or solicit of any offer to buy any securities or financial instruments or any advice or recommendation with respect to such securities or other financial instruments.</w:t>
      </w:r>
    </w:p>
    <w:p w:rsidR="000C11D4" w:rsidRDefault="00FC1FDC" w:rsidP="0036408F">
      <w:pPr>
        <w:spacing w:line="240" w:lineRule="auto"/>
        <w:rPr>
          <w:rFonts w:cs="Arial"/>
          <w:sz w:val="14"/>
          <w:szCs w:val="14"/>
        </w:rPr>
      </w:pPr>
      <w:r w:rsidRPr="0036408F">
        <w:rPr>
          <w:rFonts w:cs="Arial"/>
          <w:sz w:val="14"/>
          <w:szCs w:val="14"/>
        </w:rPr>
        <w:t xml:space="preserve"> </w:t>
      </w:r>
    </w:p>
    <w:p w:rsidR="000C11D4" w:rsidRDefault="000C11D4" w:rsidP="0036408F">
      <w:pPr>
        <w:spacing w:line="240" w:lineRule="auto"/>
        <w:rPr>
          <w:rFonts w:cs="Arial"/>
          <w:sz w:val="14"/>
          <w:szCs w:val="14"/>
        </w:rPr>
        <w:sectPr w:rsidR="000C11D4" w:rsidSect="00527F23">
          <w:headerReference w:type="even" r:id="rId115"/>
          <w:headerReference w:type="default" r:id="rId116"/>
          <w:footerReference w:type="even" r:id="rId117"/>
          <w:footerReference w:type="default" r:id="rId118"/>
          <w:headerReference w:type="first" r:id="rId119"/>
          <w:footerReference w:type="first" r:id="rId120"/>
          <w:type w:val="continuous"/>
          <w:pgSz w:w="11906" w:h="16838"/>
          <w:pgMar w:top="1134" w:right="851" w:bottom="680" w:left="851" w:header="708" w:footer="708" w:gutter="0"/>
          <w:cols w:space="708"/>
          <w:docGrid w:linePitch="360"/>
        </w:sectPr>
      </w:pPr>
    </w:p>
    <w:p w:rsidR="000C11D4" w:rsidRDefault="00FC1FDC">
      <w:pPr>
        <w:spacing w:after="200"/>
        <w:rPr>
          <w:rFonts w:cs="Arial"/>
          <w:sz w:val="14"/>
          <w:szCs w:val="14"/>
        </w:rPr>
      </w:pPr>
      <w:r>
        <w:rPr>
          <w:rFonts w:cs="Arial"/>
          <w:sz w:val="14"/>
          <w:szCs w:val="14"/>
        </w:rPr>
        <w:br w:type="page"/>
      </w:r>
    </w:p>
    <w:p w:rsidR="000D6EFC" w:rsidRPr="0036408F" w:rsidRDefault="000D6EFC" w:rsidP="0036408F">
      <w:pPr>
        <w:spacing w:line="240" w:lineRule="auto"/>
        <w:rPr>
          <w:rFonts w:cs="Arial"/>
          <w:sz w:val="14"/>
          <w:szCs w:val="14"/>
        </w:rPr>
        <w:sectPr w:rsidR="000D6EFC" w:rsidRPr="0036408F" w:rsidSect="000C11D4">
          <w:footerReference w:type="default" r:id="rId121"/>
          <w:type w:val="continuous"/>
          <w:pgSz w:w="11906" w:h="16838"/>
          <w:pgMar w:top="1134" w:right="851" w:bottom="680" w:left="851" w:header="708" w:footer="708" w:gutter="0"/>
          <w:cols w:space="708"/>
          <w:docGrid w:linePitch="360"/>
        </w:sectPr>
      </w:pPr>
    </w:p>
    <w:p w:rsidR="009A4FB3" w:rsidRPr="009A4FB3" w:rsidRDefault="00FC1FDC" w:rsidP="00A925DD">
      <w:pPr>
        <w:pStyle w:val="Header"/>
        <w:rPr>
          <w:b/>
          <w:color w:val="0A2F64"/>
          <w:sz w:val="56"/>
          <w:szCs w:val="16"/>
        </w:rPr>
      </w:pPr>
      <w:r>
        <w:rPr>
          <w:b/>
          <w:noProof/>
          <w:color w:val="0A2F64"/>
          <w:sz w:val="56"/>
          <w:szCs w:val="16"/>
          <w:lang w:eastAsia="en-GB"/>
        </w:rPr>
        <w:drawing>
          <wp:anchor distT="0" distB="0" distL="114300" distR="114300" simplePos="0" relativeHeight="251659264" behindDoc="1" locked="0" layoutInCell="1" allowOverlap="1">
            <wp:simplePos x="0" y="0"/>
            <wp:positionH relativeFrom="column">
              <wp:posOffset>4388485</wp:posOffset>
            </wp:positionH>
            <wp:positionV relativeFrom="paragraph">
              <wp:posOffset>23495</wp:posOffset>
            </wp:positionV>
            <wp:extent cx="2057400" cy="1513205"/>
            <wp:effectExtent l="0" t="0" r="0" b="0"/>
            <wp:wrapNone/>
            <wp:docPr id="1543685008" name="Picture 1" descr="F2A4E6A5-86EA-4413-90D6-619423C4A8DF|3|Oracle.SmartView.EPRCS|{1fd558f1-13b4-4976-93a8-39be9de9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758783"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057400" cy="1513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4FB3" w:rsidRPr="009A4FB3" w:rsidRDefault="009A4FB3" w:rsidP="00A925DD">
      <w:pPr>
        <w:pStyle w:val="Header"/>
        <w:rPr>
          <w:b/>
          <w:color w:val="0A2F64"/>
          <w:sz w:val="56"/>
          <w:szCs w:val="16"/>
        </w:rPr>
      </w:pPr>
    </w:p>
    <w:p w:rsidR="009A4FB3" w:rsidRPr="009A4FB3" w:rsidRDefault="009A4FB3" w:rsidP="00A925DD">
      <w:pPr>
        <w:pStyle w:val="Header"/>
        <w:rPr>
          <w:b/>
          <w:color w:val="0A2F64"/>
          <w:sz w:val="56"/>
          <w:szCs w:val="16"/>
        </w:rPr>
      </w:pPr>
    </w:p>
    <w:p w:rsidR="009A4FB3" w:rsidRPr="009A4FB3" w:rsidRDefault="009A4FB3" w:rsidP="00A925DD">
      <w:pPr>
        <w:pStyle w:val="Header"/>
        <w:rPr>
          <w:b/>
          <w:color w:val="0A2F64"/>
          <w:sz w:val="56"/>
          <w:szCs w:val="16"/>
        </w:rPr>
      </w:pPr>
    </w:p>
    <w:p w:rsidR="009A4FB3" w:rsidRDefault="009A4FB3" w:rsidP="00A925DD">
      <w:pPr>
        <w:pStyle w:val="Header"/>
        <w:rPr>
          <w:b/>
          <w:color w:val="0A2F64"/>
          <w:sz w:val="56"/>
          <w:szCs w:val="16"/>
        </w:rPr>
      </w:pPr>
    </w:p>
    <w:p w:rsidR="009A4FB3" w:rsidRDefault="009A4FB3" w:rsidP="00A925DD">
      <w:pPr>
        <w:pStyle w:val="Header"/>
        <w:rPr>
          <w:b/>
          <w:color w:val="0A2F64"/>
          <w:sz w:val="56"/>
          <w:szCs w:val="16"/>
        </w:rPr>
      </w:pPr>
    </w:p>
    <w:p w:rsidR="009A4FB3" w:rsidRDefault="009A4FB3" w:rsidP="009A4FB3">
      <w:pPr>
        <w:pStyle w:val="Header"/>
        <w:jc w:val="center"/>
        <w:rPr>
          <w:rFonts w:cs="Arial"/>
          <w:color w:val="003366"/>
          <w:sz w:val="64"/>
          <w:szCs w:val="64"/>
        </w:rPr>
      </w:pPr>
    </w:p>
    <w:p w:rsidR="009A4FB3" w:rsidRDefault="00FC1FDC" w:rsidP="009A4FB3">
      <w:pPr>
        <w:pStyle w:val="Header"/>
        <w:jc w:val="center"/>
        <w:rPr>
          <w:rFonts w:cs="Arial"/>
          <w:color w:val="003366"/>
          <w:sz w:val="64"/>
          <w:szCs w:val="64"/>
        </w:rPr>
      </w:pPr>
      <w:r w:rsidRPr="005F2169">
        <w:rPr>
          <w:rFonts w:cs="Arial"/>
          <w:color w:val="003366"/>
          <w:sz w:val="64"/>
          <w:szCs w:val="64"/>
        </w:rPr>
        <w:t>Appendix</w:t>
      </w:r>
    </w:p>
    <w:p w:rsidR="005F2169" w:rsidRDefault="005F2169" w:rsidP="009A4FB3">
      <w:pPr>
        <w:pStyle w:val="Header"/>
        <w:jc w:val="center"/>
        <w:rPr>
          <w:rFonts w:cs="Arial"/>
          <w:color w:val="003366"/>
          <w:sz w:val="64"/>
          <w:szCs w:val="64"/>
        </w:rPr>
      </w:pPr>
    </w:p>
    <w:p w:rsidR="009A4FB3" w:rsidRDefault="00FC1FDC" w:rsidP="009A4FB3">
      <w:pPr>
        <w:pStyle w:val="Header"/>
        <w:jc w:val="center"/>
        <w:rPr>
          <w:b/>
          <w:color w:val="0A2F64"/>
          <w:szCs w:val="16"/>
        </w:rPr>
        <w:sectPr w:rsidR="009A4FB3" w:rsidSect="00D54F5F">
          <w:headerReference w:type="even" r:id="rId122"/>
          <w:headerReference w:type="default" r:id="rId123"/>
          <w:footerReference w:type="even" r:id="rId124"/>
          <w:footerReference w:type="default" r:id="rId125"/>
          <w:headerReference w:type="first" r:id="rId126"/>
          <w:footerReference w:type="first" r:id="rId127"/>
          <w:type w:val="continuous"/>
          <w:pgSz w:w="11906" w:h="16838"/>
          <w:pgMar w:top="1134" w:right="851" w:bottom="680" w:left="851" w:header="708" w:footer="708" w:gutter="0"/>
          <w:pgNumType w:start="1"/>
          <w:cols w:space="708"/>
          <w:docGrid w:linePitch="360"/>
        </w:sectPr>
      </w:pPr>
      <w:r>
        <w:rPr>
          <w:rFonts w:cs="Arial"/>
          <w:color w:val="003366"/>
          <w:sz w:val="64"/>
          <w:szCs w:val="64"/>
        </w:rPr>
        <w:t>Non-IFRS financial measures</w:t>
      </w:r>
    </w:p>
    <w:p w:rsidR="00A925DD" w:rsidRPr="006F1817" w:rsidRDefault="00FC1FDC" w:rsidP="00A925DD">
      <w:pPr>
        <w:pStyle w:val="Header"/>
        <w:rPr>
          <w:b/>
          <w:color w:val="0A2F64"/>
          <w:sz w:val="18"/>
          <w:szCs w:val="18"/>
        </w:rPr>
      </w:pPr>
      <w:r>
        <w:rPr>
          <w:b/>
          <w:color w:val="0A2F64"/>
          <w:sz w:val="18"/>
          <w:szCs w:val="18"/>
        </w:rPr>
        <w:t>Appendix – Non</w:t>
      </w:r>
      <w:r w:rsidRPr="006F1817">
        <w:rPr>
          <w:b/>
          <w:color w:val="0A2F64"/>
          <w:sz w:val="18"/>
          <w:szCs w:val="18"/>
        </w:rPr>
        <w:t>–IFRS financial measures</w:t>
      </w:r>
    </w:p>
    <w:p w:rsidR="00871C10" w:rsidRPr="006F1817" w:rsidRDefault="00FC1FDC" w:rsidP="00871C10">
      <w:pPr>
        <w:pStyle w:val="Normal00"/>
        <w:spacing w:line="259" w:lineRule="auto"/>
        <w:rPr>
          <w:rFonts w:ascii="Arial" w:hAnsi="Arial" w:cs="Arial"/>
          <w:sz w:val="18"/>
          <w:szCs w:val="18"/>
          <w:lang w:eastAsia="ja-JP"/>
        </w:rPr>
      </w:pPr>
      <w:r>
        <w:rPr>
          <w:rFonts w:ascii="Arial" w:hAnsi="Arial" w:cs="Arial"/>
          <w:sz w:val="18"/>
          <w:szCs w:val="18"/>
          <w:lang w:eastAsia="ja-JP"/>
        </w:rPr>
        <w:t>As described in Note 1, R</w:t>
      </w:r>
      <w:r w:rsidRPr="006F1817">
        <w:rPr>
          <w:rFonts w:ascii="Arial" w:hAnsi="Arial" w:cs="Arial"/>
          <w:sz w:val="18"/>
          <w:szCs w:val="18"/>
          <w:lang w:eastAsia="ja-JP"/>
        </w:rPr>
        <w:t xml:space="preserve">BS prepares its financial statements in accordance with IFRS as issued by the IASB which constitutes a body of generally accepted accounting principles (GAAP). </w:t>
      </w:r>
      <w:r>
        <w:rPr>
          <w:rFonts w:ascii="Arial" w:hAnsi="Arial" w:cs="Arial"/>
          <w:sz w:val="18"/>
          <w:szCs w:val="18"/>
          <w:lang w:eastAsia="ja-JP"/>
        </w:rPr>
        <w:t>This document</w:t>
      </w:r>
      <w:r w:rsidRPr="006F1817">
        <w:rPr>
          <w:rFonts w:ascii="Arial" w:hAnsi="Arial" w:cs="Arial"/>
          <w:sz w:val="18"/>
          <w:szCs w:val="18"/>
          <w:lang w:eastAsia="ja-JP"/>
        </w:rPr>
        <w:t xml:space="preserve"> contain</w:t>
      </w:r>
      <w:r>
        <w:rPr>
          <w:rFonts w:ascii="Arial" w:hAnsi="Arial" w:cs="Arial"/>
          <w:sz w:val="18"/>
          <w:szCs w:val="18"/>
          <w:lang w:eastAsia="ja-JP"/>
        </w:rPr>
        <w:t>s</w:t>
      </w:r>
      <w:r w:rsidRPr="006F1817">
        <w:rPr>
          <w:rFonts w:ascii="Arial" w:hAnsi="Arial" w:cs="Arial"/>
          <w:sz w:val="18"/>
          <w:szCs w:val="18"/>
          <w:lang w:eastAsia="ja-JP"/>
        </w:rPr>
        <w:t xml:space="preserve"> a number of adjusted or alternative performance measures, also known as non-GAAP or non-IFRS performance measures. These measures are adjusted for certain items which management believe are not representative of the underlying performance of the business and which distort period-on-period comparison. These non-IFRS measures are not measures within the scope of IFRS and are not a substitute for IFRS measures. These measures include:</w:t>
      </w:r>
    </w:p>
    <w:p w:rsidR="00974198" w:rsidRPr="006F1817" w:rsidRDefault="00974198" w:rsidP="00871C10">
      <w:pPr>
        <w:pStyle w:val="Normal00"/>
        <w:spacing w:line="259" w:lineRule="auto"/>
        <w:rPr>
          <w:rFonts w:ascii="Arial" w:hAnsi="Arial" w:cs="Arial"/>
          <w:sz w:val="18"/>
          <w:szCs w:val="18"/>
          <w:lang w:eastAsia="ja-JP"/>
        </w:rPr>
      </w:pPr>
    </w:p>
    <w:tbl>
      <w:tblPr>
        <w:tblW w:w="10314" w:type="dxa"/>
        <w:tblBorders>
          <w:insideH w:val="single" w:sz="4" w:space="0" w:color="auto"/>
          <w:insideV w:val="single" w:sz="4" w:space="0" w:color="auto"/>
        </w:tblBorders>
        <w:tblCellMar>
          <w:left w:w="0" w:type="dxa"/>
          <w:right w:w="0" w:type="dxa"/>
        </w:tblCellMar>
        <w:tblLook w:val="00A0" w:firstRow="1" w:lastRow="0" w:firstColumn="1" w:lastColumn="0" w:noHBand="0" w:noVBand="0"/>
      </w:tblPr>
      <w:tblGrid>
        <w:gridCol w:w="1586"/>
        <w:gridCol w:w="6672"/>
        <w:gridCol w:w="2056"/>
      </w:tblGrid>
      <w:tr w:rsidR="0064628A" w:rsidTr="002A5328">
        <w:tc>
          <w:tcPr>
            <w:tcW w:w="1586"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871C10" w:rsidRPr="006F1817" w:rsidRDefault="00FC1FDC" w:rsidP="003E1270">
            <w:pPr>
              <w:pStyle w:val="Normal00"/>
              <w:rPr>
                <w:rFonts w:ascii="Arial" w:hAnsi="Arial" w:cs="Arial"/>
                <w:bCs/>
                <w:color w:val="0A2F64"/>
                <w:sz w:val="18"/>
                <w:szCs w:val="18"/>
                <w:lang w:eastAsia="en-US"/>
              </w:rPr>
            </w:pPr>
            <w:r w:rsidRPr="006F1817">
              <w:rPr>
                <w:rFonts w:ascii="Arial" w:hAnsi="Arial" w:cs="Arial"/>
                <w:bCs/>
                <w:color w:val="0A2F64"/>
                <w:sz w:val="18"/>
                <w:szCs w:val="18"/>
              </w:rPr>
              <w:br w:type="page"/>
            </w:r>
            <w:r w:rsidRPr="006F1817">
              <w:rPr>
                <w:rFonts w:ascii="Arial" w:hAnsi="Arial" w:cs="Arial"/>
                <w:bCs/>
                <w:color w:val="0A2F64"/>
                <w:sz w:val="18"/>
                <w:szCs w:val="18"/>
                <w:lang w:eastAsia="en-US"/>
              </w:rPr>
              <w:t>Measure</w:t>
            </w:r>
          </w:p>
        </w:tc>
        <w:tc>
          <w:tcPr>
            <w:tcW w:w="667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871C10" w:rsidRPr="006F1817" w:rsidRDefault="00FC1FDC" w:rsidP="003E1270">
            <w:pPr>
              <w:pStyle w:val="Normal00"/>
              <w:rPr>
                <w:rFonts w:ascii="Arial" w:hAnsi="Arial" w:cs="Arial"/>
                <w:bCs/>
                <w:color w:val="0A2F64"/>
                <w:sz w:val="18"/>
                <w:szCs w:val="18"/>
                <w:lang w:eastAsia="en-US"/>
              </w:rPr>
            </w:pPr>
            <w:r w:rsidRPr="006F1817">
              <w:rPr>
                <w:rFonts w:ascii="Arial" w:hAnsi="Arial" w:cs="Arial"/>
                <w:bCs/>
                <w:color w:val="0A2F64"/>
                <w:sz w:val="18"/>
                <w:szCs w:val="18"/>
                <w:lang w:eastAsia="en-US"/>
              </w:rPr>
              <w:t>Basis of preparation</w:t>
            </w:r>
          </w:p>
        </w:tc>
        <w:tc>
          <w:tcPr>
            <w:tcW w:w="2056" w:type="dxa"/>
            <w:tcBorders>
              <w:top w:val="nil"/>
              <w:left w:val="single" w:sz="4" w:space="0" w:color="auto"/>
              <w:bottom w:val="single" w:sz="4" w:space="0" w:color="auto"/>
              <w:right w:val="nil"/>
            </w:tcBorders>
            <w:tcMar>
              <w:top w:w="0" w:type="dxa"/>
              <w:left w:w="108" w:type="dxa"/>
              <w:bottom w:w="0" w:type="dxa"/>
              <w:right w:w="108" w:type="dxa"/>
            </w:tcMar>
            <w:vAlign w:val="bottom"/>
            <w:hideMark/>
          </w:tcPr>
          <w:p w:rsidR="00871C10" w:rsidRPr="006F1817" w:rsidRDefault="00FC1FDC" w:rsidP="003E1270">
            <w:pPr>
              <w:pStyle w:val="Normal00"/>
              <w:rPr>
                <w:rFonts w:ascii="Arial" w:hAnsi="Arial" w:cs="Arial"/>
                <w:bCs/>
                <w:color w:val="0A2F64"/>
                <w:sz w:val="18"/>
                <w:szCs w:val="18"/>
                <w:lang w:eastAsia="en-US"/>
              </w:rPr>
            </w:pPr>
            <w:r w:rsidRPr="006F1817">
              <w:rPr>
                <w:rFonts w:ascii="Arial" w:hAnsi="Arial" w:cs="Arial"/>
                <w:bCs/>
                <w:color w:val="0A2F64"/>
                <w:sz w:val="18"/>
                <w:szCs w:val="18"/>
                <w:lang w:eastAsia="en-US"/>
              </w:rPr>
              <w:t>Additional analysis or reconciliation</w:t>
            </w:r>
          </w:p>
        </w:tc>
      </w:tr>
      <w:tr w:rsidR="0064628A" w:rsidTr="002A5328">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bCs/>
                <w:color w:val="0A2F64"/>
                <w:sz w:val="18"/>
                <w:szCs w:val="18"/>
                <w:lang w:eastAsia="en-US"/>
              </w:rPr>
            </w:pPr>
            <w:r w:rsidRPr="006F1817">
              <w:rPr>
                <w:rFonts w:ascii="Arial" w:hAnsi="Arial" w:cs="Arial"/>
                <w:bCs/>
                <w:color w:val="0A2F64"/>
                <w:sz w:val="18"/>
                <w:szCs w:val="18"/>
                <w:lang w:eastAsia="en-US"/>
              </w:rPr>
              <w:t xml:space="preserve">RBS return on tangible equity </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sz w:val="18"/>
                <w:szCs w:val="18"/>
                <w:lang w:eastAsia="en-US"/>
              </w:rPr>
            </w:pPr>
            <w:r w:rsidRPr="006F1817">
              <w:rPr>
                <w:rFonts w:ascii="Arial" w:hAnsi="Arial" w:cs="Arial"/>
                <w:color w:val="000000"/>
                <w:sz w:val="18"/>
                <w:szCs w:val="18"/>
              </w:rPr>
              <w:t>Annualised profit for the period attributable to ordinary shareholders divided by average tangible equity. Average tangible equity is total equity less intangible assets and other owners’ equity.</w:t>
            </w:r>
          </w:p>
        </w:tc>
        <w:tc>
          <w:tcPr>
            <w:tcW w:w="205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871C10" w:rsidRPr="006F1817" w:rsidRDefault="00FC1FDC" w:rsidP="003E1270">
            <w:pPr>
              <w:pStyle w:val="Normal00"/>
              <w:rPr>
                <w:rFonts w:ascii="Arial" w:hAnsi="Arial" w:cs="Arial"/>
                <w:sz w:val="18"/>
                <w:szCs w:val="18"/>
                <w:shd w:val="clear" w:color="auto" w:fill="FFFFFF"/>
              </w:rPr>
            </w:pPr>
            <w:r w:rsidRPr="006F1817">
              <w:rPr>
                <w:rFonts w:ascii="Arial" w:hAnsi="Arial" w:cs="Arial"/>
                <w:sz w:val="18"/>
                <w:szCs w:val="18"/>
                <w:shd w:val="clear" w:color="auto" w:fill="FFFFFF"/>
              </w:rPr>
              <w:t>Table I</w:t>
            </w:r>
          </w:p>
        </w:tc>
      </w:tr>
      <w:tr w:rsidR="0064628A" w:rsidTr="002A5328">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871C10" w:rsidRPr="006F1817" w:rsidRDefault="00FC1FDC" w:rsidP="00D908C3">
            <w:pPr>
              <w:pStyle w:val="Normal00"/>
              <w:rPr>
                <w:rFonts w:ascii="Arial" w:hAnsi="Arial" w:cs="Arial"/>
                <w:bCs/>
                <w:color w:val="0A2F64"/>
                <w:sz w:val="18"/>
                <w:szCs w:val="18"/>
                <w:lang w:eastAsia="en-US"/>
              </w:rPr>
            </w:pPr>
            <w:r w:rsidRPr="006F1817">
              <w:rPr>
                <w:rFonts w:ascii="Arial" w:hAnsi="Arial" w:cs="Arial"/>
                <w:bCs/>
                <w:color w:val="0A2F64"/>
                <w:sz w:val="18"/>
                <w:szCs w:val="18"/>
                <w:lang w:eastAsia="en-US"/>
              </w:rPr>
              <w:t xml:space="preserve">RBS return on tangible equity excluding PPI and </w:t>
            </w:r>
            <w:r>
              <w:rPr>
                <w:rFonts w:ascii="Arial" w:hAnsi="Arial" w:cs="Arial"/>
                <w:bCs/>
                <w:color w:val="0A2F64"/>
                <w:sz w:val="18"/>
                <w:szCs w:val="18"/>
                <w:lang w:eastAsia="en-US"/>
              </w:rPr>
              <w:t>FX recycling gains</w:t>
            </w:r>
            <w:r w:rsidRPr="006F1817">
              <w:rPr>
                <w:rFonts w:ascii="Arial" w:hAnsi="Arial" w:cs="Arial"/>
                <w:bCs/>
                <w:color w:val="0A2F64"/>
                <w:sz w:val="18"/>
                <w:szCs w:val="18"/>
                <w:lang w:eastAsia="en-US"/>
              </w:rPr>
              <w:t>.</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71C10" w:rsidRPr="006F1817" w:rsidRDefault="00FC1FDC" w:rsidP="00D908C3">
            <w:pPr>
              <w:pStyle w:val="Normal00"/>
              <w:rPr>
                <w:rFonts w:ascii="Arial" w:hAnsi="Arial" w:cs="Arial"/>
                <w:sz w:val="18"/>
                <w:szCs w:val="18"/>
                <w:lang w:eastAsia="en-US"/>
              </w:rPr>
            </w:pPr>
            <w:r w:rsidRPr="006F1817">
              <w:rPr>
                <w:rFonts w:ascii="Arial" w:hAnsi="Arial" w:cs="Arial"/>
                <w:color w:val="000000"/>
                <w:sz w:val="18"/>
                <w:szCs w:val="18"/>
              </w:rPr>
              <w:t>Annualised profit for the period attributable to ordinary shareholde</w:t>
            </w:r>
            <w:r>
              <w:rPr>
                <w:rFonts w:ascii="Arial" w:hAnsi="Arial" w:cs="Arial"/>
                <w:color w:val="000000"/>
                <w:sz w:val="18"/>
                <w:szCs w:val="18"/>
              </w:rPr>
              <w:t>rs, adjusted for the PPI charge and FX recycling gains</w:t>
            </w:r>
            <w:r w:rsidRPr="006F1817">
              <w:rPr>
                <w:rFonts w:ascii="Arial" w:hAnsi="Arial" w:cs="Arial"/>
                <w:color w:val="000000"/>
                <w:sz w:val="18"/>
                <w:szCs w:val="18"/>
              </w:rPr>
              <w:t>, for the period divided by average tangible equity. Average tangible equity is total equity less intangible assets and other owners’ equity.</w:t>
            </w:r>
          </w:p>
        </w:tc>
        <w:tc>
          <w:tcPr>
            <w:tcW w:w="2056" w:type="dxa"/>
            <w:tcBorders>
              <w:top w:val="single" w:sz="4" w:space="0" w:color="auto"/>
              <w:left w:val="single" w:sz="4" w:space="0" w:color="auto"/>
              <w:bottom w:val="single" w:sz="4" w:space="0" w:color="auto"/>
              <w:right w:val="nil"/>
            </w:tcBorders>
            <w:tcMar>
              <w:top w:w="0" w:type="dxa"/>
              <w:left w:w="108" w:type="dxa"/>
              <w:bottom w:w="0" w:type="dxa"/>
              <w:right w:w="108" w:type="dxa"/>
            </w:tcMar>
          </w:tcPr>
          <w:p w:rsidR="00871C10" w:rsidRPr="006F1817" w:rsidRDefault="00FC1FDC" w:rsidP="003E1270">
            <w:pPr>
              <w:pStyle w:val="Normal00"/>
              <w:rPr>
                <w:rFonts w:ascii="Arial" w:hAnsi="Arial" w:cs="Arial"/>
                <w:sz w:val="18"/>
                <w:szCs w:val="18"/>
                <w:shd w:val="clear" w:color="auto" w:fill="FFFFFF"/>
              </w:rPr>
            </w:pPr>
            <w:r w:rsidRPr="006F1817">
              <w:rPr>
                <w:rFonts w:ascii="Arial" w:hAnsi="Arial" w:cs="Arial"/>
                <w:sz w:val="18"/>
                <w:szCs w:val="18"/>
                <w:shd w:val="clear" w:color="auto" w:fill="FFFFFF"/>
              </w:rPr>
              <w:t>Table I</w:t>
            </w:r>
          </w:p>
        </w:tc>
      </w:tr>
      <w:tr w:rsidR="0064628A" w:rsidTr="002A5328">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bCs/>
                <w:color w:val="0A2F64"/>
                <w:sz w:val="18"/>
                <w:szCs w:val="18"/>
                <w:lang w:eastAsia="en-US"/>
              </w:rPr>
            </w:pPr>
            <w:r w:rsidRPr="006F1817">
              <w:rPr>
                <w:rFonts w:ascii="Arial" w:hAnsi="Arial" w:cs="Arial"/>
                <w:bCs/>
                <w:color w:val="0A2F64"/>
                <w:sz w:val="18"/>
                <w:szCs w:val="18"/>
                <w:lang w:eastAsia="en-US"/>
              </w:rPr>
              <w:t>Segmental return on tangible equity</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sz w:val="18"/>
                <w:szCs w:val="18"/>
                <w:lang w:eastAsia="en-US"/>
              </w:rPr>
            </w:pPr>
            <w:r w:rsidRPr="006F1817">
              <w:rPr>
                <w:rFonts w:ascii="Arial" w:hAnsi="Arial" w:cs="Arial"/>
                <w:color w:val="000000"/>
                <w:sz w:val="18"/>
                <w:szCs w:val="18"/>
                <w:shd w:val="clear" w:color="auto" w:fill="FFFFFF"/>
                <w:lang w:eastAsia="ja-JP"/>
              </w:rPr>
              <w:t>Annualised segmental operating profit adjusted for tax and for preference share dividends divided by average notional equity, allocated at an operating segment specific rate, of the period average segmental risk-weighted assets incorporating the effect of capital deductions (RWAes).</w:t>
            </w:r>
          </w:p>
        </w:tc>
        <w:tc>
          <w:tcPr>
            <w:tcW w:w="205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871C10" w:rsidRPr="006F1817" w:rsidRDefault="00FC1FDC" w:rsidP="003E1270">
            <w:pPr>
              <w:pStyle w:val="Normal00"/>
              <w:rPr>
                <w:rFonts w:ascii="Arial" w:hAnsi="Arial" w:cs="Arial"/>
                <w:sz w:val="18"/>
                <w:szCs w:val="18"/>
                <w:lang w:eastAsia="en-US"/>
              </w:rPr>
            </w:pPr>
            <w:r w:rsidRPr="006F1817">
              <w:rPr>
                <w:rFonts w:ascii="Arial" w:hAnsi="Arial" w:cs="Arial"/>
                <w:sz w:val="18"/>
                <w:szCs w:val="18"/>
                <w:shd w:val="clear" w:color="auto" w:fill="FFFFFF"/>
              </w:rPr>
              <w:t>Table I</w:t>
            </w:r>
          </w:p>
        </w:tc>
      </w:tr>
      <w:tr w:rsidR="0064628A" w:rsidTr="002A5328">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bCs/>
                <w:color w:val="0A2F64"/>
                <w:sz w:val="18"/>
                <w:szCs w:val="18"/>
                <w:lang w:eastAsia="en-US"/>
              </w:rPr>
            </w:pPr>
            <w:r w:rsidRPr="006F1817">
              <w:rPr>
                <w:rFonts w:ascii="Arial" w:hAnsi="Arial" w:cs="Arial"/>
                <w:bCs/>
                <w:color w:val="0A2F64"/>
                <w:sz w:val="18"/>
                <w:szCs w:val="18"/>
                <w:lang w:eastAsia="en-US"/>
              </w:rPr>
              <w:t>Operating expenses analysis – management view</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sz w:val="18"/>
                <w:szCs w:val="18"/>
                <w:lang w:eastAsia="en-US"/>
              </w:rPr>
            </w:pPr>
            <w:r w:rsidRPr="006F1817">
              <w:rPr>
                <w:rFonts w:ascii="Arial" w:hAnsi="Arial" w:cs="Arial"/>
                <w:sz w:val="18"/>
                <w:szCs w:val="18"/>
                <w:lang w:eastAsia="en-US"/>
              </w:rPr>
              <w:t>The management analysis of strategic disposals in other income and operating expenses shows strategic costs and litigation and conduct costs in separate lines. These amounts are included in staff, premises and equipment and other administrative expenses in the statutory analysis.</w:t>
            </w:r>
          </w:p>
        </w:tc>
        <w:tc>
          <w:tcPr>
            <w:tcW w:w="205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871C10" w:rsidRPr="006F1817" w:rsidRDefault="00FC1FDC" w:rsidP="003E1270">
            <w:pPr>
              <w:pStyle w:val="Normal00"/>
              <w:rPr>
                <w:rFonts w:ascii="Arial" w:hAnsi="Arial" w:cs="Arial"/>
                <w:sz w:val="18"/>
                <w:szCs w:val="18"/>
                <w:lang w:eastAsia="en-US"/>
              </w:rPr>
            </w:pPr>
            <w:r w:rsidRPr="006F1817">
              <w:rPr>
                <w:rFonts w:ascii="Arial" w:hAnsi="Arial" w:cs="Arial"/>
                <w:sz w:val="18"/>
                <w:szCs w:val="18"/>
                <w:shd w:val="clear" w:color="auto" w:fill="FFFFFF"/>
              </w:rPr>
              <w:t>Table II</w:t>
            </w:r>
          </w:p>
        </w:tc>
      </w:tr>
      <w:tr w:rsidR="0064628A" w:rsidTr="002A5328">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bCs/>
                <w:color w:val="0A2F64"/>
                <w:sz w:val="18"/>
                <w:szCs w:val="18"/>
                <w:lang w:eastAsia="en-US"/>
              </w:rPr>
            </w:pPr>
            <w:r w:rsidRPr="006F1817">
              <w:rPr>
                <w:rFonts w:ascii="Arial" w:hAnsi="Arial" w:cs="Arial"/>
                <w:bCs/>
                <w:color w:val="0A2F64"/>
                <w:sz w:val="18"/>
                <w:szCs w:val="18"/>
                <w:lang w:eastAsia="en-US"/>
              </w:rPr>
              <w:t>Cost:income ratio</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sz w:val="18"/>
                <w:szCs w:val="18"/>
                <w:lang w:eastAsia="en-US"/>
              </w:rPr>
            </w:pPr>
            <w:r w:rsidRPr="006F1817">
              <w:rPr>
                <w:rFonts w:ascii="Arial" w:hAnsi="Arial" w:cs="Arial"/>
                <w:sz w:val="18"/>
                <w:szCs w:val="18"/>
                <w:lang w:eastAsia="en-US"/>
              </w:rPr>
              <w:t>Total operating expenses less operating lease depreciation divided by total income less operating lease depreciation.</w:t>
            </w:r>
          </w:p>
        </w:tc>
        <w:tc>
          <w:tcPr>
            <w:tcW w:w="205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871C10" w:rsidRPr="006F1817" w:rsidRDefault="00FC1FDC" w:rsidP="003E1270">
            <w:pPr>
              <w:pStyle w:val="Normal00"/>
              <w:rPr>
                <w:rFonts w:ascii="Arial" w:hAnsi="Arial" w:cs="Arial"/>
                <w:sz w:val="18"/>
                <w:szCs w:val="18"/>
                <w:lang w:eastAsia="en-US"/>
              </w:rPr>
            </w:pPr>
            <w:r w:rsidRPr="006F1817">
              <w:rPr>
                <w:rFonts w:ascii="Arial" w:hAnsi="Arial" w:cs="Arial"/>
                <w:sz w:val="18"/>
                <w:szCs w:val="18"/>
                <w:shd w:val="clear" w:color="auto" w:fill="FFFFFF"/>
              </w:rPr>
              <w:t>Table III</w:t>
            </w:r>
          </w:p>
        </w:tc>
      </w:tr>
      <w:tr w:rsidR="0064628A" w:rsidTr="002A5328">
        <w:tc>
          <w:tcPr>
            <w:tcW w:w="15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bCs/>
                <w:color w:val="0A2F64"/>
                <w:sz w:val="18"/>
                <w:szCs w:val="18"/>
                <w:lang w:eastAsia="en-US"/>
              </w:rPr>
            </w:pPr>
            <w:r w:rsidRPr="006F1817">
              <w:rPr>
                <w:rFonts w:ascii="Arial" w:hAnsi="Arial" w:cs="Arial"/>
                <w:bCs/>
                <w:color w:val="0A2F64"/>
                <w:sz w:val="18"/>
                <w:szCs w:val="18"/>
                <w:lang w:eastAsia="en-US"/>
              </w:rPr>
              <w:t>Commentary – adjusted periodically for specific items</w:t>
            </w:r>
          </w:p>
        </w:tc>
        <w:tc>
          <w:tcPr>
            <w:tcW w:w="6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1C10" w:rsidRPr="006F1817" w:rsidRDefault="00FC1FDC" w:rsidP="0032023E">
            <w:pPr>
              <w:pStyle w:val="Normal00"/>
              <w:rPr>
                <w:rFonts w:ascii="Arial" w:hAnsi="Arial" w:cs="Arial"/>
                <w:sz w:val="18"/>
                <w:szCs w:val="18"/>
                <w:lang w:eastAsia="en-US"/>
              </w:rPr>
            </w:pPr>
            <w:r w:rsidRPr="006F1817">
              <w:rPr>
                <w:rFonts w:ascii="Arial" w:hAnsi="Arial" w:cs="Arial"/>
                <w:sz w:val="18"/>
                <w:szCs w:val="18"/>
                <w:lang w:eastAsia="en-US"/>
              </w:rPr>
              <w:t xml:space="preserve">RBS and segmental business performance commentary have been adjusted for the impact of specific items such as the Alawwal bank merger, </w:t>
            </w:r>
            <w:r>
              <w:rPr>
                <w:rFonts w:ascii="Arial" w:hAnsi="Arial" w:cs="Arial"/>
                <w:sz w:val="18"/>
                <w:szCs w:val="18"/>
                <w:lang w:eastAsia="en-US"/>
              </w:rPr>
              <w:t xml:space="preserve">FX recycling gains, </w:t>
            </w:r>
            <w:r w:rsidRPr="006F1817">
              <w:rPr>
                <w:rFonts w:ascii="Arial" w:hAnsi="Arial" w:cs="Arial"/>
                <w:sz w:val="18"/>
                <w:szCs w:val="18"/>
                <w:lang w:eastAsia="en-US"/>
              </w:rPr>
              <w:t>push payments fraud costs, strategic, litigation and conduct costs (detailed on pages</w:t>
            </w:r>
            <w:r>
              <w:rPr>
                <w:rFonts w:ascii="Arial" w:hAnsi="Arial" w:cs="Arial"/>
                <w:sz w:val="18"/>
                <w:szCs w:val="18"/>
                <w:lang w:eastAsia="en-US"/>
              </w:rPr>
              <w:t xml:space="preserve"> 17 to 21</w:t>
            </w:r>
            <w:r w:rsidRPr="006F1817">
              <w:rPr>
                <w:rFonts w:ascii="Arial" w:hAnsi="Arial" w:cs="Arial"/>
                <w:sz w:val="18"/>
                <w:szCs w:val="18"/>
                <w:lang w:eastAsia="en-US"/>
              </w:rPr>
              <w:t xml:space="preserve">). </w:t>
            </w:r>
          </w:p>
        </w:tc>
        <w:tc>
          <w:tcPr>
            <w:tcW w:w="205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531A4D" w:rsidRDefault="00FC1FDC" w:rsidP="00531A4D">
            <w:pPr>
              <w:pStyle w:val="Normal00"/>
              <w:rPr>
                <w:rFonts w:ascii="Arial" w:hAnsi="Arial" w:cs="Arial"/>
                <w:sz w:val="18"/>
                <w:szCs w:val="18"/>
                <w:lang w:eastAsia="en-US"/>
              </w:rPr>
            </w:pPr>
            <w:r w:rsidRPr="006F1817">
              <w:rPr>
                <w:rFonts w:ascii="Arial" w:hAnsi="Arial" w:cs="Arial"/>
                <w:sz w:val="18"/>
                <w:szCs w:val="18"/>
                <w:lang w:eastAsia="en-US"/>
              </w:rPr>
              <w:t>Notable items</w:t>
            </w:r>
            <w:r>
              <w:rPr>
                <w:rFonts w:ascii="Arial" w:hAnsi="Arial" w:cs="Arial"/>
                <w:sz w:val="18"/>
                <w:szCs w:val="18"/>
                <w:lang w:eastAsia="en-US"/>
              </w:rPr>
              <w:t xml:space="preserve"> within total income and operating expenses on page 8,</w:t>
            </w:r>
          </w:p>
          <w:p w:rsidR="00871C10" w:rsidRPr="006F1817" w:rsidRDefault="00FC1FDC" w:rsidP="0032023E">
            <w:pPr>
              <w:pStyle w:val="Normal00"/>
              <w:rPr>
                <w:rFonts w:ascii="Arial" w:hAnsi="Arial" w:cs="Arial"/>
                <w:sz w:val="18"/>
                <w:szCs w:val="18"/>
                <w:lang w:eastAsia="en-US"/>
              </w:rPr>
            </w:pPr>
            <w:r w:rsidRPr="006F1817">
              <w:rPr>
                <w:rFonts w:ascii="Arial" w:hAnsi="Arial" w:cs="Arial"/>
                <w:sz w:val="18"/>
                <w:szCs w:val="18"/>
                <w:lang w:eastAsia="en-US"/>
              </w:rPr>
              <w:t xml:space="preserve">Strategic, litigation and conduct costs </w:t>
            </w:r>
            <w:r w:rsidR="00367524">
              <w:rPr>
                <w:rFonts w:ascii="Arial" w:hAnsi="Arial" w:cs="Arial"/>
                <w:sz w:val="18"/>
                <w:szCs w:val="18"/>
                <w:lang w:eastAsia="en-US"/>
              </w:rPr>
              <w:t>–</w:t>
            </w:r>
            <w:r w:rsidRPr="006F1817">
              <w:rPr>
                <w:rFonts w:ascii="Arial" w:hAnsi="Arial" w:cs="Arial"/>
                <w:sz w:val="18"/>
                <w:szCs w:val="18"/>
                <w:lang w:eastAsia="en-US"/>
              </w:rPr>
              <w:t xml:space="preserve"> pages</w:t>
            </w:r>
            <w:r>
              <w:rPr>
                <w:rFonts w:ascii="Arial" w:hAnsi="Arial" w:cs="Arial"/>
                <w:sz w:val="18"/>
                <w:szCs w:val="18"/>
                <w:lang w:eastAsia="en-US"/>
              </w:rPr>
              <w:t xml:space="preserve"> 17 to 21.</w:t>
            </w:r>
          </w:p>
        </w:tc>
      </w:tr>
      <w:tr w:rsidR="0064628A" w:rsidTr="002A5328">
        <w:trPr>
          <w:trHeight w:val="1004"/>
        </w:trPr>
        <w:tc>
          <w:tcPr>
            <w:tcW w:w="1586" w:type="dxa"/>
            <w:tcBorders>
              <w:top w:val="single" w:sz="4" w:space="0" w:color="auto"/>
              <w:left w:val="nil"/>
              <w:bottom w:val="nil"/>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bCs/>
                <w:color w:val="0A2F64"/>
                <w:sz w:val="18"/>
                <w:szCs w:val="18"/>
                <w:lang w:eastAsia="en-US"/>
              </w:rPr>
            </w:pPr>
            <w:r w:rsidRPr="006F1817">
              <w:rPr>
                <w:rFonts w:ascii="Arial" w:hAnsi="Arial" w:cs="Arial"/>
                <w:bCs/>
                <w:color w:val="0A2F64"/>
                <w:sz w:val="18"/>
                <w:szCs w:val="18"/>
                <w:lang w:eastAsia="en-US"/>
              </w:rPr>
              <w:t xml:space="preserve">Bank net interest margin (NIM) </w:t>
            </w:r>
          </w:p>
        </w:tc>
        <w:tc>
          <w:tcPr>
            <w:tcW w:w="6672"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sz w:val="18"/>
                <w:szCs w:val="18"/>
              </w:rPr>
            </w:pPr>
            <w:r w:rsidRPr="006F1817">
              <w:rPr>
                <w:rFonts w:ascii="Arial" w:hAnsi="Arial" w:cs="Arial"/>
                <w:color w:val="000000"/>
                <w:sz w:val="18"/>
                <w:szCs w:val="18"/>
                <w:shd w:val="clear" w:color="auto" w:fill="FFFFFF"/>
                <w:lang w:eastAsia="ja-JP"/>
              </w:rPr>
              <w:t>Net interest income of the banking business less the NatWest Markets (NWM) element as a percentage of interest-earning assets of the banking business less the NWM element.</w:t>
            </w:r>
          </w:p>
        </w:tc>
        <w:tc>
          <w:tcPr>
            <w:tcW w:w="2056" w:type="dxa"/>
            <w:tcBorders>
              <w:top w:val="single" w:sz="4" w:space="0" w:color="auto"/>
              <w:left w:val="single" w:sz="4" w:space="0" w:color="auto"/>
              <w:bottom w:val="nil"/>
              <w:right w:val="nil"/>
            </w:tcBorders>
            <w:tcMar>
              <w:top w:w="0" w:type="dxa"/>
              <w:left w:w="108" w:type="dxa"/>
              <w:bottom w:w="0" w:type="dxa"/>
              <w:right w:w="108" w:type="dxa"/>
            </w:tcMar>
            <w:hideMark/>
          </w:tcPr>
          <w:p w:rsidR="00871C10" w:rsidRPr="006F1817" w:rsidRDefault="00FC1FDC" w:rsidP="003E1270">
            <w:pPr>
              <w:pStyle w:val="Normal00"/>
              <w:rPr>
                <w:rFonts w:ascii="Arial" w:hAnsi="Arial" w:cs="Arial"/>
                <w:sz w:val="18"/>
                <w:szCs w:val="18"/>
                <w:lang w:eastAsia="en-US"/>
              </w:rPr>
            </w:pPr>
            <w:r w:rsidRPr="006F1817">
              <w:rPr>
                <w:rFonts w:ascii="Arial" w:hAnsi="Arial" w:cs="Arial"/>
                <w:sz w:val="18"/>
                <w:szCs w:val="18"/>
                <w:shd w:val="clear" w:color="auto" w:fill="FFFFFF"/>
              </w:rPr>
              <w:t>Table IV</w:t>
            </w:r>
          </w:p>
        </w:tc>
      </w:tr>
    </w:tbl>
    <w:p w:rsidR="00871C10" w:rsidRPr="006F1817" w:rsidRDefault="00871C10" w:rsidP="00871C10">
      <w:pPr>
        <w:pStyle w:val="Normal00"/>
        <w:spacing w:line="276" w:lineRule="auto"/>
        <w:rPr>
          <w:rFonts w:ascii="Arial" w:hAnsi="Arial" w:cs="Arial"/>
          <w:b/>
          <w:bCs/>
          <w:sz w:val="18"/>
          <w:szCs w:val="18"/>
          <w:u w:val="single"/>
          <w:lang w:eastAsia="en-US"/>
        </w:rPr>
      </w:pPr>
    </w:p>
    <w:p w:rsidR="00871C10" w:rsidRPr="006F1817" w:rsidRDefault="00FC1FDC" w:rsidP="00871C10">
      <w:pPr>
        <w:pStyle w:val="Normal00"/>
        <w:spacing w:line="276" w:lineRule="auto"/>
        <w:rPr>
          <w:rFonts w:ascii="Arial" w:hAnsi="Arial" w:cs="Arial"/>
          <w:b/>
          <w:bCs/>
          <w:color w:val="0A2F64"/>
          <w:sz w:val="18"/>
          <w:szCs w:val="18"/>
          <w:lang w:eastAsia="en-US"/>
        </w:rPr>
      </w:pPr>
      <w:r w:rsidRPr="006F1817">
        <w:rPr>
          <w:rFonts w:ascii="Arial" w:hAnsi="Arial" w:cs="Arial"/>
          <w:b/>
          <w:bCs/>
          <w:color w:val="0A2F64"/>
          <w:sz w:val="18"/>
          <w:szCs w:val="18"/>
          <w:lang w:eastAsia="en-US"/>
        </w:rPr>
        <w:t>Performance metrics not defined under IFRS</w:t>
      </w:r>
      <w:r w:rsidRPr="006F1817">
        <w:rPr>
          <w:rFonts w:ascii="Arial" w:hAnsi="Arial" w:cs="Arial"/>
          <w:b/>
          <w:bCs/>
          <w:color w:val="0A2F64"/>
          <w:sz w:val="18"/>
          <w:szCs w:val="18"/>
          <w:vertAlign w:val="superscript"/>
          <w:lang w:eastAsia="en-US"/>
        </w:rPr>
        <w:t>(1)</w:t>
      </w:r>
      <w:r w:rsidRPr="006F1817">
        <w:rPr>
          <w:rFonts w:ascii="Arial" w:hAnsi="Arial" w:cs="Arial"/>
          <w:b/>
          <w:bCs/>
          <w:color w:val="0A2F64"/>
          <w:sz w:val="18"/>
          <w:szCs w:val="18"/>
          <w:lang w:eastAsia="en-US"/>
        </w:rPr>
        <w:t xml:space="preserve">  </w:t>
      </w:r>
    </w:p>
    <w:tbl>
      <w:tblPr>
        <w:tblW w:w="10206" w:type="dxa"/>
        <w:tblBorders>
          <w:insideH w:val="single" w:sz="4" w:space="0" w:color="auto"/>
          <w:insideV w:val="single" w:sz="4" w:space="0" w:color="auto"/>
        </w:tblBorders>
        <w:tblCellMar>
          <w:left w:w="0" w:type="dxa"/>
          <w:right w:w="0" w:type="dxa"/>
        </w:tblCellMar>
        <w:tblLook w:val="00A0" w:firstRow="1" w:lastRow="0" w:firstColumn="1" w:lastColumn="0" w:noHBand="0" w:noVBand="0"/>
      </w:tblPr>
      <w:tblGrid>
        <w:gridCol w:w="1624"/>
        <w:gridCol w:w="6636"/>
        <w:gridCol w:w="1946"/>
      </w:tblGrid>
      <w:tr w:rsidR="0064628A" w:rsidTr="00087AF1">
        <w:tc>
          <w:tcPr>
            <w:tcW w:w="1624"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871C10" w:rsidRPr="006F1817" w:rsidRDefault="00FC1FDC" w:rsidP="003E1270">
            <w:pPr>
              <w:pStyle w:val="Normal00"/>
              <w:rPr>
                <w:rFonts w:ascii="Arial" w:hAnsi="Arial" w:cs="Arial"/>
                <w:bCs/>
                <w:color w:val="0A2F64"/>
                <w:sz w:val="18"/>
                <w:szCs w:val="18"/>
                <w:lang w:eastAsia="en-US"/>
              </w:rPr>
            </w:pPr>
            <w:r w:rsidRPr="006F1817">
              <w:rPr>
                <w:rFonts w:ascii="Arial" w:hAnsi="Arial" w:cs="Arial"/>
                <w:bCs/>
                <w:color w:val="0A2F64"/>
                <w:sz w:val="18"/>
                <w:szCs w:val="18"/>
              </w:rPr>
              <w:br w:type="page"/>
            </w:r>
            <w:r w:rsidRPr="006F1817">
              <w:rPr>
                <w:rFonts w:ascii="Arial" w:hAnsi="Arial" w:cs="Arial"/>
                <w:bCs/>
                <w:color w:val="0A2F64"/>
                <w:sz w:val="18"/>
                <w:szCs w:val="18"/>
                <w:lang w:eastAsia="en-US"/>
              </w:rPr>
              <w:t>Measure</w:t>
            </w:r>
          </w:p>
        </w:tc>
        <w:tc>
          <w:tcPr>
            <w:tcW w:w="6636" w:type="dxa"/>
            <w:tcBorders>
              <w:top w:val="nil"/>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871C10" w:rsidRPr="006F1817" w:rsidRDefault="00FC1FDC" w:rsidP="003E1270">
            <w:pPr>
              <w:pStyle w:val="Normal00"/>
              <w:rPr>
                <w:rFonts w:ascii="Arial" w:hAnsi="Arial" w:cs="Arial"/>
                <w:bCs/>
                <w:color w:val="0A2F64"/>
                <w:sz w:val="18"/>
                <w:szCs w:val="18"/>
                <w:lang w:eastAsia="en-US"/>
              </w:rPr>
            </w:pPr>
            <w:r w:rsidRPr="006F1817">
              <w:rPr>
                <w:rFonts w:ascii="Arial" w:hAnsi="Arial" w:cs="Arial"/>
                <w:bCs/>
                <w:color w:val="0A2F64"/>
                <w:sz w:val="18"/>
                <w:szCs w:val="18"/>
                <w:lang w:eastAsia="en-US"/>
              </w:rPr>
              <w:t>Basis of preparation</w:t>
            </w:r>
          </w:p>
        </w:tc>
        <w:tc>
          <w:tcPr>
            <w:tcW w:w="1946" w:type="dxa"/>
            <w:tcBorders>
              <w:top w:val="nil"/>
              <w:left w:val="single" w:sz="4" w:space="0" w:color="auto"/>
              <w:bottom w:val="single" w:sz="4" w:space="0" w:color="auto"/>
              <w:right w:val="nil"/>
            </w:tcBorders>
            <w:tcMar>
              <w:top w:w="0" w:type="dxa"/>
              <w:left w:w="108" w:type="dxa"/>
              <w:bottom w:w="0" w:type="dxa"/>
              <w:right w:w="108" w:type="dxa"/>
            </w:tcMar>
            <w:vAlign w:val="bottom"/>
            <w:hideMark/>
          </w:tcPr>
          <w:p w:rsidR="00871C10" w:rsidRPr="006F1817" w:rsidRDefault="00FC1FDC" w:rsidP="003E1270">
            <w:pPr>
              <w:pStyle w:val="Normal00"/>
              <w:rPr>
                <w:rFonts w:ascii="Arial" w:hAnsi="Arial" w:cs="Arial"/>
                <w:bCs/>
                <w:color w:val="0A2F64"/>
                <w:sz w:val="18"/>
                <w:szCs w:val="18"/>
                <w:shd w:val="clear" w:color="auto" w:fill="FFFFFF"/>
                <w:lang w:eastAsia="ja-JP"/>
              </w:rPr>
            </w:pPr>
            <w:r w:rsidRPr="006F1817">
              <w:rPr>
                <w:rFonts w:ascii="Arial" w:hAnsi="Arial" w:cs="Arial"/>
                <w:bCs/>
                <w:color w:val="0A2F64"/>
                <w:sz w:val="18"/>
                <w:szCs w:val="18"/>
                <w:lang w:eastAsia="en-US"/>
              </w:rPr>
              <w:t>Additional analysis or reconciliation</w:t>
            </w:r>
          </w:p>
        </w:tc>
      </w:tr>
      <w:tr w:rsidR="0064628A" w:rsidTr="003E1270">
        <w:tc>
          <w:tcPr>
            <w:tcW w:w="172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bCs/>
                <w:color w:val="0A2F64"/>
                <w:sz w:val="18"/>
                <w:szCs w:val="18"/>
                <w:lang w:eastAsia="en-US"/>
              </w:rPr>
            </w:pPr>
            <w:r w:rsidRPr="006F1817">
              <w:rPr>
                <w:rFonts w:ascii="Arial" w:hAnsi="Arial" w:cs="Arial"/>
                <w:bCs/>
                <w:color w:val="0A2F64"/>
                <w:sz w:val="18"/>
                <w:szCs w:val="18"/>
                <w:lang w:eastAsia="en-US"/>
              </w:rPr>
              <w:t xml:space="preserve">Loan:deposit ratio </w:t>
            </w:r>
          </w:p>
        </w:tc>
        <w:tc>
          <w:tcPr>
            <w:tcW w:w="8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sz w:val="18"/>
                <w:szCs w:val="18"/>
                <w:lang w:eastAsia="en-US"/>
              </w:rPr>
            </w:pPr>
            <w:r w:rsidRPr="006F1817">
              <w:rPr>
                <w:rFonts w:ascii="Arial" w:hAnsi="Arial" w:cs="Arial"/>
                <w:color w:val="000000"/>
                <w:sz w:val="18"/>
                <w:szCs w:val="18"/>
              </w:rPr>
              <w:t>Net customer loans held at amortised cost divided by total customer deposits.</w:t>
            </w:r>
          </w:p>
        </w:tc>
        <w:tc>
          <w:tcPr>
            <w:tcW w:w="212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871C10" w:rsidRPr="006F1817" w:rsidRDefault="00FC1FDC" w:rsidP="003E1270">
            <w:pPr>
              <w:pStyle w:val="Normal00"/>
              <w:rPr>
                <w:rFonts w:ascii="Arial" w:hAnsi="Arial" w:cs="Arial"/>
                <w:sz w:val="18"/>
                <w:szCs w:val="18"/>
                <w:lang w:eastAsia="ja-JP"/>
              </w:rPr>
            </w:pPr>
            <w:r w:rsidRPr="006F1817">
              <w:rPr>
                <w:rFonts w:ascii="Arial" w:hAnsi="Arial" w:cs="Arial"/>
                <w:sz w:val="18"/>
                <w:szCs w:val="18"/>
                <w:shd w:val="clear" w:color="auto" w:fill="FFFFFF"/>
              </w:rPr>
              <w:t>Table V</w:t>
            </w:r>
          </w:p>
        </w:tc>
      </w:tr>
      <w:tr w:rsidR="0064628A" w:rsidTr="003E1270">
        <w:tc>
          <w:tcPr>
            <w:tcW w:w="172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bCs/>
                <w:color w:val="0A2F64"/>
                <w:sz w:val="18"/>
                <w:szCs w:val="18"/>
                <w:lang w:eastAsia="en-US"/>
              </w:rPr>
            </w:pPr>
            <w:r w:rsidRPr="006F1817">
              <w:rPr>
                <w:rFonts w:ascii="Arial" w:hAnsi="Arial" w:cs="Arial"/>
                <w:bCs/>
                <w:color w:val="0A2F64"/>
                <w:sz w:val="18"/>
                <w:szCs w:val="18"/>
                <w:lang w:eastAsia="en-US"/>
              </w:rPr>
              <w:t>Tangible net asset value (TNAV)</w:t>
            </w:r>
          </w:p>
        </w:tc>
        <w:tc>
          <w:tcPr>
            <w:tcW w:w="8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sz w:val="18"/>
                <w:szCs w:val="18"/>
                <w:lang w:eastAsia="ja-JP"/>
              </w:rPr>
            </w:pPr>
            <w:r w:rsidRPr="006F1817">
              <w:rPr>
                <w:rFonts w:ascii="Arial" w:hAnsi="Arial" w:cs="Arial"/>
                <w:sz w:val="18"/>
                <w:szCs w:val="18"/>
                <w:lang w:eastAsia="ja-JP"/>
              </w:rPr>
              <w:t xml:space="preserve">Tangible equity divided by the number of ordinary shares in issue. Tangible equity is ordinary shareholders’ interest less intangible assets. </w:t>
            </w:r>
          </w:p>
        </w:tc>
        <w:tc>
          <w:tcPr>
            <w:tcW w:w="212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871C10" w:rsidRPr="006F1817" w:rsidRDefault="00FC1FDC" w:rsidP="00087AF1">
            <w:pPr>
              <w:pStyle w:val="Normal00"/>
              <w:rPr>
                <w:rFonts w:ascii="Arial" w:hAnsi="Arial" w:cs="Arial"/>
                <w:sz w:val="18"/>
                <w:szCs w:val="18"/>
                <w:lang w:eastAsia="ja-JP"/>
              </w:rPr>
            </w:pPr>
            <w:r>
              <w:rPr>
                <w:rFonts w:ascii="Arial" w:hAnsi="Arial" w:cs="Arial"/>
                <w:sz w:val="18"/>
                <w:szCs w:val="18"/>
                <w:lang w:eastAsia="ja-JP"/>
              </w:rPr>
              <w:t>Page 3</w:t>
            </w:r>
          </w:p>
        </w:tc>
      </w:tr>
      <w:tr w:rsidR="0064628A" w:rsidTr="003E1270">
        <w:tc>
          <w:tcPr>
            <w:tcW w:w="172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bCs/>
                <w:color w:val="0A2F64"/>
                <w:sz w:val="18"/>
                <w:szCs w:val="18"/>
                <w:lang w:eastAsia="en-US"/>
              </w:rPr>
            </w:pPr>
            <w:r w:rsidRPr="006F1817">
              <w:rPr>
                <w:rFonts w:ascii="Arial" w:hAnsi="Arial" w:cs="Arial"/>
                <w:bCs/>
                <w:color w:val="0A2F64"/>
                <w:sz w:val="18"/>
                <w:szCs w:val="18"/>
                <w:lang w:eastAsia="en-US"/>
              </w:rPr>
              <w:t>NIM</w:t>
            </w:r>
          </w:p>
        </w:tc>
        <w:tc>
          <w:tcPr>
            <w:tcW w:w="8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871C10" w:rsidRPr="006F1817" w:rsidRDefault="00FC1FDC" w:rsidP="003E1270">
            <w:pPr>
              <w:pStyle w:val="Normal00"/>
              <w:rPr>
                <w:rFonts w:ascii="Arial" w:hAnsi="Arial" w:cs="Arial"/>
                <w:sz w:val="18"/>
                <w:szCs w:val="18"/>
                <w:lang w:eastAsia="ja-JP"/>
              </w:rPr>
            </w:pPr>
            <w:r w:rsidRPr="006F1817">
              <w:rPr>
                <w:rFonts w:ascii="Arial" w:hAnsi="Arial" w:cs="Arial"/>
                <w:color w:val="000000"/>
                <w:sz w:val="18"/>
                <w:szCs w:val="18"/>
                <w:shd w:val="clear" w:color="auto" w:fill="FFFFFF"/>
                <w:lang w:eastAsia="ja-JP"/>
              </w:rPr>
              <w:t xml:space="preserve">Net interest income of the banking business as a percentage of interest-earning assets of the banking business. </w:t>
            </w:r>
          </w:p>
        </w:tc>
        <w:tc>
          <w:tcPr>
            <w:tcW w:w="212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871C10" w:rsidRPr="006F1817" w:rsidRDefault="00FC1FDC" w:rsidP="00C32350">
            <w:pPr>
              <w:pStyle w:val="Normal00"/>
              <w:rPr>
                <w:rFonts w:ascii="Arial" w:hAnsi="Arial" w:cs="Arial"/>
                <w:sz w:val="18"/>
                <w:szCs w:val="18"/>
                <w:lang w:eastAsia="en-US"/>
              </w:rPr>
            </w:pPr>
            <w:r>
              <w:rPr>
                <w:rFonts w:ascii="Arial" w:hAnsi="Arial" w:cs="Arial"/>
                <w:sz w:val="18"/>
                <w:szCs w:val="18"/>
                <w:lang w:eastAsia="en-US"/>
              </w:rPr>
              <w:t>Page 3</w:t>
            </w:r>
          </w:p>
        </w:tc>
      </w:tr>
      <w:tr w:rsidR="0064628A" w:rsidTr="003E1270">
        <w:trPr>
          <w:trHeight w:val="229"/>
        </w:trPr>
        <w:tc>
          <w:tcPr>
            <w:tcW w:w="1724"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rsidR="00087AF1" w:rsidRPr="006F1817" w:rsidRDefault="00FC1FDC" w:rsidP="003E1270">
            <w:pPr>
              <w:pStyle w:val="Normal00"/>
              <w:rPr>
                <w:rFonts w:ascii="Arial" w:hAnsi="Arial" w:cs="Arial"/>
                <w:bCs/>
                <w:color w:val="0A2F64"/>
                <w:sz w:val="18"/>
                <w:szCs w:val="18"/>
                <w:lang w:eastAsia="en-US"/>
              </w:rPr>
            </w:pPr>
            <w:r w:rsidRPr="006F1817">
              <w:rPr>
                <w:rFonts w:ascii="Arial" w:hAnsi="Arial" w:cs="Arial"/>
                <w:bCs/>
                <w:color w:val="0A2F64"/>
                <w:sz w:val="18"/>
                <w:szCs w:val="18"/>
                <w:lang w:eastAsia="en-US"/>
              </w:rPr>
              <w:t>Funded assets</w:t>
            </w:r>
          </w:p>
        </w:tc>
        <w:tc>
          <w:tcPr>
            <w:tcW w:w="8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87AF1" w:rsidRPr="006F1817" w:rsidRDefault="00FC1FDC" w:rsidP="003E1270">
            <w:pPr>
              <w:pStyle w:val="Normal00"/>
              <w:rPr>
                <w:rFonts w:ascii="Arial" w:hAnsi="Arial" w:cs="Arial"/>
                <w:sz w:val="18"/>
                <w:szCs w:val="18"/>
                <w:lang w:eastAsia="en-US"/>
              </w:rPr>
            </w:pPr>
            <w:r w:rsidRPr="006F1817">
              <w:rPr>
                <w:rFonts w:ascii="Arial" w:hAnsi="Arial" w:cs="Arial"/>
                <w:sz w:val="18"/>
                <w:szCs w:val="18"/>
                <w:lang w:eastAsia="ja-JP"/>
              </w:rPr>
              <w:t>Total assets less derivatives.</w:t>
            </w:r>
          </w:p>
        </w:tc>
        <w:tc>
          <w:tcPr>
            <w:tcW w:w="2126" w:type="dxa"/>
            <w:tcBorders>
              <w:top w:val="single" w:sz="4" w:space="0" w:color="auto"/>
              <w:left w:val="single" w:sz="4" w:space="0" w:color="auto"/>
              <w:bottom w:val="single" w:sz="4" w:space="0" w:color="auto"/>
              <w:right w:val="nil"/>
            </w:tcBorders>
            <w:tcMar>
              <w:top w:w="0" w:type="dxa"/>
              <w:left w:w="108" w:type="dxa"/>
              <w:bottom w:w="0" w:type="dxa"/>
              <w:right w:w="108" w:type="dxa"/>
            </w:tcMar>
            <w:hideMark/>
          </w:tcPr>
          <w:p w:rsidR="00087AF1" w:rsidRDefault="00FC1FDC" w:rsidP="0032023E">
            <w:r w:rsidRPr="00EC0FC8">
              <w:rPr>
                <w:rFonts w:cs="Arial"/>
                <w:sz w:val="18"/>
                <w:szCs w:val="18"/>
              </w:rPr>
              <w:t>Pages 1</w:t>
            </w:r>
            <w:r>
              <w:rPr>
                <w:rFonts w:cs="Arial"/>
                <w:sz w:val="18"/>
                <w:szCs w:val="18"/>
              </w:rPr>
              <w:t>7</w:t>
            </w:r>
            <w:r w:rsidRPr="00EC0FC8">
              <w:rPr>
                <w:rFonts w:cs="Arial"/>
                <w:sz w:val="18"/>
                <w:szCs w:val="18"/>
              </w:rPr>
              <w:t xml:space="preserve"> to 2</w:t>
            </w:r>
            <w:r>
              <w:rPr>
                <w:rFonts w:cs="Arial"/>
                <w:sz w:val="18"/>
                <w:szCs w:val="18"/>
              </w:rPr>
              <w:t>1</w:t>
            </w:r>
          </w:p>
        </w:tc>
      </w:tr>
      <w:tr w:rsidR="0064628A" w:rsidTr="00087AF1">
        <w:tc>
          <w:tcPr>
            <w:tcW w:w="1624" w:type="dxa"/>
            <w:tcBorders>
              <w:top w:val="single" w:sz="4" w:space="0" w:color="auto"/>
              <w:left w:val="nil"/>
              <w:bottom w:val="nil"/>
              <w:right w:val="single" w:sz="4" w:space="0" w:color="auto"/>
            </w:tcBorders>
            <w:tcMar>
              <w:top w:w="0" w:type="dxa"/>
              <w:left w:w="108" w:type="dxa"/>
              <w:bottom w:w="0" w:type="dxa"/>
              <w:right w:w="108" w:type="dxa"/>
            </w:tcMar>
            <w:hideMark/>
          </w:tcPr>
          <w:p w:rsidR="00087AF1" w:rsidRPr="006F1817" w:rsidRDefault="00FC1FDC" w:rsidP="003E1270">
            <w:pPr>
              <w:pStyle w:val="Normal00"/>
              <w:rPr>
                <w:rFonts w:ascii="Arial" w:hAnsi="Arial" w:cs="Arial"/>
                <w:bCs/>
                <w:color w:val="0A2F64"/>
                <w:sz w:val="18"/>
                <w:szCs w:val="18"/>
                <w:lang w:eastAsia="en-US"/>
              </w:rPr>
            </w:pPr>
            <w:r w:rsidRPr="006F1817">
              <w:rPr>
                <w:rFonts w:ascii="Arial" w:hAnsi="Arial" w:cs="Arial"/>
                <w:bCs/>
                <w:color w:val="0A2F64"/>
                <w:sz w:val="18"/>
                <w:szCs w:val="18"/>
                <w:lang w:eastAsia="en-US"/>
              </w:rPr>
              <w:t>ECL loss rate</w:t>
            </w:r>
          </w:p>
        </w:tc>
        <w:tc>
          <w:tcPr>
            <w:tcW w:w="6636" w:type="dxa"/>
            <w:tcBorders>
              <w:top w:val="single" w:sz="4" w:space="0" w:color="auto"/>
              <w:left w:val="single" w:sz="4" w:space="0" w:color="auto"/>
              <w:bottom w:val="nil"/>
              <w:right w:val="single" w:sz="4" w:space="0" w:color="auto"/>
            </w:tcBorders>
            <w:tcMar>
              <w:top w:w="0" w:type="dxa"/>
              <w:left w:w="108" w:type="dxa"/>
              <w:bottom w:w="0" w:type="dxa"/>
              <w:right w:w="108" w:type="dxa"/>
            </w:tcMar>
            <w:hideMark/>
          </w:tcPr>
          <w:p w:rsidR="00087AF1" w:rsidRPr="006F1817" w:rsidRDefault="00FC1FDC" w:rsidP="003E1270">
            <w:pPr>
              <w:pStyle w:val="Normal00"/>
              <w:rPr>
                <w:rFonts w:ascii="Arial" w:hAnsi="Arial" w:cs="Arial"/>
                <w:sz w:val="18"/>
                <w:szCs w:val="18"/>
                <w:lang w:eastAsia="en-US"/>
              </w:rPr>
            </w:pPr>
            <w:r w:rsidRPr="006F1817">
              <w:rPr>
                <w:rFonts w:ascii="Arial" w:hAnsi="Arial" w:cs="Arial"/>
                <w:sz w:val="18"/>
                <w:szCs w:val="18"/>
                <w:lang w:eastAsia="en-US"/>
              </w:rPr>
              <w:t>The annualised loan impairment charge divided by gross customer loans.</w:t>
            </w:r>
          </w:p>
        </w:tc>
        <w:tc>
          <w:tcPr>
            <w:tcW w:w="1946" w:type="dxa"/>
            <w:tcBorders>
              <w:top w:val="single" w:sz="4" w:space="0" w:color="auto"/>
              <w:left w:val="single" w:sz="4" w:space="0" w:color="auto"/>
              <w:bottom w:val="nil"/>
              <w:right w:val="nil"/>
            </w:tcBorders>
            <w:tcMar>
              <w:top w:w="0" w:type="dxa"/>
              <w:left w:w="108" w:type="dxa"/>
              <w:bottom w:w="0" w:type="dxa"/>
              <w:right w:w="108" w:type="dxa"/>
            </w:tcMar>
            <w:hideMark/>
          </w:tcPr>
          <w:p w:rsidR="00087AF1" w:rsidRDefault="00FC1FDC" w:rsidP="0032023E">
            <w:r w:rsidRPr="00EC0FC8">
              <w:rPr>
                <w:rFonts w:cs="Arial"/>
                <w:sz w:val="18"/>
                <w:szCs w:val="18"/>
              </w:rPr>
              <w:t xml:space="preserve">Pages </w:t>
            </w:r>
            <w:r>
              <w:rPr>
                <w:rFonts w:cs="Arial"/>
                <w:sz w:val="18"/>
                <w:szCs w:val="18"/>
              </w:rPr>
              <w:t>17 to 21</w:t>
            </w:r>
          </w:p>
        </w:tc>
      </w:tr>
    </w:tbl>
    <w:p w:rsidR="00871C10" w:rsidRPr="006F1817" w:rsidRDefault="00871C10" w:rsidP="00871C10">
      <w:pPr>
        <w:pStyle w:val="Heading100"/>
        <w:pBdr>
          <w:bottom w:val="none" w:sz="0" w:space="0" w:color="auto"/>
        </w:pBdr>
        <w:rPr>
          <w:rFonts w:cs="Arial"/>
          <w:b/>
          <w:color w:val="0A2F64"/>
          <w:sz w:val="18"/>
          <w:szCs w:val="18"/>
        </w:rPr>
      </w:pPr>
    </w:p>
    <w:p w:rsidR="00871C10" w:rsidRPr="006F1817" w:rsidRDefault="00FC1FDC" w:rsidP="00871C10">
      <w:pPr>
        <w:pStyle w:val="Heading100"/>
        <w:pBdr>
          <w:bottom w:val="none" w:sz="0" w:space="0" w:color="auto"/>
        </w:pBdr>
        <w:rPr>
          <w:rFonts w:cs="Arial"/>
          <w:color w:val="auto"/>
          <w:sz w:val="14"/>
          <w:szCs w:val="14"/>
        </w:rPr>
      </w:pPr>
      <w:r w:rsidRPr="006F1817">
        <w:rPr>
          <w:rFonts w:cs="Arial"/>
          <w:color w:val="auto"/>
          <w:sz w:val="14"/>
          <w:szCs w:val="14"/>
        </w:rPr>
        <w:t>Note:</w:t>
      </w:r>
    </w:p>
    <w:tbl>
      <w:tblPr>
        <w:tblStyle w:val="TableGrid"/>
        <w:tblW w:w="104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10065"/>
      </w:tblGrid>
      <w:tr w:rsidR="0064628A" w:rsidTr="005117B9">
        <w:tc>
          <w:tcPr>
            <w:tcW w:w="392" w:type="dxa"/>
          </w:tcPr>
          <w:p w:rsidR="006F1817" w:rsidRPr="006F1817" w:rsidRDefault="00FC1FDC" w:rsidP="006F1817">
            <w:pPr>
              <w:rPr>
                <w:sz w:val="14"/>
                <w:szCs w:val="14"/>
                <w:lang w:eastAsia="ja-JP"/>
              </w:rPr>
            </w:pPr>
            <w:r w:rsidRPr="006F1817">
              <w:rPr>
                <w:sz w:val="14"/>
                <w:szCs w:val="14"/>
                <w:lang w:eastAsia="ja-JP"/>
              </w:rPr>
              <w:t>(1)</w:t>
            </w:r>
          </w:p>
        </w:tc>
        <w:tc>
          <w:tcPr>
            <w:tcW w:w="10065" w:type="dxa"/>
          </w:tcPr>
          <w:p w:rsidR="006F1817" w:rsidRPr="006F1817" w:rsidRDefault="00FC1FDC" w:rsidP="006F1817">
            <w:pPr>
              <w:pStyle w:val="Heading100"/>
              <w:pBdr>
                <w:bottom w:val="none" w:sz="0" w:space="0" w:color="auto"/>
              </w:pBdr>
              <w:rPr>
                <w:rFonts w:cs="Arial"/>
                <w:color w:val="auto"/>
                <w:sz w:val="14"/>
                <w:szCs w:val="14"/>
              </w:rPr>
            </w:pPr>
            <w:r w:rsidRPr="006F1817">
              <w:rPr>
                <w:rFonts w:cs="Arial"/>
                <w:color w:val="auto"/>
                <w:sz w:val="14"/>
                <w:szCs w:val="14"/>
              </w:rPr>
              <w:t xml:space="preserve">Metric based on GAAP measures, included as not defined under IFRS and reported for compliance with ESMA adjusted performance measure rules. </w:t>
            </w:r>
          </w:p>
        </w:tc>
      </w:tr>
    </w:tbl>
    <w:p w:rsidR="001758B9" w:rsidRDefault="001758B9" w:rsidP="00974198">
      <w:pPr>
        <w:pStyle w:val="Heading100"/>
        <w:pBdr>
          <w:bottom w:val="none" w:sz="0" w:space="0" w:color="auto"/>
        </w:pBdr>
        <w:rPr>
          <w:rFonts w:cs="Arial"/>
          <w:b/>
          <w:color w:val="0A2F64"/>
          <w:sz w:val="18"/>
          <w:szCs w:val="18"/>
        </w:rPr>
      </w:pPr>
    </w:p>
    <w:p w:rsidR="001758B9" w:rsidRDefault="00FC1FDC" w:rsidP="001758B9">
      <w:pPr>
        <w:rPr>
          <w:rFonts w:eastAsia="Times New Roman" w:cs="Arial"/>
          <w:szCs w:val="16"/>
          <w:lang w:eastAsia="ja-JP"/>
        </w:rPr>
      </w:pPr>
      <w:r>
        <w:rPr>
          <w:rFonts w:eastAsia="Times New Roman" w:cs="Arial"/>
          <w:szCs w:val="16"/>
          <w:lang w:eastAsia="ja-JP"/>
        </w:rPr>
        <w:t>In Q1 2019,  RBS introduced a new adjusted performance metric, Bank NIM, which is calculated as RBS net interest income and interest-earning assets less NWM net interest income and interest-earning assets. Bank NIM is believed by management to more accurately reflect the performance of the business as net interest income is not considered a main income stream for the NWM segment.</w:t>
      </w:r>
    </w:p>
    <w:p w:rsidR="004D7DEF" w:rsidRPr="006F1817" w:rsidRDefault="00FC1FDC" w:rsidP="00974198">
      <w:pPr>
        <w:pStyle w:val="Heading100"/>
        <w:pBdr>
          <w:bottom w:val="none" w:sz="0" w:space="0" w:color="auto"/>
        </w:pBdr>
        <w:rPr>
          <w:rFonts w:cs="Arial"/>
          <w:b/>
          <w:color w:val="0A2F64"/>
          <w:sz w:val="18"/>
          <w:szCs w:val="18"/>
        </w:rPr>
      </w:pPr>
      <w:r w:rsidRPr="006F1817">
        <w:rPr>
          <w:rFonts w:cs="Arial"/>
          <w:b/>
          <w:color w:val="0A2F64"/>
          <w:sz w:val="18"/>
          <w:szCs w:val="18"/>
        </w:rPr>
        <w:br w:type="page"/>
      </w:r>
    </w:p>
    <w:p w:rsidR="006F1817" w:rsidRPr="006F1817" w:rsidRDefault="00FC1FDC" w:rsidP="006F1817">
      <w:pPr>
        <w:pStyle w:val="Header"/>
        <w:rPr>
          <w:b/>
          <w:color w:val="0A2F64"/>
          <w:sz w:val="18"/>
          <w:szCs w:val="18"/>
        </w:rPr>
      </w:pPr>
      <w:r>
        <w:rPr>
          <w:b/>
          <w:color w:val="0A2F64"/>
          <w:sz w:val="18"/>
          <w:szCs w:val="18"/>
        </w:rPr>
        <w:t>Appendix – Non–</w:t>
      </w:r>
      <w:r w:rsidRPr="006F1817">
        <w:rPr>
          <w:b/>
          <w:color w:val="0A2F64"/>
          <w:sz w:val="18"/>
          <w:szCs w:val="18"/>
        </w:rPr>
        <w:t>IFRS financial measures</w:t>
      </w:r>
    </w:p>
    <w:p w:rsidR="00871C10" w:rsidRPr="006F1817" w:rsidRDefault="00FC1FDC" w:rsidP="00974198">
      <w:pPr>
        <w:pStyle w:val="Heading100"/>
        <w:pBdr>
          <w:bottom w:val="none" w:sz="0" w:space="0" w:color="auto"/>
        </w:pBdr>
        <w:rPr>
          <w:rFonts w:cs="Arial"/>
          <w:color w:val="0A2F64"/>
          <w:sz w:val="18"/>
          <w:szCs w:val="18"/>
        </w:rPr>
      </w:pPr>
      <w:r w:rsidRPr="006F1817">
        <w:rPr>
          <w:rFonts w:cs="Arial"/>
          <w:color w:val="0A2F64"/>
          <w:sz w:val="18"/>
          <w:szCs w:val="18"/>
        </w:rPr>
        <w:t xml:space="preserve">I. Return on tangible equity </w:t>
      </w:r>
    </w:p>
    <w:p w:rsidR="004D7DEF" w:rsidRDefault="004D7DEF" w:rsidP="007E5DFC">
      <w:pPr>
        <w:rPr>
          <w:lang w:eastAsia="ja-JP"/>
        </w:rPr>
      </w:pPr>
    </w:p>
    <w:sdt>
      <w:sdtPr>
        <w:tag w:val="&lt;ReportPackage&gt;&lt;EmbeddedContent id=&quot;f00fc40b-ca76-461f-a403-1ee14b767e34&quot; lastModified=&quot;1581589596873&quot;/&gt;&lt;/ReportPackage&gt;"/>
        <w:id w:val="1487821863"/>
        <w:lock w:val="contentLocked"/>
        <w:placeholder>
          <w:docPart w:val="9E4459BD3E7B4A82ADDBF3734011FD7B"/>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4475"/>
            <w:gridCol w:w="1184"/>
            <w:gridCol w:w="1034"/>
            <w:gridCol w:w="60"/>
            <w:gridCol w:w="1184"/>
            <w:gridCol w:w="1109"/>
            <w:gridCol w:w="1034"/>
          </w:tblGrid>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12"/>
                    <w:szCs w:val="12"/>
                  </w:rPr>
                </w:pPr>
              </w:p>
            </w:tc>
            <w:tc>
              <w:tcPr>
                <w:tcW w:w="2220" w:type="dxa"/>
                <w:gridSpan w:val="2"/>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2060"/>
                    <w:szCs w:val="16"/>
                  </w:rPr>
                </w:pPr>
                <w:r>
                  <w:rPr>
                    <w:rFonts w:eastAsia="Arial" w:cs="Arial"/>
                    <w:b/>
                    <w:bCs/>
                    <w:color w:val="002060"/>
                    <w:szCs w:val="16"/>
                  </w:rPr>
                  <w:t>Year ended or as at</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color w:val="000000"/>
                    <w:szCs w:val="16"/>
                  </w:rPr>
                </w:pPr>
              </w:p>
            </w:tc>
            <w:tc>
              <w:tcPr>
                <w:tcW w:w="3330" w:type="dxa"/>
                <w:gridSpan w:val="3"/>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2060"/>
                    <w:szCs w:val="16"/>
                  </w:rPr>
                </w:pPr>
                <w:r>
                  <w:rPr>
                    <w:rFonts w:eastAsia="Arial" w:cs="Arial"/>
                    <w:b/>
                    <w:bCs/>
                    <w:color w:val="002060"/>
                    <w:szCs w:val="16"/>
                  </w:rPr>
                  <w:t>Quarter ended or as at</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12"/>
                    <w:szCs w:val="12"/>
                  </w:rPr>
                </w:pPr>
              </w:p>
            </w:tc>
            <w:tc>
              <w:tcPr>
                <w:tcW w:w="118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31 December</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31 December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Cs w:val="16"/>
                  </w:rPr>
                </w:pPr>
              </w:p>
            </w:tc>
            <w:tc>
              <w:tcPr>
                <w:tcW w:w="118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30 September</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31 December</w:t>
                </w:r>
              </w:p>
            </w:tc>
          </w:tr>
          <w:tr w:rsidR="0064628A">
            <w:trPr>
              <w:trHeight w:val="195"/>
            </w:trPr>
            <w:tc>
              <w:tcPr>
                <w:tcW w:w="44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 xml:space="preserve">RBS return on tangible equity </w:t>
                </w:r>
              </w:p>
            </w:tc>
            <w:tc>
              <w:tcPr>
                <w:tcW w:w="1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2019 </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2018 </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2060"/>
                    <w:szCs w:val="16"/>
                  </w:rPr>
                </w:pPr>
              </w:p>
            </w:tc>
            <w:tc>
              <w:tcPr>
                <w:tcW w:w="1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2019 </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2019 </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2018 </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Profit/(loss) attributable to ordinary shareholders (£m)</w:t>
                </w:r>
              </w:p>
            </w:tc>
            <w:tc>
              <w:tcPr>
                <w:tcW w:w="118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3,133</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1,622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8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1,410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(315)</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286</w:t>
                </w:r>
              </w:p>
            </w:tc>
          </w:tr>
          <w:tr w:rsidR="0064628A">
            <w:trPr>
              <w:trHeight w:val="195"/>
            </w:trPr>
            <w:tc>
              <w:tcPr>
                <w:tcW w:w="44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Annualised profit/(loss) attributable to ordinary shareholders (£m)</w:t>
                </w:r>
              </w:p>
            </w:tc>
            <w:tc>
              <w:tcPr>
                <w:tcW w:w="1185" w:type="dxa"/>
                <w:tcBorders>
                  <w:bottom w:val="single" w:sz="6" w:space="0" w:color="002060"/>
                </w:tcBorders>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85" w:type="dxa"/>
                <w:tcBorders>
                  <w:bottom w:val="single" w:sz="6" w:space="0" w:color="002060"/>
                </w:tcBorders>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5,640</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(1,260)</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1,144</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Adjustment for PPI provision for Q3 2019 (£m)</w:t>
                </w:r>
              </w:p>
            </w:tc>
            <w:tc>
              <w:tcPr>
                <w:tcW w:w="1185" w:type="dxa"/>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85" w:type="dxa"/>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900</w:t>
                </w: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Adjustment for FX recycling gains (£m)</w:t>
                </w:r>
              </w:p>
            </w:tc>
            <w:tc>
              <w:tcPr>
                <w:tcW w:w="118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(1,572)</w:t>
                </w: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85" w:type="dxa"/>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profit attributable to ordinary shareholders (£m)</w:t>
                </w:r>
              </w:p>
            </w:tc>
            <w:tc>
              <w:tcPr>
                <w:tcW w:w="118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1,561</w:t>
                </w: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85" w:type="dxa"/>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585</w:t>
                </w: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Annualised adjusted profit attributable to ordinary </w:t>
                </w:r>
              </w:p>
            </w:tc>
            <w:tc>
              <w:tcPr>
                <w:tcW w:w="1185" w:type="dxa"/>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85" w:type="dxa"/>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ascii="Times New Roman" w:eastAsia="Times New Roman" w:hAnsi="Times New Roman" w:cs="Times New Roman"/>
                    <w:color w:val="000000"/>
                    <w:szCs w:val="16"/>
                  </w:rPr>
                  <w:t xml:space="preserve">  </w:t>
                </w:r>
                <w:r>
                  <w:rPr>
                    <w:rFonts w:eastAsia="Arial" w:cs="Arial"/>
                    <w:color w:val="000000"/>
                    <w:szCs w:val="16"/>
                  </w:rPr>
                  <w:t>shareholders (£m)</w:t>
                </w:r>
              </w:p>
            </w:tc>
            <w:tc>
              <w:tcPr>
                <w:tcW w:w="1185" w:type="dxa"/>
                <w:tcBorders>
                  <w:bottom w:val="single" w:sz="6" w:space="0" w:color="002060"/>
                </w:tcBorders>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85" w:type="dxa"/>
                <w:tcBorders>
                  <w:bottom w:val="single" w:sz="6" w:space="0" w:color="002060"/>
                </w:tcBorders>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2,340</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Average total equity (£m)</w:t>
                </w:r>
              </w:p>
            </w:tc>
            <w:tc>
              <w:tcPr>
                <w:tcW w:w="118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45,160</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48,483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8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43,860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45,579</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47,667</w:t>
                </w:r>
              </w:p>
            </w:tc>
          </w:tr>
          <w:tr w:rsidR="0064628A">
            <w:trPr>
              <w:trHeight w:val="195"/>
            </w:trPr>
            <w:tc>
              <w:tcPr>
                <w:tcW w:w="44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Adjustment for other owners equity and intangibles (£m)</w:t>
                </w:r>
              </w:p>
            </w:tc>
            <w:tc>
              <w:tcPr>
                <w:tcW w:w="1185" w:type="dxa"/>
                <w:tcBorders>
                  <w:bottom w:val="single" w:sz="6" w:space="0" w:color="002060"/>
                </w:tcBorders>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(11,960)</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(14,997)</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85" w:type="dxa"/>
                <w:tcBorders>
                  <w:bottom w:val="single" w:sz="6" w:space="0" w:color="002060"/>
                </w:tcBorders>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(11,952)</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(12,226)</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(14,765)</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total tangible equity (£m)</w:t>
                </w:r>
              </w:p>
            </w:tc>
            <w:tc>
              <w:tcPr>
                <w:tcW w:w="118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33,200</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33,486</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8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31,908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33,353</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32,902</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Return on tangible equity (%)</w:t>
                </w:r>
              </w:p>
            </w:tc>
            <w:tc>
              <w:tcPr>
                <w:tcW w:w="118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9.4%</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85"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Return on tangible equity adjusting for impact of:</w:t>
                </w:r>
              </w:p>
            </w:tc>
            <w:tc>
              <w:tcPr>
                <w:tcW w:w="1185" w:type="dxa"/>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85" w:type="dxa"/>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 PPI provision</w:t>
                </w:r>
                <w:r>
                  <w:rPr>
                    <w:rFonts w:ascii="Times New Roman" w:eastAsia="Times New Roman" w:hAnsi="Times New Roman" w:cs="Times New Roman"/>
                    <w:color w:val="000000"/>
                    <w:szCs w:val="16"/>
                  </w:rPr>
                  <w:t xml:space="preserve">  </w:t>
                </w:r>
                <w:r>
                  <w:rPr>
                    <w:rFonts w:eastAsia="Arial" w:cs="Arial"/>
                    <w:color w:val="000000"/>
                    <w:szCs w:val="16"/>
                  </w:rPr>
                  <w:t>(%)</w:t>
                </w:r>
              </w:p>
            </w:tc>
            <w:tc>
              <w:tcPr>
                <w:tcW w:w="1185" w:type="dxa"/>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85" w:type="dxa"/>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7.0%</w:t>
                </w: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44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 FX recycling gains (%)</w:t>
                </w:r>
              </w:p>
            </w:tc>
            <w:tc>
              <w:tcPr>
                <w:tcW w:w="1185" w:type="dxa"/>
                <w:tcBorders>
                  <w:bottom w:val="single" w:sz="6" w:space="0" w:color="002060"/>
                </w:tcBorders>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4.7%</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85" w:type="dxa"/>
                <w:tcBorders>
                  <w:bottom w:val="single" w:sz="6" w:space="0" w:color="002060"/>
                </w:tcBorders>
                <w:shd w:val="clear" w:color="auto" w:fill="BFBFB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47542A">
                <w:pPr>
                  <w:spacing w:line="240" w:lineRule="auto"/>
                  <w:contextualSpacing/>
                  <w:jc w:val="right"/>
                  <w:rPr>
                    <w:rFonts w:eastAsia="Arial" w:cs="Arial"/>
                    <w:color w:val="000000"/>
                    <w:szCs w:val="16"/>
                  </w:rPr>
                </w:pPr>
              </w:p>
            </w:tc>
          </w:tr>
        </w:tbl>
      </w:sdtContent>
    </w:sdt>
    <w:p w:rsidR="0052387C" w:rsidRDefault="0052387C" w:rsidP="007E5DFC">
      <w:pPr>
        <w:rPr>
          <w:lang w:eastAsia="ja-JP"/>
        </w:rPr>
      </w:pPr>
    </w:p>
    <w:sdt>
      <w:sdtPr>
        <w:tag w:val="&lt;ReportPackage&gt;&lt;EmbeddedContent id=&quot;90ff7bb8-e390-4df3-a1c8-d2d52e0f7081&quot; lastModified=&quot;1581639495653&quot;/&gt;&lt;/ReportPackage&gt;"/>
        <w:id w:val="284371452"/>
        <w:lock w:val="contentLocked"/>
        <w:placeholder>
          <w:docPart w:val="5F043A7946DF436A90CD97B6FDBC4E84"/>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3735"/>
            <w:gridCol w:w="1110"/>
            <w:gridCol w:w="1035"/>
            <w:gridCol w:w="60"/>
            <w:gridCol w:w="1110"/>
            <w:gridCol w:w="960"/>
            <w:gridCol w:w="1110"/>
            <w:gridCol w:w="960"/>
          </w:tblGrid>
          <w:tr w:rsidR="0064628A">
            <w:trPr>
              <w:trHeight w:val="195"/>
            </w:trPr>
            <w:tc>
              <w:tcPr>
                <w:tcW w:w="37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UK</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Ulster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2060"/>
                    <w:szCs w:val="16"/>
                  </w:rPr>
                </w:pPr>
              </w:p>
            </w:tc>
            <w:tc>
              <w:tcPr>
                <w:tcW w:w="9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206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c>
              <w:tcPr>
                <w:tcW w:w="9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r>
          <w:tr w:rsidR="0064628A">
            <w:trPr>
              <w:trHeight w:val="195"/>
            </w:trPr>
            <w:tc>
              <w:tcPr>
                <w:tcW w:w="37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Personal</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 Bank</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Commercial</w:t>
                </w:r>
              </w:p>
            </w:tc>
            <w:tc>
              <w:tcPr>
                <w:tcW w:w="96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Private</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RBS</w:t>
                </w:r>
              </w:p>
            </w:tc>
            <w:tc>
              <w:tcPr>
                <w:tcW w:w="96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NatWest</w:t>
                </w:r>
              </w:p>
            </w:tc>
          </w:tr>
          <w:tr w:rsidR="0064628A">
            <w:trPr>
              <w:trHeight w:val="195"/>
            </w:trPr>
            <w:tc>
              <w:tcPr>
                <w:tcW w:w="3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Year ended 31 December 2019</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Banking</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RoI</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Banking</w:t>
                </w:r>
              </w:p>
            </w:tc>
            <w:tc>
              <w:tcPr>
                <w:tcW w:w="96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Banking</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International</w:t>
                </w:r>
              </w:p>
            </w:tc>
            <w:tc>
              <w:tcPr>
                <w:tcW w:w="96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Markets</w:t>
                </w:r>
              </w:p>
            </w:tc>
          </w:tr>
          <w:tr w:rsidR="0064628A">
            <w:trPr>
              <w:trHeight w:val="195"/>
            </w:trPr>
            <w:tc>
              <w:tcPr>
                <w:tcW w:w="37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profit (£m)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855</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49</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1,327</w:t>
                </w:r>
              </w:p>
            </w:tc>
            <w:tc>
              <w:tcPr>
                <w:tcW w:w="9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297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344</w:t>
                </w:r>
              </w:p>
            </w:tc>
            <w:tc>
              <w:tcPr>
                <w:tcW w:w="9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w:t>
                </w:r>
              </w:p>
            </w:tc>
          </w:tr>
          <w:tr w:rsidR="0064628A">
            <w:trPr>
              <w:trHeight w:val="195"/>
            </w:trPr>
            <w:tc>
              <w:tcPr>
                <w:tcW w:w="37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Adjustment for tax</w:t>
                </w:r>
                <w:r>
                  <w:rPr>
                    <w:rFonts w:ascii="Times New Roman" w:eastAsia="Times New Roman" w:hAnsi="Times New Roman" w:cs="Times New Roman"/>
                    <w:color w:val="000000"/>
                    <w:szCs w:val="16"/>
                  </w:rPr>
                  <w:t xml:space="preserve">  </w:t>
                </w:r>
                <w:r>
                  <w:rPr>
                    <w:rFonts w:eastAsia="Arial" w:cs="Arial"/>
                    <w:color w:val="000000"/>
                    <w:szCs w:val="16"/>
                  </w:rPr>
                  <w:t>(£m)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(236)</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(372)</w:t>
                </w:r>
              </w:p>
            </w:tc>
            <w:tc>
              <w:tcPr>
                <w:tcW w:w="9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(48)</w:t>
                </w:r>
              </w:p>
            </w:tc>
            <w:tc>
              <w:tcPr>
                <w:tcW w:w="9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w:t>
                </w:r>
              </w:p>
            </w:tc>
          </w:tr>
          <w:tr w:rsidR="0064628A">
            <w:trPr>
              <w:trHeight w:val="195"/>
            </w:trPr>
            <w:tc>
              <w:tcPr>
                <w:tcW w:w="3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Preference share cost allocation (£m)</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(74)</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60" w:type="dxa"/>
                <w:tcBorders>
                  <w:bottom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(163)</w:t>
                </w:r>
              </w:p>
            </w:tc>
            <w:tc>
              <w:tcPr>
                <w:tcW w:w="9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w:t>
                </w:r>
              </w:p>
            </w:tc>
            <w:tc>
              <w:tcPr>
                <w:tcW w:w="9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(64)</w:t>
                </w:r>
              </w:p>
            </w:tc>
          </w:tr>
          <w:tr w:rsidR="0064628A">
            <w:trPr>
              <w:trHeight w:val="195"/>
            </w:trPr>
            <w:tc>
              <w:tcPr>
                <w:tcW w:w="37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attributable profit (£m)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545</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49</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792</w:t>
                </w:r>
              </w:p>
            </w:tc>
            <w:tc>
              <w:tcPr>
                <w:tcW w:w="9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285</w:t>
                </w:r>
              </w:p>
            </w:tc>
            <w:tc>
              <w:tcPr>
                <w:tcW w:w="9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(82)</w:t>
                </w:r>
              </w:p>
            </w:tc>
          </w:tr>
          <w:tr w:rsidR="0064628A">
            <w:trPr>
              <w:trHeight w:val="195"/>
            </w:trPr>
            <w:tc>
              <w:tcPr>
                <w:tcW w:w="37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Adjustment for Alawwal bank merger gain (£m)</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9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9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(150)</w:t>
                </w:r>
              </w:p>
            </w:tc>
          </w:tr>
          <w:tr w:rsidR="0064628A">
            <w:trPr>
              <w:trHeight w:val="195"/>
            </w:trPr>
            <w:tc>
              <w:tcPr>
                <w:tcW w:w="3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attributable profit/(loss) (£m)</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545</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49</w:t>
                </w:r>
              </w:p>
            </w:tc>
            <w:tc>
              <w:tcPr>
                <w:tcW w:w="60" w:type="dxa"/>
                <w:tcBorders>
                  <w:bottom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792</w:t>
                </w:r>
              </w:p>
            </w:tc>
            <w:tc>
              <w:tcPr>
                <w:tcW w:w="9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196</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285</w:t>
                </w:r>
              </w:p>
            </w:tc>
            <w:tc>
              <w:tcPr>
                <w:tcW w:w="9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(232)</w:t>
                </w:r>
              </w:p>
            </w:tc>
          </w:tr>
          <w:tr w:rsidR="0064628A">
            <w:trPr>
              <w:trHeight w:val="195"/>
            </w:trPr>
            <w:tc>
              <w:tcPr>
                <w:tcW w:w="37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Average RWAe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37.7</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14.0</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78.2</w:t>
                </w:r>
              </w:p>
            </w:tc>
            <w:tc>
              <w:tcPr>
                <w:tcW w:w="9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9.8</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6.9</w:t>
                </w:r>
              </w:p>
            </w:tc>
            <w:tc>
              <w:tcPr>
                <w:tcW w:w="9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48.0</w:t>
                </w:r>
              </w:p>
            </w:tc>
          </w:tr>
          <w:tr w:rsidR="0064628A">
            <w:trPr>
              <w:trHeight w:val="195"/>
            </w:trPr>
            <w:tc>
              <w:tcPr>
                <w:tcW w:w="3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Equity factor</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15.0%</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15.0%</w:t>
                </w:r>
              </w:p>
            </w:tc>
            <w:tc>
              <w:tcPr>
                <w:tcW w:w="60" w:type="dxa"/>
                <w:tcBorders>
                  <w:bottom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12.0%</w:t>
                </w:r>
              </w:p>
            </w:tc>
            <w:tc>
              <w:tcPr>
                <w:tcW w:w="9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13.0%</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16.0%</w:t>
                </w:r>
              </w:p>
            </w:tc>
            <w:tc>
              <w:tcPr>
                <w:tcW w:w="9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15.0%</w:t>
                </w:r>
              </w:p>
            </w:tc>
          </w:tr>
          <w:tr w:rsidR="0064628A">
            <w:trPr>
              <w:trHeight w:val="195"/>
            </w:trPr>
            <w:tc>
              <w:tcPr>
                <w:tcW w:w="37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RWAe applying equity factor (£bn)</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5.7</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2.1</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9.4</w:t>
                </w:r>
              </w:p>
            </w:tc>
            <w:tc>
              <w:tcPr>
                <w:tcW w:w="9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w:t>
                </w:r>
              </w:p>
            </w:tc>
            <w:tc>
              <w:tcPr>
                <w:tcW w:w="9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7.2</w:t>
                </w:r>
              </w:p>
            </w:tc>
          </w:tr>
          <w:tr w:rsidR="0064628A">
            <w:trPr>
              <w:trHeight w:val="195"/>
            </w:trPr>
            <w:tc>
              <w:tcPr>
                <w:tcW w:w="3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Return on equity </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9.6%</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w:t>
                </w:r>
              </w:p>
            </w:tc>
            <w:tc>
              <w:tcPr>
                <w:tcW w:w="60" w:type="dxa"/>
                <w:tcBorders>
                  <w:bottom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8.4%</w:t>
                </w:r>
              </w:p>
            </w:tc>
            <w:tc>
              <w:tcPr>
                <w:tcW w:w="9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15.4%</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25.7%</w:t>
                </w:r>
              </w:p>
            </w:tc>
            <w:tc>
              <w:tcPr>
                <w:tcW w:w="9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w:t>
                </w:r>
              </w:p>
            </w:tc>
          </w:tr>
          <w:tr w:rsidR="0064628A">
            <w:trPr>
              <w:trHeight w:val="195"/>
            </w:trPr>
            <w:tc>
              <w:tcPr>
                <w:tcW w:w="37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9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9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3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Year ended 31 December 2018*</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9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9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37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profit (£m)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1,848</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1,968</w:t>
                </w:r>
              </w:p>
            </w:tc>
            <w:tc>
              <w:tcPr>
                <w:tcW w:w="96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336</w:t>
                </w:r>
              </w:p>
            </w:tc>
            <w:tc>
              <w:tcPr>
                <w:tcW w:w="96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(70)</w:t>
                </w:r>
              </w:p>
            </w:tc>
          </w:tr>
          <w:tr w:rsidR="0064628A">
            <w:trPr>
              <w:trHeight w:val="195"/>
            </w:trPr>
            <w:tc>
              <w:tcPr>
                <w:tcW w:w="37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Adjustment for tax (£m)</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(510)</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(549)</w:t>
                </w:r>
              </w:p>
            </w:tc>
            <w:tc>
              <w:tcPr>
                <w:tcW w:w="96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(47)</w:t>
                </w:r>
              </w:p>
            </w:tc>
            <w:tc>
              <w:tcPr>
                <w:tcW w:w="96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w:t>
                </w:r>
              </w:p>
            </w:tc>
          </w:tr>
          <w:tr w:rsidR="0064628A">
            <w:trPr>
              <w:trHeight w:val="195"/>
            </w:trPr>
            <w:tc>
              <w:tcPr>
                <w:tcW w:w="3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Preference share cost allocation (£m)</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(80)</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(188)</w:t>
                </w:r>
              </w:p>
            </w:tc>
            <w:tc>
              <w:tcPr>
                <w:tcW w:w="96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w:t>
                </w:r>
              </w:p>
            </w:tc>
            <w:tc>
              <w:tcPr>
                <w:tcW w:w="96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(108)</w:t>
                </w:r>
              </w:p>
            </w:tc>
          </w:tr>
          <w:tr w:rsidR="0064628A">
            <w:trPr>
              <w:trHeight w:val="195"/>
            </w:trPr>
            <w:tc>
              <w:tcPr>
                <w:tcW w:w="3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attributable profit (£m)</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1,258</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1,231</w:t>
                </w:r>
              </w:p>
            </w:tc>
            <w:tc>
              <w:tcPr>
                <w:tcW w:w="96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195</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271</w:t>
                </w:r>
              </w:p>
            </w:tc>
            <w:tc>
              <w:tcPr>
                <w:tcW w:w="96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(158)</w:t>
                </w:r>
              </w:p>
            </w:tc>
          </w:tr>
          <w:tr w:rsidR="0064628A">
            <w:trPr>
              <w:trHeight w:val="195"/>
            </w:trPr>
            <w:tc>
              <w:tcPr>
                <w:tcW w:w="37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Average RWAe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34.0</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17.0</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85.0</w:t>
                </w:r>
              </w:p>
            </w:tc>
            <w:tc>
              <w:tcPr>
                <w:tcW w:w="96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7.0</w:t>
                </w:r>
              </w:p>
            </w:tc>
            <w:tc>
              <w:tcPr>
                <w:tcW w:w="96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53.8</w:t>
                </w:r>
              </w:p>
            </w:tc>
          </w:tr>
          <w:tr w:rsidR="0064628A">
            <w:trPr>
              <w:trHeight w:val="195"/>
            </w:trPr>
            <w:tc>
              <w:tcPr>
                <w:tcW w:w="3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Equity factor</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14.0%</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12.0%</w:t>
                </w:r>
              </w:p>
            </w:tc>
            <w:tc>
              <w:tcPr>
                <w:tcW w:w="96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13.5%</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16.0%</w:t>
                </w:r>
              </w:p>
            </w:tc>
            <w:tc>
              <w:tcPr>
                <w:tcW w:w="96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w:t>
                </w:r>
              </w:p>
            </w:tc>
          </w:tr>
          <w:tr w:rsidR="0064628A">
            <w:trPr>
              <w:trHeight w:val="195"/>
            </w:trPr>
            <w:tc>
              <w:tcPr>
                <w:tcW w:w="37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RWAe applying equity factor (£bn)</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5.1</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10.2</w:t>
                </w:r>
              </w:p>
            </w:tc>
            <w:tc>
              <w:tcPr>
                <w:tcW w:w="96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w:t>
                </w:r>
              </w:p>
            </w:tc>
            <w:tc>
              <w:tcPr>
                <w:tcW w:w="96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8.1</w:t>
                </w:r>
              </w:p>
            </w:tc>
          </w:tr>
          <w:tr w:rsidR="0064628A">
            <w:trPr>
              <w:trHeight w:val="195"/>
            </w:trPr>
            <w:tc>
              <w:tcPr>
                <w:tcW w:w="3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Return on equity</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24.7%</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0.5%</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12.1%</w:t>
                </w:r>
              </w:p>
            </w:tc>
            <w:tc>
              <w:tcPr>
                <w:tcW w:w="96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15.4%</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24.4%</w:t>
                </w:r>
              </w:p>
            </w:tc>
            <w:tc>
              <w:tcPr>
                <w:tcW w:w="96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w:t>
                </w:r>
              </w:p>
            </w:tc>
          </w:tr>
          <w:tr w:rsidR="0064628A">
            <w:trPr>
              <w:trHeight w:val="195"/>
            </w:trPr>
            <w:tc>
              <w:tcPr>
                <w:tcW w:w="37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9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9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285"/>
            </w:trPr>
            <w:tc>
              <w:tcPr>
                <w:tcW w:w="3735" w:type="dxa"/>
                <w:gridSpan w:val="8"/>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 w:val="14"/>
                    <w:szCs w:val="14"/>
                  </w:rPr>
                </w:pPr>
                <w:r>
                  <w:rPr>
                    <w:rFonts w:eastAsia="Arial" w:cs="Arial"/>
                    <w:color w:val="000000"/>
                    <w:sz w:val="14"/>
                    <w:szCs w:val="14"/>
                  </w:rPr>
                  <w:t>*Prior period data has been restated for the business re-segmentation completed in Q1 2019. Refer to Note 1 for further details.</w:t>
                </w:r>
              </w:p>
            </w:tc>
          </w:tr>
        </w:tbl>
      </w:sdtContent>
    </w:sdt>
    <w:p w:rsidR="007E5DFC" w:rsidRDefault="007E5DFC" w:rsidP="007E5DFC">
      <w:pPr>
        <w:rPr>
          <w:lang w:eastAsia="ja-JP"/>
        </w:rPr>
      </w:pPr>
    </w:p>
    <w:p w:rsidR="00871C10" w:rsidRDefault="00871C10" w:rsidP="00871C10">
      <w:pPr>
        <w:spacing w:line="4" w:lineRule="exact"/>
      </w:pPr>
    </w:p>
    <w:p w:rsidR="00871C10" w:rsidRDefault="00FC1FDC" w:rsidP="00871C10">
      <w:pPr>
        <w:spacing w:after="200"/>
        <w:rPr>
          <w:rFonts w:cs="Arial"/>
          <w:b/>
          <w:color w:val="0A2F64"/>
          <w:szCs w:val="18"/>
        </w:rPr>
      </w:pPr>
      <w:r>
        <w:rPr>
          <w:rFonts w:cs="Arial"/>
          <w:b/>
          <w:color w:val="0A2F64"/>
          <w:szCs w:val="18"/>
        </w:rPr>
        <w:br w:type="page"/>
      </w:r>
    </w:p>
    <w:p w:rsidR="006F1817" w:rsidRPr="006F1817" w:rsidRDefault="00FC1FDC" w:rsidP="006F1817">
      <w:pPr>
        <w:pStyle w:val="Header"/>
        <w:rPr>
          <w:b/>
          <w:color w:val="0A2F64"/>
          <w:sz w:val="18"/>
          <w:szCs w:val="18"/>
        </w:rPr>
      </w:pPr>
      <w:r>
        <w:rPr>
          <w:b/>
          <w:color w:val="0A2F64"/>
          <w:sz w:val="18"/>
          <w:szCs w:val="18"/>
        </w:rPr>
        <w:t>Appendix – Non–</w:t>
      </w:r>
      <w:r w:rsidRPr="006F1817">
        <w:rPr>
          <w:b/>
          <w:color w:val="0A2F64"/>
          <w:sz w:val="18"/>
          <w:szCs w:val="18"/>
        </w:rPr>
        <w:t>IFRS financial measures</w:t>
      </w:r>
    </w:p>
    <w:p w:rsidR="0052387C" w:rsidRPr="006F1817" w:rsidRDefault="00FC1FDC" w:rsidP="0052387C">
      <w:pPr>
        <w:pStyle w:val="Heading100"/>
        <w:pBdr>
          <w:bottom w:val="none" w:sz="0" w:space="0" w:color="auto"/>
        </w:pBdr>
        <w:rPr>
          <w:rFonts w:cs="Arial"/>
          <w:color w:val="0A2F64"/>
          <w:sz w:val="18"/>
          <w:szCs w:val="18"/>
        </w:rPr>
      </w:pPr>
      <w:r w:rsidRPr="006F1817">
        <w:rPr>
          <w:rFonts w:cs="Arial"/>
          <w:color w:val="0A2F64"/>
          <w:sz w:val="18"/>
          <w:szCs w:val="18"/>
        </w:rPr>
        <w:t xml:space="preserve">I. Return on tangible equity </w:t>
      </w:r>
    </w:p>
    <w:sdt>
      <w:sdtPr>
        <w:tag w:val="&lt;ReportPackage&gt;&lt;EmbeddedContent id=&quot;ddff2ea3-afc7-4f7e-a04c-549c7c48c01a&quot; lastModified=&quot;1581639495653&quot;/&gt;&lt;/ReportPackage&gt;"/>
        <w:id w:val="926806723"/>
        <w:lock w:val="contentLocked"/>
        <w:placeholder>
          <w:docPart w:val="32483EB64B144FDF8A68B8D08C14F495"/>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3810"/>
            <w:gridCol w:w="1035"/>
            <w:gridCol w:w="1035"/>
            <w:gridCol w:w="60"/>
            <w:gridCol w:w="1035"/>
            <w:gridCol w:w="1035"/>
            <w:gridCol w:w="1035"/>
            <w:gridCol w:w="1035"/>
          </w:tblGrid>
          <w:tr w:rsidR="0064628A">
            <w:trPr>
              <w:trHeight w:val="195"/>
            </w:trPr>
            <w:tc>
              <w:tcPr>
                <w:tcW w:w="3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UK</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Ulster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206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206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Personal</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 Bank</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Commercial</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Private</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RBS</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NatWest</w:t>
                </w:r>
              </w:p>
            </w:tc>
          </w:tr>
          <w:tr w:rsidR="0064628A">
            <w:trPr>
              <w:trHeight w:val="195"/>
            </w:trPr>
            <w:tc>
              <w:tcPr>
                <w:tcW w:w="3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Quarter ended 31 December 2019</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Banking</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RoI</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Banking</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Banking</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International</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Markets</w:t>
                </w: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profit/(loss) (£m)</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326</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295</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61</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62</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(132)</w:t>
                </w: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Adjustment for tax (£m)</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(91)</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(83)</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37</w:t>
                </w:r>
              </w:p>
            </w:tc>
          </w:tr>
          <w:tr w:rsidR="0064628A">
            <w:trPr>
              <w:trHeight w:val="195"/>
            </w:trPr>
            <w:tc>
              <w:tcPr>
                <w:tcW w:w="3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Preference share cost allocation (£m)</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60" w:type="dxa"/>
                <w:tcBorders>
                  <w:bottom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(41)</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w:t>
                </w: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attributable profit/(loss) (£m)</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217</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171</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40</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47</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(109)</w:t>
                </w:r>
              </w:p>
            </w:tc>
          </w:tr>
          <w:tr w:rsidR="0064628A">
            <w:trPr>
              <w:trHeight w:val="195"/>
            </w:trPr>
            <w:tc>
              <w:tcPr>
                <w:tcW w:w="3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Annualised adjusted attributable profit/(loss) (£m)</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868</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(20)</w:t>
                </w:r>
              </w:p>
            </w:tc>
            <w:tc>
              <w:tcPr>
                <w:tcW w:w="60" w:type="dxa"/>
                <w:tcBorders>
                  <w:bottom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684</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160</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188</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(436)</w:t>
                </w: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Average RWAe (£bn)</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38.7</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13.2</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74.9</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10.1</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6.9</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45.0</w:t>
                </w:r>
              </w:p>
            </w:tc>
          </w:tr>
          <w:tr w:rsidR="0064628A">
            <w:trPr>
              <w:trHeight w:val="195"/>
            </w:trPr>
            <w:tc>
              <w:tcPr>
                <w:tcW w:w="3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Equity factor</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15.0%</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15.0%</w:t>
                </w:r>
              </w:p>
            </w:tc>
            <w:tc>
              <w:tcPr>
                <w:tcW w:w="60" w:type="dxa"/>
                <w:tcBorders>
                  <w:bottom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12.0%</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13.0%</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16.0%</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15.0%</w:t>
                </w: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RWAe applying equity factor (£bn)</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5.8</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2.0</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9.0</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w:t>
                </w: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6.7</w:t>
                </w:r>
              </w:p>
            </w:tc>
          </w:tr>
          <w:tr w:rsidR="0064628A">
            <w:trPr>
              <w:trHeight w:val="195"/>
            </w:trPr>
            <w:tc>
              <w:tcPr>
                <w:tcW w:w="3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Return on equity</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14.9%</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w:t>
                </w:r>
              </w:p>
            </w:tc>
            <w:tc>
              <w:tcPr>
                <w:tcW w:w="60" w:type="dxa"/>
                <w:tcBorders>
                  <w:bottom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7.6%</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12.0%</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17.3%</w:t>
                </w: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(6.5%)</w:t>
                </w: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3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Quarter ended 30 September 2019</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(loss)/profit (£m)</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(508)</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331</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81</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88</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(193)</w:t>
                </w: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Adjustment for tax (£m)</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142</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(92)</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54</w:t>
                </w:r>
              </w:p>
            </w:tc>
          </w:tr>
          <w:tr w:rsidR="0064628A">
            <w:trPr>
              <w:trHeight w:val="195"/>
            </w:trPr>
            <w:tc>
              <w:tcPr>
                <w:tcW w:w="3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Preference share cost allocation (£m)</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w:t>
                </w: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attributable (loss)/profit (£m)</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(384)</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198</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54</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71</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(159)</w:t>
                </w:r>
              </w:p>
            </w:tc>
          </w:tr>
          <w:tr w:rsidR="0064628A">
            <w:trPr>
              <w:trHeight w:val="195"/>
            </w:trPr>
            <w:tc>
              <w:tcPr>
                <w:tcW w:w="3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Annualised adjusted attributable (loss)/profit (£m)</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(1,536)</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124</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792</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216</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284</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(636)</w:t>
                </w: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Average RWAe (£bn)</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38.2</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78.8</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9.9</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6.8</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48.7</w:t>
                </w:r>
              </w:p>
            </w:tc>
          </w:tr>
          <w:tr w:rsidR="0064628A">
            <w:trPr>
              <w:trHeight w:val="195"/>
            </w:trPr>
            <w:tc>
              <w:tcPr>
                <w:tcW w:w="3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Equity factor</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12.0%</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13.0%</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16.0%</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w:t>
                </w: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RWAe applying equity factor (£bn)</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5.7</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9.5</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7.3</w:t>
                </w:r>
              </w:p>
            </w:tc>
          </w:tr>
          <w:tr w:rsidR="0064628A">
            <w:trPr>
              <w:trHeight w:val="195"/>
            </w:trPr>
            <w:tc>
              <w:tcPr>
                <w:tcW w:w="3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Return on equity</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(26.8%)</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5.8%</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8.4%</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16.8%</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26.0%</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(8.7%)</w:t>
                </w: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3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Quarter ended 31 December 2018*</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profit/(loss) (£m)</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347</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347</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63</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71</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(203)</w:t>
                </w: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Adjustment for tax (£m)</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(97)</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(97)</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(18)</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57</w:t>
                </w:r>
              </w:p>
            </w:tc>
          </w:tr>
          <w:tr w:rsidR="0064628A">
            <w:trPr>
              <w:trHeight w:val="195"/>
            </w:trPr>
            <w:tc>
              <w:tcPr>
                <w:tcW w:w="3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Preference share cost allocation (£m)</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(47)</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(27)</w:t>
                </w: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attributable profit/(loss) (£m)</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230</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203</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39</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57</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(173)</w:t>
                </w:r>
              </w:p>
            </w:tc>
          </w:tr>
          <w:tr w:rsidR="0064628A">
            <w:trPr>
              <w:trHeight w:val="195"/>
            </w:trPr>
            <w:tc>
              <w:tcPr>
                <w:tcW w:w="3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Annualised adjusted attributable profit/(loss) (£m)</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920</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812</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156</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228</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(692)</w:t>
                </w: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Average RWAe (£bn)</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35.6</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81.1</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9.6</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7.1</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50.2</w:t>
                </w:r>
              </w:p>
            </w:tc>
          </w:tr>
          <w:tr w:rsidR="0064628A">
            <w:trPr>
              <w:trHeight w:val="195"/>
            </w:trPr>
            <w:tc>
              <w:tcPr>
                <w:tcW w:w="3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Equity factor</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14.0%</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12.0%</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13.5%</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16.0%</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w:t>
                </w: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RWAe applying equity factor (£bn)</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5.3</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9.7</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w:t>
                </w: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7.5</w:t>
                </w:r>
              </w:p>
            </w:tc>
          </w:tr>
          <w:tr w:rsidR="0064628A">
            <w:trPr>
              <w:trHeight w:val="195"/>
            </w:trPr>
            <w:tc>
              <w:tcPr>
                <w:tcW w:w="3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Return on equity</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17.2%</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0.4%</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8.3%</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12.3%</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20.0%</w:t>
                </w: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(9.2%)</w:t>
                </w:r>
              </w:p>
            </w:tc>
          </w:tr>
          <w:tr w:rsidR="0064628A">
            <w:trPr>
              <w:trHeight w:val="195"/>
            </w:trPr>
            <w:tc>
              <w:tcPr>
                <w:tcW w:w="3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285"/>
            </w:trPr>
            <w:tc>
              <w:tcPr>
                <w:tcW w:w="3810" w:type="dxa"/>
                <w:gridSpan w:val="8"/>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 w:val="14"/>
                    <w:szCs w:val="14"/>
                  </w:rPr>
                </w:pPr>
                <w:r>
                  <w:rPr>
                    <w:rFonts w:eastAsia="Arial" w:cs="Arial"/>
                    <w:color w:val="000000"/>
                    <w:sz w:val="14"/>
                    <w:szCs w:val="14"/>
                  </w:rPr>
                  <w:t xml:space="preserve">*Prior period data has been restated for the business re-segmentation completed in Q1 2019. Refer to Note 1 for further details. </w:t>
                </w:r>
              </w:p>
            </w:tc>
          </w:tr>
        </w:tbl>
      </w:sdtContent>
    </w:sdt>
    <w:p w:rsidR="0052387C" w:rsidRDefault="0052387C" w:rsidP="00871C10">
      <w:pPr>
        <w:pStyle w:val="Normal00"/>
        <w:rPr>
          <w:rFonts w:ascii="Arial" w:eastAsia="MS Mincho" w:hAnsi="Arial" w:cs="Arial"/>
          <w:b/>
          <w:color w:val="06B3C5"/>
          <w:sz w:val="18"/>
          <w:szCs w:val="18"/>
          <w:shd w:val="clear" w:color="auto" w:fill="FFFFFF"/>
          <w:lang w:eastAsia="ja-JP"/>
        </w:rPr>
      </w:pPr>
    </w:p>
    <w:p w:rsidR="0052387C" w:rsidRDefault="00FC1FDC" w:rsidP="00871C10">
      <w:pPr>
        <w:pStyle w:val="Normal00"/>
        <w:rPr>
          <w:rFonts w:ascii="Arial" w:eastAsia="MS Mincho" w:hAnsi="Arial" w:cs="Arial"/>
          <w:b/>
          <w:color w:val="06B3C5"/>
          <w:sz w:val="18"/>
          <w:szCs w:val="18"/>
          <w:shd w:val="clear" w:color="auto" w:fill="FFFFFF"/>
          <w:lang w:eastAsia="ja-JP"/>
        </w:rPr>
      </w:pPr>
      <w:r>
        <w:rPr>
          <w:rFonts w:ascii="Arial" w:eastAsia="MS Mincho" w:hAnsi="Arial" w:cs="Arial"/>
          <w:b/>
          <w:color w:val="06B3C5"/>
          <w:sz w:val="18"/>
          <w:szCs w:val="18"/>
          <w:shd w:val="clear" w:color="auto" w:fill="FFFFFF"/>
          <w:lang w:eastAsia="ja-JP"/>
        </w:rPr>
        <w:br w:type="page"/>
      </w:r>
    </w:p>
    <w:p w:rsidR="006F1817" w:rsidRPr="006F1817" w:rsidRDefault="00FC1FDC" w:rsidP="006F1817">
      <w:pPr>
        <w:pStyle w:val="Header"/>
        <w:rPr>
          <w:b/>
          <w:color w:val="0A2F64"/>
          <w:sz w:val="18"/>
          <w:szCs w:val="18"/>
        </w:rPr>
      </w:pPr>
      <w:r>
        <w:rPr>
          <w:b/>
          <w:color w:val="0A2F64"/>
          <w:sz w:val="18"/>
          <w:szCs w:val="18"/>
        </w:rPr>
        <w:t>Appendix – Non–</w:t>
      </w:r>
      <w:r w:rsidRPr="006F1817">
        <w:rPr>
          <w:b/>
          <w:color w:val="0A2F64"/>
          <w:sz w:val="18"/>
          <w:szCs w:val="18"/>
        </w:rPr>
        <w:t>IFRS financial measures</w:t>
      </w:r>
    </w:p>
    <w:p w:rsidR="00871C10" w:rsidRPr="006F1817" w:rsidRDefault="00FC1FDC" w:rsidP="00871C10">
      <w:pPr>
        <w:pStyle w:val="Normal00"/>
        <w:rPr>
          <w:rFonts w:ascii="Arial" w:eastAsia="MS Mincho" w:hAnsi="Arial" w:cs="Arial"/>
          <w:color w:val="0A2F64"/>
          <w:sz w:val="18"/>
          <w:szCs w:val="18"/>
          <w:shd w:val="clear" w:color="auto" w:fill="FFFFFF"/>
          <w:lang w:eastAsia="ja-JP"/>
        </w:rPr>
      </w:pPr>
      <w:r w:rsidRPr="006F1817">
        <w:rPr>
          <w:rFonts w:ascii="Arial" w:eastAsia="MS Mincho" w:hAnsi="Arial" w:cs="Arial"/>
          <w:color w:val="0A2F64"/>
          <w:sz w:val="18"/>
          <w:szCs w:val="18"/>
          <w:shd w:val="clear" w:color="auto" w:fill="FFFFFF"/>
          <w:lang w:eastAsia="ja-JP"/>
        </w:rPr>
        <w:t>II. Operating expenses analysis</w:t>
      </w:r>
    </w:p>
    <w:p w:rsidR="00871C10" w:rsidRDefault="00871C10" w:rsidP="00871C10">
      <w:pPr>
        <w:pStyle w:val="Normal00"/>
        <w:rPr>
          <w:rFonts w:ascii="Arial" w:eastAsia="MS Mincho" w:hAnsi="Arial" w:cs="Arial"/>
          <w:b/>
          <w:color w:val="003366"/>
          <w:sz w:val="18"/>
          <w:szCs w:val="18"/>
          <w:shd w:val="clear" w:color="auto" w:fill="FFFFFF"/>
          <w:lang w:eastAsia="ja-JP"/>
        </w:rPr>
      </w:pPr>
    </w:p>
    <w:sdt>
      <w:sdtPr>
        <w:tag w:val="&lt;ReportPackage&gt;&lt;EmbeddedContent id=&quot;437ca865-6c0b-4ab9-8b4c-205a60d05fa9&quot; lastModified=&quot;1580729162839&quot;/&gt;&lt;/ReportPackage&gt;"/>
        <w:id w:val="1303168081"/>
        <w:lock w:val="contentLocked"/>
        <w:placeholder>
          <w:docPart w:val="49520ED256C748499987BD1D3F269BCE"/>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4475"/>
            <w:gridCol w:w="1109"/>
            <w:gridCol w:w="1109"/>
            <w:gridCol w:w="60"/>
            <w:gridCol w:w="1109"/>
            <w:gridCol w:w="1109"/>
            <w:gridCol w:w="1109"/>
          </w:tblGrid>
          <w:tr w:rsidR="0064628A">
            <w:trPr>
              <w:trHeight w:val="195"/>
            </w:trPr>
            <w:tc>
              <w:tcPr>
                <w:tcW w:w="4485" w:type="dxa"/>
                <w:shd w:val="clear" w:color="auto" w:fill="FFFFFF"/>
                <w:tcMar>
                  <w:top w:w="0" w:type="dxa"/>
                  <w:left w:w="5" w:type="dxa"/>
                  <w:bottom w:w="0" w:type="dxa"/>
                  <w:right w:w="5" w:type="dxa"/>
                </w:tcMar>
                <w:vAlign w:val="center"/>
                <w:hideMark/>
              </w:tcPr>
              <w:p w:rsidR="00A774CA" w:rsidRDefault="00FC1FDC">
                <w:pPr>
                  <w:spacing w:line="240" w:lineRule="auto"/>
                  <w:contextualSpacing/>
                  <w:rPr>
                    <w:rFonts w:eastAsia="Arial" w:cs="Arial"/>
                    <w:b/>
                    <w:bCs/>
                    <w:color w:val="002060"/>
                    <w:szCs w:val="16"/>
                  </w:rPr>
                </w:pPr>
                <w:r>
                  <w:rPr>
                    <w:rStyle w:val="font430"/>
                  </w:rPr>
                  <w:t>Statutory analysis</w:t>
                </w:r>
                <w:r>
                  <w:rPr>
                    <w:rStyle w:val="font510"/>
                  </w:rPr>
                  <w:t> (1,2)</w:t>
                </w:r>
              </w:p>
            </w:tc>
            <w:tc>
              <w:tcPr>
                <w:tcW w:w="1110" w:type="dxa"/>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b/>
                    <w:bCs/>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color w:val="000000"/>
                    <w:szCs w:val="16"/>
                  </w:rPr>
                </w:pPr>
              </w:p>
            </w:tc>
            <w:tc>
              <w:tcPr>
                <w:tcW w:w="1110" w:type="dxa"/>
                <w:gridSpan w:val="2"/>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jc w:val="center"/>
                  <w:rPr>
                    <w:rFonts w:eastAsia="Arial" w:cs="Arial"/>
                    <w:b/>
                    <w:bCs/>
                    <w:color w:val="002060"/>
                    <w:szCs w:val="16"/>
                  </w:rPr>
                </w:pPr>
                <w:r>
                  <w:rPr>
                    <w:rFonts w:eastAsia="Arial" w:cs="Arial"/>
                    <w:b/>
                    <w:bCs/>
                    <w:color w:val="002060"/>
                    <w:szCs w:val="16"/>
                  </w:rPr>
                  <w:t>Year ended</w:t>
                </w:r>
              </w:p>
            </w:tc>
            <w:tc>
              <w:tcPr>
                <w:tcW w:w="60" w:type="dxa"/>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color w:val="002060"/>
                    <w:szCs w:val="16"/>
                  </w:rPr>
                </w:pPr>
              </w:p>
            </w:tc>
            <w:tc>
              <w:tcPr>
                <w:tcW w:w="1110" w:type="dxa"/>
                <w:gridSpan w:val="3"/>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jc w:val="center"/>
                  <w:rPr>
                    <w:rFonts w:eastAsia="Arial" w:cs="Arial"/>
                    <w:b/>
                    <w:bCs/>
                    <w:color w:val="002060"/>
                    <w:szCs w:val="16"/>
                  </w:rPr>
                </w:pPr>
                <w:r>
                  <w:rPr>
                    <w:rFonts w:eastAsia="Arial" w:cs="Arial"/>
                    <w:b/>
                    <w:bCs/>
                    <w:color w:val="002060"/>
                    <w:szCs w:val="16"/>
                  </w:rPr>
                  <w:t>Quarter ended</w:t>
                </w:r>
              </w:p>
            </w:tc>
          </w:tr>
          <w:tr w:rsidR="0064628A">
            <w:trPr>
              <w:trHeight w:val="195"/>
            </w:trPr>
            <w:tc>
              <w:tcPr>
                <w:tcW w:w="4485" w:type="dxa"/>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2060"/>
                    <w:szCs w:val="16"/>
                  </w:rPr>
                </w:pPr>
                <w:r>
                  <w:rPr>
                    <w:rFonts w:eastAsia="Arial" w:cs="Arial"/>
                    <w:b/>
                    <w:bCs/>
                    <w:color w:val="002060"/>
                    <w:szCs w:val="16"/>
                  </w:rPr>
                  <w:t>31 December</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2060"/>
                    <w:szCs w:val="16"/>
                  </w:rPr>
                </w:pPr>
                <w:r>
                  <w:rPr>
                    <w:rFonts w:eastAsia="Arial" w:cs="Arial"/>
                    <w:color w:val="002060"/>
                    <w:szCs w:val="16"/>
                  </w:rPr>
                  <w:t>31 December</w:t>
                </w:r>
              </w:p>
            </w:tc>
            <w:tc>
              <w:tcPr>
                <w:tcW w:w="60" w:type="dxa"/>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color w:val="002060"/>
                    <w:szCs w:val="16"/>
                  </w:rPr>
                </w:pP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2060"/>
                    <w:szCs w:val="16"/>
                  </w:rPr>
                </w:pPr>
                <w:r>
                  <w:rPr>
                    <w:rFonts w:eastAsia="Arial" w:cs="Arial"/>
                    <w:b/>
                    <w:bCs/>
                    <w:color w:val="002060"/>
                    <w:szCs w:val="16"/>
                  </w:rPr>
                  <w:t>31 December</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2060"/>
                    <w:szCs w:val="16"/>
                  </w:rPr>
                </w:pPr>
                <w:r>
                  <w:rPr>
                    <w:rFonts w:eastAsia="Arial" w:cs="Arial"/>
                    <w:color w:val="002060"/>
                    <w:szCs w:val="16"/>
                  </w:rPr>
                  <w:t>30 September</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2060"/>
                    <w:szCs w:val="16"/>
                  </w:rPr>
                </w:pPr>
                <w:r>
                  <w:rPr>
                    <w:rFonts w:eastAsia="Arial" w:cs="Arial"/>
                    <w:color w:val="002060"/>
                    <w:szCs w:val="16"/>
                  </w:rPr>
                  <w:t>31 December</w:t>
                </w:r>
              </w:p>
            </w:tc>
          </w:tr>
          <w:tr w:rsidR="0064628A">
            <w:trPr>
              <w:trHeight w:val="195"/>
            </w:trPr>
            <w:tc>
              <w:tcPr>
                <w:tcW w:w="4485" w:type="dxa"/>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2060"/>
                    <w:szCs w:val="16"/>
                  </w:rPr>
                </w:pPr>
                <w:r>
                  <w:rPr>
                    <w:rFonts w:eastAsia="Arial" w:cs="Arial"/>
                    <w:b/>
                    <w:bCs/>
                    <w:color w:val="002060"/>
                    <w:szCs w:val="16"/>
                  </w:rPr>
                  <w:t>2019 </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2060"/>
                    <w:szCs w:val="16"/>
                  </w:rPr>
                </w:pPr>
                <w:r>
                  <w:rPr>
                    <w:rFonts w:eastAsia="Arial" w:cs="Arial"/>
                    <w:color w:val="002060"/>
                    <w:szCs w:val="16"/>
                  </w:rPr>
                  <w:t>2018 </w:t>
                </w:r>
              </w:p>
            </w:tc>
            <w:tc>
              <w:tcPr>
                <w:tcW w:w="60" w:type="dxa"/>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color w:val="002060"/>
                    <w:szCs w:val="16"/>
                  </w:rPr>
                </w:pP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2060"/>
                    <w:szCs w:val="16"/>
                  </w:rPr>
                </w:pPr>
                <w:r>
                  <w:rPr>
                    <w:rFonts w:eastAsia="Arial" w:cs="Arial"/>
                    <w:b/>
                    <w:bCs/>
                    <w:color w:val="002060"/>
                    <w:szCs w:val="16"/>
                  </w:rPr>
                  <w:t>2019 </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2060"/>
                    <w:szCs w:val="16"/>
                  </w:rPr>
                </w:pPr>
                <w:r>
                  <w:rPr>
                    <w:rFonts w:eastAsia="Arial" w:cs="Arial"/>
                    <w:color w:val="002060"/>
                    <w:szCs w:val="16"/>
                  </w:rPr>
                  <w:t>2019 </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2060"/>
                    <w:szCs w:val="16"/>
                  </w:rPr>
                </w:pPr>
                <w:r>
                  <w:rPr>
                    <w:rFonts w:eastAsia="Arial" w:cs="Arial"/>
                    <w:color w:val="002060"/>
                    <w:szCs w:val="16"/>
                  </w:rPr>
                  <w:t>2018 </w:t>
                </w:r>
              </w:p>
            </w:tc>
          </w:tr>
          <w:tr w:rsidR="0064628A">
            <w:trPr>
              <w:trHeight w:val="195"/>
            </w:trPr>
            <w:tc>
              <w:tcPr>
                <w:tcW w:w="4485"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rPr>
                    <w:rFonts w:eastAsia="Arial" w:cs="Arial"/>
                    <w:b/>
                    <w:bCs/>
                    <w:color w:val="002060"/>
                    <w:szCs w:val="16"/>
                  </w:rPr>
                </w:pPr>
                <w:r>
                  <w:rPr>
                    <w:rFonts w:eastAsia="Arial" w:cs="Arial"/>
                    <w:b/>
                    <w:bCs/>
                    <w:color w:val="002060"/>
                    <w:szCs w:val="16"/>
                  </w:rPr>
                  <w:t>Operating expenses</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2060"/>
                    <w:szCs w:val="16"/>
                  </w:rPr>
                </w:pPr>
                <w:r>
                  <w:rPr>
                    <w:rFonts w:eastAsia="Arial" w:cs="Arial"/>
                    <w:color w:val="002060"/>
                    <w:szCs w:val="16"/>
                  </w:rPr>
                  <w:t>£m</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A774CA" w:rsidRDefault="00A774CA">
                <w:pPr>
                  <w:spacing w:line="240" w:lineRule="auto"/>
                  <w:contextualSpacing/>
                  <w:jc w:val="right"/>
                  <w:rPr>
                    <w:rFonts w:eastAsia="Arial" w:cs="Arial"/>
                    <w:color w:val="002060"/>
                    <w:szCs w:val="16"/>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2060"/>
                    <w:szCs w:val="16"/>
                  </w:rPr>
                </w:pPr>
                <w:r>
                  <w:rPr>
                    <w:rFonts w:eastAsia="Arial" w:cs="Arial"/>
                    <w:color w:val="002060"/>
                    <w:szCs w:val="16"/>
                  </w:rPr>
                  <w:t>£m</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2060"/>
                    <w:szCs w:val="16"/>
                  </w:rPr>
                </w:pPr>
                <w:r>
                  <w:rPr>
                    <w:rFonts w:eastAsia="Arial" w:cs="Arial"/>
                    <w:color w:val="002060"/>
                    <w:szCs w:val="16"/>
                  </w:rPr>
                  <w:t>£m</w:t>
                </w:r>
              </w:p>
            </w:tc>
          </w:tr>
          <w:tr w:rsidR="0064628A">
            <w:trPr>
              <w:trHeight w:val="195"/>
            </w:trPr>
            <w:tc>
              <w:tcPr>
                <w:tcW w:w="4485" w:type="dxa"/>
                <w:shd w:val="clear" w:color="auto" w:fill="FFFFFF"/>
                <w:tcMar>
                  <w:top w:w="0" w:type="dxa"/>
                  <w:left w:w="5" w:type="dxa"/>
                  <w:bottom w:w="0" w:type="dxa"/>
                  <w:right w:w="5" w:type="dxa"/>
                </w:tcMar>
                <w:vAlign w:val="center"/>
                <w:hideMark/>
              </w:tcPr>
              <w:p w:rsidR="00A774CA" w:rsidRDefault="00FC1FDC">
                <w:pPr>
                  <w:spacing w:line="240" w:lineRule="auto"/>
                  <w:contextualSpacing/>
                  <w:rPr>
                    <w:rFonts w:eastAsia="Arial" w:cs="Arial"/>
                    <w:color w:val="000000"/>
                    <w:szCs w:val="16"/>
                  </w:rPr>
                </w:pPr>
                <w:r>
                  <w:rPr>
                    <w:rFonts w:eastAsia="Arial" w:cs="Arial"/>
                    <w:color w:val="000000"/>
                    <w:szCs w:val="16"/>
                  </w:rPr>
                  <w:t>Staff expenses</w:t>
                </w:r>
              </w:p>
            </w:tc>
            <w:tc>
              <w:tcPr>
                <w:tcW w:w="1110" w:type="dxa"/>
                <w:shd w:val="clear" w:color="auto" w:fill="BFBFB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0000"/>
                    <w:szCs w:val="16"/>
                  </w:rPr>
                </w:pPr>
                <w:r>
                  <w:rPr>
                    <w:rFonts w:eastAsia="Arial" w:cs="Arial"/>
                    <w:b/>
                    <w:bCs/>
                    <w:color w:val="000000"/>
                    <w:szCs w:val="16"/>
                  </w:rPr>
                  <w:t>(4,018)</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(4,122)</w:t>
                </w:r>
              </w:p>
            </w:tc>
            <w:tc>
              <w:tcPr>
                <w:tcW w:w="60" w:type="dxa"/>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0000"/>
                    <w:szCs w:val="16"/>
                  </w:rPr>
                </w:pPr>
                <w:r>
                  <w:rPr>
                    <w:rFonts w:eastAsia="Arial" w:cs="Arial"/>
                    <w:b/>
                    <w:bCs/>
                    <w:color w:val="000000"/>
                    <w:szCs w:val="16"/>
                  </w:rPr>
                  <w:t>(990)</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(1,000)</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(1,014)</w:t>
                </w:r>
              </w:p>
            </w:tc>
          </w:tr>
          <w:tr w:rsidR="0064628A">
            <w:trPr>
              <w:trHeight w:val="195"/>
            </w:trPr>
            <w:tc>
              <w:tcPr>
                <w:tcW w:w="4485" w:type="dxa"/>
                <w:shd w:val="clear" w:color="auto" w:fill="FFFFFF"/>
                <w:tcMar>
                  <w:top w:w="0" w:type="dxa"/>
                  <w:left w:w="5" w:type="dxa"/>
                  <w:bottom w:w="0" w:type="dxa"/>
                  <w:right w:w="5" w:type="dxa"/>
                </w:tcMar>
                <w:vAlign w:val="center"/>
                <w:hideMark/>
              </w:tcPr>
              <w:p w:rsidR="00A774CA" w:rsidRDefault="00FC1FDC">
                <w:pPr>
                  <w:spacing w:line="240" w:lineRule="auto"/>
                  <w:contextualSpacing/>
                  <w:rPr>
                    <w:rFonts w:eastAsia="Arial" w:cs="Arial"/>
                    <w:color w:val="000000"/>
                    <w:szCs w:val="16"/>
                  </w:rPr>
                </w:pPr>
                <w:r>
                  <w:rPr>
                    <w:rFonts w:eastAsia="Arial" w:cs="Arial"/>
                    <w:color w:val="000000"/>
                    <w:szCs w:val="16"/>
                  </w:rPr>
                  <w:t>Premises and equipment</w:t>
                </w:r>
              </w:p>
            </w:tc>
            <w:tc>
              <w:tcPr>
                <w:tcW w:w="1110" w:type="dxa"/>
                <w:shd w:val="clear" w:color="auto" w:fill="BFBFB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0000"/>
                    <w:szCs w:val="16"/>
                  </w:rPr>
                </w:pPr>
                <w:r>
                  <w:rPr>
                    <w:rFonts w:eastAsia="Arial" w:cs="Arial"/>
                    <w:b/>
                    <w:bCs/>
                    <w:color w:val="000000"/>
                    <w:szCs w:val="16"/>
                  </w:rPr>
                  <w:t>(1,259)</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(1,383)</w:t>
                </w:r>
              </w:p>
            </w:tc>
            <w:tc>
              <w:tcPr>
                <w:tcW w:w="60" w:type="dxa"/>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0000"/>
                    <w:szCs w:val="16"/>
                  </w:rPr>
                </w:pPr>
                <w:r>
                  <w:rPr>
                    <w:rFonts w:eastAsia="Arial" w:cs="Arial"/>
                    <w:b/>
                    <w:bCs/>
                    <w:color w:val="000000"/>
                    <w:szCs w:val="16"/>
                  </w:rPr>
                  <w:t>(436)</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(265)</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(411)</w:t>
                </w:r>
              </w:p>
            </w:tc>
          </w:tr>
          <w:tr w:rsidR="0064628A">
            <w:trPr>
              <w:trHeight w:val="195"/>
            </w:trPr>
            <w:tc>
              <w:tcPr>
                <w:tcW w:w="4485"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rPr>
                    <w:rFonts w:eastAsia="Arial" w:cs="Arial"/>
                    <w:color w:val="000000"/>
                    <w:szCs w:val="16"/>
                  </w:rPr>
                </w:pPr>
                <w:r>
                  <w:rPr>
                    <w:rFonts w:eastAsia="Arial" w:cs="Arial"/>
                    <w:color w:val="000000"/>
                    <w:szCs w:val="16"/>
                  </w:rPr>
                  <w:t>Other administrative expenses</w:t>
                </w:r>
              </w:p>
            </w:tc>
            <w:tc>
              <w:tcPr>
                <w:tcW w:w="1110" w:type="dxa"/>
                <w:tcBorders>
                  <w:bottom w:val="single" w:sz="6" w:space="0" w:color="002060"/>
                </w:tcBorders>
                <w:shd w:val="clear" w:color="auto" w:fill="BFBFB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0000"/>
                    <w:szCs w:val="16"/>
                  </w:rPr>
                </w:pPr>
                <w:r>
                  <w:rPr>
                    <w:rFonts w:eastAsia="Arial" w:cs="Arial"/>
                    <w:b/>
                    <w:bCs/>
                    <w:color w:val="000000"/>
                    <w:szCs w:val="16"/>
                  </w:rPr>
                  <w:t>(2,828)</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(3,372)</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color w:val="000000"/>
                    <w:szCs w:val="16"/>
                  </w:rPr>
                </w:pPr>
              </w:p>
            </w:tc>
            <w:tc>
              <w:tcPr>
                <w:tcW w:w="1110" w:type="dxa"/>
                <w:tcBorders>
                  <w:bottom w:val="single" w:sz="6" w:space="0" w:color="002060"/>
                </w:tcBorders>
                <w:shd w:val="clear" w:color="auto" w:fill="BFBFB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0000"/>
                    <w:szCs w:val="16"/>
                  </w:rPr>
                </w:pPr>
                <w:r>
                  <w:rPr>
                    <w:rFonts w:eastAsia="Arial" w:cs="Arial"/>
                    <w:b/>
                    <w:bCs/>
                    <w:color w:val="000000"/>
                    <w:szCs w:val="16"/>
                  </w:rPr>
                  <w:t>(743)</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(1,222)</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(851)</w:t>
                </w:r>
              </w:p>
            </w:tc>
          </w:tr>
          <w:tr w:rsidR="0064628A">
            <w:trPr>
              <w:trHeight w:val="195"/>
            </w:trPr>
            <w:tc>
              <w:tcPr>
                <w:tcW w:w="4485" w:type="dxa"/>
                <w:shd w:val="clear" w:color="auto" w:fill="FFFFFF"/>
                <w:tcMar>
                  <w:top w:w="0" w:type="dxa"/>
                  <w:left w:w="5" w:type="dxa"/>
                  <w:bottom w:w="0" w:type="dxa"/>
                  <w:right w:w="5" w:type="dxa"/>
                </w:tcMar>
                <w:vAlign w:val="center"/>
                <w:hideMark/>
              </w:tcPr>
              <w:p w:rsidR="00A774CA" w:rsidRDefault="00FC1FDC">
                <w:pPr>
                  <w:spacing w:line="240" w:lineRule="auto"/>
                  <w:contextualSpacing/>
                  <w:rPr>
                    <w:rFonts w:eastAsia="Arial" w:cs="Arial"/>
                    <w:color w:val="000000"/>
                    <w:szCs w:val="16"/>
                  </w:rPr>
                </w:pPr>
                <w:r>
                  <w:rPr>
                    <w:rFonts w:eastAsia="Arial" w:cs="Arial"/>
                    <w:color w:val="000000"/>
                    <w:szCs w:val="16"/>
                  </w:rPr>
                  <w:t>Administrative expenses</w:t>
                </w:r>
              </w:p>
            </w:tc>
            <w:tc>
              <w:tcPr>
                <w:tcW w:w="1110" w:type="dxa"/>
                <w:shd w:val="clear" w:color="auto" w:fill="BFBFB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0000"/>
                    <w:szCs w:val="16"/>
                  </w:rPr>
                </w:pPr>
                <w:r>
                  <w:rPr>
                    <w:rFonts w:eastAsia="Arial" w:cs="Arial"/>
                    <w:b/>
                    <w:bCs/>
                    <w:color w:val="000000"/>
                    <w:szCs w:val="16"/>
                  </w:rPr>
                  <w:t>(8,105)</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(8,877)</w:t>
                </w:r>
              </w:p>
            </w:tc>
            <w:tc>
              <w:tcPr>
                <w:tcW w:w="60" w:type="dxa"/>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0000"/>
                    <w:szCs w:val="16"/>
                  </w:rPr>
                </w:pPr>
                <w:r>
                  <w:rPr>
                    <w:rFonts w:eastAsia="Arial" w:cs="Arial"/>
                    <w:b/>
                    <w:bCs/>
                    <w:color w:val="000000"/>
                    <w:szCs w:val="16"/>
                  </w:rPr>
                  <w:t>(2,169)</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(2,487)</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(2,276)</w:t>
                </w:r>
              </w:p>
            </w:tc>
          </w:tr>
          <w:tr w:rsidR="0064628A">
            <w:trPr>
              <w:trHeight w:val="195"/>
            </w:trPr>
            <w:tc>
              <w:tcPr>
                <w:tcW w:w="4485" w:type="dxa"/>
                <w:shd w:val="clear" w:color="auto" w:fill="FFFFFF"/>
                <w:tcMar>
                  <w:top w:w="0" w:type="dxa"/>
                  <w:left w:w="5" w:type="dxa"/>
                  <w:bottom w:w="0" w:type="dxa"/>
                  <w:right w:w="5" w:type="dxa"/>
                </w:tcMar>
                <w:vAlign w:val="center"/>
                <w:hideMark/>
              </w:tcPr>
              <w:p w:rsidR="00A774CA" w:rsidRDefault="00FC1FDC">
                <w:pPr>
                  <w:spacing w:line="240" w:lineRule="auto"/>
                  <w:contextualSpacing/>
                  <w:rPr>
                    <w:rFonts w:eastAsia="Arial" w:cs="Arial"/>
                    <w:color w:val="000000"/>
                    <w:szCs w:val="16"/>
                  </w:rPr>
                </w:pPr>
                <w:r>
                  <w:rPr>
                    <w:rFonts w:eastAsia="Arial" w:cs="Arial"/>
                    <w:color w:val="000000"/>
                    <w:szCs w:val="16"/>
                  </w:rPr>
                  <w:t>Depreciation and amortisation</w:t>
                </w:r>
              </w:p>
            </w:tc>
            <w:tc>
              <w:tcPr>
                <w:tcW w:w="1110" w:type="dxa"/>
                <w:shd w:val="clear" w:color="auto" w:fill="BFBFB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0000"/>
                    <w:szCs w:val="16"/>
                  </w:rPr>
                </w:pPr>
                <w:r>
                  <w:rPr>
                    <w:rFonts w:eastAsia="Arial" w:cs="Arial"/>
                    <w:b/>
                    <w:bCs/>
                    <w:color w:val="000000"/>
                    <w:szCs w:val="16"/>
                  </w:rPr>
                  <w:t>(1,176)</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(731)</w:t>
                </w:r>
              </w:p>
            </w:tc>
            <w:tc>
              <w:tcPr>
                <w:tcW w:w="60" w:type="dxa"/>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0000"/>
                    <w:szCs w:val="16"/>
                  </w:rPr>
                </w:pPr>
                <w:r>
                  <w:rPr>
                    <w:rFonts w:eastAsia="Arial" w:cs="Arial"/>
                    <w:b/>
                    <w:bCs/>
                    <w:color w:val="000000"/>
                    <w:szCs w:val="16"/>
                  </w:rPr>
                  <w:t>(323)</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(232)</w:t>
                </w:r>
              </w:p>
            </w:tc>
            <w:tc>
              <w:tcPr>
                <w:tcW w:w="1110" w:type="dxa"/>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(187)</w:t>
                </w:r>
              </w:p>
            </w:tc>
          </w:tr>
          <w:tr w:rsidR="0064628A">
            <w:trPr>
              <w:trHeight w:val="195"/>
            </w:trPr>
            <w:tc>
              <w:tcPr>
                <w:tcW w:w="4485"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rPr>
                    <w:rFonts w:eastAsia="Arial" w:cs="Arial"/>
                    <w:color w:val="000000"/>
                    <w:szCs w:val="16"/>
                  </w:rPr>
                </w:pPr>
                <w:r>
                  <w:rPr>
                    <w:rFonts w:eastAsia="Arial" w:cs="Arial"/>
                    <w:color w:val="000000"/>
                    <w:szCs w:val="16"/>
                  </w:rPr>
                  <w:t>Impairment of other intangible assets</w:t>
                </w:r>
              </w:p>
            </w:tc>
            <w:tc>
              <w:tcPr>
                <w:tcW w:w="1110" w:type="dxa"/>
                <w:tcBorders>
                  <w:bottom w:val="single" w:sz="6" w:space="0" w:color="002060"/>
                </w:tcBorders>
                <w:shd w:val="clear" w:color="auto" w:fill="BFBFB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0000"/>
                    <w:szCs w:val="16"/>
                  </w:rPr>
                </w:pPr>
                <w:r>
                  <w:rPr>
                    <w:rFonts w:eastAsia="Arial" w:cs="Arial"/>
                    <w:b/>
                    <w:bCs/>
                    <w:color w:val="000000"/>
                    <w:szCs w:val="16"/>
                  </w:rPr>
                  <w:t>(44)</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(37)</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color w:val="000000"/>
                    <w:szCs w:val="16"/>
                  </w:rPr>
                </w:pPr>
              </w:p>
            </w:tc>
            <w:tc>
              <w:tcPr>
                <w:tcW w:w="1110" w:type="dxa"/>
                <w:tcBorders>
                  <w:bottom w:val="single" w:sz="6" w:space="0" w:color="002060"/>
                </w:tcBorders>
                <w:shd w:val="clear" w:color="auto" w:fill="BFBFB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0000"/>
                    <w:szCs w:val="16"/>
                  </w:rPr>
                </w:pPr>
                <w:r>
                  <w:rPr>
                    <w:rFonts w:eastAsia="Arial" w:cs="Arial"/>
                    <w:b/>
                    <w:bCs/>
                    <w:color w:val="000000"/>
                    <w:szCs w:val="16"/>
                  </w:rPr>
                  <w:t>(35)</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21</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(6)</w:t>
                </w:r>
              </w:p>
            </w:tc>
          </w:tr>
          <w:tr w:rsidR="0064628A">
            <w:trPr>
              <w:trHeight w:val="195"/>
            </w:trPr>
            <w:tc>
              <w:tcPr>
                <w:tcW w:w="4485"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rPr>
                    <w:rFonts w:eastAsia="Arial" w:cs="Arial"/>
                    <w:b/>
                    <w:bCs/>
                    <w:color w:val="002060"/>
                    <w:szCs w:val="16"/>
                  </w:rPr>
                </w:pPr>
                <w:r>
                  <w:rPr>
                    <w:rFonts w:eastAsia="Arial" w:cs="Arial"/>
                    <w:b/>
                    <w:bCs/>
                    <w:color w:val="002060"/>
                    <w:szCs w:val="16"/>
                  </w:rPr>
                  <w:t>Total operating expenses</w:t>
                </w:r>
              </w:p>
            </w:tc>
            <w:tc>
              <w:tcPr>
                <w:tcW w:w="1110" w:type="dxa"/>
                <w:tcBorders>
                  <w:bottom w:val="single" w:sz="6" w:space="0" w:color="002060"/>
                </w:tcBorders>
                <w:shd w:val="clear" w:color="auto" w:fill="BFBFB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0000"/>
                    <w:szCs w:val="16"/>
                  </w:rPr>
                </w:pPr>
                <w:r>
                  <w:rPr>
                    <w:rFonts w:eastAsia="Arial" w:cs="Arial"/>
                    <w:b/>
                    <w:bCs/>
                    <w:color w:val="000000"/>
                    <w:szCs w:val="16"/>
                  </w:rPr>
                  <w:t>(9,325)</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(9,645)</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A774CA" w:rsidRDefault="00A774CA">
                <w:pPr>
                  <w:spacing w:line="240" w:lineRule="auto"/>
                  <w:contextualSpacing/>
                  <w:rPr>
                    <w:rFonts w:eastAsia="Arial" w:cs="Arial"/>
                    <w:color w:val="000000"/>
                    <w:szCs w:val="16"/>
                  </w:rPr>
                </w:pPr>
              </w:p>
            </w:tc>
            <w:tc>
              <w:tcPr>
                <w:tcW w:w="1110" w:type="dxa"/>
                <w:tcBorders>
                  <w:bottom w:val="single" w:sz="6" w:space="0" w:color="002060"/>
                </w:tcBorders>
                <w:shd w:val="clear" w:color="auto" w:fill="BFBFBF"/>
                <w:tcMar>
                  <w:top w:w="0" w:type="dxa"/>
                  <w:left w:w="5" w:type="dxa"/>
                  <w:bottom w:w="0" w:type="dxa"/>
                  <w:right w:w="5" w:type="dxa"/>
                </w:tcMar>
                <w:vAlign w:val="center"/>
                <w:hideMark/>
              </w:tcPr>
              <w:p w:rsidR="00A774CA" w:rsidRDefault="00FC1FDC">
                <w:pPr>
                  <w:spacing w:line="240" w:lineRule="auto"/>
                  <w:contextualSpacing/>
                  <w:jc w:val="right"/>
                  <w:rPr>
                    <w:rFonts w:eastAsia="Arial" w:cs="Arial"/>
                    <w:b/>
                    <w:bCs/>
                    <w:color w:val="000000"/>
                    <w:szCs w:val="16"/>
                  </w:rPr>
                </w:pPr>
                <w:r>
                  <w:rPr>
                    <w:rFonts w:eastAsia="Arial" w:cs="Arial"/>
                    <w:b/>
                    <w:bCs/>
                    <w:color w:val="000000"/>
                    <w:szCs w:val="16"/>
                  </w:rPr>
                  <w:t>(2,527)</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(2,698)</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A774CA" w:rsidRDefault="00FC1FDC">
                <w:pPr>
                  <w:spacing w:line="240" w:lineRule="auto"/>
                  <w:contextualSpacing/>
                  <w:jc w:val="right"/>
                  <w:rPr>
                    <w:rFonts w:eastAsia="Arial" w:cs="Arial"/>
                    <w:color w:val="000000"/>
                    <w:szCs w:val="16"/>
                  </w:rPr>
                </w:pPr>
                <w:r>
                  <w:rPr>
                    <w:rFonts w:eastAsia="Arial" w:cs="Arial"/>
                    <w:color w:val="000000"/>
                    <w:szCs w:val="16"/>
                  </w:rPr>
                  <w:t>(2,469)</w:t>
                </w:r>
              </w:p>
            </w:tc>
          </w:tr>
        </w:tbl>
      </w:sdtContent>
    </w:sdt>
    <w:p w:rsidR="0052387C" w:rsidRDefault="0052387C" w:rsidP="00871C10">
      <w:pPr>
        <w:pStyle w:val="Normal00"/>
        <w:rPr>
          <w:rFonts w:ascii="Arial" w:eastAsia="MS Mincho" w:hAnsi="Arial" w:cs="Arial"/>
          <w:b/>
          <w:color w:val="003366"/>
          <w:sz w:val="18"/>
          <w:szCs w:val="18"/>
          <w:shd w:val="clear" w:color="auto" w:fill="FFFFFF"/>
          <w:lang w:eastAsia="ja-JP"/>
        </w:rPr>
      </w:pPr>
    </w:p>
    <w:sdt>
      <w:sdtPr>
        <w:tag w:val="&lt;ReportPackage&gt;&lt;EmbeddedContent id=&quot;91b1b451-6ddf-461d-b9f5-c54eb69f66cd&quot; lastModified=&quot;1581589654787&quot;/&gt;&lt;/ReportPackage&gt;"/>
        <w:id w:val="1201009337"/>
        <w:lock w:val="contentLocked"/>
        <w:placeholder>
          <w:docPart w:val="9DA113116B01490FB6871F29F031773E"/>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4475"/>
            <w:gridCol w:w="1109"/>
            <w:gridCol w:w="1109"/>
            <w:gridCol w:w="60"/>
            <w:gridCol w:w="1109"/>
            <w:gridCol w:w="1109"/>
            <w:gridCol w:w="1109"/>
          </w:tblGrid>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Non-statutory analysis</w:t>
                </w: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gridSpan w:val="2"/>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2060"/>
                    <w:szCs w:val="16"/>
                  </w:rPr>
                </w:pPr>
                <w:r>
                  <w:rPr>
                    <w:rFonts w:eastAsia="Arial" w:cs="Arial"/>
                    <w:b/>
                    <w:bCs/>
                    <w:color w:val="002060"/>
                    <w:szCs w:val="16"/>
                  </w:rPr>
                  <w:t>Year ended</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Cs w:val="16"/>
                  </w:rPr>
                </w:pPr>
              </w:p>
            </w:tc>
            <w:tc>
              <w:tcPr>
                <w:tcW w:w="1110" w:type="dxa"/>
                <w:gridSpan w:val="3"/>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2060"/>
                    <w:szCs w:val="16"/>
                  </w:rPr>
                </w:pPr>
                <w:r>
                  <w:rPr>
                    <w:rFonts w:eastAsia="Arial" w:cs="Arial"/>
                    <w:b/>
                    <w:bCs/>
                    <w:color w:val="002060"/>
                    <w:szCs w:val="16"/>
                  </w:rPr>
                  <w:t>Quarter ended</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31 December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30 September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31 December</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2019 </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2018 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Cs w:val="16"/>
                  </w:rPr>
                </w:pP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2019 </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2019 </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2018 </w:t>
                </w:r>
              </w:p>
            </w:tc>
          </w:tr>
          <w:tr w:rsidR="0064628A">
            <w:trPr>
              <w:trHeight w:val="195"/>
            </w:trPr>
            <w:tc>
              <w:tcPr>
                <w:tcW w:w="44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Operating expenses</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£m</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2060"/>
                    <w:szCs w:val="16"/>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£m</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£m</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Staff expenses</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(3,567)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(3,649)</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(835)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(891)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(859)</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Premises and equipment</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(1,020)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(1,241)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(290)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(369)</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Other administrative expenses</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(1,638)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(1,787)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(560)</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(405)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(623)</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28"/>
                  </w:rPr>
                  <w:t>Strategic costs</w:t>
                </w:r>
                <w:r>
                  <w:rPr>
                    <w:rStyle w:val="font67"/>
                  </w:rPr>
                  <w:t> (1)</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(1,381)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(1,004)</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(537)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(355)</w:t>
                </w:r>
              </w:p>
            </w:tc>
          </w:tr>
          <w:tr w:rsidR="0064628A">
            <w:trPr>
              <w:trHeight w:val="195"/>
            </w:trPr>
            <w:tc>
              <w:tcPr>
                <w:tcW w:w="44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Style w:val="font28"/>
                  </w:rPr>
                  <w:t>Litigation and conduct costs</w:t>
                </w:r>
                <w:r>
                  <w:rPr>
                    <w:rStyle w:val="font67"/>
                  </w:rPr>
                  <w:t> (2)</w:t>
                </w:r>
              </w:p>
            </w:tc>
            <w:tc>
              <w:tcPr>
                <w:tcW w:w="1110" w:type="dxa"/>
                <w:tcBorders>
                  <w:bottom w:val="single" w:sz="6" w:space="0" w:color="002060"/>
                </w:tcBorders>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(895)</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(1,282)</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bottom w:val="single" w:sz="6" w:space="0" w:color="002060"/>
                </w:tcBorders>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(85)</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(750)</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(92)</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Administrative expenses</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(8,501)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(8,963)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(2,307)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(2,498)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(2,298)</w:t>
                </w:r>
              </w:p>
            </w:tc>
          </w:tr>
          <w:tr w:rsidR="0064628A">
            <w:trPr>
              <w:trHeight w:val="195"/>
            </w:trPr>
            <w:tc>
              <w:tcPr>
                <w:tcW w:w="44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Depreciation and amortisation</w:t>
                </w: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(824)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(645)</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(204)</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(221)</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(165)</w:t>
                </w:r>
              </w:p>
            </w:tc>
          </w:tr>
          <w:tr w:rsidR="0064628A">
            <w:trPr>
              <w:trHeight w:val="195"/>
            </w:trPr>
            <w:tc>
              <w:tcPr>
                <w:tcW w:w="44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Impairment of other intangible assets</w:t>
                </w:r>
              </w:p>
            </w:tc>
            <w:tc>
              <w:tcPr>
                <w:tcW w:w="1110" w:type="dxa"/>
                <w:tcBorders>
                  <w:bottom w:val="single" w:sz="6" w:space="0" w:color="002060"/>
                </w:tcBorders>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(37)</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bottom w:val="single" w:sz="6" w:space="0" w:color="002060"/>
                </w:tcBorders>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(16)</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w:t>
                </w:r>
              </w:p>
            </w:tc>
          </w:tr>
          <w:tr w:rsidR="0064628A">
            <w:trPr>
              <w:trHeight w:val="195"/>
            </w:trPr>
            <w:tc>
              <w:tcPr>
                <w:tcW w:w="44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Total </w:t>
                </w:r>
              </w:p>
            </w:tc>
            <w:tc>
              <w:tcPr>
                <w:tcW w:w="1110" w:type="dxa"/>
                <w:tcBorders>
                  <w:bottom w:val="single" w:sz="6" w:space="0" w:color="002060"/>
                </w:tcBorders>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(9,325)</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(9,645)</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bottom w:val="single" w:sz="6" w:space="0" w:color="002060"/>
                </w:tcBorders>
                <w:shd w:val="clear" w:color="auto" w:fill="BFBFB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(2,527)</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(2,698)</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(2,469)</w:t>
                </w:r>
              </w:p>
            </w:tc>
          </w:tr>
        </w:tbl>
      </w:sdtContent>
    </w:sdt>
    <w:p w:rsidR="007E5DFC" w:rsidRDefault="007E5DFC" w:rsidP="00871C10">
      <w:pPr>
        <w:pStyle w:val="Normal00"/>
        <w:rPr>
          <w:rFonts w:ascii="Arial" w:hAnsi="Arial" w:cs="Arial"/>
          <w:sz w:val="14"/>
          <w:szCs w:val="14"/>
        </w:rPr>
      </w:pPr>
    </w:p>
    <w:p w:rsidR="00871C10" w:rsidRDefault="00FC1FDC" w:rsidP="00871C10">
      <w:pPr>
        <w:pStyle w:val="Normal00"/>
        <w:rPr>
          <w:rFonts w:ascii="Arial" w:hAnsi="Arial" w:cs="Arial"/>
          <w:sz w:val="14"/>
          <w:szCs w:val="14"/>
        </w:rPr>
      </w:pPr>
      <w:r>
        <w:rPr>
          <w:rFonts w:ascii="Arial" w:hAnsi="Arial" w:cs="Arial"/>
          <w:sz w:val="14"/>
          <w:szCs w:val="14"/>
        </w:rPr>
        <w:t>Notes:</w:t>
      </w:r>
    </w:p>
    <w:p w:rsidR="00871C10" w:rsidRDefault="00FC1FDC" w:rsidP="00871C10">
      <w:pPr>
        <w:pStyle w:val="Normal00"/>
        <w:numPr>
          <w:ilvl w:val="0"/>
          <w:numId w:val="7"/>
        </w:numPr>
        <w:rPr>
          <w:rFonts w:ascii="Arial" w:hAnsi="Arial" w:cs="Arial"/>
          <w:bCs/>
          <w:sz w:val="14"/>
          <w:szCs w:val="14"/>
        </w:rPr>
      </w:pPr>
      <w:r>
        <w:rPr>
          <w:rFonts w:ascii="Arial" w:hAnsi="Arial" w:cs="Arial"/>
          <w:bCs/>
          <w:sz w:val="14"/>
          <w:szCs w:val="14"/>
        </w:rPr>
        <w:t xml:space="preserve">On a statutory, or GAAP, basis, strategic costs are included within staff, premises and equipment, depreciation and amortisation, impairment of other intangible assets and other administrative expenses. </w:t>
      </w:r>
      <w:r w:rsidRPr="0098084F">
        <w:rPr>
          <w:rFonts w:ascii="Arial" w:hAnsi="Arial" w:cs="Arial"/>
          <w:bCs/>
          <w:sz w:val="14"/>
          <w:szCs w:val="14"/>
        </w:rPr>
        <w:t>Strategic costs relate to restructuring provisions, related costs and projects that are transformational in nature</w:t>
      </w:r>
      <w:r>
        <w:rPr>
          <w:rFonts w:ascii="Arial" w:hAnsi="Arial" w:cs="Arial"/>
          <w:bCs/>
          <w:sz w:val="14"/>
          <w:szCs w:val="14"/>
        </w:rPr>
        <w:t>.</w:t>
      </w:r>
    </w:p>
    <w:p w:rsidR="00871C10" w:rsidRPr="00733317" w:rsidRDefault="00FC1FDC" w:rsidP="00871C10">
      <w:pPr>
        <w:pStyle w:val="Normal00"/>
        <w:numPr>
          <w:ilvl w:val="0"/>
          <w:numId w:val="7"/>
        </w:numPr>
        <w:rPr>
          <w:rFonts w:ascii="Arial" w:hAnsi="Arial" w:cs="Arial"/>
          <w:bCs/>
          <w:sz w:val="14"/>
          <w:szCs w:val="14"/>
        </w:rPr>
      </w:pPr>
      <w:r w:rsidRPr="00733317">
        <w:rPr>
          <w:rFonts w:ascii="Arial" w:hAnsi="Arial" w:cs="Arial"/>
          <w:bCs/>
          <w:sz w:val="14"/>
          <w:szCs w:val="14"/>
        </w:rPr>
        <w:t xml:space="preserve">On a statutory, or GAAP, basis, litigation and conduct costs are included within other administrative expenses. </w:t>
      </w:r>
    </w:p>
    <w:p w:rsidR="00871C10" w:rsidRDefault="00871C10" w:rsidP="00871C10">
      <w:pPr>
        <w:rPr>
          <w:bCs/>
          <w:szCs w:val="14"/>
        </w:rPr>
      </w:pPr>
    </w:p>
    <w:p w:rsidR="00871C10" w:rsidRPr="006F1817" w:rsidRDefault="00FC1FDC" w:rsidP="00871C10">
      <w:pPr>
        <w:pStyle w:val="Normal00"/>
        <w:rPr>
          <w:rFonts w:ascii="Arial" w:eastAsia="MS Mincho" w:hAnsi="Arial" w:cs="Arial"/>
          <w:color w:val="0A2F64"/>
          <w:sz w:val="18"/>
          <w:szCs w:val="18"/>
          <w:shd w:val="clear" w:color="auto" w:fill="FFFFFF"/>
          <w:lang w:eastAsia="ja-JP"/>
        </w:rPr>
      </w:pPr>
      <w:r w:rsidRPr="006F1817">
        <w:rPr>
          <w:rFonts w:ascii="Arial" w:eastAsia="MS Mincho" w:hAnsi="Arial" w:cs="Arial"/>
          <w:color w:val="0A2F64"/>
          <w:sz w:val="18"/>
          <w:szCs w:val="18"/>
          <w:shd w:val="clear" w:color="auto" w:fill="FFFFFF"/>
          <w:lang w:eastAsia="ja-JP"/>
        </w:rPr>
        <w:t>III. Cost:income ratio</w:t>
      </w:r>
    </w:p>
    <w:p w:rsidR="00871C10" w:rsidRPr="004D7DEF" w:rsidRDefault="00871C10" w:rsidP="00871C10">
      <w:pPr>
        <w:rPr>
          <w:rFonts w:cs="Arial"/>
          <w:b/>
          <w:color w:val="0A2F64"/>
          <w:sz w:val="10"/>
          <w:szCs w:val="10"/>
        </w:rPr>
      </w:pPr>
    </w:p>
    <w:sdt>
      <w:sdtPr>
        <w:tag w:val="&lt;ReportPackage&gt;&lt;EmbeddedContent id=&quot;7f718832-c9d8-4fd0-9a56-fbc3342a9e75&quot; lastModified=&quot;1581639495653&quot;/&gt;&lt;/ReportPackage&gt;"/>
        <w:id w:val="1054851693"/>
        <w:lock w:val="contentLocked"/>
        <w:placeholder>
          <w:docPart w:val="6457183302EE4EBFA8A0E328899547F9"/>
        </w:placeholder>
      </w:sdtPr>
      <w:sdtEndPr/>
      <w:sdtContent>
        <w:tbl>
          <w:tblPr>
            <w:tblStyle w:val="table"/>
            <w:tblW w:w="10040" w:type="dxa"/>
            <w:tblInd w:w="5" w:type="dxa"/>
            <w:tblCellMar>
              <w:left w:w="0" w:type="dxa"/>
              <w:right w:w="0" w:type="dxa"/>
            </w:tblCellMar>
            <w:tblLook w:val="05E0" w:firstRow="1" w:lastRow="1" w:firstColumn="1" w:lastColumn="1" w:noHBand="0" w:noVBand="1"/>
          </w:tblPr>
          <w:tblGrid>
            <w:gridCol w:w="2825"/>
            <w:gridCol w:w="810"/>
            <w:gridCol w:w="735"/>
            <w:gridCol w:w="60"/>
            <w:gridCol w:w="1035"/>
            <w:gridCol w:w="735"/>
            <w:gridCol w:w="1110"/>
            <w:gridCol w:w="810"/>
            <w:gridCol w:w="1185"/>
            <w:gridCol w:w="735"/>
          </w:tblGrid>
          <w:tr w:rsidR="0064628A">
            <w:trPr>
              <w:trHeight w:val="195"/>
            </w:trPr>
            <w:tc>
              <w:tcPr>
                <w:tcW w:w="28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Cs w:val="16"/>
                  </w:rPr>
                </w:pPr>
              </w:p>
            </w:tc>
            <w:tc>
              <w:tcPr>
                <w:tcW w:w="810"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UK</w:t>
                </w:r>
              </w:p>
            </w:tc>
            <w:tc>
              <w:tcPr>
                <w:tcW w:w="73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Ulster</w:t>
                </w:r>
              </w:p>
            </w:tc>
            <w:tc>
              <w:tcPr>
                <w:tcW w:w="60" w:type="dxa"/>
                <w:shd w:val="clear" w:color="auto" w:fill="FFFFFF"/>
                <w:noWrap/>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c>
              <w:tcPr>
                <w:tcW w:w="1035" w:type="dxa"/>
                <w:shd w:val="clear" w:color="auto" w:fill="FFFFFF"/>
                <w:noWrap/>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2060"/>
                    <w:szCs w:val="16"/>
                  </w:rPr>
                </w:pPr>
              </w:p>
            </w:tc>
            <w:tc>
              <w:tcPr>
                <w:tcW w:w="735" w:type="dxa"/>
                <w:shd w:val="clear" w:color="auto" w:fill="FFFFFF"/>
                <w:noWrap/>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2060"/>
                    <w:szCs w:val="16"/>
                  </w:rPr>
                </w:pPr>
              </w:p>
            </w:tc>
            <w:tc>
              <w:tcPr>
                <w:tcW w:w="1110" w:type="dxa"/>
                <w:shd w:val="clear" w:color="auto" w:fill="FFFFFF"/>
                <w:noWrap/>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2060"/>
                    <w:szCs w:val="16"/>
                  </w:rPr>
                </w:pPr>
              </w:p>
            </w:tc>
            <w:tc>
              <w:tcPr>
                <w:tcW w:w="810" w:type="dxa"/>
                <w:shd w:val="clear" w:color="auto" w:fill="FFFFFF"/>
                <w:noWrap/>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2060"/>
                    <w:szCs w:val="16"/>
                  </w:rPr>
                </w:pPr>
              </w:p>
            </w:tc>
            <w:tc>
              <w:tcPr>
                <w:tcW w:w="1185" w:type="dxa"/>
                <w:shd w:val="clear" w:color="auto" w:fill="FFFFFF"/>
                <w:noWrap/>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2060"/>
                    <w:szCs w:val="16"/>
                  </w:rPr>
                </w:pPr>
              </w:p>
            </w:tc>
            <w:tc>
              <w:tcPr>
                <w:tcW w:w="735" w:type="dxa"/>
                <w:shd w:val="clear" w:color="auto" w:fill="FFFFFF"/>
                <w:noWrap/>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2060"/>
                    <w:szCs w:val="16"/>
                  </w:rPr>
                </w:pP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810"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Personal</w:t>
                </w:r>
              </w:p>
            </w:tc>
            <w:tc>
              <w:tcPr>
                <w:tcW w:w="73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 Bank</w:t>
                </w:r>
              </w:p>
            </w:tc>
            <w:tc>
              <w:tcPr>
                <w:tcW w:w="60" w:type="dxa"/>
                <w:gridSpan w:val="2"/>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Commercial</w:t>
                </w:r>
              </w:p>
            </w:tc>
            <w:tc>
              <w:tcPr>
                <w:tcW w:w="73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Private</w:t>
                </w:r>
              </w:p>
            </w:tc>
            <w:tc>
              <w:tcPr>
                <w:tcW w:w="1110"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RBS</w:t>
                </w:r>
              </w:p>
            </w:tc>
            <w:tc>
              <w:tcPr>
                <w:tcW w:w="810"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NatWest</w:t>
                </w:r>
              </w:p>
            </w:tc>
            <w:tc>
              <w:tcPr>
                <w:tcW w:w="118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Central items</w:t>
                </w:r>
              </w:p>
            </w:tc>
            <w:tc>
              <w:tcPr>
                <w:tcW w:w="73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 xml:space="preserve">RBS </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Cs w:val="16"/>
                  </w:rPr>
                </w:pPr>
              </w:p>
            </w:tc>
            <w:tc>
              <w:tcPr>
                <w:tcW w:w="810"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Banking</w:t>
                </w:r>
              </w:p>
            </w:tc>
            <w:tc>
              <w:tcPr>
                <w:tcW w:w="73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RoI</w:t>
                </w:r>
              </w:p>
            </w:tc>
            <w:tc>
              <w:tcPr>
                <w:tcW w:w="60" w:type="dxa"/>
                <w:shd w:val="clear" w:color="auto" w:fill="FFFFFF"/>
                <w:noWrap/>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c>
              <w:tcPr>
                <w:tcW w:w="103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Banking</w:t>
                </w:r>
              </w:p>
            </w:tc>
            <w:tc>
              <w:tcPr>
                <w:tcW w:w="73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Banking</w:t>
                </w:r>
              </w:p>
            </w:tc>
            <w:tc>
              <w:tcPr>
                <w:tcW w:w="1110"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International</w:t>
                </w:r>
              </w:p>
            </w:tc>
            <w:tc>
              <w:tcPr>
                <w:tcW w:w="810"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Markets</w:t>
                </w:r>
              </w:p>
            </w:tc>
            <w:tc>
              <w:tcPr>
                <w:tcW w:w="118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&amp; other</w:t>
                </w:r>
              </w:p>
            </w:tc>
            <w:tc>
              <w:tcPr>
                <w:tcW w:w="73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Group</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Year ended 31 December 2019</w:t>
                </w:r>
              </w:p>
            </w:tc>
            <w:tc>
              <w:tcPr>
                <w:tcW w:w="810"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735"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60"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c>
              <w:tcPr>
                <w:tcW w:w="1035"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735"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1110"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810"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1185"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735"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expenses</w:t>
                </w:r>
              </w:p>
            </w:tc>
            <w:tc>
              <w:tcPr>
                <w:tcW w:w="8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(3,618)</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(552)</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(2,600)</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(486)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(264)</w:t>
                </w:r>
              </w:p>
            </w:tc>
            <w:tc>
              <w:tcPr>
                <w:tcW w:w="8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(1,418)</w:t>
                </w:r>
              </w:p>
            </w:tc>
            <w:tc>
              <w:tcPr>
                <w:tcW w:w="118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(387)</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(9,325)</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Operating lease depreciation </w:t>
                </w:r>
              </w:p>
            </w:tc>
            <w:tc>
              <w:tcPr>
                <w:tcW w:w="8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60" w:type="dxa"/>
                <w:tcBorders>
                  <w:bottom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138</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8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8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138</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operating expenses</w:t>
                </w:r>
              </w:p>
            </w:tc>
            <w:tc>
              <w:tcPr>
                <w:tcW w:w="8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(3,618)</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(552)</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(2,462)</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(486)</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(264)</w:t>
                </w:r>
              </w:p>
            </w:tc>
            <w:tc>
              <w:tcPr>
                <w:tcW w:w="8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(1,418)</w:t>
                </w:r>
              </w:p>
            </w:tc>
            <w:tc>
              <w:tcPr>
                <w:tcW w:w="118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(387)</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(9,187)</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income</w:t>
                </w:r>
              </w:p>
            </w:tc>
            <w:tc>
              <w:tcPr>
                <w:tcW w:w="8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4,866</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567</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4,318</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777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610</w:t>
                </w:r>
              </w:p>
            </w:tc>
            <w:tc>
              <w:tcPr>
                <w:tcW w:w="8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1,342</w:t>
                </w:r>
              </w:p>
            </w:tc>
            <w:tc>
              <w:tcPr>
                <w:tcW w:w="118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1,773</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14,253</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Operating lease depreciation </w:t>
                </w:r>
              </w:p>
            </w:tc>
            <w:tc>
              <w:tcPr>
                <w:tcW w:w="8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60" w:type="dxa"/>
                <w:tcBorders>
                  <w:bottom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(138)</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8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8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(138)</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total income</w:t>
                </w:r>
              </w:p>
            </w:tc>
            <w:tc>
              <w:tcPr>
                <w:tcW w:w="8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4,866</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567</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4,180</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777</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610</w:t>
                </w:r>
              </w:p>
            </w:tc>
            <w:tc>
              <w:tcPr>
                <w:tcW w:w="8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1,342</w:t>
                </w:r>
              </w:p>
            </w:tc>
            <w:tc>
              <w:tcPr>
                <w:tcW w:w="118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1,773</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14,115</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Cost:income ratio</w:t>
                </w:r>
              </w:p>
            </w:tc>
            <w:tc>
              <w:tcPr>
                <w:tcW w:w="8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74.4%</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97.4%</w:t>
                </w:r>
              </w:p>
            </w:tc>
            <w:tc>
              <w:tcPr>
                <w:tcW w:w="60" w:type="dxa"/>
                <w:tcBorders>
                  <w:bottom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58.9%</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62.5%</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43.3%</w:t>
                </w:r>
              </w:p>
            </w:tc>
            <w:tc>
              <w:tcPr>
                <w:tcW w:w="8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105.7%</w:t>
                </w:r>
              </w:p>
            </w:tc>
            <w:tc>
              <w:tcPr>
                <w:tcW w:w="118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65.1%</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3366"/>
                    <w:szCs w:val="16"/>
                  </w:rPr>
                </w:pPr>
              </w:p>
            </w:tc>
            <w:tc>
              <w:tcPr>
                <w:tcW w:w="81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3366"/>
                    <w:szCs w:val="16"/>
                  </w:rPr>
                </w:pPr>
              </w:p>
            </w:tc>
            <w:tc>
              <w:tcPr>
                <w:tcW w:w="7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7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8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118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c>
              <w:tcPr>
                <w:tcW w:w="7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3366"/>
                    <w:szCs w:val="16"/>
                  </w:rPr>
                </w:pP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Year ended 31 December 2018</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8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expenses</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(2,867)</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(583)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(2,487)</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(478)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(260)</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(1,604)</w:t>
                </w:r>
              </w:p>
            </w:tc>
            <w:tc>
              <w:tcPr>
                <w:tcW w:w="118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(1,366)</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(9,645)</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Operating lease depreciation </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121</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121</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operating expenses</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(2,867)</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(583)</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(2,366)</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(478)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(260)</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(1,604)</w:t>
                </w:r>
              </w:p>
            </w:tc>
            <w:tc>
              <w:tcPr>
                <w:tcW w:w="118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(1,366)</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(9,524)</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income</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5,054</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610</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4,602</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775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594</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1,442</w:t>
                </w:r>
              </w:p>
            </w:tc>
            <w:tc>
              <w:tcPr>
                <w:tcW w:w="118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325</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13,402</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Operating lease depreciation </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(121)</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(121)</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total income</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5,054</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610</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4,481</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775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594</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1,442</w:t>
                </w:r>
              </w:p>
            </w:tc>
            <w:tc>
              <w:tcPr>
                <w:tcW w:w="118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325</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13,281</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Cost:income ratio</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56.7%</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95.6%</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52.8%</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61.7%</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43.8%</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111.2%</w:t>
                </w:r>
              </w:p>
            </w:tc>
            <w:tc>
              <w:tcPr>
                <w:tcW w:w="1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71.7%</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8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7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7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8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8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7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285"/>
            </w:trPr>
            <w:tc>
              <w:tcPr>
                <w:tcW w:w="2835" w:type="dxa"/>
                <w:gridSpan w:val="10"/>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 w:val="14"/>
                    <w:szCs w:val="14"/>
                  </w:rPr>
                </w:pPr>
                <w:r>
                  <w:rPr>
                    <w:rFonts w:eastAsia="Arial" w:cs="Arial"/>
                    <w:color w:val="000000"/>
                    <w:sz w:val="14"/>
                    <w:szCs w:val="14"/>
                  </w:rPr>
                  <w:t>*Prior period data has been restated for the business re-segmentation completed in Q1 2019. Refer to Note 1 for further details.</w:t>
                </w:r>
              </w:p>
            </w:tc>
          </w:tr>
          <w:tr w:rsidR="0064628A">
            <w:trPr>
              <w:trHeight w:val="240"/>
            </w:trPr>
            <w:tc>
              <w:tcPr>
                <w:tcW w:w="2835" w:type="dxa"/>
                <w:gridSpan w:val="10"/>
                <w:shd w:val="clear" w:color="auto" w:fill="FFFFFF"/>
                <w:tcMar>
                  <w:top w:w="0" w:type="dxa"/>
                  <w:left w:w="5" w:type="dxa"/>
                  <w:bottom w:w="0" w:type="dxa"/>
                  <w:right w:w="5" w:type="dxa"/>
                </w:tcMar>
                <w:vAlign w:val="center"/>
                <w:hideMark/>
              </w:tcPr>
              <w:p w:rsidR="0064628A" w:rsidRDefault="0047542A">
                <w:pPr>
                  <w:spacing w:line="240" w:lineRule="auto"/>
                  <w:contextualSpacing/>
                  <w:rPr>
                    <w:rFonts w:eastAsia="Arial" w:cs="Arial"/>
                    <w:color w:val="000000"/>
                    <w:sz w:val="12"/>
                    <w:szCs w:val="12"/>
                  </w:rPr>
                </w:pPr>
              </w:p>
            </w:tc>
          </w:tr>
        </w:tbl>
      </w:sdtContent>
    </w:sdt>
    <w:p w:rsidR="00871C10" w:rsidRDefault="00FC1FDC" w:rsidP="00871C10">
      <w:pPr>
        <w:spacing w:after="200"/>
        <w:rPr>
          <w:rFonts w:cs="Arial"/>
          <w:b/>
          <w:color w:val="0A2F64"/>
          <w:szCs w:val="18"/>
        </w:rPr>
        <w:sectPr w:rsidR="00871C10" w:rsidSect="00D54F5F">
          <w:headerReference w:type="default" r:id="rId128"/>
          <w:footerReference w:type="default" r:id="rId129"/>
          <w:pgSz w:w="11906" w:h="16838"/>
          <w:pgMar w:top="1134" w:right="851" w:bottom="680" w:left="851" w:header="708" w:footer="708" w:gutter="0"/>
          <w:pgNumType w:start="1"/>
          <w:cols w:space="708"/>
          <w:docGrid w:linePitch="360"/>
        </w:sectPr>
      </w:pPr>
      <w:r>
        <w:rPr>
          <w:rFonts w:cs="Arial"/>
          <w:b/>
          <w:color w:val="0A2F64"/>
          <w:szCs w:val="18"/>
        </w:rPr>
        <w:br w:type="page"/>
      </w:r>
    </w:p>
    <w:p w:rsidR="006F1817" w:rsidRPr="006F1817" w:rsidRDefault="00FC1FDC" w:rsidP="006F1817">
      <w:pPr>
        <w:pStyle w:val="Header"/>
        <w:rPr>
          <w:b/>
          <w:color w:val="0A2F64"/>
          <w:sz w:val="18"/>
          <w:szCs w:val="18"/>
        </w:rPr>
      </w:pPr>
      <w:r>
        <w:rPr>
          <w:b/>
          <w:color w:val="0A2F64"/>
          <w:sz w:val="18"/>
          <w:szCs w:val="18"/>
        </w:rPr>
        <w:t>Appendix – Non–I</w:t>
      </w:r>
      <w:r w:rsidRPr="006F1817">
        <w:rPr>
          <w:b/>
          <w:color w:val="0A2F64"/>
          <w:sz w:val="18"/>
          <w:szCs w:val="18"/>
        </w:rPr>
        <w:t>FRS financial measures</w:t>
      </w:r>
    </w:p>
    <w:p w:rsidR="0052387C" w:rsidRPr="006F1817" w:rsidRDefault="00FC1FDC" w:rsidP="0052387C">
      <w:pPr>
        <w:pStyle w:val="Normal00"/>
        <w:rPr>
          <w:rFonts w:ascii="Arial" w:eastAsia="MS Mincho" w:hAnsi="Arial" w:cs="Arial"/>
          <w:color w:val="0A2F64"/>
          <w:sz w:val="18"/>
          <w:szCs w:val="18"/>
          <w:shd w:val="clear" w:color="auto" w:fill="FFFFFF"/>
          <w:lang w:eastAsia="ja-JP"/>
        </w:rPr>
      </w:pPr>
      <w:r w:rsidRPr="006F1817">
        <w:rPr>
          <w:rFonts w:ascii="Arial" w:eastAsia="MS Mincho" w:hAnsi="Arial" w:cs="Arial"/>
          <w:color w:val="0A2F64"/>
          <w:sz w:val="18"/>
          <w:szCs w:val="18"/>
          <w:shd w:val="clear" w:color="auto" w:fill="FFFFFF"/>
          <w:lang w:eastAsia="ja-JP"/>
        </w:rPr>
        <w:t>III. Cost:income ratio</w:t>
      </w:r>
    </w:p>
    <w:p w:rsidR="0052387C" w:rsidRDefault="0052387C" w:rsidP="00871C10">
      <w:pPr>
        <w:pStyle w:val="Normal00"/>
        <w:rPr>
          <w:rFonts w:ascii="Arial" w:hAnsi="Arial" w:cs="Arial"/>
          <w:b/>
          <w:color w:val="06B3C5"/>
          <w:sz w:val="18"/>
          <w:szCs w:val="18"/>
        </w:rPr>
      </w:pPr>
    </w:p>
    <w:sdt>
      <w:sdtPr>
        <w:tag w:val="&lt;ReportPackage&gt;&lt;EmbeddedContent id=&quot;8c08609e-05b3-434b-adec-9128dcdeb821&quot; lastModified=&quot;1581639495653&quot;/&gt;&lt;/ReportPackage&gt;"/>
        <w:id w:val="1332469914"/>
        <w:lock w:val="contentLocked"/>
        <w:placeholder>
          <w:docPart w:val="A5730D46419640738D002B245193E7D3"/>
        </w:placeholder>
      </w:sdtPr>
      <w:sdtEndPr/>
      <w:sdtContent>
        <w:tbl>
          <w:tblPr>
            <w:tblStyle w:val="table"/>
            <w:tblW w:w="10040" w:type="dxa"/>
            <w:tblInd w:w="5" w:type="dxa"/>
            <w:tblCellMar>
              <w:left w:w="0" w:type="dxa"/>
              <w:right w:w="0" w:type="dxa"/>
            </w:tblCellMar>
            <w:tblLook w:val="05E0" w:firstRow="1" w:lastRow="1" w:firstColumn="1" w:lastColumn="1" w:noHBand="0" w:noVBand="1"/>
          </w:tblPr>
          <w:tblGrid>
            <w:gridCol w:w="2825"/>
            <w:gridCol w:w="810"/>
            <w:gridCol w:w="735"/>
            <w:gridCol w:w="60"/>
            <w:gridCol w:w="1035"/>
            <w:gridCol w:w="735"/>
            <w:gridCol w:w="1110"/>
            <w:gridCol w:w="810"/>
            <w:gridCol w:w="1185"/>
            <w:gridCol w:w="735"/>
          </w:tblGrid>
          <w:tr w:rsidR="0064628A">
            <w:trPr>
              <w:trHeight w:val="195"/>
            </w:trPr>
            <w:tc>
              <w:tcPr>
                <w:tcW w:w="28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Cs w:val="16"/>
                  </w:rPr>
                </w:pPr>
              </w:p>
            </w:tc>
            <w:tc>
              <w:tcPr>
                <w:tcW w:w="810"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UK</w:t>
                </w:r>
              </w:p>
            </w:tc>
            <w:tc>
              <w:tcPr>
                <w:tcW w:w="73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Ulster</w:t>
                </w:r>
              </w:p>
            </w:tc>
            <w:tc>
              <w:tcPr>
                <w:tcW w:w="60" w:type="dxa"/>
                <w:shd w:val="clear" w:color="auto" w:fill="FFFFFF"/>
                <w:noWrap/>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c>
              <w:tcPr>
                <w:tcW w:w="1035" w:type="dxa"/>
                <w:shd w:val="clear" w:color="auto" w:fill="FFFFFF"/>
                <w:noWrap/>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2060"/>
                    <w:szCs w:val="16"/>
                  </w:rPr>
                </w:pPr>
              </w:p>
            </w:tc>
            <w:tc>
              <w:tcPr>
                <w:tcW w:w="735" w:type="dxa"/>
                <w:shd w:val="clear" w:color="auto" w:fill="FFFFFF"/>
                <w:noWrap/>
                <w:tcMar>
                  <w:top w:w="0" w:type="dxa"/>
                  <w:left w:w="5" w:type="dxa"/>
                  <w:bottom w:w="0" w:type="dxa"/>
                  <w:right w:w="5" w:type="dxa"/>
                </w:tcMar>
                <w:vAlign w:val="center"/>
                <w:hideMark/>
              </w:tcPr>
              <w:p w:rsidR="0064628A" w:rsidRDefault="0064628A">
                <w:pPr>
                  <w:spacing w:line="240" w:lineRule="auto"/>
                  <w:contextualSpacing/>
                  <w:jc w:val="center"/>
                  <w:rPr>
                    <w:rFonts w:eastAsia="Arial" w:cs="Arial"/>
                    <w:b/>
                    <w:bCs/>
                    <w:color w:val="002060"/>
                    <w:szCs w:val="16"/>
                  </w:rPr>
                </w:pPr>
              </w:p>
            </w:tc>
            <w:tc>
              <w:tcPr>
                <w:tcW w:w="1110" w:type="dxa"/>
                <w:shd w:val="clear" w:color="auto" w:fill="FFFFFF"/>
                <w:noWrap/>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2060"/>
                    <w:szCs w:val="16"/>
                  </w:rPr>
                </w:pPr>
              </w:p>
            </w:tc>
            <w:tc>
              <w:tcPr>
                <w:tcW w:w="810" w:type="dxa"/>
                <w:shd w:val="clear" w:color="auto" w:fill="FFFFFF"/>
                <w:noWrap/>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2060"/>
                    <w:szCs w:val="16"/>
                  </w:rPr>
                </w:pPr>
              </w:p>
            </w:tc>
            <w:tc>
              <w:tcPr>
                <w:tcW w:w="1185" w:type="dxa"/>
                <w:shd w:val="clear" w:color="auto" w:fill="FFFFFF"/>
                <w:noWrap/>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2060"/>
                    <w:szCs w:val="16"/>
                  </w:rPr>
                </w:pPr>
              </w:p>
            </w:tc>
            <w:tc>
              <w:tcPr>
                <w:tcW w:w="735" w:type="dxa"/>
                <w:shd w:val="clear" w:color="auto" w:fill="FFFFFF"/>
                <w:noWrap/>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2060"/>
                    <w:szCs w:val="16"/>
                  </w:rPr>
                </w:pP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810"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Personal</w:t>
                </w:r>
              </w:p>
            </w:tc>
            <w:tc>
              <w:tcPr>
                <w:tcW w:w="73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 Bank</w:t>
                </w:r>
              </w:p>
            </w:tc>
            <w:tc>
              <w:tcPr>
                <w:tcW w:w="60" w:type="dxa"/>
                <w:gridSpan w:val="2"/>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Commercial</w:t>
                </w:r>
              </w:p>
            </w:tc>
            <w:tc>
              <w:tcPr>
                <w:tcW w:w="73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Private</w:t>
                </w:r>
              </w:p>
            </w:tc>
            <w:tc>
              <w:tcPr>
                <w:tcW w:w="1110"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RBS</w:t>
                </w:r>
              </w:p>
            </w:tc>
            <w:tc>
              <w:tcPr>
                <w:tcW w:w="810"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NatWest</w:t>
                </w:r>
              </w:p>
            </w:tc>
            <w:tc>
              <w:tcPr>
                <w:tcW w:w="118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Central items</w:t>
                </w:r>
              </w:p>
            </w:tc>
            <w:tc>
              <w:tcPr>
                <w:tcW w:w="73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 xml:space="preserve">RBS </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Cs w:val="16"/>
                  </w:rPr>
                </w:pPr>
              </w:p>
            </w:tc>
            <w:tc>
              <w:tcPr>
                <w:tcW w:w="810"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Banking</w:t>
                </w:r>
              </w:p>
            </w:tc>
            <w:tc>
              <w:tcPr>
                <w:tcW w:w="73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RoI</w:t>
                </w:r>
              </w:p>
            </w:tc>
            <w:tc>
              <w:tcPr>
                <w:tcW w:w="60" w:type="dxa"/>
                <w:shd w:val="clear" w:color="auto" w:fill="FFFFFF"/>
                <w:noWrap/>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c>
              <w:tcPr>
                <w:tcW w:w="103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Banking</w:t>
                </w:r>
              </w:p>
            </w:tc>
            <w:tc>
              <w:tcPr>
                <w:tcW w:w="73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Banking</w:t>
                </w:r>
              </w:p>
            </w:tc>
            <w:tc>
              <w:tcPr>
                <w:tcW w:w="1110"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International</w:t>
                </w:r>
              </w:p>
            </w:tc>
            <w:tc>
              <w:tcPr>
                <w:tcW w:w="810"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Markets</w:t>
                </w:r>
              </w:p>
            </w:tc>
            <w:tc>
              <w:tcPr>
                <w:tcW w:w="118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&amp; other</w:t>
                </w:r>
              </w:p>
            </w:tc>
            <w:tc>
              <w:tcPr>
                <w:tcW w:w="735" w:type="dxa"/>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Group</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 w:val="12"/>
                    <w:szCs w:val="12"/>
                  </w:rPr>
                </w:pPr>
              </w:p>
            </w:tc>
            <w:tc>
              <w:tcPr>
                <w:tcW w:w="810"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735"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60"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2060"/>
                    <w:szCs w:val="16"/>
                  </w:rPr>
                </w:pPr>
              </w:p>
            </w:tc>
            <w:tc>
              <w:tcPr>
                <w:tcW w:w="1035"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735"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1110"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810"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1185"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735" w:type="dxa"/>
                <w:tcBorders>
                  <w:bottom w:val="single" w:sz="6" w:space="0" w:color="002060"/>
                </w:tcBorders>
                <w:shd w:val="clear" w:color="auto" w:fill="FFFFFF"/>
                <w:noWrap/>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r>
          <w:tr w:rsidR="0064628A">
            <w:trPr>
              <w:trHeight w:val="195"/>
            </w:trPr>
            <w:tc>
              <w:tcPr>
                <w:tcW w:w="2835" w:type="dxa"/>
                <w:tcBorders>
                  <w:top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b/>
                    <w:bCs/>
                    <w:color w:val="002060"/>
                    <w:szCs w:val="16"/>
                  </w:rPr>
                </w:pPr>
                <w:r>
                  <w:rPr>
                    <w:rFonts w:eastAsia="Arial" w:cs="Arial"/>
                    <w:b/>
                    <w:bCs/>
                    <w:color w:val="002060"/>
                    <w:szCs w:val="16"/>
                  </w:rPr>
                  <w:t>Quarter ended 31 December 2019</w:t>
                </w:r>
              </w:p>
            </w:tc>
            <w:tc>
              <w:tcPr>
                <w:tcW w:w="810" w:type="dxa"/>
                <w:tcBorders>
                  <w:top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735" w:type="dxa"/>
                <w:tcBorders>
                  <w:top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60" w:type="dxa"/>
                <w:tcBorders>
                  <w:top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Cs w:val="16"/>
                  </w:rPr>
                </w:pPr>
              </w:p>
            </w:tc>
            <w:tc>
              <w:tcPr>
                <w:tcW w:w="1035" w:type="dxa"/>
                <w:tcBorders>
                  <w:top w:val="single" w:sz="6" w:space="0" w:color="002060"/>
                </w:tcBorders>
                <w:shd w:val="clear" w:color="auto" w:fill="C0C0C0"/>
                <w:noWrap/>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735" w:type="dxa"/>
                <w:tcBorders>
                  <w:top w:val="single" w:sz="6" w:space="0" w:color="002060"/>
                </w:tcBorders>
                <w:shd w:val="clear" w:color="auto" w:fill="C0C0C0"/>
                <w:noWrap/>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tcBorders>
                  <w:top w:val="single" w:sz="6" w:space="0" w:color="002060"/>
                </w:tcBorders>
                <w:shd w:val="clear" w:color="auto" w:fill="C0C0C0"/>
                <w:noWrap/>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810" w:type="dxa"/>
                <w:tcBorders>
                  <w:top w:val="single" w:sz="6" w:space="0" w:color="002060"/>
                </w:tcBorders>
                <w:shd w:val="clear" w:color="auto" w:fill="C0C0C0"/>
                <w:noWrap/>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85" w:type="dxa"/>
                <w:tcBorders>
                  <w:top w:val="single" w:sz="6" w:space="0" w:color="002060"/>
                </w:tcBorders>
                <w:shd w:val="clear" w:color="auto" w:fill="C0C0C0"/>
                <w:noWrap/>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735" w:type="dxa"/>
                <w:tcBorders>
                  <w:top w:val="single" w:sz="6" w:space="0" w:color="002060"/>
                </w:tcBorders>
                <w:shd w:val="clear" w:color="auto" w:fill="C0C0C0"/>
                <w:noWrap/>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expenses</w:t>
                </w:r>
              </w:p>
            </w:tc>
            <w:tc>
              <w:tcPr>
                <w:tcW w:w="8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(788)</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(140)</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(700)</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(83)</w:t>
                </w:r>
              </w:p>
            </w:tc>
            <w:tc>
              <w:tcPr>
                <w:tcW w:w="8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(392)</w:t>
                </w:r>
              </w:p>
            </w:tc>
            <w:tc>
              <w:tcPr>
                <w:tcW w:w="118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(289)</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(2,527)</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lease depreciation</w:t>
                </w:r>
              </w:p>
            </w:tc>
            <w:tc>
              <w:tcPr>
                <w:tcW w:w="8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60" w:type="dxa"/>
                <w:tcBorders>
                  <w:bottom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35</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8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8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35</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operating expenses</w:t>
                </w:r>
              </w:p>
            </w:tc>
            <w:tc>
              <w:tcPr>
                <w:tcW w:w="8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(788)</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(140)</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(665)</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(83)</w:t>
                </w:r>
              </w:p>
            </w:tc>
            <w:tc>
              <w:tcPr>
                <w:tcW w:w="8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(392)</w:t>
                </w:r>
              </w:p>
            </w:tc>
            <w:tc>
              <w:tcPr>
                <w:tcW w:w="118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(289)</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(2,492)</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income</w:t>
                </w:r>
              </w:p>
            </w:tc>
            <w:tc>
              <w:tcPr>
                <w:tcW w:w="8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1,195</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139</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1,076</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150</w:t>
                </w:r>
              </w:p>
            </w:tc>
            <w:tc>
              <w:tcPr>
                <w:tcW w:w="8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250</w:t>
                </w:r>
              </w:p>
            </w:tc>
            <w:tc>
              <w:tcPr>
                <w:tcW w:w="118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1,228</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4,233</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lease depreciation</w:t>
                </w:r>
              </w:p>
            </w:tc>
            <w:tc>
              <w:tcPr>
                <w:tcW w:w="8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60" w:type="dxa"/>
                <w:tcBorders>
                  <w:bottom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(35)</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8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118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(35)</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total income</w:t>
                </w:r>
              </w:p>
            </w:tc>
            <w:tc>
              <w:tcPr>
                <w:tcW w:w="8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1,195</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139</w:t>
                </w:r>
              </w:p>
            </w:tc>
            <w:tc>
              <w:tcPr>
                <w:tcW w:w="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1,041</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195</w:t>
                </w:r>
              </w:p>
            </w:tc>
            <w:tc>
              <w:tcPr>
                <w:tcW w:w="11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150</w:t>
                </w:r>
              </w:p>
            </w:tc>
            <w:tc>
              <w:tcPr>
                <w:tcW w:w="81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250</w:t>
                </w:r>
              </w:p>
            </w:tc>
            <w:tc>
              <w:tcPr>
                <w:tcW w:w="118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1,228</w:t>
                </w:r>
              </w:p>
            </w:tc>
            <w:tc>
              <w:tcPr>
                <w:tcW w:w="735"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4,198</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Cost:income ratio </w:t>
                </w:r>
              </w:p>
            </w:tc>
            <w:tc>
              <w:tcPr>
                <w:tcW w:w="8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65.9%</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100.7%</w:t>
                </w:r>
              </w:p>
            </w:tc>
            <w:tc>
              <w:tcPr>
                <w:tcW w:w="60" w:type="dxa"/>
                <w:tcBorders>
                  <w:bottom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0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63.9%</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69.2%</w:t>
                </w:r>
              </w:p>
            </w:tc>
            <w:tc>
              <w:tcPr>
                <w:tcW w:w="11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55.3%</w:t>
                </w:r>
              </w:p>
            </w:tc>
            <w:tc>
              <w:tcPr>
                <w:tcW w:w="81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156.8%</w:t>
                </w:r>
              </w:p>
            </w:tc>
            <w:tc>
              <w:tcPr>
                <w:tcW w:w="118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nm</w:t>
                </w:r>
              </w:p>
            </w:tc>
            <w:tc>
              <w:tcPr>
                <w:tcW w:w="735"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59.4%</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8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7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7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8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8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7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Quarter ended 30 September 2019</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8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expenses</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(1,601)</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(638)</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(62)</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(348)</w:t>
                </w:r>
              </w:p>
            </w:tc>
            <w:tc>
              <w:tcPr>
                <w:tcW w:w="118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201</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(2,698)</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lease depreciation</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operating expenses</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(1,601)</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(131)</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(603)</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(62)</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(348)</w:t>
                </w:r>
              </w:p>
            </w:tc>
            <w:tc>
              <w:tcPr>
                <w:tcW w:w="118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201</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(2,663)</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income</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1,224</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145</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1,077</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w:t>
                </w:r>
              </w:p>
            </w:tc>
            <w:tc>
              <w:tcPr>
                <w:tcW w:w="118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2,903</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lease depreciation</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(35)</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total income</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1,224</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145</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1,042</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150</w:t>
                </w:r>
              </w:p>
            </w:tc>
            <w:tc>
              <w:tcPr>
                <w:tcW w:w="118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2,868</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Cost:income ratio </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130.8%</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90.3%</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57.9%</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60.1%</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41.3%</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232.0%</w:t>
                </w:r>
              </w:p>
            </w:tc>
            <w:tc>
              <w:tcPr>
                <w:tcW w:w="1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92.9%</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8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7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7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8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18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73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Quarter ended 31 December 2018</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18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expenses</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(757)</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(164)</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(764)</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(86)</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(455)</w:t>
                </w:r>
              </w:p>
            </w:tc>
            <w:tc>
              <w:tcPr>
                <w:tcW w:w="118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(100)</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(2,469)</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lease depreciation</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32</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32</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operating expenses</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(757)</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(164)</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(732)</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(143)</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(86)</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(455)</w:t>
                </w:r>
              </w:p>
            </w:tc>
            <w:tc>
              <w:tcPr>
                <w:tcW w:w="118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(100)</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(2,437)</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Total income</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1,246</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1,116</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155</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152</w:t>
                </w:r>
              </w:p>
            </w:tc>
            <w:tc>
              <w:tcPr>
                <w:tcW w:w="118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44</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3,058</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Operating lease depreciation</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(32)</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1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(32)</w:t>
                </w:r>
              </w:p>
            </w:tc>
          </w:tr>
          <w:tr w:rsidR="0064628A">
            <w:trPr>
              <w:trHeight w:val="195"/>
            </w:trPr>
            <w:tc>
              <w:tcPr>
                <w:tcW w:w="283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Adjusted total income</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1,246</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147</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1,084</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198</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155</w:t>
                </w:r>
              </w:p>
            </w:tc>
            <w:tc>
              <w:tcPr>
                <w:tcW w:w="8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152</w:t>
                </w:r>
              </w:p>
            </w:tc>
            <w:tc>
              <w:tcPr>
                <w:tcW w:w="118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44</w:t>
                </w:r>
              </w:p>
            </w:tc>
            <w:tc>
              <w:tcPr>
                <w:tcW w:w="735"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3,026</w:t>
                </w:r>
              </w:p>
            </w:tc>
          </w:tr>
          <w:tr w:rsidR="0064628A">
            <w:trPr>
              <w:trHeight w:val="195"/>
            </w:trPr>
            <w:tc>
              <w:tcPr>
                <w:tcW w:w="28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Cost:income ratio </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60.8%</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111.6%</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10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67.5%</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72.2%</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55.5%</w:t>
                </w:r>
              </w:p>
            </w:tc>
            <w:tc>
              <w:tcPr>
                <w:tcW w:w="8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299.3%</w:t>
                </w:r>
              </w:p>
            </w:tc>
            <w:tc>
              <w:tcPr>
                <w:tcW w:w="1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nm</w:t>
                </w:r>
              </w:p>
            </w:tc>
            <w:tc>
              <w:tcPr>
                <w:tcW w:w="73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80.5%</w:t>
                </w:r>
              </w:p>
            </w:tc>
          </w:tr>
        </w:tbl>
      </w:sdtContent>
    </w:sdt>
    <w:p w:rsidR="0052387C" w:rsidRDefault="0052387C" w:rsidP="00871C10">
      <w:pPr>
        <w:pStyle w:val="Normal00"/>
        <w:rPr>
          <w:rFonts w:ascii="Arial" w:hAnsi="Arial" w:cs="Arial"/>
          <w:b/>
          <w:color w:val="06B3C5"/>
          <w:sz w:val="18"/>
          <w:szCs w:val="18"/>
        </w:rPr>
      </w:pPr>
    </w:p>
    <w:p w:rsidR="00871C10" w:rsidRPr="006F1817" w:rsidRDefault="00FC1FDC" w:rsidP="00871C10">
      <w:pPr>
        <w:pStyle w:val="Normal00"/>
        <w:rPr>
          <w:rFonts w:ascii="Arial" w:hAnsi="Arial" w:cs="Arial"/>
          <w:color w:val="0A2F64"/>
          <w:sz w:val="18"/>
          <w:szCs w:val="18"/>
        </w:rPr>
      </w:pPr>
      <w:r w:rsidRPr="006F1817">
        <w:rPr>
          <w:rFonts w:ascii="Arial" w:hAnsi="Arial" w:cs="Arial"/>
          <w:color w:val="0A2F64"/>
          <w:sz w:val="18"/>
          <w:szCs w:val="18"/>
        </w:rPr>
        <w:t>IV. Net interest margin</w:t>
      </w:r>
    </w:p>
    <w:sdt>
      <w:sdtPr>
        <w:tag w:val="&lt;ReportPackage&gt;&lt;EmbeddedContent id=&quot;825979ba-0a87-4458-8c2d-43aee971321c&quot; lastModified=&quot;1581639495653&quot;/&gt;&lt;/ReportPackage&gt;"/>
        <w:id w:val="1817101444"/>
        <w:lock w:val="contentLocked"/>
        <w:placeholder>
          <w:docPart w:val="384C6CDB41394A8CA8BA52788B11061B"/>
        </w:placeholder>
      </w:sdtPr>
      <w:sdtEndPr/>
      <w:sdtContent>
        <w:tbl>
          <w:tblPr>
            <w:tblStyle w:val="table"/>
            <w:tblW w:w="10080" w:type="dxa"/>
            <w:tblInd w:w="5" w:type="dxa"/>
            <w:tblCellMar>
              <w:left w:w="0" w:type="dxa"/>
              <w:right w:w="0" w:type="dxa"/>
            </w:tblCellMar>
            <w:tblLook w:val="05E0" w:firstRow="1" w:lastRow="1" w:firstColumn="1" w:lastColumn="1" w:noHBand="0" w:noVBand="1"/>
          </w:tblPr>
          <w:tblGrid>
            <w:gridCol w:w="4175"/>
            <w:gridCol w:w="1259"/>
            <w:gridCol w:w="1109"/>
            <w:gridCol w:w="60"/>
            <w:gridCol w:w="1259"/>
            <w:gridCol w:w="1109"/>
            <w:gridCol w:w="1109"/>
          </w:tblGrid>
          <w:tr w:rsidR="0064628A">
            <w:trPr>
              <w:trHeight w:val="195"/>
            </w:trPr>
            <w:tc>
              <w:tcPr>
                <w:tcW w:w="41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 w:val="12"/>
                    <w:szCs w:val="12"/>
                  </w:rPr>
                </w:pPr>
              </w:p>
            </w:tc>
            <w:tc>
              <w:tcPr>
                <w:tcW w:w="2370" w:type="dxa"/>
                <w:gridSpan w:val="2"/>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2060"/>
                    <w:szCs w:val="16"/>
                  </w:rPr>
                </w:pPr>
                <w:r>
                  <w:rPr>
                    <w:rFonts w:eastAsia="Arial" w:cs="Arial"/>
                    <w:b/>
                    <w:bCs/>
                    <w:color w:val="002060"/>
                    <w:szCs w:val="16"/>
                  </w:rPr>
                  <w:t xml:space="preserve">Year ended or as at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Cs w:val="16"/>
                  </w:rPr>
                </w:pPr>
              </w:p>
            </w:tc>
            <w:tc>
              <w:tcPr>
                <w:tcW w:w="3480" w:type="dxa"/>
                <w:gridSpan w:val="3"/>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2060"/>
                    <w:szCs w:val="16"/>
                  </w:rPr>
                </w:pPr>
                <w:r>
                  <w:rPr>
                    <w:rFonts w:eastAsia="Arial" w:cs="Arial"/>
                    <w:b/>
                    <w:bCs/>
                    <w:color w:val="002060"/>
                    <w:szCs w:val="16"/>
                  </w:rPr>
                  <w:t>Quarter ended or as at</w:t>
                </w:r>
              </w:p>
            </w:tc>
          </w:tr>
          <w:tr w:rsidR="0064628A">
            <w:trPr>
              <w:trHeight w:val="195"/>
            </w:trPr>
            <w:tc>
              <w:tcPr>
                <w:tcW w:w="41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126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31 December</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Cs w:val="16"/>
                  </w:rPr>
                </w:pPr>
              </w:p>
            </w:tc>
            <w:tc>
              <w:tcPr>
                <w:tcW w:w="126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30 September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31 December</w:t>
                </w:r>
              </w:p>
            </w:tc>
          </w:tr>
          <w:tr w:rsidR="0064628A">
            <w:trPr>
              <w:trHeight w:val="195"/>
            </w:trPr>
            <w:tc>
              <w:tcPr>
                <w:tcW w:w="41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 w:val="12"/>
                    <w:szCs w:val="12"/>
                  </w:rPr>
                </w:pPr>
              </w:p>
            </w:tc>
            <w:tc>
              <w:tcPr>
                <w:tcW w:w="126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2019 </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2018 </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Cs w:val="16"/>
                  </w:rPr>
                </w:pPr>
              </w:p>
            </w:tc>
            <w:tc>
              <w:tcPr>
                <w:tcW w:w="126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2019 </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2019 </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2018 </w:t>
                </w:r>
              </w:p>
            </w:tc>
          </w:tr>
          <w:tr w:rsidR="0064628A">
            <w:trPr>
              <w:trHeight w:val="195"/>
            </w:trPr>
            <w:tc>
              <w:tcPr>
                <w:tcW w:w="418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 w:val="12"/>
                    <w:szCs w:val="12"/>
                  </w:rPr>
                </w:pPr>
              </w:p>
            </w:tc>
            <w:tc>
              <w:tcPr>
                <w:tcW w:w="126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£m</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2060"/>
                    <w:szCs w:val="16"/>
                  </w:rPr>
                </w:pPr>
              </w:p>
            </w:tc>
            <w:tc>
              <w:tcPr>
                <w:tcW w:w="126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£m</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£m</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£m</w:t>
                </w:r>
              </w:p>
            </w:tc>
          </w:tr>
          <w:tr w:rsidR="0064628A">
            <w:trPr>
              <w:trHeight w:val="195"/>
            </w:trPr>
            <w:tc>
              <w:tcPr>
                <w:tcW w:w="41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RBS net interest income</w:t>
                </w:r>
              </w:p>
            </w:tc>
            <w:tc>
              <w:tcPr>
                <w:tcW w:w="12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8,047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8,656</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2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2,037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2,006</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2,176</w:t>
                </w:r>
              </w:p>
            </w:tc>
          </w:tr>
          <w:tr w:rsidR="0064628A">
            <w:trPr>
              <w:trHeight w:val="195"/>
            </w:trPr>
            <w:tc>
              <w:tcPr>
                <w:tcW w:w="4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NWM net interest income</w:t>
                </w:r>
              </w:p>
            </w:tc>
            <w:tc>
              <w:tcPr>
                <w:tcW w:w="12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188</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(112)</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2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62</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w:t>
                </w:r>
              </w:p>
            </w:tc>
          </w:tr>
          <w:tr w:rsidR="0064628A">
            <w:trPr>
              <w:trHeight w:val="195"/>
            </w:trPr>
            <w:tc>
              <w:tcPr>
                <w:tcW w:w="4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income excluding NWM</w:t>
                </w:r>
              </w:p>
            </w:tc>
            <w:tc>
              <w:tcPr>
                <w:tcW w:w="12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8,235</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8,544</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2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2,041</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2,068</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2,146</w:t>
                </w:r>
              </w:p>
            </w:tc>
          </w:tr>
          <w:tr w:rsidR="0064628A">
            <w:trPr>
              <w:trHeight w:val="195"/>
            </w:trPr>
            <w:tc>
              <w:tcPr>
                <w:tcW w:w="41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Annualised net interest income </w:t>
                </w:r>
              </w:p>
            </w:tc>
            <w:tc>
              <w:tcPr>
                <w:tcW w:w="12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2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8,082</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7,959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8,633</w:t>
                </w:r>
              </w:p>
            </w:tc>
          </w:tr>
          <w:tr w:rsidR="0064628A">
            <w:trPr>
              <w:trHeight w:val="195"/>
            </w:trPr>
            <w:tc>
              <w:tcPr>
                <w:tcW w:w="41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Annualised net interest income excluding NWM</w:t>
                </w:r>
              </w:p>
            </w:tc>
            <w:tc>
              <w:tcPr>
                <w:tcW w:w="1260" w:type="dxa"/>
                <w:shd w:val="clear" w:color="auto" w:fill="C0C0C0"/>
                <w:tcMar>
                  <w:top w:w="0" w:type="dxa"/>
                  <w:left w:w="5" w:type="dxa"/>
                  <w:bottom w:w="0" w:type="dxa"/>
                  <w:right w:w="5" w:type="dxa"/>
                </w:tcMar>
                <w:vAlign w:val="center"/>
                <w:hideMark/>
              </w:tcPr>
              <w:p w:rsidR="0064628A" w:rsidRDefault="0064628A">
                <w:pPr>
                  <w:spacing w:line="240" w:lineRule="auto"/>
                  <w:contextualSpacing/>
                  <w:jc w:val="right"/>
                  <w:rPr>
                    <w:rFonts w:eastAsia="Arial" w:cs="Arial"/>
                    <w:b/>
                    <w:bCs/>
                    <w:color w:val="000000"/>
                    <w:szCs w:val="16"/>
                  </w:rPr>
                </w:pPr>
              </w:p>
            </w:tc>
            <w:tc>
              <w:tcPr>
                <w:tcW w:w="1110"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0000"/>
                    <w:szCs w:val="16"/>
                  </w:rPr>
                </w:pP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2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8,097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8,205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8,514</w:t>
                </w:r>
              </w:p>
            </w:tc>
          </w:tr>
          <w:tr w:rsidR="0064628A">
            <w:trPr>
              <w:trHeight w:val="195"/>
            </w:trPr>
            <w:tc>
              <w:tcPr>
                <w:tcW w:w="4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Average interest earning assets (IEA)</w:t>
                </w:r>
              </w:p>
            </w:tc>
            <w:tc>
              <w:tcPr>
                <w:tcW w:w="12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448,556</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436,957</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2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456,164</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454,429</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442,116</w:t>
                </w:r>
              </w:p>
            </w:tc>
          </w:tr>
          <w:tr w:rsidR="0064628A">
            <w:trPr>
              <w:trHeight w:val="195"/>
            </w:trPr>
            <w:tc>
              <w:tcPr>
                <w:tcW w:w="4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NWM average IEA</w:t>
                </w:r>
              </w:p>
            </w:tc>
            <w:tc>
              <w:tcPr>
                <w:tcW w:w="12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35,444</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27,851</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2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36,594</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38,616</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30,407</w:t>
                </w:r>
              </w:p>
            </w:tc>
          </w:tr>
          <w:tr w:rsidR="0064628A">
            <w:trPr>
              <w:trHeight w:val="195"/>
            </w:trPr>
            <w:tc>
              <w:tcPr>
                <w:tcW w:w="4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Bank average IEA excluding NWM</w:t>
                </w:r>
              </w:p>
            </w:tc>
            <w:tc>
              <w:tcPr>
                <w:tcW w:w="12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413,112</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409,106</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2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419,570</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415,813</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411,709</w:t>
                </w:r>
              </w:p>
            </w:tc>
          </w:tr>
          <w:tr w:rsidR="0064628A">
            <w:trPr>
              <w:trHeight w:val="195"/>
            </w:trPr>
            <w:tc>
              <w:tcPr>
                <w:tcW w:w="418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260" w:type="dxa"/>
                <w:tcBorders>
                  <w:bottom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 w:val="20"/>
                    <w:szCs w:val="20"/>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260" w:type="dxa"/>
                <w:tcBorders>
                  <w:bottom w:val="single" w:sz="6" w:space="0" w:color="002060"/>
                </w:tcBorders>
                <w:shd w:val="clear" w:color="auto" w:fill="C0C0C0"/>
                <w:tcMar>
                  <w:top w:w="0" w:type="dxa"/>
                  <w:left w:w="5" w:type="dxa"/>
                  <w:bottom w:w="0" w:type="dxa"/>
                  <w:right w:w="5" w:type="dxa"/>
                </w:tcMar>
                <w:vAlign w:val="center"/>
                <w:hideMark/>
              </w:tcPr>
              <w:p w:rsidR="0064628A" w:rsidRDefault="0064628A">
                <w:pPr>
                  <w:spacing w:line="240" w:lineRule="auto"/>
                  <w:contextualSpacing/>
                  <w:rPr>
                    <w:rFonts w:eastAsia="Arial" w:cs="Arial"/>
                    <w:b/>
                    <w:bCs/>
                    <w:color w:val="000000"/>
                    <w:sz w:val="20"/>
                    <w:szCs w:val="20"/>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 w:val="20"/>
                    <w:szCs w:val="20"/>
                  </w:rPr>
                </w:pPr>
              </w:p>
            </w:tc>
          </w:tr>
          <w:tr w:rsidR="0064628A">
            <w:trPr>
              <w:trHeight w:val="195"/>
            </w:trPr>
            <w:tc>
              <w:tcPr>
                <w:tcW w:w="41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Net interest margin</w:t>
                </w:r>
              </w:p>
            </w:tc>
            <w:tc>
              <w:tcPr>
                <w:tcW w:w="12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1.79%</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1.98%</w:t>
                </w:r>
              </w:p>
            </w:tc>
            <w:tc>
              <w:tcPr>
                <w:tcW w:w="60"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2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1.77%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1.75%</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1.95%</w:t>
                </w:r>
              </w:p>
            </w:tc>
          </w:tr>
          <w:tr w:rsidR="0064628A">
            <w:trPr>
              <w:trHeight w:val="195"/>
            </w:trPr>
            <w:tc>
              <w:tcPr>
                <w:tcW w:w="41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Bank net interest margin (RBS NIM excluding NWM)</w:t>
                </w:r>
              </w:p>
            </w:tc>
            <w:tc>
              <w:tcPr>
                <w:tcW w:w="12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1.99%</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2.09%</w:t>
                </w:r>
              </w:p>
            </w:tc>
            <w:tc>
              <w:tcPr>
                <w:tcW w:w="60"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0000"/>
                    <w:szCs w:val="16"/>
                  </w:rPr>
                </w:pPr>
              </w:p>
            </w:tc>
            <w:tc>
              <w:tcPr>
                <w:tcW w:w="12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1.93%</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1.97%</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2.07%</w:t>
                </w:r>
              </w:p>
            </w:tc>
          </w:tr>
        </w:tbl>
      </w:sdtContent>
    </w:sdt>
    <w:p w:rsidR="0052387C" w:rsidRDefault="0052387C" w:rsidP="00871C10">
      <w:pPr>
        <w:pStyle w:val="Normal00"/>
        <w:rPr>
          <w:rFonts w:ascii="Arial" w:hAnsi="Arial" w:cs="Arial"/>
          <w:b/>
          <w:color w:val="06B3C5"/>
          <w:sz w:val="18"/>
          <w:szCs w:val="18"/>
        </w:rPr>
      </w:pPr>
    </w:p>
    <w:p w:rsidR="00871C10" w:rsidRPr="006F1817" w:rsidRDefault="00FC1FDC" w:rsidP="00871C10">
      <w:pPr>
        <w:pStyle w:val="Normal00"/>
        <w:rPr>
          <w:rFonts w:ascii="Arial" w:hAnsi="Arial" w:cs="Arial"/>
          <w:color w:val="0A2F64"/>
          <w:sz w:val="18"/>
          <w:szCs w:val="18"/>
        </w:rPr>
      </w:pPr>
      <w:r w:rsidRPr="006F1817">
        <w:rPr>
          <w:rFonts w:ascii="Arial" w:hAnsi="Arial" w:cs="Arial"/>
          <w:color w:val="0A2F64"/>
          <w:sz w:val="18"/>
          <w:szCs w:val="18"/>
        </w:rPr>
        <w:t xml:space="preserve">V. Loan:deposit ratio </w:t>
      </w:r>
    </w:p>
    <w:p w:rsidR="004D7DEF" w:rsidRDefault="004D7DEF" w:rsidP="007E5DFC">
      <w:pPr>
        <w:pStyle w:val="GCAHeader11400"/>
        <w:jc w:val="both"/>
        <w:outlineLvl w:val="0"/>
        <w:rPr>
          <w:b w:val="0"/>
          <w:color w:val="000000"/>
          <w:sz w:val="18"/>
          <w:szCs w:val="18"/>
          <w:lang w:eastAsia="en-GB"/>
        </w:rPr>
      </w:pPr>
    </w:p>
    <w:sdt>
      <w:sdtPr>
        <w:tag w:val="&lt;ReportPackage&gt;&lt;EmbeddedContent id=&quot;1bb87416-f5ad-4cc9-89d8-23f8b4c930f1&quot; lastModified=&quot;1581639495653&quot;/&gt;&lt;/ReportPackage&gt;"/>
        <w:id w:val="313818570"/>
        <w:lock w:val="contentLocked"/>
        <w:placeholder>
          <w:docPart w:val="0B1185D72B2449DA854708EADC16E871"/>
        </w:placeholder>
      </w:sdtPr>
      <w:sdtEndPr/>
      <w:sdtContent>
        <w:tbl>
          <w:tblPr>
            <w:tblStyle w:val="table"/>
            <w:tblW w:w="10140" w:type="dxa"/>
            <w:tblInd w:w="5" w:type="dxa"/>
            <w:tblCellMar>
              <w:left w:w="0" w:type="dxa"/>
              <w:right w:w="0" w:type="dxa"/>
            </w:tblCellMar>
            <w:tblLook w:val="05E0" w:firstRow="1" w:lastRow="1" w:firstColumn="1" w:lastColumn="1" w:noHBand="0" w:noVBand="1"/>
          </w:tblPr>
          <w:tblGrid>
            <w:gridCol w:w="7772"/>
            <w:gridCol w:w="1259"/>
            <w:gridCol w:w="1109"/>
          </w:tblGrid>
          <w:tr w:rsidR="0064628A">
            <w:trPr>
              <w:trHeight w:val="195"/>
            </w:trPr>
            <w:tc>
              <w:tcPr>
                <w:tcW w:w="77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Cs w:val="16"/>
                  </w:rPr>
                </w:pPr>
              </w:p>
            </w:tc>
            <w:tc>
              <w:tcPr>
                <w:tcW w:w="2370" w:type="dxa"/>
                <w:gridSpan w:val="2"/>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center"/>
                  <w:rPr>
                    <w:rFonts w:eastAsia="Arial" w:cs="Arial"/>
                    <w:b/>
                    <w:bCs/>
                    <w:color w:val="002060"/>
                    <w:szCs w:val="16"/>
                  </w:rPr>
                </w:pPr>
                <w:r>
                  <w:rPr>
                    <w:rFonts w:eastAsia="Arial" w:cs="Arial"/>
                    <w:b/>
                    <w:bCs/>
                    <w:color w:val="002060"/>
                    <w:szCs w:val="16"/>
                  </w:rPr>
                  <w:t>As at</w:t>
                </w:r>
              </w:p>
            </w:tc>
          </w:tr>
          <w:tr w:rsidR="0064628A">
            <w:trPr>
              <w:trHeight w:val="195"/>
            </w:trPr>
            <w:tc>
              <w:tcPr>
                <w:tcW w:w="7785" w:type="dxa"/>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FF0000"/>
                    <w:szCs w:val="16"/>
                  </w:rPr>
                </w:pPr>
              </w:p>
            </w:tc>
            <w:tc>
              <w:tcPr>
                <w:tcW w:w="126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31 December</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31 December</w:t>
                </w:r>
              </w:p>
            </w:tc>
          </w:tr>
          <w:tr w:rsidR="0064628A">
            <w:trPr>
              <w:trHeight w:val="195"/>
            </w:trPr>
            <w:tc>
              <w:tcPr>
                <w:tcW w:w="7785" w:type="dxa"/>
                <w:shd w:val="clear" w:color="auto" w:fill="FFFFFF"/>
                <w:tcMar>
                  <w:top w:w="0" w:type="dxa"/>
                  <w:left w:w="5" w:type="dxa"/>
                  <w:bottom w:w="0" w:type="dxa"/>
                  <w:right w:w="5" w:type="dxa"/>
                </w:tcMar>
                <w:vAlign w:val="center"/>
                <w:hideMark/>
              </w:tcPr>
              <w:p w:rsidR="0064628A" w:rsidRDefault="0064628A">
                <w:pPr>
                  <w:spacing w:line="240" w:lineRule="auto"/>
                  <w:contextualSpacing/>
                  <w:jc w:val="right"/>
                  <w:rPr>
                    <w:rFonts w:eastAsia="Arial" w:cs="Arial"/>
                    <w:color w:val="002060"/>
                    <w:szCs w:val="16"/>
                  </w:rPr>
                </w:pPr>
              </w:p>
            </w:tc>
            <w:tc>
              <w:tcPr>
                <w:tcW w:w="126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2019 </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2018</w:t>
                </w:r>
              </w:p>
            </w:tc>
          </w:tr>
          <w:tr w:rsidR="0064628A">
            <w:trPr>
              <w:trHeight w:val="195"/>
            </w:trPr>
            <w:tc>
              <w:tcPr>
                <w:tcW w:w="7785" w:type="dxa"/>
                <w:tcBorders>
                  <w:bottom w:val="single" w:sz="6" w:space="0" w:color="002060"/>
                </w:tcBorders>
                <w:shd w:val="clear" w:color="auto" w:fill="FFFFFF"/>
                <w:tcMar>
                  <w:top w:w="0" w:type="dxa"/>
                  <w:left w:w="5" w:type="dxa"/>
                  <w:bottom w:w="0" w:type="dxa"/>
                  <w:right w:w="5" w:type="dxa"/>
                </w:tcMar>
                <w:vAlign w:val="center"/>
                <w:hideMark/>
              </w:tcPr>
              <w:p w:rsidR="0064628A" w:rsidRDefault="0064628A">
                <w:pPr>
                  <w:spacing w:line="240" w:lineRule="auto"/>
                  <w:contextualSpacing/>
                  <w:rPr>
                    <w:rFonts w:eastAsia="Arial" w:cs="Arial"/>
                    <w:color w:val="002060"/>
                    <w:szCs w:val="16"/>
                  </w:rPr>
                </w:pPr>
              </w:p>
            </w:tc>
            <w:tc>
              <w:tcPr>
                <w:tcW w:w="126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2060"/>
                    <w:szCs w:val="16"/>
                  </w:rPr>
                </w:pPr>
                <w:r>
                  <w:rPr>
                    <w:rFonts w:eastAsia="Arial" w:cs="Arial"/>
                    <w:b/>
                    <w:bCs/>
                    <w:color w:val="002060"/>
                    <w:szCs w:val="16"/>
                  </w:rPr>
                  <w:t>£bn</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2060"/>
                    <w:szCs w:val="16"/>
                  </w:rPr>
                </w:pPr>
                <w:r>
                  <w:rPr>
                    <w:rFonts w:eastAsia="Arial" w:cs="Arial"/>
                    <w:color w:val="002060"/>
                    <w:szCs w:val="16"/>
                  </w:rPr>
                  <w:t>£bn</w:t>
                </w:r>
              </w:p>
            </w:tc>
          </w:tr>
          <w:tr w:rsidR="0064628A">
            <w:trPr>
              <w:trHeight w:val="195"/>
            </w:trPr>
            <w:tc>
              <w:tcPr>
                <w:tcW w:w="77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Loans to customers - amortised cost </w:t>
                </w:r>
              </w:p>
            </w:tc>
            <w:tc>
              <w:tcPr>
                <w:tcW w:w="12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326,947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305,089</w:t>
                </w:r>
              </w:p>
            </w:tc>
          </w:tr>
          <w:tr w:rsidR="0064628A">
            <w:trPr>
              <w:trHeight w:val="195"/>
            </w:trPr>
            <w:tc>
              <w:tcPr>
                <w:tcW w:w="7785" w:type="dxa"/>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 xml:space="preserve">Customer deposits </w:t>
                </w:r>
              </w:p>
            </w:tc>
            <w:tc>
              <w:tcPr>
                <w:tcW w:w="1260" w:type="dxa"/>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369,247</w:t>
                </w:r>
              </w:p>
            </w:tc>
            <w:tc>
              <w:tcPr>
                <w:tcW w:w="1110" w:type="dxa"/>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360,914</w:t>
                </w:r>
              </w:p>
            </w:tc>
          </w:tr>
          <w:tr w:rsidR="0064628A">
            <w:trPr>
              <w:trHeight w:val="195"/>
            </w:trPr>
            <w:tc>
              <w:tcPr>
                <w:tcW w:w="7785"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rPr>
                    <w:rFonts w:eastAsia="Arial" w:cs="Arial"/>
                    <w:color w:val="000000"/>
                    <w:szCs w:val="16"/>
                  </w:rPr>
                </w:pPr>
                <w:r>
                  <w:rPr>
                    <w:rFonts w:eastAsia="Arial" w:cs="Arial"/>
                    <w:color w:val="000000"/>
                    <w:szCs w:val="16"/>
                  </w:rPr>
                  <w:t>Loan:deposit ratio (%)</w:t>
                </w:r>
              </w:p>
            </w:tc>
            <w:tc>
              <w:tcPr>
                <w:tcW w:w="1260" w:type="dxa"/>
                <w:tcBorders>
                  <w:bottom w:val="single" w:sz="6" w:space="0" w:color="002060"/>
                </w:tcBorders>
                <w:shd w:val="clear" w:color="auto" w:fill="C0C0C0"/>
                <w:tcMar>
                  <w:top w:w="0" w:type="dxa"/>
                  <w:left w:w="5" w:type="dxa"/>
                  <w:bottom w:w="0" w:type="dxa"/>
                  <w:right w:w="5" w:type="dxa"/>
                </w:tcMar>
                <w:vAlign w:val="center"/>
                <w:hideMark/>
              </w:tcPr>
              <w:p w:rsidR="0064628A" w:rsidRDefault="00FC1FDC">
                <w:pPr>
                  <w:spacing w:line="240" w:lineRule="auto"/>
                  <w:contextualSpacing/>
                  <w:jc w:val="right"/>
                  <w:rPr>
                    <w:rFonts w:eastAsia="Arial" w:cs="Arial"/>
                    <w:b/>
                    <w:bCs/>
                    <w:color w:val="000000"/>
                    <w:szCs w:val="16"/>
                  </w:rPr>
                </w:pPr>
                <w:r>
                  <w:rPr>
                    <w:rFonts w:eastAsia="Arial" w:cs="Arial"/>
                    <w:b/>
                    <w:bCs/>
                    <w:color w:val="000000"/>
                    <w:szCs w:val="16"/>
                  </w:rPr>
                  <w:t>89%</w:t>
                </w:r>
              </w:p>
            </w:tc>
            <w:tc>
              <w:tcPr>
                <w:tcW w:w="1110" w:type="dxa"/>
                <w:tcBorders>
                  <w:bottom w:val="single" w:sz="6" w:space="0" w:color="002060"/>
                </w:tcBorders>
                <w:shd w:val="clear" w:color="auto" w:fill="FFFFFF"/>
                <w:tcMar>
                  <w:top w:w="0" w:type="dxa"/>
                  <w:left w:w="5" w:type="dxa"/>
                  <w:bottom w:w="0" w:type="dxa"/>
                  <w:right w:w="5" w:type="dxa"/>
                </w:tcMar>
                <w:vAlign w:val="center"/>
                <w:hideMark/>
              </w:tcPr>
              <w:p w:rsidR="0064628A" w:rsidRDefault="00FC1FDC">
                <w:pPr>
                  <w:spacing w:line="240" w:lineRule="auto"/>
                  <w:contextualSpacing/>
                  <w:jc w:val="right"/>
                  <w:rPr>
                    <w:rFonts w:eastAsia="Arial" w:cs="Arial"/>
                    <w:color w:val="000000"/>
                    <w:szCs w:val="16"/>
                  </w:rPr>
                </w:pPr>
                <w:r>
                  <w:rPr>
                    <w:rFonts w:eastAsia="Arial" w:cs="Arial"/>
                    <w:color w:val="000000"/>
                    <w:szCs w:val="16"/>
                  </w:rPr>
                  <w:t>85%</w:t>
                </w:r>
              </w:p>
            </w:tc>
          </w:tr>
        </w:tbl>
      </w:sdtContent>
    </w:sdt>
    <w:p w:rsidR="00AA1055" w:rsidRDefault="00AA1055" w:rsidP="0052387C">
      <w:pPr>
        <w:pStyle w:val="GCAHeader11400"/>
        <w:jc w:val="both"/>
        <w:outlineLvl w:val="0"/>
        <w:rPr>
          <w:b w:val="0"/>
          <w:color w:val="000000"/>
          <w:sz w:val="18"/>
          <w:szCs w:val="18"/>
          <w:lang w:eastAsia="en-GB"/>
        </w:rPr>
      </w:pPr>
    </w:p>
    <w:p w:rsidR="00A925DD" w:rsidRPr="00C81657" w:rsidRDefault="00FC1FDC" w:rsidP="00A925DD">
      <w:pPr>
        <w:pStyle w:val="Indentnotes"/>
        <w:rPr>
          <w:rFonts w:cs="Arial"/>
        </w:rPr>
      </w:pPr>
      <w:r w:rsidRPr="00F93513">
        <w:rPr>
          <w:rFonts w:cs="Arial"/>
          <w:sz w:val="16"/>
          <w:szCs w:val="16"/>
        </w:rPr>
        <w:t>Legal Entity Identifier: 2138005O9XJIJN4JPN90</w:t>
      </w:r>
    </w:p>
    <w:p w:rsidR="00A925DD" w:rsidRDefault="00A925DD" w:rsidP="0052387C">
      <w:pPr>
        <w:pStyle w:val="GCAHeader11400"/>
        <w:jc w:val="both"/>
        <w:outlineLvl w:val="0"/>
        <w:rPr>
          <w:b w:val="0"/>
          <w:color w:val="000000"/>
          <w:sz w:val="18"/>
          <w:szCs w:val="18"/>
          <w:lang w:eastAsia="en-GB"/>
        </w:rPr>
      </w:pPr>
    </w:p>
    <w:sectPr w:rsidR="00A925DD" w:rsidSect="00871C10">
      <w:headerReference w:type="even" r:id="rId130"/>
      <w:footerReference w:type="even" r:id="rId131"/>
      <w:footerReference w:type="default" r:id="rId132"/>
      <w:headerReference w:type="first" r:id="rId133"/>
      <w:footerReference w:type="first" r:id="rId134"/>
      <w:pgSz w:w="11906" w:h="16838"/>
      <w:pgMar w:top="1134" w:right="851" w:bottom="68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72C" w:rsidRDefault="00FC1FDC">
      <w:pPr>
        <w:spacing w:line="240" w:lineRule="auto"/>
      </w:pPr>
      <w:r>
        <w:separator/>
      </w:r>
    </w:p>
  </w:endnote>
  <w:endnote w:type="continuationSeparator" w:id="0">
    <w:p w:rsidR="0087372C" w:rsidRDefault="00FC1F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rif">
    <w:altName w:val="Times New Roman"/>
    <w:panose1 w:val="00000000000000000000"/>
    <w:charset w:val="00"/>
    <w:family w:val="roman"/>
    <w:notTrueType/>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F5" w:rsidRDefault="00D434F5">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FF" w:rsidRDefault="00874BFF">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63" w:rsidRPr="00402BB0" w:rsidRDefault="00FC1FDC" w:rsidP="00402BB0">
    <w:pPr>
      <w:pStyle w:val="Normal1"/>
      <w:tabs>
        <w:tab w:val="center" w:pos="5103"/>
        <w:tab w:val="right" w:pos="9071"/>
      </w:tabs>
      <w:rPr>
        <w:rFonts w:ascii="Arial" w:hAnsi="Arial" w:cs="Arial"/>
        <w:sz w:val="18"/>
        <w:szCs w:val="18"/>
      </w:rPr>
    </w:pPr>
    <w:r w:rsidRPr="00BA3CC8">
      <w:rPr>
        <w:rFonts w:ascii="Arial" w:hAnsi="Arial" w:cs="Arial"/>
        <w:color w:val="003366"/>
        <w:sz w:val="18"/>
        <w:szCs w:val="18"/>
      </w:rPr>
      <w:t>RBS – Annual Results 2019</w:t>
    </w:r>
    <w:r w:rsidRPr="00BA3CC8">
      <w:rPr>
        <w:rFonts w:ascii="Arial" w:hAnsi="Arial" w:cs="Arial"/>
        <w:color w:val="003366"/>
        <w:sz w:val="18"/>
        <w:szCs w:val="18"/>
      </w:rPr>
      <w:tab/>
    </w:r>
    <w:r w:rsidRPr="00BA3CC8">
      <w:rPr>
        <w:rFonts w:ascii="Arial" w:hAnsi="Arial" w:cs="Arial"/>
        <w:sz w:val="18"/>
        <w:szCs w:val="18"/>
      </w:rPr>
      <w:fldChar w:fldCharType="begin"/>
    </w:r>
    <w:r w:rsidRPr="00BA3CC8">
      <w:rPr>
        <w:rFonts w:ascii="Arial" w:hAnsi="Arial" w:cs="Arial"/>
        <w:sz w:val="18"/>
        <w:szCs w:val="18"/>
      </w:rPr>
      <w:instrText xml:space="preserve"> PAGE  \* Arabic  \* MERGEFORMAT </w:instrText>
    </w:r>
    <w:r w:rsidRPr="00BA3CC8">
      <w:rPr>
        <w:rFonts w:ascii="Arial" w:hAnsi="Arial" w:cs="Arial"/>
        <w:sz w:val="18"/>
        <w:szCs w:val="18"/>
      </w:rPr>
      <w:fldChar w:fldCharType="separate"/>
    </w:r>
    <w:r w:rsidR="0047542A">
      <w:rPr>
        <w:rFonts w:ascii="Arial" w:hAnsi="Arial" w:cs="Arial"/>
        <w:noProof/>
        <w:sz w:val="18"/>
        <w:szCs w:val="18"/>
      </w:rPr>
      <w:t>6</w:t>
    </w:r>
    <w:r w:rsidRPr="00BA3CC8">
      <w:rPr>
        <w:rFonts w:ascii="Arial" w:hAnsi="Arial" w:cs="Arial"/>
        <w:sz w:val="18"/>
        <w:szCs w:val="18"/>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FF" w:rsidRDefault="00874BFF">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6D" w:rsidRDefault="00C06C6D">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63" w:rsidRPr="00D6330A" w:rsidRDefault="00FC1FDC" w:rsidP="00D6330A">
    <w:pPr>
      <w:pStyle w:val="Normal1"/>
      <w:tabs>
        <w:tab w:val="center" w:pos="5103"/>
        <w:tab w:val="right" w:pos="9071"/>
      </w:tabs>
      <w:rPr>
        <w:rFonts w:ascii="Arial" w:hAnsi="Arial" w:cs="Arial"/>
        <w:sz w:val="18"/>
        <w:szCs w:val="18"/>
      </w:rPr>
    </w:pPr>
    <w:r w:rsidRPr="00BA3CC8">
      <w:rPr>
        <w:rFonts w:ascii="Arial" w:hAnsi="Arial" w:cs="Arial"/>
        <w:color w:val="003366"/>
        <w:sz w:val="18"/>
        <w:szCs w:val="18"/>
      </w:rPr>
      <w:t>RBS – Annual Results 2019</w:t>
    </w:r>
    <w:r w:rsidRPr="00BA3CC8">
      <w:rPr>
        <w:rFonts w:ascii="Arial" w:hAnsi="Arial" w:cs="Arial"/>
        <w:color w:val="003366"/>
        <w:sz w:val="18"/>
        <w:szCs w:val="18"/>
      </w:rPr>
      <w:tab/>
    </w:r>
    <w:r w:rsidRPr="00BA3CC8">
      <w:rPr>
        <w:rFonts w:ascii="Arial" w:hAnsi="Arial" w:cs="Arial"/>
        <w:sz w:val="18"/>
        <w:szCs w:val="18"/>
      </w:rPr>
      <w:fldChar w:fldCharType="begin"/>
    </w:r>
    <w:r w:rsidRPr="00BA3CC8">
      <w:rPr>
        <w:rFonts w:ascii="Arial" w:hAnsi="Arial" w:cs="Arial"/>
        <w:sz w:val="18"/>
        <w:szCs w:val="18"/>
      </w:rPr>
      <w:instrText xml:space="preserve"> PAGE  \* Arabic  \* MERGEFORMAT </w:instrText>
    </w:r>
    <w:r w:rsidRPr="00BA3CC8">
      <w:rPr>
        <w:rFonts w:ascii="Arial" w:hAnsi="Arial" w:cs="Arial"/>
        <w:sz w:val="18"/>
        <w:szCs w:val="18"/>
      </w:rPr>
      <w:fldChar w:fldCharType="separate"/>
    </w:r>
    <w:r w:rsidR="0047542A">
      <w:rPr>
        <w:rFonts w:ascii="Arial" w:hAnsi="Arial" w:cs="Arial"/>
        <w:noProof/>
        <w:sz w:val="18"/>
        <w:szCs w:val="18"/>
      </w:rPr>
      <w:t>7</w:t>
    </w:r>
    <w:r w:rsidRPr="00BA3CC8">
      <w:rPr>
        <w:rFonts w:ascii="Arial" w:hAnsi="Arial" w:cs="Arial"/>
        <w:sz w:val="18"/>
        <w:szCs w:val="18"/>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6D" w:rsidRDefault="00C06C6D">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BA" w:rsidRDefault="00BA74BA">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63" w:rsidRPr="00B61821" w:rsidRDefault="00FC1FDC" w:rsidP="00B61821">
    <w:pPr>
      <w:pStyle w:val="Normal1"/>
      <w:tabs>
        <w:tab w:val="center" w:pos="5103"/>
        <w:tab w:val="right" w:pos="9071"/>
      </w:tabs>
      <w:rPr>
        <w:rFonts w:ascii="Arial" w:hAnsi="Arial" w:cs="Arial"/>
        <w:sz w:val="18"/>
        <w:szCs w:val="18"/>
      </w:rPr>
    </w:pPr>
    <w:r w:rsidRPr="00BA3CC8">
      <w:rPr>
        <w:rFonts w:ascii="Arial" w:hAnsi="Arial" w:cs="Arial"/>
        <w:color w:val="003366"/>
        <w:sz w:val="18"/>
        <w:szCs w:val="18"/>
      </w:rPr>
      <w:t>RBS – Annual Results 2019</w:t>
    </w:r>
    <w:r w:rsidRPr="00BA3CC8">
      <w:rPr>
        <w:rFonts w:ascii="Arial" w:hAnsi="Arial" w:cs="Arial"/>
        <w:color w:val="003366"/>
        <w:sz w:val="18"/>
        <w:szCs w:val="18"/>
      </w:rPr>
      <w:tab/>
    </w:r>
    <w:r w:rsidRPr="00BA3CC8">
      <w:rPr>
        <w:rFonts w:ascii="Arial" w:hAnsi="Arial" w:cs="Arial"/>
        <w:sz w:val="18"/>
        <w:szCs w:val="18"/>
      </w:rPr>
      <w:fldChar w:fldCharType="begin"/>
    </w:r>
    <w:r w:rsidRPr="00BA3CC8">
      <w:rPr>
        <w:rFonts w:ascii="Arial" w:hAnsi="Arial" w:cs="Arial"/>
        <w:sz w:val="18"/>
        <w:szCs w:val="18"/>
      </w:rPr>
      <w:instrText xml:space="preserve"> PAGE  \* Arabic  \* MERGEFORMAT </w:instrText>
    </w:r>
    <w:r w:rsidRPr="00BA3CC8">
      <w:rPr>
        <w:rFonts w:ascii="Arial" w:hAnsi="Arial" w:cs="Arial"/>
        <w:sz w:val="18"/>
        <w:szCs w:val="18"/>
      </w:rPr>
      <w:fldChar w:fldCharType="separate"/>
    </w:r>
    <w:r w:rsidR="0047542A">
      <w:rPr>
        <w:rFonts w:ascii="Arial" w:hAnsi="Arial" w:cs="Arial"/>
        <w:noProof/>
        <w:sz w:val="18"/>
        <w:szCs w:val="18"/>
      </w:rPr>
      <w:t>9</w:t>
    </w:r>
    <w:r w:rsidRPr="00BA3CC8">
      <w:rPr>
        <w:rFonts w:ascii="Arial" w:hAnsi="Arial" w:cs="Arial"/>
        <w:sz w:val="18"/>
        <w:szCs w:val="18"/>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BA" w:rsidRDefault="00BA74BA">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65E" w:rsidRDefault="001A76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7BD" w:rsidRDefault="00D807BD">
    <w:pPr>
      <w:pStyle w:val="MyLastParagraph"/>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65E" w:rsidRPr="0055596F" w:rsidRDefault="00FC1FDC" w:rsidP="0055596F">
    <w:pPr>
      <w:pStyle w:val="Normal1"/>
      <w:tabs>
        <w:tab w:val="center" w:pos="5103"/>
        <w:tab w:val="right" w:pos="9071"/>
      </w:tabs>
      <w:rPr>
        <w:rFonts w:ascii="Arial" w:hAnsi="Arial" w:cs="Arial"/>
        <w:sz w:val="18"/>
        <w:szCs w:val="18"/>
      </w:rPr>
    </w:pPr>
    <w:r w:rsidRPr="00BA3CC8">
      <w:rPr>
        <w:rFonts w:ascii="Arial" w:hAnsi="Arial" w:cs="Arial"/>
        <w:color w:val="003366"/>
        <w:sz w:val="18"/>
        <w:szCs w:val="18"/>
      </w:rPr>
      <w:t>RBS – Annual Results 2019</w:t>
    </w:r>
    <w:r w:rsidRPr="00BA3CC8">
      <w:rPr>
        <w:rFonts w:ascii="Arial" w:hAnsi="Arial" w:cs="Arial"/>
        <w:color w:val="003366"/>
        <w:sz w:val="18"/>
        <w:szCs w:val="18"/>
      </w:rPr>
      <w:tab/>
    </w:r>
    <w:r w:rsidRPr="00BA3CC8">
      <w:rPr>
        <w:rFonts w:ascii="Arial" w:hAnsi="Arial" w:cs="Arial"/>
        <w:sz w:val="18"/>
        <w:szCs w:val="18"/>
      </w:rPr>
      <w:fldChar w:fldCharType="begin"/>
    </w:r>
    <w:r w:rsidRPr="00BA3CC8">
      <w:rPr>
        <w:rFonts w:ascii="Arial" w:hAnsi="Arial" w:cs="Arial"/>
        <w:sz w:val="18"/>
        <w:szCs w:val="18"/>
      </w:rPr>
      <w:instrText xml:space="preserve"> PAGE  \* Arabic  \* MERGEFORMAT </w:instrText>
    </w:r>
    <w:r w:rsidRPr="00BA3CC8">
      <w:rPr>
        <w:rFonts w:ascii="Arial" w:hAnsi="Arial" w:cs="Arial"/>
        <w:sz w:val="18"/>
        <w:szCs w:val="18"/>
      </w:rPr>
      <w:fldChar w:fldCharType="separate"/>
    </w:r>
    <w:r w:rsidR="0047542A">
      <w:rPr>
        <w:rFonts w:ascii="Arial" w:hAnsi="Arial" w:cs="Arial"/>
        <w:noProof/>
        <w:sz w:val="18"/>
        <w:szCs w:val="18"/>
      </w:rPr>
      <w:t>15</w:t>
    </w:r>
    <w:r w:rsidRPr="00BA3CC8">
      <w:rPr>
        <w:rFonts w:ascii="Arial" w:hAnsi="Arial" w:cs="Arial"/>
        <w:sz w:val="18"/>
        <w:szCs w:val="18"/>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65E" w:rsidRDefault="001A765E">
    <w:pPr>
      <w:pStyle w:val="Foote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0F" w:rsidRDefault="006B4F0F">
    <w:pPr>
      <w:pStyle w:val="Foote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63" w:rsidRPr="009A3F5F" w:rsidRDefault="00FC1FDC" w:rsidP="009A3F5F">
    <w:pPr>
      <w:pStyle w:val="Normal1"/>
      <w:tabs>
        <w:tab w:val="center" w:pos="5103"/>
        <w:tab w:val="right" w:pos="9071"/>
      </w:tabs>
      <w:rPr>
        <w:rFonts w:ascii="Arial" w:hAnsi="Arial" w:cs="Arial"/>
        <w:sz w:val="18"/>
        <w:szCs w:val="18"/>
      </w:rPr>
    </w:pPr>
    <w:r w:rsidRPr="00BA3CC8">
      <w:rPr>
        <w:rFonts w:ascii="Arial" w:hAnsi="Arial" w:cs="Arial"/>
        <w:color w:val="003366"/>
        <w:sz w:val="18"/>
        <w:szCs w:val="18"/>
      </w:rPr>
      <w:t>RBS – Annual Results 2019</w:t>
    </w:r>
    <w:r w:rsidRPr="00BA3CC8">
      <w:rPr>
        <w:rFonts w:ascii="Arial" w:hAnsi="Arial" w:cs="Arial"/>
        <w:color w:val="003366"/>
        <w:sz w:val="18"/>
        <w:szCs w:val="18"/>
      </w:rPr>
      <w:tab/>
    </w:r>
    <w:r w:rsidRPr="00BA3CC8">
      <w:rPr>
        <w:rFonts w:ascii="Arial" w:hAnsi="Arial" w:cs="Arial"/>
        <w:sz w:val="18"/>
        <w:szCs w:val="18"/>
      </w:rPr>
      <w:fldChar w:fldCharType="begin"/>
    </w:r>
    <w:r w:rsidRPr="00BA3CC8">
      <w:rPr>
        <w:rFonts w:ascii="Arial" w:hAnsi="Arial" w:cs="Arial"/>
        <w:sz w:val="18"/>
        <w:szCs w:val="18"/>
      </w:rPr>
      <w:instrText xml:space="preserve"> PAGE  \* Arabic  \* MERGEFORMAT </w:instrText>
    </w:r>
    <w:r w:rsidRPr="00BA3CC8">
      <w:rPr>
        <w:rFonts w:ascii="Arial" w:hAnsi="Arial" w:cs="Arial"/>
        <w:sz w:val="18"/>
        <w:szCs w:val="18"/>
      </w:rPr>
      <w:fldChar w:fldCharType="separate"/>
    </w:r>
    <w:r w:rsidR="0047542A">
      <w:rPr>
        <w:rFonts w:ascii="Arial" w:hAnsi="Arial" w:cs="Arial"/>
        <w:noProof/>
        <w:sz w:val="18"/>
        <w:szCs w:val="18"/>
      </w:rPr>
      <w:t>16</w:t>
    </w:r>
    <w:r w:rsidRPr="00BA3CC8">
      <w:rPr>
        <w:rFonts w:ascii="Arial" w:hAnsi="Arial" w:cs="Arial"/>
        <w:sz w:val="18"/>
        <w:szCs w:val="18"/>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0F" w:rsidRDefault="006B4F0F">
    <w:pPr>
      <w:pStyle w:val="Footer"/>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9F1" w:rsidRDefault="004069F1">
    <w:pPr>
      <w:pStyle w:val="Footer"/>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9F1" w:rsidRPr="00BA3CC8" w:rsidRDefault="00FC1FDC" w:rsidP="00C76E09">
    <w:pPr>
      <w:pStyle w:val="Normal1"/>
      <w:tabs>
        <w:tab w:val="center" w:pos="8080"/>
        <w:tab w:val="right" w:pos="9071"/>
      </w:tabs>
      <w:rPr>
        <w:rFonts w:ascii="Arial" w:hAnsi="Arial" w:cs="Arial"/>
        <w:sz w:val="18"/>
        <w:szCs w:val="18"/>
      </w:rPr>
    </w:pPr>
    <w:r w:rsidRPr="00BA3CC8">
      <w:rPr>
        <w:rFonts w:ascii="Arial" w:hAnsi="Arial" w:cs="Arial"/>
        <w:color w:val="003366"/>
        <w:sz w:val="18"/>
        <w:szCs w:val="18"/>
      </w:rPr>
      <w:t>RBS – Annual Results 2019</w:t>
    </w:r>
    <w:r w:rsidRPr="00BA3CC8">
      <w:rPr>
        <w:rFonts w:ascii="Arial" w:hAnsi="Arial" w:cs="Arial"/>
        <w:color w:val="003366"/>
        <w:sz w:val="18"/>
        <w:szCs w:val="18"/>
      </w:rPr>
      <w:tab/>
    </w:r>
    <w:r w:rsidRPr="00BA3CC8">
      <w:rPr>
        <w:rFonts w:ascii="Arial" w:hAnsi="Arial" w:cs="Arial"/>
        <w:sz w:val="18"/>
        <w:szCs w:val="18"/>
      </w:rPr>
      <w:fldChar w:fldCharType="begin"/>
    </w:r>
    <w:r w:rsidRPr="00BA3CC8">
      <w:rPr>
        <w:rFonts w:ascii="Arial" w:hAnsi="Arial" w:cs="Arial"/>
        <w:sz w:val="18"/>
        <w:szCs w:val="18"/>
      </w:rPr>
      <w:instrText xml:space="preserve"> PAGE  \* Arabic  \* MERGEFORMAT </w:instrText>
    </w:r>
    <w:r w:rsidRPr="00BA3CC8">
      <w:rPr>
        <w:rFonts w:ascii="Arial" w:hAnsi="Arial" w:cs="Arial"/>
        <w:sz w:val="18"/>
        <w:szCs w:val="18"/>
      </w:rPr>
      <w:fldChar w:fldCharType="separate"/>
    </w:r>
    <w:r w:rsidR="0047542A">
      <w:rPr>
        <w:rFonts w:ascii="Arial" w:hAnsi="Arial" w:cs="Arial"/>
        <w:noProof/>
        <w:sz w:val="18"/>
        <w:szCs w:val="18"/>
      </w:rPr>
      <w:t>21</w:t>
    </w:r>
    <w:r w:rsidRPr="00BA3CC8">
      <w:rPr>
        <w:rFonts w:ascii="Arial" w:hAnsi="Arial" w:cs="Arial"/>
        <w:sz w:val="18"/>
        <w:szCs w:val="18"/>
      </w:rPr>
      <w:fldChar w:fldCharType="end"/>
    </w:r>
  </w:p>
  <w:p w:rsidR="004069F1" w:rsidRDefault="004069F1">
    <w:pPr>
      <w:pStyle w:val="MyLastParagraph"/>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9F1" w:rsidRDefault="004069F1">
    <w:pPr>
      <w:pStyle w:val="Foote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10" w:rsidRDefault="00592210">
    <w:pPr>
      <w:pStyle w:val="Footer"/>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10" w:rsidRPr="00C02D61" w:rsidRDefault="00FC1FDC" w:rsidP="00C02D61">
    <w:pPr>
      <w:pStyle w:val="Normal1"/>
      <w:tabs>
        <w:tab w:val="center" w:pos="5103"/>
        <w:tab w:val="right" w:pos="9071"/>
      </w:tabs>
      <w:rPr>
        <w:rFonts w:ascii="Arial" w:hAnsi="Arial" w:cs="Arial"/>
        <w:sz w:val="18"/>
        <w:szCs w:val="18"/>
      </w:rPr>
    </w:pPr>
    <w:r w:rsidRPr="00BA3CC8">
      <w:rPr>
        <w:rFonts w:ascii="Arial" w:hAnsi="Arial" w:cs="Arial"/>
        <w:color w:val="003366"/>
        <w:sz w:val="18"/>
        <w:szCs w:val="18"/>
      </w:rPr>
      <w:t>RBS – Annual Results 2019</w:t>
    </w:r>
    <w:r w:rsidRPr="00BA3CC8">
      <w:rPr>
        <w:rFonts w:ascii="Arial" w:hAnsi="Arial" w:cs="Arial"/>
        <w:color w:val="003366"/>
        <w:sz w:val="18"/>
        <w:szCs w:val="18"/>
      </w:rPr>
      <w:tab/>
    </w:r>
    <w:r w:rsidRPr="00BA3CC8">
      <w:rPr>
        <w:rFonts w:ascii="Arial" w:hAnsi="Arial" w:cs="Arial"/>
        <w:sz w:val="18"/>
        <w:szCs w:val="18"/>
      </w:rPr>
      <w:fldChar w:fldCharType="begin"/>
    </w:r>
    <w:r w:rsidRPr="00BA3CC8">
      <w:rPr>
        <w:rFonts w:ascii="Arial" w:hAnsi="Arial" w:cs="Arial"/>
        <w:sz w:val="18"/>
        <w:szCs w:val="18"/>
      </w:rPr>
      <w:instrText xml:space="preserve"> PAGE  \* Arabic  \* MERGEFORMAT </w:instrText>
    </w:r>
    <w:r w:rsidRPr="00BA3CC8">
      <w:rPr>
        <w:rFonts w:ascii="Arial" w:hAnsi="Arial" w:cs="Arial"/>
        <w:sz w:val="18"/>
        <w:szCs w:val="18"/>
      </w:rPr>
      <w:fldChar w:fldCharType="separate"/>
    </w:r>
    <w:r w:rsidR="003A06EC">
      <w:rPr>
        <w:rFonts w:ascii="Arial" w:hAnsi="Arial" w:cs="Arial"/>
        <w:noProof/>
        <w:sz w:val="18"/>
        <w:szCs w:val="18"/>
      </w:rPr>
      <w:t>24</w:t>
    </w:r>
    <w:r w:rsidRPr="00BA3CC8">
      <w:rPr>
        <w:rFonts w:ascii="Arial" w:hAnsi="Arial"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F5" w:rsidRDefault="00D434F5">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10" w:rsidRDefault="00592210">
    <w:pPr>
      <w:pStyle w:val="Foote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10" w:rsidRPr="00C02D61" w:rsidRDefault="00FC1FDC" w:rsidP="00C02D61">
    <w:pPr>
      <w:pStyle w:val="Normal1"/>
      <w:tabs>
        <w:tab w:val="center" w:pos="5103"/>
        <w:tab w:val="right" w:pos="9071"/>
      </w:tabs>
      <w:rPr>
        <w:rFonts w:ascii="Arial" w:hAnsi="Arial" w:cs="Arial"/>
        <w:sz w:val="18"/>
        <w:szCs w:val="18"/>
      </w:rPr>
    </w:pPr>
    <w:r w:rsidRPr="00BA3CC8">
      <w:rPr>
        <w:rFonts w:ascii="Arial" w:hAnsi="Arial" w:cs="Arial"/>
        <w:color w:val="003366"/>
        <w:sz w:val="18"/>
        <w:szCs w:val="18"/>
      </w:rPr>
      <w:t>RBS – Annual Results 2019</w:t>
    </w:r>
    <w:r w:rsidRPr="00BA3CC8">
      <w:rPr>
        <w:rFonts w:ascii="Arial" w:hAnsi="Arial" w:cs="Arial"/>
        <w:color w:val="003366"/>
        <w:sz w:val="18"/>
        <w:szCs w:val="18"/>
      </w:rPr>
      <w:tab/>
    </w:r>
    <w:r w:rsidRPr="00BA3CC8">
      <w:rPr>
        <w:rFonts w:ascii="Arial" w:hAnsi="Arial" w:cs="Arial"/>
        <w:sz w:val="18"/>
        <w:szCs w:val="18"/>
      </w:rPr>
      <w:fldChar w:fldCharType="begin"/>
    </w:r>
    <w:r w:rsidRPr="00BA3CC8">
      <w:rPr>
        <w:rFonts w:ascii="Arial" w:hAnsi="Arial" w:cs="Arial"/>
        <w:sz w:val="18"/>
        <w:szCs w:val="18"/>
      </w:rPr>
      <w:instrText xml:space="preserve"> PAGE  \* Arabic  \* MERGEFORMAT </w:instrText>
    </w:r>
    <w:r w:rsidRPr="00BA3CC8">
      <w:rPr>
        <w:rFonts w:ascii="Arial" w:hAnsi="Arial" w:cs="Arial"/>
        <w:sz w:val="18"/>
        <w:szCs w:val="18"/>
      </w:rPr>
      <w:fldChar w:fldCharType="separate"/>
    </w:r>
    <w:r w:rsidR="003A06EC">
      <w:rPr>
        <w:rFonts w:ascii="Arial" w:hAnsi="Arial" w:cs="Arial"/>
        <w:noProof/>
        <w:sz w:val="18"/>
        <w:szCs w:val="18"/>
      </w:rPr>
      <w:t>27</w:t>
    </w:r>
    <w:r w:rsidRPr="00BA3CC8">
      <w:rPr>
        <w:rFonts w:ascii="Arial" w:hAnsi="Arial" w:cs="Arial"/>
        <w:sz w:val="18"/>
        <w:szCs w:val="18"/>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3DF" w:rsidRDefault="009D33DF">
    <w:pPr>
      <w:pStyle w:val="Footer"/>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63" w:rsidRPr="00E81FB1" w:rsidRDefault="00FC1FDC" w:rsidP="00E81FB1">
    <w:pPr>
      <w:pStyle w:val="Normal1"/>
      <w:tabs>
        <w:tab w:val="center" w:pos="5103"/>
        <w:tab w:val="right" w:pos="9071"/>
      </w:tabs>
      <w:rPr>
        <w:rFonts w:ascii="Arial" w:hAnsi="Arial" w:cs="Arial"/>
        <w:sz w:val="18"/>
        <w:szCs w:val="18"/>
      </w:rPr>
    </w:pPr>
    <w:r w:rsidRPr="00BA3CC8">
      <w:rPr>
        <w:rFonts w:ascii="Arial" w:hAnsi="Arial" w:cs="Arial"/>
        <w:color w:val="003366"/>
        <w:sz w:val="18"/>
        <w:szCs w:val="18"/>
      </w:rPr>
      <w:t>RBS – Annual Results 2019</w:t>
    </w:r>
    <w:r w:rsidRPr="00BA3CC8">
      <w:rPr>
        <w:rFonts w:ascii="Arial" w:hAnsi="Arial" w:cs="Arial"/>
        <w:color w:val="003366"/>
        <w:sz w:val="18"/>
        <w:szCs w:val="18"/>
      </w:rPr>
      <w:tab/>
    </w:r>
    <w:r w:rsidRPr="00BA3CC8">
      <w:rPr>
        <w:rFonts w:ascii="Arial" w:hAnsi="Arial" w:cs="Arial"/>
        <w:sz w:val="18"/>
        <w:szCs w:val="18"/>
      </w:rPr>
      <w:fldChar w:fldCharType="begin"/>
    </w:r>
    <w:r w:rsidRPr="00BA3CC8">
      <w:rPr>
        <w:rFonts w:ascii="Arial" w:hAnsi="Arial" w:cs="Arial"/>
        <w:sz w:val="18"/>
        <w:szCs w:val="18"/>
      </w:rPr>
      <w:instrText xml:space="preserve"> PAGE  \* Arabic  \* MERGEFORMAT </w:instrText>
    </w:r>
    <w:r w:rsidRPr="00BA3CC8">
      <w:rPr>
        <w:rFonts w:ascii="Arial" w:hAnsi="Arial" w:cs="Arial"/>
        <w:sz w:val="18"/>
        <w:szCs w:val="18"/>
      </w:rPr>
      <w:fldChar w:fldCharType="separate"/>
    </w:r>
    <w:r w:rsidR="00D434F5">
      <w:rPr>
        <w:rFonts w:ascii="Arial" w:hAnsi="Arial" w:cs="Arial"/>
        <w:noProof/>
        <w:sz w:val="18"/>
        <w:szCs w:val="18"/>
      </w:rPr>
      <w:t>28</w:t>
    </w:r>
    <w:r w:rsidRPr="00BA3CC8">
      <w:rPr>
        <w:rFonts w:ascii="Arial" w:hAnsi="Arial" w:cs="Arial"/>
        <w:sz w:val="18"/>
        <w:szCs w:val="18"/>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3DF" w:rsidRDefault="009D33DF">
    <w:pPr>
      <w:pStyle w:val="Footer"/>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AE8" w:rsidRDefault="00F90AE8">
    <w:pPr>
      <w:pStyle w:val="Footer"/>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738625"/>
      <w:docPartObj>
        <w:docPartGallery w:val="Page Numbers (Bottom of Page)"/>
        <w:docPartUnique/>
      </w:docPartObj>
    </w:sdtPr>
    <w:sdtEndPr>
      <w:rPr>
        <w:noProof/>
      </w:rPr>
    </w:sdtEndPr>
    <w:sdtContent>
      <w:p w:rsidR="00C972AD" w:rsidRDefault="00FC1FDC">
        <w:pPr>
          <w:pStyle w:val="Footer"/>
          <w:jc w:val="center"/>
        </w:pPr>
        <w:r>
          <w:fldChar w:fldCharType="begin"/>
        </w:r>
        <w:r>
          <w:instrText xml:space="preserve"> PAGE   \* MERGEFORMAT </w:instrText>
        </w:r>
        <w:r>
          <w:fldChar w:fldCharType="separate"/>
        </w:r>
        <w:r w:rsidR="003A06EC">
          <w:rPr>
            <w:noProof/>
          </w:rPr>
          <w:t>29</w:t>
        </w:r>
        <w:r>
          <w:rPr>
            <w:noProof/>
          </w:rPr>
          <w:fldChar w:fldCharType="end"/>
        </w:r>
      </w:p>
    </w:sdtContent>
  </w:sdt>
  <w:p w:rsidR="00C972AD" w:rsidRPr="00703FB4" w:rsidRDefault="00FC1FDC" w:rsidP="00703FB4">
    <w:pPr>
      <w:pStyle w:val="Footer"/>
      <w:tabs>
        <w:tab w:val="clear" w:pos="4513"/>
        <w:tab w:val="right" w:pos="4535"/>
        <w:tab w:val="right" w:pos="9072"/>
      </w:tabs>
      <w:rPr>
        <w:rFonts w:cs="Arial"/>
        <w:color w:val="003366"/>
        <w:sz w:val="20"/>
      </w:rPr>
    </w:pPr>
    <w:r w:rsidRPr="008C2524">
      <w:rPr>
        <w:rFonts w:cs="Arial"/>
        <w:color w:val="003366"/>
        <w:sz w:val="20"/>
      </w:rPr>
      <w:t xml:space="preserve">RBS – </w:t>
    </w:r>
    <w:r>
      <w:rPr>
        <w:rFonts w:cs="Arial"/>
        <w:color w:val="003366"/>
        <w:sz w:val="20"/>
      </w:rPr>
      <w:t>Annual results 2019</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AE8" w:rsidRDefault="00F90AE8">
    <w:pPr>
      <w:pStyle w:val="Footer"/>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7C" w:rsidRDefault="00D73D7C">
    <w:pPr>
      <w:pStyle w:val="Footer"/>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63" w:rsidRPr="00EB336A" w:rsidRDefault="00FC1FDC" w:rsidP="00EB336A">
    <w:pPr>
      <w:pStyle w:val="Normal1"/>
      <w:tabs>
        <w:tab w:val="center" w:pos="5103"/>
        <w:tab w:val="right" w:pos="9071"/>
      </w:tabs>
      <w:rPr>
        <w:rFonts w:ascii="Arial" w:hAnsi="Arial" w:cs="Arial"/>
        <w:sz w:val="18"/>
        <w:szCs w:val="18"/>
      </w:rPr>
    </w:pPr>
    <w:r w:rsidRPr="00BA3CC8">
      <w:rPr>
        <w:rFonts w:ascii="Arial" w:hAnsi="Arial" w:cs="Arial"/>
        <w:color w:val="003366"/>
        <w:sz w:val="18"/>
        <w:szCs w:val="18"/>
      </w:rPr>
      <w:t>RBS – Annual Results 2019</w:t>
    </w:r>
    <w:r w:rsidRPr="00BA3CC8">
      <w:rPr>
        <w:rFonts w:ascii="Arial" w:hAnsi="Arial" w:cs="Arial"/>
        <w:color w:val="003366"/>
        <w:sz w:val="18"/>
        <w:szCs w:val="18"/>
      </w:rPr>
      <w:tab/>
    </w:r>
    <w:r w:rsidRPr="00BA3CC8">
      <w:rPr>
        <w:rFonts w:ascii="Arial" w:hAnsi="Arial" w:cs="Arial"/>
        <w:sz w:val="18"/>
        <w:szCs w:val="18"/>
      </w:rPr>
      <w:fldChar w:fldCharType="begin"/>
    </w:r>
    <w:r w:rsidRPr="00BA3CC8">
      <w:rPr>
        <w:rFonts w:ascii="Arial" w:hAnsi="Arial" w:cs="Arial"/>
        <w:sz w:val="18"/>
        <w:szCs w:val="18"/>
      </w:rPr>
      <w:instrText xml:space="preserve"> PAGE  \* Arabic  \* MERGEFORMAT </w:instrText>
    </w:r>
    <w:r w:rsidRPr="00BA3CC8">
      <w:rPr>
        <w:rFonts w:ascii="Arial" w:hAnsi="Arial" w:cs="Arial"/>
        <w:sz w:val="18"/>
        <w:szCs w:val="18"/>
      </w:rPr>
      <w:fldChar w:fldCharType="separate"/>
    </w:r>
    <w:r w:rsidR="00D434F5">
      <w:rPr>
        <w:rFonts w:ascii="Arial" w:hAnsi="Arial" w:cs="Arial"/>
        <w:noProof/>
        <w:sz w:val="18"/>
        <w:szCs w:val="18"/>
      </w:rPr>
      <w:t>30</w:t>
    </w:r>
    <w:r w:rsidRPr="00BA3CC8">
      <w:rPr>
        <w:rFonts w:ascii="Arial" w:hAnsi="Arial" w:cs="Arial"/>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AAE" w:rsidRDefault="00757AAE">
    <w:pPr>
      <w:pStyle w:val="Footer"/>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7C" w:rsidRDefault="00D73D7C">
    <w:pPr>
      <w:pStyle w:val="Footer"/>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FAA" w:rsidRDefault="00DB2FAA">
    <w:pPr>
      <w:pStyle w:val="Footer"/>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63" w:rsidRPr="00561273" w:rsidRDefault="00FC1FDC" w:rsidP="00561273">
    <w:pPr>
      <w:pStyle w:val="Normal1"/>
      <w:tabs>
        <w:tab w:val="center" w:pos="5103"/>
        <w:tab w:val="right" w:pos="9071"/>
      </w:tabs>
      <w:rPr>
        <w:rFonts w:ascii="Arial" w:hAnsi="Arial" w:cs="Arial"/>
        <w:sz w:val="18"/>
        <w:szCs w:val="18"/>
      </w:rPr>
    </w:pPr>
    <w:r w:rsidRPr="00BA3CC8">
      <w:rPr>
        <w:rFonts w:ascii="Arial" w:hAnsi="Arial" w:cs="Arial"/>
        <w:color w:val="003366"/>
        <w:sz w:val="18"/>
        <w:szCs w:val="18"/>
      </w:rPr>
      <w:t>RBS – Annual Results 2019</w:t>
    </w:r>
    <w:r w:rsidRPr="00BA3CC8">
      <w:rPr>
        <w:rFonts w:ascii="Arial" w:hAnsi="Arial" w:cs="Arial"/>
        <w:color w:val="003366"/>
        <w:sz w:val="18"/>
        <w:szCs w:val="18"/>
      </w:rPr>
      <w:tab/>
    </w:r>
    <w:r w:rsidRPr="00BA3CC8">
      <w:rPr>
        <w:rFonts w:ascii="Arial" w:hAnsi="Arial" w:cs="Arial"/>
        <w:sz w:val="18"/>
        <w:szCs w:val="18"/>
      </w:rPr>
      <w:fldChar w:fldCharType="begin"/>
    </w:r>
    <w:r w:rsidRPr="00BA3CC8">
      <w:rPr>
        <w:rFonts w:ascii="Arial" w:hAnsi="Arial" w:cs="Arial"/>
        <w:sz w:val="18"/>
        <w:szCs w:val="18"/>
      </w:rPr>
      <w:instrText xml:space="preserve"> PAGE  \* Arabic  \* MERGEFORMAT </w:instrText>
    </w:r>
    <w:r w:rsidRPr="00BA3CC8">
      <w:rPr>
        <w:rFonts w:ascii="Arial" w:hAnsi="Arial" w:cs="Arial"/>
        <w:sz w:val="18"/>
        <w:szCs w:val="18"/>
      </w:rPr>
      <w:fldChar w:fldCharType="separate"/>
    </w:r>
    <w:r w:rsidR="00D434F5">
      <w:rPr>
        <w:rFonts w:ascii="Arial" w:hAnsi="Arial" w:cs="Arial"/>
        <w:noProof/>
        <w:sz w:val="18"/>
        <w:szCs w:val="18"/>
      </w:rPr>
      <w:t>31</w:t>
    </w:r>
    <w:r w:rsidRPr="00BA3CC8">
      <w:rPr>
        <w:rFonts w:ascii="Arial" w:hAnsi="Arial" w:cs="Arial"/>
        <w:sz w:val="18"/>
        <w:szCs w:val="18"/>
      </w:rPr>
      <w:fldChar w:fldCharType="end"/>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FAA" w:rsidRDefault="00DB2FAA">
    <w:pPr>
      <w:pStyle w:val="Footer"/>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49" w:rsidRDefault="00927649">
    <w:pPr>
      <w:pStyle w:val="Foo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63" w:rsidRPr="000A7651" w:rsidRDefault="00FC1FDC" w:rsidP="000A7651">
    <w:pPr>
      <w:pStyle w:val="Normal1"/>
      <w:tabs>
        <w:tab w:val="center" w:pos="5103"/>
        <w:tab w:val="right" w:pos="9071"/>
      </w:tabs>
      <w:rPr>
        <w:rFonts w:ascii="Arial" w:hAnsi="Arial" w:cs="Arial"/>
        <w:sz w:val="18"/>
        <w:szCs w:val="18"/>
      </w:rPr>
    </w:pPr>
    <w:r w:rsidRPr="000A7651">
      <w:rPr>
        <w:rFonts w:ascii="Arial" w:hAnsi="Arial" w:cs="Arial"/>
        <w:color w:val="003366"/>
        <w:sz w:val="18"/>
        <w:szCs w:val="18"/>
      </w:rPr>
      <w:t>RBS – Annual Results 2019</w:t>
    </w:r>
    <w:r w:rsidRPr="000A7651">
      <w:rPr>
        <w:rFonts w:ascii="Arial" w:hAnsi="Arial" w:cs="Arial"/>
        <w:color w:val="003366"/>
        <w:sz w:val="18"/>
        <w:szCs w:val="18"/>
      </w:rPr>
      <w:tab/>
    </w:r>
    <w:r w:rsidRPr="000A7651">
      <w:rPr>
        <w:rFonts w:ascii="Arial" w:hAnsi="Arial" w:cs="Arial"/>
        <w:sz w:val="18"/>
        <w:szCs w:val="18"/>
      </w:rPr>
      <w:fldChar w:fldCharType="begin"/>
    </w:r>
    <w:r w:rsidRPr="000A7651">
      <w:rPr>
        <w:rFonts w:ascii="Arial" w:hAnsi="Arial" w:cs="Arial"/>
        <w:sz w:val="18"/>
        <w:szCs w:val="18"/>
      </w:rPr>
      <w:instrText xml:space="preserve"> PAGE  \* Arabic  \* MERGEFORMAT </w:instrText>
    </w:r>
    <w:r w:rsidRPr="000A7651">
      <w:rPr>
        <w:rFonts w:ascii="Arial" w:hAnsi="Arial" w:cs="Arial"/>
        <w:sz w:val="18"/>
        <w:szCs w:val="18"/>
      </w:rPr>
      <w:fldChar w:fldCharType="separate"/>
    </w:r>
    <w:r>
      <w:rPr>
        <w:rFonts w:ascii="Arial" w:hAnsi="Arial" w:cs="Arial"/>
        <w:noProof/>
        <w:sz w:val="18"/>
        <w:szCs w:val="18"/>
      </w:rPr>
      <w:t>1</w:t>
    </w:r>
    <w:r w:rsidRPr="000A7651">
      <w:rPr>
        <w:rFonts w:ascii="Arial" w:hAnsi="Arial" w:cs="Arial"/>
        <w:sz w:val="18"/>
        <w:szCs w:val="18"/>
      </w:rP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49" w:rsidRDefault="00927649">
    <w:pPr>
      <w:pStyle w:val="Footer"/>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3F" w:rsidRDefault="00BF7A3F">
    <w:pPr>
      <w:pStyle w:val="Foote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63" w:rsidRPr="00C10E72" w:rsidRDefault="00FC1FDC" w:rsidP="00C10E72">
    <w:pPr>
      <w:pStyle w:val="Normal1"/>
      <w:tabs>
        <w:tab w:val="center" w:pos="5103"/>
        <w:tab w:val="right" w:pos="9071"/>
      </w:tabs>
      <w:rPr>
        <w:rFonts w:ascii="Arial" w:hAnsi="Arial" w:cs="Arial"/>
        <w:sz w:val="18"/>
        <w:szCs w:val="18"/>
      </w:rPr>
    </w:pPr>
    <w:r w:rsidRPr="000A7651">
      <w:rPr>
        <w:rFonts w:ascii="Arial" w:hAnsi="Arial" w:cs="Arial"/>
        <w:color w:val="003366"/>
        <w:sz w:val="18"/>
        <w:szCs w:val="18"/>
      </w:rPr>
      <w:t>RBS – Annual Results 2019</w:t>
    </w:r>
    <w:r w:rsidRPr="000A7651">
      <w:rPr>
        <w:rFonts w:ascii="Arial" w:hAnsi="Arial" w:cs="Arial"/>
        <w:color w:val="003366"/>
        <w:sz w:val="18"/>
        <w:szCs w:val="18"/>
      </w:rPr>
      <w:tab/>
    </w:r>
    <w:r w:rsidRPr="000A7651">
      <w:rPr>
        <w:rFonts w:ascii="Arial" w:hAnsi="Arial" w:cs="Arial"/>
        <w:sz w:val="18"/>
        <w:szCs w:val="18"/>
      </w:rPr>
      <w:fldChar w:fldCharType="begin"/>
    </w:r>
    <w:r w:rsidRPr="000A7651">
      <w:rPr>
        <w:rFonts w:ascii="Arial" w:hAnsi="Arial" w:cs="Arial"/>
        <w:sz w:val="18"/>
        <w:szCs w:val="18"/>
      </w:rPr>
      <w:instrText xml:space="preserve"> PAGE  \* Arabic  \* MERGEFORMAT </w:instrText>
    </w:r>
    <w:r w:rsidRPr="000A7651">
      <w:rPr>
        <w:rFonts w:ascii="Arial" w:hAnsi="Arial" w:cs="Arial"/>
        <w:sz w:val="18"/>
        <w:szCs w:val="18"/>
      </w:rPr>
      <w:fldChar w:fldCharType="separate"/>
    </w:r>
    <w:r w:rsidR="00D434F5">
      <w:rPr>
        <w:rFonts w:ascii="Arial" w:hAnsi="Arial" w:cs="Arial"/>
        <w:noProof/>
        <w:sz w:val="18"/>
        <w:szCs w:val="18"/>
      </w:rPr>
      <w:t>32</w:t>
    </w:r>
    <w:r w:rsidRPr="000A7651">
      <w:rPr>
        <w:rFonts w:ascii="Arial" w:hAnsi="Arial" w:cs="Arial"/>
        <w:sz w:val="18"/>
        <w:szCs w:val="18"/>
      </w:rP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3F" w:rsidRDefault="00BF7A3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63" w:rsidRPr="00BA3CC8" w:rsidRDefault="00FC1FDC" w:rsidP="00BA3CC8">
    <w:pPr>
      <w:pStyle w:val="Normal1"/>
      <w:tabs>
        <w:tab w:val="center" w:pos="5103"/>
        <w:tab w:val="right" w:pos="9071"/>
      </w:tabs>
      <w:rPr>
        <w:rFonts w:ascii="Arial" w:hAnsi="Arial" w:cs="Arial"/>
        <w:sz w:val="18"/>
        <w:szCs w:val="18"/>
      </w:rPr>
    </w:pPr>
    <w:r w:rsidRPr="00BA3CC8">
      <w:rPr>
        <w:rFonts w:ascii="Arial" w:hAnsi="Arial" w:cs="Arial"/>
        <w:color w:val="003366"/>
        <w:sz w:val="18"/>
        <w:szCs w:val="18"/>
      </w:rPr>
      <w:t>RBS – Annual Results 2019</w:t>
    </w:r>
    <w:r w:rsidRPr="00BA3CC8">
      <w:rPr>
        <w:rFonts w:ascii="Arial" w:hAnsi="Arial" w:cs="Arial"/>
        <w:color w:val="003366"/>
        <w:sz w:val="18"/>
        <w:szCs w:val="18"/>
      </w:rPr>
      <w:tab/>
    </w:r>
    <w:r w:rsidRPr="00BA3CC8">
      <w:rPr>
        <w:rFonts w:ascii="Arial" w:hAnsi="Arial" w:cs="Arial"/>
        <w:sz w:val="18"/>
        <w:szCs w:val="18"/>
      </w:rPr>
      <w:fldChar w:fldCharType="begin"/>
    </w:r>
    <w:r w:rsidRPr="00BA3CC8">
      <w:rPr>
        <w:rFonts w:ascii="Arial" w:hAnsi="Arial" w:cs="Arial"/>
        <w:sz w:val="18"/>
        <w:szCs w:val="18"/>
      </w:rPr>
      <w:instrText xml:space="preserve"> PAGE  \* Arabic  \* MERGEFORMAT </w:instrText>
    </w:r>
    <w:r w:rsidRPr="00BA3CC8">
      <w:rPr>
        <w:rFonts w:ascii="Arial" w:hAnsi="Arial" w:cs="Arial"/>
        <w:sz w:val="18"/>
        <w:szCs w:val="18"/>
      </w:rPr>
      <w:fldChar w:fldCharType="separate"/>
    </w:r>
    <w:r w:rsidR="0047542A">
      <w:rPr>
        <w:rFonts w:ascii="Arial" w:hAnsi="Arial" w:cs="Arial"/>
        <w:noProof/>
        <w:sz w:val="18"/>
        <w:szCs w:val="18"/>
      </w:rPr>
      <w:t>2</w:t>
    </w:r>
    <w:r w:rsidRPr="00BA3CC8">
      <w:rPr>
        <w:rFonts w:ascii="Arial" w:hAnsi="Arial" w:cs="Arial"/>
        <w:sz w:val="18"/>
        <w:szCs w:val="18"/>
      </w:rPr>
      <w:fldChar w:fldCharType="end"/>
    </w:r>
  </w:p>
  <w:p w:rsidR="00E21163" w:rsidRDefault="00E21163">
    <w:pPr>
      <w:pStyle w:val="MyLastParagraph"/>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BBE" w:rsidRDefault="00B22BBE">
    <w:pPr>
      <w:pStyle w:val="Footer"/>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63" w:rsidRPr="00707A53" w:rsidRDefault="00FC1FDC" w:rsidP="00707A53">
    <w:pPr>
      <w:pStyle w:val="Normal1"/>
      <w:tabs>
        <w:tab w:val="center" w:pos="5103"/>
        <w:tab w:val="right" w:pos="9071"/>
      </w:tabs>
      <w:rPr>
        <w:rFonts w:ascii="Arial" w:hAnsi="Arial" w:cs="Arial"/>
        <w:sz w:val="18"/>
        <w:szCs w:val="18"/>
      </w:rPr>
    </w:pPr>
    <w:r w:rsidRPr="000A7651">
      <w:rPr>
        <w:rFonts w:ascii="Arial" w:hAnsi="Arial" w:cs="Arial"/>
        <w:color w:val="003366"/>
        <w:sz w:val="18"/>
        <w:szCs w:val="18"/>
      </w:rPr>
      <w:t>RBS – Annual Results 2019</w:t>
    </w:r>
    <w:r w:rsidRPr="000A7651">
      <w:rPr>
        <w:rFonts w:ascii="Arial" w:hAnsi="Arial" w:cs="Arial"/>
        <w:color w:val="003366"/>
        <w:sz w:val="18"/>
        <w:szCs w:val="18"/>
      </w:rPr>
      <w:tab/>
    </w:r>
    <w:r w:rsidRPr="000A7651">
      <w:rPr>
        <w:rFonts w:ascii="Arial" w:hAnsi="Arial" w:cs="Arial"/>
        <w:sz w:val="18"/>
        <w:szCs w:val="18"/>
      </w:rPr>
      <w:fldChar w:fldCharType="begin"/>
    </w:r>
    <w:r w:rsidRPr="000A7651">
      <w:rPr>
        <w:rFonts w:ascii="Arial" w:hAnsi="Arial" w:cs="Arial"/>
        <w:sz w:val="18"/>
        <w:szCs w:val="18"/>
      </w:rPr>
      <w:instrText xml:space="preserve"> PAGE  \* Arabic  \* MERGEFORMAT </w:instrText>
    </w:r>
    <w:r w:rsidRPr="000A7651">
      <w:rPr>
        <w:rFonts w:ascii="Arial" w:hAnsi="Arial" w:cs="Arial"/>
        <w:sz w:val="18"/>
        <w:szCs w:val="18"/>
      </w:rPr>
      <w:fldChar w:fldCharType="separate"/>
    </w:r>
    <w:r w:rsidR="003A06EC">
      <w:rPr>
        <w:rFonts w:ascii="Arial" w:hAnsi="Arial" w:cs="Arial"/>
        <w:noProof/>
        <w:sz w:val="18"/>
        <w:szCs w:val="18"/>
      </w:rPr>
      <w:t>33</w:t>
    </w:r>
    <w:r w:rsidRPr="000A7651">
      <w:rPr>
        <w:rFonts w:ascii="Arial" w:hAnsi="Arial" w:cs="Arial"/>
        <w:sz w:val="18"/>
        <w:szCs w:val="18"/>
      </w:rPr>
      <w:fldChar w:fldCharType="end"/>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BBE" w:rsidRDefault="00B22BBE">
    <w:pPr>
      <w:pStyle w:val="Footer"/>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8E" w:rsidRDefault="002C318E">
    <w:pPr>
      <w:pStyle w:val="Foote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63" w:rsidRPr="001C35C4" w:rsidRDefault="00FC1FDC" w:rsidP="001C35C4">
    <w:pPr>
      <w:pStyle w:val="Normal1"/>
      <w:tabs>
        <w:tab w:val="center" w:pos="5103"/>
        <w:tab w:val="right" w:pos="9071"/>
      </w:tabs>
      <w:rPr>
        <w:rFonts w:ascii="Arial" w:hAnsi="Arial" w:cs="Arial"/>
        <w:sz w:val="18"/>
        <w:szCs w:val="18"/>
      </w:rPr>
    </w:pPr>
    <w:r w:rsidRPr="000A7651">
      <w:rPr>
        <w:rFonts w:ascii="Arial" w:hAnsi="Arial" w:cs="Arial"/>
        <w:color w:val="003366"/>
        <w:sz w:val="18"/>
        <w:szCs w:val="18"/>
      </w:rPr>
      <w:t>RBS – Annual Results 2019</w:t>
    </w:r>
    <w:r w:rsidRPr="000A7651">
      <w:rPr>
        <w:rFonts w:ascii="Arial" w:hAnsi="Arial" w:cs="Arial"/>
        <w:color w:val="003366"/>
        <w:sz w:val="18"/>
        <w:szCs w:val="18"/>
      </w:rPr>
      <w:tab/>
    </w:r>
    <w:r w:rsidRPr="000A7651">
      <w:rPr>
        <w:rFonts w:ascii="Arial" w:hAnsi="Arial" w:cs="Arial"/>
        <w:sz w:val="18"/>
        <w:szCs w:val="18"/>
      </w:rPr>
      <w:fldChar w:fldCharType="begin"/>
    </w:r>
    <w:r w:rsidRPr="000A7651">
      <w:rPr>
        <w:rFonts w:ascii="Arial" w:hAnsi="Arial" w:cs="Arial"/>
        <w:sz w:val="18"/>
        <w:szCs w:val="18"/>
      </w:rPr>
      <w:instrText xml:space="preserve"> PAGE  \* Arabic  \* MERGEFORMAT </w:instrText>
    </w:r>
    <w:r w:rsidRPr="000A7651">
      <w:rPr>
        <w:rFonts w:ascii="Arial" w:hAnsi="Arial" w:cs="Arial"/>
        <w:sz w:val="18"/>
        <w:szCs w:val="18"/>
      </w:rPr>
      <w:fldChar w:fldCharType="separate"/>
    </w:r>
    <w:r w:rsidR="00D434F5">
      <w:rPr>
        <w:rFonts w:ascii="Arial" w:hAnsi="Arial" w:cs="Arial"/>
        <w:noProof/>
        <w:sz w:val="18"/>
        <w:szCs w:val="18"/>
      </w:rPr>
      <w:t>34</w:t>
    </w:r>
    <w:r w:rsidRPr="000A7651">
      <w:rPr>
        <w:rFonts w:ascii="Arial" w:hAnsi="Arial" w:cs="Arial"/>
        <w:sz w:val="18"/>
        <w:szCs w:val="18"/>
      </w:rPr>
      <w:fldChar w:fldCharType="end"/>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8E" w:rsidRDefault="002C318E">
    <w:pPr>
      <w:pStyle w:val="Footer"/>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1D4" w:rsidRPr="001C35C4" w:rsidRDefault="00FC1FDC" w:rsidP="001C35C4">
    <w:pPr>
      <w:pStyle w:val="Normal1"/>
      <w:tabs>
        <w:tab w:val="center" w:pos="5103"/>
        <w:tab w:val="right" w:pos="9071"/>
      </w:tabs>
      <w:rPr>
        <w:rFonts w:ascii="Arial" w:hAnsi="Arial" w:cs="Arial"/>
        <w:sz w:val="18"/>
        <w:szCs w:val="18"/>
      </w:rPr>
    </w:pPr>
    <w:r w:rsidRPr="000A7651">
      <w:rPr>
        <w:rFonts w:ascii="Arial" w:hAnsi="Arial" w:cs="Arial"/>
        <w:color w:val="003366"/>
        <w:sz w:val="18"/>
        <w:szCs w:val="18"/>
      </w:rPr>
      <w:t>RBS – Annual Results 2019</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87C" w:rsidRDefault="0052387C">
    <w:pPr>
      <w:pStyle w:val="Footer"/>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2AD" w:rsidRDefault="00C972AD">
    <w:pPr>
      <w:pStyle w:val="Footer"/>
      <w:jc w:val="center"/>
    </w:pPr>
  </w:p>
  <w:p w:rsidR="00C972AD" w:rsidRPr="00703FB4" w:rsidRDefault="00FC1FDC" w:rsidP="00703FB4">
    <w:pPr>
      <w:pStyle w:val="Footer"/>
      <w:tabs>
        <w:tab w:val="clear" w:pos="4513"/>
        <w:tab w:val="right" w:pos="4535"/>
        <w:tab w:val="right" w:pos="9072"/>
      </w:tabs>
      <w:rPr>
        <w:rFonts w:cs="Arial"/>
        <w:color w:val="003366"/>
        <w:sz w:val="20"/>
      </w:rPr>
    </w:pPr>
    <w:r w:rsidRPr="008C2524">
      <w:rPr>
        <w:rFonts w:cs="Arial"/>
        <w:color w:val="003366"/>
        <w:sz w:val="20"/>
      </w:rPr>
      <w:t xml:space="preserve">RBS – </w:t>
    </w:r>
    <w:r>
      <w:rPr>
        <w:rFonts w:cs="Arial"/>
        <w:color w:val="003366"/>
        <w:sz w:val="20"/>
      </w:rPr>
      <w:t>Annual Results 2019</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87C" w:rsidRDefault="0052387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AAE" w:rsidRDefault="00757AAE">
    <w:pPr>
      <w:pStyle w:val="Footer"/>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FB3" w:rsidRPr="001305CF" w:rsidRDefault="00FC1FDC" w:rsidP="001305CF">
    <w:pPr>
      <w:pStyle w:val="Footer"/>
      <w:tabs>
        <w:tab w:val="clear" w:pos="4513"/>
        <w:tab w:val="center" w:pos="5103"/>
      </w:tabs>
      <w:rPr>
        <w:sz w:val="18"/>
        <w:szCs w:val="18"/>
      </w:rPr>
    </w:pPr>
    <w:r w:rsidRPr="001305CF">
      <w:rPr>
        <w:rFonts w:cs="Arial"/>
        <w:color w:val="003366"/>
        <w:sz w:val="18"/>
        <w:szCs w:val="18"/>
      </w:rPr>
      <w:t>RBS – Annual Results 2019</w:t>
    </w:r>
    <w:r w:rsidRPr="001305CF">
      <w:rPr>
        <w:rFonts w:cs="Arial"/>
        <w:color w:val="003366"/>
        <w:sz w:val="18"/>
        <w:szCs w:val="18"/>
      </w:rPr>
      <w:tab/>
    </w:r>
    <w:sdt>
      <w:sdtPr>
        <w:rPr>
          <w:noProof/>
          <w:sz w:val="18"/>
          <w:szCs w:val="18"/>
        </w:rPr>
        <w:id w:val="1827851904"/>
        <w:docPartObj>
          <w:docPartGallery w:val="Page Numbers (Bottom of Page)"/>
          <w:docPartUnique/>
        </w:docPartObj>
      </w:sdtPr>
      <w:sdtEndPr/>
      <w:sdtContent>
        <w:r w:rsidRPr="001305CF">
          <w:rPr>
            <w:sz w:val="18"/>
            <w:szCs w:val="18"/>
          </w:rPr>
          <w:fldChar w:fldCharType="begin"/>
        </w:r>
        <w:r w:rsidRPr="001305CF">
          <w:rPr>
            <w:sz w:val="18"/>
            <w:szCs w:val="18"/>
          </w:rPr>
          <w:instrText xml:space="preserve"> PAGE   \* MERGEFORMAT </w:instrText>
        </w:r>
        <w:r w:rsidRPr="001305CF">
          <w:rPr>
            <w:sz w:val="18"/>
            <w:szCs w:val="18"/>
          </w:rPr>
          <w:fldChar w:fldCharType="separate"/>
        </w:r>
        <w:r w:rsidR="003A06EC">
          <w:rPr>
            <w:noProof/>
            <w:sz w:val="18"/>
            <w:szCs w:val="18"/>
          </w:rPr>
          <w:t>4</w:t>
        </w:r>
        <w:r w:rsidRPr="001305CF">
          <w:rPr>
            <w:noProof/>
            <w:sz w:val="18"/>
            <w:szCs w:val="18"/>
          </w:rPr>
          <w:fldChar w:fldCharType="end"/>
        </w:r>
      </w:sdtContent>
    </w:sdt>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AF" w:rsidRDefault="00AE0AAF"/>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2AD" w:rsidRPr="001305CF" w:rsidRDefault="00FC1FDC" w:rsidP="001305CF">
    <w:pPr>
      <w:pStyle w:val="Footer"/>
      <w:tabs>
        <w:tab w:val="clear" w:pos="4513"/>
        <w:tab w:val="center" w:pos="5103"/>
      </w:tabs>
      <w:rPr>
        <w:sz w:val="18"/>
        <w:szCs w:val="18"/>
      </w:rPr>
    </w:pPr>
    <w:r w:rsidRPr="001305CF">
      <w:rPr>
        <w:rFonts w:cs="Arial"/>
        <w:color w:val="003366"/>
        <w:sz w:val="18"/>
        <w:szCs w:val="18"/>
      </w:rPr>
      <w:t>RBS – Annual Results 2019</w:t>
    </w:r>
    <w:r w:rsidRPr="001305CF">
      <w:rPr>
        <w:rFonts w:cs="Arial"/>
        <w:color w:val="003366"/>
        <w:sz w:val="18"/>
        <w:szCs w:val="18"/>
      </w:rPr>
      <w:tab/>
    </w:r>
    <w:sdt>
      <w:sdtPr>
        <w:rPr>
          <w:noProof/>
          <w:sz w:val="18"/>
          <w:szCs w:val="18"/>
        </w:rPr>
        <w:id w:val="1489981502"/>
        <w:docPartObj>
          <w:docPartGallery w:val="Page Numbers (Bottom of Page)"/>
          <w:docPartUnique/>
        </w:docPartObj>
      </w:sdtPr>
      <w:sdtEndPr/>
      <w:sdtContent>
        <w:r w:rsidRPr="001305CF">
          <w:rPr>
            <w:sz w:val="18"/>
            <w:szCs w:val="18"/>
          </w:rPr>
          <w:fldChar w:fldCharType="begin"/>
        </w:r>
        <w:r w:rsidRPr="001305CF">
          <w:rPr>
            <w:sz w:val="18"/>
            <w:szCs w:val="18"/>
          </w:rPr>
          <w:instrText xml:space="preserve"> PAGE   \* MERGEFORMAT </w:instrText>
        </w:r>
        <w:r w:rsidRPr="001305CF">
          <w:rPr>
            <w:sz w:val="18"/>
            <w:szCs w:val="18"/>
          </w:rPr>
          <w:fldChar w:fldCharType="separate"/>
        </w:r>
        <w:r w:rsidR="003A06EC">
          <w:rPr>
            <w:noProof/>
            <w:sz w:val="18"/>
            <w:szCs w:val="18"/>
          </w:rPr>
          <w:t>5</w:t>
        </w:r>
        <w:r w:rsidRPr="001305CF">
          <w:rPr>
            <w:noProof/>
            <w:sz w:val="18"/>
            <w:szCs w:val="18"/>
          </w:rPr>
          <w:fldChar w:fldCharType="end"/>
        </w:r>
      </w:sdtContent>
    </w:sdt>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AF" w:rsidRDefault="00AE0AA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1B8" w:rsidRDefault="006471B8">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163" w:rsidRPr="00512A38" w:rsidRDefault="00FC1FDC" w:rsidP="00512A38">
    <w:pPr>
      <w:pStyle w:val="Normal1"/>
      <w:tabs>
        <w:tab w:val="center" w:pos="5103"/>
        <w:tab w:val="right" w:pos="9071"/>
      </w:tabs>
      <w:rPr>
        <w:rFonts w:ascii="Arial" w:hAnsi="Arial" w:cs="Arial"/>
        <w:sz w:val="18"/>
        <w:szCs w:val="18"/>
      </w:rPr>
    </w:pPr>
    <w:r w:rsidRPr="00BA3CC8">
      <w:rPr>
        <w:rFonts w:ascii="Arial" w:hAnsi="Arial" w:cs="Arial"/>
        <w:color w:val="003366"/>
        <w:sz w:val="18"/>
        <w:szCs w:val="18"/>
      </w:rPr>
      <w:t>RBS – Annual Results 2019</w:t>
    </w:r>
    <w:r w:rsidRPr="00BA3CC8">
      <w:rPr>
        <w:rFonts w:ascii="Arial" w:hAnsi="Arial" w:cs="Arial"/>
        <w:color w:val="003366"/>
        <w:sz w:val="18"/>
        <w:szCs w:val="18"/>
      </w:rPr>
      <w:tab/>
    </w:r>
    <w:r w:rsidRPr="00BA3CC8">
      <w:rPr>
        <w:rFonts w:ascii="Arial" w:hAnsi="Arial" w:cs="Arial"/>
        <w:sz w:val="18"/>
        <w:szCs w:val="18"/>
      </w:rPr>
      <w:fldChar w:fldCharType="begin"/>
    </w:r>
    <w:r w:rsidRPr="00BA3CC8">
      <w:rPr>
        <w:rFonts w:ascii="Arial" w:hAnsi="Arial" w:cs="Arial"/>
        <w:sz w:val="18"/>
        <w:szCs w:val="18"/>
      </w:rPr>
      <w:instrText xml:space="preserve"> PAGE  \* Arabic  \* MERGEFORMAT </w:instrText>
    </w:r>
    <w:r w:rsidRPr="00BA3CC8">
      <w:rPr>
        <w:rFonts w:ascii="Arial" w:hAnsi="Arial" w:cs="Arial"/>
        <w:sz w:val="18"/>
        <w:szCs w:val="18"/>
      </w:rPr>
      <w:fldChar w:fldCharType="separate"/>
    </w:r>
    <w:r w:rsidR="0047542A">
      <w:rPr>
        <w:rFonts w:ascii="Arial" w:hAnsi="Arial" w:cs="Arial"/>
        <w:noProof/>
        <w:sz w:val="18"/>
        <w:szCs w:val="18"/>
      </w:rPr>
      <w:t>3</w:t>
    </w:r>
    <w:r w:rsidRPr="00BA3CC8">
      <w:rPr>
        <w:rFonts w:ascii="Arial" w:hAnsi="Arial" w:cs="Arial"/>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1B8" w:rsidRDefault="006471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72C" w:rsidRDefault="00FC1FDC">
      <w:pPr>
        <w:spacing w:line="240" w:lineRule="auto"/>
      </w:pPr>
      <w:r>
        <w:separator/>
      </w:r>
    </w:p>
  </w:footnote>
  <w:footnote w:type="continuationSeparator" w:id="0">
    <w:p w:rsidR="0087372C" w:rsidRDefault="00FC1F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F5" w:rsidRDefault="00D434F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FF" w:rsidRDefault="00874BFF">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FF" w:rsidRDefault="00874BF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FF" w:rsidRDefault="00874BFF">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6D" w:rsidRDefault="00C06C6D">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6D" w:rsidRDefault="00C06C6D">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6D" w:rsidRDefault="00C06C6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BA" w:rsidRDefault="00BA74BA">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BA" w:rsidRDefault="00BA74BA">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BA" w:rsidRDefault="00BA74BA">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65E" w:rsidRDefault="001A76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F5" w:rsidRDefault="00D434F5">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65E" w:rsidRDefault="001A765E">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65E" w:rsidRDefault="001A765E">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0F" w:rsidRDefault="006B4F0F">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0F" w:rsidRDefault="006B4F0F">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4F0F" w:rsidRDefault="006B4F0F">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9F1" w:rsidRDefault="004069F1">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9F1" w:rsidRDefault="004069F1">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9F1" w:rsidRDefault="004069F1">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10" w:rsidRDefault="00592210">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10" w:rsidRDefault="005922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4F5" w:rsidRDefault="00D434F5">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210" w:rsidRDefault="00592210">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3DF" w:rsidRDefault="009D33DF">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3DF" w:rsidRDefault="009D33DF">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3DF" w:rsidRDefault="009D33DF">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AE8" w:rsidRDefault="00F90AE8">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27B" w:rsidRPr="00F90AE8" w:rsidRDefault="00F6727B" w:rsidP="00F90AE8">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AE8" w:rsidRDefault="00F90AE8">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7C" w:rsidRDefault="00D73D7C">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7C" w:rsidRDefault="00D73D7C">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D7C" w:rsidRDefault="00D73D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AAE" w:rsidRDefault="00757AAE">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FAA" w:rsidRDefault="00DB2FAA">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FAA" w:rsidRDefault="00DB2FAA">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FAA" w:rsidRDefault="00DB2FAA">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49" w:rsidRDefault="00927649">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49" w:rsidRDefault="00927649">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649" w:rsidRDefault="00927649">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3F" w:rsidRDefault="00BF7A3F">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3F" w:rsidRDefault="00BF7A3F">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7A3F" w:rsidRDefault="00BF7A3F">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BBE" w:rsidRDefault="00B22BB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AAE" w:rsidRDefault="00757AAE">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BBE" w:rsidRDefault="00B22BBE">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BBE" w:rsidRDefault="00B22BBE">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8E" w:rsidRDefault="002C318E">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8E" w:rsidRDefault="002C318E">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18E" w:rsidRDefault="002C318E">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87C" w:rsidRDefault="0052387C">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5DD" w:rsidRPr="00F0651A" w:rsidRDefault="00A925DD" w:rsidP="00F0651A">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87C" w:rsidRDefault="0052387C">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51A" w:rsidRPr="00F0651A" w:rsidRDefault="00F0651A" w:rsidP="00F0651A">
    <w:pPr>
      <w:pStyle w:val="Header"/>
      <w:rPr>
        <w:b/>
        <w:color w:val="002060"/>
        <w:sz w:val="26"/>
        <w:szCs w:val="26"/>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AF" w:rsidRDefault="00AE0AA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AAE" w:rsidRDefault="00757AAE">
    <w:pPr>
      <w:pStyle w:val="Heade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AAF" w:rsidRDefault="00AE0AA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1B8" w:rsidRDefault="006471B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1B8" w:rsidRDefault="006471B8">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1B8" w:rsidRDefault="006471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068C0"/>
    <w:multiLevelType w:val="hybridMultilevel"/>
    <w:tmpl w:val="7D78EA08"/>
    <w:lvl w:ilvl="0" w:tplc="FD728ED4">
      <w:start w:val="1"/>
      <w:numFmt w:val="decimal"/>
      <w:lvlText w:val="(%1)"/>
      <w:lvlJc w:val="left"/>
      <w:pPr>
        <w:ind w:left="284" w:hanging="284"/>
      </w:pPr>
      <w:rPr>
        <w:rFonts w:hint="default"/>
      </w:rPr>
    </w:lvl>
    <w:lvl w:ilvl="1" w:tplc="EF669DD2" w:tentative="1">
      <w:start w:val="1"/>
      <w:numFmt w:val="lowerLetter"/>
      <w:lvlText w:val="%2."/>
      <w:lvlJc w:val="left"/>
      <w:pPr>
        <w:ind w:left="1440" w:hanging="360"/>
      </w:pPr>
    </w:lvl>
    <w:lvl w:ilvl="2" w:tplc="0BB8F424" w:tentative="1">
      <w:start w:val="1"/>
      <w:numFmt w:val="lowerRoman"/>
      <w:lvlText w:val="%3."/>
      <w:lvlJc w:val="right"/>
      <w:pPr>
        <w:ind w:left="2160" w:hanging="180"/>
      </w:pPr>
    </w:lvl>
    <w:lvl w:ilvl="3" w:tplc="B058A1C2" w:tentative="1">
      <w:start w:val="1"/>
      <w:numFmt w:val="decimal"/>
      <w:lvlText w:val="%4."/>
      <w:lvlJc w:val="left"/>
      <w:pPr>
        <w:ind w:left="2880" w:hanging="360"/>
      </w:pPr>
    </w:lvl>
    <w:lvl w:ilvl="4" w:tplc="0832A96E" w:tentative="1">
      <w:start w:val="1"/>
      <w:numFmt w:val="lowerLetter"/>
      <w:lvlText w:val="%5."/>
      <w:lvlJc w:val="left"/>
      <w:pPr>
        <w:ind w:left="3600" w:hanging="360"/>
      </w:pPr>
    </w:lvl>
    <w:lvl w:ilvl="5" w:tplc="5A8AE63A" w:tentative="1">
      <w:start w:val="1"/>
      <w:numFmt w:val="lowerRoman"/>
      <w:lvlText w:val="%6."/>
      <w:lvlJc w:val="right"/>
      <w:pPr>
        <w:ind w:left="4320" w:hanging="180"/>
      </w:pPr>
    </w:lvl>
    <w:lvl w:ilvl="6" w:tplc="D65ABA7E" w:tentative="1">
      <w:start w:val="1"/>
      <w:numFmt w:val="decimal"/>
      <w:lvlText w:val="%7."/>
      <w:lvlJc w:val="left"/>
      <w:pPr>
        <w:ind w:left="5040" w:hanging="360"/>
      </w:pPr>
    </w:lvl>
    <w:lvl w:ilvl="7" w:tplc="F0C6819A" w:tentative="1">
      <w:start w:val="1"/>
      <w:numFmt w:val="lowerLetter"/>
      <w:lvlText w:val="%8."/>
      <w:lvlJc w:val="left"/>
      <w:pPr>
        <w:ind w:left="5760" w:hanging="360"/>
      </w:pPr>
    </w:lvl>
    <w:lvl w:ilvl="8" w:tplc="6F94FD36" w:tentative="1">
      <w:start w:val="1"/>
      <w:numFmt w:val="lowerRoman"/>
      <w:lvlText w:val="%9."/>
      <w:lvlJc w:val="right"/>
      <w:pPr>
        <w:ind w:left="6480" w:hanging="180"/>
      </w:pPr>
    </w:lvl>
  </w:abstractNum>
  <w:abstractNum w:abstractNumId="1">
    <w:nsid w:val="12377F6B"/>
    <w:multiLevelType w:val="hybridMultilevel"/>
    <w:tmpl w:val="9712FB32"/>
    <w:lvl w:ilvl="0" w:tplc="A254E948">
      <w:start w:val="1"/>
      <w:numFmt w:val="decimal"/>
      <w:lvlText w:val="(%1)"/>
      <w:lvlJc w:val="left"/>
      <w:pPr>
        <w:ind w:left="284" w:hanging="284"/>
      </w:pPr>
      <w:rPr>
        <w:rFonts w:hint="default"/>
      </w:rPr>
    </w:lvl>
    <w:lvl w:ilvl="1" w:tplc="055E461E" w:tentative="1">
      <w:start w:val="1"/>
      <w:numFmt w:val="lowerLetter"/>
      <w:lvlText w:val="%2."/>
      <w:lvlJc w:val="left"/>
      <w:pPr>
        <w:ind w:left="1440" w:hanging="360"/>
      </w:pPr>
    </w:lvl>
    <w:lvl w:ilvl="2" w:tplc="793C61C6" w:tentative="1">
      <w:start w:val="1"/>
      <w:numFmt w:val="lowerRoman"/>
      <w:lvlText w:val="%3."/>
      <w:lvlJc w:val="right"/>
      <w:pPr>
        <w:ind w:left="2160" w:hanging="180"/>
      </w:pPr>
    </w:lvl>
    <w:lvl w:ilvl="3" w:tplc="7FD6CFA8" w:tentative="1">
      <w:start w:val="1"/>
      <w:numFmt w:val="decimal"/>
      <w:lvlText w:val="%4."/>
      <w:lvlJc w:val="left"/>
      <w:pPr>
        <w:ind w:left="2880" w:hanging="360"/>
      </w:pPr>
    </w:lvl>
    <w:lvl w:ilvl="4" w:tplc="1F3A3678" w:tentative="1">
      <w:start w:val="1"/>
      <w:numFmt w:val="lowerLetter"/>
      <w:lvlText w:val="%5."/>
      <w:lvlJc w:val="left"/>
      <w:pPr>
        <w:ind w:left="3600" w:hanging="360"/>
      </w:pPr>
    </w:lvl>
    <w:lvl w:ilvl="5" w:tplc="FB72F06C" w:tentative="1">
      <w:start w:val="1"/>
      <w:numFmt w:val="lowerRoman"/>
      <w:lvlText w:val="%6."/>
      <w:lvlJc w:val="right"/>
      <w:pPr>
        <w:ind w:left="4320" w:hanging="180"/>
      </w:pPr>
    </w:lvl>
    <w:lvl w:ilvl="6" w:tplc="EC88B79E" w:tentative="1">
      <w:start w:val="1"/>
      <w:numFmt w:val="decimal"/>
      <w:lvlText w:val="%7."/>
      <w:lvlJc w:val="left"/>
      <w:pPr>
        <w:ind w:left="5040" w:hanging="360"/>
      </w:pPr>
    </w:lvl>
    <w:lvl w:ilvl="7" w:tplc="AD5053FC" w:tentative="1">
      <w:start w:val="1"/>
      <w:numFmt w:val="lowerLetter"/>
      <w:lvlText w:val="%8."/>
      <w:lvlJc w:val="left"/>
      <w:pPr>
        <w:ind w:left="5760" w:hanging="360"/>
      </w:pPr>
    </w:lvl>
    <w:lvl w:ilvl="8" w:tplc="5302D27C" w:tentative="1">
      <w:start w:val="1"/>
      <w:numFmt w:val="lowerRoman"/>
      <w:lvlText w:val="%9."/>
      <w:lvlJc w:val="right"/>
      <w:pPr>
        <w:ind w:left="6480" w:hanging="180"/>
      </w:pPr>
    </w:lvl>
  </w:abstractNum>
  <w:abstractNum w:abstractNumId="2">
    <w:nsid w:val="4F275378"/>
    <w:multiLevelType w:val="hybridMultilevel"/>
    <w:tmpl w:val="85C67F1A"/>
    <w:lvl w:ilvl="0" w:tplc="1272055E">
      <w:start w:val="1"/>
      <w:numFmt w:val="decimal"/>
      <w:lvlText w:val="(%1)"/>
      <w:lvlJc w:val="left"/>
      <w:pPr>
        <w:ind w:left="284" w:hanging="284"/>
      </w:pPr>
      <w:rPr>
        <w:rFonts w:hint="default"/>
      </w:rPr>
    </w:lvl>
    <w:lvl w:ilvl="1" w:tplc="37B6AAB6" w:tentative="1">
      <w:start w:val="1"/>
      <w:numFmt w:val="lowerLetter"/>
      <w:lvlText w:val="%2."/>
      <w:lvlJc w:val="left"/>
      <w:pPr>
        <w:ind w:left="1440" w:hanging="360"/>
      </w:pPr>
    </w:lvl>
    <w:lvl w:ilvl="2" w:tplc="8B92E6E0" w:tentative="1">
      <w:start w:val="1"/>
      <w:numFmt w:val="lowerRoman"/>
      <w:lvlText w:val="%3."/>
      <w:lvlJc w:val="right"/>
      <w:pPr>
        <w:ind w:left="2160" w:hanging="180"/>
      </w:pPr>
    </w:lvl>
    <w:lvl w:ilvl="3" w:tplc="CF9AEABE" w:tentative="1">
      <w:start w:val="1"/>
      <w:numFmt w:val="decimal"/>
      <w:lvlText w:val="%4."/>
      <w:lvlJc w:val="left"/>
      <w:pPr>
        <w:ind w:left="2880" w:hanging="360"/>
      </w:pPr>
    </w:lvl>
    <w:lvl w:ilvl="4" w:tplc="FEB40896" w:tentative="1">
      <w:start w:val="1"/>
      <w:numFmt w:val="lowerLetter"/>
      <w:lvlText w:val="%5."/>
      <w:lvlJc w:val="left"/>
      <w:pPr>
        <w:ind w:left="3600" w:hanging="360"/>
      </w:pPr>
    </w:lvl>
    <w:lvl w:ilvl="5" w:tplc="C26E82EA" w:tentative="1">
      <w:start w:val="1"/>
      <w:numFmt w:val="lowerRoman"/>
      <w:lvlText w:val="%6."/>
      <w:lvlJc w:val="right"/>
      <w:pPr>
        <w:ind w:left="4320" w:hanging="180"/>
      </w:pPr>
    </w:lvl>
    <w:lvl w:ilvl="6" w:tplc="CA4C7E3C" w:tentative="1">
      <w:start w:val="1"/>
      <w:numFmt w:val="decimal"/>
      <w:lvlText w:val="%7."/>
      <w:lvlJc w:val="left"/>
      <w:pPr>
        <w:ind w:left="5040" w:hanging="360"/>
      </w:pPr>
    </w:lvl>
    <w:lvl w:ilvl="7" w:tplc="5DD2A088" w:tentative="1">
      <w:start w:val="1"/>
      <w:numFmt w:val="lowerLetter"/>
      <w:lvlText w:val="%8."/>
      <w:lvlJc w:val="left"/>
      <w:pPr>
        <w:ind w:left="5760" w:hanging="360"/>
      </w:pPr>
    </w:lvl>
    <w:lvl w:ilvl="8" w:tplc="EDC2CEFA" w:tentative="1">
      <w:start w:val="1"/>
      <w:numFmt w:val="lowerRoman"/>
      <w:lvlText w:val="%9."/>
      <w:lvlJc w:val="right"/>
      <w:pPr>
        <w:ind w:left="6480" w:hanging="180"/>
      </w:pPr>
    </w:lvl>
  </w:abstractNum>
  <w:abstractNum w:abstractNumId="3">
    <w:nsid w:val="51A5743A"/>
    <w:multiLevelType w:val="hybridMultilevel"/>
    <w:tmpl w:val="81ECDAAA"/>
    <w:lvl w:ilvl="0" w:tplc="2722AF20">
      <w:start w:val="1"/>
      <w:numFmt w:val="decimal"/>
      <w:lvlText w:val="(%1)"/>
      <w:lvlJc w:val="left"/>
      <w:pPr>
        <w:ind w:left="360" w:hanging="360"/>
      </w:pPr>
    </w:lvl>
    <w:lvl w:ilvl="1" w:tplc="FB3613D0">
      <w:start w:val="1"/>
      <w:numFmt w:val="lowerLetter"/>
      <w:lvlText w:val="%2."/>
      <w:lvlJc w:val="left"/>
      <w:pPr>
        <w:ind w:left="1080" w:hanging="360"/>
      </w:pPr>
    </w:lvl>
    <w:lvl w:ilvl="2" w:tplc="6DAA97FA">
      <w:start w:val="1"/>
      <w:numFmt w:val="lowerRoman"/>
      <w:lvlText w:val="%3."/>
      <w:lvlJc w:val="right"/>
      <w:pPr>
        <w:ind w:left="1800" w:hanging="180"/>
      </w:pPr>
    </w:lvl>
    <w:lvl w:ilvl="3" w:tplc="D61A6584">
      <w:start w:val="1"/>
      <w:numFmt w:val="decimal"/>
      <w:lvlText w:val="%4."/>
      <w:lvlJc w:val="left"/>
      <w:pPr>
        <w:ind w:left="2520" w:hanging="360"/>
      </w:pPr>
    </w:lvl>
    <w:lvl w:ilvl="4" w:tplc="E3247C5A">
      <w:start w:val="1"/>
      <w:numFmt w:val="lowerLetter"/>
      <w:lvlText w:val="%5."/>
      <w:lvlJc w:val="left"/>
      <w:pPr>
        <w:ind w:left="3240" w:hanging="360"/>
      </w:pPr>
    </w:lvl>
    <w:lvl w:ilvl="5" w:tplc="0C9036B0">
      <w:start w:val="1"/>
      <w:numFmt w:val="lowerRoman"/>
      <w:lvlText w:val="%6."/>
      <w:lvlJc w:val="right"/>
      <w:pPr>
        <w:ind w:left="3960" w:hanging="180"/>
      </w:pPr>
    </w:lvl>
    <w:lvl w:ilvl="6" w:tplc="55BEDB68">
      <w:start w:val="1"/>
      <w:numFmt w:val="decimal"/>
      <w:lvlText w:val="%7."/>
      <w:lvlJc w:val="left"/>
      <w:pPr>
        <w:ind w:left="4680" w:hanging="360"/>
      </w:pPr>
    </w:lvl>
    <w:lvl w:ilvl="7" w:tplc="CC1277C4">
      <w:start w:val="1"/>
      <w:numFmt w:val="lowerLetter"/>
      <w:lvlText w:val="%8."/>
      <w:lvlJc w:val="left"/>
      <w:pPr>
        <w:ind w:left="5400" w:hanging="360"/>
      </w:pPr>
    </w:lvl>
    <w:lvl w:ilvl="8" w:tplc="211A2DE6">
      <w:start w:val="1"/>
      <w:numFmt w:val="lowerRoman"/>
      <w:lvlText w:val="%9."/>
      <w:lvlJc w:val="right"/>
      <w:pPr>
        <w:ind w:left="6120" w:hanging="180"/>
      </w:pPr>
    </w:lvl>
  </w:abstractNum>
  <w:abstractNum w:abstractNumId="4">
    <w:nsid w:val="5EB22420"/>
    <w:multiLevelType w:val="hybridMultilevel"/>
    <w:tmpl w:val="E9CCF230"/>
    <w:lvl w:ilvl="0" w:tplc="69460E92">
      <w:start w:val="1"/>
      <w:numFmt w:val="decimal"/>
      <w:lvlText w:val="(%1)"/>
      <w:lvlJc w:val="left"/>
      <w:pPr>
        <w:ind w:left="284" w:hanging="284"/>
      </w:pPr>
    </w:lvl>
    <w:lvl w:ilvl="1" w:tplc="667E54E8">
      <w:start w:val="1"/>
      <w:numFmt w:val="lowerLetter"/>
      <w:lvlText w:val="%2."/>
      <w:lvlJc w:val="left"/>
      <w:pPr>
        <w:ind w:left="1440" w:hanging="360"/>
      </w:pPr>
    </w:lvl>
    <w:lvl w:ilvl="2" w:tplc="B01C91FE">
      <w:start w:val="1"/>
      <w:numFmt w:val="lowerRoman"/>
      <w:lvlText w:val="%3."/>
      <w:lvlJc w:val="right"/>
      <w:pPr>
        <w:ind w:left="2160" w:hanging="180"/>
      </w:pPr>
    </w:lvl>
    <w:lvl w:ilvl="3" w:tplc="2B522E4E">
      <w:start w:val="1"/>
      <w:numFmt w:val="decimal"/>
      <w:lvlText w:val="%4."/>
      <w:lvlJc w:val="left"/>
      <w:pPr>
        <w:ind w:left="2880" w:hanging="360"/>
      </w:pPr>
    </w:lvl>
    <w:lvl w:ilvl="4" w:tplc="C5C0035A">
      <w:start w:val="1"/>
      <w:numFmt w:val="lowerLetter"/>
      <w:lvlText w:val="%5."/>
      <w:lvlJc w:val="left"/>
      <w:pPr>
        <w:ind w:left="3600" w:hanging="360"/>
      </w:pPr>
    </w:lvl>
    <w:lvl w:ilvl="5" w:tplc="040462B8">
      <w:start w:val="1"/>
      <w:numFmt w:val="lowerRoman"/>
      <w:lvlText w:val="%6."/>
      <w:lvlJc w:val="right"/>
      <w:pPr>
        <w:ind w:left="4320" w:hanging="180"/>
      </w:pPr>
    </w:lvl>
    <w:lvl w:ilvl="6" w:tplc="83246A6A">
      <w:start w:val="1"/>
      <w:numFmt w:val="decimal"/>
      <w:lvlText w:val="%7."/>
      <w:lvlJc w:val="left"/>
      <w:pPr>
        <w:ind w:left="5040" w:hanging="360"/>
      </w:pPr>
    </w:lvl>
    <w:lvl w:ilvl="7" w:tplc="018257E2">
      <w:start w:val="1"/>
      <w:numFmt w:val="lowerLetter"/>
      <w:lvlText w:val="%8."/>
      <w:lvlJc w:val="left"/>
      <w:pPr>
        <w:ind w:left="5760" w:hanging="360"/>
      </w:pPr>
    </w:lvl>
    <w:lvl w:ilvl="8" w:tplc="CBE2142A">
      <w:start w:val="1"/>
      <w:numFmt w:val="lowerRoman"/>
      <w:lvlText w:val="%9."/>
      <w:lvlJc w:val="right"/>
      <w:pPr>
        <w:ind w:left="6480" w:hanging="180"/>
      </w:pPr>
    </w:lvl>
  </w:abstractNum>
  <w:abstractNum w:abstractNumId="5">
    <w:nsid w:val="61DE5FE2"/>
    <w:multiLevelType w:val="hybridMultilevel"/>
    <w:tmpl w:val="263E5AEA"/>
    <w:lvl w:ilvl="0" w:tplc="D996E64E">
      <w:start w:val="1"/>
      <w:numFmt w:val="decimal"/>
      <w:lvlText w:val="(%1)"/>
      <w:lvlJc w:val="left"/>
      <w:pPr>
        <w:ind w:left="284" w:hanging="284"/>
      </w:pPr>
      <w:rPr>
        <w:rFonts w:hint="default"/>
      </w:rPr>
    </w:lvl>
    <w:lvl w:ilvl="1" w:tplc="F5DEED4C" w:tentative="1">
      <w:start w:val="1"/>
      <w:numFmt w:val="lowerLetter"/>
      <w:lvlText w:val="%2."/>
      <w:lvlJc w:val="left"/>
      <w:pPr>
        <w:ind w:left="1080" w:hanging="360"/>
      </w:pPr>
    </w:lvl>
    <w:lvl w:ilvl="2" w:tplc="255A6A3E" w:tentative="1">
      <w:start w:val="1"/>
      <w:numFmt w:val="lowerRoman"/>
      <w:lvlText w:val="%3."/>
      <w:lvlJc w:val="right"/>
      <w:pPr>
        <w:ind w:left="1800" w:hanging="180"/>
      </w:pPr>
    </w:lvl>
    <w:lvl w:ilvl="3" w:tplc="3DF07B04" w:tentative="1">
      <w:start w:val="1"/>
      <w:numFmt w:val="decimal"/>
      <w:lvlText w:val="%4."/>
      <w:lvlJc w:val="left"/>
      <w:pPr>
        <w:ind w:left="2520" w:hanging="360"/>
      </w:pPr>
    </w:lvl>
    <w:lvl w:ilvl="4" w:tplc="D72C3324" w:tentative="1">
      <w:start w:val="1"/>
      <w:numFmt w:val="lowerLetter"/>
      <w:lvlText w:val="%5."/>
      <w:lvlJc w:val="left"/>
      <w:pPr>
        <w:ind w:left="3240" w:hanging="360"/>
      </w:pPr>
    </w:lvl>
    <w:lvl w:ilvl="5" w:tplc="63EEF81E" w:tentative="1">
      <w:start w:val="1"/>
      <w:numFmt w:val="lowerRoman"/>
      <w:lvlText w:val="%6."/>
      <w:lvlJc w:val="right"/>
      <w:pPr>
        <w:ind w:left="3960" w:hanging="180"/>
      </w:pPr>
    </w:lvl>
    <w:lvl w:ilvl="6" w:tplc="38B28E96" w:tentative="1">
      <w:start w:val="1"/>
      <w:numFmt w:val="decimal"/>
      <w:lvlText w:val="%7."/>
      <w:lvlJc w:val="left"/>
      <w:pPr>
        <w:ind w:left="4680" w:hanging="360"/>
      </w:pPr>
    </w:lvl>
    <w:lvl w:ilvl="7" w:tplc="9D706444" w:tentative="1">
      <w:start w:val="1"/>
      <w:numFmt w:val="lowerLetter"/>
      <w:lvlText w:val="%8."/>
      <w:lvlJc w:val="left"/>
      <w:pPr>
        <w:ind w:left="5400" w:hanging="360"/>
      </w:pPr>
    </w:lvl>
    <w:lvl w:ilvl="8" w:tplc="F3D83966" w:tentative="1">
      <w:start w:val="1"/>
      <w:numFmt w:val="lowerRoman"/>
      <w:lvlText w:val="%9."/>
      <w:lvlJc w:val="right"/>
      <w:pPr>
        <w:ind w:left="6120" w:hanging="180"/>
      </w:pPr>
    </w:lvl>
  </w:abstractNum>
  <w:abstractNum w:abstractNumId="6">
    <w:nsid w:val="7F0D7C88"/>
    <w:multiLevelType w:val="hybridMultilevel"/>
    <w:tmpl w:val="263E5AEA"/>
    <w:lvl w:ilvl="0" w:tplc="1020F50C">
      <w:start w:val="1"/>
      <w:numFmt w:val="decimal"/>
      <w:lvlText w:val="(%1)"/>
      <w:lvlJc w:val="left"/>
      <w:pPr>
        <w:ind w:left="284" w:hanging="284"/>
      </w:pPr>
      <w:rPr>
        <w:rFonts w:hint="default"/>
      </w:rPr>
    </w:lvl>
    <w:lvl w:ilvl="1" w:tplc="974CCFCA" w:tentative="1">
      <w:start w:val="1"/>
      <w:numFmt w:val="lowerLetter"/>
      <w:lvlText w:val="%2."/>
      <w:lvlJc w:val="left"/>
      <w:pPr>
        <w:ind w:left="1080" w:hanging="360"/>
      </w:pPr>
    </w:lvl>
    <w:lvl w:ilvl="2" w:tplc="38F2FFA2" w:tentative="1">
      <w:start w:val="1"/>
      <w:numFmt w:val="lowerRoman"/>
      <w:lvlText w:val="%3."/>
      <w:lvlJc w:val="right"/>
      <w:pPr>
        <w:ind w:left="1800" w:hanging="180"/>
      </w:pPr>
    </w:lvl>
    <w:lvl w:ilvl="3" w:tplc="77EAD276" w:tentative="1">
      <w:start w:val="1"/>
      <w:numFmt w:val="decimal"/>
      <w:lvlText w:val="%4."/>
      <w:lvlJc w:val="left"/>
      <w:pPr>
        <w:ind w:left="2520" w:hanging="360"/>
      </w:pPr>
    </w:lvl>
    <w:lvl w:ilvl="4" w:tplc="77C438E6" w:tentative="1">
      <w:start w:val="1"/>
      <w:numFmt w:val="lowerLetter"/>
      <w:lvlText w:val="%5."/>
      <w:lvlJc w:val="left"/>
      <w:pPr>
        <w:ind w:left="3240" w:hanging="360"/>
      </w:pPr>
    </w:lvl>
    <w:lvl w:ilvl="5" w:tplc="1D7C76C8" w:tentative="1">
      <w:start w:val="1"/>
      <w:numFmt w:val="lowerRoman"/>
      <w:lvlText w:val="%6."/>
      <w:lvlJc w:val="right"/>
      <w:pPr>
        <w:ind w:left="3960" w:hanging="180"/>
      </w:pPr>
    </w:lvl>
    <w:lvl w:ilvl="6" w:tplc="66BE09F2" w:tentative="1">
      <w:start w:val="1"/>
      <w:numFmt w:val="decimal"/>
      <w:lvlText w:val="%7."/>
      <w:lvlJc w:val="left"/>
      <w:pPr>
        <w:ind w:left="4680" w:hanging="360"/>
      </w:pPr>
    </w:lvl>
    <w:lvl w:ilvl="7" w:tplc="D1DC65F8" w:tentative="1">
      <w:start w:val="1"/>
      <w:numFmt w:val="lowerLetter"/>
      <w:lvlText w:val="%8."/>
      <w:lvlJc w:val="left"/>
      <w:pPr>
        <w:ind w:left="5400" w:hanging="360"/>
      </w:pPr>
    </w:lvl>
    <w:lvl w:ilvl="8" w:tplc="5A2A6CC2" w:tentative="1">
      <w:start w:val="1"/>
      <w:numFmt w:val="lowerRoman"/>
      <w:lvlText w:val="%9."/>
      <w:lvlJc w:val="right"/>
      <w:pPr>
        <w:ind w:left="6120" w:hanging="180"/>
      </w:pPr>
    </w:lvl>
  </w:abstractNum>
  <w:num w:numId="1">
    <w:abstractNumId w:val="5"/>
  </w:num>
  <w:num w:numId="2">
    <w:abstractNumId w:val="6"/>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V_COMMENTS_LIST_A3F0ABAB-D387-4CB1-A59F-9459101C3EB1" w:val="&lt;compressed size=&quot;84&quot;&gt;eJwdijEKgDAQBOdDgSiSw/I0vsMqpWBh4+8dZIubud3Bxc3Dy8lCmM5EpZEUdqnLxa7JISUHm9/inV2s/6JqqYf+Ae3nCpA=&lt;/compressed&gt;_x000d__x000a_"/>
    <w:docVar w:name="SV_HIDDEN_GRID_QUERY_LIST_4F35BF76-6C0D-4D9B-82B2-816C12CF3733" w:val="&lt;compressed size=&quot;84&quot;&gt;eJwdijEKgDAQBOdDgSiSw/I0vsMqpWBh4+8dZIubud3Bxc3Dy8lCmM5EpZEUdqnLxa7JISUHm9/inV2s/6JqqYf+Ae3nCpA=&lt;/compressed&gt;_x000d__x000a_"/>
    <w:docVar w:name="SV_QUERY_LIST_4F35BF76-6C0D-4D9B-82B2-816C12CF3733" w:val="&lt;compressed size=&quot;84&quot;&gt;eJwdijEKgDAQBOdDgSiSw/I0vsMqpWBh4+8dZIubud3Bxc3Dy8lCmM5EpZEUdqnLxa7JISUHm9/inV2s/6JqqYf+Ae3nCpA=&lt;/compressed&gt;_x000d__x000a_"/>
  </w:docVars>
  <w:rsids>
    <w:rsidRoot w:val="00CA654E"/>
    <w:rsid w:val="0000356A"/>
    <w:rsid w:val="000230E5"/>
    <w:rsid w:val="000437D8"/>
    <w:rsid w:val="00043F26"/>
    <w:rsid w:val="000519C6"/>
    <w:rsid w:val="00061AD0"/>
    <w:rsid w:val="00063D6F"/>
    <w:rsid w:val="00071A29"/>
    <w:rsid w:val="00073A00"/>
    <w:rsid w:val="00075540"/>
    <w:rsid w:val="0007743C"/>
    <w:rsid w:val="00082466"/>
    <w:rsid w:val="0008288C"/>
    <w:rsid w:val="00083324"/>
    <w:rsid w:val="00087389"/>
    <w:rsid w:val="00087AF1"/>
    <w:rsid w:val="00091EE3"/>
    <w:rsid w:val="000932C9"/>
    <w:rsid w:val="00093C20"/>
    <w:rsid w:val="000A45B5"/>
    <w:rsid w:val="000A7651"/>
    <w:rsid w:val="000A7AA5"/>
    <w:rsid w:val="000B1480"/>
    <w:rsid w:val="000B2423"/>
    <w:rsid w:val="000B5841"/>
    <w:rsid w:val="000C11D4"/>
    <w:rsid w:val="000D2FC0"/>
    <w:rsid w:val="000D5304"/>
    <w:rsid w:val="000D5515"/>
    <w:rsid w:val="000D6EFC"/>
    <w:rsid w:val="000E0A1B"/>
    <w:rsid w:val="000E15FD"/>
    <w:rsid w:val="00106413"/>
    <w:rsid w:val="00111892"/>
    <w:rsid w:val="001147E8"/>
    <w:rsid w:val="00124B8F"/>
    <w:rsid w:val="001305CF"/>
    <w:rsid w:val="0014134B"/>
    <w:rsid w:val="00142AE0"/>
    <w:rsid w:val="00144A97"/>
    <w:rsid w:val="00155BB8"/>
    <w:rsid w:val="00161BDC"/>
    <w:rsid w:val="00165ACB"/>
    <w:rsid w:val="001758B9"/>
    <w:rsid w:val="00176E72"/>
    <w:rsid w:val="0017725D"/>
    <w:rsid w:val="001862CC"/>
    <w:rsid w:val="00187FA5"/>
    <w:rsid w:val="001A22BE"/>
    <w:rsid w:val="001A451A"/>
    <w:rsid w:val="001A765E"/>
    <w:rsid w:val="001A7AD7"/>
    <w:rsid w:val="001B061F"/>
    <w:rsid w:val="001B4D40"/>
    <w:rsid w:val="001C35C4"/>
    <w:rsid w:val="001C7AE1"/>
    <w:rsid w:val="001D154B"/>
    <w:rsid w:val="001D46D3"/>
    <w:rsid w:val="001F584A"/>
    <w:rsid w:val="001F5FC7"/>
    <w:rsid w:val="002018FE"/>
    <w:rsid w:val="00207B9A"/>
    <w:rsid w:val="00207EE2"/>
    <w:rsid w:val="0022051B"/>
    <w:rsid w:val="0022097C"/>
    <w:rsid w:val="00227437"/>
    <w:rsid w:val="00237229"/>
    <w:rsid w:val="00250B6C"/>
    <w:rsid w:val="00252B5F"/>
    <w:rsid w:val="00254391"/>
    <w:rsid w:val="00262A19"/>
    <w:rsid w:val="00263A11"/>
    <w:rsid w:val="00263AAD"/>
    <w:rsid w:val="002746FA"/>
    <w:rsid w:val="00275758"/>
    <w:rsid w:val="0028068B"/>
    <w:rsid w:val="0028287A"/>
    <w:rsid w:val="0028535B"/>
    <w:rsid w:val="00285A01"/>
    <w:rsid w:val="002C318E"/>
    <w:rsid w:val="002C3537"/>
    <w:rsid w:val="002C6C2A"/>
    <w:rsid w:val="002D4175"/>
    <w:rsid w:val="002D4F6F"/>
    <w:rsid w:val="002D6C40"/>
    <w:rsid w:val="002D6EC0"/>
    <w:rsid w:val="002E3C88"/>
    <w:rsid w:val="002F6D41"/>
    <w:rsid w:val="00310FAE"/>
    <w:rsid w:val="00311C50"/>
    <w:rsid w:val="00312770"/>
    <w:rsid w:val="0032023E"/>
    <w:rsid w:val="00321358"/>
    <w:rsid w:val="0032697C"/>
    <w:rsid w:val="0034305B"/>
    <w:rsid w:val="00343474"/>
    <w:rsid w:val="0035028A"/>
    <w:rsid w:val="0035648C"/>
    <w:rsid w:val="00362B1B"/>
    <w:rsid w:val="0036408F"/>
    <w:rsid w:val="00367524"/>
    <w:rsid w:val="0037594E"/>
    <w:rsid w:val="00392710"/>
    <w:rsid w:val="00395B92"/>
    <w:rsid w:val="003A06EC"/>
    <w:rsid w:val="003A504D"/>
    <w:rsid w:val="003A520A"/>
    <w:rsid w:val="003C0798"/>
    <w:rsid w:val="003C10D8"/>
    <w:rsid w:val="003D04E0"/>
    <w:rsid w:val="003E1270"/>
    <w:rsid w:val="003E320F"/>
    <w:rsid w:val="003E5C29"/>
    <w:rsid w:val="00402BB0"/>
    <w:rsid w:val="004069F1"/>
    <w:rsid w:val="0041053B"/>
    <w:rsid w:val="00420AC8"/>
    <w:rsid w:val="00430023"/>
    <w:rsid w:val="0043138C"/>
    <w:rsid w:val="00431C48"/>
    <w:rsid w:val="00436FB1"/>
    <w:rsid w:val="0045450E"/>
    <w:rsid w:val="004619AB"/>
    <w:rsid w:val="0046702D"/>
    <w:rsid w:val="004717BE"/>
    <w:rsid w:val="00472F16"/>
    <w:rsid w:val="0047456E"/>
    <w:rsid w:val="0047542A"/>
    <w:rsid w:val="00475545"/>
    <w:rsid w:val="004775AD"/>
    <w:rsid w:val="004865CA"/>
    <w:rsid w:val="0049242C"/>
    <w:rsid w:val="004926E7"/>
    <w:rsid w:val="00493214"/>
    <w:rsid w:val="004940B6"/>
    <w:rsid w:val="004A2458"/>
    <w:rsid w:val="004B560B"/>
    <w:rsid w:val="004C5805"/>
    <w:rsid w:val="004D082D"/>
    <w:rsid w:val="004D7DEF"/>
    <w:rsid w:val="004E296B"/>
    <w:rsid w:val="004F2627"/>
    <w:rsid w:val="004F4E7D"/>
    <w:rsid w:val="004F5E62"/>
    <w:rsid w:val="00512A38"/>
    <w:rsid w:val="00512E6B"/>
    <w:rsid w:val="0052387C"/>
    <w:rsid w:val="00527F23"/>
    <w:rsid w:val="00531A4D"/>
    <w:rsid w:val="005323F1"/>
    <w:rsid w:val="0053629E"/>
    <w:rsid w:val="0055596F"/>
    <w:rsid w:val="00561273"/>
    <w:rsid w:val="005623BB"/>
    <w:rsid w:val="00572AEE"/>
    <w:rsid w:val="00572DEB"/>
    <w:rsid w:val="00577CE7"/>
    <w:rsid w:val="005809DD"/>
    <w:rsid w:val="00581D5E"/>
    <w:rsid w:val="00582812"/>
    <w:rsid w:val="005847E4"/>
    <w:rsid w:val="00584E36"/>
    <w:rsid w:val="00587B70"/>
    <w:rsid w:val="005904A9"/>
    <w:rsid w:val="00591FB6"/>
    <w:rsid w:val="00592210"/>
    <w:rsid w:val="00594258"/>
    <w:rsid w:val="0059488A"/>
    <w:rsid w:val="005A21DE"/>
    <w:rsid w:val="005B011C"/>
    <w:rsid w:val="005B5EB1"/>
    <w:rsid w:val="005C1E2C"/>
    <w:rsid w:val="005C471B"/>
    <w:rsid w:val="005D030B"/>
    <w:rsid w:val="005D0EF9"/>
    <w:rsid w:val="005E0DA7"/>
    <w:rsid w:val="005E5A49"/>
    <w:rsid w:val="005F2169"/>
    <w:rsid w:val="005F64C9"/>
    <w:rsid w:val="005F655F"/>
    <w:rsid w:val="00607B26"/>
    <w:rsid w:val="00616229"/>
    <w:rsid w:val="00620623"/>
    <w:rsid w:val="006215FF"/>
    <w:rsid w:val="0064620D"/>
    <w:rsid w:val="0064628A"/>
    <w:rsid w:val="006471B8"/>
    <w:rsid w:val="00660E1D"/>
    <w:rsid w:val="006649F0"/>
    <w:rsid w:val="0066553C"/>
    <w:rsid w:val="0066629A"/>
    <w:rsid w:val="00670CD1"/>
    <w:rsid w:val="00686A16"/>
    <w:rsid w:val="006A5DDE"/>
    <w:rsid w:val="006B4F0F"/>
    <w:rsid w:val="006C623E"/>
    <w:rsid w:val="006D3792"/>
    <w:rsid w:val="006E3678"/>
    <w:rsid w:val="006E7637"/>
    <w:rsid w:val="006F1817"/>
    <w:rsid w:val="00703AF8"/>
    <w:rsid w:val="00703FB4"/>
    <w:rsid w:val="00706EBD"/>
    <w:rsid w:val="00707A53"/>
    <w:rsid w:val="00733317"/>
    <w:rsid w:val="007342BF"/>
    <w:rsid w:val="00747767"/>
    <w:rsid w:val="0075184C"/>
    <w:rsid w:val="00757AAE"/>
    <w:rsid w:val="00761A2C"/>
    <w:rsid w:val="00786B6D"/>
    <w:rsid w:val="007956F1"/>
    <w:rsid w:val="007A7654"/>
    <w:rsid w:val="007B3E82"/>
    <w:rsid w:val="007B5F40"/>
    <w:rsid w:val="007B7C13"/>
    <w:rsid w:val="007D36B6"/>
    <w:rsid w:val="007D3841"/>
    <w:rsid w:val="007E5A60"/>
    <w:rsid w:val="007E5DFC"/>
    <w:rsid w:val="007E7406"/>
    <w:rsid w:val="007E791F"/>
    <w:rsid w:val="007F3568"/>
    <w:rsid w:val="0080268A"/>
    <w:rsid w:val="0080270C"/>
    <w:rsid w:val="0081059B"/>
    <w:rsid w:val="00812E55"/>
    <w:rsid w:val="00814A1B"/>
    <w:rsid w:val="00821034"/>
    <w:rsid w:val="008234B5"/>
    <w:rsid w:val="0084657D"/>
    <w:rsid w:val="008530B2"/>
    <w:rsid w:val="008535DF"/>
    <w:rsid w:val="0086055D"/>
    <w:rsid w:val="00866D46"/>
    <w:rsid w:val="00871C10"/>
    <w:rsid w:val="0087372C"/>
    <w:rsid w:val="00874595"/>
    <w:rsid w:val="00874BFF"/>
    <w:rsid w:val="00883FE3"/>
    <w:rsid w:val="00885EC4"/>
    <w:rsid w:val="00892F13"/>
    <w:rsid w:val="008A0B96"/>
    <w:rsid w:val="008A3FB0"/>
    <w:rsid w:val="008A716C"/>
    <w:rsid w:val="008C2524"/>
    <w:rsid w:val="008D3AC9"/>
    <w:rsid w:val="008E3436"/>
    <w:rsid w:val="008F6CAF"/>
    <w:rsid w:val="009127BD"/>
    <w:rsid w:val="00912FEA"/>
    <w:rsid w:val="00914D0B"/>
    <w:rsid w:val="00915679"/>
    <w:rsid w:val="00921D7D"/>
    <w:rsid w:val="009226ED"/>
    <w:rsid w:val="0092582A"/>
    <w:rsid w:val="00927649"/>
    <w:rsid w:val="00932E1C"/>
    <w:rsid w:val="00947FD9"/>
    <w:rsid w:val="00950261"/>
    <w:rsid w:val="00961D1B"/>
    <w:rsid w:val="00974198"/>
    <w:rsid w:val="0098084F"/>
    <w:rsid w:val="0098367D"/>
    <w:rsid w:val="009901E8"/>
    <w:rsid w:val="0099638B"/>
    <w:rsid w:val="009A38D1"/>
    <w:rsid w:val="009A3F5F"/>
    <w:rsid w:val="009A4FB3"/>
    <w:rsid w:val="009B0F49"/>
    <w:rsid w:val="009C2188"/>
    <w:rsid w:val="009C2A04"/>
    <w:rsid w:val="009C77F3"/>
    <w:rsid w:val="009D0EB1"/>
    <w:rsid w:val="009D20E7"/>
    <w:rsid w:val="009D2355"/>
    <w:rsid w:val="009D33DF"/>
    <w:rsid w:val="009E0322"/>
    <w:rsid w:val="009E38D0"/>
    <w:rsid w:val="009E66C4"/>
    <w:rsid w:val="009F0E6C"/>
    <w:rsid w:val="009F3F44"/>
    <w:rsid w:val="009F4B56"/>
    <w:rsid w:val="00A04DB8"/>
    <w:rsid w:val="00A13D34"/>
    <w:rsid w:val="00A16788"/>
    <w:rsid w:val="00A257F0"/>
    <w:rsid w:val="00A26103"/>
    <w:rsid w:val="00A26E97"/>
    <w:rsid w:val="00A37AC7"/>
    <w:rsid w:val="00A56331"/>
    <w:rsid w:val="00A61503"/>
    <w:rsid w:val="00A645AC"/>
    <w:rsid w:val="00A67E8A"/>
    <w:rsid w:val="00A7164A"/>
    <w:rsid w:val="00A71AC0"/>
    <w:rsid w:val="00A774CA"/>
    <w:rsid w:val="00A84C17"/>
    <w:rsid w:val="00A86857"/>
    <w:rsid w:val="00A925DD"/>
    <w:rsid w:val="00A93087"/>
    <w:rsid w:val="00AA1055"/>
    <w:rsid w:val="00AB066B"/>
    <w:rsid w:val="00AB4D14"/>
    <w:rsid w:val="00AC4718"/>
    <w:rsid w:val="00AD6B52"/>
    <w:rsid w:val="00AE04A5"/>
    <w:rsid w:val="00AE0AAF"/>
    <w:rsid w:val="00AE25AD"/>
    <w:rsid w:val="00AE32A5"/>
    <w:rsid w:val="00AF282B"/>
    <w:rsid w:val="00B22BBE"/>
    <w:rsid w:val="00B2654E"/>
    <w:rsid w:val="00B315FF"/>
    <w:rsid w:val="00B35720"/>
    <w:rsid w:val="00B51C65"/>
    <w:rsid w:val="00B56259"/>
    <w:rsid w:val="00B61331"/>
    <w:rsid w:val="00B61821"/>
    <w:rsid w:val="00B63C8D"/>
    <w:rsid w:val="00B67F8C"/>
    <w:rsid w:val="00B719FE"/>
    <w:rsid w:val="00B727FC"/>
    <w:rsid w:val="00B7285F"/>
    <w:rsid w:val="00B72FF6"/>
    <w:rsid w:val="00B74939"/>
    <w:rsid w:val="00B80BFC"/>
    <w:rsid w:val="00B917A6"/>
    <w:rsid w:val="00BA1142"/>
    <w:rsid w:val="00BA3CC8"/>
    <w:rsid w:val="00BA74BA"/>
    <w:rsid w:val="00BC678E"/>
    <w:rsid w:val="00BD3107"/>
    <w:rsid w:val="00BF7A3F"/>
    <w:rsid w:val="00C003DF"/>
    <w:rsid w:val="00C02D61"/>
    <w:rsid w:val="00C06C6D"/>
    <w:rsid w:val="00C10E72"/>
    <w:rsid w:val="00C32350"/>
    <w:rsid w:val="00C36715"/>
    <w:rsid w:val="00C45C22"/>
    <w:rsid w:val="00C51D36"/>
    <w:rsid w:val="00C66CC1"/>
    <w:rsid w:val="00C710C0"/>
    <w:rsid w:val="00C728A4"/>
    <w:rsid w:val="00C76E09"/>
    <w:rsid w:val="00C81657"/>
    <w:rsid w:val="00C81F6F"/>
    <w:rsid w:val="00C91843"/>
    <w:rsid w:val="00C972AD"/>
    <w:rsid w:val="00CA654E"/>
    <w:rsid w:val="00CB18DF"/>
    <w:rsid w:val="00CB7B55"/>
    <w:rsid w:val="00CC1D6A"/>
    <w:rsid w:val="00CC2D71"/>
    <w:rsid w:val="00CD310F"/>
    <w:rsid w:val="00CD31D3"/>
    <w:rsid w:val="00CD42BD"/>
    <w:rsid w:val="00CD5271"/>
    <w:rsid w:val="00D07FA2"/>
    <w:rsid w:val="00D1266C"/>
    <w:rsid w:val="00D16AEB"/>
    <w:rsid w:val="00D32FFE"/>
    <w:rsid w:val="00D36231"/>
    <w:rsid w:val="00D434F5"/>
    <w:rsid w:val="00D508B7"/>
    <w:rsid w:val="00D60394"/>
    <w:rsid w:val="00D6330A"/>
    <w:rsid w:val="00D6578C"/>
    <w:rsid w:val="00D7231C"/>
    <w:rsid w:val="00D73D7C"/>
    <w:rsid w:val="00D7413D"/>
    <w:rsid w:val="00D807BD"/>
    <w:rsid w:val="00D82BC5"/>
    <w:rsid w:val="00D908C3"/>
    <w:rsid w:val="00D9584E"/>
    <w:rsid w:val="00DB2FAA"/>
    <w:rsid w:val="00DB5494"/>
    <w:rsid w:val="00DB6572"/>
    <w:rsid w:val="00DD0E1D"/>
    <w:rsid w:val="00DD1A53"/>
    <w:rsid w:val="00DD3335"/>
    <w:rsid w:val="00DD3E32"/>
    <w:rsid w:val="00DE1684"/>
    <w:rsid w:val="00E00B96"/>
    <w:rsid w:val="00E12C2D"/>
    <w:rsid w:val="00E13D45"/>
    <w:rsid w:val="00E21163"/>
    <w:rsid w:val="00E23FC2"/>
    <w:rsid w:val="00E24B1B"/>
    <w:rsid w:val="00E32686"/>
    <w:rsid w:val="00E33DFA"/>
    <w:rsid w:val="00E40FC7"/>
    <w:rsid w:val="00E433C0"/>
    <w:rsid w:val="00E44A03"/>
    <w:rsid w:val="00E463CE"/>
    <w:rsid w:val="00E47124"/>
    <w:rsid w:val="00E51D75"/>
    <w:rsid w:val="00E60149"/>
    <w:rsid w:val="00E64C80"/>
    <w:rsid w:val="00E701BA"/>
    <w:rsid w:val="00E73427"/>
    <w:rsid w:val="00E73DEB"/>
    <w:rsid w:val="00E7530F"/>
    <w:rsid w:val="00E7699C"/>
    <w:rsid w:val="00E81FB1"/>
    <w:rsid w:val="00EA4079"/>
    <w:rsid w:val="00EB336A"/>
    <w:rsid w:val="00EB3C2A"/>
    <w:rsid w:val="00EC0FC8"/>
    <w:rsid w:val="00EC5EF9"/>
    <w:rsid w:val="00ED05D9"/>
    <w:rsid w:val="00EF3259"/>
    <w:rsid w:val="00EF3C7E"/>
    <w:rsid w:val="00EF4115"/>
    <w:rsid w:val="00F04EB8"/>
    <w:rsid w:val="00F05041"/>
    <w:rsid w:val="00F0651A"/>
    <w:rsid w:val="00F07BE6"/>
    <w:rsid w:val="00F15690"/>
    <w:rsid w:val="00F17393"/>
    <w:rsid w:val="00F3186B"/>
    <w:rsid w:val="00F33CFB"/>
    <w:rsid w:val="00F36259"/>
    <w:rsid w:val="00F377A3"/>
    <w:rsid w:val="00F42252"/>
    <w:rsid w:val="00F429D4"/>
    <w:rsid w:val="00F50F25"/>
    <w:rsid w:val="00F550DD"/>
    <w:rsid w:val="00F57533"/>
    <w:rsid w:val="00F65C9D"/>
    <w:rsid w:val="00F6727B"/>
    <w:rsid w:val="00F751A6"/>
    <w:rsid w:val="00F80BB2"/>
    <w:rsid w:val="00F818BA"/>
    <w:rsid w:val="00F82309"/>
    <w:rsid w:val="00F90AE8"/>
    <w:rsid w:val="00F93513"/>
    <w:rsid w:val="00F94786"/>
    <w:rsid w:val="00FA3150"/>
    <w:rsid w:val="00FA3458"/>
    <w:rsid w:val="00FB2D2F"/>
    <w:rsid w:val="00FC1FDC"/>
    <w:rsid w:val="00FC23CD"/>
    <w:rsid w:val="00FC2A78"/>
    <w:rsid w:val="00FC440D"/>
    <w:rsid w:val="00FC5560"/>
    <w:rsid w:val="00FC691A"/>
    <w:rsid w:val="00FC7896"/>
    <w:rsid w:val="00FD5A9B"/>
    <w:rsid w:val="00FE3281"/>
    <w:rsid w:val="00FF0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54E"/>
    <w:pPr>
      <w:spacing w:after="0"/>
    </w:pPr>
    <w:rPr>
      <w:rFonts w:ascii="Arial" w:hAnsi="Arial"/>
      <w:sz w:val="16"/>
    </w:rPr>
  </w:style>
  <w:style w:type="paragraph" w:styleId="Heading1">
    <w:name w:val="heading 1"/>
    <w:basedOn w:val="Normal"/>
    <w:next w:val="Normal"/>
    <w:link w:val="Heading1Char"/>
    <w:uiPriority w:val="9"/>
    <w:qFormat/>
    <w:rsid w:val="00C972AD"/>
    <w:pPr>
      <w:keepNext/>
      <w:keepLines/>
      <w:outlineLvl w:val="0"/>
    </w:pPr>
    <w:rPr>
      <w:rFonts w:eastAsiaTheme="majorEastAsia" w:cstheme="majorBidi"/>
      <w:b/>
      <w:bCs/>
      <w:color w:val="0A2F64"/>
      <w:szCs w:val="28"/>
    </w:rPr>
  </w:style>
  <w:style w:type="paragraph" w:styleId="Heading2">
    <w:name w:val="heading 2"/>
    <w:basedOn w:val="Normal"/>
    <w:next w:val="Normal"/>
    <w:link w:val="Heading2Char"/>
    <w:uiPriority w:val="9"/>
    <w:unhideWhenUsed/>
    <w:qFormat/>
    <w:rsid w:val="00C972AD"/>
    <w:pPr>
      <w:keepNext/>
      <w:keepLines/>
      <w:outlineLvl w:val="1"/>
    </w:pPr>
    <w:rPr>
      <w:rFonts w:eastAsiaTheme="majorEastAsia" w:cstheme="majorBidi"/>
      <w:b/>
      <w:bCs/>
      <w:color w:val="06B3BB"/>
      <w:szCs w:val="26"/>
    </w:rPr>
  </w:style>
  <w:style w:type="paragraph" w:styleId="Heading3">
    <w:name w:val="heading 3"/>
    <w:basedOn w:val="Normal"/>
    <w:next w:val="Normal"/>
    <w:link w:val="Heading3Char"/>
    <w:uiPriority w:val="9"/>
    <w:unhideWhenUsed/>
    <w:qFormat/>
    <w:rsid w:val="00C972AD"/>
    <w:pPr>
      <w:keepNext/>
      <w:keepLines/>
      <w:outlineLvl w:val="2"/>
    </w:pPr>
    <w:rPr>
      <w:rFonts w:eastAsiaTheme="majorEastAsia" w:cstheme="majorBidi"/>
      <w:bCs/>
      <w:color w:val="0A2F64"/>
    </w:rPr>
  </w:style>
  <w:style w:type="paragraph" w:styleId="Heading4">
    <w:name w:val="heading 4"/>
    <w:basedOn w:val="Normal"/>
    <w:next w:val="Normal"/>
    <w:link w:val="Heading4Char"/>
    <w:uiPriority w:val="9"/>
    <w:unhideWhenUsed/>
    <w:qFormat/>
    <w:rsid w:val="00C972AD"/>
    <w:pPr>
      <w:keepNext/>
      <w:keepLines/>
      <w:outlineLvl w:val="3"/>
    </w:pPr>
    <w:rPr>
      <w:rFonts w:eastAsiaTheme="majorEastAsia" w:cstheme="majorBidi"/>
      <w:bCs/>
      <w:iCs/>
      <w:color w:val="06B3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CA654E"/>
    <w:pPr>
      <w:spacing w:after="0" w:line="240" w:lineRule="auto"/>
    </w:pPr>
    <w:rPr>
      <w:rFonts w:ascii="Times New Roman" w:eastAsia="SimSun" w:hAnsi="Times New Roman" w:cs="Times New Roman"/>
      <w:sz w:val="24"/>
      <w:szCs w:val="24"/>
      <w:lang w:eastAsia="zh-CN"/>
    </w:rPr>
  </w:style>
  <w:style w:type="paragraph" w:customStyle="1" w:styleId="Normal00">
    <w:name w:val="Normal_0_0"/>
    <w:rsid w:val="00CA654E"/>
    <w:pPr>
      <w:spacing w:after="0" w:line="240" w:lineRule="auto"/>
    </w:pPr>
    <w:rPr>
      <w:rFonts w:ascii="Times New Roman" w:eastAsia="Times New Roman" w:hAnsi="Times New Roman" w:cs="Times New Roman"/>
      <w:sz w:val="24"/>
      <w:szCs w:val="24"/>
      <w:lang w:eastAsia="zh-CN"/>
    </w:rPr>
  </w:style>
  <w:style w:type="paragraph" w:customStyle="1" w:styleId="Normal1">
    <w:name w:val="Normal_1"/>
    <w:qFormat/>
    <w:rsid w:val="00CA654E"/>
    <w:pPr>
      <w:spacing w:after="0" w:line="240" w:lineRule="auto"/>
    </w:pPr>
    <w:rPr>
      <w:rFonts w:ascii="Times New Roman" w:eastAsia="Times New Roman" w:hAnsi="Times New Roman" w:cs="Times New Roman"/>
      <w:sz w:val="24"/>
      <w:szCs w:val="20"/>
      <w:lang w:eastAsia="ja-JP"/>
    </w:rPr>
  </w:style>
  <w:style w:type="paragraph" w:styleId="Footer">
    <w:name w:val="footer"/>
    <w:basedOn w:val="Normal"/>
    <w:link w:val="FooterChar"/>
    <w:unhideWhenUsed/>
    <w:rsid w:val="00CA654E"/>
    <w:pPr>
      <w:tabs>
        <w:tab w:val="center" w:pos="4513"/>
        <w:tab w:val="right" w:pos="9026"/>
      </w:tabs>
      <w:spacing w:line="240" w:lineRule="auto"/>
    </w:pPr>
  </w:style>
  <w:style w:type="character" w:customStyle="1" w:styleId="FooterChar">
    <w:name w:val="Footer Char"/>
    <w:basedOn w:val="DefaultParagraphFont"/>
    <w:link w:val="Footer"/>
    <w:rsid w:val="00CA654E"/>
    <w:rPr>
      <w:rFonts w:ascii="Arial" w:hAnsi="Arial"/>
      <w:sz w:val="18"/>
    </w:rPr>
  </w:style>
  <w:style w:type="paragraph" w:customStyle="1" w:styleId="MyLastParagraph">
    <w:name w:val="MyLastParagraph"/>
    <w:rsid w:val="00CA654E"/>
    <w:pPr>
      <w:spacing w:after="0" w:line="240" w:lineRule="auto"/>
    </w:pPr>
    <w:rPr>
      <w:rFonts w:ascii="Times New Roman" w:eastAsia="Times New Roman" w:hAnsi="Times New Roman" w:cs="Times New Roman"/>
      <w:sz w:val="4"/>
      <w:szCs w:val="20"/>
      <w:lang w:eastAsia="en-GB"/>
    </w:rPr>
  </w:style>
  <w:style w:type="paragraph" w:styleId="Header">
    <w:name w:val="header"/>
    <w:basedOn w:val="Normal"/>
    <w:link w:val="HeaderChar"/>
    <w:uiPriority w:val="99"/>
    <w:unhideWhenUsed/>
    <w:rsid w:val="00C972AD"/>
    <w:pPr>
      <w:tabs>
        <w:tab w:val="center" w:pos="4513"/>
        <w:tab w:val="right" w:pos="9026"/>
      </w:tabs>
      <w:spacing w:line="240" w:lineRule="auto"/>
    </w:pPr>
  </w:style>
  <w:style w:type="character" w:customStyle="1" w:styleId="HeaderChar">
    <w:name w:val="Header Char"/>
    <w:basedOn w:val="DefaultParagraphFont"/>
    <w:link w:val="Header"/>
    <w:uiPriority w:val="99"/>
    <w:rsid w:val="00C972AD"/>
    <w:rPr>
      <w:rFonts w:ascii="Arial" w:hAnsi="Arial"/>
      <w:sz w:val="18"/>
    </w:rPr>
  </w:style>
  <w:style w:type="character" w:customStyle="1" w:styleId="Heading1Char">
    <w:name w:val="Heading 1 Char"/>
    <w:basedOn w:val="DefaultParagraphFont"/>
    <w:link w:val="Heading1"/>
    <w:uiPriority w:val="9"/>
    <w:rsid w:val="00C972AD"/>
    <w:rPr>
      <w:rFonts w:ascii="Arial" w:eastAsiaTheme="majorEastAsia" w:hAnsi="Arial" w:cstheme="majorBidi"/>
      <w:b/>
      <w:bCs/>
      <w:color w:val="0A2F64"/>
      <w:sz w:val="16"/>
      <w:szCs w:val="28"/>
    </w:rPr>
  </w:style>
  <w:style w:type="character" w:customStyle="1" w:styleId="Heading2Char">
    <w:name w:val="Heading 2 Char"/>
    <w:basedOn w:val="DefaultParagraphFont"/>
    <w:link w:val="Heading2"/>
    <w:uiPriority w:val="9"/>
    <w:rsid w:val="00C972AD"/>
    <w:rPr>
      <w:rFonts w:ascii="Arial" w:eastAsiaTheme="majorEastAsia" w:hAnsi="Arial" w:cstheme="majorBidi"/>
      <w:b/>
      <w:bCs/>
      <w:color w:val="06B3BB"/>
      <w:sz w:val="16"/>
      <w:szCs w:val="26"/>
    </w:rPr>
  </w:style>
  <w:style w:type="character" w:customStyle="1" w:styleId="Heading3Char">
    <w:name w:val="Heading 3 Char"/>
    <w:basedOn w:val="DefaultParagraphFont"/>
    <w:link w:val="Heading3"/>
    <w:uiPriority w:val="9"/>
    <w:rsid w:val="00C972AD"/>
    <w:rPr>
      <w:rFonts w:ascii="Arial" w:eastAsiaTheme="majorEastAsia" w:hAnsi="Arial" w:cstheme="majorBidi"/>
      <w:bCs/>
      <w:color w:val="0A2F64"/>
      <w:sz w:val="16"/>
    </w:rPr>
  </w:style>
  <w:style w:type="character" w:customStyle="1" w:styleId="Heading4Char">
    <w:name w:val="Heading 4 Char"/>
    <w:basedOn w:val="DefaultParagraphFont"/>
    <w:link w:val="Heading4"/>
    <w:uiPriority w:val="9"/>
    <w:rsid w:val="00C972AD"/>
    <w:rPr>
      <w:rFonts w:ascii="Arial" w:eastAsiaTheme="majorEastAsia" w:hAnsi="Arial" w:cstheme="majorBidi"/>
      <w:bCs/>
      <w:iCs/>
      <w:color w:val="06B3BB"/>
      <w:sz w:val="16"/>
    </w:rPr>
  </w:style>
  <w:style w:type="paragraph" w:customStyle="1" w:styleId="9pt">
    <w:name w:val="9 pt"/>
    <w:rsid w:val="001B061F"/>
    <w:pPr>
      <w:spacing w:after="0" w:line="288" w:lineRule="auto"/>
      <w:jc w:val="both"/>
    </w:pPr>
    <w:rPr>
      <w:rFonts w:ascii="Arial" w:eastAsia="SimSun" w:hAnsi="Arial" w:cs="Arial"/>
      <w:b/>
      <w:color w:val="003366"/>
      <w:sz w:val="18"/>
      <w:szCs w:val="18"/>
      <w:lang w:eastAsia="zh-CN"/>
    </w:rPr>
  </w:style>
  <w:style w:type="paragraph" w:customStyle="1" w:styleId="Normal30">
    <w:name w:val="Normal_3_0"/>
    <w:qFormat/>
    <w:rsid w:val="001B061F"/>
    <w:pPr>
      <w:spacing w:after="0" w:line="240" w:lineRule="auto"/>
    </w:pPr>
    <w:rPr>
      <w:rFonts w:ascii="Arial" w:eastAsia="Arial" w:hAnsi="Arial" w:cs="Arial"/>
      <w:sz w:val="16"/>
      <w:szCs w:val="24"/>
      <w:lang w:eastAsia="en-GB"/>
    </w:rPr>
  </w:style>
  <w:style w:type="table" w:customStyle="1" w:styleId="table">
    <w:name w:val="table"/>
    <w:basedOn w:val="TableNormal"/>
    <w:rsid w:val="006471B8"/>
    <w:tblPr/>
  </w:style>
  <w:style w:type="character" w:customStyle="1" w:styleId="font5">
    <w:name w:val="font5"/>
    <w:basedOn w:val="DefaultParagraphFont"/>
    <w:rsid w:val="006471B8"/>
    <w:rPr>
      <w:rFonts w:ascii="Arial" w:eastAsia="Arial" w:hAnsi="Arial" w:cs="Arial"/>
      <w:b w:val="0"/>
      <w:bCs w:val="0"/>
      <w:i w:val="0"/>
      <w:iCs w:val="0"/>
      <w:color w:val="000000"/>
      <w:sz w:val="16"/>
      <w:szCs w:val="16"/>
    </w:rPr>
  </w:style>
  <w:style w:type="character" w:customStyle="1" w:styleId="font7">
    <w:name w:val="font7"/>
    <w:basedOn w:val="DefaultParagraphFont"/>
    <w:rsid w:val="006471B8"/>
    <w:rPr>
      <w:rFonts w:ascii="Arial" w:eastAsia="Arial" w:hAnsi="Arial" w:cs="Arial"/>
      <w:b w:val="0"/>
      <w:bCs w:val="0"/>
      <w:i w:val="0"/>
      <w:iCs w:val="0"/>
      <w:color w:val="000000"/>
      <w:sz w:val="12"/>
      <w:szCs w:val="12"/>
    </w:rPr>
  </w:style>
  <w:style w:type="character" w:customStyle="1" w:styleId="font4">
    <w:name w:val="font4"/>
    <w:basedOn w:val="DefaultParagraphFont"/>
    <w:rsid w:val="006471B8"/>
    <w:rPr>
      <w:rFonts w:ascii="Arial" w:eastAsia="Arial" w:hAnsi="Arial" w:cs="Arial"/>
      <w:b w:val="0"/>
      <w:bCs w:val="0"/>
      <w:i w:val="0"/>
      <w:iCs w:val="0"/>
      <w:color w:val="000000"/>
      <w:sz w:val="16"/>
      <w:szCs w:val="16"/>
    </w:rPr>
  </w:style>
  <w:style w:type="character" w:customStyle="1" w:styleId="font6">
    <w:name w:val="font6"/>
    <w:basedOn w:val="DefaultParagraphFont"/>
    <w:rsid w:val="006471B8"/>
    <w:rPr>
      <w:rFonts w:ascii="Arial" w:eastAsia="Arial" w:hAnsi="Arial" w:cs="Arial"/>
      <w:b w:val="0"/>
      <w:bCs w:val="0"/>
      <w:i w:val="0"/>
      <w:iCs w:val="0"/>
      <w:color w:val="000000"/>
      <w:sz w:val="12"/>
      <w:szCs w:val="12"/>
    </w:rPr>
  </w:style>
  <w:style w:type="paragraph" w:customStyle="1" w:styleId="p1">
    <w:name w:val="p1"/>
    <w:basedOn w:val="Normal"/>
    <w:rsid w:val="007B7C13"/>
    <w:pPr>
      <w:spacing w:before="100" w:beforeAutospacing="1" w:after="100" w:afterAutospacing="1" w:line="240" w:lineRule="auto"/>
    </w:pPr>
    <w:rPr>
      <w:rFonts w:ascii="Calibri" w:hAnsi="Calibri" w:cs="Calibri"/>
      <w:sz w:val="22"/>
      <w:lang w:eastAsia="en-GB"/>
    </w:rPr>
  </w:style>
  <w:style w:type="table" w:styleId="TableGrid">
    <w:name w:val="Table Grid"/>
    <w:basedOn w:val="TableNormal"/>
    <w:uiPriority w:val="59"/>
    <w:rsid w:val="00AF2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0">
    <w:name w:val="Heading 1_0_0"/>
    <w:qFormat/>
    <w:rsid w:val="004F5E62"/>
    <w:pPr>
      <w:keepNext/>
      <w:pBdr>
        <w:bottom w:val="single" w:sz="4" w:space="1" w:color="003366"/>
      </w:pBdr>
      <w:spacing w:after="0" w:line="288" w:lineRule="auto"/>
      <w:outlineLvl w:val="0"/>
    </w:pPr>
    <w:rPr>
      <w:rFonts w:ascii="Arial" w:eastAsia="Times New Roman" w:hAnsi="Arial" w:cs="Times New Roman"/>
      <w:color w:val="003366"/>
      <w:sz w:val="20"/>
      <w:szCs w:val="20"/>
      <w:lang w:eastAsia="ja-JP"/>
    </w:rPr>
  </w:style>
  <w:style w:type="paragraph" w:styleId="ListParagraph">
    <w:name w:val="List Paragraph"/>
    <w:basedOn w:val="Normal"/>
    <w:uiPriority w:val="34"/>
    <w:qFormat/>
    <w:rsid w:val="0059488A"/>
    <w:pPr>
      <w:ind w:left="720"/>
      <w:contextualSpacing/>
    </w:pPr>
  </w:style>
  <w:style w:type="character" w:customStyle="1" w:styleId="font174">
    <w:name w:val="font174"/>
    <w:basedOn w:val="DefaultParagraphFont"/>
    <w:rPr>
      <w:rFonts w:ascii="Arial" w:eastAsia="Arial" w:hAnsi="Arial" w:cs="Arial"/>
      <w:b w:val="0"/>
      <w:bCs w:val="0"/>
      <w:i w:val="0"/>
      <w:iCs w:val="0"/>
      <w:color w:val="000000"/>
      <w:sz w:val="16"/>
      <w:szCs w:val="16"/>
    </w:rPr>
  </w:style>
  <w:style w:type="character" w:customStyle="1" w:styleId="font175">
    <w:name w:val="font175"/>
    <w:basedOn w:val="DefaultParagraphFont"/>
    <w:rPr>
      <w:rFonts w:ascii="Arial" w:eastAsia="Arial" w:hAnsi="Arial" w:cs="Arial"/>
      <w:b w:val="0"/>
      <w:bCs w:val="0"/>
      <w:i w:val="0"/>
      <w:iCs w:val="0"/>
      <w:color w:val="000000"/>
      <w:sz w:val="12"/>
      <w:szCs w:val="12"/>
    </w:rPr>
  </w:style>
  <w:style w:type="paragraph" w:customStyle="1" w:styleId="Default0">
    <w:name w:val="Default_0"/>
    <w:basedOn w:val="Normal"/>
    <w:rsid w:val="00E44A03"/>
    <w:pPr>
      <w:autoSpaceDE w:val="0"/>
      <w:autoSpaceDN w:val="0"/>
      <w:spacing w:line="240" w:lineRule="auto"/>
    </w:pPr>
    <w:rPr>
      <w:rFonts w:cs="Arial"/>
      <w:color w:val="000000"/>
      <w:sz w:val="24"/>
      <w:szCs w:val="24"/>
    </w:rPr>
  </w:style>
  <w:style w:type="character" w:customStyle="1" w:styleId="font186">
    <w:name w:val="font186"/>
    <w:basedOn w:val="DefaultParagraphFont"/>
    <w:rPr>
      <w:rFonts w:ascii="Arial" w:eastAsia="Arial" w:hAnsi="Arial" w:cs="Arial"/>
      <w:b w:val="0"/>
      <w:bCs w:val="0"/>
      <w:i/>
      <w:iCs/>
      <w:color w:val="000000"/>
      <w:sz w:val="16"/>
      <w:szCs w:val="16"/>
    </w:rPr>
  </w:style>
  <w:style w:type="character" w:customStyle="1" w:styleId="font187">
    <w:name w:val="font187"/>
    <w:basedOn w:val="DefaultParagraphFont"/>
    <w:rPr>
      <w:rFonts w:ascii="Arial" w:eastAsia="Arial" w:hAnsi="Arial" w:cs="Arial"/>
      <w:b w:val="0"/>
      <w:bCs w:val="0"/>
      <w:i/>
      <w:iCs/>
      <w:color w:val="000000"/>
      <w:sz w:val="12"/>
      <w:szCs w:val="12"/>
    </w:rPr>
  </w:style>
  <w:style w:type="character" w:customStyle="1" w:styleId="font3">
    <w:name w:val="font3"/>
    <w:basedOn w:val="DefaultParagraphFont"/>
    <w:rsid w:val="006B4F0F"/>
    <w:rPr>
      <w:rFonts w:ascii="Arial" w:eastAsia="Arial" w:hAnsi="Arial" w:cs="Arial"/>
      <w:b/>
      <w:bCs/>
      <w:i w:val="0"/>
      <w:iCs w:val="0"/>
      <w:color w:val="003366"/>
      <w:sz w:val="16"/>
      <w:szCs w:val="16"/>
    </w:rPr>
  </w:style>
  <w:style w:type="character" w:customStyle="1" w:styleId="font70">
    <w:name w:val="font7_0"/>
    <w:basedOn w:val="DefaultParagraphFont"/>
    <w:rsid w:val="006B4F0F"/>
    <w:rPr>
      <w:rFonts w:ascii="Arial" w:eastAsia="Arial" w:hAnsi="Arial" w:cs="Arial"/>
      <w:b w:val="0"/>
      <w:bCs w:val="0"/>
      <w:i w:val="0"/>
      <w:iCs w:val="0"/>
      <w:color w:val="003366"/>
      <w:sz w:val="12"/>
      <w:szCs w:val="12"/>
    </w:rPr>
  </w:style>
  <w:style w:type="character" w:customStyle="1" w:styleId="font178">
    <w:name w:val="font178"/>
    <w:basedOn w:val="DefaultParagraphFont"/>
    <w:rPr>
      <w:rFonts w:ascii="Arial" w:eastAsia="Arial" w:hAnsi="Arial" w:cs="Arial"/>
      <w:b/>
      <w:bCs/>
      <w:i w:val="0"/>
      <w:iCs w:val="0"/>
      <w:color w:val="003366"/>
      <w:sz w:val="16"/>
      <w:szCs w:val="16"/>
    </w:rPr>
  </w:style>
  <w:style w:type="character" w:customStyle="1" w:styleId="font176">
    <w:name w:val="font176"/>
    <w:basedOn w:val="DefaultParagraphFont"/>
    <w:rPr>
      <w:rFonts w:ascii="Arial" w:eastAsia="Arial" w:hAnsi="Arial" w:cs="Arial"/>
      <w:b w:val="0"/>
      <w:bCs w:val="0"/>
      <w:i w:val="0"/>
      <w:iCs w:val="0"/>
      <w:color w:val="003366"/>
      <w:sz w:val="12"/>
      <w:szCs w:val="12"/>
    </w:rPr>
  </w:style>
  <w:style w:type="character" w:customStyle="1" w:styleId="font173">
    <w:name w:val="font173"/>
    <w:basedOn w:val="DefaultParagraphFont"/>
    <w:rsid w:val="00187FA5"/>
    <w:rPr>
      <w:rFonts w:ascii="Arial" w:eastAsia="Arial" w:hAnsi="Arial" w:cs="Arial"/>
      <w:b w:val="0"/>
      <w:bCs w:val="0"/>
      <w:i w:val="0"/>
      <w:iCs w:val="0"/>
      <w:color w:val="003366"/>
      <w:sz w:val="16"/>
      <w:szCs w:val="16"/>
    </w:rPr>
  </w:style>
  <w:style w:type="character" w:customStyle="1" w:styleId="font60">
    <w:name w:val="font6_0"/>
    <w:basedOn w:val="DefaultParagraphFont"/>
    <w:rsid w:val="00142AE0"/>
    <w:rPr>
      <w:rFonts w:ascii="Arial" w:eastAsia="Arial" w:hAnsi="Arial" w:cs="Arial"/>
      <w:b w:val="0"/>
      <w:bCs w:val="0"/>
      <w:i w:val="0"/>
      <w:iCs w:val="0"/>
      <w:color w:val="003366"/>
      <w:sz w:val="12"/>
      <w:szCs w:val="12"/>
    </w:rPr>
  </w:style>
  <w:style w:type="character" w:customStyle="1" w:styleId="font71">
    <w:name w:val="font7_1"/>
    <w:basedOn w:val="DefaultParagraphFont"/>
    <w:rsid w:val="00142AE0"/>
    <w:rPr>
      <w:rFonts w:ascii="Arial" w:eastAsia="Arial" w:hAnsi="Arial" w:cs="Arial"/>
      <w:b/>
      <w:bCs/>
      <w:i w:val="0"/>
      <w:iCs w:val="0"/>
      <w:color w:val="003366"/>
      <w:sz w:val="12"/>
      <w:szCs w:val="12"/>
    </w:rPr>
  </w:style>
  <w:style w:type="paragraph" w:customStyle="1" w:styleId="GCAHeader">
    <w:name w:val="~ GCA Header"/>
    <w:link w:val="GCAHeaderChar"/>
    <w:rsid w:val="004F5E62"/>
    <w:pPr>
      <w:spacing w:after="0" w:line="288" w:lineRule="auto"/>
    </w:pPr>
    <w:rPr>
      <w:rFonts w:ascii="Arial" w:eastAsia="Times New Roman" w:hAnsi="Arial" w:cs="Arial"/>
      <w:b/>
      <w:color w:val="003366"/>
      <w:sz w:val="20"/>
      <w:szCs w:val="20"/>
      <w:lang w:eastAsia="ja-JP"/>
    </w:rPr>
  </w:style>
  <w:style w:type="character" w:customStyle="1" w:styleId="GCAHeaderChar">
    <w:name w:val="~ GCA Header Char"/>
    <w:link w:val="GCAHeader"/>
    <w:locked/>
    <w:rsid w:val="004F5E62"/>
    <w:rPr>
      <w:rFonts w:ascii="Arial" w:eastAsia="Times New Roman" w:hAnsi="Arial" w:cs="Arial"/>
      <w:b/>
      <w:color w:val="003366"/>
      <w:sz w:val="20"/>
      <w:szCs w:val="20"/>
      <w:lang w:eastAsia="ja-JP"/>
    </w:rPr>
  </w:style>
  <w:style w:type="character" w:customStyle="1" w:styleId="font610">
    <w:name w:val="font6_1_0"/>
    <w:basedOn w:val="DefaultParagraphFont"/>
    <w:rPr>
      <w:rFonts w:ascii="Arial" w:eastAsia="Arial" w:hAnsi="Arial" w:cs="Arial"/>
      <w:b w:val="0"/>
      <w:bCs w:val="0"/>
      <w:i w:val="0"/>
      <w:iCs w:val="0"/>
      <w:color w:val="FF0000"/>
      <w:sz w:val="16"/>
      <w:szCs w:val="16"/>
    </w:rPr>
  </w:style>
  <w:style w:type="paragraph" w:customStyle="1" w:styleId="Normal1870">
    <w:name w:val="Normal_187_0"/>
    <w:qFormat/>
    <w:rsid w:val="00DD3E32"/>
    <w:pPr>
      <w:spacing w:after="0" w:line="240" w:lineRule="auto"/>
    </w:pPr>
    <w:rPr>
      <w:rFonts w:ascii="Times New Roman" w:eastAsia="Times New Roman" w:hAnsi="Times New Roman" w:cs="Times New Roman"/>
      <w:sz w:val="16"/>
      <w:szCs w:val="24"/>
      <w:lang w:eastAsia="en-GB"/>
    </w:rPr>
  </w:style>
  <w:style w:type="paragraph" w:customStyle="1" w:styleId="GCAHeaderUnderline">
    <w:name w:val="~ GCA Header Underline"/>
    <w:link w:val="GCAHeaderUnderlineChar"/>
    <w:rsid w:val="004F5E6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
    <w:name w:val="~ GCA Header Underline Char"/>
    <w:link w:val="GCAHeaderUnderline"/>
    <w:locked/>
    <w:rsid w:val="004F5E62"/>
    <w:rPr>
      <w:rFonts w:ascii="Arial" w:eastAsia="Times New Roman" w:hAnsi="Arial" w:cs="Arial"/>
      <w:b/>
      <w:color w:val="003366"/>
      <w:sz w:val="20"/>
      <w:szCs w:val="20"/>
      <w:lang w:eastAsia="ja-JP"/>
    </w:rPr>
  </w:style>
  <w:style w:type="character" w:customStyle="1" w:styleId="font2">
    <w:name w:val="font2"/>
    <w:basedOn w:val="DefaultParagraphFont"/>
    <w:rsid w:val="00626B80"/>
    <w:rPr>
      <w:rFonts w:ascii="Arial" w:eastAsia="Arial" w:hAnsi="Arial" w:cs="Arial"/>
      <w:b w:val="0"/>
      <w:bCs w:val="0"/>
      <w:i w:val="0"/>
      <w:iCs w:val="0"/>
      <w:color w:val="003366"/>
      <w:sz w:val="16"/>
      <w:szCs w:val="16"/>
    </w:rPr>
  </w:style>
  <w:style w:type="character" w:customStyle="1" w:styleId="font1100">
    <w:name w:val="font11_0_0"/>
    <w:basedOn w:val="DefaultParagraphFont"/>
    <w:rPr>
      <w:rFonts w:ascii="Arial" w:eastAsia="Arial" w:hAnsi="Arial" w:cs="Arial"/>
      <w:b w:val="0"/>
      <w:bCs w:val="0"/>
      <w:i w:val="0"/>
      <w:iCs w:val="0"/>
      <w:color w:val="003366"/>
      <w:sz w:val="12"/>
      <w:szCs w:val="12"/>
    </w:rPr>
  </w:style>
  <w:style w:type="character" w:customStyle="1" w:styleId="font9">
    <w:name w:val="font9"/>
    <w:basedOn w:val="DefaultParagraphFont"/>
    <w:rsid w:val="00FC440D"/>
    <w:rPr>
      <w:rFonts w:ascii="Arial" w:eastAsia="Arial" w:hAnsi="Arial" w:cs="Arial"/>
      <w:b w:val="0"/>
      <w:bCs w:val="0"/>
      <w:i w:val="0"/>
      <w:iCs w:val="0"/>
      <w:color w:val="000000"/>
      <w:sz w:val="12"/>
      <w:szCs w:val="12"/>
    </w:rPr>
  </w:style>
  <w:style w:type="paragraph" w:customStyle="1" w:styleId="ListParagraph0">
    <w:name w:val="List Paragraph_0"/>
    <w:basedOn w:val="Normal"/>
    <w:uiPriority w:val="34"/>
    <w:qFormat/>
    <w:rsid w:val="00FC440D"/>
    <w:pPr>
      <w:ind w:left="720"/>
      <w:contextualSpacing/>
    </w:pPr>
    <w:rPr>
      <w:rFonts w:cs="Arial"/>
      <w:sz w:val="18"/>
      <w:szCs w:val="18"/>
    </w:rPr>
  </w:style>
  <w:style w:type="character" w:customStyle="1" w:styleId="font430">
    <w:name w:val="font4_3_0"/>
    <w:basedOn w:val="DefaultParagraphFont"/>
    <w:rPr>
      <w:rFonts w:ascii="Arial" w:eastAsia="Arial" w:hAnsi="Arial" w:cs="Arial"/>
      <w:b/>
      <w:bCs/>
      <w:i w:val="0"/>
      <w:iCs w:val="0"/>
      <w:color w:val="002060"/>
      <w:sz w:val="16"/>
      <w:szCs w:val="16"/>
    </w:rPr>
  </w:style>
  <w:style w:type="character" w:customStyle="1" w:styleId="font510">
    <w:name w:val="font5_1_0"/>
    <w:basedOn w:val="DefaultParagraphFont"/>
    <w:rPr>
      <w:rFonts w:ascii="Arial" w:eastAsia="Arial" w:hAnsi="Arial" w:cs="Arial"/>
      <w:b w:val="0"/>
      <w:bCs w:val="0"/>
      <w:i w:val="0"/>
      <w:iCs w:val="0"/>
      <w:color w:val="002060"/>
      <w:sz w:val="12"/>
      <w:szCs w:val="12"/>
    </w:rPr>
  </w:style>
  <w:style w:type="character" w:customStyle="1" w:styleId="font28">
    <w:name w:val="font28"/>
    <w:basedOn w:val="DefaultParagraphFont"/>
    <w:rPr>
      <w:rFonts w:ascii="Arial" w:eastAsia="Arial" w:hAnsi="Arial" w:cs="Arial"/>
      <w:b w:val="0"/>
      <w:bCs w:val="0"/>
      <w:i w:val="0"/>
      <w:iCs w:val="0"/>
      <w:color w:val="000000"/>
      <w:sz w:val="16"/>
      <w:szCs w:val="16"/>
    </w:rPr>
  </w:style>
  <w:style w:type="character" w:customStyle="1" w:styleId="font67">
    <w:name w:val="font67"/>
    <w:basedOn w:val="DefaultParagraphFont"/>
    <w:rPr>
      <w:rFonts w:ascii="Arial" w:eastAsia="Arial" w:hAnsi="Arial" w:cs="Arial"/>
      <w:b w:val="0"/>
      <w:bCs w:val="0"/>
      <w:i w:val="0"/>
      <w:iCs w:val="0"/>
      <w:color w:val="000000"/>
      <w:sz w:val="12"/>
      <w:szCs w:val="12"/>
    </w:rPr>
  </w:style>
  <w:style w:type="paragraph" w:customStyle="1" w:styleId="GCAHeader11400">
    <w:name w:val="~ GCA Header_11_4_0_0"/>
    <w:link w:val="GCAHeaderChar11400"/>
    <w:rsid w:val="00871C10"/>
    <w:pPr>
      <w:spacing w:after="0" w:line="288" w:lineRule="auto"/>
    </w:pPr>
    <w:rPr>
      <w:rFonts w:ascii="Arial" w:hAnsi="Arial" w:cs="Arial"/>
      <w:b/>
      <w:color w:val="003366"/>
      <w:lang w:eastAsia="ja-JP"/>
    </w:rPr>
  </w:style>
  <w:style w:type="character" w:customStyle="1" w:styleId="GCAHeaderChar11400">
    <w:name w:val="~ GCA Header Char_11_4_0_0"/>
    <w:link w:val="GCAHeader11400"/>
    <w:locked/>
    <w:rsid w:val="00871C10"/>
    <w:rPr>
      <w:rFonts w:ascii="Arial" w:hAnsi="Arial" w:cs="Arial"/>
      <w:b/>
      <w:color w:val="003366"/>
      <w:lang w:eastAsia="ja-JP"/>
    </w:rPr>
  </w:style>
  <w:style w:type="paragraph" w:customStyle="1" w:styleId="Indentnotes">
    <w:name w:val="Indent notes"/>
    <w:link w:val="IndentnotesChar"/>
    <w:rsid w:val="00A925DD"/>
    <w:pPr>
      <w:spacing w:after="0" w:line="240" w:lineRule="auto"/>
      <w:ind w:left="255" w:hanging="255"/>
    </w:pPr>
    <w:rPr>
      <w:rFonts w:ascii="Arial" w:eastAsia="SimSun" w:hAnsi="Arial" w:cs="Times New Roman"/>
      <w:sz w:val="12"/>
      <w:szCs w:val="24"/>
      <w:lang w:eastAsia="zh-CN"/>
    </w:rPr>
  </w:style>
  <w:style w:type="character" w:customStyle="1" w:styleId="IndentnotesChar">
    <w:name w:val="Indent notes Char"/>
    <w:link w:val="Indentnotes"/>
    <w:locked/>
    <w:rsid w:val="00A925DD"/>
    <w:rPr>
      <w:rFonts w:ascii="Arial" w:eastAsia="SimSun" w:hAnsi="Arial" w:cs="Times New Roman"/>
      <w:sz w:val="12"/>
      <w:szCs w:val="24"/>
      <w:lang w:eastAsia="zh-CN"/>
    </w:rPr>
  </w:style>
  <w:style w:type="paragraph" w:styleId="BalloonText">
    <w:name w:val="Balloon Text"/>
    <w:basedOn w:val="Normal"/>
    <w:link w:val="BalloonTextChar"/>
    <w:uiPriority w:val="99"/>
    <w:semiHidden/>
    <w:unhideWhenUsed/>
    <w:rsid w:val="008535DF"/>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535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54E"/>
    <w:pPr>
      <w:spacing w:after="0"/>
    </w:pPr>
    <w:rPr>
      <w:rFonts w:ascii="Arial" w:hAnsi="Arial"/>
      <w:sz w:val="16"/>
    </w:rPr>
  </w:style>
  <w:style w:type="paragraph" w:styleId="Heading1">
    <w:name w:val="heading 1"/>
    <w:basedOn w:val="Normal"/>
    <w:next w:val="Normal"/>
    <w:link w:val="Heading1Char"/>
    <w:uiPriority w:val="9"/>
    <w:qFormat/>
    <w:rsid w:val="00C972AD"/>
    <w:pPr>
      <w:keepNext/>
      <w:keepLines/>
      <w:outlineLvl w:val="0"/>
    </w:pPr>
    <w:rPr>
      <w:rFonts w:eastAsiaTheme="majorEastAsia" w:cstheme="majorBidi"/>
      <w:b/>
      <w:bCs/>
      <w:color w:val="0A2F64"/>
      <w:szCs w:val="28"/>
    </w:rPr>
  </w:style>
  <w:style w:type="paragraph" w:styleId="Heading2">
    <w:name w:val="heading 2"/>
    <w:basedOn w:val="Normal"/>
    <w:next w:val="Normal"/>
    <w:link w:val="Heading2Char"/>
    <w:uiPriority w:val="9"/>
    <w:unhideWhenUsed/>
    <w:qFormat/>
    <w:rsid w:val="00C972AD"/>
    <w:pPr>
      <w:keepNext/>
      <w:keepLines/>
      <w:outlineLvl w:val="1"/>
    </w:pPr>
    <w:rPr>
      <w:rFonts w:eastAsiaTheme="majorEastAsia" w:cstheme="majorBidi"/>
      <w:b/>
      <w:bCs/>
      <w:color w:val="06B3BB"/>
      <w:szCs w:val="26"/>
    </w:rPr>
  </w:style>
  <w:style w:type="paragraph" w:styleId="Heading3">
    <w:name w:val="heading 3"/>
    <w:basedOn w:val="Normal"/>
    <w:next w:val="Normal"/>
    <w:link w:val="Heading3Char"/>
    <w:uiPriority w:val="9"/>
    <w:unhideWhenUsed/>
    <w:qFormat/>
    <w:rsid w:val="00C972AD"/>
    <w:pPr>
      <w:keepNext/>
      <w:keepLines/>
      <w:outlineLvl w:val="2"/>
    </w:pPr>
    <w:rPr>
      <w:rFonts w:eastAsiaTheme="majorEastAsia" w:cstheme="majorBidi"/>
      <w:bCs/>
      <w:color w:val="0A2F64"/>
    </w:rPr>
  </w:style>
  <w:style w:type="paragraph" w:styleId="Heading4">
    <w:name w:val="heading 4"/>
    <w:basedOn w:val="Normal"/>
    <w:next w:val="Normal"/>
    <w:link w:val="Heading4Char"/>
    <w:uiPriority w:val="9"/>
    <w:unhideWhenUsed/>
    <w:qFormat/>
    <w:rsid w:val="00C972AD"/>
    <w:pPr>
      <w:keepNext/>
      <w:keepLines/>
      <w:outlineLvl w:val="3"/>
    </w:pPr>
    <w:rPr>
      <w:rFonts w:eastAsiaTheme="majorEastAsia" w:cstheme="majorBidi"/>
      <w:bCs/>
      <w:iCs/>
      <w:color w:val="06B3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CA654E"/>
    <w:pPr>
      <w:spacing w:after="0" w:line="240" w:lineRule="auto"/>
    </w:pPr>
    <w:rPr>
      <w:rFonts w:ascii="Times New Roman" w:eastAsia="SimSun" w:hAnsi="Times New Roman" w:cs="Times New Roman"/>
      <w:sz w:val="24"/>
      <w:szCs w:val="24"/>
      <w:lang w:eastAsia="zh-CN"/>
    </w:rPr>
  </w:style>
  <w:style w:type="paragraph" w:customStyle="1" w:styleId="Normal00">
    <w:name w:val="Normal_0_0"/>
    <w:rsid w:val="00CA654E"/>
    <w:pPr>
      <w:spacing w:after="0" w:line="240" w:lineRule="auto"/>
    </w:pPr>
    <w:rPr>
      <w:rFonts w:ascii="Times New Roman" w:eastAsia="Times New Roman" w:hAnsi="Times New Roman" w:cs="Times New Roman"/>
      <w:sz w:val="24"/>
      <w:szCs w:val="24"/>
      <w:lang w:eastAsia="zh-CN"/>
    </w:rPr>
  </w:style>
  <w:style w:type="paragraph" w:customStyle="1" w:styleId="Normal1">
    <w:name w:val="Normal_1"/>
    <w:qFormat/>
    <w:rsid w:val="00CA654E"/>
    <w:pPr>
      <w:spacing w:after="0" w:line="240" w:lineRule="auto"/>
    </w:pPr>
    <w:rPr>
      <w:rFonts w:ascii="Times New Roman" w:eastAsia="Times New Roman" w:hAnsi="Times New Roman" w:cs="Times New Roman"/>
      <w:sz w:val="24"/>
      <w:szCs w:val="20"/>
      <w:lang w:eastAsia="ja-JP"/>
    </w:rPr>
  </w:style>
  <w:style w:type="paragraph" w:styleId="Footer">
    <w:name w:val="footer"/>
    <w:basedOn w:val="Normal"/>
    <w:link w:val="FooterChar"/>
    <w:unhideWhenUsed/>
    <w:rsid w:val="00CA654E"/>
    <w:pPr>
      <w:tabs>
        <w:tab w:val="center" w:pos="4513"/>
        <w:tab w:val="right" w:pos="9026"/>
      </w:tabs>
      <w:spacing w:line="240" w:lineRule="auto"/>
    </w:pPr>
  </w:style>
  <w:style w:type="character" w:customStyle="1" w:styleId="FooterChar">
    <w:name w:val="Footer Char"/>
    <w:basedOn w:val="DefaultParagraphFont"/>
    <w:link w:val="Footer"/>
    <w:rsid w:val="00CA654E"/>
    <w:rPr>
      <w:rFonts w:ascii="Arial" w:hAnsi="Arial"/>
      <w:sz w:val="18"/>
    </w:rPr>
  </w:style>
  <w:style w:type="paragraph" w:customStyle="1" w:styleId="MyLastParagraph">
    <w:name w:val="MyLastParagraph"/>
    <w:rsid w:val="00CA654E"/>
    <w:pPr>
      <w:spacing w:after="0" w:line="240" w:lineRule="auto"/>
    </w:pPr>
    <w:rPr>
      <w:rFonts w:ascii="Times New Roman" w:eastAsia="Times New Roman" w:hAnsi="Times New Roman" w:cs="Times New Roman"/>
      <w:sz w:val="4"/>
      <w:szCs w:val="20"/>
      <w:lang w:eastAsia="en-GB"/>
    </w:rPr>
  </w:style>
  <w:style w:type="paragraph" w:styleId="Header">
    <w:name w:val="header"/>
    <w:basedOn w:val="Normal"/>
    <w:link w:val="HeaderChar"/>
    <w:uiPriority w:val="99"/>
    <w:unhideWhenUsed/>
    <w:rsid w:val="00C972AD"/>
    <w:pPr>
      <w:tabs>
        <w:tab w:val="center" w:pos="4513"/>
        <w:tab w:val="right" w:pos="9026"/>
      </w:tabs>
      <w:spacing w:line="240" w:lineRule="auto"/>
    </w:pPr>
  </w:style>
  <w:style w:type="character" w:customStyle="1" w:styleId="HeaderChar">
    <w:name w:val="Header Char"/>
    <w:basedOn w:val="DefaultParagraphFont"/>
    <w:link w:val="Header"/>
    <w:uiPriority w:val="99"/>
    <w:rsid w:val="00C972AD"/>
    <w:rPr>
      <w:rFonts w:ascii="Arial" w:hAnsi="Arial"/>
      <w:sz w:val="18"/>
    </w:rPr>
  </w:style>
  <w:style w:type="character" w:customStyle="1" w:styleId="Heading1Char">
    <w:name w:val="Heading 1 Char"/>
    <w:basedOn w:val="DefaultParagraphFont"/>
    <w:link w:val="Heading1"/>
    <w:uiPriority w:val="9"/>
    <w:rsid w:val="00C972AD"/>
    <w:rPr>
      <w:rFonts w:ascii="Arial" w:eastAsiaTheme="majorEastAsia" w:hAnsi="Arial" w:cstheme="majorBidi"/>
      <w:b/>
      <w:bCs/>
      <w:color w:val="0A2F64"/>
      <w:sz w:val="16"/>
      <w:szCs w:val="28"/>
    </w:rPr>
  </w:style>
  <w:style w:type="character" w:customStyle="1" w:styleId="Heading2Char">
    <w:name w:val="Heading 2 Char"/>
    <w:basedOn w:val="DefaultParagraphFont"/>
    <w:link w:val="Heading2"/>
    <w:uiPriority w:val="9"/>
    <w:rsid w:val="00C972AD"/>
    <w:rPr>
      <w:rFonts w:ascii="Arial" w:eastAsiaTheme="majorEastAsia" w:hAnsi="Arial" w:cstheme="majorBidi"/>
      <w:b/>
      <w:bCs/>
      <w:color w:val="06B3BB"/>
      <w:sz w:val="16"/>
      <w:szCs w:val="26"/>
    </w:rPr>
  </w:style>
  <w:style w:type="character" w:customStyle="1" w:styleId="Heading3Char">
    <w:name w:val="Heading 3 Char"/>
    <w:basedOn w:val="DefaultParagraphFont"/>
    <w:link w:val="Heading3"/>
    <w:uiPriority w:val="9"/>
    <w:rsid w:val="00C972AD"/>
    <w:rPr>
      <w:rFonts w:ascii="Arial" w:eastAsiaTheme="majorEastAsia" w:hAnsi="Arial" w:cstheme="majorBidi"/>
      <w:bCs/>
      <w:color w:val="0A2F64"/>
      <w:sz w:val="16"/>
    </w:rPr>
  </w:style>
  <w:style w:type="character" w:customStyle="1" w:styleId="Heading4Char">
    <w:name w:val="Heading 4 Char"/>
    <w:basedOn w:val="DefaultParagraphFont"/>
    <w:link w:val="Heading4"/>
    <w:uiPriority w:val="9"/>
    <w:rsid w:val="00C972AD"/>
    <w:rPr>
      <w:rFonts w:ascii="Arial" w:eastAsiaTheme="majorEastAsia" w:hAnsi="Arial" w:cstheme="majorBidi"/>
      <w:bCs/>
      <w:iCs/>
      <w:color w:val="06B3BB"/>
      <w:sz w:val="16"/>
    </w:rPr>
  </w:style>
  <w:style w:type="paragraph" w:customStyle="1" w:styleId="9pt">
    <w:name w:val="9 pt"/>
    <w:rsid w:val="001B061F"/>
    <w:pPr>
      <w:spacing w:after="0" w:line="288" w:lineRule="auto"/>
      <w:jc w:val="both"/>
    </w:pPr>
    <w:rPr>
      <w:rFonts w:ascii="Arial" w:eastAsia="SimSun" w:hAnsi="Arial" w:cs="Arial"/>
      <w:b/>
      <w:color w:val="003366"/>
      <w:sz w:val="18"/>
      <w:szCs w:val="18"/>
      <w:lang w:eastAsia="zh-CN"/>
    </w:rPr>
  </w:style>
  <w:style w:type="paragraph" w:customStyle="1" w:styleId="Normal30">
    <w:name w:val="Normal_3_0"/>
    <w:qFormat/>
    <w:rsid w:val="001B061F"/>
    <w:pPr>
      <w:spacing w:after="0" w:line="240" w:lineRule="auto"/>
    </w:pPr>
    <w:rPr>
      <w:rFonts w:ascii="Arial" w:eastAsia="Arial" w:hAnsi="Arial" w:cs="Arial"/>
      <w:sz w:val="16"/>
      <w:szCs w:val="24"/>
      <w:lang w:eastAsia="en-GB"/>
    </w:rPr>
  </w:style>
  <w:style w:type="table" w:customStyle="1" w:styleId="table">
    <w:name w:val="table"/>
    <w:basedOn w:val="TableNormal"/>
    <w:rsid w:val="006471B8"/>
    <w:tblPr/>
  </w:style>
  <w:style w:type="character" w:customStyle="1" w:styleId="font5">
    <w:name w:val="font5"/>
    <w:basedOn w:val="DefaultParagraphFont"/>
    <w:rsid w:val="006471B8"/>
    <w:rPr>
      <w:rFonts w:ascii="Arial" w:eastAsia="Arial" w:hAnsi="Arial" w:cs="Arial"/>
      <w:b w:val="0"/>
      <w:bCs w:val="0"/>
      <w:i w:val="0"/>
      <w:iCs w:val="0"/>
      <w:color w:val="000000"/>
      <w:sz w:val="16"/>
      <w:szCs w:val="16"/>
    </w:rPr>
  </w:style>
  <w:style w:type="character" w:customStyle="1" w:styleId="font7">
    <w:name w:val="font7"/>
    <w:basedOn w:val="DefaultParagraphFont"/>
    <w:rsid w:val="006471B8"/>
    <w:rPr>
      <w:rFonts w:ascii="Arial" w:eastAsia="Arial" w:hAnsi="Arial" w:cs="Arial"/>
      <w:b w:val="0"/>
      <w:bCs w:val="0"/>
      <w:i w:val="0"/>
      <w:iCs w:val="0"/>
      <w:color w:val="000000"/>
      <w:sz w:val="12"/>
      <w:szCs w:val="12"/>
    </w:rPr>
  </w:style>
  <w:style w:type="character" w:customStyle="1" w:styleId="font4">
    <w:name w:val="font4"/>
    <w:basedOn w:val="DefaultParagraphFont"/>
    <w:rsid w:val="006471B8"/>
    <w:rPr>
      <w:rFonts w:ascii="Arial" w:eastAsia="Arial" w:hAnsi="Arial" w:cs="Arial"/>
      <w:b w:val="0"/>
      <w:bCs w:val="0"/>
      <w:i w:val="0"/>
      <w:iCs w:val="0"/>
      <w:color w:val="000000"/>
      <w:sz w:val="16"/>
      <w:szCs w:val="16"/>
    </w:rPr>
  </w:style>
  <w:style w:type="character" w:customStyle="1" w:styleId="font6">
    <w:name w:val="font6"/>
    <w:basedOn w:val="DefaultParagraphFont"/>
    <w:rsid w:val="006471B8"/>
    <w:rPr>
      <w:rFonts w:ascii="Arial" w:eastAsia="Arial" w:hAnsi="Arial" w:cs="Arial"/>
      <w:b w:val="0"/>
      <w:bCs w:val="0"/>
      <w:i w:val="0"/>
      <w:iCs w:val="0"/>
      <w:color w:val="000000"/>
      <w:sz w:val="12"/>
      <w:szCs w:val="12"/>
    </w:rPr>
  </w:style>
  <w:style w:type="paragraph" w:customStyle="1" w:styleId="p1">
    <w:name w:val="p1"/>
    <w:basedOn w:val="Normal"/>
    <w:rsid w:val="007B7C13"/>
    <w:pPr>
      <w:spacing w:before="100" w:beforeAutospacing="1" w:after="100" w:afterAutospacing="1" w:line="240" w:lineRule="auto"/>
    </w:pPr>
    <w:rPr>
      <w:rFonts w:ascii="Calibri" w:hAnsi="Calibri" w:cs="Calibri"/>
      <w:sz w:val="22"/>
      <w:lang w:eastAsia="en-GB"/>
    </w:rPr>
  </w:style>
  <w:style w:type="table" w:styleId="TableGrid">
    <w:name w:val="Table Grid"/>
    <w:basedOn w:val="TableNormal"/>
    <w:uiPriority w:val="59"/>
    <w:rsid w:val="00AF2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0">
    <w:name w:val="Heading 1_0_0"/>
    <w:qFormat/>
    <w:rsid w:val="004F5E62"/>
    <w:pPr>
      <w:keepNext/>
      <w:pBdr>
        <w:bottom w:val="single" w:sz="4" w:space="1" w:color="003366"/>
      </w:pBdr>
      <w:spacing w:after="0" w:line="288" w:lineRule="auto"/>
      <w:outlineLvl w:val="0"/>
    </w:pPr>
    <w:rPr>
      <w:rFonts w:ascii="Arial" w:eastAsia="Times New Roman" w:hAnsi="Arial" w:cs="Times New Roman"/>
      <w:color w:val="003366"/>
      <w:sz w:val="20"/>
      <w:szCs w:val="20"/>
      <w:lang w:eastAsia="ja-JP"/>
    </w:rPr>
  </w:style>
  <w:style w:type="paragraph" w:styleId="ListParagraph">
    <w:name w:val="List Paragraph"/>
    <w:basedOn w:val="Normal"/>
    <w:uiPriority w:val="34"/>
    <w:qFormat/>
    <w:rsid w:val="0059488A"/>
    <w:pPr>
      <w:ind w:left="720"/>
      <w:contextualSpacing/>
    </w:pPr>
  </w:style>
  <w:style w:type="character" w:customStyle="1" w:styleId="font174">
    <w:name w:val="font174"/>
    <w:basedOn w:val="DefaultParagraphFont"/>
    <w:rPr>
      <w:rFonts w:ascii="Arial" w:eastAsia="Arial" w:hAnsi="Arial" w:cs="Arial"/>
      <w:b w:val="0"/>
      <w:bCs w:val="0"/>
      <w:i w:val="0"/>
      <w:iCs w:val="0"/>
      <w:color w:val="000000"/>
      <w:sz w:val="16"/>
      <w:szCs w:val="16"/>
    </w:rPr>
  </w:style>
  <w:style w:type="character" w:customStyle="1" w:styleId="font175">
    <w:name w:val="font175"/>
    <w:basedOn w:val="DefaultParagraphFont"/>
    <w:rPr>
      <w:rFonts w:ascii="Arial" w:eastAsia="Arial" w:hAnsi="Arial" w:cs="Arial"/>
      <w:b w:val="0"/>
      <w:bCs w:val="0"/>
      <w:i w:val="0"/>
      <w:iCs w:val="0"/>
      <w:color w:val="000000"/>
      <w:sz w:val="12"/>
      <w:szCs w:val="12"/>
    </w:rPr>
  </w:style>
  <w:style w:type="paragraph" w:customStyle="1" w:styleId="Default0">
    <w:name w:val="Default_0"/>
    <w:basedOn w:val="Normal"/>
    <w:rsid w:val="00E44A03"/>
    <w:pPr>
      <w:autoSpaceDE w:val="0"/>
      <w:autoSpaceDN w:val="0"/>
      <w:spacing w:line="240" w:lineRule="auto"/>
    </w:pPr>
    <w:rPr>
      <w:rFonts w:cs="Arial"/>
      <w:color w:val="000000"/>
      <w:sz w:val="24"/>
      <w:szCs w:val="24"/>
    </w:rPr>
  </w:style>
  <w:style w:type="character" w:customStyle="1" w:styleId="font186">
    <w:name w:val="font186"/>
    <w:basedOn w:val="DefaultParagraphFont"/>
    <w:rPr>
      <w:rFonts w:ascii="Arial" w:eastAsia="Arial" w:hAnsi="Arial" w:cs="Arial"/>
      <w:b w:val="0"/>
      <w:bCs w:val="0"/>
      <w:i/>
      <w:iCs/>
      <w:color w:val="000000"/>
      <w:sz w:val="16"/>
      <w:szCs w:val="16"/>
    </w:rPr>
  </w:style>
  <w:style w:type="character" w:customStyle="1" w:styleId="font187">
    <w:name w:val="font187"/>
    <w:basedOn w:val="DefaultParagraphFont"/>
    <w:rPr>
      <w:rFonts w:ascii="Arial" w:eastAsia="Arial" w:hAnsi="Arial" w:cs="Arial"/>
      <w:b w:val="0"/>
      <w:bCs w:val="0"/>
      <w:i/>
      <w:iCs/>
      <w:color w:val="000000"/>
      <w:sz w:val="12"/>
      <w:szCs w:val="12"/>
    </w:rPr>
  </w:style>
  <w:style w:type="character" w:customStyle="1" w:styleId="font3">
    <w:name w:val="font3"/>
    <w:basedOn w:val="DefaultParagraphFont"/>
    <w:rsid w:val="006B4F0F"/>
    <w:rPr>
      <w:rFonts w:ascii="Arial" w:eastAsia="Arial" w:hAnsi="Arial" w:cs="Arial"/>
      <w:b/>
      <w:bCs/>
      <w:i w:val="0"/>
      <w:iCs w:val="0"/>
      <w:color w:val="003366"/>
      <w:sz w:val="16"/>
      <w:szCs w:val="16"/>
    </w:rPr>
  </w:style>
  <w:style w:type="character" w:customStyle="1" w:styleId="font70">
    <w:name w:val="font7_0"/>
    <w:basedOn w:val="DefaultParagraphFont"/>
    <w:rsid w:val="006B4F0F"/>
    <w:rPr>
      <w:rFonts w:ascii="Arial" w:eastAsia="Arial" w:hAnsi="Arial" w:cs="Arial"/>
      <w:b w:val="0"/>
      <w:bCs w:val="0"/>
      <w:i w:val="0"/>
      <w:iCs w:val="0"/>
      <w:color w:val="003366"/>
      <w:sz w:val="12"/>
      <w:szCs w:val="12"/>
    </w:rPr>
  </w:style>
  <w:style w:type="character" w:customStyle="1" w:styleId="font178">
    <w:name w:val="font178"/>
    <w:basedOn w:val="DefaultParagraphFont"/>
    <w:rPr>
      <w:rFonts w:ascii="Arial" w:eastAsia="Arial" w:hAnsi="Arial" w:cs="Arial"/>
      <w:b/>
      <w:bCs/>
      <w:i w:val="0"/>
      <w:iCs w:val="0"/>
      <w:color w:val="003366"/>
      <w:sz w:val="16"/>
      <w:szCs w:val="16"/>
    </w:rPr>
  </w:style>
  <w:style w:type="character" w:customStyle="1" w:styleId="font176">
    <w:name w:val="font176"/>
    <w:basedOn w:val="DefaultParagraphFont"/>
    <w:rPr>
      <w:rFonts w:ascii="Arial" w:eastAsia="Arial" w:hAnsi="Arial" w:cs="Arial"/>
      <w:b w:val="0"/>
      <w:bCs w:val="0"/>
      <w:i w:val="0"/>
      <w:iCs w:val="0"/>
      <w:color w:val="003366"/>
      <w:sz w:val="12"/>
      <w:szCs w:val="12"/>
    </w:rPr>
  </w:style>
  <w:style w:type="character" w:customStyle="1" w:styleId="font173">
    <w:name w:val="font173"/>
    <w:basedOn w:val="DefaultParagraphFont"/>
    <w:rsid w:val="00187FA5"/>
    <w:rPr>
      <w:rFonts w:ascii="Arial" w:eastAsia="Arial" w:hAnsi="Arial" w:cs="Arial"/>
      <w:b w:val="0"/>
      <w:bCs w:val="0"/>
      <w:i w:val="0"/>
      <w:iCs w:val="0"/>
      <w:color w:val="003366"/>
      <w:sz w:val="16"/>
      <w:szCs w:val="16"/>
    </w:rPr>
  </w:style>
  <w:style w:type="character" w:customStyle="1" w:styleId="font60">
    <w:name w:val="font6_0"/>
    <w:basedOn w:val="DefaultParagraphFont"/>
    <w:rsid w:val="00142AE0"/>
    <w:rPr>
      <w:rFonts w:ascii="Arial" w:eastAsia="Arial" w:hAnsi="Arial" w:cs="Arial"/>
      <w:b w:val="0"/>
      <w:bCs w:val="0"/>
      <w:i w:val="0"/>
      <w:iCs w:val="0"/>
      <w:color w:val="003366"/>
      <w:sz w:val="12"/>
      <w:szCs w:val="12"/>
    </w:rPr>
  </w:style>
  <w:style w:type="character" w:customStyle="1" w:styleId="font71">
    <w:name w:val="font7_1"/>
    <w:basedOn w:val="DefaultParagraphFont"/>
    <w:rsid w:val="00142AE0"/>
    <w:rPr>
      <w:rFonts w:ascii="Arial" w:eastAsia="Arial" w:hAnsi="Arial" w:cs="Arial"/>
      <w:b/>
      <w:bCs/>
      <w:i w:val="0"/>
      <w:iCs w:val="0"/>
      <w:color w:val="003366"/>
      <w:sz w:val="12"/>
      <w:szCs w:val="12"/>
    </w:rPr>
  </w:style>
  <w:style w:type="paragraph" w:customStyle="1" w:styleId="GCAHeader">
    <w:name w:val="~ GCA Header"/>
    <w:link w:val="GCAHeaderChar"/>
    <w:rsid w:val="004F5E62"/>
    <w:pPr>
      <w:spacing w:after="0" w:line="288" w:lineRule="auto"/>
    </w:pPr>
    <w:rPr>
      <w:rFonts w:ascii="Arial" w:eastAsia="Times New Roman" w:hAnsi="Arial" w:cs="Arial"/>
      <w:b/>
      <w:color w:val="003366"/>
      <w:sz w:val="20"/>
      <w:szCs w:val="20"/>
      <w:lang w:eastAsia="ja-JP"/>
    </w:rPr>
  </w:style>
  <w:style w:type="character" w:customStyle="1" w:styleId="GCAHeaderChar">
    <w:name w:val="~ GCA Header Char"/>
    <w:link w:val="GCAHeader"/>
    <w:locked/>
    <w:rsid w:val="004F5E62"/>
    <w:rPr>
      <w:rFonts w:ascii="Arial" w:eastAsia="Times New Roman" w:hAnsi="Arial" w:cs="Arial"/>
      <w:b/>
      <w:color w:val="003366"/>
      <w:sz w:val="20"/>
      <w:szCs w:val="20"/>
      <w:lang w:eastAsia="ja-JP"/>
    </w:rPr>
  </w:style>
  <w:style w:type="character" w:customStyle="1" w:styleId="font610">
    <w:name w:val="font6_1_0"/>
    <w:basedOn w:val="DefaultParagraphFont"/>
    <w:rPr>
      <w:rFonts w:ascii="Arial" w:eastAsia="Arial" w:hAnsi="Arial" w:cs="Arial"/>
      <w:b w:val="0"/>
      <w:bCs w:val="0"/>
      <w:i w:val="0"/>
      <w:iCs w:val="0"/>
      <w:color w:val="FF0000"/>
      <w:sz w:val="16"/>
      <w:szCs w:val="16"/>
    </w:rPr>
  </w:style>
  <w:style w:type="paragraph" w:customStyle="1" w:styleId="Normal1870">
    <w:name w:val="Normal_187_0"/>
    <w:qFormat/>
    <w:rsid w:val="00DD3E32"/>
    <w:pPr>
      <w:spacing w:after="0" w:line="240" w:lineRule="auto"/>
    </w:pPr>
    <w:rPr>
      <w:rFonts w:ascii="Times New Roman" w:eastAsia="Times New Roman" w:hAnsi="Times New Roman" w:cs="Times New Roman"/>
      <w:sz w:val="16"/>
      <w:szCs w:val="24"/>
      <w:lang w:eastAsia="en-GB"/>
    </w:rPr>
  </w:style>
  <w:style w:type="paragraph" w:customStyle="1" w:styleId="GCAHeaderUnderline">
    <w:name w:val="~ GCA Header Underline"/>
    <w:link w:val="GCAHeaderUnderlineChar"/>
    <w:rsid w:val="004F5E62"/>
    <w:pPr>
      <w:pBdr>
        <w:bottom w:val="single" w:sz="4" w:space="1" w:color="003366"/>
      </w:pBdr>
      <w:spacing w:after="0" w:line="288" w:lineRule="auto"/>
    </w:pPr>
    <w:rPr>
      <w:rFonts w:ascii="Arial" w:eastAsia="Times New Roman" w:hAnsi="Arial" w:cs="Arial"/>
      <w:b/>
      <w:color w:val="003366"/>
      <w:sz w:val="20"/>
      <w:szCs w:val="20"/>
      <w:lang w:eastAsia="ja-JP"/>
    </w:rPr>
  </w:style>
  <w:style w:type="character" w:customStyle="1" w:styleId="GCAHeaderUnderlineChar">
    <w:name w:val="~ GCA Header Underline Char"/>
    <w:link w:val="GCAHeaderUnderline"/>
    <w:locked/>
    <w:rsid w:val="004F5E62"/>
    <w:rPr>
      <w:rFonts w:ascii="Arial" w:eastAsia="Times New Roman" w:hAnsi="Arial" w:cs="Arial"/>
      <w:b/>
      <w:color w:val="003366"/>
      <w:sz w:val="20"/>
      <w:szCs w:val="20"/>
      <w:lang w:eastAsia="ja-JP"/>
    </w:rPr>
  </w:style>
  <w:style w:type="character" w:customStyle="1" w:styleId="font2">
    <w:name w:val="font2"/>
    <w:basedOn w:val="DefaultParagraphFont"/>
    <w:rsid w:val="00626B80"/>
    <w:rPr>
      <w:rFonts w:ascii="Arial" w:eastAsia="Arial" w:hAnsi="Arial" w:cs="Arial"/>
      <w:b w:val="0"/>
      <w:bCs w:val="0"/>
      <w:i w:val="0"/>
      <w:iCs w:val="0"/>
      <w:color w:val="003366"/>
      <w:sz w:val="16"/>
      <w:szCs w:val="16"/>
    </w:rPr>
  </w:style>
  <w:style w:type="character" w:customStyle="1" w:styleId="font1100">
    <w:name w:val="font11_0_0"/>
    <w:basedOn w:val="DefaultParagraphFont"/>
    <w:rPr>
      <w:rFonts w:ascii="Arial" w:eastAsia="Arial" w:hAnsi="Arial" w:cs="Arial"/>
      <w:b w:val="0"/>
      <w:bCs w:val="0"/>
      <w:i w:val="0"/>
      <w:iCs w:val="0"/>
      <w:color w:val="003366"/>
      <w:sz w:val="12"/>
      <w:szCs w:val="12"/>
    </w:rPr>
  </w:style>
  <w:style w:type="character" w:customStyle="1" w:styleId="font9">
    <w:name w:val="font9"/>
    <w:basedOn w:val="DefaultParagraphFont"/>
    <w:rsid w:val="00FC440D"/>
    <w:rPr>
      <w:rFonts w:ascii="Arial" w:eastAsia="Arial" w:hAnsi="Arial" w:cs="Arial"/>
      <w:b w:val="0"/>
      <w:bCs w:val="0"/>
      <w:i w:val="0"/>
      <w:iCs w:val="0"/>
      <w:color w:val="000000"/>
      <w:sz w:val="12"/>
      <w:szCs w:val="12"/>
    </w:rPr>
  </w:style>
  <w:style w:type="paragraph" w:customStyle="1" w:styleId="ListParagraph0">
    <w:name w:val="List Paragraph_0"/>
    <w:basedOn w:val="Normal"/>
    <w:uiPriority w:val="34"/>
    <w:qFormat/>
    <w:rsid w:val="00FC440D"/>
    <w:pPr>
      <w:ind w:left="720"/>
      <w:contextualSpacing/>
    </w:pPr>
    <w:rPr>
      <w:rFonts w:cs="Arial"/>
      <w:sz w:val="18"/>
      <w:szCs w:val="18"/>
    </w:rPr>
  </w:style>
  <w:style w:type="character" w:customStyle="1" w:styleId="font430">
    <w:name w:val="font4_3_0"/>
    <w:basedOn w:val="DefaultParagraphFont"/>
    <w:rPr>
      <w:rFonts w:ascii="Arial" w:eastAsia="Arial" w:hAnsi="Arial" w:cs="Arial"/>
      <w:b/>
      <w:bCs/>
      <w:i w:val="0"/>
      <w:iCs w:val="0"/>
      <w:color w:val="002060"/>
      <w:sz w:val="16"/>
      <w:szCs w:val="16"/>
    </w:rPr>
  </w:style>
  <w:style w:type="character" w:customStyle="1" w:styleId="font510">
    <w:name w:val="font5_1_0"/>
    <w:basedOn w:val="DefaultParagraphFont"/>
    <w:rPr>
      <w:rFonts w:ascii="Arial" w:eastAsia="Arial" w:hAnsi="Arial" w:cs="Arial"/>
      <w:b w:val="0"/>
      <w:bCs w:val="0"/>
      <w:i w:val="0"/>
      <w:iCs w:val="0"/>
      <w:color w:val="002060"/>
      <w:sz w:val="12"/>
      <w:szCs w:val="12"/>
    </w:rPr>
  </w:style>
  <w:style w:type="character" w:customStyle="1" w:styleId="font28">
    <w:name w:val="font28"/>
    <w:basedOn w:val="DefaultParagraphFont"/>
    <w:rPr>
      <w:rFonts w:ascii="Arial" w:eastAsia="Arial" w:hAnsi="Arial" w:cs="Arial"/>
      <w:b w:val="0"/>
      <w:bCs w:val="0"/>
      <w:i w:val="0"/>
      <w:iCs w:val="0"/>
      <w:color w:val="000000"/>
      <w:sz w:val="16"/>
      <w:szCs w:val="16"/>
    </w:rPr>
  </w:style>
  <w:style w:type="character" w:customStyle="1" w:styleId="font67">
    <w:name w:val="font67"/>
    <w:basedOn w:val="DefaultParagraphFont"/>
    <w:rPr>
      <w:rFonts w:ascii="Arial" w:eastAsia="Arial" w:hAnsi="Arial" w:cs="Arial"/>
      <w:b w:val="0"/>
      <w:bCs w:val="0"/>
      <w:i w:val="0"/>
      <w:iCs w:val="0"/>
      <w:color w:val="000000"/>
      <w:sz w:val="12"/>
      <w:szCs w:val="12"/>
    </w:rPr>
  </w:style>
  <w:style w:type="paragraph" w:customStyle="1" w:styleId="GCAHeader11400">
    <w:name w:val="~ GCA Header_11_4_0_0"/>
    <w:link w:val="GCAHeaderChar11400"/>
    <w:rsid w:val="00871C10"/>
    <w:pPr>
      <w:spacing w:after="0" w:line="288" w:lineRule="auto"/>
    </w:pPr>
    <w:rPr>
      <w:rFonts w:ascii="Arial" w:hAnsi="Arial" w:cs="Arial"/>
      <w:b/>
      <w:color w:val="003366"/>
      <w:lang w:eastAsia="ja-JP"/>
    </w:rPr>
  </w:style>
  <w:style w:type="character" w:customStyle="1" w:styleId="GCAHeaderChar11400">
    <w:name w:val="~ GCA Header Char_11_4_0_0"/>
    <w:link w:val="GCAHeader11400"/>
    <w:locked/>
    <w:rsid w:val="00871C10"/>
    <w:rPr>
      <w:rFonts w:ascii="Arial" w:hAnsi="Arial" w:cs="Arial"/>
      <w:b/>
      <w:color w:val="003366"/>
      <w:lang w:eastAsia="ja-JP"/>
    </w:rPr>
  </w:style>
  <w:style w:type="paragraph" w:customStyle="1" w:styleId="Indentnotes">
    <w:name w:val="Indent notes"/>
    <w:link w:val="IndentnotesChar"/>
    <w:rsid w:val="00A925DD"/>
    <w:pPr>
      <w:spacing w:after="0" w:line="240" w:lineRule="auto"/>
      <w:ind w:left="255" w:hanging="255"/>
    </w:pPr>
    <w:rPr>
      <w:rFonts w:ascii="Arial" w:eastAsia="SimSun" w:hAnsi="Arial" w:cs="Times New Roman"/>
      <w:sz w:val="12"/>
      <w:szCs w:val="24"/>
      <w:lang w:eastAsia="zh-CN"/>
    </w:rPr>
  </w:style>
  <w:style w:type="character" w:customStyle="1" w:styleId="IndentnotesChar">
    <w:name w:val="Indent notes Char"/>
    <w:link w:val="Indentnotes"/>
    <w:locked/>
    <w:rsid w:val="00A925DD"/>
    <w:rPr>
      <w:rFonts w:ascii="Arial" w:eastAsia="SimSun" w:hAnsi="Arial" w:cs="Times New Roman"/>
      <w:sz w:val="12"/>
      <w:szCs w:val="24"/>
      <w:lang w:eastAsia="zh-CN"/>
    </w:rPr>
  </w:style>
  <w:style w:type="paragraph" w:styleId="BalloonText">
    <w:name w:val="Balloon Text"/>
    <w:basedOn w:val="Normal"/>
    <w:link w:val="BalloonTextChar"/>
    <w:uiPriority w:val="99"/>
    <w:semiHidden/>
    <w:unhideWhenUsed/>
    <w:rsid w:val="008535DF"/>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535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117" Type="http://schemas.openxmlformats.org/officeDocument/2006/relationships/footer" Target="footer53.xml"/><Relationship Id="rId21" Type="http://schemas.openxmlformats.org/officeDocument/2006/relationships/footer" Target="footer6.xml"/><Relationship Id="rId42" Type="http://schemas.openxmlformats.org/officeDocument/2006/relationships/footer" Target="footer16.xml"/><Relationship Id="rId47" Type="http://schemas.openxmlformats.org/officeDocument/2006/relationships/header" Target="header20.xml"/><Relationship Id="rId63" Type="http://schemas.openxmlformats.org/officeDocument/2006/relationships/footer" Target="footer27.xml"/><Relationship Id="rId68" Type="http://schemas.openxmlformats.org/officeDocument/2006/relationships/header" Target="header30.xml"/><Relationship Id="rId84" Type="http://schemas.openxmlformats.org/officeDocument/2006/relationships/header" Target="header38.xml"/><Relationship Id="rId89" Type="http://schemas.openxmlformats.org/officeDocument/2006/relationships/header" Target="header40.xml"/><Relationship Id="rId112" Type="http://schemas.openxmlformats.org/officeDocument/2006/relationships/footer" Target="footer51.xml"/><Relationship Id="rId133" Type="http://schemas.openxmlformats.org/officeDocument/2006/relationships/header" Target="header60.xml"/><Relationship Id="rId16" Type="http://schemas.openxmlformats.org/officeDocument/2006/relationships/header" Target="header4.xml"/><Relationship Id="rId107" Type="http://schemas.openxmlformats.org/officeDocument/2006/relationships/hyperlink" Target="http://www.rbs.com/results" TargetMode="External"/><Relationship Id="rId11" Type="http://schemas.openxmlformats.org/officeDocument/2006/relationships/header" Target="header2.xml"/><Relationship Id="rId32" Type="http://schemas.openxmlformats.org/officeDocument/2006/relationships/header" Target="header12.xml"/><Relationship Id="rId37" Type="http://schemas.openxmlformats.org/officeDocument/2006/relationships/footer" Target="footer14.xml"/><Relationship Id="rId53" Type="http://schemas.openxmlformats.org/officeDocument/2006/relationships/header" Target="header23.xml"/><Relationship Id="rId58" Type="http://schemas.openxmlformats.org/officeDocument/2006/relationships/header" Target="header25.xml"/><Relationship Id="rId74" Type="http://schemas.openxmlformats.org/officeDocument/2006/relationships/footer" Target="footer33.xml"/><Relationship Id="rId79" Type="http://schemas.openxmlformats.org/officeDocument/2006/relationships/footer" Target="footer35.xml"/><Relationship Id="rId102" Type="http://schemas.openxmlformats.org/officeDocument/2006/relationships/header" Target="header47.xml"/><Relationship Id="rId123" Type="http://schemas.openxmlformats.org/officeDocument/2006/relationships/header" Target="header56.xml"/><Relationship Id="rId128" Type="http://schemas.openxmlformats.org/officeDocument/2006/relationships/header" Target="header58.xml"/><Relationship Id="rId5" Type="http://schemas.openxmlformats.org/officeDocument/2006/relationships/settings" Target="settings.xml"/><Relationship Id="rId90" Type="http://schemas.openxmlformats.org/officeDocument/2006/relationships/header" Target="header41.xml"/><Relationship Id="rId95" Type="http://schemas.openxmlformats.org/officeDocument/2006/relationships/header" Target="header43.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header" Target="header34.xml"/><Relationship Id="rId100" Type="http://schemas.openxmlformats.org/officeDocument/2006/relationships/footer" Target="footer46.xml"/><Relationship Id="rId105" Type="http://schemas.openxmlformats.org/officeDocument/2006/relationships/header" Target="header48.xml"/><Relationship Id="rId113" Type="http://schemas.openxmlformats.org/officeDocument/2006/relationships/header" Target="header51.xml"/><Relationship Id="rId118" Type="http://schemas.openxmlformats.org/officeDocument/2006/relationships/footer" Target="footer54.xml"/><Relationship Id="rId126" Type="http://schemas.openxmlformats.org/officeDocument/2006/relationships/header" Target="header57.xml"/><Relationship Id="rId134" Type="http://schemas.openxmlformats.org/officeDocument/2006/relationships/footer" Target="footer63.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header" Target="header32.xml"/><Relationship Id="rId80" Type="http://schemas.openxmlformats.org/officeDocument/2006/relationships/footer" Target="footer36.xml"/><Relationship Id="rId85" Type="http://schemas.openxmlformats.org/officeDocument/2006/relationships/footer" Target="footer38.xml"/><Relationship Id="rId93" Type="http://schemas.openxmlformats.org/officeDocument/2006/relationships/header" Target="header42.xml"/><Relationship Id="rId98" Type="http://schemas.openxmlformats.org/officeDocument/2006/relationships/footer" Target="footer45.xml"/><Relationship Id="rId121" Type="http://schemas.openxmlformats.org/officeDocument/2006/relationships/footer" Target="footer56.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header" Target="header26.xml"/><Relationship Id="rId67" Type="http://schemas.openxmlformats.org/officeDocument/2006/relationships/footer" Target="footer29.xml"/><Relationship Id="rId103" Type="http://schemas.openxmlformats.org/officeDocument/2006/relationships/footer" Target="footer47.xml"/><Relationship Id="rId108" Type="http://schemas.openxmlformats.org/officeDocument/2006/relationships/hyperlink" Target="http://www.rbs.com/results" TargetMode="External"/><Relationship Id="rId116" Type="http://schemas.openxmlformats.org/officeDocument/2006/relationships/header" Target="header53.xml"/><Relationship Id="rId124" Type="http://schemas.openxmlformats.org/officeDocument/2006/relationships/footer" Target="footer57.xml"/><Relationship Id="rId129" Type="http://schemas.openxmlformats.org/officeDocument/2006/relationships/footer" Target="footer60.xml"/><Relationship Id="rId137"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2.xml"/><Relationship Id="rId62" Type="http://schemas.openxmlformats.org/officeDocument/2006/relationships/header" Target="header27.xml"/><Relationship Id="rId70" Type="http://schemas.openxmlformats.org/officeDocument/2006/relationships/footer" Target="footer31.xml"/><Relationship Id="rId75" Type="http://schemas.openxmlformats.org/officeDocument/2006/relationships/header" Target="header33.xml"/><Relationship Id="rId83" Type="http://schemas.openxmlformats.org/officeDocument/2006/relationships/header" Target="header37.xml"/><Relationship Id="rId88" Type="http://schemas.openxmlformats.org/officeDocument/2006/relationships/footer" Target="footer40.xml"/><Relationship Id="rId91" Type="http://schemas.openxmlformats.org/officeDocument/2006/relationships/footer" Target="footer41.xml"/><Relationship Id="rId96" Type="http://schemas.openxmlformats.org/officeDocument/2006/relationships/header" Target="header44.xml"/><Relationship Id="rId111" Type="http://schemas.openxmlformats.org/officeDocument/2006/relationships/footer" Target="footer50.xml"/><Relationship Id="rId132" Type="http://schemas.openxmlformats.org/officeDocument/2006/relationships/footer" Target="footer6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6" Type="http://schemas.openxmlformats.org/officeDocument/2006/relationships/footer" Target="footer49.xml"/><Relationship Id="rId114" Type="http://schemas.openxmlformats.org/officeDocument/2006/relationships/footer" Target="footer52.xml"/><Relationship Id="rId119" Type="http://schemas.openxmlformats.org/officeDocument/2006/relationships/header" Target="header54.xml"/><Relationship Id="rId127" Type="http://schemas.openxmlformats.org/officeDocument/2006/relationships/footer" Target="footer59.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footer" Target="footer25.xml"/><Relationship Id="rId65" Type="http://schemas.openxmlformats.org/officeDocument/2006/relationships/header" Target="header29.xml"/><Relationship Id="rId73" Type="http://schemas.openxmlformats.org/officeDocument/2006/relationships/footer" Target="footer32.xml"/><Relationship Id="rId78" Type="http://schemas.openxmlformats.org/officeDocument/2006/relationships/header" Target="header35.xml"/><Relationship Id="rId81" Type="http://schemas.openxmlformats.org/officeDocument/2006/relationships/header" Target="header36.xml"/><Relationship Id="rId86" Type="http://schemas.openxmlformats.org/officeDocument/2006/relationships/footer" Target="footer39.xml"/><Relationship Id="rId94" Type="http://schemas.openxmlformats.org/officeDocument/2006/relationships/footer" Target="footer43.xml"/><Relationship Id="rId99" Type="http://schemas.openxmlformats.org/officeDocument/2006/relationships/header" Target="header45.xml"/><Relationship Id="rId101" Type="http://schemas.openxmlformats.org/officeDocument/2006/relationships/header" Target="header46.xml"/><Relationship Id="rId122" Type="http://schemas.openxmlformats.org/officeDocument/2006/relationships/header" Target="header55.xml"/><Relationship Id="rId130" Type="http://schemas.openxmlformats.org/officeDocument/2006/relationships/header" Target="header59.xml"/><Relationship Id="rId13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39" Type="http://schemas.openxmlformats.org/officeDocument/2006/relationships/footer" Target="footer15.xml"/><Relationship Id="rId109" Type="http://schemas.openxmlformats.org/officeDocument/2006/relationships/header" Target="header49.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footer" Target="footer34.xml"/><Relationship Id="rId97" Type="http://schemas.openxmlformats.org/officeDocument/2006/relationships/footer" Target="footer44.xml"/><Relationship Id="rId104" Type="http://schemas.openxmlformats.org/officeDocument/2006/relationships/footer" Target="footer48.xml"/><Relationship Id="rId120" Type="http://schemas.openxmlformats.org/officeDocument/2006/relationships/footer" Target="footer55.xml"/><Relationship Id="rId125" Type="http://schemas.openxmlformats.org/officeDocument/2006/relationships/footer" Target="footer58.xml"/><Relationship Id="rId7" Type="http://schemas.openxmlformats.org/officeDocument/2006/relationships/footnotes" Target="footnotes.xml"/><Relationship Id="rId71" Type="http://schemas.openxmlformats.org/officeDocument/2006/relationships/header" Target="header31.xml"/><Relationship Id="rId92" Type="http://schemas.openxmlformats.org/officeDocument/2006/relationships/footer" Target="footer42.xml"/><Relationship Id="rId2" Type="http://schemas.openxmlformats.org/officeDocument/2006/relationships/numbering" Target="numbering.xml"/><Relationship Id="rId29" Type="http://schemas.openxmlformats.org/officeDocument/2006/relationships/header" Target="header11.xml"/><Relationship Id="rId24" Type="http://schemas.openxmlformats.org/officeDocument/2006/relationships/footer" Target="footer7.xml"/><Relationship Id="rId40" Type="http://schemas.openxmlformats.org/officeDocument/2006/relationships/header" Target="header16.xml"/><Relationship Id="rId45" Type="http://schemas.openxmlformats.org/officeDocument/2006/relationships/footer" Target="footer18.xml"/><Relationship Id="rId66" Type="http://schemas.openxmlformats.org/officeDocument/2006/relationships/footer" Target="footer28.xml"/><Relationship Id="rId87" Type="http://schemas.openxmlformats.org/officeDocument/2006/relationships/header" Target="header39.xml"/><Relationship Id="rId110" Type="http://schemas.openxmlformats.org/officeDocument/2006/relationships/header" Target="header50.xml"/><Relationship Id="rId115" Type="http://schemas.openxmlformats.org/officeDocument/2006/relationships/header" Target="header52.xml"/><Relationship Id="rId131" Type="http://schemas.openxmlformats.org/officeDocument/2006/relationships/footer" Target="footer61.xml"/><Relationship Id="rId136" Type="http://schemas.openxmlformats.org/officeDocument/2006/relationships/glossaryDocument" Target="glossary/document.xml"/><Relationship Id="rId61" Type="http://schemas.openxmlformats.org/officeDocument/2006/relationships/footer" Target="footer26.xml"/><Relationship Id="rId82" Type="http://schemas.openxmlformats.org/officeDocument/2006/relationships/footer" Target="footer37.xml"/><Relationship Id="rId19"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97C2A155DEF439891EF1715479D6669"/>
        <w:category>
          <w:name w:val="General"/>
          <w:gallery w:val="placeholder"/>
        </w:category>
        <w:types>
          <w:type w:val="bbPlcHdr"/>
        </w:types>
        <w:behaviors>
          <w:behavior w:val="content"/>
        </w:behaviors>
        <w:guid w:val="{F29FBA98-41E5-4D24-9C20-942CBCFB158A}"/>
      </w:docPartPr>
      <w:docPartBody>
        <w:p w:rsidR="00B7285F" w:rsidRDefault="00000000" w:rsidP="0000356A">
          <w:pPr>
            <w:pStyle w:val="397C2A155DEF439891EF1715479D6669"/>
          </w:pPr>
          <w:r>
            <w:rPr>
              <w:rStyle w:val="PlaceholderText1"/>
            </w:rPr>
            <w:t>Click here to enter text.</w:t>
          </w:r>
        </w:p>
      </w:docPartBody>
    </w:docPart>
    <w:docPart>
      <w:docPartPr>
        <w:name w:val="CFD9503D44BA4852B7A1727F41E9ADA8"/>
        <w:category>
          <w:name w:val="General"/>
          <w:gallery w:val="placeholder"/>
        </w:category>
        <w:types>
          <w:type w:val="bbPlcHdr"/>
        </w:types>
        <w:behaviors>
          <w:behavior w:val="content"/>
        </w:behaviors>
        <w:guid w:val="{A22827E3-E4DD-4D36-BE98-999FD4E98B43}"/>
      </w:docPartPr>
      <w:docPartBody>
        <w:p w:rsidR="00B7285F" w:rsidRDefault="00000000" w:rsidP="0000356A">
          <w:pPr>
            <w:pStyle w:val="CFD9503D44BA4852B7A1727F41E9ADA8"/>
          </w:pPr>
          <w:r>
            <w:rPr>
              <w:rStyle w:val="PlaceholderText1"/>
            </w:rPr>
            <w:t>Click here to enter text.</w:t>
          </w:r>
        </w:p>
      </w:docPartBody>
    </w:docPart>
    <w:docPart>
      <w:docPartPr>
        <w:name w:val="1F871772C67A426FAFFCA875C74426A2"/>
        <w:category>
          <w:name w:val="General"/>
          <w:gallery w:val="placeholder"/>
        </w:category>
        <w:types>
          <w:type w:val="bbPlcHdr"/>
        </w:types>
        <w:behaviors>
          <w:behavior w:val="content"/>
        </w:behaviors>
        <w:guid w:val="{FDBAE6EC-F534-4043-B6A3-78F19D2F2541}"/>
      </w:docPartPr>
      <w:docPartBody>
        <w:p w:rsidR="002D6EC0" w:rsidRDefault="00000000" w:rsidP="0041053B">
          <w:pPr>
            <w:pStyle w:val="1F871772C67A426FAFFCA875C74426A2"/>
          </w:pPr>
          <w:r>
            <w:rPr>
              <w:rStyle w:val="PlaceholderText1"/>
            </w:rPr>
            <w:t>Click here to enter text.</w:t>
          </w:r>
        </w:p>
      </w:docPartBody>
    </w:docPart>
    <w:docPart>
      <w:docPartPr>
        <w:name w:val="6415E50FD1D245FE8B872D34C6A958B8"/>
        <w:category>
          <w:name w:val="General"/>
          <w:gallery w:val="placeholder"/>
        </w:category>
        <w:types>
          <w:type w:val="bbPlcHdr"/>
        </w:types>
        <w:behaviors>
          <w:behavior w:val="content"/>
        </w:behaviors>
        <w:guid w:val="{8E5D69DC-C30C-4B34-AB07-9AC7B211C4CC}"/>
      </w:docPartPr>
      <w:docPartBody>
        <w:p w:rsidR="00207B9A" w:rsidRDefault="00000000" w:rsidP="00AC4718">
          <w:pPr>
            <w:pStyle w:val="6415E50FD1D245FE8B872D34C6A958B8"/>
          </w:pPr>
          <w:r>
            <w:rPr>
              <w:rStyle w:val="PlaceholderText1"/>
            </w:rPr>
            <w:t>Click here to enter text.</w:t>
          </w:r>
        </w:p>
      </w:docPartBody>
    </w:docPart>
    <w:docPart>
      <w:docPartPr>
        <w:name w:val="41939CE744E5448CBD8042D3B3809977"/>
        <w:category>
          <w:name w:val="General"/>
          <w:gallery w:val="placeholder"/>
        </w:category>
        <w:types>
          <w:type w:val="bbPlcHdr"/>
        </w:types>
        <w:behaviors>
          <w:behavior w:val="content"/>
        </w:behaviors>
        <w:guid w:val="{CCD216BF-45F5-422C-82FE-F182F81E17A3}"/>
      </w:docPartPr>
      <w:docPartBody>
        <w:p w:rsidR="00FC691A" w:rsidRDefault="00000000" w:rsidP="00DD0E1D">
          <w:pPr>
            <w:pStyle w:val="41939CE744E5448CBD8042D3B3809977"/>
          </w:pPr>
          <w:r>
            <w:rPr>
              <w:rStyle w:val="PlaceholderText1"/>
            </w:rPr>
            <w:t>Click here to enter text.</w:t>
          </w:r>
        </w:p>
      </w:docPartBody>
    </w:docPart>
    <w:docPart>
      <w:docPartPr>
        <w:name w:val="5D6C305170CF45B7AB3C218063E2CACF"/>
        <w:category>
          <w:name w:val="General"/>
          <w:gallery w:val="placeholder"/>
        </w:category>
        <w:types>
          <w:type w:val="bbPlcHdr"/>
        </w:types>
        <w:behaviors>
          <w:behavior w:val="content"/>
        </w:behaviors>
        <w:guid w:val="{AA8E2285-7EEB-4C65-A03D-07905BFD8588}"/>
      </w:docPartPr>
      <w:docPartBody>
        <w:p w:rsidR="00FC691A" w:rsidRDefault="00000000" w:rsidP="00DD0E1D">
          <w:pPr>
            <w:pStyle w:val="5D6C305170CF45B7AB3C218063E2CACF"/>
          </w:pPr>
          <w:r>
            <w:rPr>
              <w:rStyle w:val="PlaceholderText1"/>
            </w:rPr>
            <w:t>Click here to enter text.</w:t>
          </w:r>
        </w:p>
      </w:docPartBody>
    </w:docPart>
    <w:docPart>
      <w:docPartPr>
        <w:name w:val="9ED86DB124994E6A9755100B8E7A38BE"/>
        <w:category>
          <w:name w:val="General"/>
          <w:gallery w:val="placeholder"/>
        </w:category>
        <w:types>
          <w:type w:val="bbPlcHdr"/>
        </w:types>
        <w:behaviors>
          <w:behavior w:val="content"/>
        </w:behaviors>
        <w:guid w:val="{8B36208B-9C11-4F4F-B449-4DF323A55654}"/>
      </w:docPartPr>
      <w:docPartBody>
        <w:p w:rsidR="00FC691A" w:rsidRDefault="00000000" w:rsidP="00DD0E1D">
          <w:pPr>
            <w:pStyle w:val="9ED86DB124994E6A9755100B8E7A38BE"/>
          </w:pPr>
          <w:r>
            <w:rPr>
              <w:rStyle w:val="PlaceholderText1"/>
            </w:rPr>
            <w:t>Click here to enter text.</w:t>
          </w:r>
        </w:p>
      </w:docPartBody>
    </w:docPart>
    <w:docPart>
      <w:docPartPr>
        <w:name w:val="563A2FF3168F48439331E7B2196DECA4"/>
        <w:category>
          <w:name w:val="General"/>
          <w:gallery w:val="placeholder"/>
        </w:category>
        <w:types>
          <w:type w:val="bbPlcHdr"/>
        </w:types>
        <w:behaviors>
          <w:behavior w:val="content"/>
        </w:behaviors>
        <w:guid w:val="{1BC69EB2-2DEB-481C-9EC5-92701209A910}"/>
      </w:docPartPr>
      <w:docPartBody>
        <w:p w:rsidR="00FC691A" w:rsidRDefault="00000000" w:rsidP="00DD0E1D">
          <w:pPr>
            <w:pStyle w:val="563A2FF3168F48439331E7B2196DECA4"/>
          </w:pPr>
          <w:r>
            <w:rPr>
              <w:rStyle w:val="PlaceholderText1"/>
            </w:rPr>
            <w:t>Click here to enter text.</w:t>
          </w:r>
        </w:p>
      </w:docPartBody>
    </w:docPart>
    <w:docPart>
      <w:docPartPr>
        <w:name w:val="B98EF2B558D042DBB52476FF2EA46D9A"/>
        <w:category>
          <w:name w:val="General"/>
          <w:gallery w:val="placeholder"/>
        </w:category>
        <w:types>
          <w:type w:val="bbPlcHdr"/>
        </w:types>
        <w:behaviors>
          <w:behavior w:val="content"/>
        </w:behaviors>
        <w:guid w:val="{68BB1561-0D3B-44E1-8538-ADB05301E74B}"/>
      </w:docPartPr>
      <w:docPartBody>
        <w:p w:rsidR="00FC691A" w:rsidRDefault="00000000" w:rsidP="00DD0E1D">
          <w:pPr>
            <w:pStyle w:val="B98EF2B558D042DBB52476FF2EA46D9A"/>
          </w:pPr>
          <w:r>
            <w:rPr>
              <w:rStyle w:val="PlaceholderText1"/>
            </w:rPr>
            <w:t>Click here to enter text.</w:t>
          </w:r>
        </w:p>
      </w:docPartBody>
    </w:docPart>
    <w:docPart>
      <w:docPartPr>
        <w:name w:val="85F1286AEB854868BFF543EEBF16590E"/>
        <w:category>
          <w:name w:val="General"/>
          <w:gallery w:val="placeholder"/>
        </w:category>
        <w:types>
          <w:type w:val="bbPlcHdr"/>
        </w:types>
        <w:behaviors>
          <w:behavior w:val="content"/>
        </w:behaviors>
        <w:guid w:val="{9F0928D3-2DB3-40D7-A4CA-7BC58FEB7878}"/>
      </w:docPartPr>
      <w:docPartBody>
        <w:p w:rsidR="00FC691A" w:rsidRDefault="00000000" w:rsidP="00DD0E1D">
          <w:pPr>
            <w:pStyle w:val="85F1286AEB854868BFF543EEBF16590E"/>
          </w:pPr>
          <w:r>
            <w:rPr>
              <w:rStyle w:val="PlaceholderText1"/>
            </w:rPr>
            <w:t>Click here to enter text.</w:t>
          </w:r>
        </w:p>
      </w:docPartBody>
    </w:docPart>
    <w:docPart>
      <w:docPartPr>
        <w:name w:val="B7021E398D074B12B0FDDA09D3E422A1"/>
        <w:category>
          <w:name w:val="General"/>
          <w:gallery w:val="placeholder"/>
        </w:category>
        <w:types>
          <w:type w:val="bbPlcHdr"/>
        </w:types>
        <w:behaviors>
          <w:behavior w:val="content"/>
        </w:behaviors>
        <w:guid w:val="{A8F0EAE3-8F73-4AD7-A970-F4EEB65DE95D}"/>
      </w:docPartPr>
      <w:docPartBody>
        <w:p w:rsidR="00FC691A" w:rsidRDefault="00000000" w:rsidP="00DD0E1D">
          <w:pPr>
            <w:pStyle w:val="B7021E398D074B12B0FDDA09D3E422A1"/>
          </w:pPr>
          <w:r>
            <w:rPr>
              <w:rStyle w:val="PlaceholderText1"/>
            </w:rPr>
            <w:t>Click here to enter text.</w:t>
          </w:r>
        </w:p>
      </w:docPartBody>
    </w:docPart>
    <w:docPart>
      <w:docPartPr>
        <w:name w:val="91B27ABA407642ECBA084BDDE1A1485E"/>
        <w:category>
          <w:name w:val="General"/>
          <w:gallery w:val="placeholder"/>
        </w:category>
        <w:types>
          <w:type w:val="bbPlcHdr"/>
        </w:types>
        <w:behaviors>
          <w:behavior w:val="content"/>
        </w:behaviors>
        <w:guid w:val="{B4E00DC9-D717-4A6D-B7B1-F22E87197363}"/>
      </w:docPartPr>
      <w:docPartBody>
        <w:p w:rsidR="001147E8" w:rsidRDefault="00000000" w:rsidP="00144A97">
          <w:pPr>
            <w:pStyle w:val="91B27ABA407642ECBA084BDDE1A1485E"/>
          </w:pPr>
          <w:r>
            <w:rPr>
              <w:rStyle w:val="PlaceholderText1"/>
            </w:rPr>
            <w:t>Click here to enter text.</w:t>
          </w:r>
        </w:p>
      </w:docPartBody>
    </w:docPart>
    <w:docPart>
      <w:docPartPr>
        <w:name w:val="45F21A25C6CD4FB88549149B53090A92"/>
        <w:category>
          <w:name w:val="General"/>
          <w:gallery w:val="placeholder"/>
        </w:category>
        <w:types>
          <w:type w:val="bbPlcHdr"/>
        </w:types>
        <w:behaviors>
          <w:behavior w:val="content"/>
        </w:behaviors>
        <w:guid w:val="{D560DA6B-6717-4A13-AC80-CC4B9046D418}"/>
      </w:docPartPr>
      <w:docPartBody>
        <w:p w:rsidR="00FA3458" w:rsidRDefault="00000000" w:rsidP="00EF3259">
          <w:pPr>
            <w:pStyle w:val="45F21A25C6CD4FB88549149B53090A92"/>
          </w:pPr>
          <w:r>
            <w:rPr>
              <w:rStyle w:val="PlaceholderText1"/>
            </w:rPr>
            <w:t>Click here to enter text.</w:t>
          </w:r>
        </w:p>
      </w:docPartBody>
    </w:docPart>
    <w:docPart>
      <w:docPartPr>
        <w:name w:val="27A380D7BF2A4BE585D0E20BC12A266A"/>
        <w:category>
          <w:name w:val="General"/>
          <w:gallery w:val="placeholder"/>
        </w:category>
        <w:types>
          <w:type w:val="bbPlcHdr"/>
        </w:types>
        <w:behaviors>
          <w:behavior w:val="content"/>
        </w:behaviors>
        <w:guid w:val="{20C317F5-93D5-4A4C-92EA-D3405F72B6C1}"/>
      </w:docPartPr>
      <w:docPartBody>
        <w:p w:rsidR="00FA3458" w:rsidRDefault="00000000" w:rsidP="00EF3259">
          <w:pPr>
            <w:pStyle w:val="27A380D7BF2A4BE585D0E20BC12A266A"/>
          </w:pPr>
          <w:r>
            <w:rPr>
              <w:rStyle w:val="PlaceholderText1"/>
            </w:rPr>
            <w:t>Click here to enter text.</w:t>
          </w:r>
        </w:p>
      </w:docPartBody>
    </w:docPart>
    <w:docPart>
      <w:docPartPr>
        <w:name w:val="35C6F6C18E924146AA292B533D810B86"/>
        <w:category>
          <w:name w:val="General"/>
          <w:gallery w:val="placeholder"/>
        </w:category>
        <w:types>
          <w:type w:val="bbPlcHdr"/>
        </w:types>
        <w:behaviors>
          <w:behavior w:val="content"/>
        </w:behaviors>
        <w:guid w:val="{56AB93D5-9251-463C-B405-4DE35BEAC02A}"/>
      </w:docPartPr>
      <w:docPartBody>
        <w:p w:rsidR="00FA3458" w:rsidRDefault="00000000" w:rsidP="00EF3259">
          <w:pPr>
            <w:pStyle w:val="35C6F6C18E924146AA292B533D810B86"/>
          </w:pPr>
          <w:r>
            <w:rPr>
              <w:rStyle w:val="PlaceholderText1"/>
            </w:rPr>
            <w:t>Click here to enter text.</w:t>
          </w:r>
        </w:p>
      </w:docPartBody>
    </w:docPart>
    <w:docPart>
      <w:docPartPr>
        <w:name w:val="C3FCC0151DBB4B31AA8B87DBC6A1D9F1"/>
        <w:category>
          <w:name w:val="General"/>
          <w:gallery w:val="placeholder"/>
        </w:category>
        <w:types>
          <w:type w:val="bbPlcHdr"/>
        </w:types>
        <w:behaviors>
          <w:behavior w:val="content"/>
        </w:behaviors>
        <w:guid w:val="{CBF61367-BF0B-4DDC-89C2-7C49500FADE4}"/>
      </w:docPartPr>
      <w:docPartBody>
        <w:p w:rsidR="00FA3458" w:rsidRDefault="00000000" w:rsidP="00EF3259">
          <w:pPr>
            <w:pStyle w:val="C3FCC0151DBB4B31AA8B87DBC6A1D9F1"/>
          </w:pPr>
          <w:r>
            <w:rPr>
              <w:rStyle w:val="PlaceholderText1"/>
            </w:rPr>
            <w:t>Click here to enter text.</w:t>
          </w:r>
        </w:p>
      </w:docPartBody>
    </w:docPart>
    <w:docPart>
      <w:docPartPr>
        <w:name w:val="62A636269325444C9EB28FF78A0B11C5"/>
        <w:category>
          <w:name w:val="General"/>
          <w:gallery w:val="placeholder"/>
        </w:category>
        <w:types>
          <w:type w:val="bbPlcHdr"/>
        </w:types>
        <w:behaviors>
          <w:behavior w:val="content"/>
        </w:behaviors>
        <w:guid w:val="{1060A628-38FB-4E95-A189-16DB32E2CB9F}"/>
      </w:docPartPr>
      <w:docPartBody>
        <w:p w:rsidR="00FA3458" w:rsidRDefault="00000000" w:rsidP="00EF3259">
          <w:pPr>
            <w:pStyle w:val="62A636269325444C9EB28FF78A0B11C5"/>
          </w:pPr>
          <w:r>
            <w:rPr>
              <w:rStyle w:val="PlaceholderText1"/>
            </w:rPr>
            <w:t>Click here to enter text.</w:t>
          </w:r>
        </w:p>
      </w:docPartBody>
    </w:docPart>
    <w:docPart>
      <w:docPartPr>
        <w:name w:val="E2B7BA1F22F24BD89AC986C2FC4F55EE"/>
        <w:category>
          <w:name w:val="General"/>
          <w:gallery w:val="placeholder"/>
        </w:category>
        <w:types>
          <w:type w:val="bbPlcHdr"/>
        </w:types>
        <w:behaviors>
          <w:behavior w:val="content"/>
        </w:behaviors>
        <w:guid w:val="{30A27064-40FC-4AF5-9863-7CC3C4A0D1F3}"/>
      </w:docPartPr>
      <w:docPartBody>
        <w:p w:rsidR="00E60149" w:rsidRDefault="00000000" w:rsidP="000E0A1B">
          <w:pPr>
            <w:pStyle w:val="E2B7BA1F22F24BD89AC986C2FC4F55EE"/>
          </w:pPr>
          <w:r>
            <w:rPr>
              <w:rStyle w:val="PlaceholderText1"/>
            </w:rPr>
            <w:t>Click here to enter text.</w:t>
          </w:r>
        </w:p>
      </w:docPartBody>
    </w:docPart>
    <w:docPart>
      <w:docPartPr>
        <w:name w:val="C4D21F80E458463B9509DBA4437F7C3E"/>
        <w:category>
          <w:name w:val="General"/>
          <w:gallery w:val="placeholder"/>
        </w:category>
        <w:types>
          <w:type w:val="bbPlcHdr"/>
        </w:types>
        <w:behaviors>
          <w:behavior w:val="content"/>
        </w:behaviors>
        <w:guid w:val="{D28A658C-4617-4331-A109-ED3AF8E30AEA}"/>
      </w:docPartPr>
      <w:docPartBody>
        <w:p w:rsidR="00E60149" w:rsidRDefault="00000000" w:rsidP="000E0A1B">
          <w:pPr>
            <w:pStyle w:val="C4D21F80E458463B9509DBA4437F7C3E"/>
          </w:pPr>
          <w:r>
            <w:rPr>
              <w:rStyle w:val="PlaceholderText1"/>
            </w:rPr>
            <w:t>Click here to enter text.</w:t>
          </w:r>
        </w:p>
      </w:docPartBody>
    </w:docPart>
    <w:docPart>
      <w:docPartPr>
        <w:name w:val="CB2C0D7F68B14DDB9F83BE88FED9751A"/>
        <w:category>
          <w:name w:val="General"/>
          <w:gallery w:val="placeholder"/>
        </w:category>
        <w:types>
          <w:type w:val="bbPlcHdr"/>
        </w:types>
        <w:behaviors>
          <w:behavior w:val="content"/>
        </w:behaviors>
        <w:guid w:val="{3AB18C27-846F-4523-B999-FCDEEA062155}"/>
      </w:docPartPr>
      <w:docPartBody>
        <w:p w:rsidR="00E60149" w:rsidRDefault="00000000" w:rsidP="000E0A1B">
          <w:pPr>
            <w:pStyle w:val="CB2C0D7F68B14DDB9F83BE88FED9751A"/>
          </w:pPr>
          <w:r>
            <w:rPr>
              <w:rStyle w:val="PlaceholderText1"/>
            </w:rPr>
            <w:t>Click here to enter text.</w:t>
          </w:r>
        </w:p>
      </w:docPartBody>
    </w:docPart>
    <w:docPart>
      <w:docPartPr>
        <w:name w:val="2E6C02AF0F1143A1B351B6C013D374D1"/>
        <w:category>
          <w:name w:val="General"/>
          <w:gallery w:val="placeholder"/>
        </w:category>
        <w:types>
          <w:type w:val="bbPlcHdr"/>
        </w:types>
        <w:behaviors>
          <w:behavior w:val="content"/>
        </w:behaviors>
        <w:guid w:val="{BE35C372-545A-41EE-BECD-A4D3897CB51B}"/>
      </w:docPartPr>
      <w:docPartBody>
        <w:p w:rsidR="00E60149" w:rsidRDefault="00000000" w:rsidP="000E0A1B">
          <w:pPr>
            <w:pStyle w:val="2E6C02AF0F1143A1B351B6C013D374D1"/>
          </w:pPr>
          <w:r>
            <w:rPr>
              <w:rStyle w:val="PlaceholderText1"/>
            </w:rPr>
            <w:t>Click here to enter text.</w:t>
          </w:r>
        </w:p>
      </w:docPartBody>
    </w:docPart>
    <w:docPart>
      <w:docPartPr>
        <w:name w:val="D0E833DD5C544310BAB552BA7C7471DE"/>
        <w:category>
          <w:name w:val="General"/>
          <w:gallery w:val="placeholder"/>
        </w:category>
        <w:types>
          <w:type w:val="bbPlcHdr"/>
        </w:types>
        <w:behaviors>
          <w:behavior w:val="content"/>
        </w:behaviors>
        <w:guid w:val="{ED11C84B-8A66-4D4E-9376-F18614973F58}"/>
      </w:docPartPr>
      <w:docPartBody>
        <w:p w:rsidR="00E60149" w:rsidRDefault="00000000" w:rsidP="000E0A1B">
          <w:pPr>
            <w:pStyle w:val="D0E833DD5C544310BAB552BA7C7471DE"/>
          </w:pPr>
          <w:r>
            <w:rPr>
              <w:rStyle w:val="PlaceholderText1"/>
            </w:rPr>
            <w:t>Click here to enter text.</w:t>
          </w:r>
        </w:p>
      </w:docPartBody>
    </w:docPart>
    <w:docPart>
      <w:docPartPr>
        <w:name w:val="064BD9612A664504B3AC4D242263BAEF"/>
        <w:category>
          <w:name w:val="General"/>
          <w:gallery w:val="placeholder"/>
        </w:category>
        <w:types>
          <w:type w:val="bbPlcHdr"/>
        </w:types>
        <w:behaviors>
          <w:behavior w:val="content"/>
        </w:behaviors>
        <w:guid w:val="{BA1ABDBD-EA1C-4C29-ADB8-BB0646F2E891}"/>
      </w:docPartPr>
      <w:docPartBody>
        <w:p w:rsidR="00E60149" w:rsidRDefault="00000000" w:rsidP="000E0A1B">
          <w:pPr>
            <w:pStyle w:val="064BD9612A664504B3AC4D242263BAEF"/>
          </w:pPr>
          <w:r>
            <w:rPr>
              <w:rStyle w:val="PlaceholderText1"/>
            </w:rPr>
            <w:t>Click here to enter text.</w:t>
          </w:r>
        </w:p>
      </w:docPartBody>
    </w:docPart>
    <w:docPart>
      <w:docPartPr>
        <w:name w:val="A7D3DEA72FFD4AF3B6BE42658EF01EE0"/>
        <w:category>
          <w:name w:val="General"/>
          <w:gallery w:val="placeholder"/>
        </w:category>
        <w:types>
          <w:type w:val="bbPlcHdr"/>
        </w:types>
        <w:behaviors>
          <w:behavior w:val="content"/>
        </w:behaviors>
        <w:guid w:val="{A24C1CD0-F268-40B4-BBD5-8B3F99AB1910}"/>
      </w:docPartPr>
      <w:docPartBody>
        <w:p w:rsidR="003A504D" w:rsidRDefault="00000000" w:rsidP="00EF4115">
          <w:pPr>
            <w:pStyle w:val="A7D3DEA72FFD4AF3B6BE42658EF01EE0"/>
          </w:pPr>
          <w:r>
            <w:rPr>
              <w:rStyle w:val="PlaceholderText1"/>
            </w:rPr>
            <w:t>Click here to enter text.</w:t>
          </w:r>
        </w:p>
      </w:docPartBody>
    </w:docPart>
    <w:docPart>
      <w:docPartPr>
        <w:name w:val="9E4459BD3E7B4A82ADDBF3734011FD7B"/>
        <w:category>
          <w:name w:val="General"/>
          <w:gallery w:val="placeholder"/>
        </w:category>
        <w:types>
          <w:type w:val="bbPlcHdr"/>
        </w:types>
        <w:behaviors>
          <w:behavior w:val="content"/>
        </w:behaviors>
        <w:guid w:val="{0E2BFA3C-E993-4CBB-BE70-8074E25C15CD}"/>
      </w:docPartPr>
      <w:docPartBody>
        <w:p w:rsidR="00DE1684" w:rsidRDefault="00000000" w:rsidP="00493214">
          <w:pPr>
            <w:pStyle w:val="9E4459BD3E7B4A82ADDBF3734011FD7B"/>
          </w:pPr>
          <w:r>
            <w:rPr>
              <w:rStyle w:val="PlaceholderText1"/>
            </w:rPr>
            <w:t>Click here to enter text.</w:t>
          </w:r>
        </w:p>
      </w:docPartBody>
    </w:docPart>
    <w:docPart>
      <w:docPartPr>
        <w:name w:val="5F043A7946DF436A90CD97B6FDBC4E84"/>
        <w:category>
          <w:name w:val="General"/>
          <w:gallery w:val="placeholder"/>
        </w:category>
        <w:types>
          <w:type w:val="bbPlcHdr"/>
        </w:types>
        <w:behaviors>
          <w:behavior w:val="content"/>
        </w:behaviors>
        <w:guid w:val="{90EBF617-E368-489A-A7B1-8462DEED0038}"/>
      </w:docPartPr>
      <w:docPartBody>
        <w:p w:rsidR="00DE1684" w:rsidRDefault="00000000" w:rsidP="00493214">
          <w:pPr>
            <w:pStyle w:val="5F043A7946DF436A90CD97B6FDBC4E84"/>
          </w:pPr>
          <w:r>
            <w:rPr>
              <w:rStyle w:val="PlaceholderText1"/>
            </w:rPr>
            <w:t>Click here to enter text.</w:t>
          </w:r>
        </w:p>
      </w:docPartBody>
    </w:docPart>
    <w:docPart>
      <w:docPartPr>
        <w:name w:val="32483EB64B144FDF8A68B8D08C14F495"/>
        <w:category>
          <w:name w:val="General"/>
          <w:gallery w:val="placeholder"/>
        </w:category>
        <w:types>
          <w:type w:val="bbPlcHdr"/>
        </w:types>
        <w:behaviors>
          <w:behavior w:val="content"/>
        </w:behaviors>
        <w:guid w:val="{3EA302D1-18F6-4113-A711-6C6235C12717}"/>
      </w:docPartPr>
      <w:docPartBody>
        <w:p w:rsidR="00DE1684" w:rsidRDefault="00000000" w:rsidP="00493214">
          <w:pPr>
            <w:pStyle w:val="32483EB64B144FDF8A68B8D08C14F495"/>
          </w:pPr>
          <w:r>
            <w:rPr>
              <w:rStyle w:val="PlaceholderText1"/>
            </w:rPr>
            <w:t>Click here to enter text.</w:t>
          </w:r>
        </w:p>
      </w:docPartBody>
    </w:docPart>
    <w:docPart>
      <w:docPartPr>
        <w:name w:val="49520ED256C748499987BD1D3F269BCE"/>
        <w:category>
          <w:name w:val="General"/>
          <w:gallery w:val="placeholder"/>
        </w:category>
        <w:types>
          <w:type w:val="bbPlcHdr"/>
        </w:types>
        <w:behaviors>
          <w:behavior w:val="content"/>
        </w:behaviors>
        <w:guid w:val="{A71B2AB7-5D9F-4D96-A8AE-7859DF0AF90C}"/>
      </w:docPartPr>
      <w:docPartBody>
        <w:p w:rsidR="00DE1684" w:rsidRDefault="00000000" w:rsidP="00493214">
          <w:pPr>
            <w:pStyle w:val="49520ED256C748499987BD1D3F269BCE"/>
          </w:pPr>
          <w:r>
            <w:rPr>
              <w:rStyle w:val="PlaceholderText1"/>
            </w:rPr>
            <w:t>Click here to enter text.</w:t>
          </w:r>
        </w:p>
      </w:docPartBody>
    </w:docPart>
    <w:docPart>
      <w:docPartPr>
        <w:name w:val="9DA113116B01490FB6871F29F031773E"/>
        <w:category>
          <w:name w:val="General"/>
          <w:gallery w:val="placeholder"/>
        </w:category>
        <w:types>
          <w:type w:val="bbPlcHdr"/>
        </w:types>
        <w:behaviors>
          <w:behavior w:val="content"/>
        </w:behaviors>
        <w:guid w:val="{D3DB9998-41F9-472D-BD77-7DE8B16B0D9E}"/>
      </w:docPartPr>
      <w:docPartBody>
        <w:p w:rsidR="00DE1684" w:rsidRDefault="00000000" w:rsidP="00493214">
          <w:pPr>
            <w:pStyle w:val="9DA113116B01490FB6871F29F031773E"/>
          </w:pPr>
          <w:r>
            <w:rPr>
              <w:rStyle w:val="PlaceholderText1"/>
            </w:rPr>
            <w:t>Click here to enter text.</w:t>
          </w:r>
        </w:p>
      </w:docPartBody>
    </w:docPart>
    <w:docPart>
      <w:docPartPr>
        <w:name w:val="6457183302EE4EBFA8A0E328899547F9"/>
        <w:category>
          <w:name w:val="General"/>
          <w:gallery w:val="placeholder"/>
        </w:category>
        <w:types>
          <w:type w:val="bbPlcHdr"/>
        </w:types>
        <w:behaviors>
          <w:behavior w:val="content"/>
        </w:behaviors>
        <w:guid w:val="{810105B6-F38B-4D95-A953-6468A096208A}"/>
      </w:docPartPr>
      <w:docPartBody>
        <w:p w:rsidR="00DE1684" w:rsidRDefault="00000000" w:rsidP="00493214">
          <w:pPr>
            <w:pStyle w:val="6457183302EE4EBFA8A0E328899547F9"/>
          </w:pPr>
          <w:r>
            <w:rPr>
              <w:rStyle w:val="PlaceholderText1"/>
            </w:rPr>
            <w:t>Click here to enter text.</w:t>
          </w:r>
        </w:p>
      </w:docPartBody>
    </w:docPart>
    <w:docPart>
      <w:docPartPr>
        <w:name w:val="A5730D46419640738D002B245193E7D3"/>
        <w:category>
          <w:name w:val="General"/>
          <w:gallery w:val="placeholder"/>
        </w:category>
        <w:types>
          <w:type w:val="bbPlcHdr"/>
        </w:types>
        <w:behaviors>
          <w:behavior w:val="content"/>
        </w:behaviors>
        <w:guid w:val="{21DB3AA1-E2F6-4620-BDE7-437E536B89C7}"/>
      </w:docPartPr>
      <w:docPartBody>
        <w:p w:rsidR="00DE1684" w:rsidRDefault="00000000" w:rsidP="00493214">
          <w:pPr>
            <w:pStyle w:val="A5730D46419640738D002B245193E7D3"/>
          </w:pPr>
          <w:r>
            <w:rPr>
              <w:rStyle w:val="PlaceholderText1"/>
            </w:rPr>
            <w:t>Click here to enter text.</w:t>
          </w:r>
        </w:p>
      </w:docPartBody>
    </w:docPart>
    <w:docPart>
      <w:docPartPr>
        <w:name w:val="384C6CDB41394A8CA8BA52788B11061B"/>
        <w:category>
          <w:name w:val="General"/>
          <w:gallery w:val="placeholder"/>
        </w:category>
        <w:types>
          <w:type w:val="bbPlcHdr"/>
        </w:types>
        <w:behaviors>
          <w:behavior w:val="content"/>
        </w:behaviors>
        <w:guid w:val="{ED0E7D2C-BA1F-4512-92FA-52F752A2D76A}"/>
      </w:docPartPr>
      <w:docPartBody>
        <w:p w:rsidR="00DE1684" w:rsidRDefault="00000000" w:rsidP="00493214">
          <w:pPr>
            <w:pStyle w:val="384C6CDB41394A8CA8BA52788B11061B"/>
          </w:pPr>
          <w:r>
            <w:rPr>
              <w:rStyle w:val="PlaceholderText1"/>
            </w:rPr>
            <w:t>Click here to enter text.</w:t>
          </w:r>
        </w:p>
      </w:docPartBody>
    </w:docPart>
    <w:docPart>
      <w:docPartPr>
        <w:name w:val="0B1185D72B2449DA854708EADC16E871"/>
        <w:category>
          <w:name w:val="General"/>
          <w:gallery w:val="placeholder"/>
        </w:category>
        <w:types>
          <w:type w:val="bbPlcHdr"/>
        </w:types>
        <w:behaviors>
          <w:behavior w:val="content"/>
        </w:behaviors>
        <w:guid w:val="{589FC57B-937F-4364-A91F-88D76ED46D1E}"/>
      </w:docPartPr>
      <w:docPartBody>
        <w:p w:rsidR="00DE1684" w:rsidRDefault="00000000" w:rsidP="00493214">
          <w:pPr>
            <w:pStyle w:val="0B1185D72B2449DA854708EADC16E871"/>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erif">
    <w:altName w:val="Times New Roman"/>
    <w:panose1 w:val="00000000000000000000"/>
    <w:charset w:val="00"/>
    <w:family w:val="roman"/>
    <w:notTrueType/>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noPunctuationKerning/>
  <w:characterSpacingControl w:val="doNotCompress"/>
  <w:compat>
    <w:compatSetting w:name="compatibilityMode" w:uri="http://schemas.microsoft.com/office/word" w:val="12"/>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00356A"/>
    <w:rPr>
      <w:color w:val="808080"/>
    </w:rPr>
  </w:style>
  <w:style w:type="paragraph" w:customStyle="1" w:styleId="397C2A155DEF439891EF1715479D6669">
    <w:name w:val="397C2A155DEF439891EF1715479D6669"/>
    <w:rsid w:val="0000356A"/>
    <w:pPr>
      <w:spacing w:after="200" w:line="276" w:lineRule="auto"/>
    </w:pPr>
    <w:rPr>
      <w:rFonts w:asciiTheme="minorHAnsi" w:eastAsiaTheme="minorEastAsia" w:hAnsiTheme="minorHAnsi" w:cstheme="minorBidi"/>
      <w:sz w:val="22"/>
      <w:szCs w:val="22"/>
    </w:rPr>
  </w:style>
  <w:style w:type="paragraph" w:customStyle="1" w:styleId="CFD9503D44BA4852B7A1727F41E9ADA8">
    <w:name w:val="CFD9503D44BA4852B7A1727F41E9ADA8"/>
    <w:rsid w:val="0000356A"/>
    <w:pPr>
      <w:spacing w:after="200" w:line="276" w:lineRule="auto"/>
    </w:pPr>
    <w:rPr>
      <w:rFonts w:asciiTheme="minorHAnsi" w:eastAsiaTheme="minorEastAsia" w:hAnsiTheme="minorHAnsi" w:cstheme="minorBidi"/>
      <w:sz w:val="22"/>
      <w:szCs w:val="22"/>
    </w:rPr>
  </w:style>
  <w:style w:type="paragraph" w:customStyle="1" w:styleId="1F871772C67A426FAFFCA875C74426A2">
    <w:name w:val="1F871772C67A426FAFFCA875C74426A2"/>
    <w:rsid w:val="0041053B"/>
    <w:pPr>
      <w:spacing w:after="200" w:line="276" w:lineRule="auto"/>
    </w:pPr>
    <w:rPr>
      <w:rFonts w:asciiTheme="minorHAnsi" w:eastAsiaTheme="minorEastAsia" w:hAnsiTheme="minorHAnsi" w:cstheme="minorBidi"/>
      <w:sz w:val="22"/>
      <w:szCs w:val="22"/>
    </w:rPr>
  </w:style>
  <w:style w:type="paragraph" w:customStyle="1" w:styleId="6415E50FD1D245FE8B872D34C6A958B8">
    <w:name w:val="6415E50FD1D245FE8B872D34C6A958B8"/>
    <w:rsid w:val="00AC4718"/>
    <w:pPr>
      <w:spacing w:after="200" w:line="276" w:lineRule="auto"/>
    </w:pPr>
    <w:rPr>
      <w:rFonts w:asciiTheme="minorHAnsi" w:eastAsiaTheme="minorEastAsia" w:hAnsiTheme="minorHAnsi" w:cstheme="minorBidi"/>
      <w:sz w:val="22"/>
      <w:szCs w:val="22"/>
    </w:rPr>
  </w:style>
  <w:style w:type="paragraph" w:customStyle="1" w:styleId="41939CE744E5448CBD8042D3B3809977">
    <w:name w:val="41939CE744E5448CBD8042D3B3809977"/>
    <w:rsid w:val="00DD0E1D"/>
    <w:pPr>
      <w:spacing w:after="200" w:line="276" w:lineRule="auto"/>
    </w:pPr>
    <w:rPr>
      <w:rFonts w:asciiTheme="minorHAnsi" w:eastAsiaTheme="minorEastAsia" w:hAnsiTheme="minorHAnsi" w:cstheme="minorBidi"/>
      <w:sz w:val="22"/>
      <w:szCs w:val="22"/>
    </w:rPr>
  </w:style>
  <w:style w:type="paragraph" w:customStyle="1" w:styleId="5D6C305170CF45B7AB3C218063E2CACF">
    <w:name w:val="5D6C305170CF45B7AB3C218063E2CACF"/>
    <w:rsid w:val="00DD0E1D"/>
    <w:pPr>
      <w:spacing w:after="200" w:line="276" w:lineRule="auto"/>
    </w:pPr>
    <w:rPr>
      <w:rFonts w:asciiTheme="minorHAnsi" w:eastAsiaTheme="minorEastAsia" w:hAnsiTheme="minorHAnsi" w:cstheme="minorBidi"/>
      <w:sz w:val="22"/>
      <w:szCs w:val="22"/>
    </w:rPr>
  </w:style>
  <w:style w:type="paragraph" w:customStyle="1" w:styleId="9ED86DB124994E6A9755100B8E7A38BE">
    <w:name w:val="9ED86DB124994E6A9755100B8E7A38BE"/>
    <w:rsid w:val="00DD0E1D"/>
    <w:pPr>
      <w:spacing w:after="200" w:line="276" w:lineRule="auto"/>
    </w:pPr>
    <w:rPr>
      <w:rFonts w:asciiTheme="minorHAnsi" w:eastAsiaTheme="minorEastAsia" w:hAnsiTheme="minorHAnsi" w:cstheme="minorBidi"/>
      <w:sz w:val="22"/>
      <w:szCs w:val="22"/>
    </w:rPr>
  </w:style>
  <w:style w:type="paragraph" w:customStyle="1" w:styleId="563A2FF3168F48439331E7B2196DECA4">
    <w:name w:val="563A2FF3168F48439331E7B2196DECA4"/>
    <w:rsid w:val="00DD0E1D"/>
    <w:pPr>
      <w:spacing w:after="200" w:line="276" w:lineRule="auto"/>
    </w:pPr>
    <w:rPr>
      <w:rFonts w:asciiTheme="minorHAnsi" w:eastAsiaTheme="minorEastAsia" w:hAnsiTheme="minorHAnsi" w:cstheme="minorBidi"/>
      <w:sz w:val="22"/>
      <w:szCs w:val="22"/>
    </w:rPr>
  </w:style>
  <w:style w:type="paragraph" w:customStyle="1" w:styleId="B98EF2B558D042DBB52476FF2EA46D9A">
    <w:name w:val="B98EF2B558D042DBB52476FF2EA46D9A"/>
    <w:rsid w:val="00DD0E1D"/>
    <w:pPr>
      <w:spacing w:after="200" w:line="276" w:lineRule="auto"/>
    </w:pPr>
    <w:rPr>
      <w:rFonts w:asciiTheme="minorHAnsi" w:eastAsiaTheme="minorEastAsia" w:hAnsiTheme="minorHAnsi" w:cstheme="minorBidi"/>
      <w:sz w:val="22"/>
      <w:szCs w:val="22"/>
    </w:rPr>
  </w:style>
  <w:style w:type="paragraph" w:customStyle="1" w:styleId="85F1286AEB854868BFF543EEBF16590E">
    <w:name w:val="85F1286AEB854868BFF543EEBF16590E"/>
    <w:rsid w:val="00DD0E1D"/>
    <w:pPr>
      <w:spacing w:after="200" w:line="276" w:lineRule="auto"/>
    </w:pPr>
    <w:rPr>
      <w:rFonts w:asciiTheme="minorHAnsi" w:eastAsiaTheme="minorEastAsia" w:hAnsiTheme="minorHAnsi" w:cstheme="minorBidi"/>
      <w:sz w:val="22"/>
      <w:szCs w:val="22"/>
    </w:rPr>
  </w:style>
  <w:style w:type="paragraph" w:customStyle="1" w:styleId="B7021E398D074B12B0FDDA09D3E422A1">
    <w:name w:val="B7021E398D074B12B0FDDA09D3E422A1"/>
    <w:rsid w:val="00DD0E1D"/>
    <w:pPr>
      <w:spacing w:after="200" w:line="276" w:lineRule="auto"/>
    </w:pPr>
    <w:rPr>
      <w:rFonts w:asciiTheme="minorHAnsi" w:eastAsiaTheme="minorEastAsia" w:hAnsiTheme="minorHAnsi" w:cstheme="minorBidi"/>
      <w:sz w:val="22"/>
      <w:szCs w:val="22"/>
    </w:rPr>
  </w:style>
  <w:style w:type="paragraph" w:customStyle="1" w:styleId="91B27ABA407642ECBA084BDDE1A1485E">
    <w:name w:val="91B27ABA407642ECBA084BDDE1A1485E"/>
    <w:rsid w:val="00144A97"/>
    <w:pPr>
      <w:spacing w:after="200" w:line="276" w:lineRule="auto"/>
    </w:pPr>
    <w:rPr>
      <w:rFonts w:asciiTheme="minorHAnsi" w:eastAsiaTheme="minorEastAsia" w:hAnsiTheme="minorHAnsi" w:cstheme="minorBidi"/>
      <w:sz w:val="22"/>
      <w:szCs w:val="22"/>
    </w:rPr>
  </w:style>
  <w:style w:type="paragraph" w:customStyle="1" w:styleId="45F21A25C6CD4FB88549149B53090A92">
    <w:name w:val="45F21A25C6CD4FB88549149B53090A92"/>
    <w:rsid w:val="00EF3259"/>
    <w:pPr>
      <w:spacing w:after="200" w:line="276" w:lineRule="auto"/>
    </w:pPr>
    <w:rPr>
      <w:rFonts w:asciiTheme="minorHAnsi" w:eastAsiaTheme="minorEastAsia" w:hAnsiTheme="minorHAnsi" w:cstheme="minorBidi"/>
      <w:sz w:val="22"/>
      <w:szCs w:val="22"/>
    </w:rPr>
  </w:style>
  <w:style w:type="paragraph" w:customStyle="1" w:styleId="27A380D7BF2A4BE585D0E20BC12A266A">
    <w:name w:val="27A380D7BF2A4BE585D0E20BC12A266A"/>
    <w:rsid w:val="00EF3259"/>
    <w:pPr>
      <w:spacing w:after="200" w:line="276" w:lineRule="auto"/>
    </w:pPr>
    <w:rPr>
      <w:rFonts w:asciiTheme="minorHAnsi" w:eastAsiaTheme="minorEastAsia" w:hAnsiTheme="minorHAnsi" w:cstheme="minorBidi"/>
      <w:sz w:val="22"/>
      <w:szCs w:val="22"/>
    </w:rPr>
  </w:style>
  <w:style w:type="paragraph" w:customStyle="1" w:styleId="35C6F6C18E924146AA292B533D810B86">
    <w:name w:val="35C6F6C18E924146AA292B533D810B86"/>
    <w:rsid w:val="00EF3259"/>
    <w:pPr>
      <w:spacing w:after="200" w:line="276" w:lineRule="auto"/>
    </w:pPr>
    <w:rPr>
      <w:rFonts w:asciiTheme="minorHAnsi" w:eastAsiaTheme="minorEastAsia" w:hAnsiTheme="minorHAnsi" w:cstheme="minorBidi"/>
      <w:sz w:val="22"/>
      <w:szCs w:val="22"/>
    </w:rPr>
  </w:style>
  <w:style w:type="paragraph" w:customStyle="1" w:styleId="C3FCC0151DBB4B31AA8B87DBC6A1D9F1">
    <w:name w:val="C3FCC0151DBB4B31AA8B87DBC6A1D9F1"/>
    <w:rsid w:val="00EF3259"/>
    <w:pPr>
      <w:spacing w:after="200" w:line="276" w:lineRule="auto"/>
    </w:pPr>
    <w:rPr>
      <w:rFonts w:asciiTheme="minorHAnsi" w:eastAsiaTheme="minorEastAsia" w:hAnsiTheme="minorHAnsi" w:cstheme="minorBidi"/>
      <w:sz w:val="22"/>
      <w:szCs w:val="22"/>
    </w:rPr>
  </w:style>
  <w:style w:type="paragraph" w:customStyle="1" w:styleId="62A636269325444C9EB28FF78A0B11C5">
    <w:name w:val="62A636269325444C9EB28FF78A0B11C5"/>
    <w:rsid w:val="00EF3259"/>
    <w:pPr>
      <w:spacing w:after="200" w:line="276" w:lineRule="auto"/>
    </w:pPr>
    <w:rPr>
      <w:rFonts w:asciiTheme="minorHAnsi" w:eastAsiaTheme="minorEastAsia" w:hAnsiTheme="minorHAnsi" w:cstheme="minorBidi"/>
      <w:sz w:val="22"/>
      <w:szCs w:val="22"/>
    </w:rPr>
  </w:style>
  <w:style w:type="paragraph" w:customStyle="1" w:styleId="E2B7BA1F22F24BD89AC986C2FC4F55EE">
    <w:name w:val="E2B7BA1F22F24BD89AC986C2FC4F55EE"/>
    <w:rsid w:val="000E0A1B"/>
    <w:pPr>
      <w:spacing w:after="200" w:line="276" w:lineRule="auto"/>
    </w:pPr>
    <w:rPr>
      <w:rFonts w:asciiTheme="minorHAnsi" w:eastAsiaTheme="minorEastAsia" w:hAnsiTheme="minorHAnsi" w:cstheme="minorBidi"/>
      <w:sz w:val="22"/>
      <w:szCs w:val="22"/>
    </w:rPr>
  </w:style>
  <w:style w:type="paragraph" w:customStyle="1" w:styleId="C4D21F80E458463B9509DBA4437F7C3E">
    <w:name w:val="C4D21F80E458463B9509DBA4437F7C3E"/>
    <w:rsid w:val="000E0A1B"/>
    <w:pPr>
      <w:spacing w:after="200" w:line="276" w:lineRule="auto"/>
    </w:pPr>
    <w:rPr>
      <w:rFonts w:asciiTheme="minorHAnsi" w:eastAsiaTheme="minorEastAsia" w:hAnsiTheme="minorHAnsi" w:cstheme="minorBidi"/>
      <w:sz w:val="22"/>
      <w:szCs w:val="22"/>
    </w:rPr>
  </w:style>
  <w:style w:type="paragraph" w:customStyle="1" w:styleId="CB2C0D7F68B14DDB9F83BE88FED9751A">
    <w:name w:val="CB2C0D7F68B14DDB9F83BE88FED9751A"/>
    <w:rsid w:val="000E0A1B"/>
    <w:pPr>
      <w:spacing w:after="200" w:line="276" w:lineRule="auto"/>
    </w:pPr>
    <w:rPr>
      <w:rFonts w:asciiTheme="minorHAnsi" w:eastAsiaTheme="minorEastAsia" w:hAnsiTheme="minorHAnsi" w:cstheme="minorBidi"/>
      <w:sz w:val="22"/>
      <w:szCs w:val="22"/>
    </w:rPr>
  </w:style>
  <w:style w:type="paragraph" w:customStyle="1" w:styleId="2E6C02AF0F1143A1B351B6C013D374D1">
    <w:name w:val="2E6C02AF0F1143A1B351B6C013D374D1"/>
    <w:rsid w:val="000E0A1B"/>
    <w:pPr>
      <w:spacing w:after="200" w:line="276" w:lineRule="auto"/>
    </w:pPr>
    <w:rPr>
      <w:rFonts w:asciiTheme="minorHAnsi" w:eastAsiaTheme="minorEastAsia" w:hAnsiTheme="minorHAnsi" w:cstheme="minorBidi"/>
      <w:sz w:val="22"/>
      <w:szCs w:val="22"/>
    </w:rPr>
  </w:style>
  <w:style w:type="paragraph" w:customStyle="1" w:styleId="D0E833DD5C544310BAB552BA7C7471DE">
    <w:name w:val="D0E833DD5C544310BAB552BA7C7471DE"/>
    <w:rsid w:val="000E0A1B"/>
    <w:pPr>
      <w:spacing w:after="200" w:line="276" w:lineRule="auto"/>
    </w:pPr>
    <w:rPr>
      <w:rFonts w:asciiTheme="minorHAnsi" w:eastAsiaTheme="minorEastAsia" w:hAnsiTheme="minorHAnsi" w:cstheme="minorBidi"/>
      <w:sz w:val="22"/>
      <w:szCs w:val="22"/>
    </w:rPr>
  </w:style>
  <w:style w:type="paragraph" w:customStyle="1" w:styleId="064BD9612A664504B3AC4D242263BAEF">
    <w:name w:val="064BD9612A664504B3AC4D242263BAEF"/>
    <w:rsid w:val="000E0A1B"/>
    <w:pPr>
      <w:spacing w:after="200" w:line="276" w:lineRule="auto"/>
    </w:pPr>
    <w:rPr>
      <w:rFonts w:asciiTheme="minorHAnsi" w:eastAsiaTheme="minorEastAsia" w:hAnsiTheme="minorHAnsi" w:cstheme="minorBidi"/>
      <w:sz w:val="22"/>
      <w:szCs w:val="22"/>
    </w:rPr>
  </w:style>
  <w:style w:type="paragraph" w:customStyle="1" w:styleId="A7D3DEA72FFD4AF3B6BE42658EF01EE0">
    <w:name w:val="A7D3DEA72FFD4AF3B6BE42658EF01EE0"/>
    <w:rsid w:val="00EF4115"/>
    <w:pPr>
      <w:spacing w:after="200" w:line="276" w:lineRule="auto"/>
    </w:pPr>
    <w:rPr>
      <w:rFonts w:asciiTheme="minorHAnsi" w:eastAsiaTheme="minorEastAsia" w:hAnsiTheme="minorHAnsi" w:cstheme="minorBidi"/>
      <w:sz w:val="22"/>
      <w:szCs w:val="22"/>
    </w:rPr>
  </w:style>
  <w:style w:type="paragraph" w:customStyle="1" w:styleId="9E4459BD3E7B4A82ADDBF3734011FD7B">
    <w:name w:val="9E4459BD3E7B4A82ADDBF3734011FD7B"/>
    <w:rsid w:val="00493214"/>
    <w:pPr>
      <w:spacing w:after="200" w:line="276" w:lineRule="auto"/>
    </w:pPr>
    <w:rPr>
      <w:rFonts w:asciiTheme="minorHAnsi" w:eastAsiaTheme="minorEastAsia" w:hAnsiTheme="minorHAnsi" w:cstheme="minorBidi"/>
      <w:sz w:val="22"/>
      <w:szCs w:val="22"/>
    </w:rPr>
  </w:style>
  <w:style w:type="paragraph" w:customStyle="1" w:styleId="5F043A7946DF436A90CD97B6FDBC4E84">
    <w:name w:val="5F043A7946DF436A90CD97B6FDBC4E84"/>
    <w:rsid w:val="00493214"/>
    <w:pPr>
      <w:spacing w:after="200" w:line="276" w:lineRule="auto"/>
    </w:pPr>
    <w:rPr>
      <w:rFonts w:asciiTheme="minorHAnsi" w:eastAsiaTheme="minorEastAsia" w:hAnsiTheme="minorHAnsi" w:cstheme="minorBidi"/>
      <w:sz w:val="22"/>
      <w:szCs w:val="22"/>
    </w:rPr>
  </w:style>
  <w:style w:type="paragraph" w:customStyle="1" w:styleId="32483EB64B144FDF8A68B8D08C14F495">
    <w:name w:val="32483EB64B144FDF8A68B8D08C14F495"/>
    <w:rsid w:val="00493214"/>
    <w:pPr>
      <w:spacing w:after="200" w:line="276" w:lineRule="auto"/>
    </w:pPr>
    <w:rPr>
      <w:rFonts w:asciiTheme="minorHAnsi" w:eastAsiaTheme="minorEastAsia" w:hAnsiTheme="minorHAnsi" w:cstheme="minorBidi"/>
      <w:sz w:val="22"/>
      <w:szCs w:val="22"/>
    </w:rPr>
  </w:style>
  <w:style w:type="paragraph" w:customStyle="1" w:styleId="49520ED256C748499987BD1D3F269BCE">
    <w:name w:val="49520ED256C748499987BD1D3F269BCE"/>
    <w:rsid w:val="00493214"/>
    <w:pPr>
      <w:spacing w:after="200" w:line="276" w:lineRule="auto"/>
    </w:pPr>
    <w:rPr>
      <w:rFonts w:asciiTheme="minorHAnsi" w:eastAsiaTheme="minorEastAsia" w:hAnsiTheme="minorHAnsi" w:cstheme="minorBidi"/>
      <w:sz w:val="22"/>
      <w:szCs w:val="22"/>
    </w:rPr>
  </w:style>
  <w:style w:type="paragraph" w:customStyle="1" w:styleId="9DA113116B01490FB6871F29F031773E">
    <w:name w:val="9DA113116B01490FB6871F29F031773E"/>
    <w:rsid w:val="00493214"/>
    <w:pPr>
      <w:spacing w:after="200" w:line="276" w:lineRule="auto"/>
    </w:pPr>
    <w:rPr>
      <w:rFonts w:asciiTheme="minorHAnsi" w:eastAsiaTheme="minorEastAsia" w:hAnsiTheme="minorHAnsi" w:cstheme="minorBidi"/>
      <w:sz w:val="22"/>
      <w:szCs w:val="22"/>
    </w:rPr>
  </w:style>
  <w:style w:type="paragraph" w:customStyle="1" w:styleId="6457183302EE4EBFA8A0E328899547F9">
    <w:name w:val="6457183302EE4EBFA8A0E328899547F9"/>
    <w:rsid w:val="00493214"/>
    <w:pPr>
      <w:spacing w:after="200" w:line="276" w:lineRule="auto"/>
    </w:pPr>
    <w:rPr>
      <w:rFonts w:asciiTheme="minorHAnsi" w:eastAsiaTheme="minorEastAsia" w:hAnsiTheme="minorHAnsi" w:cstheme="minorBidi"/>
      <w:sz w:val="22"/>
      <w:szCs w:val="22"/>
    </w:rPr>
  </w:style>
  <w:style w:type="paragraph" w:customStyle="1" w:styleId="A5730D46419640738D002B245193E7D3">
    <w:name w:val="A5730D46419640738D002B245193E7D3"/>
    <w:rsid w:val="00493214"/>
    <w:pPr>
      <w:spacing w:after="200" w:line="276" w:lineRule="auto"/>
    </w:pPr>
    <w:rPr>
      <w:rFonts w:asciiTheme="minorHAnsi" w:eastAsiaTheme="minorEastAsia" w:hAnsiTheme="minorHAnsi" w:cstheme="minorBidi"/>
      <w:sz w:val="22"/>
      <w:szCs w:val="22"/>
    </w:rPr>
  </w:style>
  <w:style w:type="paragraph" w:customStyle="1" w:styleId="384C6CDB41394A8CA8BA52788B11061B">
    <w:name w:val="384C6CDB41394A8CA8BA52788B11061B"/>
    <w:rsid w:val="00493214"/>
    <w:pPr>
      <w:spacing w:after="200" w:line="276" w:lineRule="auto"/>
    </w:pPr>
    <w:rPr>
      <w:rFonts w:asciiTheme="minorHAnsi" w:eastAsiaTheme="minorEastAsia" w:hAnsiTheme="minorHAnsi" w:cstheme="minorBidi"/>
      <w:sz w:val="22"/>
      <w:szCs w:val="22"/>
    </w:rPr>
  </w:style>
  <w:style w:type="paragraph" w:customStyle="1" w:styleId="0B1185D72B2449DA854708EADC16E871">
    <w:name w:val="0B1185D72B2449DA854708EADC16E871"/>
    <w:rsid w:val="00493214"/>
    <w:pPr>
      <w:spacing w:after="200" w:line="276" w:lineRule="auto"/>
    </w:pPr>
    <w:rPr>
      <w:rFonts w:asciiTheme="minorHAnsi" w:eastAsiaTheme="minorEastAsia" w:hAnsiTheme="minorHAnsi" w:cstheme="minorBidi"/>
      <w:sz w:val="22"/>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racleSVData>
  <generic>
    <item key="SV_QUERY_LIST_4F35BF76-6C0D-4D9B-82B2-816C12CF3733">
      <compressed size="84">eJwdijEKgDAQBOdDgSiSw/I0vsMqpWBh4+8dZIubud3Bxc3Dy8lCmM5EpZEUdqnLxa7JISUHm9/inV2s/6JqqYf+Ae3nCpA=</compressed>
    </item>
    <item key="SV_HIDDEN_GRID_QUERY_LIST_4F35BF76-6C0D-4D9B-82B2-816C12CF3733">
      <compressed size="84">eJwdijEKgDAQBOdDgSiSw/I0vsMqpWBh4+8dZIubud3Bxc3Dy8lCmM5EpZEUdqnLxa7JISUHm9/inV2s/6JqqYf+Ae3nCpA=</compressed>
    </item>
    <item key="SV_COMMENTS_LIST_A3F0ABAB-D387-4CB1-A59F-9459101C3EB1">
      <compressed size="84">eJwdijEKgDAQBOdDgSiSw/I0vsMqpWBh4+8dZIubud3Bxc3Dy8lCmM5EpZEUdqnLxa7JISUHm9/inV2s/6JqqYf+Ae3nCpA=</compressed>
    </item>
  </generic>
</OracleSVData>
</file>

<file path=customXml/itemProps1.xml><?xml version="1.0" encoding="utf-8"?>
<ds:datastoreItem xmlns:ds="http://schemas.openxmlformats.org/officeDocument/2006/customXml" ds:itemID="{CB0189C3-F62F-496E-8863-2FF37004212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20086</Words>
  <Characters>114493</Characters>
  <Application>Microsoft Office Word</Application>
  <DocSecurity>4</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134311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patelkh</dc:creator>
  <cp:lastModifiedBy>patteja</cp:lastModifiedBy>
  <cp:revision>2</cp:revision>
  <dcterms:created xsi:type="dcterms:W3CDTF">2020-02-14T05:33:00Z</dcterms:created>
  <dcterms:modified xsi:type="dcterms:W3CDTF">2020-02-14T05:33:00Z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-1735116579</vt:i4>
  </property>
  <property fmtid="{D5CDD505-2E9C-101B-9397-08002B2CF9AE}" pid="3" name="_NewReviewCycle">
    <vt:lpwstr/>
  </property>
  <property fmtid="{D5CDD505-2E9C-101B-9397-08002B2CF9AE}" pid="4" name="_EmailSubject">
    <vt:lpwstr>ARA RNS'</vt:lpwstr>
  </property>
  <property fmtid="{D5CDD505-2E9C-101B-9397-08002B2CF9AE}" pid="5" name="_AuthorEmail">
    <vt:lpwstr>Khadieja.Patel@rbs.co.uk</vt:lpwstr>
  </property>
  <property fmtid="{D5CDD505-2E9C-101B-9397-08002B2CF9AE}" pid="6" name="_AuthorEmailDisplayName">
    <vt:lpwstr>Patel, Khadieja (Financial Control and Reporting)</vt:lpwstr>
  </property>
  <property fmtid="{D5CDD505-2E9C-101B-9397-08002B2CF9AE}" pid="7" name="_ReviewingToolsShownOnce">
    <vt:lpwstr/>
  </property>
</Properties>
</file>