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9BE7" w14:textId="77777777" w:rsidR="00620BD6" w:rsidRPr="003E6CD8" w:rsidRDefault="00620BD6" w:rsidP="00620BD6">
      <w:pPr>
        <w:rPr>
          <w:rFonts w:ascii="Arial" w:hAnsi="Arial" w:cs="Arial"/>
        </w:rPr>
      </w:pPr>
      <w:bookmarkStart w:id="0" w:name="_GoBack"/>
      <w:bookmarkEnd w:id="0"/>
      <w:r w:rsidRPr="003E6CD8">
        <w:rPr>
          <w:rFonts w:ascii="Arial" w:hAnsi="Arial" w:cs="Arial"/>
        </w:rPr>
        <w:t>NatWest Group plc</w:t>
      </w:r>
    </w:p>
    <w:p w14:paraId="6CDCC8C7" w14:textId="77777777" w:rsidR="00620BD6" w:rsidRPr="003E6CD8" w:rsidRDefault="00620BD6" w:rsidP="00620BD6">
      <w:pPr>
        <w:rPr>
          <w:rFonts w:ascii="Arial" w:hAnsi="Arial" w:cs="Arial"/>
        </w:rPr>
      </w:pPr>
      <w:r w:rsidRPr="003E6CD8">
        <w:rPr>
          <w:rFonts w:ascii="Arial" w:hAnsi="Arial" w:cs="Arial"/>
        </w:rPr>
        <w:t>23 September 2020</w:t>
      </w:r>
    </w:p>
    <w:p w14:paraId="6D0F6EA7" w14:textId="77777777" w:rsidR="00620BD6" w:rsidRPr="003E6CD8" w:rsidRDefault="00620BD6" w:rsidP="00620BD6">
      <w:pPr>
        <w:rPr>
          <w:rFonts w:ascii="Arial" w:hAnsi="Arial" w:cs="Arial"/>
        </w:rPr>
      </w:pPr>
      <w:r w:rsidRPr="003E6CD8">
        <w:rPr>
          <w:rFonts w:ascii="Arial" w:hAnsi="Arial" w:cs="Arial"/>
        </w:rPr>
        <w:t xml:space="preserve">NATWEST GROUP PLC </w:t>
      </w:r>
      <w:r w:rsidR="003E6CD8">
        <w:rPr>
          <w:rFonts w:ascii="Arial" w:hAnsi="Arial" w:cs="Arial"/>
        </w:rPr>
        <w:t>–</w:t>
      </w:r>
      <w:r w:rsidRPr="003E6CD8">
        <w:rPr>
          <w:rFonts w:ascii="Arial" w:hAnsi="Arial" w:cs="Arial"/>
        </w:rPr>
        <w:t xml:space="preserve"> </w:t>
      </w:r>
      <w:r w:rsidR="003E6CD8">
        <w:rPr>
          <w:rFonts w:ascii="Arial" w:hAnsi="Arial" w:cs="Arial"/>
        </w:rPr>
        <w:t xml:space="preserve">ESTIMATED IMPACT </w:t>
      </w:r>
      <w:r w:rsidRPr="003E6CD8">
        <w:rPr>
          <w:rFonts w:ascii="Arial" w:hAnsi="Arial" w:cs="Arial"/>
        </w:rPr>
        <w:t>OF TENDER OFFERS FOR CERTAIN OF ITS</w:t>
      </w:r>
      <w:r w:rsidR="003E6CD8">
        <w:rPr>
          <w:rFonts w:ascii="Arial" w:hAnsi="Arial" w:cs="Arial"/>
        </w:rPr>
        <w:t xml:space="preserve"> OUTSTANDING NOTES</w:t>
      </w:r>
    </w:p>
    <w:p w14:paraId="04150052" w14:textId="77777777" w:rsidR="00620BD6" w:rsidRDefault="00620BD6" w:rsidP="00620BD6">
      <w:pPr>
        <w:rPr>
          <w:rFonts w:ascii="Arial" w:hAnsi="Arial" w:cs="Arial"/>
        </w:rPr>
      </w:pPr>
      <w:r w:rsidRPr="000836CD">
        <w:rPr>
          <w:rFonts w:ascii="Arial" w:hAnsi="Arial" w:cs="Arial"/>
        </w:rPr>
        <w:t xml:space="preserve">Further to the announcement </w:t>
      </w:r>
      <w:r w:rsidR="000D0B91" w:rsidRPr="000836CD">
        <w:rPr>
          <w:rFonts w:ascii="Arial" w:hAnsi="Arial" w:cs="Arial"/>
        </w:rPr>
        <w:t>dated</w:t>
      </w:r>
      <w:r w:rsidRPr="000836CD">
        <w:rPr>
          <w:rFonts w:ascii="Arial" w:hAnsi="Arial" w:cs="Arial"/>
        </w:rPr>
        <w:t xml:space="preserve"> 22 September 2020 “Results of tender offers for certain of its outstanding notes”</w:t>
      </w:r>
      <w:r w:rsidR="00F96305" w:rsidRPr="000836CD">
        <w:rPr>
          <w:rFonts w:ascii="Arial" w:hAnsi="Arial" w:cs="Arial"/>
        </w:rPr>
        <w:t xml:space="preserve">, </w:t>
      </w:r>
      <w:r w:rsidR="00FF676B" w:rsidRPr="000836CD">
        <w:rPr>
          <w:rFonts w:ascii="Arial" w:hAnsi="Arial" w:cs="Arial"/>
        </w:rPr>
        <w:t xml:space="preserve">NatWest Group </w:t>
      </w:r>
      <w:r w:rsidR="003D4F2F" w:rsidRPr="000836CD">
        <w:rPr>
          <w:rFonts w:ascii="Arial" w:hAnsi="Arial" w:cs="Arial"/>
        </w:rPr>
        <w:t>plc</w:t>
      </w:r>
      <w:r w:rsidR="00FF676B" w:rsidRPr="000836CD">
        <w:rPr>
          <w:rFonts w:ascii="Arial" w:hAnsi="Arial" w:cs="Arial"/>
        </w:rPr>
        <w:t xml:space="preserve"> </w:t>
      </w:r>
      <w:r w:rsidR="00F96305" w:rsidRPr="000836CD">
        <w:rPr>
          <w:rFonts w:ascii="Arial" w:hAnsi="Arial" w:cs="Arial"/>
        </w:rPr>
        <w:t xml:space="preserve">confirms that it has </w:t>
      </w:r>
      <w:r w:rsidR="00FF676B" w:rsidRPr="000836CD">
        <w:rPr>
          <w:rFonts w:ascii="Arial" w:hAnsi="Arial" w:cs="Arial"/>
        </w:rPr>
        <w:t>accepted</w:t>
      </w:r>
      <w:r w:rsidRPr="000836CD">
        <w:rPr>
          <w:rFonts w:ascii="Arial" w:hAnsi="Arial" w:cs="Arial"/>
        </w:rPr>
        <w:t xml:space="preserve"> </w:t>
      </w:r>
      <w:r w:rsidR="00FF676B" w:rsidRPr="000836CD">
        <w:rPr>
          <w:rFonts w:ascii="Arial" w:hAnsi="Arial" w:cs="Arial"/>
        </w:rPr>
        <w:t>$1,977,326</w:t>
      </w:r>
      <w:r w:rsidRPr="000836CD">
        <w:rPr>
          <w:rFonts w:ascii="Arial" w:hAnsi="Arial" w:cs="Arial"/>
        </w:rPr>
        <w:t xml:space="preserve">,000 in aggregate principal amount of the </w:t>
      </w:r>
      <w:r w:rsidR="00FF676B" w:rsidRPr="000836CD">
        <w:rPr>
          <w:rFonts w:ascii="Arial" w:hAnsi="Arial" w:cs="Arial"/>
        </w:rPr>
        <w:t>securities that</w:t>
      </w:r>
      <w:r w:rsidRPr="000836CD">
        <w:rPr>
          <w:rFonts w:ascii="Arial" w:hAnsi="Arial" w:cs="Arial"/>
        </w:rPr>
        <w:t xml:space="preserve"> were validly tendered</w:t>
      </w:r>
      <w:r w:rsidR="00FF676B" w:rsidRPr="000836CD">
        <w:rPr>
          <w:rFonts w:ascii="Arial" w:hAnsi="Arial" w:cs="Arial"/>
        </w:rPr>
        <w:t>.</w:t>
      </w:r>
      <w:r w:rsidR="00711B2E">
        <w:rPr>
          <w:rFonts w:ascii="Arial" w:hAnsi="Arial" w:cs="Arial"/>
        </w:rPr>
        <w:t xml:space="preserve">  T</w:t>
      </w:r>
      <w:r w:rsidR="00711B2E" w:rsidRPr="00F478B4">
        <w:rPr>
          <w:rFonts w:ascii="Arial" w:hAnsi="Arial" w:cs="Arial"/>
        </w:rPr>
        <w:t>his includes an amount due under Guaranteed Delivery of $9,418,000, which</w:t>
      </w:r>
      <w:r w:rsidR="00711B2E" w:rsidRPr="00711B2E">
        <w:rPr>
          <w:rFonts w:ascii="Arial" w:hAnsi="Arial" w:cs="Arial"/>
        </w:rPr>
        <w:t xml:space="preserve"> is due to be confirmed at 10pm</w:t>
      </w:r>
      <w:r w:rsidR="00711B2E">
        <w:rPr>
          <w:rFonts w:ascii="Arial" w:hAnsi="Arial" w:cs="Arial"/>
        </w:rPr>
        <w:t>, London time,</w:t>
      </w:r>
      <w:r w:rsidR="00202219" w:rsidRPr="00202219">
        <w:rPr>
          <w:rFonts w:ascii="Arial" w:hAnsi="Arial" w:cs="Arial"/>
        </w:rPr>
        <w:t xml:space="preserve"> 23</w:t>
      </w:r>
      <w:r w:rsidR="00711B2E" w:rsidRPr="00F478B4">
        <w:rPr>
          <w:rFonts w:ascii="Arial" w:hAnsi="Arial" w:cs="Arial"/>
        </w:rPr>
        <w:t xml:space="preserve"> September 2020</w:t>
      </w:r>
      <w:r w:rsidR="00711B2E">
        <w:rPr>
          <w:rFonts w:ascii="Arial" w:hAnsi="Arial" w:cs="Arial"/>
        </w:rPr>
        <w:t>.</w:t>
      </w:r>
      <w:r w:rsidR="00FF676B" w:rsidRPr="000836CD">
        <w:rPr>
          <w:rFonts w:ascii="Arial" w:hAnsi="Arial" w:cs="Arial"/>
        </w:rPr>
        <w:t xml:space="preserve">  The principal amount o</w:t>
      </w:r>
      <w:r w:rsidR="003E6CD8" w:rsidRPr="000836CD">
        <w:rPr>
          <w:rFonts w:ascii="Arial" w:hAnsi="Arial" w:cs="Arial"/>
        </w:rPr>
        <w:t xml:space="preserve">utstanding </w:t>
      </w:r>
      <w:r w:rsidR="00FF676B" w:rsidRPr="000836CD">
        <w:rPr>
          <w:rFonts w:ascii="Arial" w:hAnsi="Arial" w:cs="Arial"/>
        </w:rPr>
        <w:t>prior to the tender offer was $</w:t>
      </w:r>
      <w:r w:rsidR="003E6CD8" w:rsidRPr="000836CD">
        <w:rPr>
          <w:rFonts w:ascii="Arial" w:hAnsi="Arial" w:cs="Arial"/>
        </w:rPr>
        <w:t>4,405,319,000.</w:t>
      </w:r>
    </w:p>
    <w:p w14:paraId="34BA02CF" w14:textId="77777777" w:rsidR="00F478B4" w:rsidRDefault="00711B2E" w:rsidP="00620BD6">
      <w:pPr>
        <w:rPr>
          <w:rFonts w:ascii="Arial" w:hAnsi="Arial" w:cs="Arial"/>
          <w:iCs/>
        </w:rPr>
      </w:pPr>
      <w:r w:rsidRPr="00F478B4">
        <w:rPr>
          <w:rFonts w:ascii="Arial" w:hAnsi="Arial" w:cs="Arial"/>
          <w:iCs/>
        </w:rPr>
        <w:t xml:space="preserve">NatWest Group plc undertook the offers in order to provide the holders of the outstanding notes with an opportunity to have their notes repurchased while maintaining a prudent approach to the management of NatWest Group </w:t>
      </w:r>
      <w:r w:rsidRPr="00363C7F">
        <w:rPr>
          <w:rFonts w:ascii="Arial" w:hAnsi="Arial" w:cs="Arial"/>
          <w:iCs/>
        </w:rPr>
        <w:t>plc</w:t>
      </w:r>
      <w:r w:rsidRPr="00F478B4">
        <w:rPr>
          <w:rFonts w:ascii="Arial" w:hAnsi="Arial" w:cs="Arial"/>
          <w:iCs/>
        </w:rPr>
        <w:t>'s capital position.</w:t>
      </w:r>
    </w:p>
    <w:p w14:paraId="5F0AA1CE" w14:textId="77777777" w:rsidR="00620BD6" w:rsidRPr="000836CD" w:rsidRDefault="00620BD6" w:rsidP="00620BD6">
      <w:pPr>
        <w:rPr>
          <w:rFonts w:ascii="Arial" w:hAnsi="Arial" w:cs="Arial"/>
        </w:rPr>
      </w:pPr>
      <w:r w:rsidRPr="000836CD">
        <w:rPr>
          <w:rFonts w:ascii="Arial" w:hAnsi="Arial" w:cs="Arial"/>
        </w:rPr>
        <w:t>NatWest Group</w:t>
      </w:r>
      <w:r w:rsidR="00F96305" w:rsidRPr="000836CD">
        <w:rPr>
          <w:rFonts w:ascii="Arial" w:hAnsi="Arial" w:cs="Arial"/>
        </w:rPr>
        <w:t xml:space="preserve"> plc</w:t>
      </w:r>
      <w:r w:rsidRPr="000836CD">
        <w:rPr>
          <w:rFonts w:ascii="Arial" w:hAnsi="Arial" w:cs="Arial"/>
        </w:rPr>
        <w:t xml:space="preserve"> estimate</w:t>
      </w:r>
      <w:r w:rsidR="00715241" w:rsidRPr="000836CD">
        <w:rPr>
          <w:rFonts w:ascii="Arial" w:hAnsi="Arial" w:cs="Arial"/>
        </w:rPr>
        <w:t>s</w:t>
      </w:r>
      <w:r w:rsidRPr="000836CD">
        <w:rPr>
          <w:rFonts w:ascii="Arial" w:hAnsi="Arial" w:cs="Arial"/>
        </w:rPr>
        <w:t xml:space="preserve"> the impact of this transaction will be a charge to income in </w:t>
      </w:r>
      <w:r w:rsidR="000D0B91" w:rsidRPr="000836CD">
        <w:rPr>
          <w:rFonts w:ascii="Arial" w:hAnsi="Arial" w:cs="Arial"/>
        </w:rPr>
        <w:t xml:space="preserve">its </w:t>
      </w:r>
      <w:r w:rsidRPr="000836CD">
        <w:rPr>
          <w:rFonts w:ascii="Arial" w:hAnsi="Arial" w:cs="Arial"/>
        </w:rPr>
        <w:t>Q3 results of approximately £325</w:t>
      </w:r>
      <w:r w:rsidR="00715241" w:rsidRPr="000836CD">
        <w:rPr>
          <w:rFonts w:ascii="Arial" w:hAnsi="Arial" w:cs="Arial"/>
        </w:rPr>
        <w:t xml:space="preserve"> </w:t>
      </w:r>
      <w:r w:rsidRPr="000836CD">
        <w:rPr>
          <w:rFonts w:ascii="Arial" w:hAnsi="Arial" w:cs="Arial"/>
        </w:rPr>
        <w:t>m</w:t>
      </w:r>
      <w:r w:rsidR="00715241" w:rsidRPr="000836CD">
        <w:rPr>
          <w:rFonts w:ascii="Arial" w:hAnsi="Arial" w:cs="Arial"/>
        </w:rPr>
        <w:t>illion</w:t>
      </w:r>
      <w:r w:rsidRPr="000836CD">
        <w:rPr>
          <w:rFonts w:ascii="Arial" w:hAnsi="Arial" w:cs="Arial"/>
        </w:rPr>
        <w:t xml:space="preserve"> with the final charge dependent on foreign exchange rate</w:t>
      </w:r>
      <w:r w:rsidR="009B0D82">
        <w:rPr>
          <w:rFonts w:ascii="Arial" w:hAnsi="Arial" w:cs="Arial"/>
        </w:rPr>
        <w:t xml:space="preserve"> movements</w:t>
      </w:r>
      <w:r w:rsidRPr="000836CD">
        <w:rPr>
          <w:rFonts w:ascii="Arial" w:hAnsi="Arial" w:cs="Arial"/>
        </w:rPr>
        <w:t xml:space="preserve"> </w:t>
      </w:r>
      <w:r w:rsidR="000836CD">
        <w:rPr>
          <w:rFonts w:ascii="Arial" w:hAnsi="Arial" w:cs="Arial"/>
        </w:rPr>
        <w:t>until</w:t>
      </w:r>
      <w:r w:rsidRPr="000836CD">
        <w:rPr>
          <w:rFonts w:ascii="Arial" w:hAnsi="Arial" w:cs="Arial"/>
        </w:rPr>
        <w:t xml:space="preserve"> </w:t>
      </w:r>
      <w:r w:rsidR="000836CD">
        <w:rPr>
          <w:rFonts w:ascii="Arial" w:hAnsi="Arial" w:cs="Arial"/>
        </w:rPr>
        <w:t xml:space="preserve">the </w:t>
      </w:r>
      <w:r w:rsidRPr="000836CD">
        <w:rPr>
          <w:rFonts w:ascii="Arial" w:hAnsi="Arial" w:cs="Arial"/>
        </w:rPr>
        <w:t>settlement</w:t>
      </w:r>
      <w:r w:rsidR="000836CD">
        <w:rPr>
          <w:rFonts w:ascii="Arial" w:hAnsi="Arial" w:cs="Arial"/>
        </w:rPr>
        <w:t xml:space="preserve"> date</w:t>
      </w:r>
      <w:r w:rsidR="00197D11">
        <w:rPr>
          <w:rFonts w:ascii="Arial" w:hAnsi="Arial" w:cs="Arial"/>
        </w:rPr>
        <w:t xml:space="preserve"> of 24 September 2020</w:t>
      </w:r>
      <w:r w:rsidRPr="000836CD">
        <w:rPr>
          <w:rFonts w:ascii="Arial" w:hAnsi="Arial" w:cs="Arial"/>
        </w:rPr>
        <w:t>.</w:t>
      </w:r>
      <w:r w:rsidR="007C1700" w:rsidRPr="000836CD">
        <w:rPr>
          <w:rFonts w:ascii="Arial" w:hAnsi="Arial" w:cs="Arial"/>
        </w:rPr>
        <w:t xml:space="preserve">  After taking into account the estimated effects of taxation, and based</w:t>
      </w:r>
      <w:r w:rsidRPr="000836CD">
        <w:rPr>
          <w:rFonts w:ascii="Arial" w:hAnsi="Arial" w:cs="Arial"/>
        </w:rPr>
        <w:t xml:space="preserve"> on risk weighted assets of £181.5 billion as reported for 30 June</w:t>
      </w:r>
      <w:r w:rsidR="007C1700" w:rsidRPr="000836CD">
        <w:rPr>
          <w:rFonts w:ascii="Arial" w:hAnsi="Arial" w:cs="Arial"/>
        </w:rPr>
        <w:t xml:space="preserve"> 2020</w:t>
      </w:r>
      <w:r w:rsidRPr="000836CD">
        <w:rPr>
          <w:rFonts w:ascii="Arial" w:hAnsi="Arial" w:cs="Arial"/>
        </w:rPr>
        <w:t xml:space="preserve">, this would equate to a reduction in the CET1 capital ratio of </w:t>
      </w:r>
      <w:r w:rsidR="00B36AA5" w:rsidRPr="000836CD">
        <w:rPr>
          <w:rFonts w:ascii="Arial" w:hAnsi="Arial" w:cs="Arial"/>
        </w:rPr>
        <w:t>approximately</w:t>
      </w:r>
      <w:r w:rsidRPr="000836CD">
        <w:rPr>
          <w:rFonts w:ascii="Arial" w:hAnsi="Arial" w:cs="Arial"/>
        </w:rPr>
        <w:t xml:space="preserve"> 15 bps</w:t>
      </w:r>
      <w:r w:rsidR="00F96305" w:rsidRPr="000836CD">
        <w:rPr>
          <w:rFonts w:ascii="Arial" w:hAnsi="Arial" w:cs="Arial"/>
        </w:rPr>
        <w:t>.</w:t>
      </w:r>
    </w:p>
    <w:p w14:paraId="35EE372D" w14:textId="77777777" w:rsidR="00F96305" w:rsidRPr="003E6CD8" w:rsidRDefault="00F96305" w:rsidP="00620BD6">
      <w:pPr>
        <w:rPr>
          <w:rFonts w:ascii="Arial" w:hAnsi="Arial" w:cs="Arial"/>
        </w:rPr>
      </w:pPr>
    </w:p>
    <w:p w14:paraId="0EC77CF0" w14:textId="77777777" w:rsidR="00620BD6" w:rsidRPr="003E6CD8" w:rsidRDefault="00620BD6" w:rsidP="00620BD6">
      <w:pPr>
        <w:rPr>
          <w:rFonts w:ascii="Arial" w:hAnsi="Arial" w:cs="Arial"/>
        </w:rPr>
      </w:pPr>
      <w:r w:rsidRPr="003E6CD8">
        <w:rPr>
          <w:rFonts w:ascii="Arial" w:hAnsi="Arial" w:cs="Arial"/>
        </w:rPr>
        <w:t>FURTHER INFORMATION</w:t>
      </w:r>
    </w:p>
    <w:p w14:paraId="1610B086" w14:textId="77777777" w:rsidR="00620BD6" w:rsidRPr="003E6CD8" w:rsidRDefault="00620BD6" w:rsidP="00620BD6">
      <w:pPr>
        <w:autoSpaceDE w:val="0"/>
        <w:autoSpaceDN w:val="0"/>
        <w:adjustRightInd w:val="0"/>
        <w:spacing w:after="0" w:line="240" w:lineRule="auto"/>
        <w:rPr>
          <w:rFonts w:ascii="Arial" w:hAnsi="Arial" w:cs="Arial"/>
          <w:b/>
          <w:bCs/>
        </w:rPr>
      </w:pPr>
      <w:r w:rsidRPr="003E6CD8">
        <w:rPr>
          <w:rFonts w:ascii="Arial" w:hAnsi="Arial" w:cs="Arial"/>
          <w:b/>
          <w:bCs/>
        </w:rPr>
        <w:t>Investor Relations</w:t>
      </w:r>
    </w:p>
    <w:p w14:paraId="1950B409" w14:textId="77777777" w:rsidR="00620BD6" w:rsidRPr="003E6CD8" w:rsidRDefault="00620BD6" w:rsidP="00620BD6">
      <w:pPr>
        <w:autoSpaceDE w:val="0"/>
        <w:autoSpaceDN w:val="0"/>
        <w:adjustRightInd w:val="0"/>
        <w:spacing w:after="0" w:line="240" w:lineRule="auto"/>
        <w:rPr>
          <w:rFonts w:ascii="Arial" w:hAnsi="Arial" w:cs="Arial"/>
        </w:rPr>
      </w:pPr>
      <w:r w:rsidRPr="003E6CD8">
        <w:rPr>
          <w:rFonts w:ascii="Arial" w:hAnsi="Arial" w:cs="Arial"/>
        </w:rPr>
        <w:t>Alexander Holcroft</w:t>
      </w:r>
    </w:p>
    <w:p w14:paraId="48178F51" w14:textId="77777777" w:rsidR="00620BD6" w:rsidRPr="003E6CD8" w:rsidRDefault="00620BD6" w:rsidP="00620BD6">
      <w:pPr>
        <w:autoSpaceDE w:val="0"/>
        <w:autoSpaceDN w:val="0"/>
        <w:adjustRightInd w:val="0"/>
        <w:spacing w:after="0" w:line="240" w:lineRule="auto"/>
        <w:rPr>
          <w:rFonts w:ascii="Arial" w:hAnsi="Arial" w:cs="Arial"/>
        </w:rPr>
      </w:pPr>
      <w:r w:rsidRPr="003E6CD8">
        <w:rPr>
          <w:rFonts w:ascii="Arial" w:hAnsi="Arial" w:cs="Arial"/>
        </w:rPr>
        <w:t>Head of Investor Relations</w:t>
      </w:r>
    </w:p>
    <w:p w14:paraId="4AE1EC4B" w14:textId="77777777" w:rsidR="00620BD6" w:rsidRPr="003E6CD8" w:rsidRDefault="00620BD6" w:rsidP="00620BD6">
      <w:pPr>
        <w:rPr>
          <w:rFonts w:ascii="Arial" w:hAnsi="Arial" w:cs="Arial"/>
        </w:rPr>
      </w:pPr>
      <w:r w:rsidRPr="003E6CD8">
        <w:rPr>
          <w:rFonts w:ascii="Arial" w:hAnsi="Arial" w:cs="Arial"/>
        </w:rPr>
        <w:t>+44 (0) 20 7672 1758</w:t>
      </w:r>
    </w:p>
    <w:p w14:paraId="5832D93A" w14:textId="77777777" w:rsidR="003E6CD8" w:rsidRDefault="003E6CD8" w:rsidP="003E6CD8">
      <w:pPr>
        <w:autoSpaceDE w:val="0"/>
        <w:autoSpaceDN w:val="0"/>
        <w:adjustRightInd w:val="0"/>
        <w:spacing w:after="0" w:line="240" w:lineRule="auto"/>
        <w:rPr>
          <w:rFonts w:ascii="Arial" w:hAnsi="Arial" w:cs="Arial"/>
        </w:rPr>
      </w:pPr>
      <w:r>
        <w:rPr>
          <w:rFonts w:ascii="Arial" w:hAnsi="Arial" w:cs="Arial"/>
        </w:rPr>
        <w:t>Paul Pybus</w:t>
      </w:r>
    </w:p>
    <w:p w14:paraId="31C47A0F" w14:textId="77777777" w:rsidR="003E6CD8" w:rsidRDefault="00620BD6" w:rsidP="003E6CD8">
      <w:pPr>
        <w:autoSpaceDE w:val="0"/>
        <w:autoSpaceDN w:val="0"/>
        <w:adjustRightInd w:val="0"/>
        <w:spacing w:after="0" w:line="240" w:lineRule="auto"/>
        <w:rPr>
          <w:rFonts w:ascii="Arial" w:hAnsi="Arial" w:cs="Arial"/>
        </w:rPr>
      </w:pPr>
      <w:r w:rsidRPr="003E6CD8">
        <w:rPr>
          <w:rFonts w:ascii="Arial" w:hAnsi="Arial" w:cs="Arial"/>
        </w:rPr>
        <w:t xml:space="preserve">Head of Debt Investor Relations </w:t>
      </w:r>
    </w:p>
    <w:p w14:paraId="598B722E" w14:textId="77777777" w:rsidR="00E740EE" w:rsidRPr="003E6CD8" w:rsidRDefault="00620BD6" w:rsidP="003E6CD8">
      <w:pPr>
        <w:autoSpaceDE w:val="0"/>
        <w:autoSpaceDN w:val="0"/>
        <w:adjustRightInd w:val="0"/>
        <w:spacing w:after="0" w:line="240" w:lineRule="auto"/>
        <w:rPr>
          <w:rFonts w:ascii="Arial" w:hAnsi="Arial" w:cs="Arial"/>
        </w:rPr>
      </w:pPr>
      <w:r w:rsidRPr="003E6CD8">
        <w:rPr>
          <w:rFonts w:ascii="Arial" w:hAnsi="Arial" w:cs="Arial"/>
        </w:rPr>
        <w:t>+44 (0)776 916 1183</w:t>
      </w:r>
    </w:p>
    <w:p w14:paraId="55A83BA8" w14:textId="77777777" w:rsidR="00620BD6" w:rsidRPr="003E6CD8" w:rsidRDefault="00620BD6" w:rsidP="00620BD6">
      <w:pPr>
        <w:rPr>
          <w:rFonts w:ascii="Arial" w:hAnsi="Arial" w:cs="Arial"/>
        </w:rPr>
      </w:pPr>
    </w:p>
    <w:p w14:paraId="320579EB" w14:textId="77777777" w:rsidR="00620BD6" w:rsidRPr="003E6CD8" w:rsidRDefault="00620BD6" w:rsidP="00620BD6">
      <w:pPr>
        <w:autoSpaceDE w:val="0"/>
        <w:autoSpaceDN w:val="0"/>
        <w:adjustRightInd w:val="0"/>
        <w:spacing w:after="0" w:line="240" w:lineRule="auto"/>
        <w:rPr>
          <w:rFonts w:ascii="Arial" w:hAnsi="Arial" w:cs="Arial"/>
          <w:b/>
          <w:bCs/>
        </w:rPr>
      </w:pPr>
      <w:r w:rsidRPr="003E6CD8">
        <w:rPr>
          <w:rFonts w:ascii="Arial" w:hAnsi="Arial" w:cs="Arial"/>
          <w:b/>
          <w:bCs/>
        </w:rPr>
        <w:t>Legal Entity Identifiers</w:t>
      </w:r>
    </w:p>
    <w:p w14:paraId="1722F6B4" w14:textId="77777777" w:rsidR="00620BD6" w:rsidRDefault="00620BD6" w:rsidP="00620BD6">
      <w:pPr>
        <w:rPr>
          <w:rFonts w:ascii="Arial" w:hAnsi="Arial" w:cs="Arial"/>
        </w:rPr>
      </w:pPr>
      <w:r w:rsidRPr="003E6CD8">
        <w:rPr>
          <w:rFonts w:ascii="Arial" w:hAnsi="Arial" w:cs="Arial"/>
        </w:rPr>
        <w:t>NatWest Group plc 2138005O9XJIJN4JPN90</w:t>
      </w:r>
    </w:p>
    <w:p w14:paraId="335F1210" w14:textId="77777777" w:rsidR="00F96305" w:rsidRDefault="00F96305" w:rsidP="00F96305">
      <w:pPr>
        <w:rPr>
          <w:rFonts w:ascii="Arial" w:hAnsi="Arial" w:cs="Arial"/>
          <w:b/>
          <w:bCs/>
        </w:rPr>
      </w:pPr>
    </w:p>
    <w:p w14:paraId="6144ABE7" w14:textId="77777777" w:rsidR="00F96305" w:rsidRPr="00715241" w:rsidRDefault="00F96305" w:rsidP="00F96305">
      <w:pPr>
        <w:rPr>
          <w:rFonts w:ascii="Arial" w:hAnsi="Arial" w:cs="Arial"/>
          <w:b/>
          <w:bCs/>
        </w:rPr>
      </w:pPr>
      <w:r w:rsidRPr="00715241">
        <w:rPr>
          <w:rFonts w:ascii="Arial" w:hAnsi="Arial" w:cs="Arial"/>
          <w:b/>
          <w:bCs/>
        </w:rPr>
        <w:t>Forward-looking statements</w:t>
      </w:r>
    </w:p>
    <w:p w14:paraId="2283B0AF" w14:textId="77777777" w:rsidR="00F96305" w:rsidRPr="00715241" w:rsidRDefault="00F96305" w:rsidP="00F96305">
      <w:pPr>
        <w:rPr>
          <w:rFonts w:ascii="Arial" w:hAnsi="Arial" w:cs="Arial"/>
          <w:sz w:val="16"/>
          <w:szCs w:val="16"/>
        </w:rPr>
      </w:pPr>
      <w:r w:rsidRPr="00715241">
        <w:rPr>
          <w:rFonts w:ascii="Arial" w:hAnsi="Arial" w:cs="Arial"/>
          <w:sz w:val="16"/>
          <w:szCs w:val="16"/>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715241">
        <w:rPr>
          <w:rFonts w:ascii="Arial" w:hAnsi="Arial" w:cs="Arial"/>
          <w:sz w:val="16"/>
          <w:szCs w:val="16"/>
        </w:rPr>
        <w:t>VaR</w:t>
      </w:r>
      <w:proofErr w:type="spellEnd"/>
      <w:r w:rsidRPr="00715241">
        <w:rPr>
          <w:rFonts w:ascii="Arial" w:hAnsi="Arial" w:cs="Arial"/>
          <w:sz w:val="16"/>
          <w:szCs w:val="16"/>
        </w:rPr>
        <w:t xml:space="preserve">)’, ‘target’, ‘goal’, ‘objective’, ‘may’, ‘endeavour’, ‘outlook’, ‘optimistic’, ‘prospects’ and similar expressions or variations on these expressions. These statements concern or may affect future matters, such as NatWest Group's future economic results, business plans and strategies.  In particular, this document may include forward-looking statements relating to NatWest Group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w:t>
      </w:r>
      <w:r w:rsidRPr="00715241">
        <w:rPr>
          <w:rFonts w:ascii="Arial" w:hAnsi="Arial" w:cs="Arial"/>
          <w:sz w:val="16"/>
          <w:szCs w:val="16"/>
        </w:rPr>
        <w:lastRenderedPageBreak/>
        <w:t>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NatWest Group’s exposure to economic and political risks (including with respect to terms surrounding Brexit and climate change), operational risk, conduct risk, cyber and IT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the level and extent of future impairments and write-downs, including with respect to goodwill, legislative, political, fiscal and regulatory developments, accounting standards, competitive conditions, technological developments, interest and exchange rate fluctuations, general economic and political conditions and the uncertainty surrounding the Covid-19 pandemic and its impact on NatWest Group. These and other factors, risks and uncertainties that may impact any forward-looking statement or NatWest Group plc's actual results are discussed in NatWest Group plc's UK 2019 Annual Report and Accounts (ARA), NatWest Group plc’s Interim Results for Q1 2020 and NatWest Group plc’s Interim Results for H1 2020 and materials filed with, or furnished to, the US Securities and Exchange Commission, including, but not limited to, NatWest Group plc's most recent Annual Report on Form 20-F and Reports on Form 6-K. The forward-looking statements contained in this document speak only as of the date of this document and NatWest Group plc does not assume or undertake any obligation or responsibility to update any of the forward-looking statements contained in this document, whether as a result of new information, future events or otherwise, except to the extent legally required.</w:t>
      </w:r>
    </w:p>
    <w:p w14:paraId="311DF567" w14:textId="77777777" w:rsidR="00F96305" w:rsidRPr="00715241" w:rsidRDefault="00F96305" w:rsidP="00620BD6">
      <w:pPr>
        <w:rPr>
          <w:rFonts w:ascii="Arial" w:hAnsi="Arial" w:cs="Arial"/>
          <w:sz w:val="16"/>
          <w:szCs w:val="16"/>
        </w:rPr>
      </w:pPr>
    </w:p>
    <w:sectPr w:rsidR="00F96305" w:rsidRPr="00715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BD6"/>
    <w:rsid w:val="000836CD"/>
    <w:rsid w:val="000C2CD4"/>
    <w:rsid w:val="000D0B91"/>
    <w:rsid w:val="00197D11"/>
    <w:rsid w:val="00202219"/>
    <w:rsid w:val="002553D0"/>
    <w:rsid w:val="00363C7F"/>
    <w:rsid w:val="003D4F2F"/>
    <w:rsid w:val="003E6CD8"/>
    <w:rsid w:val="00412840"/>
    <w:rsid w:val="004F1354"/>
    <w:rsid w:val="00620BD6"/>
    <w:rsid w:val="00711B2E"/>
    <w:rsid w:val="00715241"/>
    <w:rsid w:val="007C1700"/>
    <w:rsid w:val="00827980"/>
    <w:rsid w:val="009B0D82"/>
    <w:rsid w:val="00AE386C"/>
    <w:rsid w:val="00B36AA5"/>
    <w:rsid w:val="00BB7AEE"/>
    <w:rsid w:val="00C56EEC"/>
    <w:rsid w:val="00CE62EE"/>
    <w:rsid w:val="00EA1594"/>
    <w:rsid w:val="00F2746C"/>
    <w:rsid w:val="00F478B4"/>
    <w:rsid w:val="00F96305"/>
    <w:rsid w:val="00FF6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238C"/>
  <w15:docId w15:val="{ADA698A1-9AC1-446D-975A-1B9A2798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197D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305"/>
    <w:rPr>
      <w:rFonts w:ascii="Segoe UI" w:hAnsi="Segoe UI" w:cs="Segoe UI"/>
      <w:sz w:val="18"/>
      <w:szCs w:val="18"/>
    </w:rPr>
  </w:style>
  <w:style w:type="character" w:customStyle="1" w:styleId="Heading1Char">
    <w:name w:val="Heading 1 Char"/>
    <w:basedOn w:val="DefaultParagraphFont"/>
    <w:link w:val="Heading1"/>
    <w:uiPriority w:val="9"/>
    <w:rsid w:val="00197D11"/>
    <w:rPr>
      <w:rFonts w:ascii="Times New Roman" w:eastAsia="Times New Roman" w:hAnsi="Times New Roman" w:cs="Times New Roman"/>
      <w:b/>
      <w:bCs/>
      <w:kern w:val="36"/>
      <w:sz w:val="48"/>
      <w:szCs w:val="48"/>
      <w:lang w:eastAsia="en-GB"/>
    </w:rPr>
  </w:style>
  <w:style w:type="character" w:customStyle="1" w:styleId="gn">
    <w:name w:val="gn"/>
    <w:basedOn w:val="DefaultParagraphFont"/>
    <w:rsid w:val="0019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39983">
      <w:bodyDiv w:val="1"/>
      <w:marLeft w:val="0"/>
      <w:marRight w:val="0"/>
      <w:marTop w:val="0"/>
      <w:marBottom w:val="0"/>
      <w:divBdr>
        <w:top w:val="none" w:sz="0" w:space="0" w:color="auto"/>
        <w:left w:val="none" w:sz="0" w:space="0" w:color="auto"/>
        <w:bottom w:val="none" w:sz="0" w:space="0" w:color="auto"/>
        <w:right w:val="none" w:sz="0" w:space="0" w:color="auto"/>
      </w:divBdr>
    </w:div>
    <w:div w:id="1208447050">
      <w:bodyDiv w:val="1"/>
      <w:marLeft w:val="0"/>
      <w:marRight w:val="0"/>
      <w:marTop w:val="0"/>
      <w:marBottom w:val="0"/>
      <w:divBdr>
        <w:top w:val="none" w:sz="0" w:space="0" w:color="auto"/>
        <w:left w:val="none" w:sz="0" w:space="0" w:color="auto"/>
        <w:bottom w:val="none" w:sz="0" w:space="0" w:color="auto"/>
        <w:right w:val="none" w:sz="0" w:space="0" w:color="auto"/>
      </w:divBdr>
    </w:div>
    <w:div w:id="1216356566">
      <w:bodyDiv w:val="1"/>
      <w:marLeft w:val="0"/>
      <w:marRight w:val="0"/>
      <w:marTop w:val="0"/>
      <w:marBottom w:val="0"/>
      <w:divBdr>
        <w:top w:val="none" w:sz="0" w:space="0" w:color="auto"/>
        <w:left w:val="none" w:sz="0" w:space="0" w:color="auto"/>
        <w:bottom w:val="none" w:sz="0" w:space="0" w:color="auto"/>
        <w:right w:val="none" w:sz="0" w:space="0" w:color="auto"/>
      </w:divBdr>
      <w:divsChild>
        <w:div w:id="1220673855">
          <w:marLeft w:val="0"/>
          <w:marRight w:val="0"/>
          <w:marTop w:val="0"/>
          <w:marBottom w:val="0"/>
          <w:divBdr>
            <w:top w:val="single" w:sz="6" w:space="8" w:color="E5E5E5"/>
            <w:left w:val="single" w:sz="6" w:space="8" w:color="E5E5E5"/>
            <w:bottom w:val="single" w:sz="6" w:space="8" w:color="E5E5E5"/>
            <w:right w:val="single" w:sz="6" w:space="8" w:color="E5E5E5"/>
          </w:divBdr>
          <w:divsChild>
            <w:div w:id="943922270">
              <w:marLeft w:val="0"/>
              <w:marRight w:val="0"/>
              <w:marTop w:val="0"/>
              <w:marBottom w:val="0"/>
              <w:divBdr>
                <w:top w:val="none" w:sz="0" w:space="0" w:color="auto"/>
                <w:left w:val="none" w:sz="0" w:space="0" w:color="auto"/>
                <w:bottom w:val="none" w:sz="0" w:space="0" w:color="auto"/>
                <w:right w:val="none" w:sz="0" w:space="0" w:color="auto"/>
              </w:divBdr>
              <w:divsChild>
                <w:div w:id="11683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pybusp</dc:creator>
  <cp:lastModifiedBy>Parsons, Sophie (Legal, Governance &amp; Regulatory Affairs)</cp:lastModifiedBy>
  <cp:revision>4</cp:revision>
  <dcterms:created xsi:type="dcterms:W3CDTF">2020-09-23T15:50:00Z</dcterms:created>
  <dcterms:modified xsi:type="dcterms:W3CDTF">2020-09-23T16:55:00Z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-917929673</vt:i4>
  </property>
  <property fmtid="{D5CDD505-2E9C-101B-9397-08002B2CF9AE}" pid="3" name="_NewReviewCycle">
    <vt:lpwstr/>
  </property>
  <property fmtid="{D5CDD505-2E9C-101B-9397-08002B2CF9AE}" pid="4" name="_EmailSubject">
    <vt:lpwstr>Another RNS to be released before 2pm today</vt:lpwstr>
  </property>
  <property fmtid="{D5CDD505-2E9C-101B-9397-08002B2CF9AE}" pid="5" name="_AuthorEmail">
    <vt:lpwstr>paul.pybus@natwest.com</vt:lpwstr>
  </property>
  <property fmtid="{D5CDD505-2E9C-101B-9397-08002B2CF9AE}" pid="6" name="_AuthorEmailDisplayName">
    <vt:lpwstr>Pybus, Paul (Investor Relations)</vt:lpwstr>
  </property>
  <property fmtid="{D5CDD505-2E9C-101B-9397-08002B2CF9AE}" pid="7" name="_PreviousAdHocReviewCycleID">
    <vt:i4>341795593</vt:i4>
  </property>
  <property fmtid="{D5CDD505-2E9C-101B-9397-08002B2CF9AE}" pid="8" name="_ReviewingToolsShownOnce">
    <vt:lpwstr/>
  </property>
</Properties>
</file>